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842" w14:textId="127E98D9" w:rsidR="00AB3724" w:rsidRPr="009E560F" w:rsidRDefault="0077441C" w:rsidP="003639C6">
      <w:pPr>
        <w:jc w:val="center"/>
      </w:pPr>
      <w:r w:rsidRPr="0077441C">
        <w:rPr>
          <w:noProof/>
        </w:rPr>
        <w:drawing>
          <wp:anchor distT="0" distB="0" distL="114300" distR="114300" simplePos="0" relativeHeight="251658240" behindDoc="0" locked="0" layoutInCell="1" allowOverlap="1" wp14:anchorId="7295D7D4" wp14:editId="418CAD8B">
            <wp:simplePos x="0" y="0"/>
            <wp:positionH relativeFrom="column">
              <wp:posOffset>2429624</wp:posOffset>
            </wp:positionH>
            <wp:positionV relativeFrom="paragraph">
              <wp:posOffset>322</wp:posOffset>
            </wp:positionV>
            <wp:extent cx="894098" cy="683813"/>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098" cy="683813"/>
                    </a:xfrm>
                    <a:prstGeom prst="rect">
                      <a:avLst/>
                    </a:prstGeom>
                    <a:noFill/>
                    <a:ln>
                      <a:noFill/>
                    </a:ln>
                  </pic:spPr>
                </pic:pic>
              </a:graphicData>
            </a:graphic>
            <wp14:sizeRelH relativeFrom="page">
              <wp14:pctWidth>0</wp14:pctWidth>
            </wp14:sizeRelH>
            <wp14:sizeRelV relativeFrom="page">
              <wp14:pctHeight>0</wp14:pctHeight>
            </wp14:sizeRelV>
          </wp:anchor>
        </w:drawing>
      </w:r>
      <w:r w:rsidR="009A1B03">
        <w:t xml:space="preserve"> </w:t>
      </w:r>
    </w:p>
    <w:p w14:paraId="196289FB" w14:textId="4CEA77C0" w:rsidR="00AB3724" w:rsidRDefault="00AB3724" w:rsidP="003639C6">
      <w:pPr>
        <w:jc w:val="center"/>
      </w:pPr>
    </w:p>
    <w:p w14:paraId="5A00DAD0" w14:textId="77777777" w:rsidR="00C21147" w:rsidRPr="009E560F" w:rsidRDefault="00C21147" w:rsidP="003639C6">
      <w:pPr>
        <w:jc w:val="center"/>
      </w:pPr>
    </w:p>
    <w:p w14:paraId="74541907" w14:textId="77777777" w:rsidR="00AB3724" w:rsidRPr="0010177B" w:rsidRDefault="00AB3724" w:rsidP="003639C6">
      <w:pPr>
        <w:jc w:val="center"/>
        <w:rPr>
          <w:b/>
          <w:sz w:val="28"/>
          <w:szCs w:val="28"/>
        </w:rPr>
      </w:pPr>
      <w:r w:rsidRPr="0010177B">
        <w:rPr>
          <w:b/>
          <w:sz w:val="28"/>
          <w:szCs w:val="28"/>
        </w:rPr>
        <w:t>Kontrolní závěr z kontrolní akce</w:t>
      </w:r>
    </w:p>
    <w:p w14:paraId="5951203F" w14:textId="77777777" w:rsidR="00AB3724" w:rsidRPr="009E560F" w:rsidRDefault="00AB3724" w:rsidP="003639C6">
      <w:pPr>
        <w:jc w:val="center"/>
      </w:pPr>
    </w:p>
    <w:p w14:paraId="184EF0B9" w14:textId="52AD8E34" w:rsidR="00AB3724" w:rsidRDefault="00D47F00" w:rsidP="003639C6">
      <w:pPr>
        <w:jc w:val="center"/>
        <w:rPr>
          <w:b/>
          <w:sz w:val="28"/>
          <w:szCs w:val="28"/>
        </w:rPr>
      </w:pPr>
      <w:r>
        <w:rPr>
          <w:b/>
          <w:sz w:val="28"/>
          <w:szCs w:val="28"/>
        </w:rPr>
        <w:t>23/16</w:t>
      </w:r>
    </w:p>
    <w:p w14:paraId="2775A8E6" w14:textId="77777777" w:rsidR="00AB3724" w:rsidRPr="009E560F" w:rsidRDefault="00AB3724" w:rsidP="003639C6">
      <w:pPr>
        <w:jc w:val="center"/>
      </w:pPr>
    </w:p>
    <w:p w14:paraId="372CC3B7" w14:textId="3A68EFEB" w:rsidR="00B43AE3" w:rsidRDefault="00D47F00" w:rsidP="00D47F00">
      <w:pPr>
        <w:jc w:val="center"/>
        <w:rPr>
          <w:b/>
          <w:sz w:val="28"/>
          <w:szCs w:val="28"/>
        </w:rPr>
      </w:pPr>
      <w:r w:rsidRPr="00D47F00">
        <w:rPr>
          <w:b/>
          <w:sz w:val="28"/>
          <w:szCs w:val="28"/>
        </w:rPr>
        <w:t xml:space="preserve">Peněžní prostředky státu a Evropské unie vynakládané </w:t>
      </w:r>
      <w:r w:rsidR="00C21147">
        <w:rPr>
          <w:b/>
          <w:sz w:val="28"/>
          <w:szCs w:val="28"/>
        </w:rPr>
        <w:br/>
      </w:r>
      <w:r w:rsidRPr="00D47F00">
        <w:rPr>
          <w:b/>
          <w:sz w:val="28"/>
          <w:szCs w:val="28"/>
        </w:rPr>
        <w:t>Ministerstvem průmyslu a obchodu</w:t>
      </w:r>
      <w:r>
        <w:rPr>
          <w:b/>
          <w:sz w:val="28"/>
          <w:szCs w:val="28"/>
        </w:rPr>
        <w:t xml:space="preserve"> </w:t>
      </w:r>
      <w:r w:rsidRPr="00D47F00">
        <w:rPr>
          <w:b/>
          <w:sz w:val="28"/>
          <w:szCs w:val="28"/>
        </w:rPr>
        <w:t>na regeneraci brownfieldů</w:t>
      </w:r>
    </w:p>
    <w:p w14:paraId="0991AD20" w14:textId="77777777" w:rsidR="00C21147" w:rsidRDefault="00C21147" w:rsidP="00C21147">
      <w:pPr>
        <w:rPr>
          <w:color w:val="000000" w:themeColor="text1"/>
        </w:rPr>
      </w:pPr>
    </w:p>
    <w:p w14:paraId="34AB5FE5" w14:textId="77777777" w:rsidR="00C21147" w:rsidRDefault="00C21147" w:rsidP="00C21147">
      <w:pPr>
        <w:rPr>
          <w:color w:val="000000" w:themeColor="text1"/>
        </w:rPr>
      </w:pPr>
    </w:p>
    <w:p w14:paraId="4B5D20EA" w14:textId="21DE322E" w:rsidR="00AB3724" w:rsidRPr="00876251" w:rsidRDefault="00AB3724" w:rsidP="003639C6">
      <w:pPr>
        <w:rPr>
          <w:color w:val="000000" w:themeColor="text1"/>
        </w:rPr>
      </w:pPr>
      <w:r w:rsidRPr="00876251">
        <w:rPr>
          <w:color w:val="000000" w:themeColor="text1"/>
        </w:rPr>
        <w:t>Kontrolní akce byla zařazena do plánu kontrolní činnosti Nej</w:t>
      </w:r>
      <w:r w:rsidR="00BB2F43">
        <w:rPr>
          <w:color w:val="000000" w:themeColor="text1"/>
        </w:rPr>
        <w:t>vyššího kontrolního úřadu (dále</w:t>
      </w:r>
      <w:r w:rsidR="00432A4D">
        <w:rPr>
          <w:color w:val="000000" w:themeColor="text1"/>
        </w:rPr>
        <w:t xml:space="preserve"> </w:t>
      </w:r>
      <w:r w:rsidRPr="00876251">
        <w:rPr>
          <w:color w:val="000000" w:themeColor="text1"/>
        </w:rPr>
        <w:t xml:space="preserve">jen „NKÚ“) na rok </w:t>
      </w:r>
      <w:r w:rsidR="00D47F00">
        <w:rPr>
          <w:color w:val="000000" w:themeColor="text1"/>
        </w:rPr>
        <w:t>2023</w:t>
      </w:r>
      <w:r w:rsidRPr="00876251">
        <w:rPr>
          <w:color w:val="000000" w:themeColor="text1"/>
        </w:rPr>
        <w:t xml:space="preserve"> pod číslem </w:t>
      </w:r>
      <w:r w:rsidR="00D47F00">
        <w:rPr>
          <w:color w:val="000000" w:themeColor="text1"/>
        </w:rPr>
        <w:t>23/16</w:t>
      </w:r>
      <w:r w:rsidRPr="00876251">
        <w:rPr>
          <w:color w:val="000000" w:themeColor="text1"/>
        </w:rPr>
        <w:t>. Kontrolní akci řídil a kontrolní závěr vypracoval člen NKÚ Ing.</w:t>
      </w:r>
      <w:r w:rsidR="001830AB">
        <w:rPr>
          <w:color w:val="000000" w:themeColor="text1"/>
        </w:rPr>
        <w:t> </w:t>
      </w:r>
      <w:r w:rsidR="00D54CD1">
        <w:rPr>
          <w:color w:val="000000" w:themeColor="text1"/>
        </w:rPr>
        <w:t>Adolf Beznoska</w:t>
      </w:r>
      <w:r w:rsidRPr="00876251">
        <w:rPr>
          <w:color w:val="000000" w:themeColor="text1"/>
        </w:rPr>
        <w:t>.</w:t>
      </w:r>
    </w:p>
    <w:p w14:paraId="4EC49E41" w14:textId="77777777" w:rsidR="00AB3724" w:rsidRDefault="00AB3724" w:rsidP="003639C6">
      <w:pPr>
        <w:rPr>
          <w:color w:val="000000" w:themeColor="text1"/>
        </w:rPr>
      </w:pPr>
    </w:p>
    <w:p w14:paraId="67F7F702" w14:textId="48ED3F4D" w:rsidR="0050448E" w:rsidRDefault="00AB3724" w:rsidP="0050448E">
      <w:pPr>
        <w:autoSpaceDE w:val="0"/>
        <w:autoSpaceDN w:val="0"/>
        <w:adjustRightInd w:val="0"/>
        <w:rPr>
          <w:rFonts w:asciiTheme="minorHAnsi" w:hAnsiTheme="minorHAnsi" w:cstheme="minorHAnsi"/>
        </w:rPr>
      </w:pPr>
      <w:r w:rsidRPr="00876251">
        <w:rPr>
          <w:color w:val="000000" w:themeColor="text1"/>
        </w:rPr>
        <w:t>Cílem kontroly bylo</w:t>
      </w:r>
      <w:r w:rsidR="007163A7">
        <w:rPr>
          <w:rFonts w:asciiTheme="minorHAnsi" w:hAnsiTheme="minorHAnsi" w:cstheme="minorHAnsi"/>
        </w:rPr>
        <w:t xml:space="preserve"> </w:t>
      </w:r>
      <w:r w:rsidR="00D54CD1">
        <w:rPr>
          <w:rFonts w:asciiTheme="minorHAnsi" w:hAnsiTheme="minorHAnsi" w:cstheme="minorHAnsi"/>
        </w:rPr>
        <w:t>p</w:t>
      </w:r>
      <w:r w:rsidR="00D54CD1" w:rsidRPr="00746DF8">
        <w:rPr>
          <w:rFonts w:asciiTheme="minorHAnsi" w:hAnsiTheme="minorHAnsi" w:cstheme="minorHAnsi"/>
        </w:rPr>
        <w:t>rověřit</w:t>
      </w:r>
      <w:r w:rsidR="00D47F00" w:rsidRPr="00D47F00">
        <w:rPr>
          <w:rFonts w:asciiTheme="minorHAnsi" w:hAnsiTheme="minorHAnsi" w:cstheme="minorHAnsi"/>
        </w:rPr>
        <w:t>, zda peněžní prostředky státu a Evropské unie vynakládané Ministerstvem průmyslu a obchodu na regeneraci brownfieldů byly vynakládány účelně, hospodárně a v souladu s právními předpisy</w:t>
      </w:r>
      <w:r w:rsidR="00520509">
        <w:rPr>
          <w:rFonts w:asciiTheme="minorHAnsi" w:hAnsiTheme="minorHAnsi" w:cstheme="minorHAnsi"/>
        </w:rPr>
        <w:t>.</w:t>
      </w:r>
    </w:p>
    <w:p w14:paraId="2ECBE7F0" w14:textId="77777777" w:rsidR="00B43AE3" w:rsidRDefault="00B43AE3" w:rsidP="003639C6">
      <w:pPr>
        <w:rPr>
          <w:rFonts w:asciiTheme="minorHAnsi" w:hAnsiTheme="minorHAnsi" w:cstheme="minorHAnsi"/>
        </w:rPr>
      </w:pPr>
    </w:p>
    <w:p w14:paraId="5F8D9E5A" w14:textId="5C2803A5" w:rsidR="00AB3724" w:rsidRPr="0050448E" w:rsidRDefault="00AB3724" w:rsidP="003639C6">
      <w:pPr>
        <w:rPr>
          <w:rFonts w:asciiTheme="minorHAnsi" w:hAnsiTheme="minorHAnsi" w:cstheme="minorHAnsi"/>
        </w:rPr>
      </w:pPr>
      <w:r w:rsidRPr="00876251">
        <w:rPr>
          <w:color w:val="000000" w:themeColor="text1"/>
        </w:rPr>
        <w:t>Kontrola</w:t>
      </w:r>
      <w:r w:rsidR="00B43AE3">
        <w:rPr>
          <w:color w:val="000000" w:themeColor="text1"/>
        </w:rPr>
        <w:t xml:space="preserve"> byla prováděna u kontrolovan</w:t>
      </w:r>
      <w:r w:rsidR="005549D4">
        <w:rPr>
          <w:color w:val="000000" w:themeColor="text1"/>
        </w:rPr>
        <w:t>ých</w:t>
      </w:r>
      <w:r w:rsidRPr="00876251">
        <w:rPr>
          <w:color w:val="000000" w:themeColor="text1"/>
        </w:rPr>
        <w:t xml:space="preserve"> osob v období </w:t>
      </w:r>
      <w:r w:rsidR="00E729C2">
        <w:rPr>
          <w:color w:val="000000" w:themeColor="text1"/>
        </w:rPr>
        <w:t xml:space="preserve">od </w:t>
      </w:r>
      <w:r w:rsidR="00D47F00">
        <w:rPr>
          <w:color w:val="000000" w:themeColor="text1"/>
        </w:rPr>
        <w:t>srpna 2023</w:t>
      </w:r>
      <w:r w:rsidR="00B43AE3" w:rsidRPr="00134731">
        <w:rPr>
          <w:color w:val="000000" w:themeColor="text1"/>
        </w:rPr>
        <w:t xml:space="preserve"> </w:t>
      </w:r>
      <w:r w:rsidR="00D54CD1" w:rsidRPr="00134731">
        <w:rPr>
          <w:color w:val="000000" w:themeColor="text1"/>
        </w:rPr>
        <w:t xml:space="preserve">do </w:t>
      </w:r>
      <w:r w:rsidR="00D47F00">
        <w:rPr>
          <w:color w:val="000000" w:themeColor="text1"/>
        </w:rPr>
        <w:t>dubna</w:t>
      </w:r>
      <w:r w:rsidR="00B43AE3" w:rsidRPr="00134731">
        <w:rPr>
          <w:color w:val="000000" w:themeColor="text1"/>
        </w:rPr>
        <w:t xml:space="preserve"> 202</w:t>
      </w:r>
      <w:r w:rsidR="00D47F00">
        <w:rPr>
          <w:color w:val="000000" w:themeColor="text1"/>
        </w:rPr>
        <w:t>4</w:t>
      </w:r>
      <w:r w:rsidRPr="00876251">
        <w:rPr>
          <w:color w:val="000000" w:themeColor="text1"/>
        </w:rPr>
        <w:t xml:space="preserve">. </w:t>
      </w:r>
    </w:p>
    <w:p w14:paraId="5700DD6D" w14:textId="77777777" w:rsidR="00AB3724" w:rsidRPr="00876251" w:rsidRDefault="00AB3724" w:rsidP="003639C6">
      <w:pPr>
        <w:rPr>
          <w:color w:val="000000" w:themeColor="text1"/>
        </w:rPr>
      </w:pPr>
    </w:p>
    <w:p w14:paraId="4DE295A7" w14:textId="305B3446" w:rsidR="00E729C2" w:rsidRDefault="00AB3724" w:rsidP="00E729C2">
      <w:pPr>
        <w:autoSpaceDE w:val="0"/>
        <w:autoSpaceDN w:val="0"/>
        <w:adjustRightInd w:val="0"/>
        <w:rPr>
          <w:rFonts w:asciiTheme="minorHAnsi" w:hAnsiTheme="minorHAnsi" w:cstheme="minorHAnsi"/>
        </w:rPr>
      </w:pPr>
      <w:r w:rsidRPr="00876251">
        <w:rPr>
          <w:color w:val="000000" w:themeColor="text1"/>
        </w:rPr>
        <w:t xml:space="preserve">Kontrolovaným obdobím </w:t>
      </w:r>
      <w:r w:rsidRPr="00134731">
        <w:rPr>
          <w:color w:val="000000" w:themeColor="text1"/>
        </w:rPr>
        <w:t xml:space="preserve">byly roky </w:t>
      </w:r>
      <w:r w:rsidR="00E729C2" w:rsidRPr="004E5927">
        <w:rPr>
          <w:rFonts w:asciiTheme="minorHAnsi" w:hAnsiTheme="minorHAnsi" w:cstheme="minorHAnsi"/>
        </w:rPr>
        <w:t xml:space="preserve">2018 </w:t>
      </w:r>
      <w:r w:rsidR="00E729C2">
        <w:rPr>
          <w:rFonts w:asciiTheme="minorHAnsi" w:hAnsiTheme="minorHAnsi" w:cstheme="minorHAnsi"/>
        </w:rPr>
        <w:t>až</w:t>
      </w:r>
      <w:r w:rsidR="00E729C2" w:rsidRPr="004E5927">
        <w:rPr>
          <w:rFonts w:asciiTheme="minorHAnsi" w:hAnsiTheme="minorHAnsi" w:cstheme="minorHAnsi"/>
        </w:rPr>
        <w:t xml:space="preserve"> 202</w:t>
      </w:r>
      <w:r w:rsidR="00D47F00">
        <w:rPr>
          <w:rFonts w:asciiTheme="minorHAnsi" w:hAnsiTheme="minorHAnsi" w:cstheme="minorHAnsi"/>
        </w:rPr>
        <w:t>3</w:t>
      </w:r>
      <w:r w:rsidR="00E729C2" w:rsidRPr="004E5927">
        <w:rPr>
          <w:rFonts w:asciiTheme="minorHAnsi" w:hAnsiTheme="minorHAnsi" w:cstheme="minorHAnsi"/>
        </w:rPr>
        <w:t>. V případě věcných souvislostí i</w:t>
      </w:r>
      <w:r w:rsidR="00E729C2">
        <w:rPr>
          <w:rFonts w:asciiTheme="minorHAnsi" w:hAnsiTheme="minorHAnsi" w:cstheme="minorHAnsi"/>
        </w:rPr>
        <w:t> </w:t>
      </w:r>
      <w:r w:rsidR="00E729C2" w:rsidRPr="004E5927">
        <w:rPr>
          <w:rFonts w:asciiTheme="minorHAnsi" w:hAnsiTheme="minorHAnsi" w:cstheme="minorHAnsi"/>
        </w:rPr>
        <w:t>období</w:t>
      </w:r>
      <w:r w:rsidR="00E729C2">
        <w:rPr>
          <w:rFonts w:asciiTheme="minorHAnsi" w:hAnsiTheme="minorHAnsi" w:cstheme="minorHAnsi"/>
        </w:rPr>
        <w:t xml:space="preserve"> předcházející a období </w:t>
      </w:r>
      <w:r w:rsidR="00E729C2" w:rsidRPr="004E5927">
        <w:rPr>
          <w:rFonts w:asciiTheme="minorHAnsi" w:hAnsiTheme="minorHAnsi" w:cstheme="minorHAnsi"/>
        </w:rPr>
        <w:t>následující</w:t>
      </w:r>
      <w:r w:rsidR="00E729C2">
        <w:rPr>
          <w:rFonts w:asciiTheme="minorHAnsi" w:hAnsiTheme="minorHAnsi" w:cstheme="minorHAnsi"/>
        </w:rPr>
        <w:t>.</w:t>
      </w:r>
    </w:p>
    <w:p w14:paraId="22904F72" w14:textId="701AC41E" w:rsidR="00AB3724" w:rsidRPr="00876251" w:rsidRDefault="00AB3724" w:rsidP="003639C6">
      <w:pPr>
        <w:rPr>
          <w:color w:val="000000" w:themeColor="text1"/>
        </w:rPr>
      </w:pPr>
    </w:p>
    <w:p w14:paraId="148EE46E" w14:textId="3E2F9264" w:rsidR="00E729C2" w:rsidRDefault="00B43AE3" w:rsidP="00C21147">
      <w:pPr>
        <w:rPr>
          <w:rFonts w:asciiTheme="minorHAnsi" w:hAnsiTheme="minorHAnsi" w:cstheme="minorHAnsi"/>
        </w:rPr>
      </w:pPr>
      <w:r>
        <w:rPr>
          <w:b/>
          <w:color w:val="000000" w:themeColor="text1"/>
        </w:rPr>
        <w:t>Kontrolovan</w:t>
      </w:r>
      <w:r w:rsidR="00E42111">
        <w:rPr>
          <w:b/>
          <w:color w:val="000000" w:themeColor="text1"/>
        </w:rPr>
        <w:t xml:space="preserve">é </w:t>
      </w:r>
      <w:r>
        <w:rPr>
          <w:b/>
          <w:color w:val="000000" w:themeColor="text1"/>
        </w:rPr>
        <w:t>osob</w:t>
      </w:r>
      <w:r w:rsidR="00E42111">
        <w:rPr>
          <w:b/>
          <w:color w:val="000000" w:themeColor="text1"/>
        </w:rPr>
        <w:t>y</w:t>
      </w:r>
      <w:r w:rsidR="00AB3724" w:rsidRPr="00876251">
        <w:rPr>
          <w:b/>
          <w:color w:val="000000" w:themeColor="text1"/>
        </w:rPr>
        <w:t>:</w:t>
      </w:r>
      <w:r w:rsidR="00AB3724" w:rsidRPr="00876251">
        <w:rPr>
          <w:b/>
          <w:color w:val="000000" w:themeColor="text1"/>
        </w:rPr>
        <w:cr/>
      </w:r>
      <w:r w:rsidR="00E729C2" w:rsidRPr="004E5927">
        <w:rPr>
          <w:rFonts w:asciiTheme="minorHAnsi" w:hAnsiTheme="minorHAnsi" w:cstheme="minorHAnsi"/>
        </w:rPr>
        <w:t>Ministerstvo průmyslu a obchodu</w:t>
      </w:r>
      <w:r w:rsidR="00715839">
        <w:rPr>
          <w:rFonts w:asciiTheme="minorHAnsi" w:hAnsiTheme="minorHAnsi" w:cstheme="minorHAnsi"/>
        </w:rPr>
        <w:t>;</w:t>
      </w:r>
      <w:r w:rsidR="00E82AF2">
        <w:rPr>
          <w:rFonts w:asciiTheme="minorHAnsi" w:hAnsiTheme="minorHAnsi" w:cstheme="minorHAnsi"/>
        </w:rPr>
        <w:t xml:space="preserve"> </w:t>
      </w:r>
    </w:p>
    <w:p w14:paraId="15447B4B" w14:textId="420FDBF9" w:rsidR="00AB3724" w:rsidRPr="00B43AE3" w:rsidRDefault="00D47F00" w:rsidP="00C21147">
      <w:pPr>
        <w:rPr>
          <w:color w:val="000000" w:themeColor="text1"/>
        </w:rPr>
      </w:pPr>
      <w:r w:rsidRPr="00D47F00">
        <w:rPr>
          <w:color w:val="000000" w:themeColor="text1"/>
        </w:rPr>
        <w:t>Agentura pro podporu podnikání a investic CzechInvest</w:t>
      </w:r>
      <w:r w:rsidR="00715839">
        <w:rPr>
          <w:color w:val="000000" w:themeColor="text1"/>
        </w:rPr>
        <w:t>.</w:t>
      </w:r>
      <w:r w:rsidR="00476FC7">
        <w:rPr>
          <w:color w:val="000000" w:themeColor="text1"/>
        </w:rPr>
        <w:t xml:space="preserve"> </w:t>
      </w:r>
    </w:p>
    <w:p w14:paraId="7F3AAC88" w14:textId="3DABCA90" w:rsidR="00AB3724" w:rsidRDefault="00AB3724" w:rsidP="00C21147">
      <w:pPr>
        <w:rPr>
          <w:i/>
          <w:highlight w:val="yellow"/>
        </w:rPr>
      </w:pPr>
    </w:p>
    <w:p w14:paraId="0286BE66" w14:textId="77777777" w:rsidR="002807CB" w:rsidRDefault="002807CB" w:rsidP="00C21147">
      <w:pPr>
        <w:rPr>
          <w:color w:val="000000" w:themeColor="text1"/>
        </w:rPr>
      </w:pPr>
    </w:p>
    <w:p w14:paraId="08F9D7C5" w14:textId="7576AA88" w:rsidR="00AB3724" w:rsidRPr="00D15BBF" w:rsidRDefault="00AB3724" w:rsidP="00C21147">
      <w:pPr>
        <w:spacing w:line="360" w:lineRule="auto"/>
        <w:rPr>
          <w:color w:val="000000" w:themeColor="text1"/>
        </w:rPr>
      </w:pPr>
      <w:r w:rsidRPr="00876251">
        <w:rPr>
          <w:b/>
          <w:i/>
          <w:color w:val="000000" w:themeColor="text1"/>
          <w:spacing w:val="40"/>
        </w:rPr>
        <w:t>Kolegium</w:t>
      </w:r>
      <w:r w:rsidRPr="00876251">
        <w:rPr>
          <w:b/>
          <w:i/>
          <w:color w:val="000000" w:themeColor="text1"/>
        </w:rPr>
        <w:t xml:space="preserve">   </w:t>
      </w:r>
      <w:r w:rsidRPr="00876251">
        <w:rPr>
          <w:b/>
          <w:i/>
          <w:color w:val="000000" w:themeColor="text1"/>
          <w:spacing w:val="40"/>
        </w:rPr>
        <w:t>NKÚ</w:t>
      </w:r>
      <w:r w:rsidRPr="00876251">
        <w:rPr>
          <w:b/>
          <w:i/>
          <w:color w:val="000000" w:themeColor="text1"/>
        </w:rPr>
        <w:t xml:space="preserve">   </w:t>
      </w:r>
      <w:r w:rsidR="006E0CFA">
        <w:rPr>
          <w:color w:val="000000" w:themeColor="text1"/>
        </w:rPr>
        <w:t>na svém</w:t>
      </w:r>
      <w:r w:rsidR="00D15BBF">
        <w:rPr>
          <w:color w:val="000000" w:themeColor="text1"/>
        </w:rPr>
        <w:t xml:space="preserve"> </w:t>
      </w:r>
      <w:r w:rsidR="00FC6288">
        <w:rPr>
          <w:color w:val="000000" w:themeColor="text1"/>
        </w:rPr>
        <w:t>IX</w:t>
      </w:r>
      <w:r w:rsidR="00A154DE">
        <w:rPr>
          <w:color w:val="000000" w:themeColor="text1"/>
        </w:rPr>
        <w:t>.</w:t>
      </w:r>
      <w:r w:rsidR="00B43AE3" w:rsidRPr="00D15BBF">
        <w:rPr>
          <w:color w:val="000000" w:themeColor="text1"/>
        </w:rPr>
        <w:t xml:space="preserve"> </w:t>
      </w:r>
      <w:r w:rsidR="006E0CFA" w:rsidRPr="00D15BBF">
        <w:rPr>
          <w:color w:val="000000" w:themeColor="text1"/>
        </w:rPr>
        <w:t xml:space="preserve">jednání, které se konalo dne </w:t>
      </w:r>
      <w:r w:rsidR="00FC6288">
        <w:rPr>
          <w:color w:val="000000" w:themeColor="text1"/>
        </w:rPr>
        <w:t>1. července 2024</w:t>
      </w:r>
      <w:r w:rsidR="00715839">
        <w:rPr>
          <w:color w:val="000000" w:themeColor="text1"/>
        </w:rPr>
        <w:t>,</w:t>
      </w:r>
    </w:p>
    <w:p w14:paraId="73D74581" w14:textId="739A4AB3" w:rsidR="00575078" w:rsidRPr="00D15BBF" w:rsidRDefault="00AB3724" w:rsidP="00C21147">
      <w:pPr>
        <w:spacing w:line="360" w:lineRule="auto"/>
        <w:rPr>
          <w:color w:val="000000" w:themeColor="text1"/>
        </w:rPr>
      </w:pPr>
      <w:r w:rsidRPr="00D15BBF">
        <w:rPr>
          <w:b/>
          <w:i/>
          <w:color w:val="000000" w:themeColor="text1"/>
          <w:spacing w:val="40"/>
        </w:rPr>
        <w:t>schválilo</w:t>
      </w:r>
      <w:r w:rsidRPr="00D15BBF">
        <w:rPr>
          <w:b/>
          <w:i/>
          <w:color w:val="000000" w:themeColor="text1"/>
        </w:rPr>
        <w:t xml:space="preserve">   </w:t>
      </w:r>
      <w:r w:rsidRPr="00D15BBF">
        <w:rPr>
          <w:color w:val="000000" w:themeColor="text1"/>
        </w:rPr>
        <w:t>usnesením č</w:t>
      </w:r>
      <w:r w:rsidR="00A154DE">
        <w:rPr>
          <w:color w:val="000000" w:themeColor="text1"/>
        </w:rPr>
        <w:t>.</w:t>
      </w:r>
      <w:r w:rsidR="00B9360C">
        <w:rPr>
          <w:color w:val="000000" w:themeColor="text1"/>
        </w:rPr>
        <w:t xml:space="preserve"> </w:t>
      </w:r>
      <w:r w:rsidR="0011693C">
        <w:rPr>
          <w:color w:val="000000" w:themeColor="text1"/>
        </w:rPr>
        <w:t>13</w:t>
      </w:r>
      <w:r w:rsidR="00FC6288">
        <w:rPr>
          <w:color w:val="000000" w:themeColor="text1"/>
        </w:rPr>
        <w:t>/IX/2024</w:t>
      </w:r>
    </w:p>
    <w:p w14:paraId="249254C2" w14:textId="5F0440FE" w:rsidR="00AB3724" w:rsidRPr="00876251" w:rsidRDefault="00AB3724" w:rsidP="00C21147">
      <w:pPr>
        <w:spacing w:line="360" w:lineRule="auto"/>
        <w:rPr>
          <w:color w:val="000000" w:themeColor="text1"/>
        </w:rPr>
      </w:pPr>
      <w:r w:rsidRPr="00D15BBF">
        <w:rPr>
          <w:b/>
          <w:i/>
          <w:color w:val="000000" w:themeColor="text1"/>
          <w:spacing w:val="40"/>
        </w:rPr>
        <w:t>kontrolní</w:t>
      </w:r>
      <w:r w:rsidRPr="00D15BBF">
        <w:rPr>
          <w:b/>
          <w:i/>
          <w:color w:val="000000" w:themeColor="text1"/>
        </w:rPr>
        <w:t xml:space="preserve">   </w:t>
      </w:r>
      <w:r w:rsidRPr="00D15BBF">
        <w:rPr>
          <w:b/>
          <w:i/>
          <w:color w:val="000000" w:themeColor="text1"/>
          <w:spacing w:val="40"/>
        </w:rPr>
        <w:t>závěr</w:t>
      </w:r>
      <w:r w:rsidRPr="00D15BBF">
        <w:rPr>
          <w:color w:val="000000" w:themeColor="text1"/>
        </w:rPr>
        <w:t xml:space="preserve">   v</w:t>
      </w:r>
      <w:r w:rsidR="00A24307">
        <w:rPr>
          <w:color w:val="000000" w:themeColor="text1"/>
        </w:rPr>
        <w:t> </w:t>
      </w:r>
      <w:r w:rsidRPr="00D15BBF">
        <w:rPr>
          <w:color w:val="000000" w:themeColor="text1"/>
        </w:rPr>
        <w:t>tomto znění:</w:t>
      </w:r>
    </w:p>
    <w:p w14:paraId="1CCA69B9" w14:textId="79E98FF6" w:rsidR="00AB3724" w:rsidRDefault="00AB3724" w:rsidP="003639C6"/>
    <w:p w14:paraId="5A5AD2EF" w14:textId="77777777" w:rsidR="00900374" w:rsidRDefault="00900374">
      <w:pPr>
        <w:spacing w:after="160" w:line="259" w:lineRule="auto"/>
        <w:jc w:val="left"/>
        <w:rPr>
          <w:b/>
          <w:sz w:val="28"/>
          <w:szCs w:val="28"/>
        </w:rPr>
      </w:pPr>
      <w:bookmarkStart w:id="0" w:name="_Hlk164153219"/>
      <w:bookmarkStart w:id="1" w:name="_Hlk164155057"/>
      <w:r>
        <w:rPr>
          <w:b/>
          <w:sz w:val="28"/>
          <w:szCs w:val="28"/>
        </w:rPr>
        <w:br w:type="page"/>
      </w:r>
    </w:p>
    <w:p w14:paraId="2C8F7ED4" w14:textId="345495E5" w:rsidR="00DC7FA5" w:rsidRDefault="00DC7FA5" w:rsidP="00DC7FA5">
      <w:pPr>
        <w:jc w:val="center"/>
        <w:rPr>
          <w:b/>
          <w:sz w:val="28"/>
          <w:szCs w:val="28"/>
        </w:rPr>
      </w:pPr>
      <w:r w:rsidRPr="00D47F00">
        <w:rPr>
          <w:b/>
          <w:sz w:val="28"/>
          <w:szCs w:val="28"/>
        </w:rPr>
        <w:lastRenderedPageBreak/>
        <w:t xml:space="preserve">Peněžní prostředky vynakládané </w:t>
      </w:r>
      <w:r w:rsidR="00C21147">
        <w:rPr>
          <w:b/>
          <w:sz w:val="28"/>
          <w:szCs w:val="28"/>
        </w:rPr>
        <w:br/>
      </w:r>
      <w:r w:rsidRPr="00D47F00">
        <w:rPr>
          <w:b/>
          <w:sz w:val="28"/>
          <w:szCs w:val="28"/>
        </w:rPr>
        <w:t>Ministerstvem průmyslu a obchodu</w:t>
      </w:r>
      <w:r>
        <w:rPr>
          <w:b/>
          <w:sz w:val="28"/>
          <w:szCs w:val="28"/>
        </w:rPr>
        <w:t xml:space="preserve"> </w:t>
      </w:r>
      <w:r w:rsidRPr="00D47F00">
        <w:rPr>
          <w:b/>
          <w:sz w:val="28"/>
          <w:szCs w:val="28"/>
        </w:rPr>
        <w:t>na regeneraci brownfieldů</w:t>
      </w:r>
    </w:p>
    <w:p w14:paraId="7D864B69" w14:textId="77777777" w:rsidR="00BE1B02" w:rsidRPr="00DC7FA5" w:rsidRDefault="00BE1B02" w:rsidP="00DC7FA5">
      <w:pPr>
        <w:rPr>
          <w:b/>
        </w:rPr>
      </w:pPr>
    </w:p>
    <w:p w14:paraId="2407F162" w14:textId="77777777" w:rsidR="00BE1B02" w:rsidRPr="00DC7FA5" w:rsidRDefault="00BE1B02" w:rsidP="00DC7FA5">
      <w:pPr>
        <w:rPr>
          <w:b/>
        </w:rPr>
      </w:pPr>
      <w:r w:rsidRPr="00DC7FA5">
        <w:rPr>
          <w:b/>
        </w:rPr>
        <w:t>Brownfield</w:t>
      </w:r>
      <w:r w:rsidRPr="00DC7FA5">
        <w:rPr>
          <w:rStyle w:val="Znakapoznpodarou"/>
          <w:rFonts w:eastAsiaTheme="majorEastAsia"/>
          <w:b/>
        </w:rPr>
        <w:footnoteReference w:id="2"/>
      </w:r>
      <w:r w:rsidRPr="00DC7FA5">
        <w:rPr>
          <w:b/>
        </w:rPr>
        <w:t xml:space="preserve"> je nemovitost (území, areál, pozemek, objekt), která je nevyužívaná, zanedbaná a může být i kontaminovaná. Vzniká jako pozůstatek průmyslové, zemědělské, rezidenční, vojenské či jiné aktivity. Brownfield nelze vhodně a efektivně využívat, aniž by proběhl proces jeho regenerace.</w:t>
      </w:r>
    </w:p>
    <w:p w14:paraId="5FC4085A" w14:textId="77777777" w:rsidR="00BE1B02" w:rsidRPr="00667198" w:rsidRDefault="00BE1B02" w:rsidP="00BE1B02">
      <w:pPr>
        <w:tabs>
          <w:tab w:val="left" w:pos="1115"/>
        </w:tabs>
        <w:ind w:left="1416" w:hanging="1416"/>
        <w:rPr>
          <w:b/>
          <w:sz w:val="22"/>
          <w:szCs w:val="22"/>
        </w:rPr>
      </w:pPr>
    </w:p>
    <w:p w14:paraId="42F4D527" w14:textId="0792A23A" w:rsidR="00BE1B02" w:rsidRPr="00DC7FA5" w:rsidRDefault="008F7E6A" w:rsidP="00DC7FA5">
      <w:pPr>
        <w:tabs>
          <w:tab w:val="left" w:pos="1115"/>
        </w:tabs>
        <w:ind w:left="1416" w:hanging="1416"/>
        <w:rPr>
          <w:caps/>
          <w:sz w:val="22"/>
          <w:szCs w:val="22"/>
        </w:rPr>
      </w:pPr>
      <w:r>
        <w:rPr>
          <w:noProof/>
        </w:rPr>
        <w:pict w14:anchorId="5EC69C45">
          <v:line id="Přímá spojnice 4" o:spid="_x0000_s1026" style="position:absolute;left:0;text-align:lef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95pt" to="452.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" strokecolor="black [3213]" strokeweight=".5pt">
            <v:stroke joinstyle="miter"/>
            <w10:wrap anchorx="margin"/>
          </v:line>
        </w:pict>
      </w:r>
    </w:p>
    <w:tbl>
      <w:tblPr>
        <w:tblpPr w:leftFromText="141" w:rightFromText="141" w:vertAnchor="text" w:horzAnchor="margin" w:tblpY="265"/>
        <w:tblOverlap w:val="never"/>
        <w:tblW w:w="5000" w:type="pct"/>
        <w:tblCellMar>
          <w:top w:w="113" w:type="dxa"/>
          <w:left w:w="170" w:type="dxa"/>
          <w:bottom w:w="113" w:type="dxa"/>
          <w:right w:w="170" w:type="dxa"/>
        </w:tblCellMar>
        <w:tblLook w:val="04A0" w:firstRow="1" w:lastRow="0" w:firstColumn="1" w:lastColumn="0" w:noHBand="0" w:noVBand="1"/>
      </w:tblPr>
      <w:tblGrid>
        <w:gridCol w:w="3138"/>
        <w:gridCol w:w="3137"/>
        <w:gridCol w:w="3135"/>
      </w:tblGrid>
      <w:tr w:rsidR="00BE1B02" w:rsidRPr="00E06AAB" w14:paraId="7BC248E7" w14:textId="77777777" w:rsidTr="003C4E14">
        <w:trPr>
          <w:trHeight w:val="2155"/>
        </w:trPr>
        <w:tc>
          <w:tcPr>
            <w:tcW w:w="1667" w:type="pct"/>
          </w:tcPr>
          <w:p w14:paraId="45A20DC3" w14:textId="77777777" w:rsidR="00BE1B02" w:rsidRPr="009F0AC7" w:rsidRDefault="00BE1B02" w:rsidP="00E42079">
            <w:pPr>
              <w:spacing w:line="360" w:lineRule="auto"/>
              <w:jc w:val="center"/>
              <w:rPr>
                <w:rFonts w:eastAsia="MS Gothic"/>
                <w:b/>
                <w:sz w:val="36"/>
                <w:szCs w:val="36"/>
              </w:rPr>
            </w:pPr>
            <w:bookmarkStart w:id="2" w:name="_Hlk129164814"/>
            <w:r>
              <w:rPr>
                <w:rFonts w:eastAsia="MS Gothic"/>
                <w:b/>
                <w:bCs/>
                <w:sz w:val="36"/>
                <w:szCs w:val="36"/>
              </w:rPr>
              <w:t>4 349</w:t>
            </w:r>
          </w:p>
          <w:p w14:paraId="74F6CE73" w14:textId="2CE70E20" w:rsidR="00BE1B02" w:rsidRPr="00667198" w:rsidRDefault="00BE1B02" w:rsidP="00E42079">
            <w:pPr>
              <w:jc w:val="center"/>
              <w:rPr>
                <w:rStyle w:val="A1"/>
                <w:color w:val="auto"/>
                <w:sz w:val="22"/>
                <w:szCs w:val="22"/>
              </w:rPr>
            </w:pPr>
            <w:r w:rsidRPr="00667198">
              <w:rPr>
                <w:sz w:val="22"/>
                <w:szCs w:val="22"/>
              </w:rPr>
              <w:t xml:space="preserve">Počet brownfieldů evidovaných počátkem roku 2024 v Národní databázi </w:t>
            </w:r>
            <w:proofErr w:type="spellStart"/>
            <w:r w:rsidRPr="00667198">
              <w:rPr>
                <w:sz w:val="22"/>
                <w:szCs w:val="22"/>
              </w:rPr>
              <w:t>brownfieldů</w:t>
            </w:r>
            <w:bookmarkEnd w:id="2"/>
            <w:proofErr w:type="spellEnd"/>
          </w:p>
        </w:tc>
        <w:tc>
          <w:tcPr>
            <w:tcW w:w="1667" w:type="pct"/>
          </w:tcPr>
          <w:p w14:paraId="3B5AFF19" w14:textId="77777777" w:rsidR="00BE1B02" w:rsidRPr="00667198" w:rsidRDefault="00BE1B02" w:rsidP="00E42079">
            <w:pPr>
              <w:spacing w:line="360" w:lineRule="auto"/>
              <w:jc w:val="center"/>
              <w:rPr>
                <w:rFonts w:cstheme="minorHAnsi"/>
                <w:b/>
                <w:sz w:val="36"/>
                <w:szCs w:val="36"/>
              </w:rPr>
            </w:pPr>
            <w:r w:rsidRPr="00667198">
              <w:rPr>
                <w:rStyle w:val="A5"/>
                <w:color w:val="auto"/>
                <w:sz w:val="36"/>
                <w:szCs w:val="36"/>
              </w:rPr>
              <w:t>13 228 ha</w:t>
            </w:r>
          </w:p>
          <w:p w14:paraId="2CF93C86" w14:textId="3715A1B1" w:rsidR="00BE1B02" w:rsidRPr="00667198" w:rsidRDefault="00BE1B02" w:rsidP="00E42079">
            <w:pPr>
              <w:jc w:val="center"/>
              <w:rPr>
                <w:color w:val="000000" w:themeColor="text1"/>
              </w:rPr>
            </w:pPr>
            <w:r w:rsidRPr="00667198">
              <w:rPr>
                <w:sz w:val="22"/>
                <w:szCs w:val="22"/>
              </w:rPr>
              <w:t xml:space="preserve">Rozloha brownfieldů evidovaných v Národní databázi </w:t>
            </w:r>
            <w:proofErr w:type="spellStart"/>
            <w:r w:rsidRPr="00667198">
              <w:rPr>
                <w:sz w:val="22"/>
                <w:szCs w:val="22"/>
              </w:rPr>
              <w:t>brownfieldů</w:t>
            </w:r>
            <w:proofErr w:type="spellEnd"/>
            <w:r w:rsidRPr="00667198">
              <w:rPr>
                <w:sz w:val="22"/>
                <w:szCs w:val="22"/>
              </w:rPr>
              <w:t xml:space="preserve"> </w:t>
            </w:r>
          </w:p>
        </w:tc>
        <w:tc>
          <w:tcPr>
            <w:tcW w:w="1666" w:type="pct"/>
          </w:tcPr>
          <w:p w14:paraId="70939D5E" w14:textId="77777777" w:rsidR="00BE1B02" w:rsidRPr="009F0AC7" w:rsidRDefault="00BE1B02" w:rsidP="00E42079">
            <w:pPr>
              <w:spacing w:line="360" w:lineRule="auto"/>
              <w:jc w:val="center"/>
              <w:rPr>
                <w:rFonts w:cstheme="minorHAnsi"/>
                <w:b/>
                <w:sz w:val="36"/>
                <w:szCs w:val="36"/>
              </w:rPr>
            </w:pPr>
            <w:r>
              <w:rPr>
                <w:rFonts w:cstheme="minorHAnsi"/>
                <w:b/>
                <w:bCs/>
                <w:sz w:val="36"/>
                <w:szCs w:val="36"/>
              </w:rPr>
              <w:t>415</w:t>
            </w:r>
          </w:p>
          <w:p w14:paraId="6A09244B" w14:textId="53E8C264" w:rsidR="00BE1B02" w:rsidRPr="00DB4DEC" w:rsidRDefault="00BE1B02" w:rsidP="00E42079">
            <w:pPr>
              <w:jc w:val="center"/>
            </w:pPr>
            <w:r w:rsidRPr="00667198">
              <w:rPr>
                <w:sz w:val="22"/>
                <w:szCs w:val="22"/>
              </w:rPr>
              <w:t>Celkový počet projektů brownfieldů, jejichž regeneraci podpořilo Ministerstvo průmyslu a obchodu v letech 2018 až 2023</w:t>
            </w:r>
          </w:p>
        </w:tc>
      </w:tr>
    </w:tbl>
    <w:p w14:paraId="6773C931" w14:textId="77777777" w:rsidR="00BE1B02" w:rsidRPr="00E06AAB" w:rsidRDefault="00BE1B02" w:rsidP="00BE1B02">
      <w:pPr>
        <w:rPr>
          <w:b/>
        </w:rPr>
      </w:pPr>
    </w:p>
    <w:p w14:paraId="5FFA3FA1" w14:textId="77777777" w:rsidR="00BE1B02" w:rsidRPr="00E06AAB" w:rsidRDefault="008F7E6A" w:rsidP="00BE1B02">
      <w:pPr>
        <w:tabs>
          <w:tab w:val="left" w:pos="1747"/>
          <w:tab w:val="center" w:pos="4536"/>
        </w:tabs>
        <w:rPr>
          <w:caps/>
          <w:sz w:val="22"/>
          <w:szCs w:val="22"/>
        </w:rPr>
      </w:pPr>
      <w:r>
        <w:rPr>
          <w:noProof/>
        </w:rPr>
        <w:pict w14:anchorId="0465FA35">
          <v:line id="Přímá spojnice 6" o:spid="_x0000_s1027" style="position:absolute;left:0;text-align:left;flip:y;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187.4pt,5.4pt" to="1163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" strokecolor="black [3213]" strokeweight=".5pt">
            <v:stroke joinstyle="miter"/>
            <w10:wrap anchorx="margin"/>
          </v:line>
        </w:pict>
      </w:r>
      <w:r w:rsidR="00BE1B02" w:rsidRPr="00E06AAB">
        <w:rPr>
          <w:caps/>
          <w:sz w:val="22"/>
          <w:szCs w:val="22"/>
        </w:rPr>
        <w:tab/>
      </w:r>
      <w:r w:rsidR="00BE1B02" w:rsidRPr="00E06AAB">
        <w:rPr>
          <w:caps/>
          <w:sz w:val="22"/>
          <w:szCs w:val="22"/>
        </w:rPr>
        <w:tab/>
      </w:r>
    </w:p>
    <w:p w14:paraId="1E67F3BC" w14:textId="77777777" w:rsidR="00BE1B02" w:rsidRPr="00E06AAB" w:rsidRDefault="00BE1B02" w:rsidP="00BE1B02">
      <w:pPr>
        <w:ind w:left="2118" w:hanging="1410"/>
        <w:rPr>
          <w:b/>
        </w:rPr>
      </w:pPr>
    </w:p>
    <w:tbl>
      <w:tblPr>
        <w:tblStyle w:val="Mkatabulky1"/>
        <w:tblW w:w="0" w:type="auto"/>
        <w:jc w:val="center"/>
        <w:tblInd w:w="0" w:type="dxa"/>
        <w:tblBorders>
          <w:top w:val="none" w:sz="0" w:space="0" w:color="auto"/>
          <w:left w:val="none" w:sz="0" w:space="0" w:color="auto"/>
          <w:bottom w:val="none" w:sz="0" w:space="0" w:color="auto"/>
          <w:right w:val="none" w:sz="0" w:space="0" w:color="auto"/>
          <w:insideH w:val="single" w:sz="24" w:space="0" w:color="FFFFFF"/>
          <w:insideV w:val="single" w:sz="24" w:space="0" w:color="FFFFFF"/>
        </w:tblBorders>
        <w:tblCellMar>
          <w:top w:w="113" w:type="dxa"/>
          <w:bottom w:w="113" w:type="dxa"/>
        </w:tblCellMar>
        <w:tblLook w:val="04A0" w:firstRow="1" w:lastRow="0" w:firstColumn="1" w:lastColumn="0" w:noHBand="0" w:noVBand="1"/>
      </w:tblPr>
      <w:tblGrid>
        <w:gridCol w:w="3089"/>
        <w:gridCol w:w="283"/>
        <w:gridCol w:w="5638"/>
      </w:tblGrid>
      <w:tr w:rsidR="00BE1B02" w:rsidRPr="00CE25DC" w14:paraId="2F8857AF" w14:textId="77777777" w:rsidTr="003C4E14">
        <w:trPr>
          <w:trHeight w:val="932"/>
          <w:jc w:val="center"/>
        </w:trPr>
        <w:tc>
          <w:tcPr>
            <w:tcW w:w="3089" w:type="dxa"/>
            <w:tcBorders>
              <w:top w:val="nil"/>
              <w:left w:val="nil"/>
              <w:bottom w:val="single" w:sz="24" w:space="0" w:color="FFFFFF"/>
              <w:right w:val="single" w:sz="24" w:space="0" w:color="FFFFFF"/>
            </w:tcBorders>
            <w:shd w:val="clear" w:color="auto" w:fill="auto"/>
            <w:vAlign w:val="center"/>
            <w:hideMark/>
          </w:tcPr>
          <w:p w14:paraId="14FE2A86" w14:textId="77777777" w:rsidR="00BE1B02" w:rsidRPr="00BE1B02" w:rsidRDefault="00BE1B02" w:rsidP="00E42079">
            <w:pPr>
              <w:jc w:val="center"/>
              <w:rPr>
                <w:rFonts w:asciiTheme="minorHAnsi" w:hAnsiTheme="minorHAnsi" w:cstheme="minorHAnsi"/>
                <w:b/>
                <w:sz w:val="32"/>
                <w:szCs w:val="32"/>
              </w:rPr>
            </w:pPr>
            <w:bookmarkStart w:id="3" w:name="_Hlk154057051"/>
            <w:r w:rsidRPr="00BE1B02">
              <w:rPr>
                <w:rFonts w:asciiTheme="minorHAnsi" w:hAnsiTheme="minorHAnsi" w:cstheme="minorHAnsi"/>
                <w:b/>
                <w:sz w:val="32"/>
                <w:szCs w:val="32"/>
              </w:rPr>
              <w:t xml:space="preserve">5 059 mil. Kč </w:t>
            </w:r>
          </w:p>
        </w:tc>
        <w:tc>
          <w:tcPr>
            <w:tcW w:w="283" w:type="dxa"/>
            <w:tcBorders>
              <w:top w:val="nil"/>
              <w:left w:val="single" w:sz="24" w:space="0" w:color="FFFFFF"/>
              <w:bottom w:val="single" w:sz="24" w:space="0" w:color="FFFFFF"/>
              <w:right w:val="single" w:sz="24" w:space="0" w:color="FFFFFF"/>
            </w:tcBorders>
          </w:tcPr>
          <w:p w14:paraId="75B20522" w14:textId="77777777" w:rsidR="00BE1B02" w:rsidRPr="00BE1B02" w:rsidRDefault="00BE1B02" w:rsidP="00E42079">
            <w:pPr>
              <w:jc w:val="center"/>
              <w:rPr>
                <w:rFonts w:asciiTheme="minorHAnsi" w:hAnsiTheme="minorHAnsi" w:cstheme="minorHAnsi"/>
              </w:rPr>
            </w:pPr>
          </w:p>
        </w:tc>
        <w:tc>
          <w:tcPr>
            <w:tcW w:w="5638" w:type="dxa"/>
            <w:tcBorders>
              <w:top w:val="nil"/>
              <w:left w:val="single" w:sz="24" w:space="0" w:color="FFFFFF"/>
              <w:bottom w:val="single" w:sz="24" w:space="0" w:color="FFFFFF"/>
              <w:right w:val="nil"/>
            </w:tcBorders>
            <w:vAlign w:val="center"/>
            <w:hideMark/>
          </w:tcPr>
          <w:p w14:paraId="497BDADE" w14:textId="23764DEC" w:rsidR="00BE1B02" w:rsidRPr="00BE1B02" w:rsidRDefault="00BE1B02" w:rsidP="00E42079">
            <w:pPr>
              <w:rPr>
                <w:rFonts w:asciiTheme="minorHAnsi" w:hAnsiTheme="minorHAnsi" w:cstheme="minorHAnsi"/>
                <w:b/>
                <w:sz w:val="22"/>
                <w:szCs w:val="22"/>
              </w:rPr>
            </w:pPr>
            <w:r w:rsidRPr="00BE1B02">
              <w:rPr>
                <w:rFonts w:asciiTheme="minorHAnsi" w:hAnsiTheme="minorHAnsi" w:cstheme="minorHAnsi"/>
                <w:sz w:val="22"/>
                <w:szCs w:val="22"/>
              </w:rPr>
              <w:t>Peněžní prostředky poskytnuté v letech 2018 až 2023 na</w:t>
            </w:r>
            <w:r w:rsidR="008166D2">
              <w:rPr>
                <w:rFonts w:asciiTheme="minorHAnsi" w:hAnsiTheme="minorHAnsi" w:cstheme="minorHAnsi"/>
                <w:sz w:val="22"/>
                <w:szCs w:val="22"/>
              </w:rPr>
              <w:t> </w:t>
            </w:r>
            <w:r w:rsidRPr="00BE1B02">
              <w:rPr>
                <w:rFonts w:asciiTheme="minorHAnsi" w:hAnsiTheme="minorHAnsi" w:cstheme="minorHAnsi"/>
                <w:sz w:val="22"/>
                <w:szCs w:val="22"/>
              </w:rPr>
              <w:t xml:space="preserve">regenerace brownfieldů v rámci pěti </w:t>
            </w:r>
            <w:r w:rsidR="008166D2">
              <w:rPr>
                <w:rFonts w:asciiTheme="minorHAnsi" w:hAnsiTheme="minorHAnsi" w:cstheme="minorHAnsi"/>
                <w:sz w:val="22"/>
                <w:szCs w:val="22"/>
              </w:rPr>
              <w:t xml:space="preserve">kontrolovaných </w:t>
            </w:r>
            <w:r w:rsidRPr="00BE1B02">
              <w:rPr>
                <w:rFonts w:asciiTheme="minorHAnsi" w:hAnsiTheme="minorHAnsi" w:cstheme="minorHAnsi"/>
                <w:sz w:val="22"/>
                <w:szCs w:val="22"/>
              </w:rPr>
              <w:t>programů realizovaných Ministerstvem průmyslu a</w:t>
            </w:r>
            <w:r w:rsidR="008166D2">
              <w:rPr>
                <w:rFonts w:asciiTheme="minorHAnsi" w:hAnsiTheme="minorHAnsi" w:cstheme="minorHAnsi"/>
                <w:sz w:val="22"/>
                <w:szCs w:val="22"/>
              </w:rPr>
              <w:t> </w:t>
            </w:r>
            <w:r w:rsidRPr="00BE1B02">
              <w:rPr>
                <w:rFonts w:asciiTheme="minorHAnsi" w:hAnsiTheme="minorHAnsi" w:cstheme="minorHAnsi"/>
                <w:sz w:val="22"/>
                <w:szCs w:val="22"/>
              </w:rPr>
              <w:t>obchodu</w:t>
            </w:r>
          </w:p>
        </w:tc>
      </w:tr>
      <w:bookmarkEnd w:id="3"/>
      <w:tr w:rsidR="00BE1B02" w:rsidRPr="00CE25DC" w14:paraId="4971132C" w14:textId="77777777" w:rsidTr="003C4E14">
        <w:trPr>
          <w:trHeight w:val="1002"/>
          <w:jc w:val="center"/>
        </w:trPr>
        <w:tc>
          <w:tcPr>
            <w:tcW w:w="3089" w:type="dxa"/>
            <w:tcBorders>
              <w:top w:val="single" w:sz="24" w:space="0" w:color="FFFFFF"/>
              <w:left w:val="nil"/>
              <w:bottom w:val="single" w:sz="24" w:space="0" w:color="FFFFFF"/>
              <w:right w:val="single" w:sz="24" w:space="0" w:color="FFFFFF"/>
            </w:tcBorders>
            <w:shd w:val="clear" w:color="auto" w:fill="auto"/>
            <w:vAlign w:val="center"/>
            <w:hideMark/>
          </w:tcPr>
          <w:p w14:paraId="1C9890AB" w14:textId="77777777" w:rsidR="00BE1B02" w:rsidRPr="00BE1B02" w:rsidRDefault="00BE1B02" w:rsidP="00E42079">
            <w:pPr>
              <w:jc w:val="center"/>
              <w:rPr>
                <w:rFonts w:asciiTheme="minorHAnsi" w:hAnsiTheme="minorHAnsi" w:cstheme="minorHAnsi"/>
                <w:b/>
                <w:sz w:val="32"/>
                <w:szCs w:val="32"/>
              </w:rPr>
            </w:pPr>
            <w:r w:rsidRPr="00BE1B02">
              <w:rPr>
                <w:rFonts w:asciiTheme="minorHAnsi" w:hAnsiTheme="minorHAnsi" w:cstheme="minorHAnsi"/>
                <w:b/>
                <w:sz w:val="32"/>
                <w:szCs w:val="32"/>
              </w:rPr>
              <w:t>4</w:t>
            </w:r>
          </w:p>
        </w:tc>
        <w:tc>
          <w:tcPr>
            <w:tcW w:w="283" w:type="dxa"/>
            <w:tcBorders>
              <w:top w:val="single" w:sz="24" w:space="0" w:color="FFFFFF"/>
              <w:left w:val="single" w:sz="24" w:space="0" w:color="FFFFFF"/>
              <w:bottom w:val="single" w:sz="24" w:space="0" w:color="FFFFFF"/>
              <w:right w:val="single" w:sz="24" w:space="0" w:color="FFFFFF"/>
            </w:tcBorders>
          </w:tcPr>
          <w:p w14:paraId="23F2BD86" w14:textId="77777777" w:rsidR="00BE1B02" w:rsidRPr="00BE1B02" w:rsidRDefault="00BE1B02" w:rsidP="00E42079">
            <w:pPr>
              <w:jc w:val="center"/>
              <w:rPr>
                <w:rFonts w:asciiTheme="minorHAnsi" w:hAnsiTheme="minorHAnsi" w:cstheme="minorHAnsi"/>
              </w:rPr>
            </w:pPr>
          </w:p>
        </w:tc>
        <w:tc>
          <w:tcPr>
            <w:tcW w:w="5638" w:type="dxa"/>
            <w:tcBorders>
              <w:top w:val="single" w:sz="24" w:space="0" w:color="FFFFFF"/>
              <w:left w:val="single" w:sz="24" w:space="0" w:color="FFFFFF"/>
              <w:bottom w:val="single" w:sz="24" w:space="0" w:color="FFFFFF"/>
              <w:right w:val="nil"/>
            </w:tcBorders>
            <w:vAlign w:val="center"/>
            <w:hideMark/>
          </w:tcPr>
          <w:p w14:paraId="325D8982" w14:textId="0C98172D" w:rsidR="00BE1B02" w:rsidRPr="00BE1B02" w:rsidRDefault="00BE1B02" w:rsidP="00E42079">
            <w:pPr>
              <w:rPr>
                <w:rFonts w:asciiTheme="minorHAnsi" w:hAnsiTheme="minorHAnsi" w:cstheme="minorHAnsi"/>
                <w:b/>
                <w:sz w:val="22"/>
                <w:szCs w:val="22"/>
              </w:rPr>
            </w:pPr>
            <w:r w:rsidRPr="00BE1B02">
              <w:rPr>
                <w:rFonts w:asciiTheme="minorHAnsi" w:hAnsiTheme="minorHAnsi" w:cstheme="minorHAnsi"/>
                <w:sz w:val="22"/>
                <w:szCs w:val="22"/>
              </w:rPr>
              <w:t>Počet projektů brownfieldů podpořených formou finančního nástroje</w:t>
            </w:r>
            <w:r w:rsidR="00A73C7F">
              <w:rPr>
                <w:rStyle w:val="Znakapoznpodarou"/>
                <w:rFonts w:asciiTheme="minorHAnsi" w:hAnsiTheme="minorHAnsi" w:cstheme="minorHAnsi"/>
                <w:sz w:val="22"/>
                <w:szCs w:val="22"/>
              </w:rPr>
              <w:footnoteReference w:id="3"/>
            </w:r>
            <w:r w:rsidRPr="00BE1B02">
              <w:rPr>
                <w:rFonts w:asciiTheme="minorHAnsi" w:hAnsiTheme="minorHAnsi" w:cstheme="minorHAnsi"/>
                <w:sz w:val="22"/>
                <w:szCs w:val="22"/>
              </w:rPr>
              <w:t xml:space="preserve"> </w:t>
            </w:r>
          </w:p>
        </w:tc>
      </w:tr>
      <w:tr w:rsidR="00BE1B02" w:rsidRPr="00CE25DC" w14:paraId="17FA07A2" w14:textId="77777777" w:rsidTr="003C4E14">
        <w:trPr>
          <w:trHeight w:val="854"/>
          <w:jc w:val="center"/>
        </w:trPr>
        <w:tc>
          <w:tcPr>
            <w:tcW w:w="3089" w:type="dxa"/>
            <w:tcBorders>
              <w:top w:val="single" w:sz="24" w:space="0" w:color="FFFFFF"/>
              <w:left w:val="nil"/>
              <w:bottom w:val="single" w:sz="24" w:space="0" w:color="FFFFFF"/>
              <w:right w:val="single" w:sz="24" w:space="0" w:color="FFFFFF"/>
            </w:tcBorders>
            <w:shd w:val="clear" w:color="auto" w:fill="auto"/>
            <w:vAlign w:val="center"/>
            <w:hideMark/>
          </w:tcPr>
          <w:p w14:paraId="11F95BC0" w14:textId="77777777" w:rsidR="00BE1B02" w:rsidRPr="00BE1B02" w:rsidRDefault="00BE1B02" w:rsidP="00E42079">
            <w:pPr>
              <w:jc w:val="center"/>
              <w:rPr>
                <w:rFonts w:asciiTheme="minorHAnsi" w:hAnsiTheme="minorHAnsi" w:cstheme="minorHAnsi"/>
                <w:sz w:val="32"/>
                <w:szCs w:val="32"/>
              </w:rPr>
            </w:pPr>
            <w:r w:rsidRPr="00BE1B02">
              <w:rPr>
                <w:rFonts w:asciiTheme="minorHAnsi" w:hAnsiTheme="minorHAnsi" w:cstheme="minorHAnsi"/>
                <w:b/>
                <w:sz w:val="32"/>
                <w:szCs w:val="32"/>
              </w:rPr>
              <w:t>118 mil. Kč</w:t>
            </w:r>
          </w:p>
        </w:tc>
        <w:tc>
          <w:tcPr>
            <w:tcW w:w="283" w:type="dxa"/>
            <w:tcBorders>
              <w:top w:val="single" w:sz="24" w:space="0" w:color="FFFFFF"/>
              <w:left w:val="single" w:sz="24" w:space="0" w:color="FFFFFF"/>
              <w:bottom w:val="single" w:sz="24" w:space="0" w:color="FFFFFF"/>
              <w:right w:val="single" w:sz="24" w:space="0" w:color="FFFFFF"/>
            </w:tcBorders>
          </w:tcPr>
          <w:p w14:paraId="26418348" w14:textId="77777777" w:rsidR="00BE1B02" w:rsidRPr="00BE1B02" w:rsidRDefault="00BE1B02" w:rsidP="00E42079">
            <w:pPr>
              <w:jc w:val="center"/>
              <w:rPr>
                <w:rFonts w:asciiTheme="minorHAnsi" w:hAnsiTheme="minorHAnsi" w:cstheme="minorHAnsi"/>
              </w:rPr>
            </w:pPr>
          </w:p>
        </w:tc>
        <w:tc>
          <w:tcPr>
            <w:tcW w:w="5638" w:type="dxa"/>
            <w:tcBorders>
              <w:top w:val="single" w:sz="24" w:space="0" w:color="FFFFFF"/>
              <w:left w:val="single" w:sz="24" w:space="0" w:color="FFFFFF"/>
              <w:bottom w:val="single" w:sz="24" w:space="0" w:color="FFFFFF"/>
              <w:right w:val="nil"/>
            </w:tcBorders>
            <w:vAlign w:val="center"/>
            <w:hideMark/>
          </w:tcPr>
          <w:p w14:paraId="3A563347" w14:textId="41BDD4EA" w:rsidR="00BE1B02" w:rsidRPr="00BE1B02" w:rsidRDefault="00BE1B02" w:rsidP="00E42079">
            <w:pPr>
              <w:rPr>
                <w:rFonts w:asciiTheme="minorHAnsi" w:hAnsiTheme="minorHAnsi" w:cstheme="minorHAnsi"/>
                <w:b/>
              </w:rPr>
            </w:pPr>
            <w:r w:rsidRPr="00BE1B02">
              <w:rPr>
                <w:rFonts w:asciiTheme="minorHAnsi" w:hAnsiTheme="minorHAnsi" w:cstheme="minorHAnsi"/>
                <w:sz w:val="22"/>
                <w:szCs w:val="22"/>
              </w:rPr>
              <w:t xml:space="preserve">Celková výše podpory poskytnutá čtyřem projektům </w:t>
            </w:r>
            <w:proofErr w:type="spellStart"/>
            <w:r w:rsidRPr="00BE1B02">
              <w:rPr>
                <w:rFonts w:asciiTheme="minorHAnsi" w:hAnsiTheme="minorHAnsi" w:cstheme="minorHAnsi"/>
                <w:sz w:val="22"/>
                <w:szCs w:val="22"/>
              </w:rPr>
              <w:t>brownfieldů</w:t>
            </w:r>
            <w:proofErr w:type="spellEnd"/>
            <w:r w:rsidRPr="00BE1B02">
              <w:rPr>
                <w:rFonts w:asciiTheme="minorHAnsi" w:hAnsiTheme="minorHAnsi" w:cstheme="minorHAnsi"/>
                <w:sz w:val="22"/>
                <w:szCs w:val="22"/>
              </w:rPr>
              <w:t xml:space="preserve"> formou finančního nástroje</w:t>
            </w:r>
          </w:p>
        </w:tc>
      </w:tr>
      <w:tr w:rsidR="00BE1B02" w:rsidRPr="00CE25DC" w14:paraId="69B3CB95" w14:textId="77777777" w:rsidTr="003C4E14">
        <w:trPr>
          <w:trHeight w:val="1352"/>
          <w:jc w:val="center"/>
        </w:trPr>
        <w:tc>
          <w:tcPr>
            <w:tcW w:w="3089" w:type="dxa"/>
            <w:tcBorders>
              <w:top w:val="single" w:sz="24" w:space="0" w:color="FFFFFF"/>
              <w:left w:val="nil"/>
              <w:bottom w:val="single" w:sz="24" w:space="0" w:color="FFFFFF"/>
              <w:right w:val="single" w:sz="24" w:space="0" w:color="FFFFFF"/>
            </w:tcBorders>
            <w:shd w:val="clear" w:color="auto" w:fill="auto"/>
            <w:vAlign w:val="center"/>
            <w:hideMark/>
          </w:tcPr>
          <w:p w14:paraId="6E038759" w14:textId="77777777" w:rsidR="00BE1B02" w:rsidRPr="00BE1B02" w:rsidRDefault="00BE1B02" w:rsidP="00E42079">
            <w:pPr>
              <w:jc w:val="center"/>
              <w:rPr>
                <w:rFonts w:asciiTheme="minorHAnsi" w:hAnsiTheme="minorHAnsi" w:cstheme="minorHAnsi"/>
                <w:sz w:val="32"/>
                <w:szCs w:val="32"/>
              </w:rPr>
            </w:pPr>
            <w:r w:rsidRPr="00BE1B02">
              <w:rPr>
                <w:rFonts w:asciiTheme="minorHAnsi" w:hAnsiTheme="minorHAnsi" w:cstheme="minorHAnsi"/>
                <w:b/>
                <w:sz w:val="32"/>
                <w:szCs w:val="32"/>
              </w:rPr>
              <w:t>27 %</w:t>
            </w:r>
          </w:p>
        </w:tc>
        <w:tc>
          <w:tcPr>
            <w:tcW w:w="283" w:type="dxa"/>
            <w:tcBorders>
              <w:top w:val="single" w:sz="24" w:space="0" w:color="FFFFFF"/>
              <w:left w:val="single" w:sz="24" w:space="0" w:color="FFFFFF"/>
              <w:bottom w:val="single" w:sz="24" w:space="0" w:color="FFFFFF"/>
              <w:right w:val="single" w:sz="24" w:space="0" w:color="FFFFFF"/>
            </w:tcBorders>
          </w:tcPr>
          <w:p w14:paraId="186C55B3" w14:textId="77777777" w:rsidR="00BE1B02" w:rsidRPr="00BE1B02" w:rsidRDefault="00BE1B02" w:rsidP="00E42079">
            <w:pPr>
              <w:jc w:val="center"/>
              <w:rPr>
                <w:rFonts w:asciiTheme="minorHAnsi" w:hAnsiTheme="minorHAnsi" w:cstheme="minorHAnsi"/>
                <w:sz w:val="22"/>
                <w:szCs w:val="22"/>
              </w:rPr>
            </w:pPr>
          </w:p>
        </w:tc>
        <w:tc>
          <w:tcPr>
            <w:tcW w:w="5638" w:type="dxa"/>
            <w:tcBorders>
              <w:top w:val="single" w:sz="24" w:space="0" w:color="FFFFFF"/>
              <w:left w:val="single" w:sz="24" w:space="0" w:color="FFFFFF"/>
              <w:bottom w:val="single" w:sz="24" w:space="0" w:color="FFFFFF"/>
              <w:right w:val="nil"/>
            </w:tcBorders>
            <w:vAlign w:val="center"/>
            <w:hideMark/>
          </w:tcPr>
          <w:p w14:paraId="0F206AF4" w14:textId="2A9DFE5C" w:rsidR="00BE1B02" w:rsidRPr="00BE1B02" w:rsidRDefault="00BE1B02" w:rsidP="00E42079">
            <w:pPr>
              <w:rPr>
                <w:rFonts w:asciiTheme="minorHAnsi" w:hAnsiTheme="minorHAnsi" w:cstheme="minorHAnsi"/>
                <w:b/>
                <w:sz w:val="22"/>
                <w:szCs w:val="22"/>
              </w:rPr>
            </w:pPr>
            <w:r w:rsidRPr="00BE1B02">
              <w:rPr>
                <w:rFonts w:asciiTheme="minorHAnsi" w:hAnsiTheme="minorHAnsi" w:cstheme="minorHAnsi"/>
                <w:sz w:val="22"/>
                <w:szCs w:val="22"/>
              </w:rPr>
              <w:t>Podíl zatím poskytnuté odměny za realizaci finančního nástroje (31,4 mil. Kč) k výši poskytnuté podpory (118</w:t>
            </w:r>
            <w:r w:rsidR="00C21147">
              <w:rPr>
                <w:rFonts w:asciiTheme="minorHAnsi" w:hAnsiTheme="minorHAnsi" w:cstheme="minorHAnsi"/>
                <w:sz w:val="22"/>
                <w:szCs w:val="22"/>
              </w:rPr>
              <w:t> </w:t>
            </w:r>
            <w:r w:rsidRPr="00BE1B02">
              <w:rPr>
                <w:rFonts w:asciiTheme="minorHAnsi" w:hAnsiTheme="minorHAnsi" w:cstheme="minorHAnsi"/>
                <w:sz w:val="22"/>
                <w:szCs w:val="22"/>
              </w:rPr>
              <w:t>mil.</w:t>
            </w:r>
            <w:r w:rsidR="00C21147">
              <w:rPr>
                <w:rFonts w:asciiTheme="minorHAnsi" w:hAnsiTheme="minorHAnsi" w:cstheme="minorHAnsi"/>
                <w:sz w:val="22"/>
                <w:szCs w:val="22"/>
              </w:rPr>
              <w:t> </w:t>
            </w:r>
            <w:r w:rsidRPr="00BE1B02">
              <w:rPr>
                <w:rFonts w:asciiTheme="minorHAnsi" w:hAnsiTheme="minorHAnsi" w:cstheme="minorHAnsi"/>
                <w:sz w:val="22"/>
                <w:szCs w:val="22"/>
              </w:rPr>
              <w:t>Kč)</w:t>
            </w:r>
          </w:p>
        </w:tc>
      </w:tr>
      <w:bookmarkEnd w:id="0"/>
      <w:bookmarkEnd w:id="1"/>
    </w:tbl>
    <w:p w14:paraId="6C0CE6D2" w14:textId="223DC050" w:rsidR="00C2171B" w:rsidRPr="00DC7FA5" w:rsidRDefault="00C2171B" w:rsidP="003C4E14">
      <w:pPr>
        <w:rPr>
          <w:b/>
          <w:color w:val="auto"/>
          <w:sz w:val="20"/>
          <w:szCs w:val="20"/>
        </w:rPr>
      </w:pPr>
    </w:p>
    <w:p w14:paraId="418C9628" w14:textId="55DFFF58" w:rsidR="00AB3724" w:rsidRDefault="00AB3724" w:rsidP="00B971CD">
      <w:pPr>
        <w:pStyle w:val="Nadpis1"/>
      </w:pPr>
      <w:r w:rsidRPr="004F1E9C">
        <w:lastRenderedPageBreak/>
        <w:t>Shrnutí a vyhodnocení</w:t>
      </w:r>
    </w:p>
    <w:p w14:paraId="0D53AFBC" w14:textId="77777777" w:rsidR="00755653" w:rsidRPr="00755653" w:rsidRDefault="00755653" w:rsidP="00755653"/>
    <w:p w14:paraId="4440AAD1" w14:textId="3416E4FE" w:rsidR="00B971CD" w:rsidRPr="00E42079" w:rsidRDefault="00B971CD" w:rsidP="00817A07">
      <w:pPr>
        <w:rPr>
          <w:color w:val="000000" w:themeColor="text1"/>
        </w:rPr>
      </w:pPr>
      <w:r w:rsidRPr="0066171C">
        <w:t xml:space="preserve">NKÚ provedl kontrolu peněžních prostředků </w:t>
      </w:r>
      <w:r>
        <w:t>poskytnutých</w:t>
      </w:r>
      <w:r w:rsidRPr="0066171C">
        <w:t xml:space="preserve"> Ministerstvem průmyslu a</w:t>
      </w:r>
      <w:r w:rsidR="000C7943">
        <w:t> </w:t>
      </w:r>
      <w:r w:rsidRPr="0066171C">
        <w:t>obchodu</w:t>
      </w:r>
      <w:r>
        <w:t xml:space="preserve"> </w:t>
      </w:r>
      <w:r w:rsidRPr="0066171C">
        <w:t xml:space="preserve">na </w:t>
      </w:r>
      <w:r>
        <w:t>projekty regenerace brownfieldů</w:t>
      </w:r>
      <w:r w:rsidR="0052225F">
        <w:t xml:space="preserve"> pro podnikatelské využití</w:t>
      </w:r>
      <w:r>
        <w:t xml:space="preserve">. </w:t>
      </w:r>
      <w:r w:rsidR="00F15A20" w:rsidRPr="00876251">
        <w:rPr>
          <w:color w:val="000000" w:themeColor="text1"/>
        </w:rPr>
        <w:t>Cílem kontroly bylo</w:t>
      </w:r>
      <w:r w:rsidR="00F15A20">
        <w:rPr>
          <w:rFonts w:asciiTheme="minorHAnsi" w:hAnsiTheme="minorHAnsi" w:cstheme="minorHAnsi"/>
        </w:rPr>
        <w:t xml:space="preserve"> p</w:t>
      </w:r>
      <w:r w:rsidR="00F15A20" w:rsidRPr="00746DF8">
        <w:rPr>
          <w:rFonts w:asciiTheme="minorHAnsi" w:hAnsiTheme="minorHAnsi" w:cstheme="minorHAnsi"/>
        </w:rPr>
        <w:t>rověřit</w:t>
      </w:r>
      <w:r w:rsidR="00F15A20" w:rsidRPr="00D47F00">
        <w:rPr>
          <w:rFonts w:asciiTheme="minorHAnsi" w:hAnsiTheme="minorHAnsi" w:cstheme="minorHAnsi"/>
        </w:rPr>
        <w:t>, zda peněžní prostředky státu a Evropské unie vynakládané Ministerstvem průmyslu a obchodu na regeneraci brownfieldů byly vynakládány účelně, hospodárně a</w:t>
      </w:r>
      <w:r w:rsidR="00817A07">
        <w:rPr>
          <w:rFonts w:asciiTheme="minorHAnsi" w:hAnsiTheme="minorHAnsi" w:cstheme="minorHAnsi"/>
        </w:rPr>
        <w:t> </w:t>
      </w:r>
      <w:r w:rsidR="00F15A20" w:rsidRPr="00D47F00">
        <w:rPr>
          <w:rFonts w:asciiTheme="minorHAnsi" w:hAnsiTheme="minorHAnsi" w:cstheme="minorHAnsi"/>
        </w:rPr>
        <w:t>v</w:t>
      </w:r>
      <w:r w:rsidR="00817A07">
        <w:rPr>
          <w:rFonts w:asciiTheme="minorHAnsi" w:hAnsiTheme="minorHAnsi" w:cstheme="minorHAnsi"/>
        </w:rPr>
        <w:t> </w:t>
      </w:r>
      <w:r w:rsidR="00F15A20" w:rsidRPr="00D47F00">
        <w:rPr>
          <w:rFonts w:asciiTheme="minorHAnsi" w:hAnsiTheme="minorHAnsi" w:cstheme="minorHAnsi"/>
        </w:rPr>
        <w:t>souladu s právními předpisy</w:t>
      </w:r>
      <w:r w:rsidR="00F15A20">
        <w:rPr>
          <w:rFonts w:asciiTheme="minorHAnsi" w:hAnsiTheme="minorHAnsi" w:cstheme="minorHAnsi"/>
        </w:rPr>
        <w:t xml:space="preserve">. </w:t>
      </w:r>
      <w:r w:rsidRPr="0066171C">
        <w:t>NKÚ kontrolu provedl u</w:t>
      </w:r>
      <w:r w:rsidR="000C7943">
        <w:t> </w:t>
      </w:r>
      <w:r w:rsidR="008C4B83">
        <w:t>Ministerstva průmyslu a obchodu (dále také „</w:t>
      </w:r>
      <w:r w:rsidRPr="0066171C">
        <w:t>MPO</w:t>
      </w:r>
      <w:r w:rsidR="008C4B83">
        <w:t>“)</w:t>
      </w:r>
      <w:r>
        <w:t xml:space="preserve"> a jím zřízené příspěvkové organizace </w:t>
      </w:r>
      <w:r w:rsidRPr="000A60E3">
        <w:t>Agentury pro podporu podnikání a</w:t>
      </w:r>
      <w:r w:rsidR="00817A07">
        <w:t> </w:t>
      </w:r>
      <w:r w:rsidRPr="000A60E3">
        <w:t xml:space="preserve">investic CzechInvest (dále také „Agentura CzechInvest“). </w:t>
      </w:r>
    </w:p>
    <w:p w14:paraId="05C9C1F7" w14:textId="2822D76E" w:rsidR="008A5640" w:rsidRDefault="008A5640" w:rsidP="00B971CD">
      <w:pPr>
        <w:rPr>
          <w:highlight w:val="yellow"/>
        </w:rPr>
      </w:pPr>
    </w:p>
    <w:p w14:paraId="723714C8" w14:textId="0A33D1BD" w:rsidR="008A5640" w:rsidRPr="005D4D94" w:rsidRDefault="008A5640" w:rsidP="008A5640">
      <w:pPr>
        <w:pStyle w:val="Odstavecseseznamem"/>
        <w:ind w:left="0"/>
        <w:contextualSpacing w:val="0"/>
        <w:rPr>
          <w:rFonts w:cstheme="minorHAnsi"/>
        </w:rPr>
      </w:pPr>
      <w:r w:rsidRPr="00971766">
        <w:rPr>
          <w:rFonts w:cstheme="minorHAnsi"/>
        </w:rPr>
        <w:t xml:space="preserve">Z pěti kontrolovaných programů podpory MPO financovalo tři </w:t>
      </w:r>
      <w:r>
        <w:rPr>
          <w:rFonts w:cstheme="minorHAnsi"/>
        </w:rPr>
        <w:t xml:space="preserve">programy </w:t>
      </w:r>
      <w:r w:rsidRPr="00971766">
        <w:rPr>
          <w:rFonts w:cstheme="minorHAnsi"/>
        </w:rPr>
        <w:t xml:space="preserve">z </w:t>
      </w:r>
      <w:r>
        <w:rPr>
          <w:rFonts w:cstheme="minorHAnsi"/>
        </w:rPr>
        <w:t>peněžních</w:t>
      </w:r>
      <w:r w:rsidRPr="00971766">
        <w:rPr>
          <w:rFonts w:cstheme="minorHAnsi"/>
        </w:rPr>
        <w:t xml:space="preserve"> prostředků </w:t>
      </w:r>
      <w:r>
        <w:rPr>
          <w:rFonts w:cstheme="minorHAnsi"/>
        </w:rPr>
        <w:t xml:space="preserve">státu </w:t>
      </w:r>
      <w:r w:rsidRPr="00971766">
        <w:rPr>
          <w:rFonts w:cstheme="minorHAnsi"/>
        </w:rPr>
        <w:t xml:space="preserve">a dva z prostředků poskytnutých z EU. </w:t>
      </w:r>
      <w:r w:rsidRPr="00D5009E">
        <w:rPr>
          <w:rFonts w:cstheme="minorHAnsi"/>
        </w:rPr>
        <w:t xml:space="preserve">MPO v letech 2018 až 2023 z </w:t>
      </w:r>
      <w:r>
        <w:rPr>
          <w:rFonts w:cstheme="minorHAnsi"/>
        </w:rPr>
        <w:t>těchto</w:t>
      </w:r>
      <w:r w:rsidRPr="00D5009E">
        <w:rPr>
          <w:rFonts w:cstheme="minorHAnsi"/>
        </w:rPr>
        <w:t xml:space="preserve"> programů poskytlo podporu ve výši </w:t>
      </w:r>
      <w:r w:rsidR="003F21EE">
        <w:rPr>
          <w:rFonts w:cstheme="minorHAnsi"/>
        </w:rPr>
        <w:t>5 059 mil.</w:t>
      </w:r>
      <w:r w:rsidRPr="00D5009E">
        <w:rPr>
          <w:rFonts w:cstheme="minorHAnsi"/>
        </w:rPr>
        <w:t xml:space="preserve"> Kč</w:t>
      </w:r>
      <w:r w:rsidR="00E6217C">
        <w:rPr>
          <w:rFonts w:cstheme="minorHAnsi"/>
        </w:rPr>
        <w:t xml:space="preserve"> </w:t>
      </w:r>
      <w:r w:rsidR="005212A1">
        <w:rPr>
          <w:rFonts w:cstheme="minorHAnsi"/>
        </w:rPr>
        <w:t xml:space="preserve">a finančně podpořilo </w:t>
      </w:r>
      <w:r w:rsidRPr="00D5009E">
        <w:rPr>
          <w:rFonts w:cstheme="minorHAnsi"/>
        </w:rPr>
        <w:t>415 projektů realizovaný</w:t>
      </w:r>
      <w:r w:rsidR="005212A1">
        <w:rPr>
          <w:rFonts w:cstheme="minorHAnsi"/>
        </w:rPr>
        <w:t>ch</w:t>
      </w:r>
      <w:r w:rsidR="005427A7">
        <w:rPr>
          <w:rFonts w:cstheme="minorHAnsi"/>
        </w:rPr>
        <w:t xml:space="preserve"> </w:t>
      </w:r>
      <w:r w:rsidRPr="00D5009E">
        <w:rPr>
          <w:rFonts w:cstheme="minorHAnsi"/>
        </w:rPr>
        <w:t>v</w:t>
      </w:r>
      <w:r>
        <w:rPr>
          <w:rFonts w:cstheme="minorHAnsi"/>
        </w:rPr>
        <w:t> </w:t>
      </w:r>
      <w:r w:rsidRPr="00D5009E">
        <w:rPr>
          <w:rFonts w:cstheme="minorHAnsi"/>
        </w:rPr>
        <w:t xml:space="preserve">lokalitách typu brownfield. </w:t>
      </w:r>
      <w:r w:rsidRPr="005D4D94">
        <w:rPr>
          <w:rFonts w:cstheme="minorHAnsi"/>
        </w:rPr>
        <w:t>Vzhledem k celkovému počtu 4 349 brownfieldů evidovaných v době kontroly v </w:t>
      </w:r>
      <w:r w:rsidRPr="00E64C9F">
        <w:rPr>
          <w:rFonts w:cstheme="minorHAnsi"/>
          <w:i/>
        </w:rPr>
        <w:t>Národní databázi brownfieldů</w:t>
      </w:r>
      <w:r w:rsidR="00F15A20">
        <w:rPr>
          <w:rFonts w:cstheme="minorHAnsi"/>
        </w:rPr>
        <w:t xml:space="preserve"> lze konstatovat, že </w:t>
      </w:r>
      <w:r w:rsidRPr="005D4D94">
        <w:rPr>
          <w:rFonts w:cstheme="minorHAnsi"/>
        </w:rPr>
        <w:t>MPO</w:t>
      </w:r>
      <w:r w:rsidR="00430359">
        <w:rPr>
          <w:rFonts w:cstheme="minorHAnsi"/>
        </w:rPr>
        <w:t xml:space="preserve"> </w:t>
      </w:r>
      <w:r w:rsidRPr="005D4D94">
        <w:rPr>
          <w:rFonts w:cstheme="minorHAnsi"/>
        </w:rPr>
        <w:t>podpořilo v kontrolovaném období regeneraci necelé desetiny</w:t>
      </w:r>
      <w:r w:rsidR="00F15A20">
        <w:rPr>
          <w:rFonts w:cstheme="minorHAnsi"/>
        </w:rPr>
        <w:t xml:space="preserve"> evidovaných brownfieldů</w:t>
      </w:r>
      <w:r w:rsidRPr="005D4D94">
        <w:rPr>
          <w:rFonts w:cstheme="minorHAnsi"/>
        </w:rPr>
        <w:t>.</w:t>
      </w:r>
      <w:r w:rsidR="00817A07">
        <w:rPr>
          <w:rFonts w:cstheme="minorHAnsi"/>
        </w:rPr>
        <w:t xml:space="preserve"> Projekty podpořilo formou dotace nebo formou finančního nástroje.</w:t>
      </w:r>
    </w:p>
    <w:p w14:paraId="7135CE0B" w14:textId="77777777" w:rsidR="00B971CD" w:rsidRDefault="00B971CD" w:rsidP="00B971CD"/>
    <w:p w14:paraId="72EDE1A1" w14:textId="69B1699C" w:rsidR="0052225F" w:rsidRDefault="00B971CD" w:rsidP="0052225F">
      <w:pPr>
        <w:spacing w:after="120"/>
        <w:rPr>
          <w:b/>
        </w:rPr>
      </w:pPr>
      <w:r>
        <w:rPr>
          <w:b/>
        </w:rPr>
        <w:t>P</w:t>
      </w:r>
      <w:r w:rsidRPr="00807DA4">
        <w:rPr>
          <w:b/>
        </w:rPr>
        <w:t xml:space="preserve">odpora </w:t>
      </w:r>
      <w:r>
        <w:rPr>
          <w:b/>
        </w:rPr>
        <w:t xml:space="preserve">poskytnutá </w:t>
      </w:r>
      <w:r w:rsidRPr="00807DA4">
        <w:rPr>
          <w:b/>
        </w:rPr>
        <w:t>MPO</w:t>
      </w:r>
      <w:r>
        <w:rPr>
          <w:b/>
        </w:rPr>
        <w:t xml:space="preserve"> na projekty regenerace brownfieldů</w:t>
      </w:r>
      <w:r w:rsidR="0052225F">
        <w:rPr>
          <w:b/>
        </w:rPr>
        <w:t xml:space="preserve"> pro podnikatelské využití</w:t>
      </w:r>
      <w:r>
        <w:rPr>
          <w:b/>
        </w:rPr>
        <w:t xml:space="preserve"> </w:t>
      </w:r>
      <w:r w:rsidRPr="00807DA4">
        <w:rPr>
          <w:b/>
        </w:rPr>
        <w:t>vedla ke snížení počtu brownfieldů v</w:t>
      </w:r>
      <w:r>
        <w:rPr>
          <w:b/>
        </w:rPr>
        <w:t> </w:t>
      </w:r>
      <w:r w:rsidRPr="00807DA4">
        <w:rPr>
          <w:b/>
        </w:rPr>
        <w:t>ČR</w:t>
      </w:r>
      <w:r>
        <w:rPr>
          <w:b/>
        </w:rPr>
        <w:t>, ne</w:t>
      </w:r>
      <w:r w:rsidRPr="00807DA4">
        <w:rPr>
          <w:b/>
        </w:rPr>
        <w:t xml:space="preserve"> však v takovém rozsahu, jak MPO původně plánovalo. </w:t>
      </w:r>
    </w:p>
    <w:p w14:paraId="7720ADCB" w14:textId="0230F65D" w:rsidR="00124991" w:rsidRPr="00430359" w:rsidRDefault="000A59D2" w:rsidP="0052225F">
      <w:pPr>
        <w:spacing w:after="120"/>
        <w:rPr>
          <w:b/>
          <w:color w:val="auto"/>
          <w:highlight w:val="yellow"/>
        </w:rPr>
      </w:pPr>
      <w:bookmarkStart w:id="4" w:name="_Hlk169165488"/>
      <w:r w:rsidRPr="0039054C">
        <w:rPr>
          <w:b/>
          <w:color w:val="auto"/>
        </w:rPr>
        <w:t xml:space="preserve">V případě podpory poskytnuté formou finančních nástrojů byly podpořeny čtyři projekty </w:t>
      </w:r>
      <w:r w:rsidR="003A00CF">
        <w:rPr>
          <w:b/>
          <w:color w:val="auto"/>
        </w:rPr>
        <w:t>částkou ve výši</w:t>
      </w:r>
      <w:r w:rsidRPr="0039054C">
        <w:rPr>
          <w:b/>
          <w:color w:val="auto"/>
        </w:rPr>
        <w:t xml:space="preserve"> 118 mil. Kč. </w:t>
      </w:r>
      <w:r w:rsidR="00BB11BB" w:rsidRPr="0039054C">
        <w:rPr>
          <w:b/>
          <w:color w:val="auto"/>
        </w:rPr>
        <w:t>Odměna</w:t>
      </w:r>
      <w:r w:rsidR="00851FD0">
        <w:rPr>
          <w:b/>
          <w:color w:val="auto"/>
        </w:rPr>
        <w:t xml:space="preserve"> za služby spojené s poskytováním této podpory</w:t>
      </w:r>
      <w:r w:rsidR="004164C6">
        <w:rPr>
          <w:b/>
          <w:color w:val="auto"/>
        </w:rPr>
        <w:t xml:space="preserve"> </w:t>
      </w:r>
      <w:r w:rsidR="00BF0D33">
        <w:rPr>
          <w:b/>
          <w:color w:val="auto"/>
        </w:rPr>
        <w:t>pro dva</w:t>
      </w:r>
      <w:r w:rsidR="00BB11BB" w:rsidRPr="0039054C">
        <w:rPr>
          <w:b/>
          <w:color w:val="auto"/>
        </w:rPr>
        <w:t xml:space="preserve"> </w:t>
      </w:r>
      <w:r w:rsidR="00F0502B">
        <w:rPr>
          <w:b/>
          <w:color w:val="auto"/>
        </w:rPr>
        <w:t xml:space="preserve">zapojené </w:t>
      </w:r>
      <w:r w:rsidR="00BB11BB" w:rsidRPr="0039054C">
        <w:rPr>
          <w:b/>
          <w:color w:val="auto"/>
        </w:rPr>
        <w:t>subjekty</w:t>
      </w:r>
      <w:r w:rsidR="00AC2F6E">
        <w:rPr>
          <w:b/>
          <w:color w:val="auto"/>
        </w:rPr>
        <w:t xml:space="preserve"> (tzv. Správce a Finančního zprostředkovatele)</w:t>
      </w:r>
      <w:r w:rsidR="00BB11BB" w:rsidRPr="0039054C">
        <w:rPr>
          <w:b/>
          <w:color w:val="auto"/>
        </w:rPr>
        <w:t xml:space="preserve"> do konce roku 2023 zatím činila 31</w:t>
      </w:r>
      <w:r w:rsidR="005707E6">
        <w:rPr>
          <w:b/>
          <w:color w:val="auto"/>
        </w:rPr>
        <w:t>,4</w:t>
      </w:r>
      <w:r w:rsidR="00BB11BB" w:rsidRPr="0039054C">
        <w:rPr>
          <w:b/>
          <w:color w:val="auto"/>
        </w:rPr>
        <w:t xml:space="preserve"> mil. Kč</w:t>
      </w:r>
      <w:r w:rsidR="00A738B0">
        <w:rPr>
          <w:b/>
          <w:color w:val="auto"/>
        </w:rPr>
        <w:t>, tj. 27 % z poskytnuté podpory</w:t>
      </w:r>
      <w:r w:rsidR="00BB11BB" w:rsidRPr="0039054C">
        <w:rPr>
          <w:b/>
          <w:color w:val="auto"/>
        </w:rPr>
        <w:t xml:space="preserve">. </w:t>
      </w:r>
      <w:r w:rsidR="0096490E" w:rsidRPr="00430359">
        <w:rPr>
          <w:b/>
          <w:color w:val="auto"/>
        </w:rPr>
        <w:t>NKÚ upozorňuje na</w:t>
      </w:r>
      <w:r w:rsidR="002D6D61">
        <w:rPr>
          <w:b/>
          <w:color w:val="auto"/>
        </w:rPr>
        <w:t> </w:t>
      </w:r>
      <w:r w:rsidR="0096490E" w:rsidRPr="00430359">
        <w:rPr>
          <w:b/>
          <w:color w:val="auto"/>
        </w:rPr>
        <w:t xml:space="preserve">riziko nehospodárnosti u výdajů spojených s odměnou Finančnímu zprostředkovateli, neboť do konce roku 2023 mu byla počítána odměna z částky vyšší, než jakou skutečně spravoval. </w:t>
      </w:r>
    </w:p>
    <w:bookmarkEnd w:id="4"/>
    <w:p w14:paraId="7FE5DF73" w14:textId="559CA5DA" w:rsidR="00B971CD" w:rsidRDefault="00B971CD" w:rsidP="00B971CD">
      <w:pPr>
        <w:rPr>
          <w:b/>
        </w:rPr>
      </w:pPr>
      <w:r>
        <w:rPr>
          <w:b/>
        </w:rPr>
        <w:t>Z hlediska</w:t>
      </w:r>
      <w:r w:rsidRPr="000D4C92">
        <w:rPr>
          <w:b/>
        </w:rPr>
        <w:t xml:space="preserve"> účelnosti</w:t>
      </w:r>
      <w:r w:rsidR="00A85C00">
        <w:rPr>
          <w:b/>
        </w:rPr>
        <w:t xml:space="preserve"> vynaložených peněžních</w:t>
      </w:r>
      <w:r w:rsidR="00F00B60">
        <w:rPr>
          <w:b/>
        </w:rPr>
        <w:t xml:space="preserve"> prostředků</w:t>
      </w:r>
      <w:r w:rsidR="00E421B8">
        <w:rPr>
          <w:b/>
        </w:rPr>
        <w:t xml:space="preserve"> nezjistil NKÚ pochybení.</w:t>
      </w:r>
      <w:r w:rsidRPr="000D4C92">
        <w:rPr>
          <w:b/>
        </w:rPr>
        <w:t xml:space="preserve"> </w:t>
      </w:r>
      <w:r w:rsidR="00E421B8">
        <w:rPr>
          <w:b/>
        </w:rPr>
        <w:t>V</w:t>
      </w:r>
      <w:r w:rsidR="00081F74">
        <w:rPr>
          <w:b/>
        </w:rPr>
        <w:t> </w:t>
      </w:r>
      <w:r w:rsidR="00E421B8">
        <w:rPr>
          <w:b/>
        </w:rPr>
        <w:t>oblasti</w:t>
      </w:r>
      <w:r w:rsidR="005A7786">
        <w:rPr>
          <w:b/>
        </w:rPr>
        <w:t xml:space="preserve"> </w:t>
      </w:r>
      <w:r w:rsidR="00F15A20">
        <w:rPr>
          <w:b/>
        </w:rPr>
        <w:t>poskytování dotací</w:t>
      </w:r>
      <w:r w:rsidR="00F15A20" w:rsidRPr="00133AE4">
        <w:rPr>
          <w:b/>
        </w:rPr>
        <w:t xml:space="preserve"> </w:t>
      </w:r>
      <w:r w:rsidR="00543418" w:rsidRPr="00303922">
        <w:rPr>
          <w:b/>
        </w:rPr>
        <w:t xml:space="preserve">nezjistil NKÚ </w:t>
      </w:r>
      <w:bookmarkStart w:id="5" w:name="_Hlk170799940"/>
      <w:r w:rsidR="0011693C">
        <w:rPr>
          <w:b/>
        </w:rPr>
        <w:t>u MPO ani</w:t>
      </w:r>
      <w:r w:rsidR="00CC0D04">
        <w:rPr>
          <w:b/>
        </w:rPr>
        <w:t xml:space="preserve"> Agentury CzechInvest </w:t>
      </w:r>
      <w:bookmarkEnd w:id="5"/>
      <w:r w:rsidR="00543418" w:rsidRPr="00303922">
        <w:rPr>
          <w:b/>
        </w:rPr>
        <w:t>porušení</w:t>
      </w:r>
      <w:r w:rsidR="00543418" w:rsidRPr="000D4C92">
        <w:rPr>
          <w:b/>
        </w:rPr>
        <w:t xml:space="preserve"> </w:t>
      </w:r>
      <w:r>
        <w:rPr>
          <w:b/>
        </w:rPr>
        <w:t>právních předpisů</w:t>
      </w:r>
      <w:r w:rsidR="00430359">
        <w:rPr>
          <w:b/>
        </w:rPr>
        <w:t>.</w:t>
      </w:r>
      <w:r w:rsidR="00303922">
        <w:rPr>
          <w:b/>
        </w:rPr>
        <w:t xml:space="preserve"> </w:t>
      </w:r>
    </w:p>
    <w:p w14:paraId="690691CB" w14:textId="77777777" w:rsidR="00B971CD" w:rsidRDefault="00B971CD" w:rsidP="00B971CD">
      <w:pPr>
        <w:rPr>
          <w:b/>
        </w:rPr>
      </w:pPr>
    </w:p>
    <w:p w14:paraId="7525EC92" w14:textId="4625415B" w:rsidR="000A60E3" w:rsidRPr="008A5640" w:rsidRDefault="00B971CD" w:rsidP="008E2B24">
      <w:pPr>
        <w:keepNext/>
        <w:spacing w:after="120"/>
      </w:pPr>
      <w:bookmarkStart w:id="6" w:name="_Hlk165379568"/>
      <w:r w:rsidRPr="0066171C">
        <w:t>Celkové vyhodnocení vyplývá z následujících skutečností zjištěných kontrolou:</w:t>
      </w:r>
      <w:bookmarkStart w:id="7" w:name="_Hlk164170343"/>
      <w:bookmarkStart w:id="8" w:name="_Hlk164171116"/>
      <w:bookmarkEnd w:id="6"/>
    </w:p>
    <w:p w14:paraId="7E132845" w14:textId="4258C1E9" w:rsidR="00B971CD" w:rsidRPr="008E3F90" w:rsidRDefault="008E3F90" w:rsidP="008E3F90">
      <w:pPr>
        <w:tabs>
          <w:tab w:val="left" w:pos="426"/>
        </w:tabs>
        <w:rPr>
          <w:rFonts w:cstheme="minorHAnsi"/>
        </w:rPr>
      </w:pPr>
      <w:r>
        <w:rPr>
          <w:rFonts w:cstheme="minorHAnsi"/>
        </w:rPr>
        <w:t xml:space="preserve">1.1 </w:t>
      </w:r>
      <w:r>
        <w:rPr>
          <w:rFonts w:cstheme="minorHAnsi"/>
        </w:rPr>
        <w:tab/>
      </w:r>
      <w:r w:rsidR="00B971CD" w:rsidRPr="008E3F90">
        <w:rPr>
          <w:rFonts w:cstheme="minorHAnsi"/>
        </w:rPr>
        <w:t xml:space="preserve">Strategickým dokumentem pro koordinovanou podporu ze strany </w:t>
      </w:r>
      <w:r w:rsidR="00817A07" w:rsidRPr="008E3F90">
        <w:rPr>
          <w:rFonts w:cstheme="minorHAnsi"/>
        </w:rPr>
        <w:t>státu</w:t>
      </w:r>
      <w:r w:rsidR="00B971CD" w:rsidRPr="008E3F90">
        <w:rPr>
          <w:rFonts w:cstheme="minorHAnsi"/>
        </w:rPr>
        <w:t xml:space="preserve"> pro oblast brownfieldů je </w:t>
      </w:r>
      <w:r w:rsidR="00B971CD" w:rsidRPr="00E64C9F">
        <w:rPr>
          <w:rFonts w:cstheme="minorHAnsi"/>
          <w:i/>
        </w:rPr>
        <w:t>Národní strategie regenerací brownfieldů</w:t>
      </w:r>
      <w:r w:rsidR="00B971CD" w:rsidRPr="008E3F90">
        <w:rPr>
          <w:rFonts w:cstheme="minorHAnsi"/>
        </w:rPr>
        <w:t>. V době kontroly byla platná aktualizovaná verze strategie pro období let 2019 až 2024</w:t>
      </w:r>
      <w:r w:rsidR="00057BF3" w:rsidRPr="008E3F90">
        <w:rPr>
          <w:rFonts w:cstheme="minorHAnsi"/>
        </w:rPr>
        <w:t xml:space="preserve"> (dále také „NSRB 2019</w:t>
      </w:r>
      <w:r w:rsidR="00F949D7" w:rsidRPr="00B750E0">
        <w:t>–</w:t>
      </w:r>
      <w:r w:rsidR="00057BF3" w:rsidRPr="008E3F90">
        <w:rPr>
          <w:rFonts w:cstheme="minorHAnsi"/>
        </w:rPr>
        <w:t>2024)</w:t>
      </w:r>
      <w:r w:rsidR="00B971CD" w:rsidRPr="008E3F90">
        <w:rPr>
          <w:rFonts w:cstheme="minorHAnsi"/>
        </w:rPr>
        <w:t xml:space="preserve">. V této verzi byly stanoveny úkoly pro různé subjekty zapojené do řešení problematiky brownfieldů. MPO z devíti stanovených úkolů do konce roku 2023 šest průběžně plnilo nebo splnilo a tři splnilo částečně. Agentura </w:t>
      </w:r>
      <w:proofErr w:type="spellStart"/>
      <w:r w:rsidR="00B971CD" w:rsidRPr="008E3F90">
        <w:rPr>
          <w:rFonts w:cstheme="minorHAnsi"/>
        </w:rPr>
        <w:t>CzechInvest</w:t>
      </w:r>
      <w:proofErr w:type="spellEnd"/>
      <w:r w:rsidR="00B971CD" w:rsidRPr="008E3F90">
        <w:rPr>
          <w:rFonts w:cstheme="minorHAnsi"/>
        </w:rPr>
        <w:t xml:space="preserve"> z 11 stanovených úkolů deset průběžně plnila nebo splnila a</w:t>
      </w:r>
      <w:r w:rsidR="00476FC7" w:rsidRPr="008E3F90">
        <w:rPr>
          <w:rFonts w:cstheme="minorHAnsi"/>
        </w:rPr>
        <w:t> </w:t>
      </w:r>
      <w:r w:rsidR="00B971CD" w:rsidRPr="008E3F90">
        <w:rPr>
          <w:rFonts w:cstheme="minorHAnsi"/>
        </w:rPr>
        <w:t>jedno do konce kontroly nesplnila, ale plánovala jeho splnění v roce 2024</w:t>
      </w:r>
      <w:r w:rsidR="0096490E" w:rsidRPr="008E3F90">
        <w:rPr>
          <w:rFonts w:cstheme="minorHAnsi"/>
        </w:rPr>
        <w:t xml:space="preserve"> (viz kapitola 4.1)</w:t>
      </w:r>
      <w:r>
        <w:rPr>
          <w:rFonts w:cstheme="minorHAnsi"/>
        </w:rPr>
        <w:t>.</w:t>
      </w:r>
    </w:p>
    <w:p w14:paraId="65B0D259" w14:textId="77777777" w:rsidR="00BE1B02" w:rsidRDefault="00BE1B02" w:rsidP="00BE1B02">
      <w:pPr>
        <w:pStyle w:val="Odstavecseseznamem"/>
        <w:ind w:left="0"/>
        <w:contextualSpacing w:val="0"/>
        <w:rPr>
          <w:rFonts w:cstheme="minorHAnsi"/>
        </w:rPr>
      </w:pPr>
    </w:p>
    <w:p w14:paraId="0189D02F" w14:textId="162BB11A" w:rsidR="000A60E3" w:rsidRPr="008E3F90" w:rsidRDefault="008E3F90" w:rsidP="008E3F90">
      <w:pPr>
        <w:tabs>
          <w:tab w:val="left" w:pos="426"/>
        </w:tabs>
        <w:rPr>
          <w:rFonts w:cstheme="minorHAnsi"/>
        </w:rPr>
      </w:pPr>
      <w:r>
        <w:rPr>
          <w:rFonts w:cstheme="minorHAnsi"/>
        </w:rPr>
        <w:t xml:space="preserve">1.2 </w:t>
      </w:r>
      <w:r>
        <w:rPr>
          <w:rFonts w:cstheme="minorHAnsi"/>
        </w:rPr>
        <w:tab/>
      </w:r>
      <w:r w:rsidR="00B971CD" w:rsidRPr="008E3F90">
        <w:rPr>
          <w:rFonts w:cstheme="minorHAnsi"/>
        </w:rPr>
        <w:t>Program č. 222</w:t>
      </w:r>
      <w:r>
        <w:rPr>
          <w:rFonts w:cstheme="minorHAnsi"/>
        </w:rPr>
        <w:t> </w:t>
      </w:r>
      <w:r w:rsidR="00B971CD" w:rsidRPr="008E3F90">
        <w:rPr>
          <w:rFonts w:cstheme="minorHAnsi"/>
        </w:rPr>
        <w:t>230</w:t>
      </w:r>
      <w:r>
        <w:rPr>
          <w:rFonts w:cstheme="minorHAnsi"/>
        </w:rPr>
        <w:t> –</w:t>
      </w:r>
      <w:r w:rsidR="00B971CD" w:rsidRPr="008E3F90">
        <w:rPr>
          <w:rFonts w:cstheme="minorHAnsi"/>
        </w:rPr>
        <w:t xml:space="preserve"> </w:t>
      </w:r>
      <w:r w:rsidR="00B971CD" w:rsidRPr="00E64C9F">
        <w:rPr>
          <w:rFonts w:cstheme="minorHAnsi"/>
          <w:i/>
        </w:rPr>
        <w:t>Podpora podnikatelských nemovitostí a infrastruktury</w:t>
      </w:r>
      <w:r w:rsidR="00B971CD" w:rsidRPr="008530FC">
        <w:t xml:space="preserve"> </w:t>
      </w:r>
      <w:r w:rsidR="00B971CD">
        <w:t>je</w:t>
      </w:r>
      <w:r w:rsidR="00B971CD" w:rsidRPr="00793ACF">
        <w:t xml:space="preserve"> </w:t>
      </w:r>
      <w:r w:rsidR="00B971CD">
        <w:t>financován</w:t>
      </w:r>
      <w:r w:rsidR="00B971CD" w:rsidRPr="00793ACF">
        <w:t xml:space="preserve"> z</w:t>
      </w:r>
      <w:r w:rsidR="00B971CD">
        <w:t> peněžních prostředků státu. Podporu</w:t>
      </w:r>
      <w:r w:rsidR="00B971CD" w:rsidRPr="007375B1">
        <w:t xml:space="preserve"> </w:t>
      </w:r>
      <w:r w:rsidR="00B971CD">
        <w:t xml:space="preserve">z něj </w:t>
      </w:r>
      <w:r w:rsidR="00B971CD" w:rsidRPr="007375B1">
        <w:t>bylo možné získat jak na projekty v lokalitách typu brownfield, tak v lokalitách na zelené louce.</w:t>
      </w:r>
      <w:r w:rsidR="00B971CD" w:rsidRPr="008530FC">
        <w:t xml:space="preserve"> </w:t>
      </w:r>
      <w:r w:rsidR="00B971CD">
        <w:t xml:space="preserve">V kontrolovaném období let 2018 až 2023 nepodpořilo MPO z tohoto programu žádný projekt, kterým by se regeneroval brownfield. Pouze podpořilo částkou 256 mil. Kč rozvoj průmyslové zóny, která v minulosti </w:t>
      </w:r>
      <w:r w:rsidR="00B971CD">
        <w:lastRenderedPageBreak/>
        <w:t xml:space="preserve">vznikla v lokalitě typu brownfield. MPO v kontrolovaném období podporou z tohoto </w:t>
      </w:r>
      <w:r w:rsidR="00B971CD" w:rsidRPr="00BE1B02">
        <w:t xml:space="preserve">programu nepřispělo ke snížení počtu </w:t>
      </w:r>
      <w:proofErr w:type="spellStart"/>
      <w:r w:rsidR="00B971CD" w:rsidRPr="00BE1B02">
        <w:t>brownfieldů</w:t>
      </w:r>
      <w:proofErr w:type="spellEnd"/>
      <w:r w:rsidR="00BE1B02" w:rsidRPr="00BE1B02">
        <w:t xml:space="preserve"> </w:t>
      </w:r>
      <w:r w:rsidR="0096490E" w:rsidRPr="00BE1B02">
        <w:t>(viz kapitola 4.2)</w:t>
      </w:r>
      <w:r>
        <w:t>.</w:t>
      </w:r>
    </w:p>
    <w:p w14:paraId="6F453E31" w14:textId="77777777" w:rsidR="00BE1B02" w:rsidRPr="00BE1B02" w:rsidRDefault="00BE1B02" w:rsidP="00BE1B02">
      <w:pPr>
        <w:pStyle w:val="Odstavecseseznamem"/>
        <w:ind w:left="0"/>
        <w:contextualSpacing w:val="0"/>
        <w:rPr>
          <w:rFonts w:cstheme="minorHAnsi"/>
        </w:rPr>
      </w:pPr>
    </w:p>
    <w:p w14:paraId="5E20DB33" w14:textId="683F2BD8" w:rsidR="00B971CD" w:rsidRPr="00BE1B02" w:rsidRDefault="008E3F90" w:rsidP="008E3F90">
      <w:pPr>
        <w:tabs>
          <w:tab w:val="left" w:pos="426"/>
        </w:tabs>
      </w:pPr>
      <w:r>
        <w:t xml:space="preserve">1.3 </w:t>
      </w:r>
      <w:r>
        <w:tab/>
      </w:r>
      <w:r w:rsidR="00B971CD" w:rsidRPr="00BE1B02">
        <w:t>Program č. 122D20</w:t>
      </w:r>
      <w:r w:rsidR="00EB4BE9">
        <w:rPr>
          <w:rFonts w:cstheme="minorHAnsi"/>
        </w:rPr>
        <w:t> –</w:t>
      </w:r>
      <w:r w:rsidR="00B971CD" w:rsidRPr="00BE1B02">
        <w:t xml:space="preserve"> </w:t>
      </w:r>
      <w:r w:rsidR="00B971CD" w:rsidRPr="00E64C9F">
        <w:rPr>
          <w:i/>
        </w:rPr>
        <w:t xml:space="preserve">Smart </w:t>
      </w:r>
      <w:proofErr w:type="spellStart"/>
      <w:r w:rsidR="00B971CD" w:rsidRPr="00E64C9F">
        <w:rPr>
          <w:i/>
        </w:rPr>
        <w:t>Parks</w:t>
      </w:r>
      <w:proofErr w:type="spellEnd"/>
      <w:r w:rsidR="00B971CD" w:rsidRPr="00E64C9F">
        <w:rPr>
          <w:i/>
        </w:rPr>
        <w:t xml:space="preserve"> </w:t>
      </w:r>
      <w:proofErr w:type="spellStart"/>
      <w:r w:rsidR="00B971CD" w:rsidRPr="00E64C9F">
        <w:rPr>
          <w:i/>
        </w:rPr>
        <w:t>For</w:t>
      </w:r>
      <w:proofErr w:type="spellEnd"/>
      <w:r w:rsidR="00B971CD" w:rsidRPr="00E64C9F">
        <w:rPr>
          <w:i/>
        </w:rPr>
        <w:t xml:space="preserve"> </w:t>
      </w:r>
      <w:proofErr w:type="spellStart"/>
      <w:r w:rsidR="00B971CD" w:rsidRPr="00E64C9F">
        <w:rPr>
          <w:i/>
        </w:rPr>
        <w:t>The</w:t>
      </w:r>
      <w:proofErr w:type="spellEnd"/>
      <w:r w:rsidR="00B971CD" w:rsidRPr="00E64C9F">
        <w:rPr>
          <w:i/>
        </w:rPr>
        <w:t xml:space="preserve"> </w:t>
      </w:r>
      <w:proofErr w:type="spellStart"/>
      <w:r w:rsidR="00B971CD" w:rsidRPr="00E64C9F">
        <w:rPr>
          <w:i/>
        </w:rPr>
        <w:t>Future</w:t>
      </w:r>
      <w:proofErr w:type="spellEnd"/>
      <w:r w:rsidR="00B971CD" w:rsidRPr="00BE1B02">
        <w:t xml:space="preserve"> je financován z peněžních prostředků státu a dotaci z něj bylo možné získat jak na projekty v lokalitách typu brownfield, tak v lokalitách na zelené louce. MPO plánovalo, že v oblasti brownfieldů podpoří 40 projektů s celkovou rozlohou 200 ha. O získání podpory ale nebyl mezi obcemi a kraji zájem a</w:t>
      </w:r>
      <w:r w:rsidR="000A60E3" w:rsidRPr="00BE1B02">
        <w:t> </w:t>
      </w:r>
      <w:r w:rsidR="00B971CD" w:rsidRPr="00BE1B02">
        <w:t xml:space="preserve">v důsledku toho MPO od roku 2020 do konce roku 2023 finančně nepodpořilo v rámci tohoto programu žádný projekt, který by byl v lokalitě typu </w:t>
      </w:r>
      <w:proofErr w:type="spellStart"/>
      <w:r w:rsidR="00B971CD" w:rsidRPr="00BE1B02">
        <w:t>brownfield</w:t>
      </w:r>
      <w:proofErr w:type="spellEnd"/>
      <w:r w:rsidR="0096490E" w:rsidRPr="00BE1B02">
        <w:t xml:space="preserve"> (viz kapitola 4.3)</w:t>
      </w:r>
      <w:r w:rsidR="00EB4BE9">
        <w:t>.</w:t>
      </w:r>
      <w:r w:rsidR="00FB001D" w:rsidRPr="00BE1B02">
        <w:t xml:space="preserve"> </w:t>
      </w:r>
    </w:p>
    <w:p w14:paraId="04F295A1" w14:textId="77777777" w:rsidR="000A60E3" w:rsidRPr="007F58B2" w:rsidRDefault="000A60E3" w:rsidP="000A60E3">
      <w:pPr>
        <w:pStyle w:val="Odstavecseseznamem"/>
        <w:ind w:left="0"/>
        <w:contextualSpacing w:val="0"/>
      </w:pPr>
    </w:p>
    <w:p w14:paraId="0F140EC6" w14:textId="1B1BA5C5" w:rsidR="00B971CD" w:rsidRPr="00FF16EF" w:rsidRDefault="008E3F90" w:rsidP="008E3F90">
      <w:pPr>
        <w:tabs>
          <w:tab w:val="left" w:pos="426"/>
        </w:tabs>
      </w:pPr>
      <w:r>
        <w:rPr>
          <w:rFonts w:cstheme="minorHAnsi"/>
        </w:rPr>
        <w:t xml:space="preserve">1.4 </w:t>
      </w:r>
      <w:r>
        <w:rPr>
          <w:rFonts w:cstheme="minorHAnsi"/>
        </w:rPr>
        <w:tab/>
      </w:r>
      <w:r w:rsidR="00B971CD" w:rsidRPr="008E3F90">
        <w:rPr>
          <w:rFonts w:cstheme="minorHAnsi"/>
        </w:rPr>
        <w:t>Program č. 122D21</w:t>
      </w:r>
      <w:r w:rsidR="00EB4BE9">
        <w:rPr>
          <w:rFonts w:cstheme="minorHAnsi"/>
        </w:rPr>
        <w:t> –</w:t>
      </w:r>
      <w:r w:rsidR="00B971CD" w:rsidRPr="008E3F90">
        <w:rPr>
          <w:rFonts w:cstheme="minorHAnsi"/>
        </w:rPr>
        <w:t xml:space="preserve"> </w:t>
      </w:r>
      <w:r w:rsidR="00B971CD" w:rsidRPr="00E64C9F">
        <w:rPr>
          <w:rFonts w:cstheme="minorHAnsi"/>
          <w:i/>
        </w:rPr>
        <w:t xml:space="preserve">Regenerace a podnikatelské využití </w:t>
      </w:r>
      <w:proofErr w:type="spellStart"/>
      <w:r w:rsidR="00B971CD" w:rsidRPr="00E64C9F">
        <w:rPr>
          <w:rFonts w:cstheme="minorHAnsi"/>
          <w:i/>
        </w:rPr>
        <w:t>brownfieldů</w:t>
      </w:r>
      <w:proofErr w:type="spellEnd"/>
      <w:r w:rsidR="00B971CD" w:rsidRPr="008E3F90">
        <w:rPr>
          <w:rFonts w:cstheme="minorHAnsi"/>
        </w:rPr>
        <w:t xml:space="preserve"> </w:t>
      </w:r>
      <w:r w:rsidR="00B971CD">
        <w:t>je</w:t>
      </w:r>
      <w:r w:rsidR="00B971CD" w:rsidRPr="00D25030">
        <w:t xml:space="preserve"> financován z</w:t>
      </w:r>
      <w:r w:rsidR="00B971CD">
        <w:t xml:space="preserve"> peněžních prostředků státu </w:t>
      </w:r>
      <w:r w:rsidR="00B971CD" w:rsidRPr="00D25030">
        <w:t>a dotaci</w:t>
      </w:r>
      <w:r w:rsidR="00B971CD">
        <w:t xml:space="preserve"> z něj</w:t>
      </w:r>
      <w:r w:rsidR="00B971CD" w:rsidRPr="00D25030">
        <w:t xml:space="preserve"> bylo možné získat pouze na projekty v lokalitách typu brownfield. Při schválení tohoto programu MPO plánovalo, že podpoří 30 projektů regenerace brownfieldů </w:t>
      </w:r>
      <w:r w:rsidR="00FA3FF5">
        <w:t>celkovou částkou</w:t>
      </w:r>
      <w:r w:rsidR="00B971CD" w:rsidRPr="00D25030">
        <w:t xml:space="preserve"> ve výši 2 000 mil. Kč. Zájem mezi obcemi a kraji o</w:t>
      </w:r>
      <w:r w:rsidR="00FA3FF5">
        <w:t> </w:t>
      </w:r>
      <w:r w:rsidR="00B971CD" w:rsidRPr="00D25030">
        <w:t xml:space="preserve">získání podpory nebyl </w:t>
      </w:r>
      <w:r w:rsidR="00FB73DE">
        <w:t xml:space="preserve">z počátku </w:t>
      </w:r>
      <w:r w:rsidR="00B971CD" w:rsidRPr="00D25030">
        <w:t>takový</w:t>
      </w:r>
      <w:r w:rsidR="00A73C7F">
        <w:t>,</w:t>
      </w:r>
      <w:r w:rsidR="00B971CD" w:rsidRPr="00D25030">
        <w:t xml:space="preserve"> jak MPO předpokládalo. </w:t>
      </w:r>
      <w:r w:rsidR="00B971CD">
        <w:t>Do konce roku</w:t>
      </w:r>
      <w:r w:rsidR="00B971CD" w:rsidRPr="00D25030">
        <w:t xml:space="preserve"> 2023 rozhodlo o</w:t>
      </w:r>
      <w:r w:rsidR="000C7943">
        <w:t> </w:t>
      </w:r>
      <w:r w:rsidR="00B971CD" w:rsidRPr="00D25030">
        <w:t>poskytnutí podpory celkem 31 projektům</w:t>
      </w:r>
      <w:r w:rsidR="00B971CD">
        <w:t xml:space="preserve">, kterým schválilo </w:t>
      </w:r>
      <w:r w:rsidR="00FA3FF5">
        <w:t>dotace</w:t>
      </w:r>
      <w:r w:rsidR="00B971CD">
        <w:t xml:space="preserve"> ve výši 695</w:t>
      </w:r>
      <w:r w:rsidR="00FA3FF5">
        <w:t> </w:t>
      </w:r>
      <w:r w:rsidR="00B971CD">
        <w:t>mil. Kč</w:t>
      </w:r>
      <w:r w:rsidR="00F30B94">
        <w:t xml:space="preserve"> (</w:t>
      </w:r>
      <w:r w:rsidR="008C4B83">
        <w:t xml:space="preserve">cca </w:t>
      </w:r>
      <w:r w:rsidR="00B971CD">
        <w:t>třetina</w:t>
      </w:r>
      <w:r w:rsidR="00FA3FF5">
        <w:t xml:space="preserve"> z</w:t>
      </w:r>
      <w:r w:rsidR="002D086B">
        <w:t xml:space="preserve"> částky původně plánované na podporu projektů). </w:t>
      </w:r>
      <w:r w:rsidR="0055053A">
        <w:t xml:space="preserve">V důsledku </w:t>
      </w:r>
      <w:r w:rsidR="002D086B">
        <w:t xml:space="preserve">významných </w:t>
      </w:r>
      <w:r w:rsidR="0055053A">
        <w:t>změn</w:t>
      </w:r>
      <w:r w:rsidR="002D086B">
        <w:t xml:space="preserve"> cílových ukazatelů provedených v průběhu realizace programu</w:t>
      </w:r>
      <w:r w:rsidR="0055053A">
        <w:t xml:space="preserve"> MPO pravděpodobně cílových hodnot při ukončení programu dosáhne. </w:t>
      </w:r>
      <w:r w:rsidR="00FF16EF" w:rsidRPr="003D7385">
        <w:t xml:space="preserve">U </w:t>
      </w:r>
      <w:r w:rsidR="00FF16EF">
        <w:t>pěti</w:t>
      </w:r>
      <w:r w:rsidR="00FF16EF" w:rsidRPr="003D7385">
        <w:t xml:space="preserve"> vybraných podpořených projektů nezjistil NKÚ</w:t>
      </w:r>
      <w:r w:rsidR="00FF16EF">
        <w:t xml:space="preserve"> z dokladů předložených MPO</w:t>
      </w:r>
      <w:r w:rsidR="00FF16EF" w:rsidRPr="003D7385">
        <w:t xml:space="preserve"> porušení právních před</w:t>
      </w:r>
      <w:r w:rsidR="00FF16EF">
        <w:t>pisů nebo pochybení v oblasti hospodárnosti a účelnosti</w:t>
      </w:r>
      <w:r w:rsidR="00736A06" w:rsidRPr="00FB001D">
        <w:t xml:space="preserve"> </w:t>
      </w:r>
      <w:r w:rsidR="00FF16EF">
        <w:t>(viz kapitola 4.4)</w:t>
      </w:r>
      <w:r w:rsidR="00EB4BE9">
        <w:t>.</w:t>
      </w:r>
    </w:p>
    <w:p w14:paraId="4CA6B1A9" w14:textId="77777777" w:rsidR="000A60E3" w:rsidRPr="000A60E3" w:rsidRDefault="000A60E3" w:rsidP="000A60E3">
      <w:pPr>
        <w:pStyle w:val="Odstavecseseznamem"/>
        <w:ind w:left="0"/>
        <w:contextualSpacing w:val="0"/>
        <w:rPr>
          <w:rFonts w:cstheme="minorHAnsi"/>
        </w:rPr>
      </w:pPr>
    </w:p>
    <w:bookmarkEnd w:id="7"/>
    <w:p w14:paraId="5AC281D2" w14:textId="7EB921B6" w:rsidR="00B971CD" w:rsidRDefault="008E3F90" w:rsidP="008E3F90">
      <w:pPr>
        <w:tabs>
          <w:tab w:val="left" w:pos="426"/>
        </w:tabs>
      </w:pPr>
      <w:r>
        <w:t xml:space="preserve">1.5 </w:t>
      </w:r>
      <w:r>
        <w:tab/>
      </w:r>
      <w:r w:rsidR="00B971CD">
        <w:t xml:space="preserve">MPO zahrnulo podporu regenerace brownfieldů i do oblastí financovaných </w:t>
      </w:r>
      <w:r w:rsidR="00771CE9">
        <w:t xml:space="preserve">ze zdrojů EU </w:t>
      </w:r>
      <w:r w:rsidR="00B971CD">
        <w:t xml:space="preserve">v rámci </w:t>
      </w:r>
      <w:r w:rsidR="00B971CD" w:rsidRPr="00E64C9F">
        <w:rPr>
          <w:i/>
        </w:rPr>
        <w:t>Národního plánu obnovy</w:t>
      </w:r>
      <w:r w:rsidR="00B971CD">
        <w:t xml:space="preserve">. </w:t>
      </w:r>
      <w:r w:rsidR="00B971CD" w:rsidRPr="00A76E27">
        <w:t xml:space="preserve">MPO </w:t>
      </w:r>
      <w:r w:rsidR="00B971CD">
        <w:t>u </w:t>
      </w:r>
      <w:r w:rsidR="00B971CD" w:rsidRPr="00E64C9F">
        <w:rPr>
          <w:i/>
        </w:rPr>
        <w:t>Národního plánu obnovy</w:t>
      </w:r>
      <w:r w:rsidR="00B971CD" w:rsidRPr="00A76E27">
        <w:t xml:space="preserve"> umožnilo získat </w:t>
      </w:r>
      <w:r w:rsidR="00B971CD">
        <w:t xml:space="preserve">dotaci </w:t>
      </w:r>
      <w:r w:rsidR="00B971CD" w:rsidRPr="00A76E27">
        <w:t>na projekty na celém území ČR</w:t>
      </w:r>
      <w:r w:rsidR="004164C6">
        <w:t xml:space="preserve"> </w:t>
      </w:r>
      <w:r w:rsidR="0074502C">
        <w:t xml:space="preserve">a </w:t>
      </w:r>
      <w:r w:rsidR="00B971CD" w:rsidRPr="00A76E27">
        <w:t>umožnilo využití realizovaných projektů nejen pro</w:t>
      </w:r>
      <w:r w:rsidR="000C7943">
        <w:t> </w:t>
      </w:r>
      <w:r w:rsidR="00B971CD" w:rsidRPr="00A76E27">
        <w:t>podnikání, ale z části i pro nepodnikatelské aktivity (např. pro bydlení)</w:t>
      </w:r>
      <w:r w:rsidR="00430359">
        <w:t>.</w:t>
      </w:r>
      <w:r w:rsidR="00736A06">
        <w:t xml:space="preserve"> </w:t>
      </w:r>
      <w:r w:rsidR="0085737C">
        <w:t>To mělo za</w:t>
      </w:r>
      <w:r w:rsidR="002D6D61">
        <w:t> </w:t>
      </w:r>
      <w:r w:rsidR="0085737C">
        <w:t>následek</w:t>
      </w:r>
      <w:r w:rsidR="0074502C">
        <w:t xml:space="preserve"> </w:t>
      </w:r>
      <w:r w:rsidR="00B971CD" w:rsidRPr="00A76E27">
        <w:t>výrazné zvýšení zájmu obcí a krajů o podporu</w:t>
      </w:r>
      <w:r w:rsidR="0096490E" w:rsidRPr="008E3F90">
        <w:rPr>
          <w:rFonts w:cstheme="minorHAnsi"/>
        </w:rPr>
        <w:t xml:space="preserve"> (viz kapitola 4.5)</w:t>
      </w:r>
      <w:r w:rsidR="00EB4BE9">
        <w:rPr>
          <w:rFonts w:cstheme="minorHAnsi"/>
        </w:rPr>
        <w:t>.</w:t>
      </w:r>
      <w:r w:rsidR="00736A06" w:rsidRPr="008E3F90">
        <w:rPr>
          <w:rFonts w:cstheme="minorHAnsi"/>
        </w:rPr>
        <w:t xml:space="preserve"> </w:t>
      </w:r>
      <w:r w:rsidR="00736A06">
        <w:t xml:space="preserve"> </w:t>
      </w:r>
    </w:p>
    <w:p w14:paraId="4B7408DE" w14:textId="77777777" w:rsidR="000A60E3" w:rsidRPr="00BC2BE1" w:rsidRDefault="000A60E3" w:rsidP="000A60E3">
      <w:pPr>
        <w:pStyle w:val="Odstavecseseznamem"/>
        <w:ind w:left="0"/>
        <w:contextualSpacing w:val="0"/>
      </w:pPr>
    </w:p>
    <w:p w14:paraId="29C1B15C" w14:textId="6ABBE75B" w:rsidR="00B971CD" w:rsidRDefault="008E3F90" w:rsidP="008E3F90">
      <w:pPr>
        <w:tabs>
          <w:tab w:val="left" w:pos="426"/>
        </w:tabs>
      </w:pPr>
      <w:r>
        <w:t xml:space="preserve">1.6 </w:t>
      </w:r>
      <w:r>
        <w:tab/>
      </w:r>
      <w:r w:rsidR="00B971CD" w:rsidRPr="00D25030">
        <w:t>Podnikatelským subjektům umožnilo MPO získat podporu</w:t>
      </w:r>
      <w:r w:rsidR="00771CE9">
        <w:t xml:space="preserve"> </w:t>
      </w:r>
      <w:r w:rsidR="00B971CD" w:rsidRPr="00D25030">
        <w:t xml:space="preserve">na regeneraci brownfieldů </w:t>
      </w:r>
      <w:r w:rsidR="00FA3FF5">
        <w:t>ze zdrojů EU</w:t>
      </w:r>
      <w:r w:rsidR="00FA3FF5" w:rsidRPr="00D25030">
        <w:t xml:space="preserve"> </w:t>
      </w:r>
      <w:r w:rsidR="00B971CD" w:rsidRPr="00D25030">
        <w:t xml:space="preserve">v rámci </w:t>
      </w:r>
      <w:r w:rsidR="00157F93">
        <w:t>p</w:t>
      </w:r>
      <w:r w:rsidR="00B971CD" w:rsidRPr="00D25030">
        <w:t xml:space="preserve">rogramu </w:t>
      </w:r>
      <w:r w:rsidR="00B971CD" w:rsidRPr="00E64C9F">
        <w:rPr>
          <w:i/>
        </w:rPr>
        <w:t>Nemovitosti</w:t>
      </w:r>
      <w:r w:rsidR="00B971CD" w:rsidRPr="00D25030">
        <w:t xml:space="preserve"> financovaného z </w:t>
      </w:r>
      <w:r w:rsidR="00DF1F54">
        <w:t>o</w:t>
      </w:r>
      <w:r w:rsidR="00B971CD" w:rsidRPr="00D25030">
        <w:t xml:space="preserve">peračního programu </w:t>
      </w:r>
      <w:r w:rsidR="00B971CD" w:rsidRPr="00E64C9F">
        <w:rPr>
          <w:i/>
        </w:rPr>
        <w:t>Podnikání a</w:t>
      </w:r>
      <w:r w:rsidRPr="00E64C9F">
        <w:rPr>
          <w:i/>
        </w:rPr>
        <w:t> </w:t>
      </w:r>
      <w:r w:rsidR="00B971CD" w:rsidRPr="00E64C9F">
        <w:rPr>
          <w:i/>
        </w:rPr>
        <w:t>inovace pro konkurenceschopnost</w:t>
      </w:r>
      <w:r w:rsidR="00CB1D31">
        <w:t xml:space="preserve"> (OPPIK)</w:t>
      </w:r>
      <w:r w:rsidR="00B971CD" w:rsidRPr="00D25030">
        <w:t>. Formou podpory</w:t>
      </w:r>
      <w:r w:rsidR="00B971CD">
        <w:t xml:space="preserve"> z programu</w:t>
      </w:r>
      <w:r w:rsidR="00B971CD" w:rsidRPr="00D25030">
        <w:t xml:space="preserve"> byla </w:t>
      </w:r>
      <w:r w:rsidR="00B971CD">
        <w:t>dotace (</w:t>
      </w:r>
      <w:r w:rsidR="00B971CD" w:rsidRPr="00D25030">
        <w:t>nevratná forma</w:t>
      </w:r>
      <w:r w:rsidR="00B971CD">
        <w:t>)</w:t>
      </w:r>
      <w:r w:rsidR="00B971CD" w:rsidRPr="00D25030">
        <w:t xml:space="preserve"> nebo finanční nástroj </w:t>
      </w:r>
      <w:r w:rsidR="00B971CD">
        <w:t>(</w:t>
      </w:r>
      <w:r w:rsidR="00B971CD" w:rsidRPr="00D25030">
        <w:t xml:space="preserve">vratná forma). O </w:t>
      </w:r>
      <w:r w:rsidR="00FA3FF5">
        <w:t>získání dotace</w:t>
      </w:r>
      <w:r w:rsidR="00B971CD" w:rsidRPr="00D25030">
        <w:t xml:space="preserve"> byl mezi podnikatelskými subjekty velký zájem</w:t>
      </w:r>
      <w:r w:rsidR="00E544DD">
        <w:t xml:space="preserve"> </w:t>
      </w:r>
      <w:r w:rsidR="00B971CD" w:rsidRPr="00D25030">
        <w:t xml:space="preserve">a stanovený cíl pro oblast brownfieldů </w:t>
      </w:r>
      <w:r w:rsidR="00DF1F54">
        <w:t xml:space="preserve">MPO </w:t>
      </w:r>
      <w:r w:rsidR="00B971CD" w:rsidRPr="00D25030">
        <w:t>splnilo</w:t>
      </w:r>
      <w:r w:rsidR="00DF1F54" w:rsidRPr="00DF1F54">
        <w:t xml:space="preserve"> </w:t>
      </w:r>
      <w:r w:rsidR="00DF1F54" w:rsidRPr="00D25030">
        <w:t>do konce roku 2023</w:t>
      </w:r>
      <w:r w:rsidR="00B971CD" w:rsidRPr="00FB001D">
        <w:t>.</w:t>
      </w:r>
      <w:r w:rsidR="00736A06" w:rsidRPr="00FB001D">
        <w:t xml:space="preserve"> </w:t>
      </w:r>
      <w:r w:rsidR="00B971CD" w:rsidRPr="00D25030">
        <w:t>Z naprosté většiny ke splnění tohoto cíle přispěly projekty podpořené dotací</w:t>
      </w:r>
      <w:r w:rsidR="008C4B83">
        <w:t>, projekty podpořené finančním nástrojem přispěly minimálně</w:t>
      </w:r>
      <w:r w:rsidR="00B971CD">
        <w:t>.</w:t>
      </w:r>
      <w:r w:rsidR="0096490E">
        <w:t xml:space="preserve"> </w:t>
      </w:r>
      <w:r w:rsidR="00FF16EF" w:rsidRPr="003D7385">
        <w:t xml:space="preserve">U </w:t>
      </w:r>
      <w:r w:rsidR="00FF16EF">
        <w:t>deseti</w:t>
      </w:r>
      <w:r w:rsidR="00FF16EF" w:rsidRPr="003D7385">
        <w:t xml:space="preserve"> vybraných projektů </w:t>
      </w:r>
      <w:r w:rsidR="00C64D7C" w:rsidRPr="003D7385">
        <w:t>podpořených</w:t>
      </w:r>
      <w:r w:rsidR="00C64D7C">
        <w:t xml:space="preserve"> dotací</w:t>
      </w:r>
      <w:r w:rsidR="00C64D7C" w:rsidRPr="003D7385">
        <w:t xml:space="preserve"> </w:t>
      </w:r>
      <w:r w:rsidR="00FF16EF" w:rsidRPr="003D7385">
        <w:t>nezjistil NKÚ</w:t>
      </w:r>
      <w:r w:rsidR="00FF16EF">
        <w:t xml:space="preserve"> z dokladů předložených MPO</w:t>
      </w:r>
      <w:r w:rsidR="00FF16EF" w:rsidRPr="003D7385">
        <w:t xml:space="preserve"> porušení právních před</w:t>
      </w:r>
      <w:r w:rsidR="00FF16EF">
        <w:t>pisů nebo pochybení v oblasti hospodárnosti a</w:t>
      </w:r>
      <w:r w:rsidR="00DF1F54">
        <w:t> </w:t>
      </w:r>
      <w:r w:rsidR="00FF16EF">
        <w:t xml:space="preserve">účelnosti </w:t>
      </w:r>
      <w:r w:rsidR="0096490E">
        <w:t>(viz kapitola 4.6)</w:t>
      </w:r>
      <w:r w:rsidR="00DF1F54">
        <w:t>.</w:t>
      </w:r>
    </w:p>
    <w:p w14:paraId="1A7F74C8" w14:textId="77777777" w:rsidR="00BE1B02" w:rsidRDefault="00BE1B02" w:rsidP="00BE1B02">
      <w:pPr>
        <w:pStyle w:val="Odstavecseseznamem"/>
        <w:ind w:left="0"/>
        <w:contextualSpacing w:val="0"/>
      </w:pPr>
    </w:p>
    <w:p w14:paraId="029AFC2D" w14:textId="4EDA4677" w:rsidR="00303922" w:rsidRDefault="003D4D34" w:rsidP="003D4D34">
      <w:pPr>
        <w:tabs>
          <w:tab w:val="left" w:pos="426"/>
        </w:tabs>
      </w:pPr>
      <w:r>
        <w:t xml:space="preserve">1.7 </w:t>
      </w:r>
      <w:r>
        <w:tab/>
      </w:r>
      <w:r w:rsidR="00812167" w:rsidRPr="00C02DD6">
        <w:t>MPO d</w:t>
      </w:r>
      <w:r w:rsidR="00B971CD" w:rsidRPr="00C02DD6">
        <w:t xml:space="preserve">o konce programového období v roce 2023 </w:t>
      </w:r>
      <w:r w:rsidR="00CA4623" w:rsidRPr="00C02DD6">
        <w:t>podpořilo formou finančního nástroje</w:t>
      </w:r>
      <w:r w:rsidR="00B971CD" w:rsidRPr="00C02DD6">
        <w:t xml:space="preserve"> čtyři projekty </w:t>
      </w:r>
      <w:r w:rsidR="00DF1F54">
        <w:t xml:space="preserve">regenerace </w:t>
      </w:r>
      <w:r w:rsidR="00B971CD" w:rsidRPr="00C02DD6">
        <w:t xml:space="preserve">brownfieldů </w:t>
      </w:r>
      <w:r w:rsidR="00771CE9" w:rsidRPr="00C02DD6">
        <w:t xml:space="preserve">částkou </w:t>
      </w:r>
      <w:r w:rsidR="00B971CD" w:rsidRPr="00C02DD6">
        <w:t>ve výši 118</w:t>
      </w:r>
      <w:r w:rsidR="000C7943" w:rsidRPr="00C02DD6">
        <w:t> </w:t>
      </w:r>
      <w:r w:rsidR="00B971CD" w:rsidRPr="00C02DD6">
        <w:t>mil.</w:t>
      </w:r>
      <w:r w:rsidR="000C7943" w:rsidRPr="00C02DD6">
        <w:t> </w:t>
      </w:r>
      <w:r w:rsidR="00B971CD" w:rsidRPr="00C02DD6">
        <w:t>Kč</w:t>
      </w:r>
      <w:r w:rsidR="004164C6">
        <w:t xml:space="preserve"> a p</w:t>
      </w:r>
      <w:r w:rsidR="00FB001D">
        <w:t>odpora byla poskytnuta formou zvýhodněného úvěru</w:t>
      </w:r>
      <w:r w:rsidR="00BE1B02">
        <w:t xml:space="preserve">. </w:t>
      </w:r>
      <w:r w:rsidR="004164C6" w:rsidRPr="00BE1B02">
        <w:t>MPO</w:t>
      </w:r>
      <w:r w:rsidR="00FB001D" w:rsidRPr="00BE1B02">
        <w:t xml:space="preserve"> d</w:t>
      </w:r>
      <w:r w:rsidR="00B971CD" w:rsidRPr="00C02DD6">
        <w:t xml:space="preserve">o systému poskytování podpory zapojilo další dva </w:t>
      </w:r>
      <w:bookmarkEnd w:id="8"/>
      <w:r w:rsidR="00B971CD" w:rsidRPr="00C02DD6">
        <w:t>subjekty</w:t>
      </w:r>
      <w:r w:rsidR="00DA0DF4" w:rsidRPr="00C02DD6">
        <w:t xml:space="preserve">, a to tzv. Správce </w:t>
      </w:r>
      <w:r w:rsidR="00B971CD" w:rsidRPr="00C02DD6">
        <w:t>(</w:t>
      </w:r>
      <w:r w:rsidR="009C0A40">
        <w:t>dceřinou</w:t>
      </w:r>
      <w:r w:rsidR="00FF16EF">
        <w:t xml:space="preserve"> společnost banky vlastněné státem</w:t>
      </w:r>
      <w:r w:rsidR="00DA0DF4" w:rsidRPr="00BE1B02">
        <w:t>)</w:t>
      </w:r>
      <w:r w:rsidR="00BE1B02" w:rsidRPr="003D4D34">
        <w:rPr>
          <w:rFonts w:cstheme="minorHAnsi"/>
        </w:rPr>
        <w:t xml:space="preserve"> </w:t>
      </w:r>
      <w:r w:rsidR="00DA0DF4" w:rsidRPr="00BE1B02">
        <w:t>a tz</w:t>
      </w:r>
      <w:r w:rsidR="00DA0DF4" w:rsidRPr="00C02DD6">
        <w:t>v. Finančního zprostředkovatele</w:t>
      </w:r>
      <w:r w:rsidR="00B971CD" w:rsidRPr="00C02DD6">
        <w:t xml:space="preserve"> </w:t>
      </w:r>
      <w:r w:rsidR="00DA0DF4" w:rsidRPr="00C02DD6">
        <w:t>(</w:t>
      </w:r>
      <w:r w:rsidR="00B971CD" w:rsidRPr="00C02DD6">
        <w:t xml:space="preserve">soukromou společnost), kterým za jejich činnost </w:t>
      </w:r>
      <w:r w:rsidR="00CA4623" w:rsidRPr="00C02DD6">
        <w:t>do konce roku 2023</w:t>
      </w:r>
      <w:r w:rsidR="006C7133" w:rsidRPr="00C02DD6">
        <w:t xml:space="preserve"> </w:t>
      </w:r>
      <w:r w:rsidR="00B971CD" w:rsidRPr="00C02DD6">
        <w:t xml:space="preserve">poskytlo odměnu ve výši </w:t>
      </w:r>
      <w:r w:rsidR="009C0A40">
        <w:t>31,4</w:t>
      </w:r>
      <w:r w:rsidR="00B971CD" w:rsidRPr="00C02DD6">
        <w:t xml:space="preserve"> mil. Kč. </w:t>
      </w:r>
      <w:r w:rsidR="002F7EE7">
        <w:t>Za stanovení odměny byl zodpovědný Správce, který o</w:t>
      </w:r>
      <w:r w:rsidR="00A450D5">
        <w:t> </w:t>
      </w:r>
      <w:r w:rsidR="002F7EE7">
        <w:t xml:space="preserve">její výši MPO průběžně informoval. </w:t>
      </w:r>
      <w:r w:rsidR="00FB001D">
        <w:t>Zatímco</w:t>
      </w:r>
      <w:r w:rsidR="002F7EE7">
        <w:t xml:space="preserve"> </w:t>
      </w:r>
      <w:r w:rsidR="00BF0D33">
        <w:t>S</w:t>
      </w:r>
      <w:r w:rsidR="00FB001D">
        <w:t>právc</w:t>
      </w:r>
      <w:r w:rsidR="002F7EE7">
        <w:t>e</w:t>
      </w:r>
      <w:r w:rsidR="00FB001D">
        <w:t xml:space="preserve"> </w:t>
      </w:r>
      <w:r w:rsidR="002F7EE7">
        <w:t>si</w:t>
      </w:r>
      <w:r w:rsidR="00FB001D">
        <w:t xml:space="preserve"> </w:t>
      </w:r>
      <w:r w:rsidR="002F7EE7">
        <w:t>stanovil odměnu</w:t>
      </w:r>
      <w:r w:rsidR="00FB001D">
        <w:t xml:space="preserve"> </w:t>
      </w:r>
      <w:proofErr w:type="gramStart"/>
      <w:r w:rsidR="00FB001D">
        <w:t>ze</w:t>
      </w:r>
      <w:proofErr w:type="gramEnd"/>
      <w:r w:rsidR="00FB001D">
        <w:t xml:space="preserve"> skutečně mu uhrazených prostředků, </w:t>
      </w:r>
      <w:r w:rsidR="00FB001D" w:rsidRPr="003D4D34">
        <w:rPr>
          <w:rFonts w:cstheme="minorHAnsi"/>
        </w:rPr>
        <w:t>o</w:t>
      </w:r>
      <w:r w:rsidR="005137A5" w:rsidRPr="003D4D34">
        <w:rPr>
          <w:rFonts w:cstheme="minorHAnsi"/>
        </w:rPr>
        <w:t>dměn</w:t>
      </w:r>
      <w:r w:rsidR="00041116" w:rsidRPr="003D4D34">
        <w:rPr>
          <w:rFonts w:cstheme="minorHAnsi"/>
        </w:rPr>
        <w:t>u</w:t>
      </w:r>
      <w:r w:rsidR="005137A5" w:rsidRPr="003D4D34">
        <w:rPr>
          <w:rFonts w:cstheme="minorHAnsi"/>
        </w:rPr>
        <w:t xml:space="preserve"> </w:t>
      </w:r>
      <w:r w:rsidR="00303922" w:rsidRPr="003D4D34">
        <w:rPr>
          <w:rFonts w:cstheme="minorHAnsi"/>
        </w:rPr>
        <w:t>Finanční</w:t>
      </w:r>
      <w:r w:rsidR="00DF1F54">
        <w:rPr>
          <w:rFonts w:cstheme="minorHAnsi"/>
        </w:rPr>
        <w:t>mu</w:t>
      </w:r>
      <w:r w:rsidR="00303922" w:rsidRPr="003D4D34">
        <w:rPr>
          <w:rFonts w:cstheme="minorHAnsi"/>
        </w:rPr>
        <w:t xml:space="preserve"> zprostředkovatel</w:t>
      </w:r>
      <w:r w:rsidR="00DF1F54">
        <w:rPr>
          <w:rFonts w:cstheme="minorHAnsi"/>
        </w:rPr>
        <w:t>i</w:t>
      </w:r>
      <w:r w:rsidR="005137A5" w:rsidRPr="003D4D34">
        <w:rPr>
          <w:rFonts w:cstheme="minorHAnsi"/>
        </w:rPr>
        <w:t xml:space="preserve"> </w:t>
      </w:r>
      <w:r w:rsidR="00041116" w:rsidRPr="003D4D34">
        <w:rPr>
          <w:rFonts w:cstheme="minorHAnsi"/>
        </w:rPr>
        <w:t xml:space="preserve">stanovil Správce </w:t>
      </w:r>
      <w:r w:rsidR="00507FDE" w:rsidRPr="003D4D34">
        <w:rPr>
          <w:rFonts w:cstheme="minorHAnsi"/>
        </w:rPr>
        <w:t xml:space="preserve">z maximální </w:t>
      </w:r>
      <w:r w:rsidR="002F7EE7" w:rsidRPr="003D4D34">
        <w:rPr>
          <w:rFonts w:cstheme="minorHAnsi"/>
        </w:rPr>
        <w:t xml:space="preserve">celkové </w:t>
      </w:r>
      <w:r w:rsidR="00507FDE" w:rsidRPr="003D4D34">
        <w:rPr>
          <w:rFonts w:cstheme="minorHAnsi"/>
        </w:rPr>
        <w:t>částky</w:t>
      </w:r>
      <w:r w:rsidR="006B587C" w:rsidRPr="003D4D34">
        <w:rPr>
          <w:rFonts w:cstheme="minorHAnsi"/>
        </w:rPr>
        <w:t>,</w:t>
      </w:r>
      <w:r w:rsidR="00507FDE" w:rsidRPr="003D4D34">
        <w:rPr>
          <w:rFonts w:cstheme="minorHAnsi"/>
        </w:rPr>
        <w:t xml:space="preserve"> o jejíž převod mohl</w:t>
      </w:r>
      <w:r w:rsidR="002F7EE7" w:rsidRPr="003D4D34">
        <w:rPr>
          <w:rFonts w:cstheme="minorHAnsi"/>
        </w:rPr>
        <w:t xml:space="preserve"> zprostředkovatel požádat</w:t>
      </w:r>
      <w:r w:rsidR="004B50DA" w:rsidRPr="003D4D34">
        <w:rPr>
          <w:rFonts w:cstheme="minorHAnsi"/>
        </w:rPr>
        <w:t xml:space="preserve">, </w:t>
      </w:r>
      <w:r w:rsidR="00303922" w:rsidRPr="003D4D34">
        <w:rPr>
          <w:rFonts w:cstheme="minorHAnsi"/>
        </w:rPr>
        <w:t xml:space="preserve">nikoliv z částek, které mu byly </w:t>
      </w:r>
      <w:r w:rsidR="00303922" w:rsidRPr="003D4D34">
        <w:rPr>
          <w:rFonts w:cstheme="minorHAnsi"/>
        </w:rPr>
        <w:lastRenderedPageBreak/>
        <w:t xml:space="preserve">skutečně převedeny a které byly </w:t>
      </w:r>
      <w:r w:rsidR="00374921" w:rsidRPr="003D4D34">
        <w:rPr>
          <w:rFonts w:cstheme="minorHAnsi"/>
        </w:rPr>
        <w:t xml:space="preserve">významně </w:t>
      </w:r>
      <w:r w:rsidR="00303922" w:rsidRPr="003D4D34">
        <w:rPr>
          <w:rFonts w:cstheme="minorHAnsi"/>
        </w:rPr>
        <w:t>nižší</w:t>
      </w:r>
      <w:r w:rsidR="00507FDE" w:rsidRPr="003D4D34">
        <w:rPr>
          <w:rFonts w:cstheme="minorHAnsi"/>
        </w:rPr>
        <w:t xml:space="preserve">. </w:t>
      </w:r>
      <w:r w:rsidR="00CA4623" w:rsidRPr="00C02DD6">
        <w:t>Finální zúčtování a</w:t>
      </w:r>
      <w:r w:rsidR="00374921" w:rsidRPr="00C02DD6">
        <w:t> </w:t>
      </w:r>
      <w:r w:rsidR="00CA4623" w:rsidRPr="00C02DD6">
        <w:t>přepočtení výše odměny bude provedeno až při uzavření finančního nástroje</w:t>
      </w:r>
      <w:r w:rsidR="00CB1D31" w:rsidRPr="00C02DD6">
        <w:t>, které MPO předpokládá v roce 2028</w:t>
      </w:r>
      <w:r w:rsidR="00224A07">
        <w:rPr>
          <w:rStyle w:val="Znakapoznpodarou"/>
        </w:rPr>
        <w:footnoteReference w:id="4"/>
      </w:r>
      <w:r w:rsidR="00CB1D31" w:rsidRPr="00C02DD6">
        <w:t>.</w:t>
      </w:r>
      <w:r w:rsidR="00DA0DF4" w:rsidRPr="00C02DD6">
        <w:t xml:space="preserve"> Je</w:t>
      </w:r>
      <w:r w:rsidR="00A71073" w:rsidRPr="00C02DD6">
        <w:t xml:space="preserve"> nezbytné, aby MPO </w:t>
      </w:r>
      <w:r w:rsidR="0039054C" w:rsidRPr="00C02DD6">
        <w:t xml:space="preserve">za účelem způsobilosti výdajů za odměny </w:t>
      </w:r>
      <w:r w:rsidR="00BB4F15">
        <w:t xml:space="preserve">zajistilo, aby </w:t>
      </w:r>
      <w:r w:rsidR="00CB1D31" w:rsidRPr="00C02DD6">
        <w:t xml:space="preserve">finální </w:t>
      </w:r>
      <w:r w:rsidR="00AF70CC" w:rsidRPr="00C02DD6">
        <w:t xml:space="preserve">přepočet </w:t>
      </w:r>
      <w:r w:rsidR="00BB4F15">
        <w:t xml:space="preserve">byl proveden </w:t>
      </w:r>
      <w:r w:rsidR="00A71073" w:rsidRPr="00C02DD6">
        <w:t>v souladu s relevantními předpisy EU</w:t>
      </w:r>
      <w:r w:rsidR="00DF1F54">
        <w:t>,</w:t>
      </w:r>
      <w:r w:rsidR="0019059C">
        <w:t xml:space="preserve"> a tím </w:t>
      </w:r>
      <w:bookmarkStart w:id="10" w:name="_Hlk170800249"/>
      <w:r w:rsidR="001F047A">
        <w:t xml:space="preserve">vytvořilo předpoklady pro </w:t>
      </w:r>
      <w:bookmarkEnd w:id="10"/>
      <w:r w:rsidR="0019059C">
        <w:t>hospodárnost</w:t>
      </w:r>
      <w:r w:rsidR="00BB4F15">
        <w:t xml:space="preserve"> peněžních prostředků vynaložených na odměny</w:t>
      </w:r>
      <w:r w:rsidR="0019059C">
        <w:t xml:space="preserve"> </w:t>
      </w:r>
      <w:r w:rsidR="0096490E">
        <w:t>(viz kapitola 4.7)</w:t>
      </w:r>
      <w:r w:rsidR="008E3F90">
        <w:t>.</w:t>
      </w:r>
      <w:r w:rsidR="0013346F">
        <w:t xml:space="preserve"> </w:t>
      </w:r>
    </w:p>
    <w:p w14:paraId="7345A85B" w14:textId="77777777" w:rsidR="00BE1B02" w:rsidRPr="00BE1B02" w:rsidRDefault="00BE1B02" w:rsidP="00BE1B02">
      <w:pPr>
        <w:pStyle w:val="Odstavecseseznamem"/>
        <w:ind w:left="0"/>
        <w:contextualSpacing w:val="0"/>
      </w:pPr>
    </w:p>
    <w:p w14:paraId="7C411F88" w14:textId="7DCF0C67" w:rsidR="000A60E3" w:rsidRDefault="007841E1" w:rsidP="008E2B24">
      <w:pPr>
        <w:ind w:left="567" w:hanging="567"/>
        <w:rPr>
          <w:rFonts w:asciiTheme="minorHAnsi" w:hAnsiTheme="minorHAnsi" w:cstheme="minorHAnsi"/>
          <w:sz w:val="20"/>
          <w:szCs w:val="20"/>
        </w:rPr>
      </w:pPr>
      <w:r w:rsidRPr="00DC5FA5">
        <w:rPr>
          <w:rFonts w:asciiTheme="minorHAnsi" w:hAnsiTheme="minorHAnsi" w:cstheme="minorHAnsi"/>
          <w:b/>
          <w:sz w:val="20"/>
          <w:szCs w:val="20"/>
        </w:rPr>
        <w:t>Pozn.:</w:t>
      </w:r>
      <w:r>
        <w:rPr>
          <w:rFonts w:asciiTheme="minorHAnsi" w:hAnsiTheme="minorHAnsi" w:cstheme="minorHAnsi"/>
          <w:sz w:val="20"/>
          <w:szCs w:val="20"/>
        </w:rPr>
        <w:t xml:space="preserve"> </w:t>
      </w:r>
      <w:r>
        <w:rPr>
          <w:rFonts w:asciiTheme="minorHAnsi" w:hAnsiTheme="minorHAnsi" w:cstheme="minorHAnsi"/>
          <w:sz w:val="20"/>
          <w:szCs w:val="20"/>
        </w:rPr>
        <w:tab/>
      </w:r>
      <w:r w:rsidRPr="00DC5FA5">
        <w:rPr>
          <w:rFonts w:asciiTheme="minorHAnsi" w:hAnsiTheme="minorHAnsi" w:cstheme="minorHAnsi"/>
          <w:sz w:val="20"/>
          <w:szCs w:val="20"/>
        </w:rPr>
        <w:t xml:space="preserve">Právní předpisy uvedené v tomto kontrolním </w:t>
      </w:r>
      <w:r>
        <w:rPr>
          <w:rFonts w:asciiTheme="minorHAnsi" w:hAnsiTheme="minorHAnsi" w:cstheme="minorHAnsi"/>
          <w:sz w:val="20"/>
          <w:szCs w:val="20"/>
        </w:rPr>
        <w:t>závěru</w:t>
      </w:r>
      <w:r w:rsidRPr="00DC5FA5">
        <w:rPr>
          <w:rFonts w:asciiTheme="minorHAnsi" w:hAnsiTheme="minorHAnsi" w:cstheme="minorHAnsi"/>
          <w:sz w:val="20"/>
          <w:szCs w:val="20"/>
        </w:rPr>
        <w:t xml:space="preserve"> jsou aplikovány ve z</w:t>
      </w:r>
      <w:r>
        <w:rPr>
          <w:rFonts w:asciiTheme="minorHAnsi" w:hAnsiTheme="minorHAnsi" w:cstheme="minorHAnsi"/>
          <w:sz w:val="20"/>
          <w:szCs w:val="20"/>
        </w:rPr>
        <w:t>nění účinném pro </w:t>
      </w:r>
      <w:r w:rsidRPr="00DC5FA5">
        <w:rPr>
          <w:rFonts w:asciiTheme="minorHAnsi" w:hAnsiTheme="minorHAnsi" w:cstheme="minorHAnsi"/>
          <w:sz w:val="20"/>
          <w:szCs w:val="20"/>
        </w:rPr>
        <w:t>kontrolované období.</w:t>
      </w:r>
    </w:p>
    <w:p w14:paraId="43F99C77" w14:textId="77753436" w:rsidR="00A60E69" w:rsidRPr="00BE1B02" w:rsidRDefault="00AB3724" w:rsidP="00BF0D33">
      <w:pPr>
        <w:pStyle w:val="Nadpis1"/>
        <w:spacing w:before="840" w:after="120"/>
      </w:pPr>
      <w:r w:rsidRPr="00B971CD">
        <w:t>Informace o kontrolované oblasti</w:t>
      </w:r>
    </w:p>
    <w:p w14:paraId="5514B977" w14:textId="77777777" w:rsidR="00BE1B02" w:rsidRPr="00B750E0" w:rsidRDefault="00BE1B02" w:rsidP="00B750E0"/>
    <w:p w14:paraId="1C6F6533" w14:textId="6692153B" w:rsidR="00A60E69" w:rsidRDefault="00B971CD" w:rsidP="00A60E69">
      <w:pPr>
        <w:pStyle w:val="Nadpis2"/>
      </w:pPr>
      <w:bookmarkStart w:id="11" w:name="_Hlk164170973"/>
      <w:r w:rsidRPr="00CB5039">
        <w:t>Česká republika se dlouhodobě potýká s velkým počtem nemovitostí typu brownfield, které se nacházejí po celém jejím území. Jejich vznik má původ zejména v devadesátých letech, kdy se česká ekonomika transformovala na tržní a v důsledku restitucí a privatizace skokově narostl počet opuštěných průmyslových, zemědělských a vojenských areálů, hal a</w:t>
      </w:r>
      <w:r w:rsidR="000C7943">
        <w:t> </w:t>
      </w:r>
      <w:r w:rsidRPr="00CB5039">
        <w:t>skladů. Další brownfieldy pak vznikaly v důsledku technologického pokroku a</w:t>
      </w:r>
      <w:r w:rsidR="000C7943">
        <w:t> </w:t>
      </w:r>
      <w:r w:rsidRPr="00CB5039">
        <w:t>hospodářských výkyvů. Brownfield má na své okolí většinou negativní dopady</w:t>
      </w:r>
      <w:r w:rsidR="00FA3FF5">
        <w:t>,</w:t>
      </w:r>
      <w:r w:rsidRPr="00CB5039">
        <w:t xml:space="preserve"> jako například nebezpečí pro zdraví a bezpečnost obyvatel a jejich majetek a snížení ekonomického potenciálu území </w:t>
      </w:r>
      <w:r w:rsidR="00FE67F3">
        <w:t>v </w:t>
      </w:r>
      <w:r w:rsidRPr="00CB5039">
        <w:t>okol</w:t>
      </w:r>
      <w:r w:rsidR="00FE67F3">
        <w:t>í</w:t>
      </w:r>
      <w:r w:rsidRPr="00CB5039">
        <w:t xml:space="preserve"> </w:t>
      </w:r>
      <w:proofErr w:type="spellStart"/>
      <w:r w:rsidRPr="00CB5039">
        <w:t>brownfieldu</w:t>
      </w:r>
      <w:proofErr w:type="spellEnd"/>
      <w:r w:rsidRPr="00CB5039">
        <w:t>. Regenerace</w:t>
      </w:r>
      <w:r w:rsidR="00C96BC5">
        <w:rPr>
          <w:rStyle w:val="Znakapoznpodarou"/>
        </w:rPr>
        <w:footnoteReference w:id="5"/>
      </w:r>
      <w:r w:rsidRPr="00CB5039">
        <w:t xml:space="preserve"> brownfieldů jsou často nákladné a časově náročné.</w:t>
      </w:r>
    </w:p>
    <w:p w14:paraId="59EC3B68" w14:textId="77777777" w:rsidR="00A60E69" w:rsidRPr="00A60E69" w:rsidRDefault="00A60E69" w:rsidP="00A60E69"/>
    <w:p w14:paraId="358EB954" w14:textId="3C6B7FD0" w:rsidR="00A60E69" w:rsidRDefault="00001B9E" w:rsidP="00A60E69">
      <w:pPr>
        <w:pStyle w:val="Nadpis2"/>
      </w:pPr>
      <w:r w:rsidRPr="00A66720">
        <w:rPr>
          <w:i/>
        </w:rPr>
        <w:t>Národní strategie regenerací brownfieldů 2019</w:t>
      </w:r>
      <w:r w:rsidR="00EC0B44" w:rsidRPr="00A66720">
        <w:rPr>
          <w:i/>
        </w:rPr>
        <w:t>–</w:t>
      </w:r>
      <w:r w:rsidRPr="00A66720">
        <w:rPr>
          <w:i/>
        </w:rPr>
        <w:t>2024</w:t>
      </w:r>
      <w:r>
        <w:t xml:space="preserve"> </w:t>
      </w:r>
      <w:r w:rsidR="00B971CD" w:rsidRPr="00B750E0">
        <w:t>je strategický dokument, jehož účelem je koordinovaná podpora ze strany státní a veřejné správy zaměřená na</w:t>
      </w:r>
      <w:r w:rsidR="00FA3FF5">
        <w:t> </w:t>
      </w:r>
      <w:r w:rsidR="00B971CD" w:rsidRPr="00B750E0">
        <w:t>regenerace brownfieldů na celém území ČR</w:t>
      </w:r>
      <w:r w:rsidR="00FE67F3">
        <w:t>.</w:t>
      </w:r>
      <w:r>
        <w:t xml:space="preserve"> </w:t>
      </w:r>
      <w:r w:rsidR="00FE67F3">
        <w:t>J</w:t>
      </w:r>
      <w:r>
        <w:t>sou v ní stanoveny vize</w:t>
      </w:r>
      <w:r w:rsidR="00B971CD" w:rsidRPr="00B750E0">
        <w:t xml:space="preserve"> a cíle </w:t>
      </w:r>
      <w:r w:rsidR="00FE67F3">
        <w:t xml:space="preserve">pro </w:t>
      </w:r>
      <w:r w:rsidR="00B971CD" w:rsidRPr="00B750E0">
        <w:t>období 2019 až 2024</w:t>
      </w:r>
      <w:r w:rsidR="00FE67F3">
        <w:t>,</w:t>
      </w:r>
      <w:r w:rsidR="00B971CD" w:rsidRPr="00B750E0">
        <w:t xml:space="preserve"> rozčleněné do čtyř tematických oblastí. Pro jednotlivé cíle </w:t>
      </w:r>
      <w:r>
        <w:t>byly</w:t>
      </w:r>
      <w:r w:rsidR="00B971CD" w:rsidRPr="00B750E0">
        <w:t xml:space="preserve"> stanoveny úkoly</w:t>
      </w:r>
      <w:r w:rsidR="00FA3FF5">
        <w:t>,</w:t>
      </w:r>
      <w:r w:rsidR="00B971CD" w:rsidRPr="00B750E0">
        <w:t xml:space="preserve"> tzv.</w:t>
      </w:r>
      <w:r w:rsidR="00FA3FF5">
        <w:t> </w:t>
      </w:r>
      <w:r w:rsidR="00B971CD" w:rsidRPr="00B750E0">
        <w:t>opatření</w:t>
      </w:r>
      <w:r w:rsidR="00FE67F3">
        <w:t>,</w:t>
      </w:r>
      <w:r>
        <w:t xml:space="preserve"> a u každého </w:t>
      </w:r>
      <w:r w:rsidR="00B971CD" w:rsidRPr="00B750E0">
        <w:t xml:space="preserve">určeny zodpovědné a spolupracující instituce a termíny pro splnění. </w:t>
      </w:r>
    </w:p>
    <w:p w14:paraId="1E967226" w14:textId="77777777" w:rsidR="00A60E69" w:rsidRPr="00A60E69" w:rsidRDefault="00A60E69" w:rsidP="00A60E69"/>
    <w:p w14:paraId="6688BCA2" w14:textId="307BE8FB" w:rsidR="00C2171B" w:rsidRDefault="00B971CD" w:rsidP="00A60E69">
      <w:pPr>
        <w:pStyle w:val="Nadpis2"/>
        <w:rPr>
          <w:rFonts w:cstheme="minorHAnsi"/>
        </w:rPr>
      </w:pPr>
      <w:r w:rsidRPr="00A66720">
        <w:rPr>
          <w:rFonts w:cstheme="minorHAnsi"/>
          <w:i/>
        </w:rPr>
        <w:t>Národní databáze brownfieldů</w:t>
      </w:r>
      <w:r w:rsidRPr="00B750E0">
        <w:rPr>
          <w:rFonts w:cstheme="minorHAnsi"/>
        </w:rPr>
        <w:t xml:space="preserve"> je databáze, ve které se evidují nemovitosti odpovídající definici brownfieldu. Za její správu je zodpovědná Agentura CzechInvest. Účelem databáze je poskytovat přehled o počtu, charakteru a vývoji brownfieldů na území ČR. Databáze je rozdělena na veřejnou a neveřejnou část. Prostřednictvím veřejné části jsou brownfieldy nabízeny jako investiční příležitost. Neveřejná část slouží k evidenci brownfieldových lokalit ucházejících se o různé formy veřejné podpory anebo pro statistické účely a tvorbu analýz. </w:t>
      </w:r>
    </w:p>
    <w:p w14:paraId="4B9C006A" w14:textId="77777777" w:rsidR="00A60E69" w:rsidRPr="00A60E69" w:rsidRDefault="00A60E69" w:rsidP="00A60E69"/>
    <w:p w14:paraId="58219D5F" w14:textId="02139117" w:rsidR="00C2171B" w:rsidRDefault="00C2171B" w:rsidP="00C2171B">
      <w:pPr>
        <w:pStyle w:val="Nadpis2"/>
      </w:pPr>
      <w:r w:rsidRPr="00C2171B">
        <w:t xml:space="preserve">Agentura CzechInvest v </w:t>
      </w:r>
      <w:r w:rsidRPr="00A66720">
        <w:rPr>
          <w:i/>
        </w:rPr>
        <w:t>Národní databázi brownfieldů</w:t>
      </w:r>
      <w:r w:rsidRPr="00C2171B">
        <w:t xml:space="preserve"> evidovala v době kontroly 4 349 brownfieldů s celkovou rozlohou 13 </w:t>
      </w:r>
      <w:r w:rsidR="009C0A40">
        <w:t>228</w:t>
      </w:r>
      <w:r w:rsidRPr="00C2171B">
        <w:t xml:space="preserve"> ha. Nejvíce brownfieldů evidovala v kraji Moravskoslezském, Jihomoravském, Ústeckém a Liberecké</w:t>
      </w:r>
      <w:r>
        <w:t>m a jejich n</w:t>
      </w:r>
      <w:r w:rsidRPr="00C2171B">
        <w:t xml:space="preserve">ejčastějším původem byl průmysl, zemědělství nebo objekty občanské vybavenosti. Do </w:t>
      </w:r>
      <w:r w:rsidRPr="00A66720">
        <w:rPr>
          <w:i/>
        </w:rPr>
        <w:t xml:space="preserve">Národní databáze </w:t>
      </w:r>
      <w:proofErr w:type="spellStart"/>
      <w:r w:rsidRPr="00A66720">
        <w:rPr>
          <w:i/>
        </w:rPr>
        <w:t>brownfieldů</w:t>
      </w:r>
      <w:proofErr w:type="spellEnd"/>
      <w:r w:rsidRPr="00C2171B">
        <w:t xml:space="preserve"> evid</w:t>
      </w:r>
      <w:r w:rsidR="00FE67F3">
        <w:t>ují</w:t>
      </w:r>
      <w:r w:rsidRPr="00C2171B">
        <w:t xml:space="preserve"> nové lokality buď zaměstnanci Agentury CzechInvest na</w:t>
      </w:r>
      <w:r w:rsidR="00476FC7">
        <w:t> </w:t>
      </w:r>
      <w:r w:rsidRPr="00C2171B">
        <w:t xml:space="preserve">základě vlastního </w:t>
      </w:r>
      <w:r w:rsidRPr="00C2171B">
        <w:lastRenderedPageBreak/>
        <w:t>mapování nebo přímo vlastníci těchto lokalit po schválení ze strany Agentury CzechInvest</w:t>
      </w:r>
      <w:bookmarkStart w:id="12" w:name="_Hlk169682544"/>
      <w:r w:rsidR="002D086B">
        <w:t>. V</w:t>
      </w:r>
      <w:r w:rsidR="00263CC0">
        <w:t> </w:t>
      </w:r>
      <w:r w:rsidRPr="00A66720">
        <w:rPr>
          <w:i/>
        </w:rPr>
        <w:t>Národní databáz</w:t>
      </w:r>
      <w:r w:rsidR="00E12CA4" w:rsidRPr="00A66720">
        <w:rPr>
          <w:i/>
        </w:rPr>
        <w:t>i</w:t>
      </w:r>
      <w:r w:rsidRPr="00A66720">
        <w:rPr>
          <w:i/>
        </w:rPr>
        <w:t xml:space="preserve"> </w:t>
      </w:r>
      <w:proofErr w:type="spellStart"/>
      <w:r w:rsidRPr="00A66720">
        <w:rPr>
          <w:i/>
        </w:rPr>
        <w:t>brownfieldů</w:t>
      </w:r>
      <w:proofErr w:type="spellEnd"/>
      <w:r w:rsidRPr="00C2171B">
        <w:t xml:space="preserve"> tedy </w:t>
      </w:r>
      <w:r w:rsidR="00E12CA4">
        <w:t>nejsou zaevidovány všechny brownfieldy nacházející se na území ČR</w:t>
      </w:r>
      <w:r w:rsidR="00005103">
        <w:t>.</w:t>
      </w:r>
    </w:p>
    <w:bookmarkEnd w:id="12"/>
    <w:p w14:paraId="5254E86B" w14:textId="77777777" w:rsidR="00C2171B" w:rsidRPr="00C2171B" w:rsidRDefault="00C2171B" w:rsidP="00C2171B"/>
    <w:p w14:paraId="2EE378E8" w14:textId="4DE5D4BD" w:rsidR="00BE1B02" w:rsidRPr="00BE1B02" w:rsidRDefault="00B971CD" w:rsidP="00BE1B02">
      <w:pPr>
        <w:pStyle w:val="Nadpis2"/>
        <w:numPr>
          <w:ilvl w:val="0"/>
          <w:numId w:val="1"/>
        </w:numPr>
        <w:ind w:left="0" w:firstLine="0"/>
        <w:rPr>
          <w:rFonts w:cstheme="minorHAnsi"/>
          <w:color w:val="000000"/>
        </w:rPr>
      </w:pPr>
      <w:r w:rsidRPr="00B750E0">
        <w:rPr>
          <w:rFonts w:cstheme="minorHAnsi"/>
        </w:rPr>
        <w:t>Ministerstvo průmyslu a obchodu v kontrolovaném období poskytovalo podporu na</w:t>
      </w:r>
      <w:r w:rsidR="000C7943">
        <w:rPr>
          <w:rFonts w:cstheme="minorHAnsi"/>
        </w:rPr>
        <w:t> </w:t>
      </w:r>
      <w:r w:rsidRPr="00B750E0">
        <w:rPr>
          <w:rFonts w:cstheme="minorHAnsi"/>
        </w:rPr>
        <w:t xml:space="preserve">regenerace brownfieldů jak z peněžních prostředků státu, tak </w:t>
      </w:r>
      <w:r w:rsidR="00005103" w:rsidRPr="00430359">
        <w:rPr>
          <w:rFonts w:cstheme="minorHAnsi"/>
        </w:rPr>
        <w:t>ze zdrojů EU</w:t>
      </w:r>
      <w:r w:rsidRPr="00430359">
        <w:rPr>
          <w:rFonts w:cstheme="minorHAnsi"/>
        </w:rPr>
        <w:t>.</w:t>
      </w:r>
      <w:r w:rsidRPr="00B750E0">
        <w:rPr>
          <w:rFonts w:cstheme="minorHAnsi"/>
        </w:rPr>
        <w:t xml:space="preserve"> Podpora poskytovaná z peněžních prostředků státu a v rámci </w:t>
      </w:r>
      <w:r w:rsidRPr="00A66720">
        <w:rPr>
          <w:rFonts w:cstheme="minorHAnsi"/>
          <w:i/>
        </w:rPr>
        <w:t xml:space="preserve">Národního plánu obnovy </w:t>
      </w:r>
      <w:r w:rsidRPr="00B750E0">
        <w:rPr>
          <w:rFonts w:cstheme="minorHAnsi"/>
        </w:rPr>
        <w:t>byla zejména orientovaná na příjemce, kterými byly kraje a obce. Podpora z OPPIK byla orientovaná na</w:t>
      </w:r>
      <w:r w:rsidR="002D6D61">
        <w:rPr>
          <w:rFonts w:cstheme="minorHAnsi"/>
        </w:rPr>
        <w:t> </w:t>
      </w:r>
      <w:r w:rsidRPr="00B750E0">
        <w:rPr>
          <w:rFonts w:cstheme="minorHAnsi"/>
        </w:rPr>
        <w:t>podnikatelské subjekty. Podporu na regenerace brownfieldů MPO poskytovalo</w:t>
      </w:r>
      <w:r w:rsidRPr="00B750E0">
        <w:rPr>
          <w:rFonts w:cstheme="minorHAnsi"/>
          <w:color w:val="000000"/>
        </w:rPr>
        <w:t xml:space="preserve"> v kontrolovaném období formou dotací a formou finančního nástroje.</w:t>
      </w:r>
    </w:p>
    <w:p w14:paraId="711B5E7B" w14:textId="77777777" w:rsidR="00755653" w:rsidRPr="00755653" w:rsidRDefault="00755653" w:rsidP="00755653"/>
    <w:p w14:paraId="0CE0FC45" w14:textId="18D88548" w:rsidR="00755653" w:rsidRDefault="00B971CD" w:rsidP="00BE1B02">
      <w:pPr>
        <w:pStyle w:val="Nadpis2"/>
      </w:pPr>
      <w:r w:rsidRPr="00B750E0">
        <w:t>Podporu na regenerace brownfieldů z peněžních prostředků státního rozpočtu (z</w:t>
      </w:r>
      <w:r w:rsidR="000C7943">
        <w:t> </w:t>
      </w:r>
      <w:r w:rsidRPr="00B750E0">
        <w:t xml:space="preserve">kapitoly 322 – MPO) umožnilo MPO čerpat z </w:t>
      </w:r>
      <w:r w:rsidR="00111142">
        <w:t>p</w:t>
      </w:r>
      <w:r w:rsidRPr="00B750E0">
        <w:t>rogramu 222 230</w:t>
      </w:r>
      <w:r w:rsidR="00111142">
        <w:t> –</w:t>
      </w:r>
      <w:r w:rsidRPr="00B750E0">
        <w:t xml:space="preserve"> </w:t>
      </w:r>
      <w:r w:rsidRPr="00A66720">
        <w:rPr>
          <w:i/>
        </w:rPr>
        <w:t>Podpora podnikatelských nemovitostí a infrastruktury</w:t>
      </w:r>
      <w:r w:rsidRPr="00B750E0">
        <w:t xml:space="preserve">, </w:t>
      </w:r>
      <w:r w:rsidR="00111142">
        <w:t>p</w:t>
      </w:r>
      <w:r w:rsidRPr="00B750E0">
        <w:t>rogramu 122D20</w:t>
      </w:r>
      <w:r w:rsidR="00111142">
        <w:t> –</w:t>
      </w:r>
      <w:r w:rsidRPr="00B750E0">
        <w:t xml:space="preserve"> </w:t>
      </w:r>
      <w:r w:rsidRPr="00A66720">
        <w:rPr>
          <w:i/>
        </w:rPr>
        <w:t xml:space="preserve">Smart </w:t>
      </w:r>
      <w:proofErr w:type="spellStart"/>
      <w:r w:rsidRPr="00A66720">
        <w:rPr>
          <w:i/>
        </w:rPr>
        <w:t>Parks</w:t>
      </w:r>
      <w:proofErr w:type="spellEnd"/>
      <w:r w:rsidRPr="00A66720">
        <w:rPr>
          <w:i/>
        </w:rPr>
        <w:t xml:space="preserve"> </w:t>
      </w:r>
      <w:proofErr w:type="spellStart"/>
      <w:r w:rsidRPr="00A66720">
        <w:rPr>
          <w:i/>
        </w:rPr>
        <w:t>For</w:t>
      </w:r>
      <w:proofErr w:type="spellEnd"/>
      <w:r w:rsidRPr="00A66720">
        <w:rPr>
          <w:i/>
        </w:rPr>
        <w:t xml:space="preserve"> </w:t>
      </w:r>
      <w:proofErr w:type="spellStart"/>
      <w:r w:rsidRPr="00A66720">
        <w:rPr>
          <w:i/>
        </w:rPr>
        <w:t>The</w:t>
      </w:r>
      <w:proofErr w:type="spellEnd"/>
      <w:r w:rsidRPr="00A66720">
        <w:rPr>
          <w:i/>
        </w:rPr>
        <w:t xml:space="preserve"> </w:t>
      </w:r>
      <w:proofErr w:type="spellStart"/>
      <w:r w:rsidRPr="00A66720">
        <w:rPr>
          <w:i/>
        </w:rPr>
        <w:t>Future</w:t>
      </w:r>
      <w:proofErr w:type="spellEnd"/>
      <w:r w:rsidRPr="00B750E0">
        <w:t xml:space="preserve"> a </w:t>
      </w:r>
      <w:r w:rsidR="00111142">
        <w:t>p</w:t>
      </w:r>
      <w:r w:rsidRPr="00B750E0">
        <w:t>rogramu 122D21</w:t>
      </w:r>
      <w:r w:rsidR="00111142">
        <w:t> –</w:t>
      </w:r>
      <w:r w:rsidRPr="00B750E0">
        <w:t xml:space="preserve"> </w:t>
      </w:r>
      <w:r w:rsidRPr="00A66720">
        <w:rPr>
          <w:i/>
        </w:rPr>
        <w:t xml:space="preserve">Regenerace a podnikatelské využití </w:t>
      </w:r>
      <w:proofErr w:type="spellStart"/>
      <w:r w:rsidRPr="00A66720">
        <w:rPr>
          <w:i/>
        </w:rPr>
        <w:t>brownfieldů</w:t>
      </w:r>
      <w:proofErr w:type="spellEnd"/>
      <w:r w:rsidRPr="00B750E0">
        <w:t>. Podporu na regenerace brownfieldů z</w:t>
      </w:r>
      <w:r w:rsidR="00005103">
        <w:t>e zdrojů EU</w:t>
      </w:r>
      <w:r w:rsidRPr="00B750E0">
        <w:t xml:space="preserve"> umožnilo MPO čerpat z</w:t>
      </w:r>
      <w:r w:rsidR="000C7943">
        <w:t> </w:t>
      </w:r>
      <w:r w:rsidRPr="00A66720">
        <w:rPr>
          <w:i/>
        </w:rPr>
        <w:t>Národního plánu obnovy</w:t>
      </w:r>
      <w:r w:rsidR="000A51D9">
        <w:rPr>
          <w:rStyle w:val="Znakapoznpodarou"/>
          <w:rFonts w:cstheme="minorHAnsi"/>
        </w:rPr>
        <w:footnoteReference w:id="6"/>
      </w:r>
      <w:r w:rsidRPr="00B750E0">
        <w:t xml:space="preserve"> (dále také „NPO</w:t>
      </w:r>
      <w:r w:rsidR="00BE1B02">
        <w:t xml:space="preserve">“) </w:t>
      </w:r>
      <w:r w:rsidRPr="00B750E0">
        <w:t>a z </w:t>
      </w:r>
      <w:r w:rsidR="00111142">
        <w:t>p</w:t>
      </w:r>
      <w:r w:rsidRPr="00B750E0">
        <w:t xml:space="preserve">rogramu </w:t>
      </w:r>
      <w:r w:rsidRPr="00A66720">
        <w:rPr>
          <w:i/>
        </w:rPr>
        <w:t>Nemovitosti</w:t>
      </w:r>
      <w:r w:rsidRPr="00B750E0">
        <w:t xml:space="preserve"> v rámci operačního programu </w:t>
      </w:r>
      <w:r w:rsidRPr="00A66720">
        <w:rPr>
          <w:i/>
        </w:rPr>
        <w:t>Podnikání a</w:t>
      </w:r>
      <w:r w:rsidR="00111142" w:rsidRPr="00A66720">
        <w:rPr>
          <w:i/>
        </w:rPr>
        <w:t> </w:t>
      </w:r>
      <w:r w:rsidRPr="00A66720">
        <w:rPr>
          <w:i/>
        </w:rPr>
        <w:t>inovace pro konkurenceschopnost</w:t>
      </w:r>
      <w:r w:rsidRPr="00B750E0">
        <w:t xml:space="preserve"> (dále také „OPPIK“).</w:t>
      </w:r>
      <w:r w:rsidR="000A51D9">
        <w:t xml:space="preserve"> </w:t>
      </w:r>
    </w:p>
    <w:p w14:paraId="6F21A1DE" w14:textId="77777777" w:rsidR="00BE1B02" w:rsidRPr="00755653" w:rsidRDefault="00BE1B02" w:rsidP="00755653"/>
    <w:p w14:paraId="72E73953" w14:textId="765D3D60" w:rsidR="002D732A" w:rsidRDefault="00B971CD" w:rsidP="00DA6F12">
      <w:pPr>
        <w:pStyle w:val="Nadpis2"/>
        <w:spacing w:after="120"/>
        <w:rPr>
          <w:rFonts w:cstheme="minorHAnsi"/>
        </w:rPr>
      </w:pPr>
      <w:r w:rsidRPr="00B750E0">
        <w:rPr>
          <w:rFonts w:cstheme="minorHAnsi"/>
        </w:rPr>
        <w:t xml:space="preserve">Výkon některých činnosti spojených s poskytováním podpory na regenerace brownfieldů přeneslo MPO na jiné subjekty. Jednalo se o: </w:t>
      </w:r>
    </w:p>
    <w:p w14:paraId="33DFDF76" w14:textId="6E37F7C8" w:rsidR="00B971CD" w:rsidRPr="002D732A" w:rsidRDefault="00B971CD" w:rsidP="00DA6F12">
      <w:pPr>
        <w:pStyle w:val="Odstavecseseznamem"/>
        <w:numPr>
          <w:ilvl w:val="0"/>
          <w:numId w:val="4"/>
        </w:numPr>
        <w:spacing w:after="120"/>
        <w:ind w:left="284" w:hanging="284"/>
        <w:contextualSpacing w:val="0"/>
      </w:pPr>
      <w:r w:rsidRPr="002D732A">
        <w:t xml:space="preserve">Agenturu </w:t>
      </w:r>
      <w:proofErr w:type="spellStart"/>
      <w:r w:rsidRPr="002D732A">
        <w:t>CzechInvest</w:t>
      </w:r>
      <w:proofErr w:type="spellEnd"/>
      <w:r w:rsidRPr="002D732A">
        <w:t xml:space="preserve">, u </w:t>
      </w:r>
      <w:r w:rsidR="00111142">
        <w:t>p</w:t>
      </w:r>
      <w:r w:rsidRPr="002D732A">
        <w:t xml:space="preserve">rogramu 122D20, </w:t>
      </w:r>
      <w:r w:rsidR="00111142">
        <w:t>p</w:t>
      </w:r>
      <w:r w:rsidRPr="002D732A">
        <w:t xml:space="preserve">rogramu 122D21 a </w:t>
      </w:r>
      <w:r w:rsidR="00111142">
        <w:t>p</w:t>
      </w:r>
      <w:r w:rsidRPr="002D732A">
        <w:t>rogramu 222 230</w:t>
      </w:r>
      <w:r w:rsidRPr="001F66B2">
        <w:rPr>
          <w:vertAlign w:val="superscript"/>
        </w:rPr>
        <w:footnoteReference w:id="7"/>
      </w:r>
      <w:r w:rsidRPr="002D732A">
        <w:t xml:space="preserve">, </w:t>
      </w:r>
    </w:p>
    <w:p w14:paraId="2E8C7F7F" w14:textId="75F629AA" w:rsidR="00B971CD" w:rsidRPr="00B750E0" w:rsidRDefault="00B971CD" w:rsidP="00DA6F12">
      <w:pPr>
        <w:pStyle w:val="Odstavecseseznamem"/>
        <w:numPr>
          <w:ilvl w:val="0"/>
          <w:numId w:val="4"/>
        </w:numPr>
        <w:spacing w:after="120"/>
        <w:ind w:left="284" w:hanging="284"/>
        <w:contextualSpacing w:val="0"/>
      </w:pPr>
      <w:r w:rsidRPr="00B750E0">
        <w:t xml:space="preserve">Agenturu pro podnikání a inovace, u OPPIK </w:t>
      </w:r>
      <w:r w:rsidRPr="00CF1EAB">
        <w:t>a</w:t>
      </w:r>
      <w:r w:rsidR="000C7943">
        <w:t> </w:t>
      </w:r>
      <w:r w:rsidRPr="00CF1EAB">
        <w:t>je tímto subjektem rovněž i u OPTAK</w:t>
      </w:r>
      <w:r w:rsidRPr="001F66B2">
        <w:rPr>
          <w:vertAlign w:val="superscript"/>
        </w:rPr>
        <w:footnoteReference w:id="8"/>
      </w:r>
      <w:r w:rsidRPr="00CF1EAB">
        <w:t xml:space="preserve">, </w:t>
      </w:r>
    </w:p>
    <w:p w14:paraId="078BA40E" w14:textId="7B76383D" w:rsidR="00A60E69" w:rsidRDefault="00111142" w:rsidP="00DA6F12">
      <w:pPr>
        <w:pStyle w:val="Odstavecseseznamem"/>
        <w:numPr>
          <w:ilvl w:val="0"/>
          <w:numId w:val="4"/>
        </w:numPr>
        <w:ind w:left="284" w:hanging="284"/>
        <w:contextualSpacing w:val="0"/>
      </w:pPr>
      <w:r>
        <w:t>s</w:t>
      </w:r>
      <w:r w:rsidR="00B971CD" w:rsidRPr="00B750E0">
        <w:t xml:space="preserve">tatutární město Pardubice a </w:t>
      </w:r>
      <w:r>
        <w:t>s</w:t>
      </w:r>
      <w:r w:rsidR="00B971CD" w:rsidRPr="00B750E0">
        <w:t>tatutární město Olomouc, při realizaci integrovaných územních investic</w:t>
      </w:r>
      <w:r w:rsidR="00B971CD" w:rsidRPr="001F66B2">
        <w:rPr>
          <w:vertAlign w:val="superscript"/>
        </w:rPr>
        <w:footnoteReference w:id="9"/>
      </w:r>
      <w:r w:rsidR="00B971CD" w:rsidRPr="001F66B2">
        <w:rPr>
          <w:vertAlign w:val="superscript"/>
        </w:rPr>
        <w:t xml:space="preserve"> </w:t>
      </w:r>
      <w:r w:rsidR="00B971CD" w:rsidRPr="00B750E0">
        <w:t xml:space="preserve">v rámci OPPIK. </w:t>
      </w:r>
      <w:bookmarkEnd w:id="11"/>
    </w:p>
    <w:p w14:paraId="659FB1D0" w14:textId="77777777" w:rsidR="00755653" w:rsidRDefault="00755653" w:rsidP="00DA6F12">
      <w:pPr>
        <w:pStyle w:val="Odstavecseseznamem"/>
        <w:ind w:left="0"/>
        <w:contextualSpacing w:val="0"/>
      </w:pPr>
    </w:p>
    <w:p w14:paraId="31888BBC" w14:textId="3AE70AB0" w:rsidR="00C2171B" w:rsidRDefault="002D732A" w:rsidP="00755653">
      <w:pPr>
        <w:pStyle w:val="Nadpis2"/>
      </w:pPr>
      <w:r w:rsidRPr="002D732A">
        <w:t>Program 222 230</w:t>
      </w:r>
      <w:r w:rsidR="00111142">
        <w:t> –</w:t>
      </w:r>
      <w:r w:rsidRPr="002D732A">
        <w:t xml:space="preserve"> </w:t>
      </w:r>
      <w:r w:rsidRPr="00A66720">
        <w:rPr>
          <w:i/>
        </w:rPr>
        <w:t>Podpora podnikatelských nemovitostí a infrastruktury</w:t>
      </w:r>
      <w:r w:rsidRPr="002D732A">
        <w:t xml:space="preserve"> z roku 2006 má sloužit k realizaci projektů jak na zelené louce, tak v lokalitách typu brownfield, jejichž cílem je rozvoj infrastruktury pro předem neurčeného uživatele nemovitosti. Formou podpory může být dotace, návratná finanční výpomoc či převod pozemku ve vlastnictví státu. Příjemcem podpory mohou být obce, svazky obcí, kraje, státní podniky, příspěvkové organizace státu a organizační složky státu. Celková alokace byla stanovena na 5 031 mil. Kč a ukončení realizace programu bylo z původně plánovaného roku 2009 postupně posunuto až na rok 2025. </w:t>
      </w:r>
    </w:p>
    <w:p w14:paraId="4A568E83" w14:textId="118CAB3C" w:rsidR="00EF5DB0" w:rsidRDefault="002D732A" w:rsidP="00755653">
      <w:pPr>
        <w:pStyle w:val="Nadpis2"/>
        <w:rPr>
          <w:rFonts w:cstheme="minorHAnsi"/>
        </w:rPr>
      </w:pPr>
      <w:r w:rsidRPr="00B750E0">
        <w:rPr>
          <w:rFonts w:cstheme="minorHAnsi"/>
        </w:rPr>
        <w:lastRenderedPageBreak/>
        <w:t>Program 122D20</w:t>
      </w:r>
      <w:r w:rsidR="00111142">
        <w:t> –</w:t>
      </w:r>
      <w:r w:rsidRPr="00B750E0">
        <w:rPr>
          <w:rFonts w:cstheme="minorHAnsi"/>
        </w:rPr>
        <w:t xml:space="preserve"> </w:t>
      </w:r>
      <w:r w:rsidRPr="00A66720">
        <w:rPr>
          <w:rFonts w:cstheme="minorHAnsi"/>
          <w:i/>
        </w:rPr>
        <w:t xml:space="preserve">Smart </w:t>
      </w:r>
      <w:proofErr w:type="spellStart"/>
      <w:r w:rsidRPr="00A66720">
        <w:rPr>
          <w:rFonts w:cstheme="minorHAnsi"/>
          <w:i/>
        </w:rPr>
        <w:t>Parks</w:t>
      </w:r>
      <w:proofErr w:type="spellEnd"/>
      <w:r w:rsidRPr="00A66720">
        <w:rPr>
          <w:rFonts w:cstheme="minorHAnsi"/>
          <w:i/>
        </w:rPr>
        <w:t xml:space="preserve"> </w:t>
      </w:r>
      <w:proofErr w:type="spellStart"/>
      <w:r w:rsidRPr="00A66720">
        <w:rPr>
          <w:rFonts w:cstheme="minorHAnsi"/>
          <w:i/>
        </w:rPr>
        <w:t>For</w:t>
      </w:r>
      <w:proofErr w:type="spellEnd"/>
      <w:r w:rsidRPr="00A66720">
        <w:rPr>
          <w:rFonts w:cstheme="minorHAnsi"/>
          <w:i/>
        </w:rPr>
        <w:t xml:space="preserve"> </w:t>
      </w:r>
      <w:proofErr w:type="spellStart"/>
      <w:r w:rsidRPr="00A66720">
        <w:rPr>
          <w:rFonts w:cstheme="minorHAnsi"/>
          <w:i/>
        </w:rPr>
        <w:t>The</w:t>
      </w:r>
      <w:proofErr w:type="spellEnd"/>
      <w:r w:rsidRPr="00A66720">
        <w:rPr>
          <w:rFonts w:cstheme="minorHAnsi"/>
          <w:i/>
        </w:rPr>
        <w:t xml:space="preserve"> </w:t>
      </w:r>
      <w:proofErr w:type="spellStart"/>
      <w:r w:rsidRPr="00A66720">
        <w:rPr>
          <w:rFonts w:cstheme="minorHAnsi"/>
          <w:i/>
        </w:rPr>
        <w:t>Future</w:t>
      </w:r>
      <w:proofErr w:type="spellEnd"/>
      <w:r w:rsidRPr="00B750E0">
        <w:rPr>
          <w:rFonts w:cstheme="minorHAnsi"/>
        </w:rPr>
        <w:t xml:space="preserve"> z roku 2020 je zaměřen na přípravu podnikatelských parků s malou rozlohou, na rozvoj stávajících průmyslových zón a</w:t>
      </w:r>
      <w:r w:rsidR="000C7943">
        <w:rPr>
          <w:rFonts w:cstheme="minorHAnsi"/>
        </w:rPr>
        <w:t> </w:t>
      </w:r>
      <w:r w:rsidRPr="00B750E0">
        <w:rPr>
          <w:rFonts w:cstheme="minorHAnsi"/>
        </w:rPr>
        <w:t>na</w:t>
      </w:r>
      <w:r w:rsidR="000C7943">
        <w:rPr>
          <w:rFonts w:cstheme="minorHAnsi"/>
        </w:rPr>
        <w:t> </w:t>
      </w:r>
      <w:r w:rsidRPr="00B750E0">
        <w:rPr>
          <w:rFonts w:cstheme="minorHAnsi"/>
        </w:rPr>
        <w:t>regeneraci brownfieldů. Formou podpory je dotace, příjemci dotace mohou být obce a</w:t>
      </w:r>
      <w:r w:rsidR="000C7943">
        <w:rPr>
          <w:rFonts w:cstheme="minorHAnsi"/>
        </w:rPr>
        <w:t> </w:t>
      </w:r>
      <w:r w:rsidRPr="00B750E0">
        <w:rPr>
          <w:rFonts w:cstheme="minorHAnsi"/>
        </w:rPr>
        <w:t xml:space="preserve">kraje. Celková alokace byla z původních 2 600 mil. Kč snížena na 2 540 mil. Kč a ukončení realizace programu je plánováno v roce 2026. </w:t>
      </w:r>
      <w:r w:rsidR="00FB73DE">
        <w:rPr>
          <w:rFonts w:cstheme="minorHAnsi"/>
        </w:rPr>
        <w:t>Příjem žádostí o podporu byl průběžný.</w:t>
      </w:r>
    </w:p>
    <w:p w14:paraId="7B913384" w14:textId="77777777" w:rsidR="00755653" w:rsidRPr="00755653" w:rsidRDefault="00755653" w:rsidP="00755653"/>
    <w:p w14:paraId="4A85CE81" w14:textId="6BA028BE" w:rsidR="00755653" w:rsidRDefault="00B971CD" w:rsidP="00DA6F12">
      <w:pPr>
        <w:pStyle w:val="Nadpis2"/>
        <w:tabs>
          <w:tab w:val="left" w:pos="567"/>
        </w:tabs>
        <w:rPr>
          <w:rFonts w:cstheme="minorHAnsi"/>
        </w:rPr>
      </w:pPr>
      <w:r w:rsidRPr="00B750E0">
        <w:rPr>
          <w:rFonts w:cstheme="minorHAnsi"/>
        </w:rPr>
        <w:t>Program 122D21</w:t>
      </w:r>
      <w:r w:rsidR="00DE2C34">
        <w:t> –</w:t>
      </w:r>
      <w:r w:rsidRPr="00B750E0">
        <w:rPr>
          <w:rFonts w:cstheme="minorHAnsi"/>
        </w:rPr>
        <w:t xml:space="preserve"> </w:t>
      </w:r>
      <w:r w:rsidRPr="008E0961">
        <w:rPr>
          <w:rFonts w:cstheme="minorHAnsi"/>
          <w:i/>
        </w:rPr>
        <w:t xml:space="preserve">Regenerace a podnikatelské využití </w:t>
      </w:r>
      <w:proofErr w:type="spellStart"/>
      <w:r w:rsidRPr="008E0961">
        <w:rPr>
          <w:rFonts w:cstheme="minorHAnsi"/>
          <w:i/>
        </w:rPr>
        <w:t>brownfieldů</w:t>
      </w:r>
      <w:proofErr w:type="spellEnd"/>
      <w:r w:rsidRPr="00B750E0">
        <w:rPr>
          <w:rFonts w:cstheme="minorHAnsi"/>
        </w:rPr>
        <w:t xml:space="preserve"> z roku 2016 je zaměřen na revitalizace a oživení zastaralých a nevyužívaných areálů a jejich přeměnu na</w:t>
      </w:r>
      <w:r w:rsidR="000C7943">
        <w:rPr>
          <w:rFonts w:cstheme="minorHAnsi"/>
        </w:rPr>
        <w:t> </w:t>
      </w:r>
      <w:r w:rsidRPr="00B750E0">
        <w:rPr>
          <w:rFonts w:cstheme="minorHAnsi"/>
        </w:rPr>
        <w:t>průmyslové plochy do 10 ha a objekty pro průmysl a podnikání na území strukturálně postižených krajů (Moravskoslezský, Ústecký a Karlovarský) a hospodářsky problémových regionů. V roce 2021 vznikl podprogram, který oblast podpory rozšířil na celou ČR. Formou podpory je dotace, příjemci dotace mohou být obce a kraje. Celková alokace byla z původních 2 000 mil. Kč snížena na 641 mil. Kč. Ukončení programu bylo z původně plánovaného roku 2023 posunuto na rok 2025. Do konce roku 2023 vyhlásilo MPO šest výzev k předkládání žádostí o podporu.</w:t>
      </w:r>
    </w:p>
    <w:p w14:paraId="273728B9" w14:textId="7A47F815" w:rsidR="00EF5DB0" w:rsidRPr="00A60E69" w:rsidRDefault="00EF5DB0" w:rsidP="00601468"/>
    <w:p w14:paraId="4FFC22C7" w14:textId="6AC7BC20" w:rsidR="00E56E12" w:rsidRDefault="00B971CD" w:rsidP="00DA6F12">
      <w:pPr>
        <w:pStyle w:val="Nadpis2"/>
        <w:tabs>
          <w:tab w:val="left" w:pos="567"/>
        </w:tabs>
        <w:rPr>
          <w:rFonts w:cstheme="minorHAnsi"/>
        </w:rPr>
      </w:pPr>
      <w:r w:rsidRPr="006C4D25">
        <w:rPr>
          <w:rFonts w:cstheme="minorHAnsi"/>
        </w:rPr>
        <w:t xml:space="preserve">Program </w:t>
      </w:r>
      <w:r w:rsidRPr="008E0961">
        <w:rPr>
          <w:rFonts w:cstheme="minorHAnsi"/>
          <w:i/>
        </w:rPr>
        <w:t xml:space="preserve">Regenerace </w:t>
      </w:r>
      <w:proofErr w:type="spellStart"/>
      <w:r w:rsidRPr="008E0961">
        <w:rPr>
          <w:rFonts w:cstheme="minorHAnsi"/>
          <w:i/>
        </w:rPr>
        <w:t>brownfieldů</w:t>
      </w:r>
      <w:proofErr w:type="spellEnd"/>
      <w:r w:rsidRPr="008E0961">
        <w:rPr>
          <w:rFonts w:cstheme="minorHAnsi"/>
          <w:i/>
        </w:rPr>
        <w:t xml:space="preserve"> pro podnikatelské využití</w:t>
      </w:r>
      <w:r w:rsidR="00C96BC5">
        <w:rPr>
          <w:rFonts w:cstheme="minorHAnsi"/>
        </w:rPr>
        <w:t xml:space="preserve"> </w:t>
      </w:r>
      <w:r w:rsidR="00405392">
        <w:rPr>
          <w:rFonts w:cstheme="minorHAnsi"/>
        </w:rPr>
        <w:t>zahrnutý do</w:t>
      </w:r>
      <w:r w:rsidR="00DE2C34">
        <w:rPr>
          <w:rFonts w:cstheme="minorHAnsi"/>
        </w:rPr>
        <w:t xml:space="preserve"> </w:t>
      </w:r>
      <w:r w:rsidR="00437497">
        <w:rPr>
          <w:rFonts w:cstheme="minorHAnsi"/>
        </w:rPr>
        <w:t>komponenty</w:t>
      </w:r>
      <w:r w:rsidR="00DE2C34">
        <w:rPr>
          <w:rFonts w:cstheme="minorHAnsi"/>
        </w:rPr>
        <w:t xml:space="preserve"> </w:t>
      </w:r>
      <w:r w:rsidR="00437497">
        <w:rPr>
          <w:rFonts w:cstheme="minorHAnsi"/>
        </w:rPr>
        <w:t>2.8</w:t>
      </w:r>
      <w:r w:rsidR="00437497">
        <w:rPr>
          <w:rStyle w:val="Znakapoznpodarou"/>
          <w:rFonts w:cstheme="minorHAnsi"/>
        </w:rPr>
        <w:footnoteReference w:id="10"/>
      </w:r>
      <w:r w:rsidR="00C96BC5">
        <w:rPr>
          <w:rFonts w:cstheme="minorHAnsi"/>
        </w:rPr>
        <w:t xml:space="preserve"> </w:t>
      </w:r>
      <w:r w:rsidR="00C96BC5" w:rsidRPr="008E0961">
        <w:rPr>
          <w:rFonts w:cstheme="minorHAnsi"/>
          <w:i/>
        </w:rPr>
        <w:t>Národního plánu obnovy</w:t>
      </w:r>
      <w:r w:rsidR="00405392">
        <w:rPr>
          <w:rFonts w:cstheme="minorHAnsi"/>
        </w:rPr>
        <w:t xml:space="preserve"> </w:t>
      </w:r>
      <w:r w:rsidR="00C96BC5">
        <w:rPr>
          <w:rFonts w:cstheme="minorHAnsi"/>
        </w:rPr>
        <w:t xml:space="preserve">je zacílen na </w:t>
      </w:r>
      <w:r w:rsidRPr="006C4D25">
        <w:rPr>
          <w:rFonts w:cstheme="minorHAnsi"/>
        </w:rPr>
        <w:t>poskytnutí podpory na</w:t>
      </w:r>
      <w:r w:rsidR="000C7943">
        <w:rPr>
          <w:rFonts w:cstheme="minorHAnsi"/>
        </w:rPr>
        <w:t> </w:t>
      </w:r>
      <w:r w:rsidRPr="006C4D25">
        <w:rPr>
          <w:rFonts w:cstheme="minorHAnsi"/>
        </w:rPr>
        <w:t>odstranění brownfieldů a</w:t>
      </w:r>
      <w:r w:rsidR="002D6D61">
        <w:rPr>
          <w:rFonts w:cstheme="minorHAnsi"/>
        </w:rPr>
        <w:t> </w:t>
      </w:r>
      <w:r w:rsidRPr="006C4D25">
        <w:rPr>
          <w:rFonts w:cstheme="minorHAnsi"/>
        </w:rPr>
        <w:t>umožnění následného využití těchto nemovitostí převážně pro</w:t>
      </w:r>
      <w:r w:rsidR="000C7943">
        <w:rPr>
          <w:rFonts w:cstheme="minorHAnsi"/>
        </w:rPr>
        <w:t> </w:t>
      </w:r>
      <w:r w:rsidRPr="006C4D25">
        <w:rPr>
          <w:rFonts w:cstheme="minorHAnsi"/>
        </w:rPr>
        <w:t xml:space="preserve">podnikání. Projekty mohou být doplňkově využity rovněž pro nepodnikatelské účely včetně výstavby obecních bytů. Formou podpory </w:t>
      </w:r>
      <w:r w:rsidR="0075509E">
        <w:rPr>
          <w:rFonts w:cstheme="minorHAnsi"/>
        </w:rPr>
        <w:t>je</w:t>
      </w:r>
      <w:r w:rsidRPr="006C4D25">
        <w:rPr>
          <w:rFonts w:cstheme="minorHAnsi"/>
        </w:rPr>
        <w:t xml:space="preserve"> dotace, příjemci dotace mohou být města, městské části, kraje nebo obce, a to v celé ČR. </w:t>
      </w:r>
      <w:r w:rsidR="001B742C">
        <w:rPr>
          <w:rFonts w:cstheme="minorHAnsi"/>
        </w:rPr>
        <w:t>Pro program</w:t>
      </w:r>
      <w:r w:rsidRPr="006C4D25">
        <w:rPr>
          <w:rFonts w:cstheme="minorHAnsi"/>
        </w:rPr>
        <w:t xml:space="preserve"> byla stanovena alokace 500 mil. Kč</w:t>
      </w:r>
      <w:r>
        <w:rPr>
          <w:rFonts w:cstheme="minorHAnsi"/>
        </w:rPr>
        <w:t xml:space="preserve"> a do konce roku 2023 vyhlásilo MPO jednu výzvu k předkládání žádostí o</w:t>
      </w:r>
      <w:r w:rsidR="000C7943">
        <w:rPr>
          <w:rFonts w:cstheme="minorHAnsi"/>
        </w:rPr>
        <w:t> </w:t>
      </w:r>
      <w:r>
        <w:rPr>
          <w:rFonts w:cstheme="minorHAnsi"/>
        </w:rPr>
        <w:t>podporu</w:t>
      </w:r>
      <w:r w:rsidR="00755653">
        <w:rPr>
          <w:rFonts w:cstheme="minorHAnsi"/>
        </w:rPr>
        <w:t>.</w:t>
      </w:r>
    </w:p>
    <w:p w14:paraId="3EE4D42D" w14:textId="77777777" w:rsidR="00755653" w:rsidRPr="00755653" w:rsidRDefault="00755653" w:rsidP="00755653"/>
    <w:p w14:paraId="75500869" w14:textId="56AFF7FD" w:rsidR="00B971CD" w:rsidRDefault="00DA6F12" w:rsidP="00DA6F12">
      <w:pPr>
        <w:pStyle w:val="Nadpis2"/>
        <w:tabs>
          <w:tab w:val="left" w:pos="567"/>
        </w:tabs>
        <w:rPr>
          <w:rFonts w:cstheme="minorHAnsi"/>
        </w:rPr>
      </w:pPr>
      <w:r>
        <w:rPr>
          <w:rFonts w:cstheme="minorHAnsi"/>
        </w:rPr>
        <w:t>O</w:t>
      </w:r>
      <w:r w:rsidR="00B971CD" w:rsidRPr="00B750E0">
        <w:rPr>
          <w:rFonts w:cstheme="minorHAnsi"/>
        </w:rPr>
        <w:t>PPIK byl schválen Evropskou komisí dne 29. dubna 2015</w:t>
      </w:r>
      <w:r w:rsidR="0075509E">
        <w:rPr>
          <w:rFonts w:cstheme="minorHAnsi"/>
        </w:rPr>
        <w:t xml:space="preserve"> pro roky 2014 až 2020. Způsobilost výdajů v rámci programového období skončila</w:t>
      </w:r>
      <w:r w:rsidR="00B971CD" w:rsidRPr="00B750E0">
        <w:rPr>
          <w:rFonts w:cstheme="minorHAnsi"/>
        </w:rPr>
        <w:t xml:space="preserve"> k 31. prosinci 2023. MPO podporu regenerace brownfieldů z OPPIK zahrnulo do</w:t>
      </w:r>
      <w:r w:rsidR="000C7943">
        <w:rPr>
          <w:rFonts w:cstheme="minorHAnsi"/>
        </w:rPr>
        <w:t> </w:t>
      </w:r>
      <w:r w:rsidR="00DE2C34">
        <w:rPr>
          <w:rFonts w:cstheme="minorHAnsi"/>
        </w:rPr>
        <w:t>p</w:t>
      </w:r>
      <w:r w:rsidR="00B971CD" w:rsidRPr="00B750E0">
        <w:rPr>
          <w:rFonts w:cstheme="minorHAnsi"/>
        </w:rPr>
        <w:t xml:space="preserve">rogramu </w:t>
      </w:r>
      <w:r w:rsidR="00B971CD" w:rsidRPr="008E0961">
        <w:rPr>
          <w:rFonts w:cstheme="minorHAnsi"/>
          <w:i/>
        </w:rPr>
        <w:t>Nemovitosti</w:t>
      </w:r>
      <w:r w:rsidR="00B971CD" w:rsidRPr="00B750E0">
        <w:rPr>
          <w:rFonts w:cstheme="minorHAnsi"/>
        </w:rPr>
        <w:t>. Podporovanými aktivitami byly modernizace výrobních provozů a</w:t>
      </w:r>
      <w:r w:rsidR="000C7943">
        <w:rPr>
          <w:rFonts w:cstheme="minorHAnsi"/>
        </w:rPr>
        <w:t> </w:t>
      </w:r>
      <w:r w:rsidR="00B971CD" w:rsidRPr="00B750E0">
        <w:rPr>
          <w:rFonts w:cstheme="minorHAnsi"/>
        </w:rPr>
        <w:t>rekonstrukce stávající zastaralé infrastruktury a rekonstrukce objektů typu brownfield (bez výdajů na odstranění ekologických zátěží) a jejich přeměna na moderní podnikatelské objekty. MPO stanovilo v</w:t>
      </w:r>
      <w:r w:rsidR="00476FC7" w:rsidRPr="006F7267">
        <w:rPr>
          <w:rFonts w:cstheme="minorHAnsi"/>
        </w:rPr>
        <w:t> </w:t>
      </w:r>
      <w:r w:rsidR="00B971CD" w:rsidRPr="00B750E0">
        <w:rPr>
          <w:rFonts w:cstheme="minorHAnsi"/>
        </w:rPr>
        <w:t xml:space="preserve">roce 2015 alokované prostředky na </w:t>
      </w:r>
      <w:r w:rsidR="00DE2C34">
        <w:rPr>
          <w:rFonts w:cstheme="minorHAnsi"/>
        </w:rPr>
        <w:t>p</w:t>
      </w:r>
      <w:r w:rsidR="00B971CD" w:rsidRPr="00B750E0">
        <w:rPr>
          <w:rFonts w:cstheme="minorHAnsi"/>
        </w:rPr>
        <w:t xml:space="preserve">rogram </w:t>
      </w:r>
      <w:r w:rsidR="00B971CD" w:rsidRPr="008E0961">
        <w:rPr>
          <w:rFonts w:cstheme="minorHAnsi"/>
          <w:i/>
        </w:rPr>
        <w:t>Nemovitosti</w:t>
      </w:r>
      <w:r w:rsidR="00B971CD" w:rsidRPr="00B750E0">
        <w:rPr>
          <w:rFonts w:cstheme="minorHAnsi"/>
        </w:rPr>
        <w:t xml:space="preserve"> ve výši 142 mil. </w:t>
      </w:r>
      <w:r w:rsidR="00DE2C34">
        <w:rPr>
          <w:rFonts w:cstheme="minorHAnsi"/>
        </w:rPr>
        <w:t>€</w:t>
      </w:r>
      <w:r w:rsidR="00B971CD" w:rsidRPr="00B750E0">
        <w:rPr>
          <w:rFonts w:cstheme="minorHAnsi"/>
        </w:rPr>
        <w:t>, tj.</w:t>
      </w:r>
      <w:r w:rsidR="00476FC7">
        <w:rPr>
          <w:rFonts w:cstheme="minorHAnsi"/>
        </w:rPr>
        <w:t> </w:t>
      </w:r>
      <w:r w:rsidR="00B971CD" w:rsidRPr="00B750E0">
        <w:rPr>
          <w:rFonts w:cstheme="minorHAnsi"/>
        </w:rPr>
        <w:t>3</w:t>
      </w:r>
      <w:r w:rsidR="00476FC7">
        <w:rPr>
          <w:rFonts w:cstheme="minorHAnsi"/>
        </w:rPr>
        <w:t> </w:t>
      </w:r>
      <w:r w:rsidR="00B971CD" w:rsidRPr="00B750E0">
        <w:rPr>
          <w:rFonts w:cstheme="minorHAnsi"/>
        </w:rPr>
        <w:t>468</w:t>
      </w:r>
      <w:r w:rsidR="00476FC7">
        <w:rPr>
          <w:rFonts w:cstheme="minorHAnsi"/>
        </w:rPr>
        <w:t> </w:t>
      </w:r>
      <w:r w:rsidR="00B971CD" w:rsidRPr="00B750E0">
        <w:rPr>
          <w:rFonts w:cstheme="minorHAnsi"/>
        </w:rPr>
        <w:t>mil</w:t>
      </w:r>
      <w:r w:rsidR="00476FC7">
        <w:rPr>
          <w:rFonts w:cstheme="minorHAnsi"/>
        </w:rPr>
        <w:t> </w:t>
      </w:r>
      <w:r w:rsidR="00B971CD" w:rsidRPr="00B750E0">
        <w:rPr>
          <w:rFonts w:cstheme="minorHAnsi"/>
        </w:rPr>
        <w:t xml:space="preserve">Kč. Poslední změnou v roce 2021 byla výše alokovaných prostředků upravena </w:t>
      </w:r>
      <w:r w:rsidR="00B971CD" w:rsidRPr="002D6D61">
        <w:t>na</w:t>
      </w:r>
      <w:r w:rsidR="002D6D61">
        <w:t> </w:t>
      </w:r>
      <w:r w:rsidR="00B971CD" w:rsidRPr="002D6D61">
        <w:t>225</w:t>
      </w:r>
      <w:r w:rsidR="00B971CD" w:rsidRPr="00B750E0">
        <w:rPr>
          <w:rFonts w:cstheme="minorHAnsi"/>
        </w:rPr>
        <w:t xml:space="preserve"> mil. </w:t>
      </w:r>
      <w:r w:rsidR="00DE2C34">
        <w:rPr>
          <w:rFonts w:cstheme="minorHAnsi"/>
        </w:rPr>
        <w:t>€</w:t>
      </w:r>
      <w:r w:rsidR="00B971CD" w:rsidRPr="00B750E0">
        <w:rPr>
          <w:rFonts w:cstheme="minorHAnsi"/>
        </w:rPr>
        <w:t>, tj.</w:t>
      </w:r>
      <w:r w:rsidR="00303BEC">
        <w:rPr>
          <w:rFonts w:cstheme="minorHAnsi"/>
        </w:rPr>
        <w:t> </w:t>
      </w:r>
      <w:r w:rsidR="00B971CD" w:rsidRPr="00B750E0">
        <w:rPr>
          <w:rFonts w:cstheme="minorHAnsi"/>
        </w:rPr>
        <w:t>5</w:t>
      </w:r>
      <w:r w:rsidR="00507583">
        <w:rPr>
          <w:rFonts w:cstheme="minorHAnsi"/>
        </w:rPr>
        <w:t> </w:t>
      </w:r>
      <w:r w:rsidR="00B971CD" w:rsidRPr="00B750E0">
        <w:rPr>
          <w:rFonts w:cstheme="minorHAnsi"/>
        </w:rPr>
        <w:t>522</w:t>
      </w:r>
      <w:r w:rsidR="00507583">
        <w:rPr>
          <w:rFonts w:cstheme="minorHAnsi"/>
        </w:rPr>
        <w:t> </w:t>
      </w:r>
      <w:r w:rsidR="00B971CD" w:rsidRPr="00B750E0">
        <w:rPr>
          <w:rFonts w:cstheme="minorHAnsi"/>
        </w:rPr>
        <w:t>mil.</w:t>
      </w:r>
      <w:r w:rsidR="00507583">
        <w:rPr>
          <w:rFonts w:cstheme="minorHAnsi"/>
        </w:rPr>
        <w:t> </w:t>
      </w:r>
      <w:r w:rsidR="00B971CD" w:rsidRPr="00B750E0">
        <w:rPr>
          <w:rFonts w:cstheme="minorHAnsi"/>
        </w:rPr>
        <w:t xml:space="preserve">Kč. V rámci </w:t>
      </w:r>
      <w:r w:rsidR="00DE2C34">
        <w:rPr>
          <w:rFonts w:cstheme="minorHAnsi"/>
        </w:rPr>
        <w:t>p</w:t>
      </w:r>
      <w:r w:rsidR="00B971CD" w:rsidRPr="00B750E0">
        <w:rPr>
          <w:rFonts w:cstheme="minorHAnsi"/>
        </w:rPr>
        <w:t xml:space="preserve">rogramu </w:t>
      </w:r>
      <w:r w:rsidR="00B971CD" w:rsidRPr="008E0961">
        <w:rPr>
          <w:rFonts w:cstheme="minorHAnsi"/>
          <w:i/>
        </w:rPr>
        <w:t>Nemovitosti</w:t>
      </w:r>
      <w:r w:rsidR="00B971CD" w:rsidRPr="00B750E0">
        <w:rPr>
          <w:rFonts w:cstheme="minorHAnsi"/>
        </w:rPr>
        <w:t xml:space="preserve"> bylo vyhlášeno 10 výzev, ve</w:t>
      </w:r>
      <w:r w:rsidR="00476FC7">
        <w:rPr>
          <w:rFonts w:cstheme="minorHAnsi"/>
        </w:rPr>
        <w:t> </w:t>
      </w:r>
      <w:r w:rsidR="00B971CD" w:rsidRPr="00B750E0">
        <w:rPr>
          <w:rFonts w:cstheme="minorHAnsi"/>
        </w:rPr>
        <w:t>kterých byla podpora poskytována formou dotace</w:t>
      </w:r>
      <w:r w:rsidR="00DE2C34">
        <w:rPr>
          <w:rFonts w:cstheme="minorHAnsi"/>
        </w:rPr>
        <w:t>,</w:t>
      </w:r>
      <w:r w:rsidR="00B971CD" w:rsidRPr="00B750E0">
        <w:rPr>
          <w:rFonts w:cstheme="minorHAnsi"/>
        </w:rPr>
        <w:t xml:space="preserve"> a jedna výzva, u</w:t>
      </w:r>
      <w:r w:rsidR="000C7943">
        <w:rPr>
          <w:rFonts w:cstheme="minorHAnsi"/>
        </w:rPr>
        <w:t> </w:t>
      </w:r>
      <w:r w:rsidR="00B971CD" w:rsidRPr="00B750E0">
        <w:rPr>
          <w:rFonts w:cstheme="minorHAnsi"/>
        </w:rPr>
        <w:t>které byla podpora poskytována formou finančního nástroje.</w:t>
      </w:r>
    </w:p>
    <w:p w14:paraId="6D8614A2" w14:textId="77777777" w:rsidR="00755653" w:rsidRPr="00755653" w:rsidRDefault="00755653" w:rsidP="00755653"/>
    <w:p w14:paraId="49BA573B" w14:textId="37C98977" w:rsidR="00900374" w:rsidRDefault="00831A74" w:rsidP="00DA6F12">
      <w:pPr>
        <w:pStyle w:val="Nadpis2"/>
        <w:tabs>
          <w:tab w:val="left" w:pos="567"/>
        </w:tabs>
      </w:pPr>
      <w:bookmarkStart w:id="13" w:name="_Hlk169618859"/>
      <w:r w:rsidRPr="000A60E3">
        <w:t>Zásadní rozdíl mezi podporou poskytnutou formou dotace a podporou formou finančního nástroje spočívá</w:t>
      </w:r>
      <w:r w:rsidRPr="00B750E0">
        <w:t xml:space="preserve"> v návratnosti podpory. V případě finančních nástrojů nedochází na rozdíl od dotací k jednorázové spotřebě zdrojů vložených do veřejné podpory, ale prostředky se vrací zpět do systému a mohou být opakovaně využity. </w:t>
      </w:r>
      <w:r w:rsidR="00614D8D" w:rsidRPr="00A71073">
        <w:t xml:space="preserve">MPO zvolilo pro implementaci finančního nástroje jednu ze struktur definovaných </w:t>
      </w:r>
      <w:r w:rsidR="005C4A99">
        <w:t>EU</w:t>
      </w:r>
      <w:r w:rsidR="00614D8D" w:rsidRPr="00A71073">
        <w:t>, kter</w:t>
      </w:r>
      <w:r w:rsidR="00A73C7F">
        <w:t>á</w:t>
      </w:r>
      <w:r w:rsidR="00614D8D" w:rsidRPr="00A71073">
        <w:t xml:space="preserve"> umož</w:t>
      </w:r>
      <w:r w:rsidR="00A73C7F">
        <w:t>ňuje</w:t>
      </w:r>
      <w:r w:rsidR="00614D8D" w:rsidRPr="00A71073">
        <w:t xml:space="preserve"> svěřit prováděcí úkoly veřejnoprávnímu nebo soukromoprávnímu subjektu</w:t>
      </w:r>
      <w:r w:rsidR="00DE2C34">
        <w:t>,</w:t>
      </w:r>
      <w:r w:rsidR="00614D8D" w:rsidRPr="00A71073">
        <w:t xml:space="preserve"> a tento subjekt mohl část </w:t>
      </w:r>
      <w:r>
        <w:t>úkolů</w:t>
      </w:r>
      <w:r w:rsidR="00614D8D" w:rsidRPr="00A71073">
        <w:t xml:space="preserve"> svěřit Finančním</w:t>
      </w:r>
      <w:r w:rsidR="00BF0D33">
        <w:t>u</w:t>
      </w:r>
      <w:r w:rsidR="00614D8D" w:rsidRPr="00A71073">
        <w:t xml:space="preserve"> zprostředkovatel</w:t>
      </w:r>
      <w:r w:rsidR="00BF0D33">
        <w:t>i</w:t>
      </w:r>
      <w:r w:rsidR="00614D8D" w:rsidRPr="00A71073">
        <w:t xml:space="preserve">. </w:t>
      </w:r>
      <w:bookmarkEnd w:id="13"/>
    </w:p>
    <w:p w14:paraId="32048642" w14:textId="76841D2D" w:rsidR="00684789" w:rsidRPr="001F66B2" w:rsidRDefault="00196C96" w:rsidP="00BF0D33">
      <w:pPr>
        <w:pStyle w:val="Nadpis1"/>
        <w:spacing w:before="840" w:after="120"/>
        <w:ind w:left="0" w:firstLine="0"/>
      </w:pPr>
      <w:r>
        <w:lastRenderedPageBreak/>
        <w:t> </w:t>
      </w:r>
      <w:r w:rsidR="00AB3724" w:rsidRPr="001F66B2">
        <w:t>Rozsah kontroly</w:t>
      </w:r>
    </w:p>
    <w:p w14:paraId="0A0AD899" w14:textId="77777777" w:rsidR="00B971CD" w:rsidRPr="00B971CD" w:rsidRDefault="00B971CD" w:rsidP="001F66B2"/>
    <w:p w14:paraId="5448676B" w14:textId="7CA27D78" w:rsidR="00B971CD" w:rsidRPr="00697995" w:rsidRDefault="00B971CD" w:rsidP="00D26589">
      <w:pPr>
        <w:pStyle w:val="Nadpis3"/>
      </w:pPr>
      <w:r w:rsidRPr="00697995">
        <w:t>NKÚ u MPO a Agentury CzechInvest prověřoval, zda byly peněžní prostředky určené na</w:t>
      </w:r>
      <w:r w:rsidR="000C7943">
        <w:t> </w:t>
      </w:r>
      <w:r w:rsidRPr="00697995">
        <w:t>regeneraci brownfieldů vynaloženy účelně, hospodárně a v souladu s právními předpisy. Kontrole bylo podrobeno období od roku 2018 do roku 2023, v případě věcných souvislostí bylo kontrole podrobeno i období předcházející a následující.</w:t>
      </w:r>
    </w:p>
    <w:p w14:paraId="24CEE81D" w14:textId="77777777" w:rsidR="009C4A3C" w:rsidRPr="009C4A3C" w:rsidRDefault="009C4A3C" w:rsidP="0053480C">
      <w:pPr>
        <w:rPr>
          <w:lang w:eastAsia="cs-CZ"/>
        </w:rPr>
      </w:pPr>
    </w:p>
    <w:p w14:paraId="1E59FCEB" w14:textId="70D0D9C5" w:rsidR="00B971CD" w:rsidRPr="001B632F" w:rsidRDefault="00FC2D75" w:rsidP="00E42079">
      <w:pPr>
        <w:pStyle w:val="Nadpis3"/>
        <w:rPr>
          <w:rStyle w:val="Hypertextovodkaz"/>
          <w:color w:val="000000" w:themeColor="text1"/>
        </w:rPr>
      </w:pPr>
      <w:r>
        <w:rPr>
          <w:rFonts w:cstheme="minorHAnsi"/>
          <w:noProof/>
          <w:color w:val="000000"/>
        </w:rPr>
        <w:t xml:space="preserve">Z pohledu účelnosti vynaložených peněžních prostředků NKÚ </w:t>
      </w:r>
      <w:r w:rsidR="00DE2C34">
        <w:rPr>
          <w:rFonts w:cstheme="minorHAnsi"/>
          <w:noProof/>
          <w:color w:val="000000"/>
        </w:rPr>
        <w:t xml:space="preserve">prověřoval </w:t>
      </w:r>
      <w:r>
        <w:rPr>
          <w:rFonts w:cstheme="minorHAnsi"/>
          <w:noProof/>
          <w:color w:val="000000"/>
        </w:rPr>
        <w:t>u MPO, do jaké míry MPO přispělo poskytnutou podporou k plnění cílů a vizí stanovených v </w:t>
      </w:r>
      <w:r w:rsidRPr="008E0961">
        <w:rPr>
          <w:rFonts w:cstheme="minorHAnsi"/>
          <w:i/>
          <w:noProof/>
          <w:color w:val="000000"/>
        </w:rPr>
        <w:t>Národní strategii regenerací brownfieldů 2019–2024</w:t>
      </w:r>
      <w:r>
        <w:rPr>
          <w:rFonts w:cstheme="minorHAnsi"/>
          <w:noProof/>
          <w:color w:val="000000"/>
        </w:rPr>
        <w:t xml:space="preserve"> a tím </w:t>
      </w:r>
      <w:r w:rsidR="0075509E" w:rsidRPr="00831A74">
        <w:rPr>
          <w:lang w:eastAsia="cs-CZ"/>
        </w:rPr>
        <w:t>přispělo ke</w:t>
      </w:r>
      <w:r w:rsidR="00476FC7" w:rsidRPr="00831A74">
        <w:rPr>
          <w:lang w:eastAsia="cs-CZ"/>
        </w:rPr>
        <w:t> </w:t>
      </w:r>
      <w:r w:rsidR="0075509E" w:rsidRPr="00831A74">
        <w:rPr>
          <w:lang w:eastAsia="cs-CZ"/>
        </w:rPr>
        <w:t>snížení počtu brownfieldů</w:t>
      </w:r>
      <w:r w:rsidR="00B971CD" w:rsidRPr="00831A74">
        <w:rPr>
          <w:lang w:eastAsia="cs-CZ"/>
        </w:rPr>
        <w:t>. Dále byl</w:t>
      </w:r>
      <w:r w:rsidR="008E648F" w:rsidRPr="00831A74">
        <w:rPr>
          <w:lang w:eastAsia="cs-CZ"/>
        </w:rPr>
        <w:t>a</w:t>
      </w:r>
      <w:r w:rsidR="00B971CD" w:rsidRPr="00831A74">
        <w:rPr>
          <w:lang w:eastAsia="cs-CZ"/>
        </w:rPr>
        <w:t xml:space="preserve"> </w:t>
      </w:r>
      <w:r w:rsidR="00AA04A4" w:rsidRPr="00831A74">
        <w:rPr>
          <w:lang w:eastAsia="cs-CZ"/>
        </w:rPr>
        <w:t>vyhodnocena míra naplnění cílů</w:t>
      </w:r>
      <w:r w:rsidR="006D006C">
        <w:rPr>
          <w:lang w:eastAsia="cs-CZ"/>
        </w:rPr>
        <w:t xml:space="preserve"> </w:t>
      </w:r>
      <w:r w:rsidR="00AA04A4" w:rsidRPr="00831A74">
        <w:rPr>
          <w:lang w:eastAsia="cs-CZ"/>
        </w:rPr>
        <w:t>stanovených pro</w:t>
      </w:r>
      <w:r w:rsidR="002D6D61">
        <w:rPr>
          <w:lang w:eastAsia="cs-CZ"/>
        </w:rPr>
        <w:t> </w:t>
      </w:r>
      <w:r w:rsidR="00AA04A4" w:rsidRPr="00831A74">
        <w:rPr>
          <w:lang w:eastAsia="cs-CZ"/>
        </w:rPr>
        <w:t>oblast</w:t>
      </w:r>
      <w:r w:rsidR="00B971CD" w:rsidRPr="00831A74">
        <w:rPr>
          <w:lang w:eastAsia="cs-CZ"/>
        </w:rPr>
        <w:t xml:space="preserve"> regenerací brownfieldů v </w:t>
      </w:r>
      <w:r w:rsidR="00B971CD" w:rsidRPr="008E0961">
        <w:rPr>
          <w:i/>
          <w:lang w:eastAsia="cs-CZ"/>
        </w:rPr>
        <w:t>Národním plánu obnovy</w:t>
      </w:r>
      <w:r w:rsidR="00B971CD" w:rsidRPr="00831A74">
        <w:rPr>
          <w:lang w:eastAsia="cs-CZ"/>
        </w:rPr>
        <w:t xml:space="preserve"> a</w:t>
      </w:r>
      <w:r w:rsidR="00476FC7" w:rsidRPr="00831A74">
        <w:rPr>
          <w:lang w:eastAsia="cs-CZ"/>
        </w:rPr>
        <w:t> </w:t>
      </w:r>
      <w:r w:rsidR="00AA04A4" w:rsidRPr="00831A74">
        <w:rPr>
          <w:lang w:eastAsia="cs-CZ"/>
        </w:rPr>
        <w:t>vyhodnoceny</w:t>
      </w:r>
      <w:r w:rsidR="00B971CD" w:rsidRPr="00831A74">
        <w:rPr>
          <w:lang w:eastAsia="cs-CZ"/>
        </w:rPr>
        <w:t xml:space="preserve"> předpoklady pro účelné a</w:t>
      </w:r>
      <w:r w:rsidR="00DE2C34">
        <w:rPr>
          <w:lang w:eastAsia="cs-CZ"/>
        </w:rPr>
        <w:t> </w:t>
      </w:r>
      <w:r w:rsidR="00B971CD" w:rsidRPr="00831A74">
        <w:rPr>
          <w:lang w:eastAsia="cs-CZ"/>
        </w:rPr>
        <w:t>hospodárné nakládání s podporou poskytnutou z </w:t>
      </w:r>
      <w:r w:rsidR="006D006C">
        <w:rPr>
          <w:lang w:eastAsia="cs-CZ"/>
        </w:rPr>
        <w:t>p</w:t>
      </w:r>
      <w:r w:rsidR="00B971CD" w:rsidRPr="00831A74">
        <w:rPr>
          <w:lang w:eastAsia="cs-CZ"/>
        </w:rPr>
        <w:t xml:space="preserve">rogramu 122D21 a </w:t>
      </w:r>
      <w:r w:rsidR="006D006C">
        <w:rPr>
          <w:lang w:eastAsia="cs-CZ"/>
        </w:rPr>
        <w:t>p</w:t>
      </w:r>
      <w:r w:rsidR="00B971CD" w:rsidRPr="00831A74">
        <w:rPr>
          <w:lang w:eastAsia="cs-CZ"/>
        </w:rPr>
        <w:t xml:space="preserve">rogramu </w:t>
      </w:r>
      <w:r w:rsidR="00B971CD" w:rsidRPr="008E0961">
        <w:rPr>
          <w:i/>
          <w:lang w:eastAsia="cs-CZ"/>
        </w:rPr>
        <w:t>Nemovitosti</w:t>
      </w:r>
      <w:r w:rsidR="00B971CD" w:rsidRPr="00831A74">
        <w:rPr>
          <w:lang w:eastAsia="cs-CZ"/>
        </w:rPr>
        <w:t xml:space="preserve"> OPPIK. </w:t>
      </w:r>
      <w:r w:rsidR="00A928FA" w:rsidRPr="00831A74">
        <w:rPr>
          <w:lang w:eastAsia="cs-CZ"/>
        </w:rPr>
        <w:t>Součástí kontroly bylo i</w:t>
      </w:r>
      <w:r w:rsidR="001B632F">
        <w:rPr>
          <w:lang w:eastAsia="cs-CZ"/>
        </w:rPr>
        <w:t> </w:t>
      </w:r>
      <w:r w:rsidR="00A928FA" w:rsidRPr="00831A74">
        <w:rPr>
          <w:lang w:eastAsia="cs-CZ"/>
        </w:rPr>
        <w:t>vyhodnocení plnění opatření přijatých MPO k odstranění nedostatků zjištěných kontrolou NKÚ č. 18/01</w:t>
      </w:r>
      <w:r w:rsidR="006D006C" w:rsidRPr="006D006C">
        <w:rPr>
          <w:rFonts w:cstheme="minorHAnsi"/>
          <w:noProof/>
          <w:color w:val="000000"/>
        </w:rPr>
        <w:t xml:space="preserve"> </w:t>
      </w:r>
      <w:r w:rsidR="006D006C">
        <w:rPr>
          <w:rFonts w:cstheme="minorHAnsi"/>
          <w:noProof/>
          <w:color w:val="000000"/>
        </w:rPr>
        <w:t>–</w:t>
      </w:r>
      <w:r w:rsidR="00A928FA" w:rsidRPr="00831A74">
        <w:rPr>
          <w:lang w:eastAsia="cs-CZ"/>
        </w:rPr>
        <w:t xml:space="preserve"> </w:t>
      </w:r>
      <w:r w:rsidR="00430359" w:rsidRPr="008E0961">
        <w:rPr>
          <w:i/>
        </w:rPr>
        <w:t>Podpora podnikatelských nemovitostí a podnikatelské infrastruktury</w:t>
      </w:r>
      <w:r w:rsidR="00831A74" w:rsidRPr="001B632F">
        <w:t>.</w:t>
      </w:r>
      <w:r w:rsidR="00A928FA" w:rsidRPr="001B632F">
        <w:rPr>
          <w:rStyle w:val="Hypertextovodkaz"/>
          <w:color w:val="000000" w:themeColor="text1"/>
        </w:rPr>
        <w:t xml:space="preserve"> </w:t>
      </w:r>
    </w:p>
    <w:p w14:paraId="59EAC355" w14:textId="77777777" w:rsidR="00831A74" w:rsidRPr="00831A74" w:rsidRDefault="00831A74" w:rsidP="00831A74"/>
    <w:p w14:paraId="64AD1ED5" w14:textId="173F457E" w:rsidR="00B971CD" w:rsidRPr="00A0746E" w:rsidRDefault="00B971CD" w:rsidP="00A0746E">
      <w:pPr>
        <w:pStyle w:val="Nadpis3"/>
        <w:spacing w:after="120"/>
      </w:pPr>
      <w:r w:rsidRPr="00803BDF">
        <w:t xml:space="preserve">Kontrolovaný objem u MPO činil celkem 5 059 mil. Kč a byl tvořen celkovou částkou peněžních prostředků státního rozpočtu a Evropské unie čerpaných v letech 2018 až 2023 v souvislosti s podporou na regeneraci brownfieldů v rámci níže uvedených programů realizovaných </w:t>
      </w:r>
      <w:r w:rsidR="00F73A8A">
        <w:t>MPO</w:t>
      </w:r>
      <w:r w:rsidRPr="00803BDF">
        <w:t xml:space="preserve">. </w:t>
      </w:r>
    </w:p>
    <w:p w14:paraId="6084BAF4" w14:textId="0C8D2B86" w:rsidR="00B971CD" w:rsidRPr="001B632F" w:rsidRDefault="00B971CD" w:rsidP="001B632F">
      <w:pPr>
        <w:spacing w:before="120" w:after="40"/>
        <w:rPr>
          <w:rFonts w:cstheme="minorHAnsi"/>
          <w:b/>
          <w:bCs/>
        </w:rPr>
      </w:pPr>
      <w:r w:rsidRPr="001B632F">
        <w:rPr>
          <w:rFonts w:cstheme="minorHAnsi"/>
          <w:b/>
          <w:bCs/>
        </w:rPr>
        <w:t xml:space="preserve">Tabulka č. </w:t>
      </w:r>
      <w:r w:rsidR="006D5510" w:rsidRPr="001B632F">
        <w:rPr>
          <w:rFonts w:cstheme="minorHAnsi"/>
          <w:b/>
          <w:bCs/>
        </w:rPr>
        <w:t>1</w:t>
      </w:r>
      <w:r w:rsidRPr="001B632F">
        <w:rPr>
          <w:rFonts w:cstheme="minorHAnsi"/>
          <w:b/>
          <w:bCs/>
        </w:rPr>
        <w:t>: Stanovení kontrolované</w:t>
      </w:r>
      <w:r w:rsidR="00A73C7F" w:rsidRPr="001B632F">
        <w:rPr>
          <w:rFonts w:cstheme="minorHAnsi"/>
          <w:b/>
          <w:bCs/>
        </w:rPr>
        <w:t>ho</w:t>
      </w:r>
      <w:r w:rsidRPr="001B632F">
        <w:rPr>
          <w:rFonts w:cstheme="minorHAnsi"/>
          <w:b/>
          <w:bCs/>
        </w:rPr>
        <w:t xml:space="preserve"> objemu (MPO)</w:t>
      </w:r>
    </w:p>
    <w:tbl>
      <w:tblPr>
        <w:tblStyle w:val="Mkatabulky"/>
        <w:tblW w:w="9071" w:type="dxa"/>
        <w:jc w:val="center"/>
        <w:tblLook w:val="04A0" w:firstRow="1" w:lastRow="0" w:firstColumn="1" w:lastColumn="0" w:noHBand="0" w:noVBand="1"/>
      </w:tblPr>
      <w:tblGrid>
        <w:gridCol w:w="6803"/>
        <w:gridCol w:w="2268"/>
      </w:tblGrid>
      <w:tr w:rsidR="00B971CD" w:rsidRPr="00B971CD" w14:paraId="524A1E46" w14:textId="77777777" w:rsidTr="006D006C">
        <w:trPr>
          <w:trHeight w:hRule="exact" w:val="283"/>
          <w:jc w:val="center"/>
        </w:trPr>
        <w:tc>
          <w:tcPr>
            <w:tcW w:w="6803" w:type="dxa"/>
            <w:shd w:val="clear" w:color="auto" w:fill="E6E6E6"/>
          </w:tcPr>
          <w:p w14:paraId="5F04F9DB" w14:textId="77777777" w:rsidR="00B971CD" w:rsidRPr="00B971CD" w:rsidRDefault="00B971CD" w:rsidP="00223CAA">
            <w:pPr>
              <w:rPr>
                <w:rFonts w:asciiTheme="minorHAnsi" w:hAnsiTheme="minorHAnsi" w:cstheme="minorHAnsi"/>
                <w:b/>
                <w:bCs/>
                <w:sz w:val="20"/>
                <w:szCs w:val="20"/>
              </w:rPr>
            </w:pPr>
            <w:bookmarkStart w:id="14" w:name="_Hlk162959490"/>
            <w:r w:rsidRPr="00B971CD">
              <w:rPr>
                <w:rFonts w:asciiTheme="minorHAnsi" w:hAnsiTheme="minorHAnsi" w:cstheme="minorHAnsi"/>
                <w:b/>
                <w:bCs/>
                <w:sz w:val="20"/>
                <w:szCs w:val="20"/>
              </w:rPr>
              <w:t>Program</w:t>
            </w:r>
          </w:p>
        </w:tc>
        <w:tc>
          <w:tcPr>
            <w:tcW w:w="2268" w:type="dxa"/>
            <w:shd w:val="clear" w:color="auto" w:fill="E6E6E6"/>
          </w:tcPr>
          <w:p w14:paraId="5CF230E1" w14:textId="77777777" w:rsidR="00B971CD" w:rsidRPr="00B971CD" w:rsidRDefault="00B971CD" w:rsidP="00223CAA">
            <w:pPr>
              <w:jc w:val="center"/>
              <w:rPr>
                <w:rFonts w:asciiTheme="minorHAnsi" w:hAnsiTheme="minorHAnsi" w:cstheme="minorHAnsi"/>
                <w:b/>
                <w:bCs/>
                <w:sz w:val="20"/>
                <w:szCs w:val="20"/>
              </w:rPr>
            </w:pPr>
            <w:r w:rsidRPr="00B971CD">
              <w:rPr>
                <w:rFonts w:asciiTheme="minorHAnsi" w:hAnsiTheme="minorHAnsi" w:cstheme="minorHAnsi"/>
                <w:b/>
                <w:bCs/>
                <w:sz w:val="20"/>
                <w:szCs w:val="20"/>
              </w:rPr>
              <w:t>Kontrolovaný objem</w:t>
            </w:r>
          </w:p>
        </w:tc>
      </w:tr>
      <w:tr w:rsidR="00B971CD" w:rsidRPr="00B971CD" w14:paraId="6F02E126" w14:textId="637C4E8F" w:rsidTr="006D006C">
        <w:trPr>
          <w:trHeight w:hRule="exact" w:val="283"/>
          <w:jc w:val="center"/>
        </w:trPr>
        <w:tc>
          <w:tcPr>
            <w:tcW w:w="6803" w:type="dxa"/>
          </w:tcPr>
          <w:p w14:paraId="00784AE9" w14:textId="1876A97A" w:rsidR="00B971CD" w:rsidRPr="00B971CD" w:rsidRDefault="00B971CD" w:rsidP="00223CAA">
            <w:pPr>
              <w:rPr>
                <w:rFonts w:asciiTheme="minorHAnsi" w:hAnsiTheme="minorHAnsi" w:cstheme="minorHAnsi"/>
                <w:bCs/>
                <w:sz w:val="20"/>
                <w:szCs w:val="20"/>
              </w:rPr>
            </w:pPr>
            <w:bookmarkStart w:id="15" w:name="_Hlk164757355"/>
            <w:r w:rsidRPr="00B971CD">
              <w:rPr>
                <w:rFonts w:asciiTheme="minorHAnsi" w:hAnsiTheme="minorHAnsi" w:cstheme="minorHAnsi"/>
                <w:bCs/>
                <w:sz w:val="20"/>
                <w:szCs w:val="20"/>
              </w:rPr>
              <w:t>Program 222 230</w:t>
            </w:r>
            <w:r w:rsidR="006D006C">
              <w:rPr>
                <w:rFonts w:asciiTheme="minorHAnsi" w:hAnsiTheme="minorHAnsi" w:cstheme="minorHAnsi"/>
                <w:bCs/>
                <w:sz w:val="20"/>
                <w:szCs w:val="20"/>
              </w:rPr>
              <w:t xml:space="preserve"> –</w:t>
            </w:r>
            <w:r w:rsidRPr="00B971CD">
              <w:rPr>
                <w:rFonts w:asciiTheme="minorHAnsi" w:hAnsiTheme="minorHAnsi" w:cstheme="minorHAnsi"/>
                <w:bCs/>
                <w:sz w:val="20"/>
                <w:szCs w:val="20"/>
              </w:rPr>
              <w:t xml:space="preserve"> </w:t>
            </w:r>
            <w:r w:rsidRPr="008E0961">
              <w:rPr>
                <w:rFonts w:asciiTheme="minorHAnsi" w:hAnsiTheme="minorHAnsi" w:cstheme="minorHAnsi"/>
                <w:bCs/>
                <w:i/>
                <w:sz w:val="20"/>
                <w:szCs w:val="20"/>
              </w:rPr>
              <w:t>Podpora podnikatelských nemovitostí a infrastruktury</w:t>
            </w:r>
          </w:p>
        </w:tc>
        <w:tc>
          <w:tcPr>
            <w:tcW w:w="2268" w:type="dxa"/>
          </w:tcPr>
          <w:p w14:paraId="21DE7A34" w14:textId="26AE6204" w:rsidR="00B971CD" w:rsidRPr="00B971CD" w:rsidRDefault="00B971CD" w:rsidP="006D006C">
            <w:pPr>
              <w:ind w:right="312"/>
              <w:jc w:val="right"/>
              <w:rPr>
                <w:rFonts w:asciiTheme="minorHAnsi" w:hAnsiTheme="minorHAnsi" w:cstheme="minorHAnsi"/>
                <w:bCs/>
                <w:sz w:val="20"/>
                <w:szCs w:val="20"/>
              </w:rPr>
            </w:pPr>
            <w:r w:rsidRPr="00B971CD">
              <w:rPr>
                <w:rFonts w:asciiTheme="minorHAnsi" w:hAnsiTheme="minorHAnsi" w:cstheme="minorHAnsi"/>
                <w:bCs/>
                <w:sz w:val="20"/>
                <w:szCs w:val="20"/>
              </w:rPr>
              <w:t>255 590</w:t>
            </w:r>
            <w:r w:rsidR="00430359">
              <w:rPr>
                <w:rFonts w:asciiTheme="minorHAnsi" w:hAnsiTheme="minorHAnsi" w:cstheme="minorHAnsi"/>
                <w:bCs/>
                <w:sz w:val="20"/>
                <w:szCs w:val="20"/>
              </w:rPr>
              <w:t> </w:t>
            </w:r>
            <w:r w:rsidRPr="00B971CD">
              <w:rPr>
                <w:rFonts w:asciiTheme="minorHAnsi" w:hAnsiTheme="minorHAnsi" w:cstheme="minorHAnsi"/>
                <w:bCs/>
                <w:sz w:val="20"/>
                <w:szCs w:val="20"/>
              </w:rPr>
              <w:t>771</w:t>
            </w:r>
            <w:r w:rsidR="00430359">
              <w:rPr>
                <w:rFonts w:asciiTheme="minorHAnsi" w:hAnsiTheme="minorHAnsi" w:cstheme="minorHAnsi"/>
                <w:bCs/>
                <w:sz w:val="20"/>
                <w:szCs w:val="20"/>
              </w:rPr>
              <w:t xml:space="preserve"> </w:t>
            </w:r>
            <w:r w:rsidRPr="00B971CD">
              <w:rPr>
                <w:rFonts w:asciiTheme="minorHAnsi" w:hAnsiTheme="minorHAnsi" w:cstheme="minorHAnsi"/>
                <w:bCs/>
                <w:sz w:val="20"/>
                <w:szCs w:val="20"/>
              </w:rPr>
              <w:t>Kč</w:t>
            </w:r>
          </w:p>
        </w:tc>
      </w:tr>
      <w:tr w:rsidR="00B971CD" w:rsidRPr="00B971CD" w14:paraId="5B7ED902" w14:textId="77777777" w:rsidTr="006D006C">
        <w:trPr>
          <w:trHeight w:hRule="exact" w:val="283"/>
          <w:jc w:val="center"/>
        </w:trPr>
        <w:tc>
          <w:tcPr>
            <w:tcW w:w="6803" w:type="dxa"/>
          </w:tcPr>
          <w:p w14:paraId="5C84665A" w14:textId="7495CFAD" w:rsidR="00B971CD" w:rsidRPr="00B971CD" w:rsidRDefault="00B971CD" w:rsidP="00223CAA">
            <w:pPr>
              <w:rPr>
                <w:rFonts w:asciiTheme="minorHAnsi" w:hAnsiTheme="minorHAnsi" w:cstheme="minorHAnsi"/>
                <w:bCs/>
                <w:sz w:val="20"/>
                <w:szCs w:val="20"/>
              </w:rPr>
            </w:pPr>
            <w:bookmarkStart w:id="16" w:name="_Hlk164757408"/>
            <w:bookmarkEnd w:id="15"/>
            <w:r w:rsidRPr="00B971CD">
              <w:rPr>
                <w:rFonts w:asciiTheme="minorHAnsi" w:hAnsiTheme="minorHAnsi" w:cstheme="minorHAnsi"/>
                <w:bCs/>
                <w:sz w:val="20"/>
                <w:szCs w:val="20"/>
              </w:rPr>
              <w:t>Program 122D20</w:t>
            </w:r>
            <w:r w:rsidR="006D006C">
              <w:rPr>
                <w:rFonts w:asciiTheme="minorHAnsi" w:hAnsiTheme="minorHAnsi" w:cstheme="minorHAnsi"/>
                <w:bCs/>
                <w:sz w:val="20"/>
                <w:szCs w:val="20"/>
              </w:rPr>
              <w:t xml:space="preserve"> –</w:t>
            </w:r>
            <w:r w:rsidRPr="00B971CD">
              <w:rPr>
                <w:rFonts w:asciiTheme="minorHAnsi" w:hAnsiTheme="minorHAnsi" w:cstheme="minorHAnsi"/>
                <w:bCs/>
                <w:sz w:val="20"/>
                <w:szCs w:val="20"/>
              </w:rPr>
              <w:t xml:space="preserve"> </w:t>
            </w:r>
            <w:r w:rsidRPr="008E0961">
              <w:rPr>
                <w:rFonts w:asciiTheme="minorHAnsi" w:hAnsiTheme="minorHAnsi" w:cstheme="minorHAnsi"/>
                <w:bCs/>
                <w:i/>
                <w:sz w:val="20"/>
                <w:szCs w:val="20"/>
              </w:rPr>
              <w:t xml:space="preserve">Smart </w:t>
            </w:r>
            <w:proofErr w:type="spellStart"/>
            <w:r w:rsidRPr="008E0961">
              <w:rPr>
                <w:rFonts w:asciiTheme="minorHAnsi" w:hAnsiTheme="minorHAnsi" w:cstheme="minorHAnsi"/>
                <w:bCs/>
                <w:i/>
                <w:sz w:val="20"/>
                <w:szCs w:val="20"/>
              </w:rPr>
              <w:t>Parks</w:t>
            </w:r>
            <w:proofErr w:type="spellEnd"/>
            <w:r w:rsidRPr="008E0961">
              <w:rPr>
                <w:rFonts w:asciiTheme="minorHAnsi" w:hAnsiTheme="minorHAnsi" w:cstheme="minorHAnsi"/>
                <w:bCs/>
                <w:i/>
                <w:sz w:val="20"/>
                <w:szCs w:val="20"/>
              </w:rPr>
              <w:t xml:space="preserve"> </w:t>
            </w:r>
            <w:proofErr w:type="spellStart"/>
            <w:r w:rsidRPr="008E0961">
              <w:rPr>
                <w:rFonts w:asciiTheme="minorHAnsi" w:hAnsiTheme="minorHAnsi" w:cstheme="minorHAnsi"/>
                <w:bCs/>
                <w:i/>
                <w:sz w:val="20"/>
                <w:szCs w:val="20"/>
              </w:rPr>
              <w:t>For</w:t>
            </w:r>
            <w:proofErr w:type="spellEnd"/>
            <w:r w:rsidRPr="008E0961">
              <w:rPr>
                <w:rFonts w:asciiTheme="minorHAnsi" w:hAnsiTheme="minorHAnsi" w:cstheme="minorHAnsi"/>
                <w:bCs/>
                <w:i/>
                <w:sz w:val="20"/>
                <w:szCs w:val="20"/>
              </w:rPr>
              <w:t xml:space="preserve"> </w:t>
            </w:r>
            <w:proofErr w:type="spellStart"/>
            <w:r w:rsidRPr="008E0961">
              <w:rPr>
                <w:rFonts w:asciiTheme="minorHAnsi" w:hAnsiTheme="minorHAnsi" w:cstheme="minorHAnsi"/>
                <w:bCs/>
                <w:i/>
                <w:sz w:val="20"/>
                <w:szCs w:val="20"/>
              </w:rPr>
              <w:t>The</w:t>
            </w:r>
            <w:proofErr w:type="spellEnd"/>
            <w:r w:rsidRPr="008E0961">
              <w:rPr>
                <w:rFonts w:asciiTheme="minorHAnsi" w:hAnsiTheme="minorHAnsi" w:cstheme="minorHAnsi"/>
                <w:bCs/>
                <w:i/>
                <w:sz w:val="20"/>
                <w:szCs w:val="20"/>
              </w:rPr>
              <w:t xml:space="preserve"> </w:t>
            </w:r>
            <w:proofErr w:type="spellStart"/>
            <w:r w:rsidRPr="008E0961">
              <w:rPr>
                <w:rFonts w:asciiTheme="minorHAnsi" w:hAnsiTheme="minorHAnsi" w:cstheme="minorHAnsi"/>
                <w:bCs/>
                <w:i/>
                <w:sz w:val="20"/>
                <w:szCs w:val="20"/>
              </w:rPr>
              <w:t>Future</w:t>
            </w:r>
            <w:bookmarkEnd w:id="16"/>
            <w:proofErr w:type="spellEnd"/>
          </w:p>
        </w:tc>
        <w:tc>
          <w:tcPr>
            <w:tcW w:w="2268" w:type="dxa"/>
          </w:tcPr>
          <w:p w14:paraId="5E57705F" w14:textId="77777777" w:rsidR="00B971CD" w:rsidRPr="00B971CD" w:rsidRDefault="00B971CD" w:rsidP="006D006C">
            <w:pPr>
              <w:ind w:right="312"/>
              <w:jc w:val="right"/>
              <w:rPr>
                <w:rFonts w:asciiTheme="minorHAnsi" w:hAnsiTheme="minorHAnsi" w:cstheme="minorHAnsi"/>
                <w:bCs/>
                <w:sz w:val="20"/>
                <w:szCs w:val="20"/>
              </w:rPr>
            </w:pPr>
            <w:r w:rsidRPr="00B971CD">
              <w:rPr>
                <w:rFonts w:asciiTheme="minorHAnsi" w:hAnsiTheme="minorHAnsi" w:cstheme="minorHAnsi"/>
                <w:bCs/>
                <w:sz w:val="20"/>
                <w:szCs w:val="20"/>
              </w:rPr>
              <w:t>0 Kč</w:t>
            </w:r>
          </w:p>
        </w:tc>
      </w:tr>
      <w:tr w:rsidR="00B971CD" w:rsidRPr="00B971CD" w14:paraId="14056DDA" w14:textId="77777777" w:rsidTr="006D006C">
        <w:trPr>
          <w:trHeight w:hRule="exact" w:val="283"/>
          <w:jc w:val="center"/>
        </w:trPr>
        <w:tc>
          <w:tcPr>
            <w:tcW w:w="6803" w:type="dxa"/>
          </w:tcPr>
          <w:p w14:paraId="2C57FC2B" w14:textId="5315AD01" w:rsidR="00B971CD" w:rsidRPr="00B971CD" w:rsidRDefault="00B971CD" w:rsidP="00223CAA">
            <w:pPr>
              <w:rPr>
                <w:rFonts w:asciiTheme="minorHAnsi" w:hAnsiTheme="minorHAnsi" w:cstheme="minorHAnsi"/>
                <w:bCs/>
                <w:sz w:val="20"/>
                <w:szCs w:val="20"/>
              </w:rPr>
            </w:pPr>
            <w:bookmarkStart w:id="17" w:name="_Hlk161317292"/>
            <w:r w:rsidRPr="00B971CD">
              <w:rPr>
                <w:rFonts w:asciiTheme="minorHAnsi" w:hAnsiTheme="minorHAnsi" w:cstheme="minorHAnsi"/>
                <w:bCs/>
                <w:sz w:val="20"/>
                <w:szCs w:val="20"/>
              </w:rPr>
              <w:t>Program 122D21</w:t>
            </w:r>
            <w:r w:rsidR="006D006C">
              <w:rPr>
                <w:rFonts w:asciiTheme="minorHAnsi" w:hAnsiTheme="minorHAnsi" w:cstheme="minorHAnsi"/>
                <w:bCs/>
                <w:sz w:val="20"/>
                <w:szCs w:val="20"/>
              </w:rPr>
              <w:t xml:space="preserve"> –</w:t>
            </w:r>
            <w:r w:rsidRPr="00B971CD">
              <w:rPr>
                <w:rFonts w:asciiTheme="minorHAnsi" w:hAnsiTheme="minorHAnsi" w:cstheme="minorHAnsi"/>
                <w:bCs/>
                <w:sz w:val="20"/>
                <w:szCs w:val="20"/>
              </w:rPr>
              <w:t xml:space="preserve"> </w:t>
            </w:r>
            <w:r w:rsidRPr="008E0961">
              <w:rPr>
                <w:rFonts w:asciiTheme="minorHAnsi" w:hAnsiTheme="minorHAnsi" w:cstheme="minorHAnsi"/>
                <w:bCs/>
                <w:i/>
                <w:sz w:val="20"/>
                <w:szCs w:val="20"/>
              </w:rPr>
              <w:t xml:space="preserve">Regenerace a podnikatelské využití </w:t>
            </w:r>
            <w:proofErr w:type="spellStart"/>
            <w:r w:rsidRPr="008E0961">
              <w:rPr>
                <w:rFonts w:asciiTheme="minorHAnsi" w:hAnsiTheme="minorHAnsi" w:cstheme="minorHAnsi"/>
                <w:bCs/>
                <w:i/>
                <w:sz w:val="20"/>
                <w:szCs w:val="20"/>
              </w:rPr>
              <w:t>brownfieldů</w:t>
            </w:r>
            <w:bookmarkEnd w:id="17"/>
            <w:proofErr w:type="spellEnd"/>
          </w:p>
        </w:tc>
        <w:tc>
          <w:tcPr>
            <w:tcW w:w="2268" w:type="dxa"/>
          </w:tcPr>
          <w:p w14:paraId="4671BA50" w14:textId="0AF2FAF0" w:rsidR="00B971CD" w:rsidRPr="00B971CD" w:rsidRDefault="00B971CD" w:rsidP="006D006C">
            <w:pPr>
              <w:ind w:right="312"/>
              <w:jc w:val="right"/>
              <w:rPr>
                <w:rFonts w:asciiTheme="minorHAnsi" w:hAnsiTheme="minorHAnsi" w:cstheme="minorHAnsi"/>
                <w:bCs/>
                <w:sz w:val="20"/>
                <w:szCs w:val="20"/>
              </w:rPr>
            </w:pPr>
            <w:r w:rsidRPr="00B971CD">
              <w:rPr>
                <w:rFonts w:asciiTheme="minorHAnsi" w:hAnsiTheme="minorHAnsi" w:cstheme="minorHAnsi"/>
                <w:bCs/>
                <w:sz w:val="20"/>
                <w:szCs w:val="20"/>
              </w:rPr>
              <w:t>455 885</w:t>
            </w:r>
            <w:r w:rsidR="00430359">
              <w:rPr>
                <w:rFonts w:asciiTheme="minorHAnsi" w:hAnsiTheme="minorHAnsi" w:cstheme="minorHAnsi"/>
                <w:bCs/>
                <w:sz w:val="20"/>
                <w:szCs w:val="20"/>
              </w:rPr>
              <w:t> </w:t>
            </w:r>
            <w:r w:rsidRPr="00B971CD">
              <w:rPr>
                <w:rFonts w:asciiTheme="minorHAnsi" w:hAnsiTheme="minorHAnsi" w:cstheme="minorHAnsi"/>
                <w:bCs/>
                <w:sz w:val="20"/>
                <w:szCs w:val="20"/>
              </w:rPr>
              <w:t>364</w:t>
            </w:r>
            <w:r w:rsidR="00430359">
              <w:rPr>
                <w:rFonts w:asciiTheme="minorHAnsi" w:hAnsiTheme="minorHAnsi" w:cstheme="minorHAnsi"/>
                <w:bCs/>
                <w:sz w:val="20"/>
                <w:szCs w:val="20"/>
              </w:rPr>
              <w:t xml:space="preserve"> </w:t>
            </w:r>
            <w:r w:rsidRPr="00B971CD">
              <w:rPr>
                <w:rFonts w:asciiTheme="minorHAnsi" w:hAnsiTheme="minorHAnsi" w:cstheme="minorHAnsi"/>
                <w:bCs/>
                <w:sz w:val="20"/>
                <w:szCs w:val="20"/>
              </w:rPr>
              <w:t>Kč</w:t>
            </w:r>
          </w:p>
        </w:tc>
      </w:tr>
      <w:tr w:rsidR="00B971CD" w:rsidRPr="00B971CD" w14:paraId="184E6D7F" w14:textId="77777777" w:rsidTr="006D006C">
        <w:trPr>
          <w:trHeight w:hRule="exact" w:val="283"/>
          <w:jc w:val="center"/>
        </w:trPr>
        <w:tc>
          <w:tcPr>
            <w:tcW w:w="6803" w:type="dxa"/>
          </w:tcPr>
          <w:p w14:paraId="2F53EF0E" w14:textId="2E09C05D" w:rsidR="00B971CD" w:rsidRPr="00B971CD" w:rsidRDefault="00B971CD" w:rsidP="00223CAA">
            <w:pPr>
              <w:rPr>
                <w:rFonts w:asciiTheme="minorHAnsi" w:hAnsiTheme="minorHAnsi" w:cstheme="minorHAnsi"/>
                <w:bCs/>
                <w:sz w:val="20"/>
                <w:szCs w:val="20"/>
              </w:rPr>
            </w:pPr>
            <w:bookmarkStart w:id="18" w:name="_Hlk164757466"/>
            <w:r w:rsidRPr="00B971CD">
              <w:rPr>
                <w:rFonts w:asciiTheme="minorHAnsi" w:hAnsiTheme="minorHAnsi" w:cstheme="minorHAnsi"/>
                <w:bCs/>
                <w:sz w:val="20"/>
                <w:szCs w:val="20"/>
              </w:rPr>
              <w:t xml:space="preserve">Program </w:t>
            </w:r>
            <w:r w:rsidRPr="008E0961">
              <w:rPr>
                <w:rFonts w:asciiTheme="minorHAnsi" w:hAnsiTheme="minorHAnsi" w:cstheme="minorHAnsi"/>
                <w:bCs/>
                <w:i/>
                <w:sz w:val="20"/>
                <w:szCs w:val="20"/>
              </w:rPr>
              <w:t xml:space="preserve">Regenerace </w:t>
            </w:r>
            <w:proofErr w:type="spellStart"/>
            <w:r w:rsidRPr="008E0961">
              <w:rPr>
                <w:rFonts w:asciiTheme="minorHAnsi" w:hAnsiTheme="minorHAnsi" w:cstheme="minorHAnsi"/>
                <w:bCs/>
                <w:i/>
                <w:sz w:val="20"/>
                <w:szCs w:val="20"/>
              </w:rPr>
              <w:t>brownfieldů</w:t>
            </w:r>
            <w:proofErr w:type="spellEnd"/>
            <w:r w:rsidRPr="008E0961">
              <w:rPr>
                <w:rFonts w:asciiTheme="minorHAnsi" w:hAnsiTheme="minorHAnsi" w:cstheme="minorHAnsi"/>
                <w:bCs/>
                <w:i/>
                <w:sz w:val="20"/>
                <w:szCs w:val="20"/>
              </w:rPr>
              <w:t xml:space="preserve"> pro podnikatelské využití</w:t>
            </w:r>
            <w:r w:rsidRPr="00B971CD">
              <w:rPr>
                <w:rFonts w:asciiTheme="minorHAnsi" w:hAnsiTheme="minorHAnsi" w:cstheme="minorHAnsi"/>
                <w:bCs/>
                <w:sz w:val="20"/>
                <w:szCs w:val="20"/>
              </w:rPr>
              <w:t xml:space="preserve"> (NPO)</w:t>
            </w:r>
            <w:bookmarkEnd w:id="18"/>
          </w:p>
        </w:tc>
        <w:tc>
          <w:tcPr>
            <w:tcW w:w="2268" w:type="dxa"/>
          </w:tcPr>
          <w:p w14:paraId="4206C207" w14:textId="2691879B" w:rsidR="00B971CD" w:rsidRPr="00B971CD" w:rsidRDefault="00B971CD" w:rsidP="006D006C">
            <w:pPr>
              <w:ind w:right="312"/>
              <w:jc w:val="right"/>
              <w:rPr>
                <w:rFonts w:asciiTheme="minorHAnsi" w:hAnsiTheme="minorHAnsi" w:cstheme="minorHAnsi"/>
                <w:bCs/>
                <w:sz w:val="20"/>
                <w:szCs w:val="20"/>
              </w:rPr>
            </w:pPr>
            <w:r w:rsidRPr="00B971CD">
              <w:rPr>
                <w:rFonts w:asciiTheme="minorHAnsi" w:hAnsiTheme="minorHAnsi" w:cstheme="minorHAnsi"/>
                <w:sz w:val="20"/>
                <w:szCs w:val="20"/>
              </w:rPr>
              <w:t>25 193</w:t>
            </w:r>
            <w:r w:rsidR="00430359">
              <w:rPr>
                <w:rFonts w:asciiTheme="minorHAnsi" w:hAnsiTheme="minorHAnsi" w:cstheme="minorHAnsi"/>
                <w:sz w:val="20"/>
                <w:szCs w:val="20"/>
              </w:rPr>
              <w:t> </w:t>
            </w:r>
            <w:r w:rsidRPr="00B971CD">
              <w:rPr>
                <w:rFonts w:asciiTheme="minorHAnsi" w:hAnsiTheme="minorHAnsi" w:cstheme="minorHAnsi"/>
                <w:sz w:val="20"/>
                <w:szCs w:val="20"/>
              </w:rPr>
              <w:t>644</w:t>
            </w:r>
            <w:r w:rsidR="00430359">
              <w:rPr>
                <w:rFonts w:asciiTheme="minorHAnsi" w:hAnsiTheme="minorHAnsi" w:cstheme="minorHAnsi"/>
                <w:sz w:val="20"/>
                <w:szCs w:val="20"/>
              </w:rPr>
              <w:t xml:space="preserve"> </w:t>
            </w:r>
            <w:r w:rsidRPr="00B971CD">
              <w:rPr>
                <w:rFonts w:asciiTheme="minorHAnsi" w:hAnsiTheme="minorHAnsi" w:cstheme="minorHAnsi"/>
                <w:sz w:val="20"/>
                <w:szCs w:val="20"/>
              </w:rPr>
              <w:t xml:space="preserve">Kč </w:t>
            </w:r>
          </w:p>
        </w:tc>
      </w:tr>
      <w:tr w:rsidR="00B971CD" w:rsidRPr="00B971CD" w14:paraId="54F280FF" w14:textId="77777777" w:rsidTr="006D006C">
        <w:trPr>
          <w:trHeight w:hRule="exact" w:val="283"/>
          <w:jc w:val="center"/>
        </w:trPr>
        <w:tc>
          <w:tcPr>
            <w:tcW w:w="6803" w:type="dxa"/>
          </w:tcPr>
          <w:p w14:paraId="13CB6AA5" w14:textId="77777777" w:rsidR="00B971CD" w:rsidRPr="00B971CD" w:rsidRDefault="00B971CD" w:rsidP="00223CAA">
            <w:pPr>
              <w:rPr>
                <w:rFonts w:asciiTheme="minorHAnsi" w:hAnsiTheme="minorHAnsi" w:cstheme="minorHAnsi"/>
                <w:bCs/>
                <w:sz w:val="20"/>
                <w:szCs w:val="20"/>
              </w:rPr>
            </w:pPr>
            <w:r w:rsidRPr="00B971CD">
              <w:rPr>
                <w:rFonts w:asciiTheme="minorHAnsi" w:hAnsiTheme="minorHAnsi" w:cstheme="minorHAnsi"/>
                <w:bCs/>
                <w:sz w:val="20"/>
                <w:szCs w:val="20"/>
              </w:rPr>
              <w:t xml:space="preserve">Program </w:t>
            </w:r>
            <w:r w:rsidRPr="008E0961">
              <w:rPr>
                <w:rFonts w:asciiTheme="minorHAnsi" w:hAnsiTheme="minorHAnsi" w:cstheme="minorHAnsi"/>
                <w:bCs/>
                <w:i/>
                <w:sz w:val="20"/>
                <w:szCs w:val="20"/>
              </w:rPr>
              <w:t>Nemovitosti</w:t>
            </w:r>
            <w:r w:rsidRPr="00B971CD">
              <w:rPr>
                <w:rFonts w:asciiTheme="minorHAnsi" w:hAnsiTheme="minorHAnsi" w:cstheme="minorHAnsi"/>
                <w:bCs/>
                <w:sz w:val="20"/>
                <w:szCs w:val="20"/>
              </w:rPr>
              <w:t xml:space="preserve"> (OPPIK)</w:t>
            </w:r>
          </w:p>
        </w:tc>
        <w:tc>
          <w:tcPr>
            <w:tcW w:w="2268" w:type="dxa"/>
          </w:tcPr>
          <w:p w14:paraId="7DC6F6AF" w14:textId="380C048D" w:rsidR="00B971CD" w:rsidRPr="00B971CD" w:rsidRDefault="00B971CD" w:rsidP="006D006C">
            <w:pPr>
              <w:ind w:right="312"/>
              <w:jc w:val="right"/>
              <w:rPr>
                <w:rFonts w:asciiTheme="minorHAnsi" w:hAnsiTheme="minorHAnsi" w:cstheme="minorHAnsi"/>
                <w:bCs/>
                <w:sz w:val="20"/>
                <w:szCs w:val="20"/>
              </w:rPr>
            </w:pPr>
            <w:r w:rsidRPr="00B971CD">
              <w:rPr>
                <w:rFonts w:asciiTheme="minorHAnsi" w:hAnsiTheme="minorHAnsi" w:cstheme="minorHAnsi"/>
                <w:sz w:val="20"/>
                <w:szCs w:val="20"/>
              </w:rPr>
              <w:t>4 322 293</w:t>
            </w:r>
            <w:r w:rsidR="00430359">
              <w:rPr>
                <w:rFonts w:asciiTheme="minorHAnsi" w:hAnsiTheme="minorHAnsi" w:cstheme="minorHAnsi"/>
                <w:sz w:val="20"/>
                <w:szCs w:val="20"/>
              </w:rPr>
              <w:t> </w:t>
            </w:r>
            <w:r w:rsidRPr="00B971CD">
              <w:rPr>
                <w:rFonts w:asciiTheme="minorHAnsi" w:hAnsiTheme="minorHAnsi" w:cstheme="minorHAnsi"/>
                <w:sz w:val="20"/>
                <w:szCs w:val="20"/>
              </w:rPr>
              <w:t>36</w:t>
            </w:r>
            <w:r w:rsidR="001423D6">
              <w:rPr>
                <w:rFonts w:asciiTheme="minorHAnsi" w:hAnsiTheme="minorHAnsi" w:cstheme="minorHAnsi"/>
                <w:sz w:val="20"/>
                <w:szCs w:val="20"/>
              </w:rPr>
              <w:t>8</w:t>
            </w:r>
            <w:r w:rsidR="00430359">
              <w:rPr>
                <w:rFonts w:asciiTheme="minorHAnsi" w:hAnsiTheme="minorHAnsi" w:cstheme="minorHAnsi"/>
                <w:sz w:val="20"/>
                <w:szCs w:val="20"/>
              </w:rPr>
              <w:t xml:space="preserve"> </w:t>
            </w:r>
            <w:r w:rsidRPr="00B971CD">
              <w:rPr>
                <w:rFonts w:asciiTheme="minorHAnsi" w:hAnsiTheme="minorHAnsi" w:cstheme="minorHAnsi"/>
                <w:sz w:val="20"/>
                <w:szCs w:val="20"/>
              </w:rPr>
              <w:t>Kč</w:t>
            </w:r>
          </w:p>
        </w:tc>
      </w:tr>
      <w:tr w:rsidR="00B971CD" w:rsidRPr="00B971CD" w14:paraId="7629D6E2" w14:textId="77777777" w:rsidTr="006D006C">
        <w:trPr>
          <w:trHeight w:hRule="exact" w:val="283"/>
          <w:jc w:val="center"/>
        </w:trPr>
        <w:tc>
          <w:tcPr>
            <w:tcW w:w="6803" w:type="dxa"/>
            <w:shd w:val="clear" w:color="auto" w:fill="DCA8B3"/>
          </w:tcPr>
          <w:p w14:paraId="764BA65A" w14:textId="77777777" w:rsidR="00B971CD" w:rsidRPr="00B971CD" w:rsidRDefault="00B971CD" w:rsidP="00223CAA">
            <w:pPr>
              <w:rPr>
                <w:rFonts w:asciiTheme="minorHAnsi" w:hAnsiTheme="minorHAnsi" w:cstheme="minorHAnsi"/>
                <w:b/>
                <w:bCs/>
                <w:sz w:val="20"/>
                <w:szCs w:val="20"/>
              </w:rPr>
            </w:pPr>
            <w:r w:rsidRPr="00B971CD">
              <w:rPr>
                <w:rFonts w:asciiTheme="minorHAnsi" w:hAnsiTheme="minorHAnsi" w:cstheme="minorHAnsi"/>
                <w:b/>
                <w:bCs/>
                <w:sz w:val="20"/>
                <w:szCs w:val="20"/>
              </w:rPr>
              <w:t>Celkem</w:t>
            </w:r>
          </w:p>
        </w:tc>
        <w:tc>
          <w:tcPr>
            <w:tcW w:w="2268" w:type="dxa"/>
            <w:shd w:val="clear" w:color="auto" w:fill="DCA8B3"/>
          </w:tcPr>
          <w:p w14:paraId="4F39C43A" w14:textId="5F9A5EE7" w:rsidR="00B971CD" w:rsidRPr="00B971CD" w:rsidRDefault="00B971CD" w:rsidP="006D006C">
            <w:pPr>
              <w:ind w:right="312"/>
              <w:jc w:val="right"/>
              <w:rPr>
                <w:rFonts w:asciiTheme="minorHAnsi" w:hAnsiTheme="minorHAnsi" w:cstheme="minorHAnsi"/>
                <w:b/>
                <w:sz w:val="20"/>
                <w:szCs w:val="20"/>
              </w:rPr>
            </w:pPr>
            <w:r w:rsidRPr="00B971CD">
              <w:rPr>
                <w:rFonts w:asciiTheme="minorHAnsi" w:hAnsiTheme="minorHAnsi" w:cstheme="minorHAnsi"/>
                <w:b/>
                <w:sz w:val="20"/>
                <w:szCs w:val="20"/>
              </w:rPr>
              <w:t>5 058 963 14</w:t>
            </w:r>
            <w:r w:rsidR="001423D6">
              <w:rPr>
                <w:rFonts w:asciiTheme="minorHAnsi" w:hAnsiTheme="minorHAnsi" w:cstheme="minorHAnsi"/>
                <w:b/>
                <w:sz w:val="20"/>
                <w:szCs w:val="20"/>
              </w:rPr>
              <w:t>7</w:t>
            </w:r>
            <w:r w:rsidRPr="00B971CD">
              <w:rPr>
                <w:rFonts w:asciiTheme="minorHAnsi" w:hAnsiTheme="minorHAnsi" w:cstheme="minorHAnsi"/>
                <w:b/>
                <w:sz w:val="20"/>
                <w:szCs w:val="20"/>
              </w:rPr>
              <w:t xml:space="preserve"> Kč</w:t>
            </w:r>
          </w:p>
        </w:tc>
      </w:tr>
      <w:bookmarkEnd w:id="14"/>
    </w:tbl>
    <w:p w14:paraId="3E2598EF" w14:textId="77777777" w:rsidR="00B971CD" w:rsidRDefault="00B971CD" w:rsidP="00B971CD">
      <w:pPr>
        <w:pStyle w:val="Odstavecseseznamem"/>
        <w:ind w:left="0"/>
        <w:rPr>
          <w:rFonts w:cstheme="minorHAnsi"/>
          <w:lang w:eastAsia="cs-CZ"/>
        </w:rPr>
      </w:pPr>
    </w:p>
    <w:p w14:paraId="4368D3FA" w14:textId="0465D017" w:rsidR="00B971CD" w:rsidRDefault="00B971CD" w:rsidP="00D26589">
      <w:pPr>
        <w:pStyle w:val="Nadpis3"/>
        <w:rPr>
          <w:lang w:eastAsia="cs-CZ"/>
        </w:rPr>
      </w:pPr>
      <w:r w:rsidRPr="00DF6F17">
        <w:rPr>
          <w:lang w:eastAsia="cs-CZ"/>
        </w:rPr>
        <w:t>NKÚ u Agentury CzechInvest prověřoval zejména plnění úkolů, které jí byly stanoveny v </w:t>
      </w:r>
      <w:r w:rsidR="00FB73DE" w:rsidRPr="008E0961">
        <w:rPr>
          <w:i/>
          <w:lang w:eastAsia="cs-CZ"/>
        </w:rPr>
        <w:t>Národní strategii regenerací brownfieldů 2019</w:t>
      </w:r>
      <w:r w:rsidR="00EC0B44" w:rsidRPr="008E0961">
        <w:rPr>
          <w:i/>
        </w:rPr>
        <w:t>–</w:t>
      </w:r>
      <w:r w:rsidRPr="008E0961">
        <w:rPr>
          <w:i/>
          <w:lang w:eastAsia="cs-CZ"/>
        </w:rPr>
        <w:t>2024</w:t>
      </w:r>
      <w:r w:rsidRPr="00DF6F17">
        <w:rPr>
          <w:lang w:eastAsia="cs-CZ"/>
        </w:rPr>
        <w:t xml:space="preserve"> a povinností, které na ni v období 2018 až 2020 delegovalo MPO v souvislosti s poskytováním podpory z </w:t>
      </w:r>
      <w:r w:rsidR="006D006C">
        <w:rPr>
          <w:lang w:eastAsia="cs-CZ"/>
        </w:rPr>
        <w:t>p</w:t>
      </w:r>
      <w:r w:rsidRPr="00DF6F17">
        <w:rPr>
          <w:lang w:eastAsia="cs-CZ"/>
        </w:rPr>
        <w:t xml:space="preserve">rogramu 122D21. NKÚ rovněž ověřil výběrová řízení na zajištění činností souvisejících s plněním opatření </w:t>
      </w:r>
      <w:r w:rsidR="000C7943" w:rsidRPr="008E0961">
        <w:rPr>
          <w:i/>
          <w:lang w:eastAsia="cs-CZ"/>
        </w:rPr>
        <w:t>Národní strategie regenerací brownfieldů 2019</w:t>
      </w:r>
      <w:r w:rsidR="00EC0B44" w:rsidRPr="008E0961">
        <w:rPr>
          <w:i/>
        </w:rPr>
        <w:t>–</w:t>
      </w:r>
      <w:r w:rsidR="000C7943" w:rsidRPr="008E0961">
        <w:rPr>
          <w:i/>
          <w:lang w:eastAsia="cs-CZ"/>
        </w:rPr>
        <w:t>2024</w:t>
      </w:r>
      <w:r w:rsidR="000C7943">
        <w:rPr>
          <w:lang w:eastAsia="cs-CZ"/>
        </w:rPr>
        <w:t xml:space="preserve"> </w:t>
      </w:r>
      <w:r w:rsidRPr="00DF6F17">
        <w:rPr>
          <w:lang w:eastAsia="cs-CZ"/>
        </w:rPr>
        <w:t xml:space="preserve">a </w:t>
      </w:r>
      <w:r>
        <w:rPr>
          <w:lang w:eastAsia="cs-CZ"/>
        </w:rPr>
        <w:t xml:space="preserve">na </w:t>
      </w:r>
      <w:r w:rsidR="00036137">
        <w:rPr>
          <w:lang w:eastAsia="cs-CZ"/>
        </w:rPr>
        <w:t xml:space="preserve">výběrová </w:t>
      </w:r>
      <w:r>
        <w:rPr>
          <w:lang w:eastAsia="cs-CZ"/>
        </w:rPr>
        <w:t xml:space="preserve">řízení </w:t>
      </w:r>
      <w:r w:rsidRPr="00DF6F17">
        <w:rPr>
          <w:lang w:eastAsia="cs-CZ"/>
        </w:rPr>
        <w:t>společností zajišťujících supervizi projekt</w:t>
      </w:r>
      <w:r>
        <w:rPr>
          <w:lang w:eastAsia="cs-CZ"/>
        </w:rPr>
        <w:t xml:space="preserve">ů podpořených v rámci </w:t>
      </w:r>
      <w:r w:rsidR="006D006C">
        <w:rPr>
          <w:lang w:eastAsia="cs-CZ"/>
        </w:rPr>
        <w:t>p</w:t>
      </w:r>
      <w:r>
        <w:rPr>
          <w:lang w:eastAsia="cs-CZ"/>
        </w:rPr>
        <w:t>rogramu 122D21</w:t>
      </w:r>
      <w:r w:rsidRPr="00DF6F17">
        <w:rPr>
          <w:lang w:eastAsia="cs-CZ"/>
        </w:rPr>
        <w:t xml:space="preserve">. </w:t>
      </w:r>
    </w:p>
    <w:p w14:paraId="2798FEC8" w14:textId="77777777" w:rsidR="00B971CD" w:rsidRPr="00DF6F17" w:rsidRDefault="00B971CD" w:rsidP="009C4A3C">
      <w:pPr>
        <w:rPr>
          <w:lang w:eastAsia="cs-CZ"/>
        </w:rPr>
      </w:pPr>
    </w:p>
    <w:p w14:paraId="5BFF112D" w14:textId="50ECAE6A" w:rsidR="00B971CD" w:rsidRDefault="00B971CD" w:rsidP="00A0746E">
      <w:pPr>
        <w:pStyle w:val="Nadpis3"/>
        <w:spacing w:after="120"/>
      </w:pPr>
      <w:r w:rsidRPr="00803BDF">
        <w:t xml:space="preserve">Kontrolovaný objem u Agentury CzechInvest činil celkem 71,8 mil. Kč a byl tvořen částkou za činnosti spojené s plněním </w:t>
      </w:r>
      <w:r w:rsidR="000C7943" w:rsidRPr="008E0961">
        <w:rPr>
          <w:i/>
          <w:lang w:eastAsia="cs-CZ"/>
        </w:rPr>
        <w:t>Národní strategie regenerací brownfieldů 2019</w:t>
      </w:r>
      <w:r w:rsidR="00EC0B44" w:rsidRPr="008E0961">
        <w:rPr>
          <w:i/>
        </w:rPr>
        <w:t>–</w:t>
      </w:r>
      <w:r w:rsidR="000C7943" w:rsidRPr="008E0961">
        <w:rPr>
          <w:i/>
          <w:lang w:eastAsia="cs-CZ"/>
        </w:rPr>
        <w:t>2024</w:t>
      </w:r>
      <w:r w:rsidRPr="00803BDF">
        <w:t xml:space="preserve">, výdaji za služby supervize, výdaji za činnosti spojené </w:t>
      </w:r>
      <w:r w:rsidR="00F73A8A">
        <w:t>s převedením</w:t>
      </w:r>
      <w:r>
        <w:t xml:space="preserve"> některých povinností </w:t>
      </w:r>
      <w:r w:rsidR="00F73A8A">
        <w:t>u </w:t>
      </w:r>
      <w:r w:rsidR="006D006C">
        <w:t>p</w:t>
      </w:r>
      <w:r>
        <w:t xml:space="preserve">rogramu 122D21 </w:t>
      </w:r>
      <w:r w:rsidR="00F73A8A">
        <w:t xml:space="preserve">zpět </w:t>
      </w:r>
      <w:r>
        <w:t>na MPO</w:t>
      </w:r>
      <w:r w:rsidRPr="00803BDF">
        <w:t xml:space="preserve"> (uskladnění dokumentace, úprava dat) a</w:t>
      </w:r>
      <w:r>
        <w:t xml:space="preserve"> výdaji</w:t>
      </w:r>
      <w:r w:rsidRPr="00803BDF">
        <w:t xml:space="preserve"> státního rozpočtu </w:t>
      </w:r>
      <w:r>
        <w:t xml:space="preserve">vyplacenými příjemcům dotace u </w:t>
      </w:r>
      <w:r w:rsidRPr="00803BDF">
        <w:t>vybraného vzorku projektů.</w:t>
      </w:r>
    </w:p>
    <w:p w14:paraId="6342DD29" w14:textId="23342119" w:rsidR="00B971CD" w:rsidRPr="0078411B" w:rsidRDefault="00B971CD" w:rsidP="001B632F">
      <w:pPr>
        <w:keepNext/>
        <w:spacing w:before="120" w:after="40"/>
        <w:rPr>
          <w:rFonts w:cstheme="minorHAnsi"/>
          <w:b/>
          <w:bCs/>
        </w:rPr>
      </w:pPr>
      <w:bookmarkStart w:id="19" w:name="_Hlk162960647"/>
      <w:r w:rsidRPr="0078411B">
        <w:rPr>
          <w:rFonts w:cstheme="minorHAnsi"/>
          <w:b/>
          <w:bCs/>
        </w:rPr>
        <w:lastRenderedPageBreak/>
        <w:t xml:space="preserve">Tabulka č. </w:t>
      </w:r>
      <w:r w:rsidR="006D5510" w:rsidRPr="0078411B">
        <w:rPr>
          <w:rFonts w:cstheme="minorHAnsi"/>
          <w:b/>
          <w:bCs/>
        </w:rPr>
        <w:t>2</w:t>
      </w:r>
      <w:r w:rsidRPr="0078411B">
        <w:rPr>
          <w:rFonts w:cstheme="minorHAnsi"/>
          <w:b/>
          <w:bCs/>
        </w:rPr>
        <w:t>: Stanovení kontrolovaného objemu (Agentura CzechInvest)</w:t>
      </w:r>
    </w:p>
    <w:tbl>
      <w:tblPr>
        <w:tblStyle w:val="Mkatabulky"/>
        <w:tblW w:w="9071" w:type="dxa"/>
        <w:jc w:val="center"/>
        <w:tblLook w:val="04A0" w:firstRow="1" w:lastRow="0" w:firstColumn="1" w:lastColumn="0" w:noHBand="0" w:noVBand="1"/>
      </w:tblPr>
      <w:tblGrid>
        <w:gridCol w:w="7087"/>
        <w:gridCol w:w="1984"/>
      </w:tblGrid>
      <w:tr w:rsidR="00B971CD" w:rsidRPr="00B971CD" w14:paraId="567CD66C" w14:textId="77777777" w:rsidTr="00476AC3">
        <w:trPr>
          <w:cantSplit/>
          <w:trHeight w:hRule="exact" w:val="283"/>
          <w:jc w:val="center"/>
        </w:trPr>
        <w:tc>
          <w:tcPr>
            <w:tcW w:w="7087" w:type="dxa"/>
            <w:shd w:val="clear" w:color="auto" w:fill="E6E6E6"/>
          </w:tcPr>
          <w:bookmarkEnd w:id="19"/>
          <w:p w14:paraId="172B6ABA" w14:textId="77777777" w:rsidR="00B971CD" w:rsidRPr="00B971CD" w:rsidRDefault="00B971CD" w:rsidP="001B632F">
            <w:pPr>
              <w:keepNext/>
              <w:rPr>
                <w:rFonts w:asciiTheme="minorHAnsi" w:hAnsiTheme="minorHAnsi" w:cstheme="minorHAnsi"/>
                <w:b/>
                <w:bCs/>
                <w:sz w:val="20"/>
                <w:szCs w:val="20"/>
              </w:rPr>
            </w:pPr>
            <w:r w:rsidRPr="00B971CD">
              <w:rPr>
                <w:rFonts w:asciiTheme="minorHAnsi" w:hAnsiTheme="minorHAnsi" w:cstheme="minorHAnsi"/>
                <w:b/>
                <w:bCs/>
                <w:sz w:val="20"/>
                <w:szCs w:val="20"/>
              </w:rPr>
              <w:t>Specifikace výdaje</w:t>
            </w:r>
          </w:p>
        </w:tc>
        <w:tc>
          <w:tcPr>
            <w:tcW w:w="1984" w:type="dxa"/>
            <w:shd w:val="clear" w:color="auto" w:fill="E6E6E6"/>
          </w:tcPr>
          <w:p w14:paraId="77AA2C92" w14:textId="77777777" w:rsidR="00B971CD" w:rsidRPr="00B971CD" w:rsidRDefault="00B971CD" w:rsidP="001B632F">
            <w:pPr>
              <w:keepNext/>
              <w:jc w:val="center"/>
              <w:rPr>
                <w:rFonts w:asciiTheme="minorHAnsi" w:hAnsiTheme="minorHAnsi" w:cstheme="minorHAnsi"/>
                <w:b/>
                <w:bCs/>
                <w:sz w:val="20"/>
                <w:szCs w:val="20"/>
              </w:rPr>
            </w:pPr>
            <w:r w:rsidRPr="00B971CD">
              <w:rPr>
                <w:rFonts w:asciiTheme="minorHAnsi" w:hAnsiTheme="minorHAnsi" w:cstheme="minorHAnsi"/>
                <w:b/>
                <w:bCs/>
                <w:sz w:val="20"/>
                <w:szCs w:val="20"/>
              </w:rPr>
              <w:t>Kontrolovaný objem</w:t>
            </w:r>
          </w:p>
        </w:tc>
      </w:tr>
      <w:tr w:rsidR="00B971CD" w:rsidRPr="00B971CD" w14:paraId="296F7B5C" w14:textId="77777777" w:rsidTr="00476AC3">
        <w:trPr>
          <w:cantSplit/>
          <w:trHeight w:hRule="exact" w:val="283"/>
          <w:jc w:val="center"/>
        </w:trPr>
        <w:tc>
          <w:tcPr>
            <w:tcW w:w="7087" w:type="dxa"/>
          </w:tcPr>
          <w:p w14:paraId="0E3AD0F8" w14:textId="22EBEADB" w:rsidR="00B971CD" w:rsidRPr="00B971CD" w:rsidRDefault="00B971CD" w:rsidP="001B632F">
            <w:pPr>
              <w:keepNext/>
              <w:rPr>
                <w:rFonts w:asciiTheme="minorHAnsi" w:hAnsiTheme="minorHAnsi" w:cstheme="minorHAnsi"/>
                <w:bCs/>
                <w:sz w:val="20"/>
                <w:szCs w:val="20"/>
              </w:rPr>
            </w:pPr>
            <w:r w:rsidRPr="00B971CD">
              <w:rPr>
                <w:rFonts w:asciiTheme="minorHAnsi" w:hAnsiTheme="minorHAnsi" w:cstheme="minorHAnsi"/>
                <w:sz w:val="20"/>
                <w:szCs w:val="20"/>
              </w:rPr>
              <w:t xml:space="preserve">Činnosti spojené s plněním </w:t>
            </w:r>
            <w:r w:rsidRPr="008E0961">
              <w:rPr>
                <w:rFonts w:asciiTheme="minorHAnsi" w:hAnsiTheme="minorHAnsi" w:cstheme="minorHAnsi"/>
                <w:i/>
                <w:sz w:val="20"/>
                <w:szCs w:val="20"/>
              </w:rPr>
              <w:t>N</w:t>
            </w:r>
            <w:r w:rsidR="000C7943" w:rsidRPr="008E0961">
              <w:rPr>
                <w:rFonts w:asciiTheme="minorHAnsi" w:hAnsiTheme="minorHAnsi" w:cstheme="minorHAnsi"/>
                <w:i/>
                <w:sz w:val="20"/>
                <w:szCs w:val="20"/>
              </w:rPr>
              <w:t xml:space="preserve">árodní strategie regenerací </w:t>
            </w:r>
            <w:proofErr w:type="spellStart"/>
            <w:r w:rsidR="000C7943" w:rsidRPr="008E0961">
              <w:rPr>
                <w:rFonts w:asciiTheme="minorHAnsi" w:hAnsiTheme="minorHAnsi" w:cstheme="minorHAnsi"/>
                <w:i/>
                <w:sz w:val="20"/>
                <w:szCs w:val="20"/>
              </w:rPr>
              <w:t>brownfieldů</w:t>
            </w:r>
            <w:proofErr w:type="spellEnd"/>
            <w:r w:rsidR="00A73C7F" w:rsidRPr="008E0961">
              <w:rPr>
                <w:rFonts w:asciiTheme="minorHAnsi" w:hAnsiTheme="minorHAnsi" w:cstheme="minorHAnsi"/>
                <w:i/>
                <w:sz w:val="20"/>
                <w:szCs w:val="20"/>
              </w:rPr>
              <w:t xml:space="preserve"> 2019</w:t>
            </w:r>
            <w:r w:rsidR="00476AC3" w:rsidRPr="008E0961">
              <w:rPr>
                <w:rFonts w:asciiTheme="minorHAnsi" w:hAnsiTheme="minorHAnsi" w:cstheme="minorHAnsi"/>
                <w:bCs/>
                <w:i/>
                <w:sz w:val="20"/>
                <w:szCs w:val="20"/>
              </w:rPr>
              <w:t>–</w:t>
            </w:r>
            <w:r w:rsidR="00A73C7F" w:rsidRPr="008E0961">
              <w:rPr>
                <w:rFonts w:asciiTheme="minorHAnsi" w:hAnsiTheme="minorHAnsi" w:cstheme="minorHAnsi"/>
                <w:i/>
                <w:sz w:val="20"/>
                <w:szCs w:val="20"/>
              </w:rPr>
              <w:t>2024</w:t>
            </w:r>
          </w:p>
        </w:tc>
        <w:tc>
          <w:tcPr>
            <w:tcW w:w="1984" w:type="dxa"/>
            <w:vAlign w:val="center"/>
          </w:tcPr>
          <w:p w14:paraId="016F6482" w14:textId="49EEF336" w:rsidR="00B971CD" w:rsidRPr="00B971CD" w:rsidRDefault="00B971CD" w:rsidP="00476AC3">
            <w:pPr>
              <w:keepNext/>
              <w:ind w:right="170"/>
              <w:jc w:val="right"/>
              <w:rPr>
                <w:rFonts w:asciiTheme="minorHAnsi" w:hAnsiTheme="minorHAnsi" w:cstheme="minorHAnsi"/>
                <w:bCs/>
                <w:sz w:val="20"/>
                <w:szCs w:val="20"/>
              </w:rPr>
            </w:pPr>
            <w:r w:rsidRPr="00B971CD">
              <w:rPr>
                <w:rFonts w:asciiTheme="minorHAnsi" w:hAnsiTheme="minorHAnsi" w:cstheme="minorHAnsi"/>
                <w:sz w:val="20"/>
                <w:szCs w:val="20"/>
              </w:rPr>
              <w:t>4 224 175 Kč</w:t>
            </w:r>
          </w:p>
        </w:tc>
      </w:tr>
      <w:tr w:rsidR="00B971CD" w:rsidRPr="00B971CD" w14:paraId="2C55F165" w14:textId="77777777" w:rsidTr="00476AC3">
        <w:trPr>
          <w:cantSplit/>
          <w:trHeight w:hRule="exact" w:val="283"/>
          <w:jc w:val="center"/>
        </w:trPr>
        <w:tc>
          <w:tcPr>
            <w:tcW w:w="7087" w:type="dxa"/>
          </w:tcPr>
          <w:p w14:paraId="34DC51BD" w14:textId="77777777" w:rsidR="00B971CD" w:rsidRPr="00B971CD" w:rsidRDefault="00B971CD" w:rsidP="001B632F">
            <w:pPr>
              <w:keepNext/>
              <w:rPr>
                <w:rFonts w:asciiTheme="minorHAnsi" w:hAnsiTheme="minorHAnsi" w:cstheme="minorHAnsi"/>
                <w:bCs/>
                <w:sz w:val="20"/>
                <w:szCs w:val="20"/>
              </w:rPr>
            </w:pPr>
            <w:r w:rsidRPr="00B971CD">
              <w:rPr>
                <w:rFonts w:asciiTheme="minorHAnsi" w:hAnsiTheme="minorHAnsi" w:cstheme="minorHAnsi"/>
                <w:sz w:val="20"/>
                <w:szCs w:val="20"/>
              </w:rPr>
              <w:t>Služby supervize</w:t>
            </w:r>
          </w:p>
        </w:tc>
        <w:tc>
          <w:tcPr>
            <w:tcW w:w="1984" w:type="dxa"/>
            <w:vAlign w:val="center"/>
          </w:tcPr>
          <w:p w14:paraId="0338926C" w14:textId="6EF53B3A" w:rsidR="00B971CD" w:rsidRPr="00B971CD" w:rsidRDefault="00B971CD" w:rsidP="00476AC3">
            <w:pPr>
              <w:keepNext/>
              <w:ind w:right="170"/>
              <w:jc w:val="right"/>
              <w:rPr>
                <w:rFonts w:asciiTheme="minorHAnsi" w:hAnsiTheme="minorHAnsi" w:cstheme="minorHAnsi"/>
                <w:bCs/>
                <w:sz w:val="20"/>
                <w:szCs w:val="20"/>
              </w:rPr>
            </w:pPr>
            <w:r w:rsidRPr="00B971CD">
              <w:rPr>
                <w:rFonts w:asciiTheme="minorHAnsi" w:hAnsiTheme="minorHAnsi" w:cstheme="minorHAnsi"/>
                <w:sz w:val="20"/>
                <w:szCs w:val="20"/>
              </w:rPr>
              <w:t>1 313 35</w:t>
            </w:r>
            <w:r w:rsidR="001423D6">
              <w:rPr>
                <w:rFonts w:asciiTheme="minorHAnsi" w:hAnsiTheme="minorHAnsi" w:cstheme="minorHAnsi"/>
                <w:sz w:val="20"/>
                <w:szCs w:val="20"/>
              </w:rPr>
              <w:t>9</w:t>
            </w:r>
            <w:r w:rsidRPr="00B971CD">
              <w:rPr>
                <w:rFonts w:asciiTheme="minorHAnsi" w:hAnsiTheme="minorHAnsi" w:cstheme="minorHAnsi"/>
                <w:sz w:val="20"/>
                <w:szCs w:val="20"/>
              </w:rPr>
              <w:t xml:space="preserve"> Kč</w:t>
            </w:r>
          </w:p>
        </w:tc>
      </w:tr>
      <w:tr w:rsidR="00B971CD" w:rsidRPr="00B971CD" w14:paraId="085F183E" w14:textId="77777777" w:rsidTr="00476AC3">
        <w:trPr>
          <w:cantSplit/>
          <w:trHeight w:hRule="exact" w:val="283"/>
          <w:jc w:val="center"/>
        </w:trPr>
        <w:tc>
          <w:tcPr>
            <w:tcW w:w="7087" w:type="dxa"/>
          </w:tcPr>
          <w:p w14:paraId="781A7BB5" w14:textId="77777777" w:rsidR="00B971CD" w:rsidRPr="00B971CD" w:rsidRDefault="00B971CD" w:rsidP="001B632F">
            <w:pPr>
              <w:keepNext/>
              <w:rPr>
                <w:rFonts w:asciiTheme="minorHAnsi" w:hAnsiTheme="minorHAnsi" w:cstheme="minorHAnsi"/>
                <w:bCs/>
                <w:sz w:val="20"/>
                <w:szCs w:val="20"/>
              </w:rPr>
            </w:pPr>
            <w:r w:rsidRPr="00B971CD">
              <w:rPr>
                <w:rFonts w:asciiTheme="minorHAnsi" w:hAnsiTheme="minorHAnsi" w:cstheme="minorHAnsi"/>
                <w:sz w:val="20"/>
                <w:szCs w:val="20"/>
              </w:rPr>
              <w:t>Uskladnění dokumentace</w:t>
            </w:r>
          </w:p>
        </w:tc>
        <w:tc>
          <w:tcPr>
            <w:tcW w:w="1984" w:type="dxa"/>
            <w:vAlign w:val="center"/>
          </w:tcPr>
          <w:p w14:paraId="2B08B6F1" w14:textId="50EE0D64" w:rsidR="00B971CD" w:rsidRPr="00B971CD" w:rsidRDefault="00B971CD" w:rsidP="00476AC3">
            <w:pPr>
              <w:keepNext/>
              <w:ind w:right="170"/>
              <w:jc w:val="right"/>
              <w:rPr>
                <w:rFonts w:asciiTheme="minorHAnsi" w:hAnsiTheme="minorHAnsi" w:cstheme="minorHAnsi"/>
                <w:bCs/>
                <w:sz w:val="20"/>
                <w:szCs w:val="20"/>
              </w:rPr>
            </w:pPr>
            <w:r w:rsidRPr="00B971CD">
              <w:rPr>
                <w:rFonts w:asciiTheme="minorHAnsi" w:hAnsiTheme="minorHAnsi" w:cstheme="minorHAnsi"/>
                <w:sz w:val="20"/>
                <w:szCs w:val="20"/>
              </w:rPr>
              <w:t>211 387Kč</w:t>
            </w:r>
          </w:p>
        </w:tc>
      </w:tr>
      <w:tr w:rsidR="00B971CD" w:rsidRPr="00B971CD" w14:paraId="177EAE43" w14:textId="77777777" w:rsidTr="00476AC3">
        <w:trPr>
          <w:cantSplit/>
          <w:trHeight w:hRule="exact" w:val="283"/>
          <w:jc w:val="center"/>
        </w:trPr>
        <w:tc>
          <w:tcPr>
            <w:tcW w:w="7087" w:type="dxa"/>
          </w:tcPr>
          <w:p w14:paraId="4331AA16" w14:textId="77777777" w:rsidR="00B971CD" w:rsidRPr="00B971CD" w:rsidRDefault="00B971CD" w:rsidP="001B632F">
            <w:pPr>
              <w:keepNext/>
              <w:rPr>
                <w:rFonts w:asciiTheme="minorHAnsi" w:hAnsiTheme="minorHAnsi" w:cstheme="minorHAnsi"/>
                <w:bCs/>
                <w:sz w:val="20"/>
                <w:szCs w:val="20"/>
              </w:rPr>
            </w:pPr>
            <w:r w:rsidRPr="00B971CD">
              <w:rPr>
                <w:rFonts w:asciiTheme="minorHAnsi" w:hAnsiTheme="minorHAnsi" w:cstheme="minorHAnsi"/>
                <w:bCs/>
                <w:sz w:val="20"/>
                <w:szCs w:val="20"/>
              </w:rPr>
              <w:t>Služby spojené s úpravou dat</w:t>
            </w:r>
          </w:p>
        </w:tc>
        <w:tc>
          <w:tcPr>
            <w:tcW w:w="1984" w:type="dxa"/>
            <w:vAlign w:val="center"/>
          </w:tcPr>
          <w:p w14:paraId="6356E43C" w14:textId="57848FC4" w:rsidR="00B971CD" w:rsidRPr="00B971CD" w:rsidRDefault="00B971CD" w:rsidP="00476AC3">
            <w:pPr>
              <w:keepNext/>
              <w:ind w:right="170"/>
              <w:jc w:val="right"/>
              <w:rPr>
                <w:rFonts w:asciiTheme="minorHAnsi" w:hAnsiTheme="minorHAnsi" w:cstheme="minorHAnsi"/>
                <w:bCs/>
                <w:sz w:val="20"/>
                <w:szCs w:val="20"/>
              </w:rPr>
            </w:pPr>
            <w:r w:rsidRPr="00B971CD">
              <w:rPr>
                <w:rFonts w:asciiTheme="minorHAnsi" w:hAnsiTheme="minorHAnsi" w:cstheme="minorHAnsi"/>
                <w:sz w:val="20"/>
                <w:szCs w:val="20"/>
              </w:rPr>
              <w:t>329 31</w:t>
            </w:r>
            <w:r w:rsidR="001423D6">
              <w:rPr>
                <w:rFonts w:asciiTheme="minorHAnsi" w:hAnsiTheme="minorHAnsi" w:cstheme="minorHAnsi"/>
                <w:sz w:val="20"/>
                <w:szCs w:val="20"/>
              </w:rPr>
              <w:t>4</w:t>
            </w:r>
            <w:r w:rsidRPr="00B971CD">
              <w:rPr>
                <w:rFonts w:asciiTheme="minorHAnsi" w:hAnsiTheme="minorHAnsi" w:cstheme="minorHAnsi"/>
                <w:sz w:val="20"/>
                <w:szCs w:val="20"/>
              </w:rPr>
              <w:t>Kč</w:t>
            </w:r>
          </w:p>
        </w:tc>
      </w:tr>
      <w:tr w:rsidR="00B971CD" w:rsidRPr="00B971CD" w14:paraId="5085E4E1" w14:textId="77777777" w:rsidTr="00476AC3">
        <w:trPr>
          <w:cantSplit/>
          <w:trHeight w:hRule="exact" w:val="283"/>
          <w:jc w:val="center"/>
        </w:trPr>
        <w:tc>
          <w:tcPr>
            <w:tcW w:w="7087" w:type="dxa"/>
          </w:tcPr>
          <w:p w14:paraId="71EFF95C" w14:textId="77777777" w:rsidR="00B971CD" w:rsidRPr="00B971CD" w:rsidRDefault="00B971CD" w:rsidP="001B632F">
            <w:pPr>
              <w:keepNext/>
              <w:rPr>
                <w:rFonts w:asciiTheme="minorHAnsi" w:hAnsiTheme="minorHAnsi" w:cstheme="minorHAnsi"/>
                <w:bCs/>
                <w:sz w:val="20"/>
                <w:szCs w:val="20"/>
              </w:rPr>
            </w:pPr>
            <w:r w:rsidRPr="00B971CD">
              <w:rPr>
                <w:rFonts w:asciiTheme="minorHAnsi" w:hAnsiTheme="minorHAnsi" w:cstheme="minorHAnsi"/>
                <w:sz w:val="20"/>
                <w:szCs w:val="20"/>
              </w:rPr>
              <w:t>Dotace vyplacené ze státního rozpočtu u vybraného vzorku projektů</w:t>
            </w:r>
          </w:p>
        </w:tc>
        <w:tc>
          <w:tcPr>
            <w:tcW w:w="1984" w:type="dxa"/>
            <w:vAlign w:val="center"/>
          </w:tcPr>
          <w:p w14:paraId="1E3E2108" w14:textId="138C3543" w:rsidR="00B971CD" w:rsidRPr="00B971CD" w:rsidRDefault="00B971CD" w:rsidP="00476AC3">
            <w:pPr>
              <w:keepNext/>
              <w:ind w:right="170"/>
              <w:jc w:val="right"/>
              <w:rPr>
                <w:rFonts w:asciiTheme="minorHAnsi" w:hAnsiTheme="minorHAnsi" w:cstheme="minorHAnsi"/>
                <w:bCs/>
                <w:sz w:val="20"/>
                <w:szCs w:val="20"/>
              </w:rPr>
            </w:pPr>
            <w:r w:rsidRPr="00B971CD">
              <w:rPr>
                <w:rFonts w:asciiTheme="minorHAnsi" w:hAnsiTheme="minorHAnsi" w:cstheme="minorHAnsi"/>
                <w:sz w:val="20"/>
                <w:szCs w:val="20"/>
              </w:rPr>
              <w:t>65 725 588 Kč</w:t>
            </w:r>
          </w:p>
        </w:tc>
      </w:tr>
      <w:tr w:rsidR="00B971CD" w:rsidRPr="00B971CD" w14:paraId="462B8092" w14:textId="77777777" w:rsidTr="00476AC3">
        <w:trPr>
          <w:cantSplit/>
          <w:trHeight w:hRule="exact" w:val="283"/>
          <w:jc w:val="center"/>
        </w:trPr>
        <w:tc>
          <w:tcPr>
            <w:tcW w:w="7087" w:type="dxa"/>
            <w:shd w:val="clear" w:color="auto" w:fill="DCA8B3"/>
          </w:tcPr>
          <w:p w14:paraId="3BAA75B0" w14:textId="77777777" w:rsidR="00B971CD" w:rsidRPr="00B971CD" w:rsidRDefault="00B971CD" w:rsidP="00223CAA">
            <w:pPr>
              <w:rPr>
                <w:rFonts w:asciiTheme="minorHAnsi" w:hAnsiTheme="minorHAnsi" w:cstheme="minorHAnsi"/>
                <w:b/>
                <w:bCs/>
                <w:sz w:val="20"/>
                <w:szCs w:val="20"/>
              </w:rPr>
            </w:pPr>
            <w:r w:rsidRPr="00B971CD">
              <w:rPr>
                <w:rFonts w:asciiTheme="minorHAnsi" w:hAnsiTheme="minorHAnsi" w:cstheme="minorHAnsi"/>
                <w:b/>
                <w:bCs/>
                <w:sz w:val="20"/>
                <w:szCs w:val="20"/>
              </w:rPr>
              <w:t>Celkem</w:t>
            </w:r>
          </w:p>
        </w:tc>
        <w:tc>
          <w:tcPr>
            <w:tcW w:w="1984" w:type="dxa"/>
            <w:shd w:val="clear" w:color="auto" w:fill="DCA8B3"/>
            <w:vAlign w:val="center"/>
          </w:tcPr>
          <w:p w14:paraId="1571B4A3" w14:textId="04E403C4" w:rsidR="00B971CD" w:rsidRPr="00B971CD" w:rsidRDefault="00B971CD" w:rsidP="00476AC3">
            <w:pPr>
              <w:ind w:right="170"/>
              <w:jc w:val="right"/>
              <w:rPr>
                <w:rFonts w:asciiTheme="minorHAnsi" w:hAnsiTheme="minorHAnsi" w:cstheme="minorHAnsi"/>
                <w:b/>
                <w:sz w:val="20"/>
                <w:szCs w:val="20"/>
              </w:rPr>
            </w:pPr>
            <w:r w:rsidRPr="00B971CD">
              <w:rPr>
                <w:rFonts w:asciiTheme="minorHAnsi" w:hAnsiTheme="minorHAnsi" w:cstheme="minorHAnsi"/>
                <w:b/>
                <w:sz w:val="20"/>
                <w:szCs w:val="20"/>
              </w:rPr>
              <w:t>71 803 8</w:t>
            </w:r>
            <w:r w:rsidR="001423D6">
              <w:rPr>
                <w:rFonts w:asciiTheme="minorHAnsi" w:hAnsiTheme="minorHAnsi" w:cstheme="minorHAnsi"/>
                <w:b/>
                <w:sz w:val="20"/>
                <w:szCs w:val="20"/>
              </w:rPr>
              <w:t>23</w:t>
            </w:r>
            <w:r w:rsidRPr="00B971CD">
              <w:rPr>
                <w:rFonts w:asciiTheme="minorHAnsi" w:hAnsiTheme="minorHAnsi" w:cstheme="minorHAnsi"/>
                <w:b/>
                <w:sz w:val="20"/>
                <w:szCs w:val="20"/>
              </w:rPr>
              <w:t xml:space="preserve"> Kč</w:t>
            </w:r>
          </w:p>
        </w:tc>
      </w:tr>
    </w:tbl>
    <w:p w14:paraId="0DF03317" w14:textId="77777777" w:rsidR="00B971CD" w:rsidRPr="00AF3866" w:rsidRDefault="00B971CD" w:rsidP="00B971CD">
      <w:pPr>
        <w:pStyle w:val="Odstavecseseznamem"/>
        <w:ind w:left="0"/>
      </w:pPr>
    </w:p>
    <w:p w14:paraId="292EDFE8" w14:textId="10BB634B" w:rsidR="00B971CD" w:rsidRPr="001C029A" w:rsidRDefault="00B971CD" w:rsidP="00D26589">
      <w:pPr>
        <w:pStyle w:val="Nadpis3"/>
      </w:pPr>
      <w:r w:rsidRPr="00AF3866">
        <w:rPr>
          <w:lang w:eastAsia="cs-CZ"/>
        </w:rPr>
        <w:t xml:space="preserve">NKÚ provedl i kontrolu na vzorku pěti projektů, které MPO podpořilo v rámci </w:t>
      </w:r>
      <w:r w:rsidR="00476AC3">
        <w:rPr>
          <w:lang w:eastAsia="cs-CZ"/>
        </w:rPr>
        <w:t>p</w:t>
      </w:r>
      <w:r w:rsidRPr="00AF3866">
        <w:rPr>
          <w:lang w:eastAsia="cs-CZ"/>
        </w:rPr>
        <w:t>rogramu 122D21</w:t>
      </w:r>
      <w:r w:rsidR="0075509E">
        <w:rPr>
          <w:lang w:eastAsia="cs-CZ"/>
        </w:rPr>
        <w:t>,</w:t>
      </w:r>
      <w:r w:rsidRPr="00AF3866">
        <w:rPr>
          <w:lang w:eastAsia="cs-CZ"/>
        </w:rPr>
        <w:t xml:space="preserve"> a deseti projektů, které MPO podpořilo v rámci </w:t>
      </w:r>
      <w:r w:rsidR="00476AC3">
        <w:rPr>
          <w:lang w:eastAsia="cs-CZ"/>
        </w:rPr>
        <w:t>p</w:t>
      </w:r>
      <w:r w:rsidRPr="00AF3866">
        <w:rPr>
          <w:lang w:eastAsia="cs-CZ"/>
        </w:rPr>
        <w:t xml:space="preserve">rogramu </w:t>
      </w:r>
      <w:r w:rsidRPr="008E0961">
        <w:rPr>
          <w:i/>
          <w:lang w:eastAsia="cs-CZ"/>
        </w:rPr>
        <w:t>Nemovitosti</w:t>
      </w:r>
      <w:r w:rsidRPr="00AF3866">
        <w:rPr>
          <w:lang w:eastAsia="cs-CZ"/>
        </w:rPr>
        <w:t xml:space="preserve"> OPPIK. </w:t>
      </w:r>
      <w:r w:rsidRPr="00AF3866">
        <w:t>Do</w:t>
      </w:r>
      <w:r w:rsidR="000C7943">
        <w:t> </w:t>
      </w:r>
      <w:r w:rsidRPr="00AF3866">
        <w:t xml:space="preserve">vzorku projektů podpořených z </w:t>
      </w:r>
      <w:r w:rsidR="00476AC3">
        <w:t>p</w:t>
      </w:r>
      <w:r w:rsidRPr="00AF3866">
        <w:t>rogramu 122D21 byly vybrány projekty, u</w:t>
      </w:r>
      <w:r w:rsidR="00476AC3">
        <w:t> </w:t>
      </w:r>
      <w:r w:rsidRPr="00AF3866">
        <w:t>kterých do</w:t>
      </w:r>
      <w:r w:rsidR="000C7943">
        <w:t> </w:t>
      </w:r>
      <w:r w:rsidRPr="00AF3866">
        <w:t>31.</w:t>
      </w:r>
      <w:r w:rsidR="000C7943">
        <w:t> </w:t>
      </w:r>
      <w:r w:rsidRPr="00AF3866">
        <w:t>prosince 2023 ukončilo MPO závěrečné vyhodnocení akce</w:t>
      </w:r>
      <w:r w:rsidR="00476AC3">
        <w:t>;</w:t>
      </w:r>
      <w:r>
        <w:t xml:space="preserve"> </w:t>
      </w:r>
      <w:r w:rsidRPr="00AF3866">
        <w:t>výše schválené dotace na</w:t>
      </w:r>
      <w:r w:rsidR="000C7943">
        <w:t> </w:t>
      </w:r>
      <w:r w:rsidRPr="00AF3866">
        <w:t>vybrané projekty byla celkem 65</w:t>
      </w:r>
      <w:r w:rsidR="0046759F">
        <w:t>,7 mil.</w:t>
      </w:r>
      <w:r w:rsidRPr="00D66723">
        <w:t xml:space="preserve"> Kč. Do vzorku projektů z </w:t>
      </w:r>
      <w:r w:rsidR="00476AC3">
        <w:t>p</w:t>
      </w:r>
      <w:r w:rsidRPr="00D66723">
        <w:t xml:space="preserve">rogramu </w:t>
      </w:r>
      <w:r w:rsidRPr="008E0961">
        <w:rPr>
          <w:i/>
        </w:rPr>
        <w:t>Nemovitosti</w:t>
      </w:r>
      <w:r w:rsidRPr="00D66723">
        <w:t xml:space="preserve"> OPPIK vybral NKÚ z každé výzvy finančně ukončený projekt s nejvyšší dotací</w:t>
      </w:r>
      <w:r>
        <w:t xml:space="preserve">, </w:t>
      </w:r>
      <w:r w:rsidRPr="00D66723">
        <w:t>výše schválené dotace na vybrané projekty byla</w:t>
      </w:r>
      <w:r w:rsidRPr="00D66723">
        <w:rPr>
          <w:bCs/>
        </w:rPr>
        <w:t xml:space="preserve"> celkem 284</w:t>
      </w:r>
      <w:r w:rsidR="0046759F">
        <w:rPr>
          <w:bCs/>
        </w:rPr>
        <w:t xml:space="preserve">,8 mil. </w:t>
      </w:r>
      <w:r w:rsidRPr="00D66723">
        <w:rPr>
          <w:bCs/>
        </w:rPr>
        <w:t xml:space="preserve">Kč. </w:t>
      </w:r>
      <w:r>
        <w:t>Přehled</w:t>
      </w:r>
      <w:r w:rsidRPr="00803BDF">
        <w:t xml:space="preserve"> </w:t>
      </w:r>
      <w:r>
        <w:t xml:space="preserve">vybraných </w:t>
      </w:r>
      <w:r w:rsidRPr="00803BDF">
        <w:t>projekt</w:t>
      </w:r>
      <w:r>
        <w:t>ů</w:t>
      </w:r>
      <w:r w:rsidRPr="00803BDF">
        <w:t xml:space="preserve"> je uveden </w:t>
      </w:r>
      <w:r w:rsidRPr="001C029A">
        <w:t>v </w:t>
      </w:r>
      <w:r w:rsidR="00476AC3">
        <w:t>p</w:t>
      </w:r>
      <w:r w:rsidRPr="001C029A">
        <w:t xml:space="preserve">říloze č. </w:t>
      </w:r>
      <w:r w:rsidR="009B467C" w:rsidRPr="001C029A">
        <w:t>1</w:t>
      </w:r>
      <w:r w:rsidR="00476AC3">
        <w:t xml:space="preserve"> tohoto kontrolního závěru</w:t>
      </w:r>
      <w:r w:rsidRPr="001C029A">
        <w:t>.</w:t>
      </w:r>
    </w:p>
    <w:p w14:paraId="5599ED4A" w14:textId="77777777" w:rsidR="009C4A3C" w:rsidRDefault="009C4A3C" w:rsidP="009C4A3C"/>
    <w:p w14:paraId="1EF95519" w14:textId="5749B61C" w:rsidR="00E12549" w:rsidRDefault="009C4A3C" w:rsidP="00430359">
      <w:pPr>
        <w:pStyle w:val="Nadpis3"/>
        <w:rPr>
          <w:rFonts w:cstheme="minorHAnsi"/>
        </w:rPr>
      </w:pPr>
      <w:r>
        <w:t xml:space="preserve">U vybraného vzorku projektů z </w:t>
      </w:r>
      <w:r w:rsidR="00476AC3">
        <w:t>p</w:t>
      </w:r>
      <w:r>
        <w:t xml:space="preserve">rogramu 122D21 provedl NKÚ kontrolu jak u MPO, tak </w:t>
      </w:r>
      <w:r w:rsidR="00A73C7F">
        <w:t xml:space="preserve">u </w:t>
      </w:r>
      <w:r>
        <w:t xml:space="preserve">Agentury CzechInvest na základě dokladů předložených příjemci a na základě údajů uložených v </w:t>
      </w:r>
      <w:r w:rsidRPr="008E0961">
        <w:rPr>
          <w:i/>
        </w:rPr>
        <w:t>Evidenčním dotačním systému</w:t>
      </w:r>
      <w:r>
        <w:t xml:space="preserve"> </w:t>
      </w:r>
      <w:r w:rsidR="0089580B">
        <w:t>(</w:t>
      </w:r>
      <w:r>
        <w:t>EDS</w:t>
      </w:r>
      <w:r w:rsidR="0089580B">
        <w:t>)</w:t>
      </w:r>
      <w:r>
        <w:t xml:space="preserve">. U vybraného vzorku projektů z </w:t>
      </w:r>
      <w:r w:rsidR="00476AC3">
        <w:t>p</w:t>
      </w:r>
      <w:r>
        <w:t xml:space="preserve">rogramu </w:t>
      </w:r>
      <w:r w:rsidRPr="008E0961">
        <w:rPr>
          <w:i/>
        </w:rPr>
        <w:t>Nemovitosti</w:t>
      </w:r>
      <w:r>
        <w:t xml:space="preserve"> OPPIK provedl NKÚ kontrolu u MPO na základě dokladů uložených v</w:t>
      </w:r>
      <w:r w:rsidR="000C7943">
        <w:t> </w:t>
      </w:r>
      <w:r>
        <w:t>Informačním systému MS2014+. NKÚ u vybraného vzorku projektů zejména prověřil hodnocení a výběr projektů včetně hodnocení účelnosti a hospodárnosti, stanovení podmínek příjemcům podpory včetně podmínek pro účelné a hospodárné použití podpory</w:t>
      </w:r>
      <w:r w:rsidR="00F73A8A">
        <w:t xml:space="preserve"> a</w:t>
      </w:r>
      <w:r w:rsidR="00A450D5">
        <w:t> </w:t>
      </w:r>
      <w:r w:rsidR="00F73A8A">
        <w:t>plnění těchto podmínek příjemci</w:t>
      </w:r>
      <w:r>
        <w:t xml:space="preserve">, </w:t>
      </w:r>
      <w:r w:rsidR="00F73A8A">
        <w:t xml:space="preserve">splnění stanovených cílů příjemci, </w:t>
      </w:r>
      <w:r>
        <w:t>provádění monitoringu a kontroly podpořených projektů.</w:t>
      </w:r>
      <w:r w:rsidR="00E12549" w:rsidRPr="00E12549">
        <w:rPr>
          <w:rFonts w:cstheme="minorHAnsi"/>
        </w:rPr>
        <w:t xml:space="preserve"> </w:t>
      </w:r>
    </w:p>
    <w:p w14:paraId="4E4DC005" w14:textId="77777777" w:rsidR="00831A74" w:rsidRPr="00831A74" w:rsidRDefault="00831A74" w:rsidP="00831A74"/>
    <w:p w14:paraId="5E4255A7" w14:textId="361C4893" w:rsidR="00E12549" w:rsidRPr="00E12549" w:rsidRDefault="00E12549" w:rsidP="00430359">
      <w:pPr>
        <w:pStyle w:val="Nadpis3"/>
        <w:rPr>
          <w:rFonts w:cstheme="minorHAnsi"/>
        </w:rPr>
      </w:pPr>
      <w:r w:rsidRPr="00E12549">
        <w:rPr>
          <w:rFonts w:cstheme="minorHAnsi"/>
        </w:rPr>
        <w:t xml:space="preserve">Pro podporu projektů regenerací </w:t>
      </w:r>
      <w:proofErr w:type="spellStart"/>
      <w:r w:rsidRPr="00E12549">
        <w:rPr>
          <w:rFonts w:cstheme="minorHAnsi"/>
        </w:rPr>
        <w:t>brownfieldů</w:t>
      </w:r>
      <w:proofErr w:type="spellEnd"/>
      <w:r w:rsidRPr="00E12549">
        <w:rPr>
          <w:rFonts w:cstheme="minorHAnsi"/>
        </w:rPr>
        <w:t xml:space="preserve"> z </w:t>
      </w:r>
      <w:r w:rsidR="00476AC3">
        <w:rPr>
          <w:rFonts w:cstheme="minorHAnsi"/>
        </w:rPr>
        <w:t>o</w:t>
      </w:r>
      <w:r w:rsidRPr="00E12549">
        <w:rPr>
          <w:rFonts w:cstheme="minorHAnsi"/>
        </w:rPr>
        <w:t xml:space="preserve">peračního programu </w:t>
      </w:r>
      <w:r w:rsidRPr="008E0961">
        <w:rPr>
          <w:rFonts w:cstheme="minorHAnsi"/>
          <w:i/>
        </w:rPr>
        <w:t>Technologie a aplikace pro konkurenceschopnost</w:t>
      </w:r>
      <w:r w:rsidRPr="00E12549">
        <w:rPr>
          <w:rFonts w:cstheme="minorHAnsi"/>
        </w:rPr>
        <w:t xml:space="preserve"> (dále jen „OPTAK“) v programovém období 2021 až 2027 zvolilo MPO pouze formu finančních nástrojů. Do konce roku 2023 nebyla uzavřena příslušná </w:t>
      </w:r>
      <w:r w:rsidR="00476AC3">
        <w:rPr>
          <w:rFonts w:cstheme="minorHAnsi"/>
        </w:rPr>
        <w:t>d</w:t>
      </w:r>
      <w:r w:rsidRPr="00E12549">
        <w:rPr>
          <w:rFonts w:cstheme="minorHAnsi"/>
        </w:rPr>
        <w:t>ohoda o financování. Podpora poskytovaná v rámci OPTAK tudíž nebyla předmětem této kontroly.</w:t>
      </w:r>
    </w:p>
    <w:p w14:paraId="2C409C09" w14:textId="77777777" w:rsidR="009C4A3C" w:rsidRDefault="009C4A3C" w:rsidP="009C4A3C"/>
    <w:p w14:paraId="61308127" w14:textId="7618F5C2" w:rsidR="009C4A3C" w:rsidRDefault="009C4A3C" w:rsidP="00831A74">
      <w:pPr>
        <w:pStyle w:val="Nadpis3"/>
      </w:pPr>
      <w:r>
        <w:t>Za účelné se považuje dle ust</w:t>
      </w:r>
      <w:r w:rsidR="000C7943">
        <w:t>anovení</w:t>
      </w:r>
      <w:r>
        <w:t xml:space="preserve"> § 2 písm. o) zák. č. 320/2001 Sb.</w:t>
      </w:r>
      <w:r w:rsidR="00EF5DB0">
        <w:rPr>
          <w:rStyle w:val="Znakapoznpodarou"/>
        </w:rPr>
        <w:footnoteReference w:id="11"/>
      </w:r>
      <w:r w:rsidR="00EF5DB0">
        <w:t xml:space="preserve"> </w:t>
      </w:r>
      <w:r>
        <w:t>takové použití veřejných prostředků, které zajistí optimální míru dosažení cílů při plnění stanovených úkolů. V oblasti účelnosti NKÚ v kontrole posuzoval, zda došlo k naplnění cílů stanovených v</w:t>
      </w:r>
      <w:r w:rsidR="000C7943">
        <w:t> </w:t>
      </w:r>
      <w:r>
        <w:t xml:space="preserve">kontrolovaných národních i evropských programech (prostřednictvím nastavených indikátorů a jejich cílové hodnoty) a k plnění opatření stanovených v </w:t>
      </w:r>
      <w:r w:rsidR="000C7943" w:rsidRPr="008E0961">
        <w:rPr>
          <w:i/>
          <w:lang w:eastAsia="cs-CZ"/>
        </w:rPr>
        <w:t>Národní strategii regenerací brownfieldů 2019</w:t>
      </w:r>
      <w:r w:rsidR="00EC0B44" w:rsidRPr="008E0961">
        <w:rPr>
          <w:i/>
        </w:rPr>
        <w:t>–</w:t>
      </w:r>
      <w:r w:rsidR="000C7943" w:rsidRPr="008E0961">
        <w:rPr>
          <w:i/>
          <w:lang w:eastAsia="cs-CZ"/>
        </w:rPr>
        <w:t>2024</w:t>
      </w:r>
      <w:r>
        <w:t xml:space="preserve">. Na úrovni projektů vybraných ke kontrole NKÚ dále prověřil účelnost z hlediska splnění stanovených kritérií pro výběr projektu k podpoře, naplnění cílů projektu a jejich využití po dokončení realizace.     </w:t>
      </w:r>
    </w:p>
    <w:p w14:paraId="472A416B" w14:textId="77777777" w:rsidR="00831A74" w:rsidRPr="00831A74" w:rsidRDefault="00831A74" w:rsidP="00831A74"/>
    <w:p w14:paraId="2A943A30" w14:textId="608124D5" w:rsidR="00C2171B" w:rsidRDefault="009C4A3C" w:rsidP="00BA1990">
      <w:pPr>
        <w:pStyle w:val="Nadpis3"/>
        <w:tabs>
          <w:tab w:val="left" w:pos="567"/>
        </w:tabs>
      </w:pPr>
      <w:r w:rsidRPr="00831A74">
        <w:lastRenderedPageBreak/>
        <w:t>Za hospodárné se považuje dle ust</w:t>
      </w:r>
      <w:r w:rsidR="000C7943" w:rsidRPr="00831A74">
        <w:t>anovení</w:t>
      </w:r>
      <w:r w:rsidRPr="00831A74">
        <w:t xml:space="preserve"> § 2 písm. m) zák. č. 320/2001 Sb.</w:t>
      </w:r>
      <w:r w:rsidR="00EF5DB0" w:rsidRPr="00831A74">
        <w:t xml:space="preserve"> </w:t>
      </w:r>
      <w:r w:rsidRPr="00831A74">
        <w:t>takové použití veřejných prostředků, které vede k zajištění stanovených úkolů s co nejnižším vynaložením těchto prostředků, a to při dodržení odpovídající kvality plněných úkolů. Hospodárnost vynaložených peněžních prostředků státního rozpočtu posuzoval NKÚ při</w:t>
      </w:r>
      <w:r w:rsidR="00C926E5">
        <w:t xml:space="preserve"> </w:t>
      </w:r>
      <w:r w:rsidRPr="00831A74">
        <w:t xml:space="preserve">kontrole veřejných zakázek na zajištění úkolů vyplývajících z </w:t>
      </w:r>
      <w:r w:rsidR="000C7943" w:rsidRPr="008E0961">
        <w:rPr>
          <w:i/>
        </w:rPr>
        <w:t>Národní strategi</w:t>
      </w:r>
      <w:r w:rsidR="00057BF3" w:rsidRPr="008E0961">
        <w:rPr>
          <w:i/>
        </w:rPr>
        <w:t>e</w:t>
      </w:r>
      <w:r w:rsidR="000C7943" w:rsidRPr="008E0961">
        <w:rPr>
          <w:i/>
        </w:rPr>
        <w:t xml:space="preserve"> regenerací brownfieldů 2019</w:t>
      </w:r>
      <w:r w:rsidR="00EC0B44" w:rsidRPr="008E0961">
        <w:rPr>
          <w:i/>
        </w:rPr>
        <w:t>–</w:t>
      </w:r>
      <w:r w:rsidR="000C7943" w:rsidRPr="008E0961">
        <w:rPr>
          <w:i/>
        </w:rPr>
        <w:t>2024</w:t>
      </w:r>
      <w:r w:rsidR="000C7943" w:rsidRPr="00831A74">
        <w:t xml:space="preserve"> </w:t>
      </w:r>
      <w:r w:rsidRPr="00831A74">
        <w:t xml:space="preserve">a na zajištění supervize projektů, zajištění řízení finančního nástroje v OPPIK a </w:t>
      </w:r>
      <w:r w:rsidR="00012394" w:rsidRPr="00831A74">
        <w:t xml:space="preserve">převzetí </w:t>
      </w:r>
      <w:r w:rsidRPr="00831A74">
        <w:t xml:space="preserve">výkonu některých činností </w:t>
      </w:r>
      <w:r w:rsidR="00012394" w:rsidRPr="00831A74">
        <w:t xml:space="preserve">spojených s realizací </w:t>
      </w:r>
      <w:r w:rsidR="00C926E5">
        <w:t>p</w:t>
      </w:r>
      <w:r w:rsidRPr="00831A74">
        <w:t>rogramu 122D21</w:t>
      </w:r>
      <w:r w:rsidR="00012394" w:rsidRPr="00831A74">
        <w:t xml:space="preserve"> mezi MPO a Agenturou CzechInvest</w:t>
      </w:r>
      <w:r w:rsidRPr="00831A74">
        <w:t>. Na úrovni projektů vybraných ke kontrole NKÚ dále prověřil, zda u nich MPO a jím pověřené subjekty prováděly kontrolu hospodárnosti</w:t>
      </w:r>
      <w:r w:rsidR="00036137" w:rsidRPr="00831A74">
        <w:t xml:space="preserve"> a způsobilosti</w:t>
      </w:r>
      <w:r w:rsidRPr="00831A74">
        <w:t xml:space="preserve"> vynaložených peněžních prostředků</w:t>
      </w:r>
      <w:r w:rsidR="00831A74">
        <w:t>.</w:t>
      </w:r>
    </w:p>
    <w:p w14:paraId="76242C33" w14:textId="77777777" w:rsidR="00831A74" w:rsidRPr="00831A74" w:rsidRDefault="00831A74" w:rsidP="00831A74"/>
    <w:p w14:paraId="1D48F323" w14:textId="43F4014A" w:rsidR="006D3829" w:rsidRDefault="00FB73DE" w:rsidP="00AA6F21">
      <w:pPr>
        <w:pStyle w:val="Nadpis3"/>
        <w:tabs>
          <w:tab w:val="left" w:pos="567"/>
        </w:tabs>
        <w:spacing w:after="720"/>
        <w:rPr>
          <w:rFonts w:cstheme="minorHAnsi"/>
        </w:rPr>
      </w:pPr>
      <w:r w:rsidRPr="00FB73DE">
        <w:rPr>
          <w:rFonts w:cstheme="minorHAnsi"/>
        </w:rPr>
        <w:t xml:space="preserve">Kritéria pro posouzení souladu s právními předpisy byla čerpána zejména ze zákona </w:t>
      </w:r>
      <w:r w:rsidR="00E66AFB">
        <w:rPr>
          <w:rFonts w:cstheme="minorHAnsi"/>
        </w:rPr>
        <w:t xml:space="preserve">České národní rady </w:t>
      </w:r>
      <w:r w:rsidRPr="00FB73DE">
        <w:rPr>
          <w:rFonts w:cstheme="minorHAnsi"/>
        </w:rPr>
        <w:t>č.</w:t>
      </w:r>
      <w:r w:rsidR="00C926E5">
        <w:rPr>
          <w:rFonts w:cstheme="minorHAnsi"/>
        </w:rPr>
        <w:t> </w:t>
      </w:r>
      <w:r w:rsidRPr="00FB73DE">
        <w:rPr>
          <w:rFonts w:cstheme="minorHAnsi"/>
        </w:rPr>
        <w:t>2/1969 Sb.</w:t>
      </w:r>
      <w:r w:rsidRPr="00803BDF">
        <w:rPr>
          <w:rStyle w:val="Znakapoznpodarou"/>
          <w:rFonts w:cstheme="minorHAnsi"/>
        </w:rPr>
        <w:footnoteReference w:id="12"/>
      </w:r>
      <w:r w:rsidRPr="00FB73DE">
        <w:rPr>
          <w:rFonts w:cstheme="minorHAnsi"/>
        </w:rPr>
        <w:t>, zákona č.</w:t>
      </w:r>
      <w:r w:rsidR="00C926E5">
        <w:rPr>
          <w:rFonts w:cstheme="minorHAnsi"/>
        </w:rPr>
        <w:t> </w:t>
      </w:r>
      <w:r w:rsidRPr="00FB73DE">
        <w:rPr>
          <w:rFonts w:cstheme="minorHAnsi"/>
        </w:rPr>
        <w:t>47/2002 Sb.</w:t>
      </w:r>
      <w:r w:rsidRPr="00803BDF">
        <w:rPr>
          <w:rStyle w:val="Znakapoznpodarou"/>
          <w:rFonts w:cstheme="minorHAnsi"/>
        </w:rPr>
        <w:footnoteReference w:id="13"/>
      </w:r>
      <w:r w:rsidRPr="00FB73DE">
        <w:rPr>
          <w:rFonts w:cstheme="minorHAnsi"/>
        </w:rPr>
        <w:t>, zákona č.</w:t>
      </w:r>
      <w:r w:rsidR="00C926E5">
        <w:rPr>
          <w:rFonts w:cstheme="minorHAnsi"/>
        </w:rPr>
        <w:t> </w:t>
      </w:r>
      <w:r w:rsidRPr="00FB73DE">
        <w:rPr>
          <w:rFonts w:cstheme="minorHAnsi"/>
        </w:rPr>
        <w:t>128/2000 Sb.</w:t>
      </w:r>
      <w:r w:rsidRPr="00803BDF">
        <w:rPr>
          <w:rStyle w:val="Znakapoznpodarou"/>
          <w:rFonts w:cstheme="minorHAnsi"/>
        </w:rPr>
        <w:footnoteReference w:id="14"/>
      </w:r>
      <w:r w:rsidRPr="00FB73DE">
        <w:rPr>
          <w:rFonts w:cstheme="minorHAnsi"/>
        </w:rPr>
        <w:t>, zákona č.</w:t>
      </w:r>
      <w:r w:rsidR="00C926E5">
        <w:rPr>
          <w:rFonts w:cstheme="minorHAnsi"/>
        </w:rPr>
        <w:t> </w:t>
      </w:r>
      <w:r w:rsidRPr="00FB73DE">
        <w:rPr>
          <w:rFonts w:cstheme="minorHAnsi"/>
        </w:rPr>
        <w:t>218/2000 Sb.</w:t>
      </w:r>
      <w:r w:rsidRPr="00803BDF">
        <w:rPr>
          <w:rStyle w:val="Znakapoznpodarou"/>
          <w:rFonts w:cstheme="minorHAnsi"/>
        </w:rPr>
        <w:footnoteReference w:id="15"/>
      </w:r>
      <w:r w:rsidRPr="00FB73DE">
        <w:rPr>
          <w:rFonts w:cstheme="minorHAnsi"/>
        </w:rPr>
        <w:t>, zákona č.</w:t>
      </w:r>
      <w:r w:rsidR="00C926E5">
        <w:rPr>
          <w:rFonts w:cstheme="minorHAnsi"/>
        </w:rPr>
        <w:t> </w:t>
      </w:r>
      <w:r w:rsidRPr="00FB73DE">
        <w:rPr>
          <w:rFonts w:cstheme="minorHAnsi"/>
        </w:rPr>
        <w:t xml:space="preserve">320/2001 Sb., zákona </w:t>
      </w:r>
      <w:r w:rsidRPr="00FB73DE">
        <w:rPr>
          <w:rFonts w:cstheme="minorHAnsi"/>
          <w:lang w:eastAsia="cs-CZ"/>
        </w:rPr>
        <w:t>č.</w:t>
      </w:r>
      <w:r w:rsidR="00C926E5">
        <w:rPr>
          <w:rFonts w:cstheme="minorHAnsi"/>
          <w:lang w:eastAsia="cs-CZ"/>
        </w:rPr>
        <w:t> </w:t>
      </w:r>
      <w:r w:rsidRPr="00FB73DE">
        <w:rPr>
          <w:rFonts w:cstheme="minorHAnsi"/>
          <w:lang w:eastAsia="cs-CZ"/>
        </w:rPr>
        <w:t>340/2015 Sb.</w:t>
      </w:r>
      <w:r w:rsidRPr="00803BDF">
        <w:rPr>
          <w:rStyle w:val="Znakapoznpodarou"/>
          <w:rFonts w:cstheme="minorHAnsi"/>
          <w:lang w:eastAsia="cs-CZ"/>
        </w:rPr>
        <w:footnoteReference w:id="16"/>
      </w:r>
      <w:r w:rsidRPr="00FB73DE">
        <w:rPr>
          <w:rFonts w:cstheme="minorHAnsi"/>
          <w:lang w:eastAsia="cs-CZ"/>
        </w:rPr>
        <w:t>, zákona</w:t>
      </w:r>
      <w:r w:rsidR="00C926E5">
        <w:rPr>
          <w:rFonts w:cstheme="minorHAnsi"/>
          <w:lang w:eastAsia="cs-CZ"/>
        </w:rPr>
        <w:t xml:space="preserve"> </w:t>
      </w:r>
      <w:r w:rsidRPr="00FB73DE">
        <w:rPr>
          <w:rFonts w:cstheme="minorHAnsi"/>
        </w:rPr>
        <w:t>č.</w:t>
      </w:r>
      <w:r w:rsidR="002D6D61">
        <w:rPr>
          <w:rFonts w:cstheme="minorHAnsi"/>
        </w:rPr>
        <w:t> </w:t>
      </w:r>
      <w:r w:rsidRPr="00FB73DE">
        <w:rPr>
          <w:rFonts w:cstheme="minorHAnsi"/>
        </w:rPr>
        <w:t>134/2016 Sb.</w:t>
      </w:r>
      <w:r w:rsidRPr="00803BDF">
        <w:rPr>
          <w:rStyle w:val="Znakapoznpodarou"/>
          <w:rFonts w:cstheme="minorHAnsi"/>
        </w:rPr>
        <w:footnoteReference w:id="17"/>
      </w:r>
      <w:r w:rsidR="00C926E5">
        <w:rPr>
          <w:rFonts w:cstheme="minorHAnsi"/>
        </w:rPr>
        <w:t>,</w:t>
      </w:r>
      <w:r w:rsidRPr="00FB73DE">
        <w:rPr>
          <w:rFonts w:cstheme="minorHAnsi"/>
        </w:rPr>
        <w:t xml:space="preserve"> </w:t>
      </w:r>
      <w:r w:rsidR="00C926E5">
        <w:t>n</w:t>
      </w:r>
      <w:r w:rsidRPr="009C4A3C">
        <w:t>ařízení Evropského parlamentu a Rady (EU) č.</w:t>
      </w:r>
      <w:r w:rsidR="00C926E5">
        <w:t> </w:t>
      </w:r>
      <w:r w:rsidRPr="009C4A3C">
        <w:t>1303/2013</w:t>
      </w:r>
      <w:r w:rsidRPr="00803BDF">
        <w:rPr>
          <w:rStyle w:val="Znakapoznpodarou"/>
          <w:rFonts w:cstheme="minorHAnsi"/>
        </w:rPr>
        <w:footnoteReference w:id="18"/>
      </w:r>
      <w:r w:rsidRPr="009C4A3C">
        <w:t xml:space="preserve"> (dále také „Obecné nařízení) a </w:t>
      </w:r>
      <w:r w:rsidR="00C926E5">
        <w:t>n</w:t>
      </w:r>
      <w:r w:rsidRPr="009C4A3C">
        <w:t>ařízení Komise v přenesené pravomoci EU č.</w:t>
      </w:r>
      <w:r w:rsidR="00C926E5">
        <w:t> </w:t>
      </w:r>
      <w:r w:rsidRPr="009C4A3C">
        <w:t>480/2014</w:t>
      </w:r>
      <w:r>
        <w:rPr>
          <w:rStyle w:val="Znakapoznpodarou"/>
        </w:rPr>
        <w:footnoteReference w:id="19"/>
      </w:r>
      <w:r w:rsidRPr="009C4A3C">
        <w:t xml:space="preserve"> (dále také „Prováděcí nařízení“)</w:t>
      </w:r>
      <w:r w:rsidRPr="00FB73DE">
        <w:rPr>
          <w:rFonts w:cstheme="minorHAnsi"/>
        </w:rPr>
        <w:t xml:space="preserve">. </w:t>
      </w:r>
      <w:r w:rsidR="006D3829">
        <w:rPr>
          <w:rFonts w:cstheme="minorHAnsi"/>
        </w:rPr>
        <w:t xml:space="preserve"> </w:t>
      </w:r>
    </w:p>
    <w:p w14:paraId="283607A4" w14:textId="4B92A6E3" w:rsidR="00D26589" w:rsidRDefault="00AB3724" w:rsidP="00AA6F21">
      <w:pPr>
        <w:pStyle w:val="Nadpis1"/>
        <w:spacing w:before="840"/>
      </w:pPr>
      <w:r w:rsidRPr="00AB3724">
        <w:t>Podrobné skutečnosti zjištěné kontrolou</w:t>
      </w:r>
    </w:p>
    <w:p w14:paraId="6DC8CBA5" w14:textId="7400E5C6" w:rsidR="006F115D" w:rsidRPr="006F115D" w:rsidRDefault="006F115D" w:rsidP="001A47EC">
      <w:pPr>
        <w:pStyle w:val="Nadpis4"/>
        <w:spacing w:before="360" w:after="240"/>
        <w:ind w:left="425" w:hanging="425"/>
        <w:jc w:val="left"/>
      </w:pPr>
      <w:r w:rsidRPr="00DE6FFF">
        <w:t xml:space="preserve">MPO a Agentura CzechInvest plnily povinnosti, které měly uložené </w:t>
      </w:r>
      <w:r w:rsidRPr="008E0961">
        <w:rPr>
          <w:i/>
        </w:rPr>
        <w:t>Národní strategi</w:t>
      </w:r>
      <w:r w:rsidR="003565CF">
        <w:rPr>
          <w:i/>
        </w:rPr>
        <w:t>í</w:t>
      </w:r>
      <w:r w:rsidRPr="008E0961">
        <w:rPr>
          <w:i/>
        </w:rPr>
        <w:t xml:space="preserve"> regenerací </w:t>
      </w:r>
      <w:proofErr w:type="spellStart"/>
      <w:r w:rsidRPr="008E0961">
        <w:rPr>
          <w:i/>
        </w:rPr>
        <w:t>brownfieldů</w:t>
      </w:r>
      <w:proofErr w:type="spellEnd"/>
      <w:r w:rsidR="00057BF3" w:rsidRPr="008E0961">
        <w:rPr>
          <w:i/>
        </w:rPr>
        <w:t xml:space="preserve"> 2019</w:t>
      </w:r>
      <w:r w:rsidR="00701E19" w:rsidRPr="008E0961">
        <w:rPr>
          <w:i/>
        </w:rPr>
        <w:t>–</w:t>
      </w:r>
      <w:r w:rsidR="00057BF3" w:rsidRPr="008E0961">
        <w:rPr>
          <w:i/>
        </w:rPr>
        <w:t>2024</w:t>
      </w:r>
    </w:p>
    <w:p w14:paraId="7FF55064" w14:textId="617BC621" w:rsidR="00FB73DE" w:rsidRDefault="006F115D" w:rsidP="006F115D">
      <w:pPr>
        <w:rPr>
          <w:rFonts w:asciiTheme="minorHAnsi" w:eastAsiaTheme="minorHAnsi" w:hAnsiTheme="minorHAnsi" w:cstheme="minorHAnsi"/>
        </w:rPr>
      </w:pPr>
      <w:r w:rsidRPr="006F115D">
        <w:rPr>
          <w:rFonts w:eastAsiaTheme="minorHAnsi"/>
        </w:rPr>
        <w:t xml:space="preserve">MPO mělo v </w:t>
      </w:r>
      <w:r w:rsidR="00001B9E" w:rsidRPr="00B750E0">
        <w:t>Národní strategi</w:t>
      </w:r>
      <w:r w:rsidR="00C844EE">
        <w:t>i</w:t>
      </w:r>
      <w:r w:rsidR="00001B9E" w:rsidRPr="00B750E0">
        <w:t xml:space="preserve"> regenerací brownfieldů 2019</w:t>
      </w:r>
      <w:r w:rsidR="00701E19" w:rsidRPr="00B750E0">
        <w:t>–</w:t>
      </w:r>
      <w:r w:rsidR="00001B9E" w:rsidRPr="00B750E0">
        <w:t>2024</w:t>
      </w:r>
      <w:r w:rsidR="00057BF3">
        <w:t xml:space="preserve"> </w:t>
      </w:r>
      <w:r w:rsidRPr="006F115D">
        <w:rPr>
          <w:rFonts w:eastAsiaTheme="minorHAnsi"/>
        </w:rPr>
        <w:t xml:space="preserve">stanovenou </w:t>
      </w:r>
      <w:r w:rsidR="00E66AFB">
        <w:rPr>
          <w:rFonts w:eastAsiaTheme="minorHAnsi"/>
        </w:rPr>
        <w:t xml:space="preserve">odpovědnost </w:t>
      </w:r>
      <w:r w:rsidR="008C7C16">
        <w:rPr>
          <w:rFonts w:eastAsiaTheme="minorHAnsi"/>
        </w:rPr>
        <w:t xml:space="preserve">za realizaci </w:t>
      </w:r>
      <w:r w:rsidRPr="006F115D">
        <w:rPr>
          <w:rFonts w:eastAsiaTheme="minorHAnsi"/>
        </w:rPr>
        <w:t>u </w:t>
      </w:r>
      <w:r w:rsidRPr="00001B9E">
        <w:rPr>
          <w:rFonts w:eastAsiaTheme="minorHAnsi"/>
        </w:rPr>
        <w:t>devíti opatření a Agentura CzechInvest u</w:t>
      </w:r>
      <w:r w:rsidR="002D6D61">
        <w:rPr>
          <w:rFonts w:eastAsiaTheme="minorHAnsi"/>
        </w:rPr>
        <w:t> </w:t>
      </w:r>
      <w:r w:rsidRPr="00001B9E">
        <w:rPr>
          <w:rFonts w:eastAsiaTheme="minorHAnsi"/>
        </w:rPr>
        <w:t>jedenácti opatření.</w:t>
      </w:r>
      <w:r w:rsidRPr="00001B9E">
        <w:rPr>
          <w:rFonts w:eastAsiaTheme="majorEastAsia" w:cstheme="majorBidi"/>
        </w:rPr>
        <w:t xml:space="preserve"> </w:t>
      </w:r>
      <w:r w:rsidRPr="00001B9E">
        <w:rPr>
          <w:rFonts w:asciiTheme="minorHAnsi" w:eastAsiaTheme="minorHAnsi" w:hAnsiTheme="minorHAnsi" w:cstheme="minorHAnsi"/>
        </w:rPr>
        <w:t xml:space="preserve">NKÚ v průběhu kontroly vyhodnotil plnění </w:t>
      </w:r>
      <w:r w:rsidR="001E7FAF">
        <w:rPr>
          <w:rFonts w:asciiTheme="minorHAnsi" w:eastAsiaTheme="minorHAnsi" w:hAnsiTheme="minorHAnsi" w:cstheme="minorHAnsi"/>
        </w:rPr>
        <w:t xml:space="preserve">jednotlivých </w:t>
      </w:r>
      <w:r w:rsidRPr="00001B9E">
        <w:rPr>
          <w:rFonts w:asciiTheme="minorHAnsi" w:eastAsiaTheme="minorHAnsi" w:hAnsiTheme="minorHAnsi" w:cstheme="minorHAnsi"/>
        </w:rPr>
        <w:t>opatření ze</w:t>
      </w:r>
      <w:r w:rsidR="00476FC7">
        <w:rPr>
          <w:rFonts w:asciiTheme="minorHAnsi" w:eastAsiaTheme="minorHAnsi" w:hAnsiTheme="minorHAnsi" w:cstheme="minorHAnsi"/>
        </w:rPr>
        <w:t> </w:t>
      </w:r>
      <w:r w:rsidRPr="00001B9E">
        <w:rPr>
          <w:rFonts w:asciiTheme="minorHAnsi" w:eastAsiaTheme="minorHAnsi" w:hAnsiTheme="minorHAnsi" w:cstheme="minorHAnsi"/>
        </w:rPr>
        <w:t>strany</w:t>
      </w:r>
      <w:r>
        <w:rPr>
          <w:rFonts w:asciiTheme="minorHAnsi" w:eastAsiaTheme="minorHAnsi" w:hAnsiTheme="minorHAnsi" w:cstheme="minorHAnsi"/>
        </w:rPr>
        <w:t xml:space="preserve"> MPO a ze strany Agentury </w:t>
      </w:r>
      <w:r>
        <w:rPr>
          <w:rFonts w:asciiTheme="minorHAnsi" w:eastAsiaTheme="minorHAnsi" w:hAnsiTheme="minorHAnsi" w:cstheme="minorHAnsi"/>
        </w:rPr>
        <w:lastRenderedPageBreak/>
        <w:t xml:space="preserve">CzechInvest v letech 2019 až 2023. Provedené vyhodnocení </w:t>
      </w:r>
      <w:r w:rsidR="00772D5F">
        <w:rPr>
          <w:rFonts w:asciiTheme="minorHAnsi" w:eastAsiaTheme="minorHAnsi" w:hAnsiTheme="minorHAnsi" w:cstheme="minorHAnsi"/>
        </w:rPr>
        <w:t xml:space="preserve">jednotlivých stanovených opatření </w:t>
      </w:r>
      <w:r>
        <w:rPr>
          <w:rFonts w:asciiTheme="minorHAnsi" w:eastAsiaTheme="minorHAnsi" w:hAnsiTheme="minorHAnsi" w:cstheme="minorHAnsi"/>
        </w:rPr>
        <w:t>je uveden</w:t>
      </w:r>
      <w:r w:rsidR="001E7FAF">
        <w:rPr>
          <w:rFonts w:asciiTheme="minorHAnsi" w:eastAsiaTheme="minorHAnsi" w:hAnsiTheme="minorHAnsi" w:cstheme="minorHAnsi"/>
        </w:rPr>
        <w:t>o</w:t>
      </w:r>
      <w:r>
        <w:rPr>
          <w:rFonts w:asciiTheme="minorHAnsi" w:eastAsiaTheme="minorHAnsi" w:hAnsiTheme="minorHAnsi" w:cstheme="minorHAnsi"/>
        </w:rPr>
        <w:t xml:space="preserve"> </w:t>
      </w:r>
      <w:r w:rsidR="00001B9E" w:rsidRPr="001C029A">
        <w:rPr>
          <w:rFonts w:asciiTheme="minorHAnsi" w:eastAsiaTheme="minorHAnsi" w:hAnsiTheme="minorHAnsi" w:cstheme="minorHAnsi"/>
        </w:rPr>
        <w:t>v </w:t>
      </w:r>
      <w:r w:rsidR="003565CF">
        <w:rPr>
          <w:rFonts w:asciiTheme="minorHAnsi" w:eastAsiaTheme="minorHAnsi" w:hAnsiTheme="minorHAnsi" w:cstheme="minorHAnsi"/>
        </w:rPr>
        <w:t>p</w:t>
      </w:r>
      <w:r w:rsidR="00001B9E" w:rsidRPr="001C029A">
        <w:rPr>
          <w:rFonts w:asciiTheme="minorHAnsi" w:eastAsiaTheme="minorHAnsi" w:hAnsiTheme="minorHAnsi" w:cstheme="minorHAnsi"/>
        </w:rPr>
        <w:t xml:space="preserve">říloze č. </w:t>
      </w:r>
      <w:r w:rsidR="009B467C" w:rsidRPr="001C029A">
        <w:rPr>
          <w:rFonts w:asciiTheme="minorHAnsi" w:eastAsiaTheme="minorHAnsi" w:hAnsiTheme="minorHAnsi" w:cstheme="minorHAnsi"/>
        </w:rPr>
        <w:t>2</w:t>
      </w:r>
      <w:r w:rsidR="003565CF">
        <w:rPr>
          <w:rFonts w:asciiTheme="minorHAnsi" w:eastAsiaTheme="minorHAnsi" w:hAnsiTheme="minorHAnsi" w:cstheme="minorHAnsi"/>
        </w:rPr>
        <w:t xml:space="preserve"> tohoto kontrolního závěru</w:t>
      </w:r>
      <w:r w:rsidR="00001B9E" w:rsidRPr="001C029A">
        <w:rPr>
          <w:rFonts w:asciiTheme="minorHAnsi" w:eastAsiaTheme="minorHAnsi" w:hAnsiTheme="minorHAnsi" w:cstheme="minorHAnsi"/>
        </w:rPr>
        <w:t>.</w:t>
      </w:r>
    </w:p>
    <w:p w14:paraId="58CB554F" w14:textId="3E71FF2B" w:rsidR="00831A74" w:rsidRDefault="00831A74" w:rsidP="00AA6F21">
      <w:pPr>
        <w:keepNext/>
        <w:spacing w:before="360"/>
        <w:jc w:val="left"/>
        <w:rPr>
          <w:rFonts w:eastAsiaTheme="majorEastAsia" w:cstheme="majorBidi"/>
          <w:b/>
        </w:rPr>
      </w:pPr>
      <w:r w:rsidRPr="001E7FAF">
        <w:rPr>
          <w:rFonts w:eastAsiaTheme="majorEastAsia" w:cstheme="majorBidi"/>
          <w:b/>
        </w:rPr>
        <w:t xml:space="preserve">Výsledek vyhodnocení splnění opatření stanovených v NSRB </w:t>
      </w:r>
      <w:r>
        <w:rPr>
          <w:rFonts w:eastAsiaTheme="majorEastAsia" w:cstheme="majorBidi"/>
          <w:b/>
        </w:rPr>
        <w:t>2019</w:t>
      </w:r>
      <w:r w:rsidR="003565CF">
        <w:rPr>
          <w:rFonts w:eastAsiaTheme="majorEastAsia" w:cstheme="majorBidi"/>
          <w:b/>
        </w:rPr>
        <w:t>–</w:t>
      </w:r>
      <w:r w:rsidRPr="001E7FAF">
        <w:rPr>
          <w:rFonts w:eastAsiaTheme="majorEastAsia" w:cstheme="majorBidi"/>
          <w:b/>
        </w:rPr>
        <w:t>2024</w:t>
      </w:r>
    </w:p>
    <w:p w14:paraId="60354F0F" w14:textId="77777777" w:rsidR="00831A74" w:rsidRPr="0078411B" w:rsidRDefault="00831A74" w:rsidP="0078411B">
      <w:pPr>
        <w:keepNext/>
        <w:spacing w:before="120" w:after="120"/>
        <w:jc w:val="left"/>
        <w:rPr>
          <w:b/>
        </w:rPr>
      </w:pPr>
      <w:r w:rsidRPr="0078411B">
        <w:rPr>
          <w:b/>
        </w:rPr>
        <w:t>MPO</w:t>
      </w:r>
    </w:p>
    <w:tbl>
      <w:tblPr>
        <w:tblStyle w:val="Mkatabulky"/>
        <w:tblW w:w="4885" w:type="pct"/>
        <w:tblInd w:w="108"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
      <w:tblGrid>
        <w:gridCol w:w="4962"/>
        <w:gridCol w:w="4110"/>
      </w:tblGrid>
      <w:tr w:rsidR="00831A74" w:rsidRPr="0078411B" w14:paraId="35EF2562" w14:textId="77777777" w:rsidTr="00F73A8A">
        <w:trPr>
          <w:trHeight w:val="567"/>
        </w:trPr>
        <w:tc>
          <w:tcPr>
            <w:tcW w:w="2735" w:type="pct"/>
            <w:shd w:val="clear" w:color="auto" w:fill="2EB3A1"/>
            <w:vAlign w:val="center"/>
          </w:tcPr>
          <w:p w14:paraId="7826D713" w14:textId="77777777" w:rsidR="00831A74" w:rsidRPr="0078411B" w:rsidRDefault="00831A74" w:rsidP="0078411B">
            <w:pPr>
              <w:spacing w:before="120" w:after="120"/>
              <w:jc w:val="center"/>
              <w:rPr>
                <w:color w:val="FFFFFF" w:themeColor="background1"/>
              </w:rPr>
            </w:pPr>
            <w:r w:rsidRPr="0078411B">
              <w:rPr>
                <w:b/>
                <w:color w:val="FFFFFF" w:themeColor="background1"/>
              </w:rPr>
              <w:t>6</w:t>
            </w:r>
            <w:r w:rsidRPr="0078411B">
              <w:rPr>
                <w:color w:val="FFFFFF" w:themeColor="background1"/>
              </w:rPr>
              <w:t xml:space="preserve"> opatření splněno/plněno</w:t>
            </w:r>
          </w:p>
        </w:tc>
        <w:tc>
          <w:tcPr>
            <w:tcW w:w="2265" w:type="pct"/>
            <w:shd w:val="clear" w:color="auto" w:fill="FDC300"/>
            <w:vAlign w:val="center"/>
          </w:tcPr>
          <w:p w14:paraId="0515F1F0" w14:textId="77777777" w:rsidR="00831A74" w:rsidRPr="0078411B" w:rsidRDefault="00831A74" w:rsidP="0078411B">
            <w:pPr>
              <w:spacing w:before="120" w:after="120"/>
              <w:jc w:val="center"/>
            </w:pPr>
            <w:r w:rsidRPr="0078411B">
              <w:rPr>
                <w:b/>
              </w:rPr>
              <w:t>3</w:t>
            </w:r>
            <w:r w:rsidRPr="0078411B">
              <w:t xml:space="preserve"> opatření částečně splněna</w:t>
            </w:r>
          </w:p>
        </w:tc>
      </w:tr>
    </w:tbl>
    <w:p w14:paraId="3279E5FC" w14:textId="62DBBDA8" w:rsidR="00831A74" w:rsidRPr="0078411B" w:rsidRDefault="00831A74" w:rsidP="0078411B">
      <w:pPr>
        <w:keepNext/>
        <w:spacing w:before="120" w:after="120"/>
        <w:jc w:val="left"/>
        <w:rPr>
          <w:b/>
        </w:rPr>
      </w:pPr>
      <w:r w:rsidRPr="0078411B">
        <w:rPr>
          <w:b/>
        </w:rPr>
        <w:t>Agentura CzechInvest</w:t>
      </w:r>
    </w:p>
    <w:tbl>
      <w:tblPr>
        <w:tblStyle w:val="Mkatabulky"/>
        <w:tblW w:w="4885" w:type="pct"/>
        <w:tblInd w:w="108"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ook w:val="04A0" w:firstRow="1" w:lastRow="0" w:firstColumn="1" w:lastColumn="0" w:noHBand="0" w:noVBand="1"/>
      </w:tblPr>
      <w:tblGrid>
        <w:gridCol w:w="6082"/>
        <w:gridCol w:w="2990"/>
      </w:tblGrid>
      <w:tr w:rsidR="00831A74" w:rsidRPr="0078411B" w14:paraId="50F8E074" w14:textId="77777777" w:rsidTr="00E42079">
        <w:trPr>
          <w:trHeight w:val="567"/>
        </w:trPr>
        <w:tc>
          <w:tcPr>
            <w:tcW w:w="3352" w:type="pct"/>
            <w:shd w:val="clear" w:color="auto" w:fill="2EB3A1"/>
            <w:vAlign w:val="center"/>
          </w:tcPr>
          <w:p w14:paraId="0978D608" w14:textId="77777777" w:rsidR="00831A74" w:rsidRPr="0078411B" w:rsidRDefault="00831A74" w:rsidP="0078411B">
            <w:pPr>
              <w:spacing w:before="120" w:after="120"/>
              <w:jc w:val="center"/>
              <w:rPr>
                <w:color w:val="FFFFFF" w:themeColor="background1"/>
              </w:rPr>
            </w:pPr>
            <w:r w:rsidRPr="0078411B">
              <w:rPr>
                <w:b/>
                <w:color w:val="FFFFFF" w:themeColor="background1"/>
              </w:rPr>
              <w:t>10</w:t>
            </w:r>
            <w:r w:rsidRPr="0078411B">
              <w:rPr>
                <w:color w:val="FFFFFF" w:themeColor="background1"/>
              </w:rPr>
              <w:t xml:space="preserve"> opatření splněno/plněno</w:t>
            </w:r>
          </w:p>
        </w:tc>
        <w:tc>
          <w:tcPr>
            <w:tcW w:w="1648" w:type="pct"/>
            <w:shd w:val="clear" w:color="auto" w:fill="AF1953"/>
            <w:vAlign w:val="center"/>
          </w:tcPr>
          <w:p w14:paraId="7BB7B071" w14:textId="77777777" w:rsidR="00831A74" w:rsidRPr="0078411B" w:rsidRDefault="00831A74" w:rsidP="0078411B">
            <w:pPr>
              <w:spacing w:before="120" w:after="120"/>
              <w:jc w:val="center"/>
              <w:rPr>
                <w:color w:val="FFFFFF" w:themeColor="background1"/>
              </w:rPr>
            </w:pPr>
            <w:r w:rsidRPr="0078411B">
              <w:rPr>
                <w:b/>
                <w:color w:val="FFFFFF" w:themeColor="background1"/>
              </w:rPr>
              <w:t>1</w:t>
            </w:r>
            <w:r w:rsidRPr="0078411B">
              <w:rPr>
                <w:color w:val="FFFFFF" w:themeColor="background1"/>
              </w:rPr>
              <w:t xml:space="preserve"> opatření zatím nesplněno</w:t>
            </w:r>
          </w:p>
        </w:tc>
      </w:tr>
    </w:tbl>
    <w:p w14:paraId="348B5DE5" w14:textId="113BA200" w:rsidR="00E34BCD" w:rsidRDefault="00783111" w:rsidP="0078411B">
      <w:pPr>
        <w:pStyle w:val="Odstavecseseznamem"/>
        <w:spacing w:before="240" w:after="120"/>
        <w:ind w:left="0"/>
        <w:contextualSpacing w:val="0"/>
        <w:rPr>
          <w:rFonts w:cstheme="minorHAnsi"/>
        </w:rPr>
      </w:pPr>
      <w:r w:rsidRPr="00430359">
        <w:rPr>
          <w:rFonts w:cstheme="minorHAnsi"/>
        </w:rPr>
        <w:sym w:font="Wingdings" w:char="F0E8"/>
      </w:r>
      <w:r w:rsidRPr="00430359">
        <w:rPr>
          <w:rFonts w:cstheme="minorHAnsi"/>
        </w:rPr>
        <w:t xml:space="preserve"> </w:t>
      </w:r>
      <w:r w:rsidR="008C7C16" w:rsidRPr="00430359">
        <w:rPr>
          <w:rFonts w:cstheme="minorHAnsi"/>
        </w:rPr>
        <w:t xml:space="preserve">Jako </w:t>
      </w:r>
      <w:r w:rsidR="008C7C16" w:rsidRPr="00430359">
        <w:rPr>
          <w:rFonts w:cstheme="minorHAnsi"/>
          <w:b/>
        </w:rPr>
        <w:t>s</w:t>
      </w:r>
      <w:r w:rsidR="00223CAA" w:rsidRPr="00430359">
        <w:rPr>
          <w:rFonts w:cstheme="minorHAnsi"/>
          <w:b/>
        </w:rPr>
        <w:t xml:space="preserve">plněné </w:t>
      </w:r>
      <w:r w:rsidR="00772D5F" w:rsidRPr="00430359">
        <w:rPr>
          <w:rFonts w:cstheme="minorHAnsi"/>
          <w:b/>
        </w:rPr>
        <w:t>částečně</w:t>
      </w:r>
      <w:r w:rsidR="00772D5F" w:rsidRPr="00430359">
        <w:rPr>
          <w:rFonts w:cstheme="minorHAnsi"/>
        </w:rPr>
        <w:t xml:space="preserve"> </w:t>
      </w:r>
      <w:r w:rsidR="00223CAA" w:rsidRPr="00430359">
        <w:rPr>
          <w:rFonts w:cstheme="minorHAnsi"/>
        </w:rPr>
        <w:t xml:space="preserve">vyhodnotil NKÚ u MPO opatření č. 2.1: </w:t>
      </w:r>
      <w:r w:rsidR="00223CAA" w:rsidRPr="00430359">
        <w:rPr>
          <w:rFonts w:cstheme="minorHAnsi"/>
          <w:i/>
        </w:rPr>
        <w:t>Nové podnikatelské nemovitosti směřovat na plochy brownfieldů</w:t>
      </w:r>
      <w:r w:rsidR="00B702E0" w:rsidRPr="00430359">
        <w:rPr>
          <w:rFonts w:cstheme="minorHAnsi"/>
        </w:rPr>
        <w:t xml:space="preserve">, neboť </w:t>
      </w:r>
      <w:r w:rsidR="00595497" w:rsidRPr="00430359">
        <w:rPr>
          <w:rFonts w:cstheme="minorHAnsi"/>
        </w:rPr>
        <w:t xml:space="preserve">MPO u Programu 122D20 </w:t>
      </w:r>
      <w:r w:rsidR="00595497" w:rsidRPr="00430359">
        <w:t>„Smart Parks For The Future“</w:t>
      </w:r>
      <w:r w:rsidR="00595497" w:rsidRPr="00430359">
        <w:rPr>
          <w:rFonts w:cstheme="minorHAnsi"/>
        </w:rPr>
        <w:t>, umožnilo jak podporu projektů v lokalitách typu brownfield, tak podporu projektů na zelené louce</w:t>
      </w:r>
      <w:r w:rsidR="00A76250" w:rsidRPr="00430359">
        <w:rPr>
          <w:rFonts w:cstheme="minorHAnsi"/>
        </w:rPr>
        <w:t xml:space="preserve">. </w:t>
      </w:r>
      <w:r w:rsidR="00595497" w:rsidRPr="00430359">
        <w:rPr>
          <w:rFonts w:cstheme="minorHAnsi"/>
        </w:rPr>
        <w:t>Přestože byl tento program schválen v roce 2020, tedy po</w:t>
      </w:r>
      <w:r w:rsidR="002D6D61">
        <w:rPr>
          <w:rFonts w:cstheme="minorHAnsi"/>
        </w:rPr>
        <w:t> </w:t>
      </w:r>
      <w:r w:rsidR="00AC41AD" w:rsidRPr="00430359">
        <w:rPr>
          <w:rFonts w:cstheme="minorHAnsi"/>
        </w:rPr>
        <w:t>zpracování</w:t>
      </w:r>
      <w:r w:rsidR="00595497" w:rsidRPr="00430359">
        <w:rPr>
          <w:rFonts w:cstheme="minorHAnsi"/>
        </w:rPr>
        <w:t xml:space="preserve"> </w:t>
      </w:r>
      <w:r w:rsidR="00595497" w:rsidRPr="00E435F9">
        <w:rPr>
          <w:rFonts w:cstheme="minorHAnsi"/>
          <w:i/>
        </w:rPr>
        <w:t xml:space="preserve">Národní strategie regenerací </w:t>
      </w:r>
      <w:proofErr w:type="spellStart"/>
      <w:r w:rsidR="00595497" w:rsidRPr="00E435F9">
        <w:rPr>
          <w:rFonts w:cstheme="minorHAnsi"/>
          <w:i/>
        </w:rPr>
        <w:t>brownfieldů</w:t>
      </w:r>
      <w:proofErr w:type="spellEnd"/>
      <w:r w:rsidR="00595497" w:rsidRPr="00E435F9">
        <w:rPr>
          <w:rFonts w:cstheme="minorHAnsi"/>
          <w:i/>
        </w:rPr>
        <w:t xml:space="preserve"> 2019</w:t>
      </w:r>
      <w:r w:rsidR="003305AE" w:rsidRPr="00E435F9">
        <w:rPr>
          <w:i/>
        </w:rPr>
        <w:t>–</w:t>
      </w:r>
      <w:r w:rsidR="00595497" w:rsidRPr="00E435F9">
        <w:rPr>
          <w:rFonts w:cstheme="minorHAnsi"/>
          <w:i/>
        </w:rPr>
        <w:t>2024</w:t>
      </w:r>
      <w:r w:rsidR="00595497" w:rsidRPr="00430359">
        <w:rPr>
          <w:rFonts w:cstheme="minorHAnsi"/>
        </w:rPr>
        <w:t xml:space="preserve">, MPO u něj umožnilo podporu i projektů na zelené louce, </w:t>
      </w:r>
      <w:r w:rsidR="00D368CD">
        <w:rPr>
          <w:rFonts w:cstheme="minorHAnsi"/>
        </w:rPr>
        <w:t>a </w:t>
      </w:r>
      <w:r w:rsidR="00595497" w:rsidRPr="00430359">
        <w:rPr>
          <w:rFonts w:cstheme="minorHAnsi"/>
        </w:rPr>
        <w:t>t</w:t>
      </w:r>
      <w:r w:rsidR="00D368CD">
        <w:rPr>
          <w:rFonts w:cstheme="minorHAnsi"/>
        </w:rPr>
        <w:t>edy</w:t>
      </w:r>
      <w:r w:rsidR="00595497" w:rsidRPr="00430359">
        <w:rPr>
          <w:rFonts w:cstheme="minorHAnsi"/>
        </w:rPr>
        <w:t xml:space="preserve"> </w:t>
      </w:r>
      <w:r w:rsidR="002D086B">
        <w:rPr>
          <w:rFonts w:cstheme="minorHAnsi"/>
        </w:rPr>
        <w:t>nereflektoval</w:t>
      </w:r>
      <w:r w:rsidR="00D368CD">
        <w:rPr>
          <w:rFonts w:cstheme="minorHAnsi"/>
        </w:rPr>
        <w:t>o</w:t>
      </w:r>
      <w:r w:rsidR="00595497" w:rsidRPr="00430359">
        <w:rPr>
          <w:rFonts w:cstheme="minorHAnsi"/>
        </w:rPr>
        <w:t xml:space="preserve"> opatření spočívající ve</w:t>
      </w:r>
      <w:r w:rsidR="002D6D61">
        <w:rPr>
          <w:rFonts w:cstheme="minorHAnsi"/>
        </w:rPr>
        <w:t> </w:t>
      </w:r>
      <w:r w:rsidR="00595497" w:rsidRPr="00430359">
        <w:rPr>
          <w:rFonts w:cstheme="minorHAnsi"/>
        </w:rPr>
        <w:t>směřování nových podnikatelských nemovitostí na plochy brownfieldů.</w:t>
      </w:r>
      <w:r w:rsidR="00595497">
        <w:rPr>
          <w:rFonts w:cstheme="minorHAnsi"/>
        </w:rPr>
        <w:t xml:space="preserve"> </w:t>
      </w:r>
    </w:p>
    <w:p w14:paraId="2E284099" w14:textId="4CE0C7B4" w:rsidR="00223CAA" w:rsidRPr="001E7FAF" w:rsidRDefault="00783111" w:rsidP="001E7FAF">
      <w:pPr>
        <w:pStyle w:val="Odstavecseseznamem"/>
        <w:spacing w:before="120" w:after="120"/>
        <w:ind w:left="0"/>
        <w:contextualSpacing w:val="0"/>
        <w:rPr>
          <w:rFonts w:cstheme="minorHAnsi"/>
        </w:rPr>
      </w:pPr>
      <w:r>
        <w:rPr>
          <w:rFonts w:cstheme="minorHAnsi"/>
        </w:rPr>
        <w:sym w:font="Wingdings" w:char="F0E8"/>
      </w:r>
      <w:r w:rsidR="00223CAA" w:rsidRPr="00223CAA">
        <w:rPr>
          <w:rFonts w:cstheme="minorHAnsi"/>
        </w:rPr>
        <w:t xml:space="preserve"> </w:t>
      </w:r>
      <w:r w:rsidR="008C7C16">
        <w:rPr>
          <w:rFonts w:cstheme="minorHAnsi"/>
        </w:rPr>
        <w:t xml:space="preserve">Jako </w:t>
      </w:r>
      <w:r w:rsidR="008C7C16">
        <w:rPr>
          <w:rFonts w:cstheme="minorHAnsi"/>
          <w:b/>
        </w:rPr>
        <w:t>s</w:t>
      </w:r>
      <w:r w:rsidR="00223CAA" w:rsidRPr="00E34BCD">
        <w:rPr>
          <w:rFonts w:cstheme="minorHAnsi"/>
          <w:b/>
        </w:rPr>
        <w:t xml:space="preserve">plněné </w:t>
      </w:r>
      <w:r w:rsidR="001E7FAF" w:rsidRPr="00E34BCD">
        <w:rPr>
          <w:rFonts w:cstheme="minorHAnsi"/>
          <w:b/>
        </w:rPr>
        <w:t>částečně</w:t>
      </w:r>
      <w:r w:rsidR="001E7FAF">
        <w:rPr>
          <w:rFonts w:cstheme="minorHAnsi"/>
        </w:rPr>
        <w:t xml:space="preserve"> </w:t>
      </w:r>
      <w:r w:rsidR="00223CAA">
        <w:rPr>
          <w:rFonts w:cstheme="minorHAnsi"/>
        </w:rPr>
        <w:t>vy</w:t>
      </w:r>
      <w:r w:rsidR="00223CAA" w:rsidRPr="00223CAA">
        <w:rPr>
          <w:rFonts w:cstheme="minorHAnsi"/>
        </w:rPr>
        <w:t xml:space="preserve">hodnotil NKÚ u MPO opatření č. 3.1: </w:t>
      </w:r>
      <w:r w:rsidR="00223CAA" w:rsidRPr="00503493">
        <w:rPr>
          <w:rFonts w:cstheme="minorHAnsi"/>
          <w:i/>
        </w:rPr>
        <w:t>Provedení celkové studie „Analýza brownfieldů v ČR“ včetně ověření možností jejich regenerace a návrhů motivačních nástrojů</w:t>
      </w:r>
      <w:r w:rsidR="00223CAA" w:rsidRPr="00223CAA">
        <w:rPr>
          <w:rFonts w:cstheme="minorHAnsi"/>
        </w:rPr>
        <w:t>, neboť nebylo splněno v požadovaném termínu (</w:t>
      </w:r>
      <w:r w:rsidR="00D368CD">
        <w:rPr>
          <w:rFonts w:cstheme="minorHAnsi"/>
        </w:rPr>
        <w:t>a</w:t>
      </w:r>
      <w:r w:rsidR="00223CAA" w:rsidRPr="00223CAA">
        <w:rPr>
          <w:rFonts w:cstheme="minorHAnsi"/>
        </w:rPr>
        <w:t xml:space="preserve">nalýza </w:t>
      </w:r>
      <w:proofErr w:type="spellStart"/>
      <w:r w:rsidR="00223CAA" w:rsidRPr="00223CAA">
        <w:rPr>
          <w:rFonts w:cstheme="minorHAnsi"/>
        </w:rPr>
        <w:t>brownfieldů</w:t>
      </w:r>
      <w:proofErr w:type="spellEnd"/>
      <w:r w:rsidR="00223CAA" w:rsidRPr="00223CAA">
        <w:rPr>
          <w:rFonts w:cstheme="minorHAnsi"/>
        </w:rPr>
        <w:t xml:space="preserve"> byla schválena místo roku 2020 v roce 2023) a v</w:t>
      </w:r>
      <w:r w:rsidR="00B702E0">
        <w:rPr>
          <w:rFonts w:cstheme="minorHAnsi"/>
        </w:rPr>
        <w:t> době kontroly nebylo opatření splněno v</w:t>
      </w:r>
      <w:r w:rsidR="000C7943">
        <w:rPr>
          <w:rFonts w:cstheme="minorHAnsi"/>
        </w:rPr>
        <w:t> </w:t>
      </w:r>
      <w:r w:rsidR="00223CAA" w:rsidRPr="00223CAA">
        <w:rPr>
          <w:rFonts w:cstheme="minorHAnsi"/>
        </w:rPr>
        <w:t>požadovaném rozsahu (</w:t>
      </w:r>
      <w:r w:rsidR="00D368CD">
        <w:rPr>
          <w:rFonts w:cstheme="minorHAnsi"/>
        </w:rPr>
        <w:t>a</w:t>
      </w:r>
      <w:r w:rsidR="00223CAA" w:rsidRPr="00223CAA">
        <w:rPr>
          <w:rFonts w:cstheme="minorHAnsi"/>
        </w:rPr>
        <w:t xml:space="preserve">nalýza </w:t>
      </w:r>
      <w:proofErr w:type="spellStart"/>
      <w:r w:rsidR="00223CAA" w:rsidRPr="00223CAA">
        <w:rPr>
          <w:rFonts w:cstheme="minorHAnsi"/>
        </w:rPr>
        <w:t>brownfieldů</w:t>
      </w:r>
      <w:proofErr w:type="spellEnd"/>
      <w:r w:rsidR="00223CAA" w:rsidRPr="00223CAA">
        <w:rPr>
          <w:rFonts w:cstheme="minorHAnsi"/>
        </w:rPr>
        <w:t xml:space="preserve"> neobsahovala požadavky dané </w:t>
      </w:r>
      <w:r w:rsidR="000C7943" w:rsidRPr="00E435F9">
        <w:rPr>
          <w:i/>
          <w:lang w:eastAsia="cs-CZ"/>
        </w:rPr>
        <w:t xml:space="preserve">Národní strategií regenerací </w:t>
      </w:r>
      <w:proofErr w:type="spellStart"/>
      <w:r w:rsidR="000C7943" w:rsidRPr="00E435F9">
        <w:rPr>
          <w:i/>
          <w:lang w:eastAsia="cs-CZ"/>
        </w:rPr>
        <w:t>brownfieldů</w:t>
      </w:r>
      <w:proofErr w:type="spellEnd"/>
      <w:r w:rsidR="000C7943" w:rsidRPr="00E435F9">
        <w:rPr>
          <w:i/>
          <w:lang w:eastAsia="cs-CZ"/>
        </w:rPr>
        <w:t xml:space="preserve"> 2019</w:t>
      </w:r>
      <w:r w:rsidR="00DE5C3A" w:rsidRPr="00E435F9">
        <w:rPr>
          <w:i/>
        </w:rPr>
        <w:t>–</w:t>
      </w:r>
      <w:r w:rsidR="000C7943" w:rsidRPr="00E435F9">
        <w:rPr>
          <w:i/>
          <w:lang w:eastAsia="cs-CZ"/>
        </w:rPr>
        <w:t>2024</w:t>
      </w:r>
      <w:r w:rsidR="00223CAA" w:rsidRPr="00223CAA">
        <w:rPr>
          <w:rFonts w:cstheme="minorHAnsi"/>
        </w:rPr>
        <w:t xml:space="preserve">, zejména </w:t>
      </w:r>
      <w:r w:rsidR="00D368CD">
        <w:rPr>
          <w:rFonts w:cstheme="minorHAnsi"/>
        </w:rPr>
        <w:t>rozdělení</w:t>
      </w:r>
      <w:r w:rsidR="00223CAA" w:rsidRPr="00223CAA">
        <w:rPr>
          <w:rFonts w:cstheme="minorHAnsi"/>
        </w:rPr>
        <w:t xml:space="preserve"> všech evidovaných </w:t>
      </w:r>
      <w:proofErr w:type="spellStart"/>
      <w:r w:rsidR="00223CAA" w:rsidRPr="00223CAA">
        <w:rPr>
          <w:rFonts w:cstheme="minorHAnsi"/>
        </w:rPr>
        <w:t>brownfieldů</w:t>
      </w:r>
      <w:proofErr w:type="spellEnd"/>
      <w:r w:rsidR="00223CAA" w:rsidRPr="00223CAA">
        <w:rPr>
          <w:rFonts w:cstheme="minorHAnsi"/>
        </w:rPr>
        <w:t xml:space="preserve"> do skupin dle budoucího využití a nastavení priorit). </w:t>
      </w:r>
    </w:p>
    <w:p w14:paraId="3321891A" w14:textId="623F5B3C" w:rsidR="006F115D" w:rsidRDefault="00783111" w:rsidP="006F115D">
      <w:pPr>
        <w:pStyle w:val="Odstavecseseznamem"/>
        <w:spacing w:before="120" w:after="120"/>
        <w:ind w:left="0"/>
        <w:contextualSpacing w:val="0"/>
        <w:rPr>
          <w:rFonts w:cstheme="minorHAnsi"/>
        </w:rPr>
      </w:pPr>
      <w:r>
        <w:rPr>
          <w:rFonts w:cstheme="minorHAnsi"/>
        </w:rPr>
        <w:sym w:font="Wingdings" w:char="F0E8"/>
      </w:r>
      <w:r w:rsidR="00223CAA">
        <w:rPr>
          <w:rFonts w:cstheme="minorHAnsi"/>
        </w:rPr>
        <w:t xml:space="preserve"> </w:t>
      </w:r>
      <w:r w:rsidR="008C7C16" w:rsidRPr="008C7C16">
        <w:rPr>
          <w:rFonts w:cstheme="minorHAnsi"/>
        </w:rPr>
        <w:t>Jako</w:t>
      </w:r>
      <w:r w:rsidR="008C7C16">
        <w:rPr>
          <w:rFonts w:cstheme="minorHAnsi"/>
          <w:b/>
        </w:rPr>
        <w:t xml:space="preserve"> s</w:t>
      </w:r>
      <w:r w:rsidR="00223CAA" w:rsidRPr="00E34BCD">
        <w:rPr>
          <w:rFonts w:cstheme="minorHAnsi"/>
          <w:b/>
        </w:rPr>
        <w:t xml:space="preserve">plněné </w:t>
      </w:r>
      <w:r w:rsidR="001E7FAF" w:rsidRPr="00E34BCD">
        <w:rPr>
          <w:rFonts w:cstheme="minorHAnsi"/>
          <w:b/>
        </w:rPr>
        <w:t>částečně</w:t>
      </w:r>
      <w:r w:rsidR="001E7FAF">
        <w:rPr>
          <w:rFonts w:cstheme="minorHAnsi"/>
        </w:rPr>
        <w:t xml:space="preserve"> </w:t>
      </w:r>
      <w:r w:rsidR="00223CAA">
        <w:rPr>
          <w:rFonts w:cstheme="minorHAnsi"/>
        </w:rPr>
        <w:t>vy</w:t>
      </w:r>
      <w:r w:rsidR="00223CAA" w:rsidRPr="00223CAA">
        <w:rPr>
          <w:rFonts w:cstheme="minorHAnsi"/>
        </w:rPr>
        <w:t>hodnotil NKÚ u MPO opatření č. 3.4</w:t>
      </w:r>
      <w:r w:rsidR="00503493">
        <w:rPr>
          <w:rFonts w:cstheme="minorHAnsi"/>
        </w:rPr>
        <w:t>:</w:t>
      </w:r>
      <w:r w:rsidR="00223CAA" w:rsidRPr="00223CAA">
        <w:rPr>
          <w:rFonts w:cstheme="minorHAnsi"/>
        </w:rPr>
        <w:t xml:space="preserve"> </w:t>
      </w:r>
      <w:r w:rsidR="00223CAA" w:rsidRPr="00503493">
        <w:rPr>
          <w:rFonts w:cstheme="minorHAnsi"/>
          <w:i/>
        </w:rPr>
        <w:t>Prověřit veřejné registry nepotřebného majetku pro vyhledání lokalit do Národní databáze brownfieldů</w:t>
      </w:r>
      <w:r w:rsidR="00C844EE">
        <w:rPr>
          <w:rFonts w:cstheme="minorHAnsi"/>
        </w:rPr>
        <w:t xml:space="preserve">, neboť </w:t>
      </w:r>
      <w:r w:rsidR="00223CAA" w:rsidRPr="00223CAA">
        <w:rPr>
          <w:rFonts w:cstheme="minorHAnsi"/>
        </w:rPr>
        <w:t>MPO k</w:t>
      </w:r>
      <w:r w:rsidR="000C7943">
        <w:rPr>
          <w:rFonts w:cstheme="minorHAnsi"/>
        </w:rPr>
        <w:t> </w:t>
      </w:r>
      <w:r w:rsidR="00223CAA" w:rsidRPr="00223CAA">
        <w:rPr>
          <w:rFonts w:cstheme="minorHAnsi"/>
        </w:rPr>
        <w:t xml:space="preserve">plnění tohoto opatření uvedlo, že u některých oslovených institucí zjistilo, že struktura dat o lokalitách nebyla srovnatelná se sledovanými atributy v </w:t>
      </w:r>
      <w:r w:rsidR="00223CAA" w:rsidRPr="00E435F9">
        <w:rPr>
          <w:rFonts w:cstheme="minorHAnsi"/>
          <w:i/>
        </w:rPr>
        <w:t>Národní databázi brownfieldů</w:t>
      </w:r>
      <w:r w:rsidR="006E4FE4">
        <w:rPr>
          <w:rFonts w:cstheme="minorHAnsi"/>
        </w:rPr>
        <w:t>,</w:t>
      </w:r>
      <w:r w:rsidR="00223CAA" w:rsidRPr="00223CAA">
        <w:rPr>
          <w:rFonts w:cstheme="minorHAnsi"/>
        </w:rPr>
        <w:t xml:space="preserve"> a</w:t>
      </w:r>
      <w:r w:rsidR="000C7943">
        <w:rPr>
          <w:rFonts w:cstheme="minorHAnsi"/>
        </w:rPr>
        <w:t> </w:t>
      </w:r>
      <w:r w:rsidR="00223CAA" w:rsidRPr="00223CAA">
        <w:rPr>
          <w:rFonts w:cstheme="minorHAnsi"/>
        </w:rPr>
        <w:t>z</w:t>
      </w:r>
      <w:r w:rsidR="000C7943">
        <w:rPr>
          <w:rFonts w:cstheme="minorHAnsi"/>
        </w:rPr>
        <w:t> </w:t>
      </w:r>
      <w:r w:rsidR="00223CAA" w:rsidRPr="00223CAA">
        <w:rPr>
          <w:rFonts w:cstheme="minorHAnsi"/>
        </w:rPr>
        <w:t>tohoto důvodu nebylo možné uskutečnit propojení dat. U některých institucí k propojení došlo. MPO plánuje, že opatření bude splněno v průběhu roku 2024</w:t>
      </w:r>
      <w:r w:rsidR="006E4FE4">
        <w:rPr>
          <w:rFonts w:cstheme="minorHAnsi"/>
        </w:rPr>
        <w:t>,</w:t>
      </w:r>
      <w:r w:rsidR="00223CAA" w:rsidRPr="00223CAA">
        <w:rPr>
          <w:rFonts w:cstheme="minorHAnsi"/>
        </w:rPr>
        <w:t xml:space="preserve"> až </w:t>
      </w:r>
      <w:r w:rsidR="008C7C16">
        <w:rPr>
          <w:rFonts w:cstheme="minorHAnsi"/>
        </w:rPr>
        <w:t>když</w:t>
      </w:r>
      <w:r w:rsidR="001230EC">
        <w:rPr>
          <w:rFonts w:cstheme="minorHAnsi"/>
        </w:rPr>
        <w:t xml:space="preserve"> </w:t>
      </w:r>
      <w:r w:rsidR="008C7C16">
        <w:rPr>
          <w:rFonts w:cstheme="minorHAnsi"/>
        </w:rPr>
        <w:t xml:space="preserve">bude </w:t>
      </w:r>
      <w:r w:rsidR="00223CAA" w:rsidRPr="00223CAA">
        <w:rPr>
          <w:rFonts w:cstheme="minorHAnsi"/>
        </w:rPr>
        <w:t xml:space="preserve">dokončena nová verze </w:t>
      </w:r>
      <w:r w:rsidR="00223CAA" w:rsidRPr="00E435F9">
        <w:rPr>
          <w:rFonts w:cstheme="minorHAnsi"/>
          <w:i/>
        </w:rPr>
        <w:t>Národní databáze brownfieldů</w:t>
      </w:r>
      <w:r w:rsidR="00223CAA" w:rsidRPr="00223CAA">
        <w:rPr>
          <w:rFonts w:cstheme="minorHAnsi"/>
        </w:rPr>
        <w:t>, na které pracuje Agentura CzechInvest.</w:t>
      </w:r>
      <w:r w:rsidR="0060091C">
        <w:rPr>
          <w:rFonts w:cstheme="minorHAnsi"/>
        </w:rPr>
        <w:t xml:space="preserve"> NKÚ vyhodnotil opatření 3.4</w:t>
      </w:r>
      <w:r w:rsidR="00223CAA" w:rsidRPr="00223CAA">
        <w:rPr>
          <w:rFonts w:cstheme="minorHAnsi"/>
        </w:rPr>
        <w:t xml:space="preserve"> </w:t>
      </w:r>
      <w:r w:rsidR="0060091C" w:rsidRPr="00223CAA">
        <w:rPr>
          <w:rFonts w:cstheme="minorHAnsi"/>
        </w:rPr>
        <w:t xml:space="preserve">u Agentury CzechInvest </w:t>
      </w:r>
      <w:r w:rsidR="00E544DD">
        <w:rPr>
          <w:rFonts w:cstheme="minorHAnsi"/>
        </w:rPr>
        <w:t xml:space="preserve">tudíž </w:t>
      </w:r>
      <w:r w:rsidR="00223CAA" w:rsidRPr="00223CAA">
        <w:rPr>
          <w:rFonts w:cstheme="minorHAnsi"/>
        </w:rPr>
        <w:t xml:space="preserve">jako </w:t>
      </w:r>
      <w:r w:rsidR="00223CAA" w:rsidRPr="000A1CBC">
        <w:rPr>
          <w:rFonts w:cstheme="minorHAnsi"/>
          <w:b/>
        </w:rPr>
        <w:t xml:space="preserve">nesplněné </w:t>
      </w:r>
      <w:r w:rsidR="00223CAA" w:rsidRPr="00223CAA">
        <w:rPr>
          <w:rFonts w:cstheme="minorHAnsi"/>
        </w:rPr>
        <w:t>s tím, že jej plánuje splnit v</w:t>
      </w:r>
      <w:r w:rsidR="00476FC7">
        <w:rPr>
          <w:rFonts w:cstheme="minorHAnsi"/>
        </w:rPr>
        <w:t> </w:t>
      </w:r>
      <w:r w:rsidR="00223CAA" w:rsidRPr="00223CAA">
        <w:rPr>
          <w:rFonts w:cstheme="minorHAnsi"/>
        </w:rPr>
        <w:t xml:space="preserve">průběhu roku 2024. </w:t>
      </w:r>
    </w:p>
    <w:p w14:paraId="091CE267" w14:textId="15A43FCE" w:rsidR="006F115D" w:rsidRDefault="006F115D" w:rsidP="001A47EC">
      <w:pPr>
        <w:pStyle w:val="Nadpis4"/>
        <w:spacing w:before="360" w:after="240"/>
        <w:ind w:left="425" w:hanging="425"/>
        <w:jc w:val="left"/>
      </w:pPr>
      <w:r>
        <w:t>Program</w:t>
      </w:r>
      <w:r w:rsidRPr="003162B1">
        <w:t xml:space="preserve"> 222 230</w:t>
      </w:r>
      <w:r w:rsidR="00065B68">
        <w:t xml:space="preserve"> –</w:t>
      </w:r>
      <w:r w:rsidRPr="003162B1">
        <w:t xml:space="preserve"> </w:t>
      </w:r>
      <w:r w:rsidRPr="00E435F9">
        <w:rPr>
          <w:i/>
        </w:rPr>
        <w:t>Podpora podnikatelských nemovitostí a infrastruktury</w:t>
      </w:r>
      <w:r>
        <w:t xml:space="preserve"> </w:t>
      </w:r>
      <w:r w:rsidRPr="003162B1">
        <w:t xml:space="preserve">nepřispěl ke snížení počtu </w:t>
      </w:r>
      <w:proofErr w:type="spellStart"/>
      <w:r w:rsidRPr="003162B1">
        <w:t>brownfieldů</w:t>
      </w:r>
      <w:proofErr w:type="spellEnd"/>
      <w:r w:rsidR="00E6217C">
        <w:t xml:space="preserve"> </w:t>
      </w:r>
    </w:p>
    <w:p w14:paraId="11DC854C" w14:textId="4BC731B0" w:rsidR="00223CAA" w:rsidRDefault="006F115D" w:rsidP="006F115D">
      <w:pPr>
        <w:pStyle w:val="Odstavecseseznamem"/>
        <w:spacing w:before="120" w:after="120"/>
        <w:ind w:left="0"/>
        <w:contextualSpacing w:val="0"/>
        <w:rPr>
          <w:rFonts w:cstheme="minorHAnsi"/>
        </w:rPr>
      </w:pPr>
      <w:r w:rsidRPr="00C94F08">
        <w:rPr>
          <w:rFonts w:cstheme="minorHAnsi"/>
        </w:rPr>
        <w:t xml:space="preserve">MPO stanovilo, že podpora z </w:t>
      </w:r>
      <w:r w:rsidR="00280890">
        <w:rPr>
          <w:rFonts w:cstheme="minorHAnsi"/>
        </w:rPr>
        <w:t>p</w:t>
      </w:r>
      <w:r w:rsidRPr="00C94F08">
        <w:rPr>
          <w:rFonts w:cstheme="minorHAnsi"/>
        </w:rPr>
        <w:t xml:space="preserve">rogramu 222 230 je určena na projekty výstavby, rozvoje podnikatelských nemovitostí a regenerace nemovitostí (tzv. brownfieldů), včetně příslušné infrastruktury. Podporovány mohly být tedy </w:t>
      </w:r>
      <w:r w:rsidRPr="006D41D4">
        <w:rPr>
          <w:rFonts w:cstheme="minorHAnsi"/>
          <w:b/>
        </w:rPr>
        <w:t>nejen nemovitosti typu brownfield</w:t>
      </w:r>
      <w:r w:rsidRPr="00E435F9">
        <w:rPr>
          <w:rFonts w:cstheme="minorHAnsi"/>
          <w:b/>
        </w:rPr>
        <w:t>,</w:t>
      </w:r>
      <w:r w:rsidRPr="00C94F08">
        <w:rPr>
          <w:rFonts w:cstheme="minorHAnsi"/>
        </w:rPr>
        <w:t xml:space="preserve"> ale i</w:t>
      </w:r>
      <w:r w:rsidR="000C7943">
        <w:rPr>
          <w:rFonts w:cstheme="minorHAnsi"/>
        </w:rPr>
        <w:t> </w:t>
      </w:r>
      <w:r w:rsidRPr="00C94F08">
        <w:rPr>
          <w:rFonts w:cstheme="minorHAnsi"/>
        </w:rPr>
        <w:t xml:space="preserve">výstavba a rozvoj </w:t>
      </w:r>
      <w:r w:rsidRPr="006D41D4">
        <w:rPr>
          <w:rFonts w:cstheme="minorHAnsi"/>
          <w:b/>
        </w:rPr>
        <w:t>nemovitostí na zelené louce</w:t>
      </w:r>
      <w:r w:rsidRPr="00E435F9">
        <w:rPr>
          <w:rFonts w:cstheme="minorHAnsi"/>
          <w:b/>
        </w:rPr>
        <w:t>.</w:t>
      </w:r>
      <w:r>
        <w:rPr>
          <w:rFonts w:cstheme="minorHAnsi"/>
        </w:rPr>
        <w:t xml:space="preserve"> </w:t>
      </w:r>
      <w:r w:rsidR="00085681">
        <w:rPr>
          <w:rFonts w:cstheme="minorHAnsi"/>
        </w:rPr>
        <w:t>P</w:t>
      </w:r>
      <w:r w:rsidR="00085681" w:rsidRPr="002D2298">
        <w:rPr>
          <w:rFonts w:cstheme="minorHAnsi"/>
        </w:rPr>
        <w:t xml:space="preserve">odporu z </w:t>
      </w:r>
      <w:r w:rsidR="00280890">
        <w:rPr>
          <w:rFonts w:cstheme="minorHAnsi"/>
        </w:rPr>
        <w:t>p</w:t>
      </w:r>
      <w:r w:rsidR="00085681" w:rsidRPr="002D2298">
        <w:rPr>
          <w:rFonts w:cstheme="minorHAnsi"/>
        </w:rPr>
        <w:t>rogramu 222 230 poskytuje MPO od roku 2005 a tento program byl schválen v době strategického zaměření státu na</w:t>
      </w:r>
      <w:r w:rsidR="00476FC7">
        <w:rPr>
          <w:rFonts w:cstheme="minorHAnsi"/>
        </w:rPr>
        <w:t> </w:t>
      </w:r>
      <w:r w:rsidR="00085681" w:rsidRPr="002D2298">
        <w:rPr>
          <w:rFonts w:cstheme="minorHAnsi"/>
        </w:rPr>
        <w:t>podporu velkých průmyslových zón na zelené louce.</w:t>
      </w:r>
      <w:r w:rsidR="00085681">
        <w:rPr>
          <w:rFonts w:cstheme="minorHAnsi"/>
        </w:rPr>
        <w:t xml:space="preserve"> </w:t>
      </w:r>
      <w:r w:rsidRPr="002D2298">
        <w:rPr>
          <w:rFonts w:cstheme="minorHAnsi"/>
        </w:rPr>
        <w:t xml:space="preserve">U </w:t>
      </w:r>
      <w:r w:rsidR="00280890">
        <w:rPr>
          <w:rFonts w:cstheme="minorHAnsi"/>
        </w:rPr>
        <w:t>p</w:t>
      </w:r>
      <w:r w:rsidRPr="002D2298">
        <w:rPr>
          <w:rFonts w:cstheme="minorHAnsi"/>
        </w:rPr>
        <w:t xml:space="preserve">rogramu 222 230 MPO projekty regenerací brownfieldů </w:t>
      </w:r>
      <w:r>
        <w:rPr>
          <w:rFonts w:cstheme="minorHAnsi"/>
        </w:rPr>
        <w:t>nijak nepreferovalo</w:t>
      </w:r>
      <w:r w:rsidRPr="002D2298">
        <w:rPr>
          <w:rFonts w:cstheme="minorHAnsi"/>
        </w:rPr>
        <w:t xml:space="preserve"> a většina podpořených projektů byla na zelené </w:t>
      </w:r>
      <w:r w:rsidRPr="002D2298">
        <w:rPr>
          <w:rFonts w:cstheme="minorHAnsi"/>
        </w:rPr>
        <w:lastRenderedPageBreak/>
        <w:t xml:space="preserve">louce. </w:t>
      </w:r>
      <w:r w:rsidR="002F7EE7">
        <w:rPr>
          <w:rFonts w:cstheme="minorHAnsi"/>
        </w:rPr>
        <w:t xml:space="preserve">Vláda v roce 2020 schválila návrh MPO, že v tomto programu už nebude realizovat žádné nové projekty a bude pouze dofinancovávat realizaci nedokončených podpořených projektů. </w:t>
      </w:r>
    </w:p>
    <w:p w14:paraId="37FB45E2" w14:textId="5B08B80C" w:rsidR="006F115D" w:rsidRPr="00C94F08" w:rsidRDefault="006F115D" w:rsidP="006F115D">
      <w:pPr>
        <w:pStyle w:val="Odstavecseseznamem"/>
        <w:spacing w:before="120" w:after="120"/>
        <w:ind w:left="0"/>
        <w:contextualSpacing w:val="0"/>
        <w:rPr>
          <w:rFonts w:cstheme="minorHAnsi"/>
        </w:rPr>
      </w:pPr>
      <w:r w:rsidRPr="002D2298">
        <w:rPr>
          <w:rFonts w:cstheme="minorHAnsi"/>
        </w:rPr>
        <w:t xml:space="preserve">V kontrolovaném období MPO podpořilo v rámci </w:t>
      </w:r>
      <w:r w:rsidR="00280890">
        <w:rPr>
          <w:rFonts w:cstheme="minorHAnsi"/>
        </w:rPr>
        <w:t>p</w:t>
      </w:r>
      <w:r w:rsidRPr="002D2298">
        <w:rPr>
          <w:rFonts w:cstheme="minorHAnsi"/>
        </w:rPr>
        <w:t>rogramu 222 230 čtyři akce, které se týkaly území typu brownfield</w:t>
      </w:r>
      <w:r w:rsidR="002D086B">
        <w:rPr>
          <w:rFonts w:cstheme="minorHAnsi"/>
        </w:rPr>
        <w:t>,</w:t>
      </w:r>
      <w:r w:rsidR="001A5305">
        <w:rPr>
          <w:rFonts w:cstheme="minorHAnsi"/>
        </w:rPr>
        <w:t xml:space="preserve"> a poskytlo na ně </w:t>
      </w:r>
      <w:r>
        <w:rPr>
          <w:rFonts w:cstheme="minorHAnsi"/>
        </w:rPr>
        <w:t xml:space="preserve">částku </w:t>
      </w:r>
      <w:r w:rsidR="006E3647">
        <w:rPr>
          <w:rFonts w:cstheme="minorHAnsi"/>
        </w:rPr>
        <w:t xml:space="preserve">celkem </w:t>
      </w:r>
      <w:r>
        <w:rPr>
          <w:rFonts w:cstheme="minorHAnsi"/>
        </w:rPr>
        <w:t>256 mil. Kč.</w:t>
      </w:r>
      <w:r w:rsidRPr="002D2298">
        <w:rPr>
          <w:rFonts w:cstheme="minorHAnsi"/>
        </w:rPr>
        <w:t xml:space="preserve"> Všechny čtyři akce měly stejného příjemce a </w:t>
      </w:r>
      <w:r w:rsidR="000823D0">
        <w:rPr>
          <w:rFonts w:cstheme="minorHAnsi"/>
        </w:rPr>
        <w:t xml:space="preserve">byly </w:t>
      </w:r>
      <w:r w:rsidR="00C6063D">
        <w:rPr>
          <w:rFonts w:cstheme="minorHAnsi"/>
        </w:rPr>
        <w:t>zaměř</w:t>
      </w:r>
      <w:r w:rsidR="000823D0">
        <w:rPr>
          <w:rFonts w:cstheme="minorHAnsi"/>
        </w:rPr>
        <w:t>eny</w:t>
      </w:r>
      <w:r w:rsidR="00C6063D">
        <w:rPr>
          <w:rFonts w:cstheme="minorHAnsi"/>
        </w:rPr>
        <w:t xml:space="preserve"> na rozvoj</w:t>
      </w:r>
      <w:r w:rsidRPr="002D2298">
        <w:rPr>
          <w:rFonts w:cstheme="minorHAnsi"/>
        </w:rPr>
        <w:t xml:space="preserve"> již stávající průmyslové zóny </w:t>
      </w:r>
      <w:r w:rsidRPr="00E435F9">
        <w:rPr>
          <w:rFonts w:cstheme="minorHAnsi"/>
          <w:i/>
        </w:rPr>
        <w:t>Triangle</w:t>
      </w:r>
      <w:r w:rsidRPr="002D2298">
        <w:rPr>
          <w:rFonts w:cstheme="minorHAnsi"/>
        </w:rPr>
        <w:t xml:space="preserve">, která </w:t>
      </w:r>
      <w:r w:rsidR="000823D0">
        <w:rPr>
          <w:rFonts w:cstheme="minorHAnsi"/>
        </w:rPr>
        <w:t>byla vybudována</w:t>
      </w:r>
      <w:r w:rsidRPr="002D2298">
        <w:rPr>
          <w:rFonts w:cstheme="minorHAnsi"/>
        </w:rPr>
        <w:t xml:space="preserve"> na území typu brownfield a jejíž vznik byl v</w:t>
      </w:r>
      <w:r w:rsidR="000823D0">
        <w:rPr>
          <w:rFonts w:cstheme="minorHAnsi"/>
        </w:rPr>
        <w:t> </w:t>
      </w:r>
      <w:r w:rsidRPr="002D2298">
        <w:rPr>
          <w:rFonts w:cstheme="minorHAnsi"/>
        </w:rPr>
        <w:t>minulosti také podpořen z</w:t>
      </w:r>
      <w:r w:rsidR="00E12CA4">
        <w:rPr>
          <w:rFonts w:cstheme="minorHAnsi"/>
        </w:rPr>
        <w:t> </w:t>
      </w:r>
      <w:r w:rsidR="00AE04AA">
        <w:rPr>
          <w:rFonts w:cstheme="minorHAnsi"/>
        </w:rPr>
        <w:t>p</w:t>
      </w:r>
      <w:r w:rsidRPr="002D2298">
        <w:rPr>
          <w:rFonts w:cstheme="minorHAnsi"/>
        </w:rPr>
        <w:t>rogramu</w:t>
      </w:r>
      <w:r w:rsidR="00E12CA4">
        <w:rPr>
          <w:rFonts w:cstheme="minorHAnsi"/>
        </w:rPr>
        <w:t> </w:t>
      </w:r>
      <w:r w:rsidRPr="002D2298">
        <w:rPr>
          <w:rFonts w:cstheme="minorHAnsi"/>
        </w:rPr>
        <w:t>222</w:t>
      </w:r>
      <w:r w:rsidR="00F73A8A">
        <w:rPr>
          <w:rFonts w:cstheme="minorHAnsi"/>
        </w:rPr>
        <w:t> </w:t>
      </w:r>
      <w:r w:rsidRPr="002D2298">
        <w:rPr>
          <w:rFonts w:cstheme="minorHAnsi"/>
        </w:rPr>
        <w:t>230. Realizací těchto čtyř akcí t</w:t>
      </w:r>
      <w:r w:rsidR="00AE04AA">
        <w:rPr>
          <w:rFonts w:cstheme="minorHAnsi"/>
        </w:rPr>
        <w:t>udíž</w:t>
      </w:r>
      <w:r w:rsidRPr="002D2298">
        <w:rPr>
          <w:rFonts w:cstheme="minorHAnsi"/>
        </w:rPr>
        <w:t xml:space="preserve"> nebyla regenerována žádná nová lokalita typu brownfield.</w:t>
      </w:r>
      <w:r>
        <w:rPr>
          <w:rFonts w:cstheme="minorHAnsi"/>
        </w:rPr>
        <w:t xml:space="preserve"> MPO tedy v letech 2018 až 2023 </w:t>
      </w:r>
      <w:r w:rsidRPr="006D41D4">
        <w:rPr>
          <w:rFonts w:cstheme="minorHAnsi"/>
          <w:b/>
        </w:rPr>
        <w:t>nepodpořilo</w:t>
      </w:r>
      <w:r w:rsidR="008C7C16" w:rsidRPr="006D41D4">
        <w:rPr>
          <w:rFonts w:cstheme="minorHAnsi"/>
          <w:b/>
        </w:rPr>
        <w:t xml:space="preserve"> z</w:t>
      </w:r>
      <w:r w:rsidR="00476FC7" w:rsidRPr="006D41D4">
        <w:rPr>
          <w:rFonts w:cstheme="minorHAnsi"/>
          <w:b/>
        </w:rPr>
        <w:t> </w:t>
      </w:r>
      <w:r w:rsidR="008C7C16" w:rsidRPr="006D41D4">
        <w:rPr>
          <w:rFonts w:cstheme="minorHAnsi"/>
          <w:b/>
        </w:rPr>
        <w:t>programu</w:t>
      </w:r>
      <w:r w:rsidRPr="006D41D4">
        <w:rPr>
          <w:rFonts w:cstheme="minorHAnsi"/>
          <w:b/>
        </w:rPr>
        <w:t xml:space="preserve"> žádný projekt, kterým by se snížil počet brownfieldů</w:t>
      </w:r>
      <w:r w:rsidR="008055A9">
        <w:rPr>
          <w:rFonts w:cstheme="minorHAnsi"/>
          <w:b/>
        </w:rPr>
        <w:t>.</w:t>
      </w:r>
    </w:p>
    <w:p w14:paraId="2AAC7E55" w14:textId="70C7F5E0" w:rsidR="00DA0DF4" w:rsidRDefault="006F115D" w:rsidP="006F115D">
      <w:pPr>
        <w:pStyle w:val="Default"/>
        <w:spacing w:after="120"/>
        <w:jc w:val="both"/>
        <w:rPr>
          <w:rFonts w:asciiTheme="minorHAnsi" w:hAnsiTheme="minorHAnsi" w:cstheme="minorHAnsi"/>
        </w:rPr>
      </w:pPr>
      <w:r>
        <w:rPr>
          <w:rFonts w:asciiTheme="minorHAnsi" w:hAnsiTheme="minorHAnsi" w:cstheme="minorHAnsi"/>
        </w:rPr>
        <w:t xml:space="preserve">Program 222 230 byl mimo jiné předmětem kontroly </w:t>
      </w:r>
      <w:r w:rsidR="00AE04AA">
        <w:rPr>
          <w:rFonts w:asciiTheme="minorHAnsi" w:hAnsiTheme="minorHAnsi" w:cstheme="minorHAnsi"/>
        </w:rPr>
        <w:t>v</w:t>
      </w:r>
      <w:r>
        <w:rPr>
          <w:rFonts w:asciiTheme="minorHAnsi" w:hAnsiTheme="minorHAnsi" w:cstheme="minorHAnsi"/>
        </w:rPr>
        <w:t xml:space="preserve"> kontrolní akc</w:t>
      </w:r>
      <w:r w:rsidR="00AE04AA">
        <w:rPr>
          <w:rFonts w:asciiTheme="minorHAnsi" w:hAnsiTheme="minorHAnsi" w:cstheme="minorHAnsi"/>
        </w:rPr>
        <w:t>i</w:t>
      </w:r>
      <w:r>
        <w:rPr>
          <w:rFonts w:asciiTheme="minorHAnsi" w:hAnsiTheme="minorHAnsi" w:cstheme="minorHAnsi"/>
        </w:rPr>
        <w:t xml:space="preserve"> NKÚ č. 18/01</w:t>
      </w:r>
      <w:r>
        <w:rPr>
          <w:rStyle w:val="Znakapoznpodarou"/>
          <w:rFonts w:asciiTheme="minorHAnsi" w:eastAsiaTheme="majorEastAsia" w:hAnsiTheme="minorHAnsi" w:cstheme="minorHAnsi"/>
        </w:rPr>
        <w:footnoteReference w:id="20"/>
      </w:r>
      <w:r>
        <w:rPr>
          <w:rFonts w:asciiTheme="minorHAnsi" w:hAnsiTheme="minorHAnsi" w:cstheme="minorHAnsi"/>
        </w:rPr>
        <w:t>. MPO v návaznosti na nedostatky zjištěné kontrolou přijalo tři opatření</w:t>
      </w:r>
      <w:r>
        <w:rPr>
          <w:rStyle w:val="Znakapoznpodarou"/>
          <w:rFonts w:asciiTheme="minorHAnsi" w:eastAsiaTheme="majorEastAsia" w:hAnsiTheme="minorHAnsi" w:cstheme="minorHAnsi"/>
        </w:rPr>
        <w:footnoteReference w:id="21"/>
      </w:r>
      <w:r>
        <w:rPr>
          <w:rFonts w:asciiTheme="minorHAnsi" w:hAnsiTheme="minorHAnsi" w:cstheme="minorHAnsi"/>
        </w:rPr>
        <w:t xml:space="preserve">, z nichž se jedno přímo týkalo </w:t>
      </w:r>
      <w:r w:rsidR="00AE04AA">
        <w:rPr>
          <w:rFonts w:asciiTheme="minorHAnsi" w:hAnsiTheme="minorHAnsi" w:cstheme="minorHAnsi"/>
        </w:rPr>
        <w:t>p</w:t>
      </w:r>
      <w:r>
        <w:rPr>
          <w:rFonts w:asciiTheme="minorHAnsi" w:hAnsiTheme="minorHAnsi" w:cstheme="minorHAnsi"/>
        </w:rPr>
        <w:t xml:space="preserve">rogramu 222 230. </w:t>
      </w:r>
      <w:r w:rsidR="008C7C16">
        <w:rPr>
          <w:rFonts w:asciiTheme="minorHAnsi" w:hAnsiTheme="minorHAnsi" w:cstheme="minorHAnsi"/>
        </w:rPr>
        <w:t xml:space="preserve">Podle tohoto opatření mělo MPO </w:t>
      </w:r>
      <w:r>
        <w:rPr>
          <w:rFonts w:asciiTheme="minorHAnsi" w:hAnsiTheme="minorHAnsi" w:cstheme="minorHAnsi"/>
        </w:rPr>
        <w:t xml:space="preserve">po ukončení </w:t>
      </w:r>
      <w:r w:rsidR="00AE04AA">
        <w:rPr>
          <w:rFonts w:asciiTheme="minorHAnsi" w:hAnsiTheme="minorHAnsi" w:cstheme="minorHAnsi"/>
        </w:rPr>
        <w:t>p</w:t>
      </w:r>
      <w:r>
        <w:rPr>
          <w:rFonts w:asciiTheme="minorHAnsi" w:hAnsiTheme="minorHAnsi" w:cstheme="minorHAnsi"/>
        </w:rPr>
        <w:t xml:space="preserve">rogramu 222 230 zpracovat podrobnou studii, která </w:t>
      </w:r>
      <w:r w:rsidR="00AE04AA">
        <w:rPr>
          <w:rFonts w:asciiTheme="minorHAnsi" w:hAnsiTheme="minorHAnsi" w:cstheme="minorHAnsi"/>
        </w:rPr>
        <w:t xml:space="preserve">by </w:t>
      </w:r>
      <w:r>
        <w:rPr>
          <w:rFonts w:asciiTheme="minorHAnsi" w:hAnsiTheme="minorHAnsi" w:cstheme="minorHAnsi"/>
        </w:rPr>
        <w:t>komplexně vyhodnot</w:t>
      </w:r>
      <w:r w:rsidR="00AE04AA">
        <w:rPr>
          <w:rFonts w:asciiTheme="minorHAnsi" w:hAnsiTheme="minorHAnsi" w:cstheme="minorHAnsi"/>
        </w:rPr>
        <w:t>ila</w:t>
      </w:r>
      <w:r>
        <w:rPr>
          <w:rFonts w:asciiTheme="minorHAnsi" w:hAnsiTheme="minorHAnsi" w:cstheme="minorHAnsi"/>
        </w:rPr>
        <w:t xml:space="preserve"> celospolečenské dopady podpory průmyslových zón. Termín pro splnění tohoto opatření byl stanoven do 31.</w:t>
      </w:r>
      <w:r w:rsidR="00AE04AA">
        <w:rPr>
          <w:rFonts w:asciiTheme="minorHAnsi" w:hAnsiTheme="minorHAnsi" w:cstheme="minorHAnsi"/>
        </w:rPr>
        <w:t> </w:t>
      </w:r>
      <w:r>
        <w:rPr>
          <w:rFonts w:asciiTheme="minorHAnsi" w:hAnsiTheme="minorHAnsi" w:cstheme="minorHAnsi"/>
        </w:rPr>
        <w:t>prosince 2021.</w:t>
      </w:r>
      <w:r w:rsidR="00F63369">
        <w:rPr>
          <w:rFonts w:asciiTheme="minorHAnsi" w:hAnsiTheme="minorHAnsi" w:cstheme="minorHAnsi"/>
        </w:rPr>
        <w:t xml:space="preserve"> </w:t>
      </w:r>
      <w:r w:rsidR="002D086B">
        <w:rPr>
          <w:rFonts w:asciiTheme="minorHAnsi" w:hAnsiTheme="minorHAnsi" w:cstheme="minorHAnsi"/>
        </w:rPr>
        <w:t>Z důvodu nedokončení některých podpořených projektů požádalo MPO v</w:t>
      </w:r>
      <w:r w:rsidR="00AE04AA">
        <w:rPr>
          <w:rFonts w:asciiTheme="minorHAnsi" w:hAnsiTheme="minorHAnsi" w:cstheme="minorHAnsi"/>
        </w:rPr>
        <w:t> </w:t>
      </w:r>
      <w:r w:rsidR="00124A87">
        <w:rPr>
          <w:rFonts w:asciiTheme="minorHAnsi" w:hAnsiTheme="minorHAnsi" w:cstheme="minorHAnsi"/>
        </w:rPr>
        <w:t>roce 2022 vládu o</w:t>
      </w:r>
      <w:r w:rsidR="002D086B">
        <w:rPr>
          <w:rFonts w:asciiTheme="minorHAnsi" w:hAnsiTheme="minorHAnsi" w:cstheme="minorHAnsi"/>
        </w:rPr>
        <w:t> </w:t>
      </w:r>
      <w:r w:rsidR="00124A87">
        <w:rPr>
          <w:rFonts w:asciiTheme="minorHAnsi" w:hAnsiTheme="minorHAnsi" w:cstheme="minorHAnsi"/>
        </w:rPr>
        <w:t>p</w:t>
      </w:r>
      <w:r w:rsidR="00124A87" w:rsidRPr="00D87285">
        <w:rPr>
          <w:rFonts w:asciiTheme="minorHAnsi" w:hAnsiTheme="minorHAnsi" w:cstheme="minorHAnsi"/>
        </w:rPr>
        <w:t xml:space="preserve">rodloužení termínu realizace </w:t>
      </w:r>
      <w:r w:rsidR="00747BA9">
        <w:rPr>
          <w:rFonts w:asciiTheme="minorHAnsi" w:hAnsiTheme="minorHAnsi" w:cstheme="minorHAnsi"/>
        </w:rPr>
        <w:t>p</w:t>
      </w:r>
      <w:r w:rsidR="00124A87" w:rsidRPr="00D87285">
        <w:rPr>
          <w:rFonts w:asciiTheme="minorHAnsi" w:hAnsiTheme="minorHAnsi" w:cstheme="minorHAnsi"/>
        </w:rPr>
        <w:t>rogramu</w:t>
      </w:r>
      <w:r w:rsidR="00124A87">
        <w:rPr>
          <w:rFonts w:asciiTheme="minorHAnsi" w:hAnsiTheme="minorHAnsi" w:cstheme="minorHAnsi"/>
        </w:rPr>
        <w:t xml:space="preserve"> 222 230</w:t>
      </w:r>
      <w:r w:rsidR="00124A87" w:rsidRPr="00D87285">
        <w:rPr>
          <w:rFonts w:asciiTheme="minorHAnsi" w:hAnsiTheme="minorHAnsi" w:cstheme="minorHAnsi"/>
        </w:rPr>
        <w:t xml:space="preserve"> do</w:t>
      </w:r>
      <w:r w:rsidR="00124A87">
        <w:rPr>
          <w:rFonts w:asciiTheme="minorHAnsi" w:hAnsiTheme="minorHAnsi" w:cstheme="minorHAnsi"/>
        </w:rPr>
        <w:t> </w:t>
      </w:r>
      <w:r w:rsidR="00124A87" w:rsidRPr="00D87285">
        <w:rPr>
          <w:rFonts w:asciiTheme="minorHAnsi" w:hAnsiTheme="minorHAnsi" w:cstheme="minorHAnsi"/>
        </w:rPr>
        <w:t>31.</w:t>
      </w:r>
      <w:r w:rsidR="002D6D61">
        <w:rPr>
          <w:rFonts w:asciiTheme="minorHAnsi" w:hAnsiTheme="minorHAnsi" w:cstheme="minorHAnsi"/>
        </w:rPr>
        <w:t> </w:t>
      </w:r>
      <w:r w:rsidR="00124A87" w:rsidRPr="00D87285">
        <w:rPr>
          <w:rFonts w:asciiTheme="minorHAnsi" w:hAnsiTheme="minorHAnsi" w:cstheme="minorHAnsi"/>
        </w:rPr>
        <w:t>prosince 2025</w:t>
      </w:r>
      <w:r w:rsidR="00124A87">
        <w:rPr>
          <w:rFonts w:asciiTheme="minorHAnsi" w:hAnsiTheme="minorHAnsi" w:cstheme="minorHAnsi"/>
        </w:rPr>
        <w:t>.</w:t>
      </w:r>
      <w:r w:rsidR="008055A9">
        <w:rPr>
          <w:rFonts w:asciiTheme="minorHAnsi" w:hAnsiTheme="minorHAnsi" w:cstheme="minorHAnsi"/>
        </w:rPr>
        <w:t xml:space="preserve"> </w:t>
      </w:r>
      <w:r w:rsidR="00124A87">
        <w:rPr>
          <w:rFonts w:asciiTheme="minorHAnsi" w:hAnsiTheme="minorHAnsi" w:cstheme="minorHAnsi"/>
        </w:rPr>
        <w:t>Vláda</w:t>
      </w:r>
      <w:r w:rsidR="008055A9">
        <w:rPr>
          <w:rFonts w:asciiTheme="minorHAnsi" w:hAnsiTheme="minorHAnsi" w:cstheme="minorHAnsi"/>
        </w:rPr>
        <w:t xml:space="preserve"> </w:t>
      </w:r>
      <w:r w:rsidR="00124A87">
        <w:rPr>
          <w:rFonts w:asciiTheme="minorHAnsi" w:hAnsiTheme="minorHAnsi" w:cstheme="minorHAnsi"/>
        </w:rPr>
        <w:t xml:space="preserve">žádosti MPO vyhověla. </w:t>
      </w:r>
      <w:r w:rsidR="00FB71A8" w:rsidRPr="00FB71A8">
        <w:rPr>
          <w:rFonts w:asciiTheme="minorHAnsi" w:hAnsiTheme="minorHAnsi" w:cstheme="minorHAnsi"/>
        </w:rPr>
        <w:t>S ohledem na výše uvedené skutečnosti splnění opatření NKÚ neověřoval.</w:t>
      </w:r>
    </w:p>
    <w:p w14:paraId="7B6A3544" w14:textId="04CCB911" w:rsidR="006F115D" w:rsidRDefault="006F115D" w:rsidP="001A47EC">
      <w:pPr>
        <w:pStyle w:val="Nadpis4"/>
        <w:spacing w:before="360" w:after="240"/>
        <w:ind w:left="425" w:hanging="425"/>
        <w:jc w:val="left"/>
      </w:pPr>
      <w:r>
        <w:t>Program</w:t>
      </w:r>
      <w:r w:rsidRPr="003162B1">
        <w:t xml:space="preserve"> 122D20</w:t>
      </w:r>
      <w:r w:rsidR="00747BA9">
        <w:t xml:space="preserve"> –</w:t>
      </w:r>
      <w:r>
        <w:t xml:space="preserve"> </w:t>
      </w:r>
      <w:r w:rsidRPr="00E435F9">
        <w:rPr>
          <w:i/>
        </w:rPr>
        <w:t xml:space="preserve">Smart </w:t>
      </w:r>
      <w:proofErr w:type="spellStart"/>
      <w:r w:rsidRPr="00E435F9">
        <w:rPr>
          <w:i/>
        </w:rPr>
        <w:t>Parks</w:t>
      </w:r>
      <w:proofErr w:type="spellEnd"/>
      <w:r w:rsidRPr="00E435F9">
        <w:rPr>
          <w:i/>
        </w:rPr>
        <w:t xml:space="preserve"> </w:t>
      </w:r>
      <w:proofErr w:type="spellStart"/>
      <w:r w:rsidRPr="00E435F9">
        <w:rPr>
          <w:i/>
        </w:rPr>
        <w:t>For</w:t>
      </w:r>
      <w:proofErr w:type="spellEnd"/>
      <w:r w:rsidRPr="00E435F9">
        <w:rPr>
          <w:i/>
        </w:rPr>
        <w:t xml:space="preserve"> </w:t>
      </w:r>
      <w:proofErr w:type="spellStart"/>
      <w:r w:rsidRPr="00E435F9">
        <w:rPr>
          <w:i/>
        </w:rPr>
        <w:t>The</w:t>
      </w:r>
      <w:proofErr w:type="spellEnd"/>
      <w:r w:rsidRPr="00E435F9">
        <w:rPr>
          <w:i/>
        </w:rPr>
        <w:t xml:space="preserve"> </w:t>
      </w:r>
      <w:proofErr w:type="spellStart"/>
      <w:r w:rsidRPr="00E435F9">
        <w:rPr>
          <w:i/>
        </w:rPr>
        <w:t>Future</w:t>
      </w:r>
      <w:proofErr w:type="spellEnd"/>
      <w:r w:rsidRPr="003162B1">
        <w:t xml:space="preserve"> nepřispěl ke snížení počtu </w:t>
      </w:r>
      <w:proofErr w:type="spellStart"/>
      <w:r w:rsidRPr="003162B1">
        <w:t>brownfieldů</w:t>
      </w:r>
      <w:proofErr w:type="spellEnd"/>
      <w:r w:rsidRPr="003162B1">
        <w:t xml:space="preserve"> </w:t>
      </w:r>
    </w:p>
    <w:p w14:paraId="1C4DCA18" w14:textId="20BB5A9B" w:rsidR="00590F30" w:rsidRDefault="00223CAA" w:rsidP="00590F30">
      <w:pPr>
        <w:pStyle w:val="Odstavecseseznamem"/>
        <w:spacing w:after="120"/>
        <w:ind w:left="0"/>
        <w:contextualSpacing w:val="0"/>
      </w:pPr>
      <w:r w:rsidRPr="00A37392">
        <w:t xml:space="preserve">Program </w:t>
      </w:r>
      <w:r w:rsidR="00124A87" w:rsidRPr="003162B1">
        <w:t>122D20</w:t>
      </w:r>
      <w:r w:rsidR="00747BA9">
        <w:t xml:space="preserve"> –</w:t>
      </w:r>
      <w:r w:rsidR="00124A87">
        <w:t xml:space="preserve"> </w:t>
      </w:r>
      <w:r w:rsidR="00124A87" w:rsidRPr="00E435F9">
        <w:rPr>
          <w:i/>
        </w:rPr>
        <w:t xml:space="preserve">Smart </w:t>
      </w:r>
      <w:proofErr w:type="spellStart"/>
      <w:r w:rsidR="00124A87" w:rsidRPr="00E435F9">
        <w:rPr>
          <w:i/>
        </w:rPr>
        <w:t>Parks</w:t>
      </w:r>
      <w:proofErr w:type="spellEnd"/>
      <w:r w:rsidR="00124A87" w:rsidRPr="00E435F9">
        <w:rPr>
          <w:i/>
        </w:rPr>
        <w:t xml:space="preserve"> </w:t>
      </w:r>
      <w:proofErr w:type="spellStart"/>
      <w:r w:rsidR="00124A87" w:rsidRPr="00E435F9">
        <w:rPr>
          <w:i/>
        </w:rPr>
        <w:t>For</w:t>
      </w:r>
      <w:proofErr w:type="spellEnd"/>
      <w:r w:rsidR="00124A87" w:rsidRPr="00E435F9">
        <w:rPr>
          <w:i/>
        </w:rPr>
        <w:t xml:space="preserve"> </w:t>
      </w:r>
      <w:proofErr w:type="spellStart"/>
      <w:r w:rsidR="00124A87" w:rsidRPr="00E435F9">
        <w:rPr>
          <w:i/>
        </w:rPr>
        <w:t>The</w:t>
      </w:r>
      <w:proofErr w:type="spellEnd"/>
      <w:r w:rsidR="00124A87" w:rsidRPr="00E435F9">
        <w:rPr>
          <w:i/>
        </w:rPr>
        <w:t xml:space="preserve"> </w:t>
      </w:r>
      <w:proofErr w:type="spellStart"/>
      <w:r w:rsidR="00124A87" w:rsidRPr="00E435F9">
        <w:rPr>
          <w:i/>
        </w:rPr>
        <w:t>Future</w:t>
      </w:r>
      <w:proofErr w:type="spellEnd"/>
      <w:r w:rsidR="00124A87" w:rsidRPr="003162B1">
        <w:t xml:space="preserve"> </w:t>
      </w:r>
      <w:r w:rsidRPr="00673883">
        <w:t xml:space="preserve">je zaměřen na rozvoj stávajících průmyslových zón ve smyslu zkvalitnění infrastruktury včetně opatření pro snížení negativních klimatických dopadů, regeneraci lokalit brownfieldů a na přípravu podnikatelských parků s menší rozlohou </w:t>
      </w:r>
      <w:r w:rsidR="008C7C16">
        <w:t xml:space="preserve">výlučně </w:t>
      </w:r>
      <w:r w:rsidRPr="00673883">
        <w:t xml:space="preserve">v místech, kde převažuje celospolečenský význam pro jejich realizaci. </w:t>
      </w:r>
      <w:r w:rsidR="00590F30">
        <w:t>Původní alokovaná částka ve výši 2 600 mil. Kč byla v roce 2021 snížena na 2 540 mil. Kč.</w:t>
      </w:r>
    </w:p>
    <w:p w14:paraId="380910E8" w14:textId="48B08FCE" w:rsidR="00223CAA" w:rsidRDefault="00223CAA" w:rsidP="00FB71A8">
      <w:pPr>
        <w:pStyle w:val="Odstavecseseznamem"/>
        <w:spacing w:after="120"/>
        <w:ind w:left="0"/>
        <w:contextualSpacing w:val="0"/>
      </w:pPr>
      <w:r w:rsidRPr="00817D3D">
        <w:t xml:space="preserve">MPO při schválení </w:t>
      </w:r>
      <w:r w:rsidR="00747BA9">
        <w:t>p</w:t>
      </w:r>
      <w:r w:rsidRPr="00817D3D">
        <w:t>rogramu</w:t>
      </w:r>
      <w:r w:rsidR="00590F30">
        <w:t xml:space="preserve"> 122D20 v roce 2020</w:t>
      </w:r>
      <w:r w:rsidRPr="00817D3D">
        <w:t xml:space="preserve"> plánovalo, že podpoří celkem 100 projektů s celkovou rozlohou 1</w:t>
      </w:r>
      <w:r>
        <w:t xml:space="preserve"> </w:t>
      </w:r>
      <w:r w:rsidRPr="00817D3D">
        <w:t>000 ha, z toho bude 40 projektů s celkovou rozlohou 200 ha v</w:t>
      </w:r>
      <w:r w:rsidR="000C7943">
        <w:t> </w:t>
      </w:r>
      <w:r w:rsidRPr="00817D3D">
        <w:t>lokalitách typu brownfield. O získání podpory ale nebyl mezi obcemi a kraji zájem</w:t>
      </w:r>
      <w:r w:rsidR="00590F30">
        <w:t xml:space="preserve">, což MPO v průběhu kontroly zdůvodnilo pandemií </w:t>
      </w:r>
      <w:r w:rsidR="00747BA9">
        <w:t>c</w:t>
      </w:r>
      <w:r w:rsidR="00590F30">
        <w:t>ovid</w:t>
      </w:r>
      <w:r w:rsidR="00747BA9">
        <w:t>u</w:t>
      </w:r>
      <w:r w:rsidR="00590F30">
        <w:t xml:space="preserve">-19, ruskou invazí na Ukrajinu, energetickou krizí a vysokou inflací. </w:t>
      </w:r>
      <w:r w:rsidRPr="00817D3D">
        <w:t xml:space="preserve">MPO od roku 2020 do konce roku 2023 </w:t>
      </w:r>
      <w:r w:rsidR="00FB71A8">
        <w:t xml:space="preserve">finančně </w:t>
      </w:r>
      <w:r w:rsidR="00FB71A8" w:rsidRPr="00FF63BB">
        <w:rPr>
          <w:b/>
        </w:rPr>
        <w:t>nepodpořilo žádný projekt regenerace brownfieldů</w:t>
      </w:r>
      <w:r w:rsidR="00FB71A8" w:rsidRPr="00E435F9">
        <w:rPr>
          <w:b/>
        </w:rPr>
        <w:t>.</w:t>
      </w:r>
      <w:r w:rsidR="00FB71A8">
        <w:t xml:space="preserve"> </w:t>
      </w:r>
      <w:r w:rsidRPr="00673883">
        <w:t>Dle NKÚ existuje riziko, že u</w:t>
      </w:r>
      <w:r w:rsidR="000C7943">
        <w:t> </w:t>
      </w:r>
      <w:r w:rsidR="00747BA9">
        <w:t>p</w:t>
      </w:r>
      <w:r w:rsidRPr="00673883">
        <w:t xml:space="preserve">rogramu 122D20 </w:t>
      </w:r>
      <w:r>
        <w:t xml:space="preserve">k termínu ukončení </w:t>
      </w:r>
      <w:r w:rsidR="00747BA9">
        <w:t xml:space="preserve">jeho </w:t>
      </w:r>
      <w:r>
        <w:t>realizace</w:t>
      </w:r>
      <w:r w:rsidRPr="00673883">
        <w:t xml:space="preserve"> </w:t>
      </w:r>
      <w:r w:rsidR="009B2C1A" w:rsidRPr="00673883">
        <w:t xml:space="preserve">MPO </w:t>
      </w:r>
      <w:r w:rsidRPr="00673883">
        <w:t>nedosáhne cílových hodnot parametrů pro oblast brownfieldů.</w:t>
      </w:r>
    </w:p>
    <w:p w14:paraId="67B906A3" w14:textId="123038AE" w:rsidR="00B3596F" w:rsidRPr="00202FC3" w:rsidRDefault="00202FC3" w:rsidP="001A47EC">
      <w:pPr>
        <w:pStyle w:val="Nadpis4"/>
        <w:spacing w:before="360" w:after="240"/>
        <w:ind w:left="425" w:hanging="425"/>
        <w:jc w:val="left"/>
        <w:rPr>
          <w:rFonts w:cstheme="minorHAnsi"/>
          <w:color w:val="000000"/>
        </w:rPr>
      </w:pPr>
      <w:r>
        <w:rPr>
          <w:rFonts w:cstheme="minorHAnsi"/>
          <w:color w:val="000000"/>
        </w:rPr>
        <w:t xml:space="preserve">Cíle </w:t>
      </w:r>
      <w:r w:rsidR="009B2C1A">
        <w:rPr>
          <w:rFonts w:cstheme="minorHAnsi"/>
          <w:color w:val="000000"/>
        </w:rPr>
        <w:t>p</w:t>
      </w:r>
      <w:r w:rsidR="006F115D" w:rsidRPr="003162B1">
        <w:rPr>
          <w:rFonts w:cstheme="minorHAnsi"/>
          <w:color w:val="000000"/>
        </w:rPr>
        <w:t>rogram</w:t>
      </w:r>
      <w:r>
        <w:rPr>
          <w:rFonts w:cstheme="minorHAnsi"/>
          <w:color w:val="000000"/>
        </w:rPr>
        <w:t>u</w:t>
      </w:r>
      <w:r w:rsidR="006F115D" w:rsidRPr="003162B1">
        <w:rPr>
          <w:rFonts w:cstheme="minorHAnsi"/>
          <w:color w:val="000000"/>
        </w:rPr>
        <w:t xml:space="preserve"> 122D21 </w:t>
      </w:r>
      <w:r>
        <w:rPr>
          <w:rFonts w:cstheme="minorHAnsi"/>
          <w:color w:val="000000"/>
        </w:rPr>
        <w:t xml:space="preserve">MPO pravděpodobně naplní, protože jejich </w:t>
      </w:r>
      <w:r w:rsidR="00BF0C3A">
        <w:rPr>
          <w:rFonts w:cstheme="minorHAnsi"/>
          <w:color w:val="000000"/>
        </w:rPr>
        <w:t xml:space="preserve">původně plánované </w:t>
      </w:r>
      <w:r>
        <w:rPr>
          <w:rFonts w:cstheme="minorHAnsi"/>
          <w:color w:val="000000"/>
        </w:rPr>
        <w:t>hodnoty výrazně snížilo</w:t>
      </w:r>
    </w:p>
    <w:p w14:paraId="1A2EDF9E" w14:textId="65F9F365" w:rsidR="005B6F40" w:rsidRPr="00EA2DD0" w:rsidRDefault="005B6F40" w:rsidP="006D5510">
      <w:pPr>
        <w:pStyle w:val="Odstavecseseznamem"/>
        <w:spacing w:after="120"/>
        <w:ind w:left="0"/>
        <w:contextualSpacing w:val="0"/>
      </w:pPr>
      <w:r w:rsidRPr="00EA2DD0">
        <w:t>Program 122D21</w:t>
      </w:r>
      <w:r w:rsidRPr="00E435F9">
        <w:t xml:space="preserve"> </w:t>
      </w:r>
      <w:r w:rsidRPr="00EA2DD0">
        <w:t>je zaměřen na revitalizace a oživení zastaralých a nevyužívaných areálů a</w:t>
      </w:r>
      <w:r w:rsidR="000C7943">
        <w:t> </w:t>
      </w:r>
      <w:r w:rsidRPr="00EA2DD0">
        <w:t xml:space="preserve">jejich přeměnu na průmyslové plochy do 10 ha a objekty pro průmysl a podnikání na území strukturálně postižených krajů (Moravskoslezský, Ústecký a Karlovarský) a hospodářsky </w:t>
      </w:r>
      <w:r w:rsidRPr="00EA2DD0">
        <w:lastRenderedPageBreak/>
        <w:t xml:space="preserve">problémových regionů. MPO v rámci </w:t>
      </w:r>
      <w:r w:rsidR="000F49B6">
        <w:t>p</w:t>
      </w:r>
      <w:r w:rsidRPr="00EA2DD0">
        <w:t>rogramu 122D21</w:t>
      </w:r>
      <w:r w:rsidR="001A5305">
        <w:t xml:space="preserve"> </w:t>
      </w:r>
      <w:r w:rsidRPr="00EA2DD0">
        <w:t>stanovilo, že nemůže být podpoře</w:t>
      </w:r>
      <w:r>
        <w:t>na nemovitost</w:t>
      </w:r>
      <w:r w:rsidRPr="00EA2DD0">
        <w:t xml:space="preserve">, </w:t>
      </w:r>
      <w:r>
        <w:t>k</w:t>
      </w:r>
      <w:r w:rsidRPr="00EA2DD0">
        <w:t>ter</w:t>
      </w:r>
      <w:r>
        <w:t>á</w:t>
      </w:r>
      <w:r w:rsidRPr="00EA2DD0">
        <w:t xml:space="preserve"> by nebyl</w:t>
      </w:r>
      <w:r>
        <w:t>a</w:t>
      </w:r>
      <w:r w:rsidRPr="00EA2DD0">
        <w:t xml:space="preserve"> zaregistrován</w:t>
      </w:r>
      <w:r w:rsidR="000F49B6">
        <w:t>a</w:t>
      </w:r>
      <w:r w:rsidRPr="00EA2DD0">
        <w:t xml:space="preserve"> do </w:t>
      </w:r>
      <w:r w:rsidRPr="00E435F9">
        <w:rPr>
          <w:i/>
        </w:rPr>
        <w:t>Národní databáz</w:t>
      </w:r>
      <w:r w:rsidR="000F49B6">
        <w:rPr>
          <w:i/>
        </w:rPr>
        <w:t>e</w:t>
      </w:r>
      <w:r w:rsidRPr="00E435F9">
        <w:rPr>
          <w:i/>
        </w:rPr>
        <w:t xml:space="preserve"> </w:t>
      </w:r>
      <w:proofErr w:type="spellStart"/>
      <w:r w:rsidRPr="00E435F9">
        <w:rPr>
          <w:i/>
        </w:rPr>
        <w:t>brownfieldů</w:t>
      </w:r>
      <w:proofErr w:type="spellEnd"/>
      <w:r w:rsidR="000F49B6">
        <w:t>,</w:t>
      </w:r>
      <w:r w:rsidR="008C7C16">
        <w:t xml:space="preserve"> a</w:t>
      </w:r>
      <w:r w:rsidR="00476FC7">
        <w:t> </w:t>
      </w:r>
      <w:r w:rsidRPr="00FF63BB">
        <w:rPr>
          <w:b/>
        </w:rPr>
        <w:t xml:space="preserve">neumožnilo </w:t>
      </w:r>
      <w:r w:rsidR="008C7C16" w:rsidRPr="00FF63BB">
        <w:rPr>
          <w:b/>
        </w:rPr>
        <w:t xml:space="preserve">tak </w:t>
      </w:r>
      <w:r w:rsidRPr="00FF63BB">
        <w:rPr>
          <w:b/>
        </w:rPr>
        <w:t>podporu projektů na zelené louce</w:t>
      </w:r>
      <w:r w:rsidRPr="00E435F9">
        <w:rPr>
          <w:b/>
        </w:rPr>
        <w:t>.</w:t>
      </w:r>
      <w:r>
        <w:t xml:space="preserve"> </w:t>
      </w:r>
      <w:r w:rsidR="008C7C16">
        <w:t xml:space="preserve">V době schválení programu v roce </w:t>
      </w:r>
      <w:r>
        <w:t>2016 MPO předpokládalo, že celkem podpoří 30 projektů brownfieldů částkou 2 000 mil. Kč.</w:t>
      </w:r>
    </w:p>
    <w:p w14:paraId="69B3476C" w14:textId="40FB6673" w:rsidR="005B6F40" w:rsidRDefault="005B6F40" w:rsidP="005B6F40">
      <w:pPr>
        <w:pStyle w:val="Odstavecseseznamem"/>
        <w:ind w:left="0"/>
      </w:pPr>
      <w:r w:rsidRPr="00764DC5">
        <w:t xml:space="preserve">Program 122D21 byl </w:t>
      </w:r>
      <w:r w:rsidR="00832D1F">
        <w:t xml:space="preserve">do doby ukončení kontroly pětkrát </w:t>
      </w:r>
      <w:r w:rsidRPr="00764DC5">
        <w:t>aktualizován</w:t>
      </w:r>
      <w:r w:rsidR="00832D1F">
        <w:t xml:space="preserve">. Aktualizací v roce 2018 a zejména v roce 2021 provedlo MPO </w:t>
      </w:r>
      <w:r w:rsidR="00832D1F" w:rsidRPr="00FF63BB">
        <w:rPr>
          <w:b/>
        </w:rPr>
        <w:t>zásadní změny</w:t>
      </w:r>
      <w:r w:rsidR="00832D1F">
        <w:t xml:space="preserve"> v oblasti termínu, parametrů, indikátorů a financí</w:t>
      </w:r>
      <w:r w:rsidRPr="00764DC5">
        <w:t xml:space="preserve"> (</w:t>
      </w:r>
      <w:r w:rsidR="003F6B64">
        <w:t>viz t</w:t>
      </w:r>
      <w:r w:rsidRPr="001C029A">
        <w:t xml:space="preserve">abulka č. </w:t>
      </w:r>
      <w:r w:rsidR="006D5510" w:rsidRPr="001C029A">
        <w:t>3</w:t>
      </w:r>
      <w:r w:rsidRPr="001C029A">
        <w:t>)</w:t>
      </w:r>
      <w:r w:rsidR="00873338">
        <w:t>, které MPO zdůvodnilo například změnami na trhu práce (nízkou nezaměstnaností) nebo prodloužením doby realizace projektů</w:t>
      </w:r>
      <w:r w:rsidR="008055A9">
        <w:t>.</w:t>
      </w:r>
    </w:p>
    <w:p w14:paraId="191C4C2D" w14:textId="1E8A11D2" w:rsidR="005B6F40" w:rsidRPr="001A47EC" w:rsidRDefault="005B6F40" w:rsidP="001A47EC">
      <w:pPr>
        <w:spacing w:before="120" w:after="40"/>
        <w:rPr>
          <w:rFonts w:cstheme="minorHAnsi"/>
          <w:b/>
        </w:rPr>
      </w:pPr>
      <w:r w:rsidRPr="001A47EC">
        <w:rPr>
          <w:rFonts w:cstheme="minorHAnsi"/>
          <w:b/>
        </w:rPr>
        <w:t xml:space="preserve">Tabulka č. </w:t>
      </w:r>
      <w:r w:rsidR="006D5510" w:rsidRPr="001A47EC">
        <w:rPr>
          <w:rFonts w:cstheme="minorHAnsi"/>
          <w:b/>
        </w:rPr>
        <w:t>3</w:t>
      </w:r>
      <w:r w:rsidRPr="001A47EC">
        <w:rPr>
          <w:rFonts w:cstheme="minorHAnsi"/>
          <w:b/>
        </w:rPr>
        <w:t xml:space="preserve">: Změny termínů, parametrů, indikátorů a financí </w:t>
      </w:r>
    </w:p>
    <w:tbl>
      <w:tblPr>
        <w:tblStyle w:val="Mkatabulky"/>
        <w:tblW w:w="897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10"/>
        <w:gridCol w:w="4311"/>
        <w:gridCol w:w="1843"/>
        <w:gridCol w:w="1507"/>
      </w:tblGrid>
      <w:tr w:rsidR="005B6F40" w:rsidRPr="001A47EC" w14:paraId="614A8373" w14:textId="77777777" w:rsidTr="00BA1990">
        <w:trPr>
          <w:trHeight w:val="283"/>
          <w:jc w:val="center"/>
        </w:trPr>
        <w:tc>
          <w:tcPr>
            <w:tcW w:w="5621" w:type="dxa"/>
            <w:gridSpan w:val="2"/>
            <w:shd w:val="clear" w:color="auto" w:fill="E6E6E6"/>
            <w:vAlign w:val="center"/>
          </w:tcPr>
          <w:p w14:paraId="6DA31DB5" w14:textId="77777777" w:rsidR="005B6F40" w:rsidRPr="001A47EC" w:rsidRDefault="005B6F40" w:rsidP="001A47EC">
            <w:pPr>
              <w:jc w:val="center"/>
              <w:rPr>
                <w:b/>
                <w:sz w:val="20"/>
                <w:szCs w:val="20"/>
              </w:rPr>
            </w:pPr>
            <w:r w:rsidRPr="001A47EC">
              <w:rPr>
                <w:b/>
                <w:sz w:val="20"/>
                <w:szCs w:val="20"/>
              </w:rPr>
              <w:t>Název</w:t>
            </w:r>
          </w:p>
        </w:tc>
        <w:tc>
          <w:tcPr>
            <w:tcW w:w="1843" w:type="dxa"/>
            <w:shd w:val="clear" w:color="auto" w:fill="E6E6E6"/>
            <w:vAlign w:val="center"/>
          </w:tcPr>
          <w:p w14:paraId="25B78DE9" w14:textId="77777777" w:rsidR="005B6F40" w:rsidRPr="001A47EC" w:rsidRDefault="005B6F40" w:rsidP="001A47EC">
            <w:pPr>
              <w:jc w:val="center"/>
              <w:rPr>
                <w:b/>
                <w:sz w:val="20"/>
                <w:szCs w:val="20"/>
              </w:rPr>
            </w:pPr>
            <w:r w:rsidRPr="001A47EC">
              <w:rPr>
                <w:b/>
                <w:sz w:val="20"/>
                <w:szCs w:val="20"/>
              </w:rPr>
              <w:t>Hodnota v roce 2016</w:t>
            </w:r>
          </w:p>
        </w:tc>
        <w:tc>
          <w:tcPr>
            <w:tcW w:w="1507" w:type="dxa"/>
            <w:shd w:val="clear" w:color="auto" w:fill="E6E6E6"/>
            <w:vAlign w:val="center"/>
          </w:tcPr>
          <w:p w14:paraId="0DCBDF84" w14:textId="77777777" w:rsidR="005B6F40" w:rsidRPr="001A47EC" w:rsidRDefault="005B6F40" w:rsidP="001A47EC">
            <w:pPr>
              <w:jc w:val="center"/>
              <w:rPr>
                <w:b/>
                <w:sz w:val="20"/>
                <w:szCs w:val="20"/>
              </w:rPr>
            </w:pPr>
            <w:r w:rsidRPr="001A47EC">
              <w:rPr>
                <w:b/>
                <w:sz w:val="20"/>
                <w:szCs w:val="20"/>
              </w:rPr>
              <w:t>Změna v roce 2021</w:t>
            </w:r>
          </w:p>
        </w:tc>
      </w:tr>
      <w:tr w:rsidR="005B6F40" w:rsidRPr="001A47EC" w14:paraId="7725C3DE" w14:textId="77777777" w:rsidTr="00BA1990">
        <w:trPr>
          <w:trHeight w:val="283"/>
          <w:jc w:val="center"/>
        </w:trPr>
        <w:tc>
          <w:tcPr>
            <w:tcW w:w="1310" w:type="dxa"/>
            <w:vAlign w:val="center"/>
          </w:tcPr>
          <w:p w14:paraId="02A1AAF9" w14:textId="77777777" w:rsidR="005B6F40" w:rsidRPr="001A47EC" w:rsidRDefault="005B6F40" w:rsidP="001A47EC">
            <w:pPr>
              <w:jc w:val="left"/>
              <w:rPr>
                <w:rFonts w:eastAsiaTheme="minorHAnsi"/>
                <w:b/>
                <w:sz w:val="20"/>
                <w:szCs w:val="20"/>
              </w:rPr>
            </w:pPr>
            <w:r w:rsidRPr="001A47EC">
              <w:rPr>
                <w:rFonts w:eastAsiaTheme="minorHAnsi"/>
                <w:b/>
                <w:sz w:val="20"/>
                <w:szCs w:val="20"/>
              </w:rPr>
              <w:t>Termín</w:t>
            </w:r>
          </w:p>
        </w:tc>
        <w:tc>
          <w:tcPr>
            <w:tcW w:w="4311" w:type="dxa"/>
            <w:vAlign w:val="center"/>
          </w:tcPr>
          <w:p w14:paraId="0F28BDEB" w14:textId="07960DD1" w:rsidR="005B6F40" w:rsidRPr="001A47EC" w:rsidRDefault="005B6F40" w:rsidP="001A47EC">
            <w:pPr>
              <w:jc w:val="left"/>
              <w:rPr>
                <w:rFonts w:eastAsiaTheme="minorHAnsi"/>
                <w:sz w:val="20"/>
                <w:szCs w:val="20"/>
              </w:rPr>
            </w:pPr>
            <w:r w:rsidRPr="001A47EC">
              <w:rPr>
                <w:rFonts w:eastAsiaTheme="minorHAnsi"/>
                <w:sz w:val="20"/>
                <w:szCs w:val="20"/>
              </w:rPr>
              <w:t xml:space="preserve">Ukončení realizace </w:t>
            </w:r>
            <w:r w:rsidR="003F6B64">
              <w:rPr>
                <w:rFonts w:eastAsiaTheme="minorHAnsi"/>
                <w:sz w:val="20"/>
                <w:szCs w:val="20"/>
              </w:rPr>
              <w:t>p</w:t>
            </w:r>
            <w:r w:rsidRPr="001A47EC">
              <w:rPr>
                <w:rFonts w:eastAsiaTheme="minorHAnsi"/>
                <w:sz w:val="20"/>
                <w:szCs w:val="20"/>
              </w:rPr>
              <w:t>rogramu 122D21</w:t>
            </w:r>
          </w:p>
        </w:tc>
        <w:tc>
          <w:tcPr>
            <w:tcW w:w="1843" w:type="dxa"/>
            <w:vAlign w:val="center"/>
          </w:tcPr>
          <w:p w14:paraId="290AA157" w14:textId="77777777" w:rsidR="005B6F40" w:rsidRPr="001A47EC" w:rsidRDefault="005B6F40" w:rsidP="001A47EC">
            <w:pPr>
              <w:jc w:val="center"/>
              <w:rPr>
                <w:rFonts w:eastAsiaTheme="minorHAnsi"/>
                <w:sz w:val="20"/>
                <w:szCs w:val="20"/>
              </w:rPr>
            </w:pPr>
            <w:r w:rsidRPr="001A47EC">
              <w:rPr>
                <w:rFonts w:eastAsiaTheme="minorHAnsi"/>
                <w:sz w:val="20"/>
                <w:szCs w:val="20"/>
              </w:rPr>
              <w:t>31. 12. 2023</w:t>
            </w:r>
          </w:p>
        </w:tc>
        <w:tc>
          <w:tcPr>
            <w:tcW w:w="1507" w:type="dxa"/>
            <w:vAlign w:val="center"/>
          </w:tcPr>
          <w:p w14:paraId="17DC3D3B" w14:textId="77777777" w:rsidR="005B6F40" w:rsidRPr="001A47EC" w:rsidRDefault="005B6F40" w:rsidP="001A47EC">
            <w:pPr>
              <w:jc w:val="center"/>
              <w:rPr>
                <w:rFonts w:eastAsiaTheme="minorHAnsi"/>
                <w:sz w:val="20"/>
                <w:szCs w:val="20"/>
              </w:rPr>
            </w:pPr>
            <w:r w:rsidRPr="001A47EC">
              <w:rPr>
                <w:rFonts w:eastAsiaTheme="minorHAnsi"/>
                <w:sz w:val="20"/>
                <w:szCs w:val="20"/>
              </w:rPr>
              <w:t>31. 12. 2025</w:t>
            </w:r>
          </w:p>
        </w:tc>
      </w:tr>
      <w:tr w:rsidR="005B6F40" w:rsidRPr="001A47EC" w14:paraId="7B6904E0" w14:textId="77777777" w:rsidTr="00BA1990">
        <w:trPr>
          <w:trHeight w:val="283"/>
          <w:jc w:val="center"/>
        </w:trPr>
        <w:tc>
          <w:tcPr>
            <w:tcW w:w="1310" w:type="dxa"/>
            <w:vMerge w:val="restart"/>
            <w:vAlign w:val="center"/>
          </w:tcPr>
          <w:p w14:paraId="7ED807C4" w14:textId="77777777" w:rsidR="005B6F40" w:rsidRPr="001A47EC" w:rsidRDefault="005B6F40" w:rsidP="001A47EC">
            <w:pPr>
              <w:jc w:val="left"/>
              <w:rPr>
                <w:rFonts w:eastAsiaTheme="minorHAnsi"/>
                <w:b/>
                <w:sz w:val="20"/>
                <w:szCs w:val="20"/>
              </w:rPr>
            </w:pPr>
            <w:r w:rsidRPr="001A47EC">
              <w:rPr>
                <w:rFonts w:eastAsiaTheme="minorHAnsi"/>
                <w:b/>
                <w:sz w:val="20"/>
                <w:szCs w:val="20"/>
              </w:rPr>
              <w:t>Parametr</w:t>
            </w:r>
          </w:p>
        </w:tc>
        <w:tc>
          <w:tcPr>
            <w:tcW w:w="4311" w:type="dxa"/>
            <w:vAlign w:val="center"/>
          </w:tcPr>
          <w:p w14:paraId="40AEEE9A" w14:textId="77777777" w:rsidR="005B6F40" w:rsidRPr="001A47EC" w:rsidRDefault="005B6F40" w:rsidP="001A47EC">
            <w:pPr>
              <w:jc w:val="left"/>
              <w:rPr>
                <w:rFonts w:eastAsiaTheme="minorHAnsi"/>
                <w:sz w:val="20"/>
                <w:szCs w:val="20"/>
              </w:rPr>
            </w:pPr>
            <w:r w:rsidRPr="001A47EC">
              <w:rPr>
                <w:rFonts w:eastAsiaTheme="minorHAnsi"/>
                <w:sz w:val="20"/>
                <w:szCs w:val="20"/>
              </w:rPr>
              <w:t>Celková velikost podpořeného území</w:t>
            </w:r>
          </w:p>
        </w:tc>
        <w:tc>
          <w:tcPr>
            <w:tcW w:w="1843" w:type="dxa"/>
            <w:vAlign w:val="center"/>
          </w:tcPr>
          <w:p w14:paraId="1204624A" w14:textId="77777777" w:rsidR="005B6F40" w:rsidRPr="001A47EC" w:rsidRDefault="005B6F40" w:rsidP="001A47EC">
            <w:pPr>
              <w:jc w:val="center"/>
              <w:rPr>
                <w:rFonts w:eastAsiaTheme="minorHAnsi"/>
                <w:sz w:val="20"/>
                <w:szCs w:val="20"/>
              </w:rPr>
            </w:pPr>
            <w:r w:rsidRPr="001A47EC">
              <w:rPr>
                <w:rFonts w:eastAsiaTheme="minorHAnsi"/>
                <w:sz w:val="20"/>
                <w:szCs w:val="20"/>
              </w:rPr>
              <w:t>90 ha</w:t>
            </w:r>
          </w:p>
        </w:tc>
        <w:tc>
          <w:tcPr>
            <w:tcW w:w="1507" w:type="dxa"/>
            <w:vAlign w:val="center"/>
          </w:tcPr>
          <w:p w14:paraId="4D3B6A47" w14:textId="77777777" w:rsidR="005B6F40" w:rsidRPr="001A47EC" w:rsidRDefault="005B6F40" w:rsidP="001A47EC">
            <w:pPr>
              <w:jc w:val="center"/>
              <w:rPr>
                <w:rFonts w:eastAsiaTheme="minorHAnsi"/>
                <w:sz w:val="20"/>
                <w:szCs w:val="20"/>
              </w:rPr>
            </w:pPr>
            <w:r w:rsidRPr="001A47EC">
              <w:rPr>
                <w:rFonts w:eastAsiaTheme="minorHAnsi"/>
                <w:sz w:val="20"/>
                <w:szCs w:val="20"/>
              </w:rPr>
              <w:t>15 ha</w:t>
            </w:r>
          </w:p>
        </w:tc>
      </w:tr>
      <w:tr w:rsidR="005B6F40" w:rsidRPr="001A47EC" w14:paraId="675DE181" w14:textId="77777777" w:rsidTr="00BA1990">
        <w:trPr>
          <w:trHeight w:val="283"/>
          <w:jc w:val="center"/>
        </w:trPr>
        <w:tc>
          <w:tcPr>
            <w:tcW w:w="1310" w:type="dxa"/>
            <w:vMerge/>
            <w:vAlign w:val="center"/>
          </w:tcPr>
          <w:p w14:paraId="06ECF279" w14:textId="77777777" w:rsidR="005B6F40" w:rsidRPr="001A47EC" w:rsidRDefault="005B6F40" w:rsidP="001A47EC">
            <w:pPr>
              <w:jc w:val="left"/>
              <w:rPr>
                <w:rFonts w:eastAsiaTheme="minorHAnsi"/>
                <w:b/>
                <w:sz w:val="20"/>
                <w:szCs w:val="20"/>
              </w:rPr>
            </w:pPr>
          </w:p>
        </w:tc>
        <w:tc>
          <w:tcPr>
            <w:tcW w:w="4311" w:type="dxa"/>
            <w:vAlign w:val="center"/>
          </w:tcPr>
          <w:p w14:paraId="4B1ED16A" w14:textId="77777777" w:rsidR="005B6F40" w:rsidRPr="001A47EC" w:rsidRDefault="005B6F40" w:rsidP="001A47EC">
            <w:pPr>
              <w:jc w:val="left"/>
              <w:rPr>
                <w:rFonts w:eastAsiaTheme="minorHAnsi"/>
                <w:sz w:val="20"/>
                <w:szCs w:val="20"/>
              </w:rPr>
            </w:pPr>
            <w:r w:rsidRPr="001A47EC">
              <w:rPr>
                <w:rFonts w:eastAsiaTheme="minorHAnsi"/>
                <w:sz w:val="20"/>
                <w:szCs w:val="20"/>
              </w:rPr>
              <w:t>Celková velikost rekonstruovaných podnikatelských objektů</w:t>
            </w:r>
          </w:p>
        </w:tc>
        <w:tc>
          <w:tcPr>
            <w:tcW w:w="1843" w:type="dxa"/>
            <w:vAlign w:val="center"/>
          </w:tcPr>
          <w:p w14:paraId="7854B7F4" w14:textId="77777777" w:rsidR="005B6F40" w:rsidRPr="001A47EC" w:rsidRDefault="005B6F40" w:rsidP="001A47EC">
            <w:pPr>
              <w:jc w:val="center"/>
              <w:rPr>
                <w:rFonts w:eastAsiaTheme="minorHAnsi"/>
                <w:sz w:val="20"/>
                <w:szCs w:val="20"/>
              </w:rPr>
            </w:pPr>
            <w:r w:rsidRPr="001A47EC">
              <w:rPr>
                <w:rFonts w:eastAsiaTheme="minorHAnsi"/>
                <w:sz w:val="20"/>
                <w:szCs w:val="20"/>
              </w:rPr>
              <w:t>12 200 m</w:t>
            </w:r>
            <w:r w:rsidRPr="001A47EC">
              <w:rPr>
                <w:rFonts w:eastAsiaTheme="minorHAnsi"/>
                <w:sz w:val="20"/>
                <w:szCs w:val="20"/>
                <w:vertAlign w:val="superscript"/>
              </w:rPr>
              <w:t>3</w:t>
            </w:r>
          </w:p>
        </w:tc>
        <w:tc>
          <w:tcPr>
            <w:tcW w:w="1507" w:type="dxa"/>
            <w:vAlign w:val="center"/>
          </w:tcPr>
          <w:p w14:paraId="652213C9" w14:textId="77777777" w:rsidR="005B6F40" w:rsidRPr="001A47EC" w:rsidRDefault="005B6F40" w:rsidP="001A47EC">
            <w:pPr>
              <w:jc w:val="center"/>
              <w:rPr>
                <w:rFonts w:eastAsiaTheme="minorHAnsi"/>
                <w:sz w:val="20"/>
                <w:szCs w:val="20"/>
              </w:rPr>
            </w:pPr>
            <w:r w:rsidRPr="001A47EC">
              <w:rPr>
                <w:rFonts w:eastAsiaTheme="minorHAnsi"/>
                <w:sz w:val="20"/>
                <w:szCs w:val="20"/>
              </w:rPr>
              <w:t>20 000 m</w:t>
            </w:r>
            <w:r w:rsidRPr="001A47EC">
              <w:rPr>
                <w:rFonts w:eastAsiaTheme="minorHAnsi"/>
                <w:sz w:val="20"/>
                <w:szCs w:val="20"/>
                <w:vertAlign w:val="superscript"/>
              </w:rPr>
              <w:t>3</w:t>
            </w:r>
          </w:p>
        </w:tc>
      </w:tr>
      <w:tr w:rsidR="005B6F40" w:rsidRPr="001A47EC" w14:paraId="3BFB839E" w14:textId="77777777" w:rsidTr="00BA1990">
        <w:trPr>
          <w:trHeight w:val="283"/>
          <w:jc w:val="center"/>
        </w:trPr>
        <w:tc>
          <w:tcPr>
            <w:tcW w:w="1310" w:type="dxa"/>
            <w:vMerge/>
            <w:vAlign w:val="center"/>
          </w:tcPr>
          <w:p w14:paraId="17A109C0" w14:textId="77777777" w:rsidR="005B6F40" w:rsidRPr="001A47EC" w:rsidRDefault="005B6F40" w:rsidP="001A47EC">
            <w:pPr>
              <w:jc w:val="left"/>
              <w:rPr>
                <w:rFonts w:eastAsiaTheme="minorHAnsi"/>
                <w:b/>
                <w:sz w:val="20"/>
                <w:szCs w:val="20"/>
              </w:rPr>
            </w:pPr>
          </w:p>
        </w:tc>
        <w:tc>
          <w:tcPr>
            <w:tcW w:w="4311" w:type="dxa"/>
            <w:vAlign w:val="center"/>
          </w:tcPr>
          <w:p w14:paraId="17FFD635" w14:textId="77777777" w:rsidR="005B6F40" w:rsidRPr="001A47EC" w:rsidRDefault="005B6F40" w:rsidP="001A47EC">
            <w:pPr>
              <w:jc w:val="left"/>
              <w:rPr>
                <w:rFonts w:eastAsiaTheme="minorHAnsi"/>
                <w:sz w:val="20"/>
                <w:szCs w:val="20"/>
              </w:rPr>
            </w:pPr>
            <w:r w:rsidRPr="001A47EC">
              <w:rPr>
                <w:rFonts w:eastAsiaTheme="minorHAnsi"/>
                <w:sz w:val="20"/>
                <w:szCs w:val="20"/>
              </w:rPr>
              <w:t>Množství provedených terénních úprav</w:t>
            </w:r>
          </w:p>
        </w:tc>
        <w:tc>
          <w:tcPr>
            <w:tcW w:w="1843" w:type="dxa"/>
            <w:vAlign w:val="center"/>
          </w:tcPr>
          <w:p w14:paraId="4CC95F5B" w14:textId="77777777" w:rsidR="005B6F40" w:rsidRPr="001A47EC" w:rsidRDefault="005B6F40" w:rsidP="001A47EC">
            <w:pPr>
              <w:jc w:val="center"/>
              <w:rPr>
                <w:rFonts w:eastAsiaTheme="minorHAnsi"/>
                <w:sz w:val="20"/>
                <w:szCs w:val="20"/>
              </w:rPr>
            </w:pPr>
            <w:r w:rsidRPr="001A47EC">
              <w:rPr>
                <w:rFonts w:eastAsiaTheme="minorHAnsi"/>
                <w:sz w:val="20"/>
                <w:szCs w:val="20"/>
              </w:rPr>
              <w:t>20 000 m</w:t>
            </w:r>
            <w:r w:rsidRPr="001A47EC">
              <w:rPr>
                <w:rFonts w:eastAsiaTheme="minorHAnsi"/>
                <w:sz w:val="20"/>
                <w:szCs w:val="20"/>
                <w:vertAlign w:val="superscript"/>
              </w:rPr>
              <w:t>3</w:t>
            </w:r>
          </w:p>
        </w:tc>
        <w:tc>
          <w:tcPr>
            <w:tcW w:w="1507" w:type="dxa"/>
            <w:vAlign w:val="center"/>
          </w:tcPr>
          <w:p w14:paraId="645C176C" w14:textId="77777777" w:rsidR="005B6F40" w:rsidRPr="001A47EC" w:rsidRDefault="005B6F40" w:rsidP="001A47EC">
            <w:pPr>
              <w:jc w:val="center"/>
              <w:rPr>
                <w:rFonts w:eastAsiaTheme="minorHAnsi"/>
                <w:sz w:val="20"/>
                <w:szCs w:val="20"/>
              </w:rPr>
            </w:pPr>
            <w:r w:rsidRPr="001A47EC">
              <w:rPr>
                <w:rFonts w:eastAsiaTheme="minorHAnsi"/>
                <w:sz w:val="20"/>
                <w:szCs w:val="20"/>
              </w:rPr>
              <w:t>vypuštěno</w:t>
            </w:r>
          </w:p>
        </w:tc>
      </w:tr>
      <w:tr w:rsidR="005B6F40" w:rsidRPr="001A47EC" w14:paraId="6AAB9634" w14:textId="77777777" w:rsidTr="00BA1990">
        <w:trPr>
          <w:trHeight w:val="283"/>
          <w:jc w:val="center"/>
        </w:trPr>
        <w:tc>
          <w:tcPr>
            <w:tcW w:w="1310" w:type="dxa"/>
            <w:vMerge/>
            <w:vAlign w:val="center"/>
          </w:tcPr>
          <w:p w14:paraId="3AF52821" w14:textId="77777777" w:rsidR="005B6F40" w:rsidRPr="001A47EC" w:rsidRDefault="005B6F40" w:rsidP="001A47EC">
            <w:pPr>
              <w:jc w:val="left"/>
              <w:rPr>
                <w:rFonts w:eastAsiaTheme="minorHAnsi"/>
                <w:b/>
                <w:sz w:val="20"/>
                <w:szCs w:val="20"/>
              </w:rPr>
            </w:pPr>
          </w:p>
        </w:tc>
        <w:tc>
          <w:tcPr>
            <w:tcW w:w="4311" w:type="dxa"/>
            <w:vAlign w:val="center"/>
          </w:tcPr>
          <w:p w14:paraId="6A114AC2" w14:textId="77777777" w:rsidR="005B6F40" w:rsidRPr="001A47EC" w:rsidRDefault="005B6F40" w:rsidP="001A47EC">
            <w:pPr>
              <w:jc w:val="left"/>
              <w:rPr>
                <w:rFonts w:eastAsiaTheme="minorHAnsi"/>
                <w:sz w:val="20"/>
                <w:szCs w:val="20"/>
              </w:rPr>
            </w:pPr>
            <w:r w:rsidRPr="001A47EC">
              <w:rPr>
                <w:rFonts w:eastAsiaTheme="minorHAnsi"/>
                <w:sz w:val="20"/>
                <w:szCs w:val="20"/>
              </w:rPr>
              <w:t>Celková velikost vytvořených zpevněných ploch</w:t>
            </w:r>
          </w:p>
        </w:tc>
        <w:tc>
          <w:tcPr>
            <w:tcW w:w="1843" w:type="dxa"/>
            <w:vAlign w:val="center"/>
          </w:tcPr>
          <w:p w14:paraId="346DED56" w14:textId="77777777" w:rsidR="005B6F40" w:rsidRPr="001A47EC" w:rsidRDefault="005B6F40" w:rsidP="001A47EC">
            <w:pPr>
              <w:jc w:val="center"/>
              <w:rPr>
                <w:rFonts w:eastAsiaTheme="minorHAnsi"/>
                <w:sz w:val="20"/>
                <w:szCs w:val="20"/>
              </w:rPr>
            </w:pPr>
            <w:r w:rsidRPr="001A47EC">
              <w:rPr>
                <w:rFonts w:eastAsiaTheme="minorHAnsi"/>
                <w:sz w:val="20"/>
                <w:szCs w:val="20"/>
              </w:rPr>
              <w:t>20 ha</w:t>
            </w:r>
          </w:p>
        </w:tc>
        <w:tc>
          <w:tcPr>
            <w:tcW w:w="1507" w:type="dxa"/>
            <w:vAlign w:val="center"/>
          </w:tcPr>
          <w:p w14:paraId="7836D58E" w14:textId="77777777" w:rsidR="005B6F40" w:rsidRPr="001A47EC" w:rsidRDefault="005B6F40" w:rsidP="001A47EC">
            <w:pPr>
              <w:jc w:val="center"/>
              <w:rPr>
                <w:rFonts w:eastAsiaTheme="minorHAnsi"/>
                <w:sz w:val="20"/>
                <w:szCs w:val="20"/>
              </w:rPr>
            </w:pPr>
            <w:r w:rsidRPr="001A47EC">
              <w:rPr>
                <w:rFonts w:eastAsiaTheme="minorHAnsi"/>
                <w:sz w:val="20"/>
                <w:szCs w:val="20"/>
              </w:rPr>
              <w:t>5 ha</w:t>
            </w:r>
          </w:p>
        </w:tc>
      </w:tr>
      <w:tr w:rsidR="005B6F40" w:rsidRPr="001A47EC" w14:paraId="15179696" w14:textId="77777777" w:rsidTr="00BA1990">
        <w:trPr>
          <w:trHeight w:val="283"/>
          <w:jc w:val="center"/>
        </w:trPr>
        <w:tc>
          <w:tcPr>
            <w:tcW w:w="1310" w:type="dxa"/>
            <w:vMerge w:val="restart"/>
            <w:vAlign w:val="center"/>
          </w:tcPr>
          <w:p w14:paraId="53AE3F34" w14:textId="77777777" w:rsidR="005B6F40" w:rsidRPr="001A47EC" w:rsidRDefault="005B6F40" w:rsidP="001A47EC">
            <w:pPr>
              <w:jc w:val="left"/>
              <w:rPr>
                <w:rFonts w:eastAsiaTheme="minorHAnsi"/>
                <w:b/>
                <w:sz w:val="20"/>
                <w:szCs w:val="20"/>
              </w:rPr>
            </w:pPr>
            <w:r w:rsidRPr="001A47EC">
              <w:rPr>
                <w:rFonts w:eastAsiaTheme="minorHAnsi"/>
                <w:b/>
                <w:sz w:val="20"/>
                <w:szCs w:val="20"/>
              </w:rPr>
              <w:t>Indikátor</w:t>
            </w:r>
          </w:p>
        </w:tc>
        <w:tc>
          <w:tcPr>
            <w:tcW w:w="4311" w:type="dxa"/>
            <w:vAlign w:val="center"/>
          </w:tcPr>
          <w:p w14:paraId="5EBB8076" w14:textId="77777777" w:rsidR="005B6F40" w:rsidRPr="001A47EC" w:rsidRDefault="005B6F40" w:rsidP="001A47EC">
            <w:pPr>
              <w:jc w:val="left"/>
              <w:rPr>
                <w:rFonts w:eastAsiaTheme="minorHAnsi"/>
                <w:sz w:val="20"/>
                <w:szCs w:val="20"/>
              </w:rPr>
            </w:pPr>
            <w:r w:rsidRPr="001A47EC">
              <w:rPr>
                <w:rFonts w:eastAsiaTheme="minorHAnsi"/>
                <w:sz w:val="20"/>
                <w:szCs w:val="20"/>
              </w:rPr>
              <w:t>Počet vytvořených pracovních míst k 31. 12. 2023</w:t>
            </w:r>
          </w:p>
        </w:tc>
        <w:tc>
          <w:tcPr>
            <w:tcW w:w="1843" w:type="dxa"/>
            <w:vAlign w:val="center"/>
          </w:tcPr>
          <w:p w14:paraId="5A3C0F26" w14:textId="77777777" w:rsidR="005B6F40" w:rsidRPr="001A47EC" w:rsidRDefault="005B6F40" w:rsidP="001A47EC">
            <w:pPr>
              <w:jc w:val="center"/>
              <w:rPr>
                <w:rFonts w:eastAsiaTheme="minorHAnsi"/>
                <w:sz w:val="20"/>
                <w:szCs w:val="20"/>
              </w:rPr>
            </w:pPr>
            <w:r w:rsidRPr="001A47EC">
              <w:rPr>
                <w:rFonts w:eastAsiaTheme="minorHAnsi"/>
                <w:sz w:val="20"/>
                <w:szCs w:val="20"/>
              </w:rPr>
              <w:t>2 000</w:t>
            </w:r>
          </w:p>
        </w:tc>
        <w:tc>
          <w:tcPr>
            <w:tcW w:w="1507" w:type="dxa"/>
            <w:vAlign w:val="center"/>
          </w:tcPr>
          <w:p w14:paraId="4D1E0E4E" w14:textId="77777777" w:rsidR="005B6F40" w:rsidRPr="001A47EC" w:rsidRDefault="005B6F40" w:rsidP="001A47EC">
            <w:pPr>
              <w:jc w:val="center"/>
              <w:rPr>
                <w:rFonts w:eastAsiaTheme="minorHAnsi"/>
                <w:sz w:val="20"/>
                <w:szCs w:val="20"/>
              </w:rPr>
            </w:pPr>
            <w:r w:rsidRPr="001A47EC">
              <w:rPr>
                <w:rFonts w:eastAsiaTheme="minorHAnsi"/>
                <w:sz w:val="20"/>
                <w:szCs w:val="20"/>
              </w:rPr>
              <w:t>vypuštěno už v roce 2018</w:t>
            </w:r>
          </w:p>
        </w:tc>
      </w:tr>
      <w:tr w:rsidR="005B6F40" w:rsidRPr="001A47EC" w14:paraId="5650D6A4" w14:textId="77777777" w:rsidTr="00BA1990">
        <w:trPr>
          <w:trHeight w:val="283"/>
          <w:jc w:val="center"/>
        </w:trPr>
        <w:tc>
          <w:tcPr>
            <w:tcW w:w="1310" w:type="dxa"/>
            <w:vMerge/>
            <w:vAlign w:val="center"/>
          </w:tcPr>
          <w:p w14:paraId="44F8C093" w14:textId="77777777" w:rsidR="005B6F40" w:rsidRPr="001A47EC" w:rsidRDefault="005B6F40" w:rsidP="001A47EC">
            <w:pPr>
              <w:jc w:val="left"/>
              <w:rPr>
                <w:rFonts w:eastAsiaTheme="minorHAnsi"/>
                <w:b/>
                <w:sz w:val="20"/>
                <w:szCs w:val="20"/>
              </w:rPr>
            </w:pPr>
          </w:p>
        </w:tc>
        <w:tc>
          <w:tcPr>
            <w:tcW w:w="4311" w:type="dxa"/>
            <w:vAlign w:val="center"/>
          </w:tcPr>
          <w:p w14:paraId="16009734" w14:textId="77777777" w:rsidR="005B6F40" w:rsidRPr="001A47EC" w:rsidRDefault="005B6F40" w:rsidP="001A47EC">
            <w:pPr>
              <w:jc w:val="left"/>
              <w:rPr>
                <w:rFonts w:eastAsiaTheme="minorHAnsi"/>
                <w:sz w:val="20"/>
                <w:szCs w:val="20"/>
              </w:rPr>
            </w:pPr>
            <w:r w:rsidRPr="001A47EC">
              <w:rPr>
                <w:rFonts w:eastAsiaTheme="minorHAnsi"/>
                <w:sz w:val="20"/>
                <w:szCs w:val="20"/>
              </w:rPr>
              <w:t>Celková výše následných investic realizovaných na podpořených územích a v rekonstruovaných podnikatelských objektech</w:t>
            </w:r>
          </w:p>
        </w:tc>
        <w:tc>
          <w:tcPr>
            <w:tcW w:w="1843" w:type="dxa"/>
            <w:vAlign w:val="center"/>
          </w:tcPr>
          <w:p w14:paraId="2FB56A87" w14:textId="77777777" w:rsidR="005B6F40" w:rsidRPr="001A47EC" w:rsidRDefault="005B6F40" w:rsidP="001A47EC">
            <w:pPr>
              <w:jc w:val="center"/>
              <w:rPr>
                <w:rFonts w:eastAsiaTheme="minorHAnsi"/>
                <w:sz w:val="20"/>
                <w:szCs w:val="20"/>
              </w:rPr>
            </w:pPr>
            <w:r w:rsidRPr="001A47EC">
              <w:rPr>
                <w:rFonts w:eastAsiaTheme="minorHAnsi"/>
                <w:sz w:val="20"/>
                <w:szCs w:val="20"/>
              </w:rPr>
              <w:t>4 mld. Kč</w:t>
            </w:r>
          </w:p>
        </w:tc>
        <w:tc>
          <w:tcPr>
            <w:tcW w:w="1507" w:type="dxa"/>
            <w:vAlign w:val="center"/>
          </w:tcPr>
          <w:p w14:paraId="5DC47F34" w14:textId="77777777" w:rsidR="005B6F40" w:rsidRPr="001A47EC" w:rsidRDefault="005B6F40" w:rsidP="001A47EC">
            <w:pPr>
              <w:jc w:val="center"/>
              <w:rPr>
                <w:rFonts w:eastAsiaTheme="minorHAnsi"/>
                <w:sz w:val="20"/>
                <w:szCs w:val="20"/>
              </w:rPr>
            </w:pPr>
            <w:r w:rsidRPr="001A47EC">
              <w:rPr>
                <w:rFonts w:eastAsiaTheme="minorHAnsi"/>
                <w:sz w:val="20"/>
                <w:szCs w:val="20"/>
              </w:rPr>
              <w:t>vypuštěno</w:t>
            </w:r>
          </w:p>
        </w:tc>
      </w:tr>
      <w:tr w:rsidR="005B6F40" w:rsidRPr="001A47EC" w14:paraId="1C6A3383" w14:textId="77777777" w:rsidTr="00BA1990">
        <w:trPr>
          <w:trHeight w:val="283"/>
          <w:jc w:val="center"/>
        </w:trPr>
        <w:tc>
          <w:tcPr>
            <w:tcW w:w="1310" w:type="dxa"/>
            <w:vMerge/>
            <w:vAlign w:val="center"/>
          </w:tcPr>
          <w:p w14:paraId="764728DE" w14:textId="77777777" w:rsidR="005B6F40" w:rsidRPr="001A47EC" w:rsidRDefault="005B6F40" w:rsidP="001A47EC">
            <w:pPr>
              <w:jc w:val="left"/>
              <w:rPr>
                <w:rFonts w:eastAsiaTheme="minorHAnsi"/>
                <w:b/>
                <w:sz w:val="20"/>
                <w:szCs w:val="20"/>
              </w:rPr>
            </w:pPr>
          </w:p>
        </w:tc>
        <w:tc>
          <w:tcPr>
            <w:tcW w:w="4311" w:type="dxa"/>
            <w:vAlign w:val="center"/>
          </w:tcPr>
          <w:p w14:paraId="22F7BDF1" w14:textId="77777777" w:rsidR="005B6F40" w:rsidRPr="001A47EC" w:rsidRDefault="005B6F40" w:rsidP="001A47EC">
            <w:pPr>
              <w:jc w:val="left"/>
              <w:rPr>
                <w:rFonts w:eastAsiaTheme="minorHAnsi"/>
                <w:sz w:val="20"/>
                <w:szCs w:val="20"/>
              </w:rPr>
            </w:pPr>
            <w:r w:rsidRPr="001A47EC">
              <w:rPr>
                <w:rFonts w:eastAsiaTheme="minorHAnsi"/>
                <w:sz w:val="20"/>
                <w:szCs w:val="20"/>
              </w:rPr>
              <w:t xml:space="preserve">Obsazenost průmyslových ploch a nemovitostí </w:t>
            </w:r>
          </w:p>
        </w:tc>
        <w:tc>
          <w:tcPr>
            <w:tcW w:w="1843" w:type="dxa"/>
            <w:vAlign w:val="center"/>
          </w:tcPr>
          <w:p w14:paraId="153E929B" w14:textId="77777777" w:rsidR="005B6F40" w:rsidRPr="001A47EC" w:rsidRDefault="005B6F40" w:rsidP="001A47EC">
            <w:pPr>
              <w:jc w:val="center"/>
              <w:rPr>
                <w:rFonts w:eastAsiaTheme="minorHAnsi"/>
                <w:sz w:val="20"/>
                <w:szCs w:val="20"/>
              </w:rPr>
            </w:pPr>
            <w:r w:rsidRPr="001A47EC">
              <w:rPr>
                <w:rFonts w:eastAsiaTheme="minorHAnsi"/>
                <w:sz w:val="20"/>
                <w:szCs w:val="20"/>
              </w:rPr>
              <w:t>50 %</w:t>
            </w:r>
          </w:p>
        </w:tc>
        <w:tc>
          <w:tcPr>
            <w:tcW w:w="1507" w:type="dxa"/>
            <w:vAlign w:val="center"/>
          </w:tcPr>
          <w:p w14:paraId="1C8B05CC" w14:textId="77777777" w:rsidR="005B6F40" w:rsidRPr="001A47EC" w:rsidRDefault="005B6F40" w:rsidP="001A47EC">
            <w:pPr>
              <w:jc w:val="center"/>
              <w:rPr>
                <w:rFonts w:eastAsiaTheme="minorHAnsi"/>
                <w:sz w:val="20"/>
                <w:szCs w:val="20"/>
              </w:rPr>
            </w:pPr>
            <w:r w:rsidRPr="001A47EC">
              <w:rPr>
                <w:rFonts w:eastAsiaTheme="minorHAnsi"/>
                <w:sz w:val="20"/>
                <w:szCs w:val="20"/>
              </w:rPr>
              <w:t>25 %</w:t>
            </w:r>
          </w:p>
        </w:tc>
      </w:tr>
      <w:tr w:rsidR="005B6F40" w:rsidRPr="001A47EC" w14:paraId="2E4DE7C2" w14:textId="77777777" w:rsidTr="00BA1990">
        <w:trPr>
          <w:trHeight w:val="283"/>
          <w:jc w:val="center"/>
        </w:trPr>
        <w:tc>
          <w:tcPr>
            <w:tcW w:w="1310" w:type="dxa"/>
            <w:vMerge/>
            <w:vAlign w:val="center"/>
          </w:tcPr>
          <w:p w14:paraId="3146D83F" w14:textId="77777777" w:rsidR="005B6F40" w:rsidRPr="001A47EC" w:rsidRDefault="005B6F40" w:rsidP="001A47EC">
            <w:pPr>
              <w:jc w:val="left"/>
              <w:rPr>
                <w:rFonts w:eastAsiaTheme="minorHAnsi"/>
                <w:b/>
                <w:sz w:val="20"/>
                <w:szCs w:val="20"/>
              </w:rPr>
            </w:pPr>
          </w:p>
        </w:tc>
        <w:tc>
          <w:tcPr>
            <w:tcW w:w="4311" w:type="dxa"/>
            <w:vAlign w:val="center"/>
          </w:tcPr>
          <w:p w14:paraId="05E2B072" w14:textId="77777777" w:rsidR="005B6F40" w:rsidRPr="001A47EC" w:rsidRDefault="005B6F40" w:rsidP="001A47EC">
            <w:pPr>
              <w:jc w:val="left"/>
              <w:rPr>
                <w:rFonts w:eastAsiaTheme="minorHAnsi"/>
                <w:sz w:val="20"/>
                <w:szCs w:val="20"/>
              </w:rPr>
            </w:pPr>
            <w:r w:rsidRPr="001A47EC">
              <w:rPr>
                <w:rFonts w:eastAsiaTheme="minorHAnsi"/>
                <w:sz w:val="20"/>
                <w:szCs w:val="20"/>
              </w:rPr>
              <w:t>Počet podpořených projektů</w:t>
            </w:r>
            <w:r w:rsidRPr="001A47EC">
              <w:rPr>
                <w:rStyle w:val="Znakapoznpodarou"/>
                <w:rFonts w:eastAsiaTheme="minorHAnsi"/>
                <w:sz w:val="20"/>
                <w:szCs w:val="20"/>
              </w:rPr>
              <w:footnoteReference w:id="22"/>
            </w:r>
          </w:p>
        </w:tc>
        <w:tc>
          <w:tcPr>
            <w:tcW w:w="1843" w:type="dxa"/>
            <w:vAlign w:val="center"/>
          </w:tcPr>
          <w:p w14:paraId="6497CACC" w14:textId="77777777" w:rsidR="005B6F40" w:rsidRPr="001A47EC" w:rsidRDefault="005B6F40" w:rsidP="001A47EC">
            <w:pPr>
              <w:jc w:val="center"/>
              <w:rPr>
                <w:rFonts w:eastAsiaTheme="minorHAnsi"/>
                <w:sz w:val="20"/>
                <w:szCs w:val="20"/>
              </w:rPr>
            </w:pPr>
            <w:r w:rsidRPr="001A47EC">
              <w:rPr>
                <w:rFonts w:eastAsiaTheme="minorHAnsi"/>
                <w:sz w:val="20"/>
                <w:szCs w:val="20"/>
              </w:rPr>
              <w:t>30 ks</w:t>
            </w:r>
          </w:p>
        </w:tc>
        <w:tc>
          <w:tcPr>
            <w:tcW w:w="1507" w:type="dxa"/>
            <w:vAlign w:val="center"/>
          </w:tcPr>
          <w:p w14:paraId="2E4BD598" w14:textId="77777777" w:rsidR="005B6F40" w:rsidRPr="001A47EC" w:rsidRDefault="005B6F40" w:rsidP="001A47EC">
            <w:pPr>
              <w:jc w:val="center"/>
              <w:rPr>
                <w:rFonts w:eastAsiaTheme="minorHAnsi"/>
                <w:sz w:val="20"/>
                <w:szCs w:val="20"/>
              </w:rPr>
            </w:pPr>
            <w:r w:rsidRPr="001A47EC">
              <w:rPr>
                <w:rFonts w:eastAsiaTheme="minorHAnsi"/>
                <w:sz w:val="20"/>
                <w:szCs w:val="20"/>
              </w:rPr>
              <w:t>20 ks</w:t>
            </w:r>
          </w:p>
        </w:tc>
      </w:tr>
      <w:tr w:rsidR="005B6F40" w:rsidRPr="001A47EC" w14:paraId="529FF883" w14:textId="77777777" w:rsidTr="00BA1990">
        <w:trPr>
          <w:trHeight w:val="283"/>
          <w:jc w:val="center"/>
        </w:trPr>
        <w:tc>
          <w:tcPr>
            <w:tcW w:w="1310" w:type="dxa"/>
            <w:vAlign w:val="center"/>
          </w:tcPr>
          <w:p w14:paraId="7DC0D883" w14:textId="77777777" w:rsidR="005B6F40" w:rsidRPr="001A47EC" w:rsidRDefault="005B6F40" w:rsidP="001A47EC">
            <w:pPr>
              <w:jc w:val="left"/>
              <w:rPr>
                <w:rFonts w:eastAsiaTheme="minorHAnsi"/>
                <w:b/>
                <w:sz w:val="20"/>
                <w:szCs w:val="20"/>
              </w:rPr>
            </w:pPr>
            <w:r w:rsidRPr="001A47EC">
              <w:rPr>
                <w:rFonts w:eastAsiaTheme="minorHAnsi"/>
                <w:b/>
                <w:sz w:val="20"/>
                <w:szCs w:val="20"/>
              </w:rPr>
              <w:t>Finance</w:t>
            </w:r>
          </w:p>
        </w:tc>
        <w:tc>
          <w:tcPr>
            <w:tcW w:w="4311" w:type="dxa"/>
            <w:vAlign w:val="center"/>
          </w:tcPr>
          <w:p w14:paraId="6A3F0E07" w14:textId="77777777" w:rsidR="005B6F40" w:rsidRPr="001A47EC" w:rsidRDefault="005B6F40" w:rsidP="001A47EC">
            <w:pPr>
              <w:jc w:val="left"/>
              <w:rPr>
                <w:rFonts w:eastAsiaTheme="minorHAnsi"/>
                <w:sz w:val="20"/>
                <w:szCs w:val="20"/>
              </w:rPr>
            </w:pPr>
            <w:r w:rsidRPr="001A47EC">
              <w:rPr>
                <w:rFonts w:eastAsiaTheme="minorHAnsi"/>
                <w:sz w:val="20"/>
                <w:szCs w:val="20"/>
              </w:rPr>
              <w:t>Dotace ze státního rozpočtu</w:t>
            </w:r>
          </w:p>
        </w:tc>
        <w:tc>
          <w:tcPr>
            <w:tcW w:w="1843" w:type="dxa"/>
            <w:vAlign w:val="center"/>
          </w:tcPr>
          <w:p w14:paraId="100A06E0" w14:textId="77777777" w:rsidR="005B6F40" w:rsidRPr="001A47EC" w:rsidRDefault="005B6F40" w:rsidP="001A47EC">
            <w:pPr>
              <w:jc w:val="center"/>
              <w:rPr>
                <w:rFonts w:eastAsiaTheme="minorHAnsi"/>
                <w:sz w:val="20"/>
                <w:szCs w:val="20"/>
              </w:rPr>
            </w:pPr>
            <w:r w:rsidRPr="001A47EC">
              <w:rPr>
                <w:rFonts w:eastAsiaTheme="minorHAnsi"/>
                <w:sz w:val="20"/>
                <w:szCs w:val="20"/>
              </w:rPr>
              <w:t>2 000 000 000 Kč</w:t>
            </w:r>
          </w:p>
        </w:tc>
        <w:tc>
          <w:tcPr>
            <w:tcW w:w="1507" w:type="dxa"/>
            <w:vAlign w:val="center"/>
          </w:tcPr>
          <w:p w14:paraId="6BB67B2A" w14:textId="77777777" w:rsidR="005B6F40" w:rsidRPr="001A47EC" w:rsidRDefault="005B6F40" w:rsidP="001A47EC">
            <w:pPr>
              <w:jc w:val="center"/>
              <w:rPr>
                <w:rFonts w:eastAsiaTheme="minorHAnsi"/>
                <w:sz w:val="20"/>
                <w:szCs w:val="20"/>
              </w:rPr>
            </w:pPr>
            <w:r w:rsidRPr="001A47EC">
              <w:rPr>
                <w:rFonts w:eastAsiaTheme="minorHAnsi"/>
                <w:sz w:val="20"/>
                <w:szCs w:val="20"/>
              </w:rPr>
              <w:t>640 703 780 Kč</w:t>
            </w:r>
          </w:p>
        </w:tc>
      </w:tr>
    </w:tbl>
    <w:p w14:paraId="5E0D95FA" w14:textId="4B6A32AE" w:rsidR="005B6F40" w:rsidRPr="00B74D6B" w:rsidRDefault="005B6F40" w:rsidP="001A47EC">
      <w:pPr>
        <w:spacing w:before="40" w:after="120"/>
        <w:ind w:left="567" w:hanging="567"/>
        <w:rPr>
          <w:rFonts w:cstheme="minorHAnsi"/>
          <w:sz w:val="20"/>
          <w:szCs w:val="20"/>
        </w:rPr>
      </w:pPr>
      <w:r w:rsidRPr="00B74D6B">
        <w:rPr>
          <w:rFonts w:cstheme="minorHAnsi"/>
          <w:b/>
          <w:sz w:val="20"/>
          <w:szCs w:val="20"/>
        </w:rPr>
        <w:t>Zdroj:</w:t>
      </w:r>
      <w:r w:rsidR="001A47EC">
        <w:rPr>
          <w:rFonts w:cstheme="minorHAnsi"/>
          <w:sz w:val="20"/>
          <w:szCs w:val="20"/>
        </w:rPr>
        <w:tab/>
      </w:r>
      <w:r w:rsidR="00652EB1">
        <w:rPr>
          <w:rFonts w:cstheme="minorHAnsi"/>
          <w:sz w:val="20"/>
          <w:szCs w:val="20"/>
        </w:rPr>
        <w:t>d</w:t>
      </w:r>
      <w:r w:rsidRPr="00B74D6B">
        <w:rPr>
          <w:rFonts w:cstheme="minorHAnsi"/>
          <w:sz w:val="20"/>
          <w:szCs w:val="20"/>
        </w:rPr>
        <w:t>okumentace programu 122D21 schválená Ministerstvem financí dne 30. června 2016 a její aktualizace schválená Ministerstvem financí dne 18. dubna 2018 a dne 23. září 2021.</w:t>
      </w:r>
    </w:p>
    <w:p w14:paraId="23D5B8DD" w14:textId="44272463" w:rsidR="00AA5F44" w:rsidRDefault="00AA5F44" w:rsidP="00850E56">
      <w:pPr>
        <w:spacing w:before="120" w:after="120"/>
        <w:rPr>
          <w:rFonts w:cstheme="minorHAnsi"/>
          <w:noProof/>
        </w:rPr>
      </w:pPr>
      <w:r w:rsidRPr="00AA5F44">
        <w:rPr>
          <w:rFonts w:cstheme="minorHAnsi"/>
          <w:noProof/>
        </w:rPr>
        <w:t xml:space="preserve">Všech cílových hodnot bude s největší pravděpodobností v roce 2025 dosaženo pouze proto, že MPO </w:t>
      </w:r>
      <w:r w:rsidRPr="00AA5F44">
        <w:rPr>
          <w:rFonts w:cstheme="minorHAnsi"/>
          <w:b/>
          <w:noProof/>
        </w:rPr>
        <w:t>výrazně snížilo očekávané hodnot</w:t>
      </w:r>
      <w:r w:rsidR="00886F95">
        <w:rPr>
          <w:rFonts w:cstheme="minorHAnsi"/>
          <w:b/>
          <w:noProof/>
        </w:rPr>
        <w:t xml:space="preserve"> </w:t>
      </w:r>
      <w:r w:rsidRPr="00AA5F44">
        <w:rPr>
          <w:rFonts w:cstheme="minorHAnsi"/>
          <w:b/>
          <w:noProof/>
        </w:rPr>
        <w:t>y parametrů a indikátorů</w:t>
      </w:r>
      <w:r w:rsidRPr="00AA5F44">
        <w:rPr>
          <w:rFonts w:cstheme="minorHAnsi"/>
          <w:noProof/>
        </w:rPr>
        <w:t xml:space="preserve"> (s výjimkou jednoho případu).</w:t>
      </w:r>
    </w:p>
    <w:p w14:paraId="7C039A10" w14:textId="5532DF9E" w:rsidR="006F115D" w:rsidRDefault="005B6F40" w:rsidP="00850E56">
      <w:pPr>
        <w:pStyle w:val="Odstavecseseznamem"/>
        <w:spacing w:before="120" w:after="120"/>
        <w:ind w:left="0"/>
        <w:contextualSpacing w:val="0"/>
      </w:pPr>
      <w:r w:rsidRPr="009A2376">
        <w:rPr>
          <w:rFonts w:cstheme="minorHAnsi"/>
        </w:rPr>
        <w:t xml:space="preserve">U vybraného vzorku </w:t>
      </w:r>
      <w:r>
        <w:rPr>
          <w:rFonts w:cstheme="minorHAnsi"/>
        </w:rPr>
        <w:t>pěti</w:t>
      </w:r>
      <w:r w:rsidRPr="009A2376">
        <w:rPr>
          <w:rFonts w:cstheme="minorHAnsi"/>
        </w:rPr>
        <w:t xml:space="preserve"> projektů podpořených dotací z</w:t>
      </w:r>
      <w:r w:rsidR="00CD0D6A">
        <w:rPr>
          <w:rFonts w:cstheme="minorHAnsi"/>
        </w:rPr>
        <w:t> </w:t>
      </w:r>
      <w:r w:rsidR="003F6B64">
        <w:rPr>
          <w:rFonts w:cstheme="minorHAnsi"/>
        </w:rPr>
        <w:t>p</w:t>
      </w:r>
      <w:r w:rsidR="00CD0D6A">
        <w:rPr>
          <w:rFonts w:cstheme="minorHAnsi"/>
        </w:rPr>
        <w:t>rogramu 122D21</w:t>
      </w:r>
      <w:r w:rsidRPr="009A2376">
        <w:rPr>
          <w:rFonts w:cstheme="minorHAnsi"/>
        </w:rPr>
        <w:t xml:space="preserve"> </w:t>
      </w:r>
      <w:r w:rsidR="003F6B64" w:rsidRPr="009A2376">
        <w:rPr>
          <w:rFonts w:cstheme="minorHAnsi"/>
        </w:rPr>
        <w:t xml:space="preserve">NKÚ </w:t>
      </w:r>
      <w:r w:rsidRPr="009A2376">
        <w:rPr>
          <w:rFonts w:cstheme="minorHAnsi"/>
        </w:rPr>
        <w:t>ověřil, že MPO provedlo výběr a hodnocení těchto projektů podle předem stanovených kritérií včetně hodnocení účelnosti a hospodárnosti, že příjemci vybíral</w:t>
      </w:r>
      <w:r w:rsidR="00C844EE">
        <w:rPr>
          <w:rFonts w:cstheme="minorHAnsi"/>
        </w:rPr>
        <w:t>i</w:t>
      </w:r>
      <w:r w:rsidRPr="009A2376">
        <w:rPr>
          <w:rFonts w:cstheme="minorHAnsi"/>
        </w:rPr>
        <w:t xml:space="preserve"> dodavatele </w:t>
      </w:r>
      <w:r w:rsidR="00CD0D6A">
        <w:rPr>
          <w:rFonts w:cstheme="minorHAnsi"/>
        </w:rPr>
        <w:t xml:space="preserve">v souladu se zákonem </w:t>
      </w:r>
      <w:r w:rsidR="001A5305">
        <w:rPr>
          <w:rFonts w:cstheme="minorHAnsi"/>
        </w:rPr>
        <w:t xml:space="preserve">č. 134/2016 Sb., </w:t>
      </w:r>
      <w:r w:rsidR="00CD0D6A">
        <w:rPr>
          <w:rFonts w:cstheme="minorHAnsi"/>
        </w:rPr>
        <w:t>o</w:t>
      </w:r>
      <w:r w:rsidR="000C7943">
        <w:rPr>
          <w:rFonts w:cstheme="minorHAnsi"/>
        </w:rPr>
        <w:t> </w:t>
      </w:r>
      <w:r w:rsidR="008C7C16">
        <w:rPr>
          <w:rFonts w:cstheme="minorHAnsi"/>
        </w:rPr>
        <w:t xml:space="preserve">zadávání </w:t>
      </w:r>
      <w:r w:rsidR="00CD0D6A">
        <w:rPr>
          <w:rFonts w:cstheme="minorHAnsi"/>
        </w:rPr>
        <w:t>veřejných zakáz</w:t>
      </w:r>
      <w:r w:rsidR="008C7C16">
        <w:rPr>
          <w:rFonts w:cstheme="minorHAnsi"/>
        </w:rPr>
        <w:t>ek</w:t>
      </w:r>
      <w:r w:rsidRPr="009A2376">
        <w:rPr>
          <w:rFonts w:cstheme="minorHAnsi"/>
        </w:rPr>
        <w:t>, že</w:t>
      </w:r>
      <w:r w:rsidR="007F1D1E">
        <w:rPr>
          <w:rFonts w:cstheme="minorHAnsi"/>
        </w:rPr>
        <w:t xml:space="preserve"> MPO a Agentura CzechInvest zajistily provedení externí supervize spočívající ve věcné kontrole výdajů, že </w:t>
      </w:r>
      <w:r w:rsidRPr="009A2376">
        <w:rPr>
          <w:rFonts w:cstheme="minorHAnsi"/>
        </w:rPr>
        <w:t>příjemci realizací projektů dosáhli splnění stanovených cílů a že MPO provádělo kontroly a monitoring vybraných projektů</w:t>
      </w:r>
      <w:r w:rsidR="00CD0D6A">
        <w:rPr>
          <w:rFonts w:cstheme="minorHAnsi"/>
        </w:rPr>
        <w:t>.</w:t>
      </w:r>
    </w:p>
    <w:p w14:paraId="54DF25C8" w14:textId="1BB99AF3" w:rsidR="006F115D" w:rsidRPr="008055A9" w:rsidRDefault="006F115D" w:rsidP="00850E56">
      <w:pPr>
        <w:pStyle w:val="Nadpis4"/>
        <w:spacing w:before="360" w:after="240"/>
        <w:ind w:left="425" w:hanging="425"/>
        <w:jc w:val="left"/>
      </w:pPr>
      <w:r w:rsidRPr="008055A9">
        <w:t xml:space="preserve">Cíle stanovené v rámci </w:t>
      </w:r>
      <w:r w:rsidRPr="00E435F9">
        <w:rPr>
          <w:i/>
        </w:rPr>
        <w:t>Národního plánu obnovy</w:t>
      </w:r>
      <w:r w:rsidRPr="008055A9">
        <w:t xml:space="preserve"> pro oblast </w:t>
      </w:r>
      <w:proofErr w:type="spellStart"/>
      <w:r w:rsidRPr="008055A9">
        <w:t>brownfieldů</w:t>
      </w:r>
      <w:proofErr w:type="spellEnd"/>
      <w:r w:rsidRPr="008055A9">
        <w:t xml:space="preserve"> MPO pravděpodobné splní</w:t>
      </w:r>
      <w:r w:rsidR="001A5305" w:rsidRPr="008055A9">
        <w:t xml:space="preserve"> </w:t>
      </w:r>
    </w:p>
    <w:p w14:paraId="0264A82F" w14:textId="008D7403" w:rsidR="00EB3C00" w:rsidRDefault="00FC5313" w:rsidP="00EB3C00">
      <w:pPr>
        <w:autoSpaceDE w:val="0"/>
        <w:autoSpaceDN w:val="0"/>
        <w:adjustRightInd w:val="0"/>
        <w:spacing w:after="120"/>
        <w:rPr>
          <w:rFonts w:cstheme="minorHAnsi"/>
        </w:rPr>
      </w:pPr>
      <w:r w:rsidRPr="00C94F08">
        <w:rPr>
          <w:rFonts w:cstheme="minorHAnsi"/>
        </w:rPr>
        <w:t>MPO stanovilo, že podpora z</w:t>
      </w:r>
      <w:r>
        <w:rPr>
          <w:rFonts w:cstheme="minorHAnsi"/>
        </w:rPr>
        <w:t> </w:t>
      </w:r>
      <w:r w:rsidRPr="00E435F9">
        <w:rPr>
          <w:rFonts w:cstheme="minorHAnsi"/>
          <w:i/>
        </w:rPr>
        <w:t>Národního plánu obnovy</w:t>
      </w:r>
      <w:r>
        <w:rPr>
          <w:rFonts w:cstheme="minorHAnsi"/>
        </w:rPr>
        <w:t xml:space="preserve"> </w:t>
      </w:r>
      <w:r w:rsidR="00C844EE">
        <w:rPr>
          <w:rFonts w:cstheme="minorHAnsi"/>
        </w:rPr>
        <w:t xml:space="preserve">poskytovaná </w:t>
      </w:r>
      <w:r>
        <w:rPr>
          <w:rFonts w:cstheme="minorHAnsi"/>
        </w:rPr>
        <w:t xml:space="preserve">prostřednictvím </w:t>
      </w:r>
      <w:r w:rsidR="00652EB1">
        <w:rPr>
          <w:rFonts w:cstheme="minorHAnsi"/>
        </w:rPr>
        <w:t>p</w:t>
      </w:r>
      <w:r w:rsidRPr="006C4D25">
        <w:rPr>
          <w:rFonts w:cstheme="minorHAnsi"/>
        </w:rPr>
        <w:t xml:space="preserve">rogramu </w:t>
      </w:r>
      <w:r w:rsidRPr="00E435F9">
        <w:rPr>
          <w:rFonts w:cstheme="minorHAnsi"/>
          <w:i/>
        </w:rPr>
        <w:t xml:space="preserve">Regenerace </w:t>
      </w:r>
      <w:proofErr w:type="spellStart"/>
      <w:r w:rsidRPr="00E435F9">
        <w:rPr>
          <w:rFonts w:cstheme="minorHAnsi"/>
          <w:i/>
        </w:rPr>
        <w:t>brownfieldů</w:t>
      </w:r>
      <w:proofErr w:type="spellEnd"/>
      <w:r w:rsidRPr="00E435F9">
        <w:rPr>
          <w:rFonts w:cstheme="minorHAnsi"/>
          <w:i/>
        </w:rPr>
        <w:t xml:space="preserve"> pro podnikatelské využití</w:t>
      </w:r>
      <w:r>
        <w:rPr>
          <w:rFonts w:cstheme="minorHAnsi"/>
        </w:rPr>
        <w:t xml:space="preserve"> je </w:t>
      </w:r>
      <w:r w:rsidRPr="00C94F08">
        <w:rPr>
          <w:rFonts w:cstheme="minorHAnsi"/>
        </w:rPr>
        <w:t>určena na</w:t>
      </w:r>
      <w:r w:rsidR="00476FC7">
        <w:rPr>
          <w:rFonts w:cstheme="minorHAnsi"/>
        </w:rPr>
        <w:t> </w:t>
      </w:r>
      <w:r w:rsidR="006F115D" w:rsidRPr="002D2298">
        <w:rPr>
          <w:rFonts w:cstheme="minorHAnsi"/>
        </w:rPr>
        <w:t xml:space="preserve">podporu odstranění brownfieldů a umožnění následného využití těchto nemovitostí převážně pro </w:t>
      </w:r>
      <w:r w:rsidR="006F115D" w:rsidRPr="002D2298">
        <w:rPr>
          <w:rFonts w:cstheme="minorHAnsi"/>
        </w:rPr>
        <w:lastRenderedPageBreak/>
        <w:t>podnikání (doplňkově rovněž pro nepodnikatelské účely včetně výstavby obecních bytů).</w:t>
      </w:r>
      <w:r>
        <w:rPr>
          <w:rFonts w:cstheme="minorHAnsi"/>
        </w:rPr>
        <w:t xml:space="preserve"> Příjemci podpory mohly být obce a kraje, tedy stejní příjemci jako u</w:t>
      </w:r>
      <w:r w:rsidR="000C7943">
        <w:rPr>
          <w:rFonts w:cstheme="minorHAnsi"/>
        </w:rPr>
        <w:t> </w:t>
      </w:r>
      <w:r>
        <w:rPr>
          <w:rFonts w:cstheme="minorHAnsi"/>
        </w:rPr>
        <w:t>programů podpory hrazených z peněžních prostředků státu.</w:t>
      </w:r>
      <w:r w:rsidR="006F115D" w:rsidRPr="002D2298">
        <w:rPr>
          <w:rFonts w:cstheme="minorHAnsi"/>
        </w:rPr>
        <w:t xml:space="preserve"> </w:t>
      </w:r>
    </w:p>
    <w:p w14:paraId="17EB6F90" w14:textId="63D4D3F4" w:rsidR="00DA0DF4" w:rsidRDefault="00FC5313" w:rsidP="00CB3AFA">
      <w:pPr>
        <w:autoSpaceDE w:val="0"/>
        <w:autoSpaceDN w:val="0"/>
        <w:adjustRightInd w:val="0"/>
      </w:pPr>
      <w:r>
        <w:rPr>
          <w:rFonts w:cstheme="minorHAnsi"/>
        </w:rPr>
        <w:t xml:space="preserve">V rámci jediné výzvy k předkládání žádostí o podporu, kterou MPO vyhlásilo v průběhu kontroly, </w:t>
      </w:r>
      <w:r w:rsidRPr="001756AD">
        <w:rPr>
          <w:rFonts w:asciiTheme="minorHAnsi" w:eastAsiaTheme="minorHAnsi" w:hAnsiTheme="minorHAnsi" w:cstheme="minorHAnsi"/>
          <w:b/>
        </w:rPr>
        <w:t>obdrželo výrazně více žádostí</w:t>
      </w:r>
      <w:r w:rsidR="00EB3C00">
        <w:rPr>
          <w:rFonts w:asciiTheme="minorHAnsi" w:eastAsiaTheme="minorHAnsi" w:hAnsiTheme="minorHAnsi" w:cstheme="minorHAnsi"/>
        </w:rPr>
        <w:t xml:space="preserve"> krajů a obcí o podporu</w:t>
      </w:r>
      <w:r>
        <w:rPr>
          <w:rFonts w:asciiTheme="minorHAnsi" w:eastAsiaTheme="minorHAnsi" w:hAnsiTheme="minorHAnsi" w:cstheme="minorHAnsi"/>
        </w:rPr>
        <w:t xml:space="preserve"> než v jakékoliv </w:t>
      </w:r>
      <w:r w:rsidR="00EB3C00">
        <w:rPr>
          <w:rFonts w:asciiTheme="minorHAnsi" w:eastAsiaTheme="minorHAnsi" w:hAnsiTheme="minorHAnsi" w:cstheme="minorHAnsi"/>
        </w:rPr>
        <w:t xml:space="preserve">jiné </w:t>
      </w:r>
      <w:r>
        <w:rPr>
          <w:rFonts w:asciiTheme="minorHAnsi" w:eastAsiaTheme="minorHAnsi" w:hAnsiTheme="minorHAnsi" w:cstheme="minorHAnsi"/>
        </w:rPr>
        <w:t>výzvě u</w:t>
      </w:r>
      <w:r w:rsidR="000C7943">
        <w:rPr>
          <w:rFonts w:asciiTheme="minorHAnsi" w:eastAsiaTheme="minorHAnsi" w:hAnsiTheme="minorHAnsi" w:cstheme="minorHAnsi"/>
        </w:rPr>
        <w:t> </w:t>
      </w:r>
      <w:r>
        <w:rPr>
          <w:rFonts w:asciiTheme="minorHAnsi" w:eastAsiaTheme="minorHAnsi" w:hAnsiTheme="minorHAnsi" w:cstheme="minorHAnsi"/>
        </w:rPr>
        <w:t>programů hrazených z peněžních prostředků státu. Dle NKÚ byl t</w:t>
      </w:r>
      <w:r w:rsidRPr="00A94DFA">
        <w:rPr>
          <w:rFonts w:asciiTheme="minorHAnsi" w:eastAsiaTheme="minorHAnsi" w:hAnsiTheme="minorHAnsi" w:cstheme="minorHAnsi"/>
        </w:rPr>
        <w:t xml:space="preserve">ento zájem </w:t>
      </w:r>
      <w:r>
        <w:rPr>
          <w:rFonts w:asciiTheme="minorHAnsi" w:eastAsiaTheme="minorHAnsi" w:hAnsiTheme="minorHAnsi" w:cstheme="minorHAnsi"/>
        </w:rPr>
        <w:t xml:space="preserve">zejména </w:t>
      </w:r>
      <w:r w:rsidRPr="00A94DFA">
        <w:rPr>
          <w:rFonts w:asciiTheme="minorHAnsi" w:eastAsiaTheme="minorHAnsi" w:hAnsiTheme="minorHAnsi" w:cstheme="minorHAnsi"/>
        </w:rPr>
        <w:t xml:space="preserve">vyvolán skutečností, že </w:t>
      </w:r>
      <w:r w:rsidRPr="00874FE3">
        <w:rPr>
          <w:rFonts w:asciiTheme="minorHAnsi" w:eastAsiaTheme="minorHAnsi" w:hAnsiTheme="minorHAnsi" w:cstheme="minorHAnsi"/>
        </w:rPr>
        <w:t>MPO umožnilo</w:t>
      </w:r>
      <w:r w:rsidR="007D3A23">
        <w:rPr>
          <w:rFonts w:asciiTheme="minorHAnsi" w:eastAsiaTheme="minorHAnsi" w:hAnsiTheme="minorHAnsi" w:cstheme="minorHAnsi"/>
        </w:rPr>
        <w:t xml:space="preserve"> podporu získat i pro projekty</w:t>
      </w:r>
      <w:r w:rsidRPr="00874FE3">
        <w:rPr>
          <w:rFonts w:asciiTheme="minorHAnsi" w:eastAsiaTheme="minorHAnsi" w:hAnsiTheme="minorHAnsi" w:cstheme="minorHAnsi"/>
        </w:rPr>
        <w:t>, které nebudou mít výhradně podnikatelské využití</w:t>
      </w:r>
      <w:r>
        <w:rPr>
          <w:rFonts w:asciiTheme="minorHAnsi" w:eastAsiaTheme="minorHAnsi" w:hAnsiTheme="minorHAnsi" w:cstheme="minorHAnsi"/>
        </w:rPr>
        <w:t>, ale mohou být</w:t>
      </w:r>
      <w:r w:rsidR="007D3A23">
        <w:rPr>
          <w:rFonts w:asciiTheme="minorHAnsi" w:eastAsiaTheme="minorHAnsi" w:hAnsiTheme="minorHAnsi" w:cstheme="minorHAnsi"/>
        </w:rPr>
        <w:t xml:space="preserve"> </w:t>
      </w:r>
      <w:r>
        <w:rPr>
          <w:rFonts w:asciiTheme="minorHAnsi" w:eastAsiaTheme="minorHAnsi" w:hAnsiTheme="minorHAnsi" w:cstheme="minorHAnsi"/>
        </w:rPr>
        <w:t xml:space="preserve">doplňkově využity </w:t>
      </w:r>
      <w:r w:rsidR="007D3A23">
        <w:rPr>
          <w:rFonts w:asciiTheme="minorHAnsi" w:eastAsiaTheme="minorHAnsi" w:hAnsiTheme="minorHAnsi" w:cstheme="minorHAnsi"/>
        </w:rPr>
        <w:t xml:space="preserve">i </w:t>
      </w:r>
      <w:r>
        <w:rPr>
          <w:rFonts w:asciiTheme="minorHAnsi" w:eastAsiaTheme="minorHAnsi" w:hAnsiTheme="minorHAnsi" w:cstheme="minorHAnsi"/>
        </w:rPr>
        <w:t>pro nepodnikatelské aktivity</w:t>
      </w:r>
      <w:r w:rsidRPr="00874FE3">
        <w:rPr>
          <w:rFonts w:asciiTheme="minorHAnsi" w:eastAsiaTheme="minorHAnsi" w:hAnsiTheme="minorHAnsi" w:cstheme="minorHAnsi"/>
        </w:rPr>
        <w:t>. Dalšími důvody</w:t>
      </w:r>
      <w:r w:rsidR="007D3A23">
        <w:rPr>
          <w:rFonts w:asciiTheme="minorHAnsi" w:eastAsiaTheme="minorHAnsi" w:hAnsiTheme="minorHAnsi" w:cstheme="minorHAnsi"/>
        </w:rPr>
        <w:t xml:space="preserve"> vysokého zájmu o podporu</w:t>
      </w:r>
      <w:r w:rsidRPr="00874FE3">
        <w:rPr>
          <w:rFonts w:asciiTheme="minorHAnsi" w:eastAsiaTheme="minorHAnsi" w:hAnsiTheme="minorHAnsi" w:cstheme="minorHAnsi"/>
        </w:rPr>
        <w:t xml:space="preserve"> mohl</w:t>
      </w:r>
      <w:r w:rsidR="00DD1C39">
        <w:rPr>
          <w:rFonts w:asciiTheme="minorHAnsi" w:eastAsiaTheme="minorHAnsi" w:hAnsiTheme="minorHAnsi" w:cstheme="minorHAnsi"/>
        </w:rPr>
        <w:t>a</w:t>
      </w:r>
      <w:r w:rsidRPr="00874FE3">
        <w:rPr>
          <w:rFonts w:asciiTheme="minorHAnsi" w:eastAsiaTheme="minorHAnsi" w:hAnsiTheme="minorHAnsi" w:cstheme="minorHAnsi"/>
        </w:rPr>
        <w:t xml:space="preserve"> být </w:t>
      </w:r>
      <w:r w:rsidR="00DD1C39">
        <w:rPr>
          <w:rFonts w:asciiTheme="minorHAnsi" w:eastAsiaTheme="minorHAnsi" w:hAnsiTheme="minorHAnsi" w:cstheme="minorHAnsi"/>
        </w:rPr>
        <w:t>i možnost realizovat</w:t>
      </w:r>
      <w:r w:rsidRPr="00874FE3">
        <w:rPr>
          <w:rFonts w:asciiTheme="minorHAnsi" w:eastAsiaTheme="minorHAnsi" w:hAnsiTheme="minorHAnsi" w:cstheme="minorHAnsi"/>
        </w:rPr>
        <w:t xml:space="preserve"> projekt </w:t>
      </w:r>
      <w:r w:rsidR="00EF238A">
        <w:rPr>
          <w:rFonts w:asciiTheme="minorHAnsi" w:eastAsiaTheme="minorHAnsi" w:hAnsiTheme="minorHAnsi" w:cstheme="minorHAnsi"/>
        </w:rPr>
        <w:t xml:space="preserve">ve </w:t>
      </w:r>
      <w:r w:rsidRPr="00874FE3">
        <w:rPr>
          <w:rFonts w:asciiTheme="minorHAnsi" w:eastAsiaTheme="minorHAnsi" w:hAnsiTheme="minorHAnsi" w:cstheme="minorHAnsi"/>
        </w:rPr>
        <w:t>všech regionech</w:t>
      </w:r>
      <w:r w:rsidR="00EF238A">
        <w:rPr>
          <w:rFonts w:asciiTheme="minorHAnsi" w:eastAsiaTheme="minorHAnsi" w:hAnsiTheme="minorHAnsi" w:cstheme="minorHAnsi"/>
        </w:rPr>
        <w:t xml:space="preserve"> ČR</w:t>
      </w:r>
      <w:r w:rsidRPr="00874FE3">
        <w:rPr>
          <w:rFonts w:asciiTheme="minorHAnsi" w:eastAsiaTheme="minorHAnsi" w:hAnsiTheme="minorHAnsi" w:cstheme="minorHAnsi"/>
        </w:rPr>
        <w:t xml:space="preserve"> a</w:t>
      </w:r>
      <w:r>
        <w:rPr>
          <w:rFonts w:asciiTheme="minorHAnsi" w:eastAsiaTheme="minorHAnsi" w:hAnsiTheme="minorHAnsi" w:cstheme="minorHAnsi"/>
        </w:rPr>
        <w:t> </w:t>
      </w:r>
      <w:r w:rsidRPr="00874FE3">
        <w:rPr>
          <w:rFonts w:asciiTheme="minorHAnsi" w:eastAsiaTheme="minorHAnsi" w:hAnsiTheme="minorHAnsi" w:cstheme="minorHAnsi"/>
        </w:rPr>
        <w:t>změna definice</w:t>
      </w:r>
      <w:r>
        <w:rPr>
          <w:rFonts w:asciiTheme="minorHAnsi" w:eastAsiaTheme="minorHAnsi" w:hAnsiTheme="minorHAnsi" w:cstheme="minorHAnsi"/>
        </w:rPr>
        <w:t xml:space="preserve"> brownfieldu, kdy u </w:t>
      </w:r>
      <w:r w:rsidRPr="00E435F9">
        <w:rPr>
          <w:rFonts w:asciiTheme="minorHAnsi" w:eastAsiaTheme="minorHAnsi" w:hAnsiTheme="minorHAnsi" w:cstheme="minorHAnsi"/>
          <w:i/>
        </w:rPr>
        <w:t>Národního plánu obnovy</w:t>
      </w:r>
      <w:r>
        <w:rPr>
          <w:rFonts w:asciiTheme="minorHAnsi" w:eastAsiaTheme="minorHAnsi" w:hAnsiTheme="minorHAnsi" w:cstheme="minorHAnsi"/>
        </w:rPr>
        <w:t xml:space="preserve"> MPO upravilo definici brownfieldu z nemovitosti „nevyužívané“</w:t>
      </w:r>
      <w:r w:rsidR="00EB3C00">
        <w:rPr>
          <w:rFonts w:asciiTheme="minorHAnsi" w:eastAsiaTheme="minorHAnsi" w:hAnsiTheme="minorHAnsi" w:cstheme="minorHAnsi"/>
        </w:rPr>
        <w:t xml:space="preserve"> na </w:t>
      </w:r>
      <w:r>
        <w:rPr>
          <w:rFonts w:asciiTheme="minorHAnsi" w:eastAsiaTheme="minorHAnsi" w:hAnsiTheme="minorHAnsi" w:cstheme="minorHAnsi"/>
        </w:rPr>
        <w:t>nemovitosti „</w:t>
      </w:r>
      <w:r w:rsidRPr="00754663">
        <w:rPr>
          <w:rFonts w:asciiTheme="minorHAnsi" w:eastAsiaTheme="minorHAnsi" w:hAnsiTheme="minorHAnsi" w:cstheme="minorHAnsi"/>
        </w:rPr>
        <w:t>využív</w:t>
      </w:r>
      <w:r>
        <w:rPr>
          <w:rFonts w:asciiTheme="minorHAnsi" w:eastAsiaTheme="minorHAnsi" w:hAnsiTheme="minorHAnsi" w:cstheme="minorHAnsi"/>
        </w:rPr>
        <w:t>a</w:t>
      </w:r>
      <w:r w:rsidRPr="00754663">
        <w:rPr>
          <w:rFonts w:asciiTheme="minorHAnsi" w:eastAsiaTheme="minorHAnsi" w:hAnsiTheme="minorHAnsi" w:cstheme="minorHAnsi"/>
        </w:rPr>
        <w:t>n</w:t>
      </w:r>
      <w:r>
        <w:rPr>
          <w:rFonts w:asciiTheme="minorHAnsi" w:eastAsiaTheme="minorHAnsi" w:hAnsiTheme="minorHAnsi" w:cstheme="minorHAnsi"/>
        </w:rPr>
        <w:t>é</w:t>
      </w:r>
      <w:r w:rsidRPr="00754663">
        <w:rPr>
          <w:rFonts w:asciiTheme="minorHAnsi" w:eastAsiaTheme="minorHAnsi" w:hAnsiTheme="minorHAnsi" w:cstheme="minorHAnsi"/>
        </w:rPr>
        <w:t xml:space="preserve"> k</w:t>
      </w:r>
      <w:r>
        <w:rPr>
          <w:rFonts w:asciiTheme="minorHAnsi" w:eastAsiaTheme="minorHAnsi" w:hAnsiTheme="minorHAnsi" w:cstheme="minorHAnsi"/>
        </w:rPr>
        <w:t> </w:t>
      </w:r>
      <w:r w:rsidRPr="00754663">
        <w:rPr>
          <w:rFonts w:asciiTheme="minorHAnsi" w:eastAsiaTheme="minorHAnsi" w:hAnsiTheme="minorHAnsi" w:cstheme="minorHAnsi"/>
        </w:rPr>
        <w:t>původnímu účelu, ale ne úplně</w:t>
      </w:r>
      <w:r>
        <w:rPr>
          <w:rFonts w:asciiTheme="minorHAnsi" w:eastAsiaTheme="minorHAnsi" w:hAnsiTheme="minorHAnsi" w:cstheme="minorHAnsi"/>
        </w:rPr>
        <w:t xml:space="preserve">“. </w:t>
      </w:r>
      <w:r w:rsidR="006F115D" w:rsidRPr="002D2298">
        <w:rPr>
          <w:rFonts w:cstheme="minorHAnsi"/>
        </w:rPr>
        <w:t xml:space="preserve">Pro </w:t>
      </w:r>
      <w:r w:rsidR="00EF238A">
        <w:rPr>
          <w:rFonts w:cstheme="minorHAnsi"/>
        </w:rPr>
        <w:t>tuto podporu byla</w:t>
      </w:r>
      <w:r w:rsidR="006F115D" w:rsidRPr="002D2298">
        <w:rPr>
          <w:rFonts w:cstheme="minorHAnsi"/>
        </w:rPr>
        <w:t xml:space="preserve"> stanovena alokace 500</w:t>
      </w:r>
      <w:r w:rsidR="000C7943">
        <w:rPr>
          <w:rFonts w:cstheme="minorHAnsi"/>
        </w:rPr>
        <w:t> </w:t>
      </w:r>
      <w:r w:rsidR="006F115D" w:rsidRPr="002D2298">
        <w:rPr>
          <w:rFonts w:cstheme="minorHAnsi"/>
        </w:rPr>
        <w:t>mil. Kč a</w:t>
      </w:r>
      <w:r w:rsidR="001230EC">
        <w:rPr>
          <w:rFonts w:cstheme="minorHAnsi"/>
        </w:rPr>
        <w:t> </w:t>
      </w:r>
      <w:r w:rsidR="006F115D" w:rsidRPr="002D2298">
        <w:rPr>
          <w:rFonts w:cstheme="minorHAnsi"/>
        </w:rPr>
        <w:t xml:space="preserve">dva </w:t>
      </w:r>
      <w:r w:rsidR="00EB3C00">
        <w:rPr>
          <w:rFonts w:cstheme="minorHAnsi"/>
        </w:rPr>
        <w:t xml:space="preserve">měřitelné </w:t>
      </w:r>
      <w:r w:rsidR="006F115D" w:rsidRPr="002D2298">
        <w:rPr>
          <w:rFonts w:cstheme="minorHAnsi"/>
        </w:rPr>
        <w:t>cíle, jejichž cílové hodnoty a termíny pro splnění jsou uvedeny v</w:t>
      </w:r>
      <w:r w:rsidR="00EB3C00">
        <w:rPr>
          <w:rFonts w:cstheme="minorHAnsi"/>
        </w:rPr>
        <w:t xml:space="preserve"> následující </w:t>
      </w:r>
      <w:r w:rsidR="006F115D" w:rsidRPr="002D2298">
        <w:rPr>
          <w:rFonts w:cstheme="minorHAnsi"/>
        </w:rPr>
        <w:t xml:space="preserve">tabulce. </w:t>
      </w:r>
    </w:p>
    <w:p w14:paraId="11393B46" w14:textId="344DF001" w:rsidR="006F115D" w:rsidRPr="00CB3AFA" w:rsidRDefault="006F115D" w:rsidP="00CB3AFA">
      <w:pPr>
        <w:spacing w:before="120" w:after="40"/>
        <w:ind w:left="1304" w:hanging="1304"/>
        <w:rPr>
          <w:rFonts w:cstheme="minorHAnsi"/>
          <w:b/>
        </w:rPr>
      </w:pPr>
      <w:r w:rsidRPr="00CB3AFA">
        <w:rPr>
          <w:rFonts w:cstheme="minorHAnsi"/>
          <w:b/>
        </w:rPr>
        <w:t xml:space="preserve">Tabulka č. </w:t>
      </w:r>
      <w:r w:rsidR="006D5510" w:rsidRPr="00CB3AFA">
        <w:rPr>
          <w:rFonts w:cstheme="minorHAnsi"/>
          <w:b/>
        </w:rPr>
        <w:t>4</w:t>
      </w:r>
      <w:r w:rsidRPr="00CB3AFA">
        <w:rPr>
          <w:rFonts w:cstheme="minorHAnsi"/>
          <w:b/>
        </w:rPr>
        <w:t>:</w:t>
      </w:r>
      <w:r w:rsidR="00CB3AFA">
        <w:rPr>
          <w:rFonts w:cstheme="minorHAnsi"/>
          <w:b/>
        </w:rPr>
        <w:tab/>
      </w:r>
      <w:r w:rsidRPr="00CB3AFA">
        <w:rPr>
          <w:rFonts w:cstheme="minorHAnsi"/>
          <w:b/>
          <w:spacing w:val="-4"/>
        </w:rPr>
        <w:t xml:space="preserve">Cíle stanovené pro </w:t>
      </w:r>
      <w:r w:rsidR="00652EB1">
        <w:rPr>
          <w:rFonts w:cstheme="minorHAnsi"/>
          <w:b/>
          <w:spacing w:val="-4"/>
        </w:rPr>
        <w:t>p</w:t>
      </w:r>
      <w:r w:rsidR="001B742C" w:rsidRPr="00CB3AFA">
        <w:rPr>
          <w:rFonts w:cstheme="minorHAnsi"/>
          <w:b/>
          <w:spacing w:val="-4"/>
        </w:rPr>
        <w:t>rogram R</w:t>
      </w:r>
      <w:r w:rsidR="001B742C" w:rsidRPr="00E435F9">
        <w:rPr>
          <w:rFonts w:cstheme="minorHAnsi"/>
          <w:b/>
          <w:i/>
          <w:spacing w:val="-4"/>
        </w:rPr>
        <w:t xml:space="preserve">egenerace </w:t>
      </w:r>
      <w:proofErr w:type="spellStart"/>
      <w:r w:rsidR="001B742C" w:rsidRPr="00E435F9">
        <w:rPr>
          <w:rFonts w:cstheme="minorHAnsi"/>
          <w:b/>
          <w:i/>
          <w:spacing w:val="-4"/>
        </w:rPr>
        <w:t>brownfieldů</w:t>
      </w:r>
      <w:proofErr w:type="spellEnd"/>
      <w:r w:rsidR="001B742C" w:rsidRPr="00E435F9">
        <w:rPr>
          <w:rFonts w:cstheme="minorHAnsi"/>
          <w:b/>
          <w:i/>
          <w:spacing w:val="-4"/>
        </w:rPr>
        <w:t xml:space="preserve"> pro podnikatelské využití</w:t>
      </w:r>
    </w:p>
    <w:tbl>
      <w:tblPr>
        <w:tblStyle w:val="Mkatabulky"/>
        <w:tblW w:w="9014" w:type="dxa"/>
        <w:jc w:val="center"/>
        <w:tblLayout w:type="fixed"/>
        <w:tblLook w:val="04A0" w:firstRow="1" w:lastRow="0" w:firstColumn="1" w:lastColumn="0" w:noHBand="0" w:noVBand="1"/>
      </w:tblPr>
      <w:tblGrid>
        <w:gridCol w:w="1134"/>
        <w:gridCol w:w="4252"/>
        <w:gridCol w:w="1417"/>
        <w:gridCol w:w="1020"/>
        <w:gridCol w:w="1191"/>
      </w:tblGrid>
      <w:tr w:rsidR="009D62D9" w:rsidRPr="00CB3AFA" w14:paraId="039D0DF6" w14:textId="77777777" w:rsidTr="00CB3AFA">
        <w:trPr>
          <w:trHeight w:val="283"/>
          <w:jc w:val="center"/>
        </w:trPr>
        <w:tc>
          <w:tcPr>
            <w:tcW w:w="1134" w:type="dxa"/>
            <w:shd w:val="clear" w:color="auto" w:fill="E6E6E6"/>
            <w:vAlign w:val="center"/>
          </w:tcPr>
          <w:p w14:paraId="5BA39437" w14:textId="2DCB8626" w:rsidR="009D62D9" w:rsidRPr="00CB3AFA" w:rsidRDefault="009D62D9" w:rsidP="00BA1990">
            <w:pPr>
              <w:spacing w:before="20" w:after="20"/>
              <w:jc w:val="center"/>
              <w:rPr>
                <w:b/>
                <w:bCs/>
                <w:iCs/>
                <w:sz w:val="20"/>
                <w:szCs w:val="20"/>
              </w:rPr>
            </w:pPr>
            <w:proofErr w:type="spellStart"/>
            <w:r w:rsidRPr="00CB3AFA">
              <w:rPr>
                <w:b/>
                <w:bCs/>
                <w:iCs/>
                <w:sz w:val="20"/>
                <w:szCs w:val="20"/>
              </w:rPr>
              <w:t>Poř</w:t>
            </w:r>
            <w:proofErr w:type="spellEnd"/>
            <w:r w:rsidRPr="00CB3AFA">
              <w:rPr>
                <w:b/>
                <w:bCs/>
                <w:iCs/>
                <w:sz w:val="20"/>
                <w:szCs w:val="20"/>
              </w:rPr>
              <w:t>. č. cíle</w:t>
            </w:r>
          </w:p>
        </w:tc>
        <w:tc>
          <w:tcPr>
            <w:tcW w:w="4252" w:type="dxa"/>
            <w:shd w:val="clear" w:color="auto" w:fill="E6E6E6"/>
            <w:vAlign w:val="center"/>
          </w:tcPr>
          <w:p w14:paraId="2D79ED21" w14:textId="77777777" w:rsidR="009D62D9" w:rsidRPr="00CB3AFA" w:rsidRDefault="009D62D9" w:rsidP="00BA1990">
            <w:pPr>
              <w:spacing w:before="20" w:after="20"/>
              <w:jc w:val="center"/>
              <w:rPr>
                <w:b/>
                <w:bCs/>
                <w:iCs/>
                <w:sz w:val="20"/>
                <w:szCs w:val="20"/>
              </w:rPr>
            </w:pPr>
            <w:r w:rsidRPr="00CB3AFA">
              <w:rPr>
                <w:b/>
                <w:bCs/>
                <w:iCs/>
                <w:sz w:val="20"/>
                <w:szCs w:val="20"/>
              </w:rPr>
              <w:t>Název</w:t>
            </w:r>
          </w:p>
        </w:tc>
        <w:tc>
          <w:tcPr>
            <w:tcW w:w="1417" w:type="dxa"/>
            <w:shd w:val="clear" w:color="auto" w:fill="E6E6E6"/>
            <w:vAlign w:val="center"/>
          </w:tcPr>
          <w:p w14:paraId="398ADB16" w14:textId="77777777" w:rsidR="009D62D9" w:rsidRPr="00CB3AFA" w:rsidRDefault="009D62D9" w:rsidP="00BA1990">
            <w:pPr>
              <w:spacing w:before="20" w:after="20"/>
              <w:jc w:val="center"/>
              <w:rPr>
                <w:b/>
                <w:bCs/>
                <w:iCs/>
                <w:sz w:val="20"/>
                <w:szCs w:val="20"/>
              </w:rPr>
            </w:pPr>
            <w:r w:rsidRPr="00CB3AFA">
              <w:rPr>
                <w:b/>
                <w:bCs/>
                <w:iCs/>
                <w:sz w:val="20"/>
                <w:szCs w:val="20"/>
              </w:rPr>
              <w:t>Měrná jednotka</w:t>
            </w:r>
          </w:p>
        </w:tc>
        <w:tc>
          <w:tcPr>
            <w:tcW w:w="1020" w:type="dxa"/>
            <w:shd w:val="clear" w:color="auto" w:fill="E6E6E6"/>
            <w:vAlign w:val="center"/>
          </w:tcPr>
          <w:p w14:paraId="1F03BB81" w14:textId="77777777" w:rsidR="009D62D9" w:rsidRPr="00CB3AFA" w:rsidRDefault="009D62D9" w:rsidP="00BA1990">
            <w:pPr>
              <w:spacing w:before="20" w:after="20"/>
              <w:jc w:val="center"/>
              <w:rPr>
                <w:b/>
                <w:bCs/>
                <w:iCs/>
                <w:sz w:val="20"/>
                <w:szCs w:val="20"/>
              </w:rPr>
            </w:pPr>
            <w:r w:rsidRPr="00CB3AFA">
              <w:rPr>
                <w:b/>
                <w:bCs/>
                <w:iCs/>
                <w:sz w:val="20"/>
                <w:szCs w:val="20"/>
              </w:rPr>
              <w:t>Cílová hodnota</w:t>
            </w:r>
          </w:p>
        </w:tc>
        <w:tc>
          <w:tcPr>
            <w:tcW w:w="1191" w:type="dxa"/>
            <w:shd w:val="clear" w:color="auto" w:fill="E6E6E6"/>
            <w:vAlign w:val="center"/>
          </w:tcPr>
          <w:p w14:paraId="6D3CF58A" w14:textId="77777777" w:rsidR="009D62D9" w:rsidRPr="00CB3AFA" w:rsidRDefault="009D62D9" w:rsidP="00BA1990">
            <w:pPr>
              <w:spacing w:before="20" w:after="20"/>
              <w:jc w:val="center"/>
              <w:rPr>
                <w:b/>
                <w:bCs/>
                <w:iCs/>
                <w:sz w:val="20"/>
                <w:szCs w:val="20"/>
              </w:rPr>
            </w:pPr>
            <w:r w:rsidRPr="00CB3AFA">
              <w:rPr>
                <w:b/>
                <w:bCs/>
                <w:iCs/>
                <w:sz w:val="20"/>
                <w:szCs w:val="20"/>
              </w:rPr>
              <w:t>Termín pro splnění</w:t>
            </w:r>
          </w:p>
        </w:tc>
      </w:tr>
      <w:tr w:rsidR="009D62D9" w:rsidRPr="00CB3AFA" w14:paraId="19FDC5F9" w14:textId="77777777" w:rsidTr="00CB3AFA">
        <w:trPr>
          <w:trHeight w:val="283"/>
          <w:jc w:val="center"/>
        </w:trPr>
        <w:tc>
          <w:tcPr>
            <w:tcW w:w="1134" w:type="dxa"/>
            <w:vAlign w:val="center"/>
          </w:tcPr>
          <w:p w14:paraId="3B2D432D" w14:textId="77777777" w:rsidR="009D62D9" w:rsidRPr="00CB3AFA" w:rsidRDefault="009D62D9" w:rsidP="00BA1990">
            <w:pPr>
              <w:spacing w:before="20" w:after="20"/>
              <w:jc w:val="center"/>
              <w:rPr>
                <w:bCs/>
                <w:iCs/>
                <w:sz w:val="20"/>
                <w:szCs w:val="20"/>
              </w:rPr>
            </w:pPr>
            <w:r w:rsidRPr="00CB3AFA">
              <w:rPr>
                <w:bCs/>
                <w:iCs/>
                <w:sz w:val="20"/>
                <w:szCs w:val="20"/>
              </w:rPr>
              <w:t>158</w:t>
            </w:r>
          </w:p>
        </w:tc>
        <w:tc>
          <w:tcPr>
            <w:tcW w:w="4252" w:type="dxa"/>
            <w:vAlign w:val="center"/>
          </w:tcPr>
          <w:p w14:paraId="5276E0A6" w14:textId="2CFD15AE" w:rsidR="009D62D9" w:rsidRPr="006F7267" w:rsidRDefault="009D62D9" w:rsidP="00BA1990">
            <w:pPr>
              <w:spacing w:before="20" w:after="20"/>
              <w:jc w:val="left"/>
              <w:rPr>
                <w:bCs/>
                <w:iCs/>
                <w:sz w:val="20"/>
                <w:szCs w:val="20"/>
              </w:rPr>
            </w:pPr>
            <w:bookmarkStart w:id="21" w:name="_Hlk157422205"/>
            <w:r w:rsidRPr="00CB3AFA">
              <w:rPr>
                <w:bCs/>
                <w:iCs/>
                <w:sz w:val="20"/>
                <w:szCs w:val="20"/>
              </w:rPr>
              <w:t>Vstup všech smluv na veřejnou zakázku týkající se regenerace brownfieldů ve veřejném vlastnictví pro podnikatelské</w:t>
            </w:r>
            <w:r w:rsidR="002D6D61" w:rsidRPr="00CB3AFA">
              <w:rPr>
                <w:bCs/>
                <w:iCs/>
                <w:sz w:val="20"/>
                <w:szCs w:val="20"/>
              </w:rPr>
              <w:t xml:space="preserve"> </w:t>
            </w:r>
            <w:r w:rsidRPr="00CB3AFA">
              <w:rPr>
                <w:bCs/>
                <w:iCs/>
                <w:sz w:val="20"/>
                <w:szCs w:val="20"/>
              </w:rPr>
              <w:t>využití</w:t>
            </w:r>
            <w:bookmarkEnd w:id="21"/>
            <w:r w:rsidR="001A5305" w:rsidRPr="006F7267">
              <w:rPr>
                <w:bCs/>
                <w:iCs/>
                <w:sz w:val="20"/>
                <w:szCs w:val="20"/>
              </w:rPr>
              <w:t>*</w:t>
            </w:r>
            <w:r w:rsidR="005671FC" w:rsidRPr="006F7267">
              <w:rPr>
                <w:bCs/>
                <w:iCs/>
                <w:sz w:val="20"/>
                <w:szCs w:val="20"/>
              </w:rPr>
              <w:t xml:space="preserve"> </w:t>
            </w:r>
          </w:p>
        </w:tc>
        <w:tc>
          <w:tcPr>
            <w:tcW w:w="1417" w:type="dxa"/>
            <w:vAlign w:val="center"/>
          </w:tcPr>
          <w:p w14:paraId="35952F33" w14:textId="77777777" w:rsidR="009D62D9" w:rsidRPr="00CB3AFA" w:rsidRDefault="009D62D9" w:rsidP="00BA1990">
            <w:pPr>
              <w:spacing w:before="20" w:after="20"/>
              <w:jc w:val="center"/>
              <w:rPr>
                <w:bCs/>
                <w:iCs/>
                <w:sz w:val="20"/>
                <w:szCs w:val="20"/>
              </w:rPr>
            </w:pPr>
            <w:r w:rsidRPr="00CB3AFA">
              <w:rPr>
                <w:bCs/>
                <w:iCs/>
                <w:sz w:val="20"/>
                <w:szCs w:val="20"/>
              </w:rPr>
              <w:t>Počet projektů</w:t>
            </w:r>
          </w:p>
        </w:tc>
        <w:tc>
          <w:tcPr>
            <w:tcW w:w="1020" w:type="dxa"/>
            <w:vAlign w:val="center"/>
          </w:tcPr>
          <w:p w14:paraId="37408AC6" w14:textId="77777777" w:rsidR="009D62D9" w:rsidRPr="00CB3AFA" w:rsidRDefault="009D62D9" w:rsidP="00BA1990">
            <w:pPr>
              <w:spacing w:before="20" w:after="20"/>
              <w:ind w:right="94"/>
              <w:jc w:val="right"/>
              <w:rPr>
                <w:bCs/>
                <w:iCs/>
                <w:sz w:val="20"/>
                <w:szCs w:val="20"/>
              </w:rPr>
            </w:pPr>
            <w:r w:rsidRPr="00CB3AFA">
              <w:rPr>
                <w:bCs/>
                <w:iCs/>
                <w:sz w:val="20"/>
                <w:szCs w:val="20"/>
              </w:rPr>
              <w:t>20</w:t>
            </w:r>
          </w:p>
        </w:tc>
        <w:tc>
          <w:tcPr>
            <w:tcW w:w="1191" w:type="dxa"/>
            <w:vAlign w:val="center"/>
          </w:tcPr>
          <w:p w14:paraId="4218A033" w14:textId="77777777" w:rsidR="009D62D9" w:rsidRPr="00CB3AFA" w:rsidRDefault="009D62D9" w:rsidP="00BA1990">
            <w:pPr>
              <w:spacing w:before="20" w:after="20"/>
              <w:jc w:val="center"/>
              <w:rPr>
                <w:bCs/>
                <w:iCs/>
                <w:sz w:val="20"/>
                <w:szCs w:val="20"/>
              </w:rPr>
            </w:pPr>
            <w:r w:rsidRPr="00CB3AFA">
              <w:rPr>
                <w:bCs/>
                <w:iCs/>
                <w:sz w:val="20"/>
                <w:szCs w:val="20"/>
              </w:rPr>
              <w:t>Q4 2023</w:t>
            </w:r>
          </w:p>
        </w:tc>
      </w:tr>
      <w:tr w:rsidR="009D62D9" w:rsidRPr="00CB3AFA" w14:paraId="53CABC2C" w14:textId="77777777" w:rsidTr="00CB3AFA">
        <w:trPr>
          <w:trHeight w:val="283"/>
          <w:jc w:val="center"/>
        </w:trPr>
        <w:tc>
          <w:tcPr>
            <w:tcW w:w="1134" w:type="dxa"/>
            <w:vAlign w:val="center"/>
          </w:tcPr>
          <w:p w14:paraId="37A09156" w14:textId="77777777" w:rsidR="009D62D9" w:rsidRPr="00CB3AFA" w:rsidRDefault="009D62D9" w:rsidP="00BA1990">
            <w:pPr>
              <w:spacing w:before="20" w:after="20"/>
              <w:jc w:val="center"/>
              <w:rPr>
                <w:rFonts w:eastAsiaTheme="minorHAnsi"/>
                <w:sz w:val="20"/>
                <w:szCs w:val="20"/>
              </w:rPr>
            </w:pPr>
            <w:r w:rsidRPr="00CB3AFA">
              <w:rPr>
                <w:rFonts w:eastAsiaTheme="minorHAnsi"/>
                <w:sz w:val="20"/>
                <w:szCs w:val="20"/>
              </w:rPr>
              <w:t>159</w:t>
            </w:r>
          </w:p>
        </w:tc>
        <w:tc>
          <w:tcPr>
            <w:tcW w:w="4252" w:type="dxa"/>
            <w:vAlign w:val="center"/>
          </w:tcPr>
          <w:p w14:paraId="25F46CB5" w14:textId="04357A59" w:rsidR="009D62D9" w:rsidRPr="00CB3AFA" w:rsidRDefault="009D62D9" w:rsidP="00BA1990">
            <w:pPr>
              <w:spacing w:before="20" w:after="20"/>
              <w:jc w:val="left"/>
              <w:rPr>
                <w:rFonts w:eastAsiaTheme="minorHAnsi"/>
                <w:sz w:val="20"/>
                <w:szCs w:val="20"/>
              </w:rPr>
            </w:pPr>
            <w:r w:rsidRPr="00CB3AFA">
              <w:rPr>
                <w:rFonts w:eastAsiaTheme="minorHAnsi"/>
                <w:sz w:val="20"/>
                <w:szCs w:val="20"/>
              </w:rPr>
              <w:t>Dokončení projektů revitalizace brownfieldů ve vlastnictví obcí a krajů zaměřených na energetickou účinnost pro podnikatelské využití</w:t>
            </w:r>
          </w:p>
        </w:tc>
        <w:tc>
          <w:tcPr>
            <w:tcW w:w="1417" w:type="dxa"/>
            <w:vAlign w:val="center"/>
          </w:tcPr>
          <w:p w14:paraId="2CFB14C7" w14:textId="77777777" w:rsidR="009D62D9" w:rsidRPr="00CB3AFA" w:rsidRDefault="009D62D9" w:rsidP="00BA1990">
            <w:pPr>
              <w:spacing w:before="20" w:after="20"/>
              <w:jc w:val="center"/>
              <w:rPr>
                <w:rFonts w:eastAsiaTheme="minorHAnsi"/>
                <w:sz w:val="20"/>
                <w:szCs w:val="20"/>
              </w:rPr>
            </w:pPr>
            <w:r w:rsidRPr="00CB3AFA">
              <w:rPr>
                <w:noProof/>
                <w:sz w:val="20"/>
                <w:szCs w:val="20"/>
              </w:rPr>
              <w:t>Počet m</w:t>
            </w:r>
            <w:r w:rsidRPr="00CB3AFA">
              <w:rPr>
                <w:noProof/>
                <w:sz w:val="20"/>
                <w:szCs w:val="20"/>
                <w:vertAlign w:val="superscript"/>
              </w:rPr>
              <w:t>3</w:t>
            </w:r>
            <w:r w:rsidRPr="00CB3AFA">
              <w:rPr>
                <w:noProof/>
                <w:sz w:val="20"/>
                <w:szCs w:val="20"/>
              </w:rPr>
              <w:t xml:space="preserve"> obestavěného prostoru</w:t>
            </w:r>
          </w:p>
        </w:tc>
        <w:tc>
          <w:tcPr>
            <w:tcW w:w="1020" w:type="dxa"/>
            <w:vAlign w:val="center"/>
          </w:tcPr>
          <w:p w14:paraId="3758D289" w14:textId="77777777" w:rsidR="009D62D9" w:rsidRPr="00CB3AFA" w:rsidRDefault="009D62D9" w:rsidP="00BA1990">
            <w:pPr>
              <w:spacing w:before="20" w:after="20"/>
              <w:ind w:right="94"/>
              <w:jc w:val="right"/>
              <w:rPr>
                <w:rFonts w:eastAsiaTheme="minorHAnsi"/>
                <w:sz w:val="20"/>
                <w:szCs w:val="20"/>
              </w:rPr>
            </w:pPr>
            <w:r w:rsidRPr="00CB3AFA">
              <w:rPr>
                <w:noProof/>
                <w:sz w:val="20"/>
                <w:szCs w:val="20"/>
              </w:rPr>
              <w:t>76 000</w:t>
            </w:r>
          </w:p>
        </w:tc>
        <w:tc>
          <w:tcPr>
            <w:tcW w:w="1191" w:type="dxa"/>
            <w:vAlign w:val="center"/>
          </w:tcPr>
          <w:p w14:paraId="6591AD1B" w14:textId="77777777" w:rsidR="009D62D9" w:rsidRPr="00CB3AFA" w:rsidRDefault="009D62D9" w:rsidP="00BA1990">
            <w:pPr>
              <w:spacing w:before="20" w:after="20"/>
              <w:jc w:val="center"/>
              <w:rPr>
                <w:rFonts w:eastAsiaTheme="minorHAnsi"/>
                <w:sz w:val="20"/>
                <w:szCs w:val="20"/>
              </w:rPr>
            </w:pPr>
            <w:r w:rsidRPr="00CB3AFA">
              <w:rPr>
                <w:noProof/>
                <w:sz w:val="20"/>
                <w:szCs w:val="20"/>
              </w:rPr>
              <w:t>Q4 2025</w:t>
            </w:r>
          </w:p>
        </w:tc>
      </w:tr>
    </w:tbl>
    <w:p w14:paraId="33841F14" w14:textId="12A35C69" w:rsidR="001A5305" w:rsidRPr="00CB3AFA" w:rsidRDefault="001A5305" w:rsidP="00CB3AFA">
      <w:pPr>
        <w:spacing w:before="40"/>
        <w:ind w:left="567" w:hanging="567"/>
        <w:rPr>
          <w:rFonts w:cstheme="minorHAnsi"/>
          <w:sz w:val="20"/>
          <w:szCs w:val="20"/>
        </w:rPr>
      </w:pPr>
      <w:r w:rsidRPr="00CB3AFA">
        <w:rPr>
          <w:rFonts w:cstheme="minorHAnsi"/>
          <w:b/>
          <w:sz w:val="20"/>
          <w:szCs w:val="20"/>
        </w:rPr>
        <w:t>Pozn.:</w:t>
      </w:r>
      <w:r w:rsidR="008055A9" w:rsidRPr="00CB3AFA">
        <w:rPr>
          <w:rFonts w:cstheme="minorHAnsi"/>
          <w:sz w:val="20"/>
          <w:szCs w:val="20"/>
        </w:rPr>
        <w:t xml:space="preserve"> </w:t>
      </w:r>
      <w:r w:rsidRPr="006F7267">
        <w:rPr>
          <w:rFonts w:cstheme="minorHAnsi"/>
          <w:sz w:val="20"/>
          <w:szCs w:val="20"/>
        </w:rPr>
        <w:t>*</w:t>
      </w:r>
      <w:r w:rsidRPr="00CB3AFA">
        <w:rPr>
          <w:rFonts w:cstheme="minorHAnsi"/>
          <w:sz w:val="20"/>
          <w:szCs w:val="20"/>
        </w:rPr>
        <w:t xml:space="preserve">Jedná se doslovný název cíle. V průběhu kontroly MPO uvedlo, že </w:t>
      </w:r>
      <w:r w:rsidR="005671FC" w:rsidRPr="00CB3AFA">
        <w:rPr>
          <w:rFonts w:cstheme="minorHAnsi"/>
          <w:sz w:val="20"/>
          <w:szCs w:val="20"/>
        </w:rPr>
        <w:t>došlo k nepřesnému překladu a</w:t>
      </w:r>
      <w:r w:rsidR="00CB3AFA">
        <w:rPr>
          <w:rFonts w:cstheme="minorHAnsi"/>
          <w:sz w:val="20"/>
          <w:szCs w:val="20"/>
        </w:rPr>
        <w:t> </w:t>
      </w:r>
      <w:r w:rsidR="005671FC" w:rsidRPr="00CB3AFA">
        <w:rPr>
          <w:rFonts w:cstheme="minorHAnsi"/>
          <w:sz w:val="20"/>
          <w:szCs w:val="20"/>
        </w:rPr>
        <w:t xml:space="preserve">v následné komunikaci s Evropskou komisí bylo potvrzeno, že se jedná o vydání </w:t>
      </w:r>
      <w:r w:rsidR="00652EB1">
        <w:rPr>
          <w:rFonts w:cstheme="minorHAnsi"/>
          <w:sz w:val="20"/>
          <w:szCs w:val="20"/>
        </w:rPr>
        <w:t>r</w:t>
      </w:r>
      <w:r w:rsidR="005671FC" w:rsidRPr="00CB3AFA">
        <w:rPr>
          <w:rFonts w:cstheme="minorHAnsi"/>
          <w:sz w:val="20"/>
          <w:szCs w:val="20"/>
        </w:rPr>
        <w:t>ozhodnutí o</w:t>
      </w:r>
      <w:r w:rsidR="00CB3AFA">
        <w:rPr>
          <w:rFonts w:cstheme="minorHAnsi"/>
          <w:sz w:val="20"/>
          <w:szCs w:val="20"/>
        </w:rPr>
        <w:t> </w:t>
      </w:r>
      <w:r w:rsidR="005671FC" w:rsidRPr="00CB3AFA">
        <w:rPr>
          <w:rFonts w:cstheme="minorHAnsi"/>
          <w:sz w:val="20"/>
          <w:szCs w:val="20"/>
        </w:rPr>
        <w:t>poskytnutí dotace.</w:t>
      </w:r>
    </w:p>
    <w:p w14:paraId="23A1B9B4" w14:textId="201CE4D7" w:rsidR="006F115D" w:rsidRPr="00CB3AFA" w:rsidRDefault="006F115D" w:rsidP="00CB3AFA">
      <w:pPr>
        <w:ind w:left="567" w:hanging="567"/>
        <w:rPr>
          <w:rFonts w:cstheme="minorHAnsi"/>
          <w:sz w:val="20"/>
          <w:szCs w:val="20"/>
        </w:rPr>
      </w:pPr>
      <w:r w:rsidRPr="00CB3AFA">
        <w:rPr>
          <w:rFonts w:cstheme="minorHAnsi"/>
          <w:b/>
          <w:sz w:val="20"/>
          <w:szCs w:val="20"/>
        </w:rPr>
        <w:t xml:space="preserve">Zdroj: </w:t>
      </w:r>
      <w:r w:rsidR="00652EB1">
        <w:rPr>
          <w:rFonts w:cstheme="minorHAnsi"/>
          <w:sz w:val="20"/>
          <w:szCs w:val="20"/>
        </w:rPr>
        <w:t>r</w:t>
      </w:r>
      <w:r w:rsidRPr="00CB3AFA">
        <w:rPr>
          <w:rFonts w:cstheme="minorHAnsi"/>
          <w:sz w:val="20"/>
          <w:szCs w:val="20"/>
        </w:rPr>
        <w:t>evidovaná PŘÍLOHA ze dne 10. října 2023 návrhu</w:t>
      </w:r>
      <w:r w:rsidRPr="006F7267">
        <w:rPr>
          <w:rFonts w:cstheme="minorHAnsi"/>
          <w:sz w:val="20"/>
          <w:szCs w:val="20"/>
        </w:rPr>
        <w:t xml:space="preserve"> </w:t>
      </w:r>
      <w:r w:rsidRPr="00CB3AFA">
        <w:rPr>
          <w:rFonts w:cstheme="minorHAnsi"/>
          <w:sz w:val="20"/>
          <w:szCs w:val="20"/>
        </w:rPr>
        <w:t>PROVÁDĚCÍHO ROZHODNUTÍ RADY, kterým se mění prováděcí rozhodnutí (EU) (ST 11047/21 INIT</w:t>
      </w:r>
      <w:r w:rsidRPr="006F7267">
        <w:rPr>
          <w:rFonts w:cstheme="minorHAnsi"/>
          <w:sz w:val="20"/>
          <w:szCs w:val="20"/>
        </w:rPr>
        <w:t>;</w:t>
      </w:r>
      <w:r w:rsidRPr="00CB3AFA">
        <w:rPr>
          <w:rFonts w:cstheme="minorHAnsi"/>
          <w:sz w:val="20"/>
          <w:szCs w:val="20"/>
        </w:rPr>
        <w:t xml:space="preserve"> ST 11047/21 ADD 1</w:t>
      </w:r>
      <w:r w:rsidRPr="006F7267">
        <w:rPr>
          <w:rFonts w:cstheme="minorHAnsi"/>
          <w:sz w:val="20"/>
          <w:szCs w:val="20"/>
        </w:rPr>
        <w:t>;</w:t>
      </w:r>
      <w:r w:rsidRPr="00CB3AFA">
        <w:rPr>
          <w:rFonts w:cstheme="minorHAnsi"/>
          <w:sz w:val="20"/>
          <w:szCs w:val="20"/>
        </w:rPr>
        <w:t xml:space="preserve"> ST 11047/21 COR 1) ze dne 8. září 2021 o</w:t>
      </w:r>
      <w:r w:rsidR="000C7943" w:rsidRPr="00CB3AFA">
        <w:rPr>
          <w:rFonts w:cstheme="minorHAnsi"/>
          <w:sz w:val="20"/>
          <w:szCs w:val="20"/>
        </w:rPr>
        <w:t> </w:t>
      </w:r>
      <w:r w:rsidRPr="00CB3AFA">
        <w:rPr>
          <w:rFonts w:cstheme="minorHAnsi"/>
          <w:sz w:val="20"/>
          <w:szCs w:val="20"/>
        </w:rPr>
        <w:t>schválení posouzení plánu pro oživení a odolnost Česka.</w:t>
      </w:r>
    </w:p>
    <w:p w14:paraId="734E0BB8" w14:textId="4EE80EE4" w:rsidR="00EB3C00" w:rsidRPr="007745E3" w:rsidRDefault="009D62D9" w:rsidP="00CB3AFA">
      <w:pPr>
        <w:spacing w:before="120" w:after="120"/>
        <w:rPr>
          <w:color w:val="000000" w:themeColor="text1"/>
          <w:lang w:eastAsia="cs-CZ"/>
        </w:rPr>
      </w:pPr>
      <w:r w:rsidRPr="002D2298">
        <w:rPr>
          <w:rFonts w:cstheme="minorHAnsi"/>
        </w:rPr>
        <w:t xml:space="preserve">Ke </w:t>
      </w:r>
      <w:r>
        <w:rPr>
          <w:rFonts w:cstheme="minorHAnsi"/>
        </w:rPr>
        <w:t>konci roku</w:t>
      </w:r>
      <w:r w:rsidRPr="002D2298">
        <w:rPr>
          <w:rFonts w:cstheme="minorHAnsi"/>
        </w:rPr>
        <w:t xml:space="preserve"> 2023 dosáhlo MPO u </w:t>
      </w:r>
      <w:r w:rsidR="00652EB1">
        <w:rPr>
          <w:rFonts w:cstheme="minorHAnsi"/>
        </w:rPr>
        <w:t>p</w:t>
      </w:r>
      <w:r w:rsidRPr="002D2298">
        <w:rPr>
          <w:rFonts w:cstheme="minorHAnsi"/>
        </w:rPr>
        <w:t xml:space="preserve">rogramu </w:t>
      </w:r>
      <w:r w:rsidRPr="00E435F9">
        <w:rPr>
          <w:rFonts w:cstheme="minorHAnsi"/>
          <w:i/>
        </w:rPr>
        <w:t xml:space="preserve">Regenerace </w:t>
      </w:r>
      <w:proofErr w:type="spellStart"/>
      <w:r w:rsidRPr="00E435F9">
        <w:rPr>
          <w:rFonts w:cstheme="minorHAnsi"/>
          <w:i/>
        </w:rPr>
        <w:t>brownfieldů</w:t>
      </w:r>
      <w:proofErr w:type="spellEnd"/>
      <w:r w:rsidRPr="00E435F9">
        <w:rPr>
          <w:rFonts w:cstheme="minorHAnsi"/>
          <w:i/>
        </w:rPr>
        <w:t xml:space="preserve"> pro podnikatelské využití</w:t>
      </w:r>
      <w:r w:rsidRPr="002D2298">
        <w:rPr>
          <w:rFonts w:cstheme="minorHAnsi"/>
        </w:rPr>
        <w:t xml:space="preserve"> hodnoty 19 realizovaných projektů s celkovou požadovanou dotací ve výši 434</w:t>
      </w:r>
      <w:r w:rsidR="000C7943">
        <w:rPr>
          <w:rFonts w:cstheme="minorHAnsi"/>
        </w:rPr>
        <w:t> </w:t>
      </w:r>
      <w:r>
        <w:rPr>
          <w:rFonts w:cstheme="minorHAnsi"/>
        </w:rPr>
        <w:t>mil.</w:t>
      </w:r>
      <w:r w:rsidR="000C7943">
        <w:rPr>
          <w:rFonts w:cstheme="minorHAnsi"/>
        </w:rPr>
        <w:t> </w:t>
      </w:r>
      <w:r>
        <w:rPr>
          <w:rFonts w:cstheme="minorHAnsi"/>
        </w:rPr>
        <w:t>Kč</w:t>
      </w:r>
      <w:r w:rsidR="00563FFD">
        <w:rPr>
          <w:rFonts w:cstheme="minorHAnsi"/>
        </w:rPr>
        <w:t>. P</w:t>
      </w:r>
      <w:r w:rsidR="007D3A23">
        <w:rPr>
          <w:rFonts w:cstheme="minorHAnsi"/>
        </w:rPr>
        <w:t xml:space="preserve">lánovaný </w:t>
      </w:r>
      <w:r>
        <w:rPr>
          <w:rFonts w:cstheme="minorHAnsi"/>
        </w:rPr>
        <w:t xml:space="preserve">obestavěný prostor </w:t>
      </w:r>
      <w:r w:rsidR="007D3A23">
        <w:rPr>
          <w:rFonts w:cstheme="minorHAnsi"/>
        </w:rPr>
        <w:t xml:space="preserve">regenerovaných brownfieldů </w:t>
      </w:r>
      <w:r>
        <w:rPr>
          <w:rFonts w:cstheme="minorHAnsi"/>
        </w:rPr>
        <w:t xml:space="preserve">činil celkem </w:t>
      </w:r>
      <w:r w:rsidRPr="002D2298">
        <w:rPr>
          <w:rFonts w:cstheme="minorHAnsi"/>
        </w:rPr>
        <w:t>84</w:t>
      </w:r>
      <w:r w:rsidR="00202FC3">
        <w:rPr>
          <w:rFonts w:cstheme="minorHAnsi"/>
        </w:rPr>
        <w:t> </w:t>
      </w:r>
      <w:r w:rsidRPr="002D2298">
        <w:rPr>
          <w:rFonts w:cstheme="minorHAnsi"/>
        </w:rPr>
        <w:t>328</w:t>
      </w:r>
      <w:r w:rsidR="00202FC3">
        <w:rPr>
          <w:rFonts w:cstheme="minorHAnsi"/>
        </w:rPr>
        <w:t> </w:t>
      </w:r>
      <w:r w:rsidRPr="002D2298">
        <w:rPr>
          <w:rFonts w:cstheme="minorHAnsi"/>
        </w:rPr>
        <w:t>m</w:t>
      </w:r>
      <w:r w:rsidRPr="009D62D9">
        <w:rPr>
          <w:rFonts w:cstheme="minorHAnsi"/>
          <w:vertAlign w:val="superscript"/>
        </w:rPr>
        <w:t>3</w:t>
      </w:r>
      <w:r w:rsidRPr="002D2298">
        <w:rPr>
          <w:rFonts w:cstheme="minorHAnsi"/>
        </w:rPr>
        <w:t xml:space="preserve">. </w:t>
      </w:r>
      <w:r w:rsidR="00074295">
        <w:rPr>
          <w:rFonts w:cstheme="minorHAnsi"/>
        </w:rPr>
        <w:t>Za účelem naplnění</w:t>
      </w:r>
      <w:r w:rsidRPr="002D2298">
        <w:rPr>
          <w:rFonts w:cstheme="minorHAnsi"/>
        </w:rPr>
        <w:t xml:space="preserve"> stanove</w:t>
      </w:r>
      <w:r w:rsidR="00074295">
        <w:rPr>
          <w:rFonts w:cstheme="minorHAnsi"/>
        </w:rPr>
        <w:t>né</w:t>
      </w:r>
      <w:r w:rsidRPr="002D2298">
        <w:rPr>
          <w:rFonts w:cstheme="minorHAnsi"/>
        </w:rPr>
        <w:t xml:space="preserve"> hodnot</w:t>
      </w:r>
      <w:r w:rsidR="00074295">
        <w:rPr>
          <w:rFonts w:cstheme="minorHAnsi"/>
        </w:rPr>
        <w:t>y</w:t>
      </w:r>
      <w:r w:rsidRPr="002D2298">
        <w:rPr>
          <w:rFonts w:cstheme="minorHAnsi"/>
        </w:rPr>
        <w:t xml:space="preserve"> cíle č. 158</w:t>
      </w:r>
      <w:r w:rsidR="00074295">
        <w:rPr>
          <w:rFonts w:cstheme="minorHAnsi"/>
        </w:rPr>
        <w:t xml:space="preserve"> </w:t>
      </w:r>
      <w:r w:rsidRPr="002D2298">
        <w:rPr>
          <w:rFonts w:cstheme="minorHAnsi"/>
        </w:rPr>
        <w:t>vyhlásilo</w:t>
      </w:r>
      <w:r w:rsidR="00074295">
        <w:rPr>
          <w:rFonts w:cstheme="minorHAnsi"/>
        </w:rPr>
        <w:t xml:space="preserve"> </w:t>
      </w:r>
      <w:r w:rsidR="005C4A99">
        <w:rPr>
          <w:rFonts w:cstheme="minorHAnsi"/>
        </w:rPr>
        <w:t>MPO</w:t>
      </w:r>
      <w:r w:rsidR="005C4A99" w:rsidRPr="002D2298">
        <w:rPr>
          <w:rFonts w:cstheme="minorHAnsi"/>
        </w:rPr>
        <w:t xml:space="preserve"> </w:t>
      </w:r>
      <w:r w:rsidRPr="002D2298">
        <w:rPr>
          <w:rFonts w:cstheme="minorHAnsi"/>
        </w:rPr>
        <w:t xml:space="preserve">VI. výzvu </w:t>
      </w:r>
      <w:r w:rsidR="00652EB1">
        <w:rPr>
          <w:rFonts w:cstheme="minorHAnsi"/>
        </w:rPr>
        <w:t>p</w:t>
      </w:r>
      <w:r w:rsidRPr="002D2298">
        <w:rPr>
          <w:rFonts w:cstheme="minorHAnsi"/>
        </w:rPr>
        <w:t>rogramu 122D21</w:t>
      </w:r>
      <w:r w:rsidR="00563FFD">
        <w:rPr>
          <w:rFonts w:cstheme="minorHAnsi"/>
        </w:rPr>
        <w:t>. Vybranými projekty z této výzvy MPO plánuje</w:t>
      </w:r>
      <w:r w:rsidRPr="002D2298">
        <w:rPr>
          <w:rFonts w:cstheme="minorHAnsi"/>
        </w:rPr>
        <w:t xml:space="preserve"> doplňovat projekty potřebné pro naplnění cíle č. 158. </w:t>
      </w:r>
      <w:r w:rsidR="00FF3EAA">
        <w:rPr>
          <w:rFonts w:cstheme="minorHAnsi"/>
        </w:rPr>
        <w:t>Tím MPO zvýšilo pravděpodobnost, že</w:t>
      </w:r>
      <w:r w:rsidR="00443B1F">
        <w:rPr>
          <w:rFonts w:cstheme="minorHAnsi"/>
        </w:rPr>
        <w:t xml:space="preserve"> cíle </w:t>
      </w:r>
      <w:r w:rsidR="00FF3EAA">
        <w:rPr>
          <w:rFonts w:cstheme="minorHAnsi"/>
        </w:rPr>
        <w:t>stanovené pro</w:t>
      </w:r>
      <w:r w:rsidR="002D6D61">
        <w:rPr>
          <w:rFonts w:cstheme="minorHAnsi"/>
        </w:rPr>
        <w:t> </w:t>
      </w:r>
      <w:r w:rsidR="00AA0B3B">
        <w:rPr>
          <w:rFonts w:cstheme="minorHAnsi"/>
        </w:rPr>
        <w:t xml:space="preserve">proplacení </w:t>
      </w:r>
      <w:r w:rsidR="00FF3EAA">
        <w:rPr>
          <w:rFonts w:cstheme="minorHAnsi"/>
        </w:rPr>
        <w:t xml:space="preserve">peněžních prostředků ze zdrojů EU </w:t>
      </w:r>
      <w:r w:rsidR="00443B1F">
        <w:rPr>
          <w:rFonts w:cstheme="minorHAnsi"/>
        </w:rPr>
        <w:t>spln</w:t>
      </w:r>
      <w:r w:rsidR="00443B1F" w:rsidRPr="007745E3">
        <w:rPr>
          <w:rFonts w:cstheme="minorHAnsi"/>
          <w:color w:val="000000" w:themeColor="text1"/>
        </w:rPr>
        <w:t>í.</w:t>
      </w:r>
      <w:r w:rsidR="00AA0B3B" w:rsidRPr="007745E3">
        <w:rPr>
          <w:rFonts w:cstheme="minorHAnsi"/>
          <w:color w:val="000000" w:themeColor="text1"/>
        </w:rPr>
        <w:t xml:space="preserve"> </w:t>
      </w:r>
    </w:p>
    <w:p w14:paraId="47439E8E" w14:textId="379030B2" w:rsidR="006F115D" w:rsidRDefault="006F115D" w:rsidP="007745E3">
      <w:pPr>
        <w:pStyle w:val="Nadpis4"/>
        <w:spacing w:before="360" w:after="240"/>
        <w:ind w:left="426" w:hanging="426"/>
        <w:jc w:val="left"/>
      </w:pPr>
      <w:r w:rsidRPr="003162B1">
        <w:t xml:space="preserve">Program </w:t>
      </w:r>
      <w:r w:rsidRPr="00E435F9">
        <w:rPr>
          <w:i/>
        </w:rPr>
        <w:t xml:space="preserve">Nemovitosti </w:t>
      </w:r>
      <w:r w:rsidRPr="003162B1">
        <w:t>OPPIK přispěl ke snížení počtu brownfieldů a MPO stanovený cíl splnilo</w:t>
      </w:r>
    </w:p>
    <w:p w14:paraId="08268D93" w14:textId="4968748E" w:rsidR="006F115D" w:rsidRDefault="006F115D" w:rsidP="006F115D">
      <w:pPr>
        <w:pStyle w:val="Odstavecseseznamem"/>
        <w:spacing w:before="120" w:after="120"/>
        <w:ind w:left="0"/>
        <w:contextualSpacing w:val="0"/>
        <w:rPr>
          <w:rFonts w:cstheme="minorHAnsi"/>
        </w:rPr>
      </w:pPr>
      <w:r w:rsidRPr="00EB1470">
        <w:rPr>
          <w:rFonts w:cstheme="minorHAnsi"/>
        </w:rPr>
        <w:t xml:space="preserve">Cílem </w:t>
      </w:r>
      <w:r w:rsidR="00D749C4">
        <w:rPr>
          <w:rFonts w:cstheme="minorHAnsi"/>
        </w:rPr>
        <w:t>p</w:t>
      </w:r>
      <w:r w:rsidRPr="00EB1470">
        <w:rPr>
          <w:rFonts w:cstheme="minorHAnsi"/>
        </w:rPr>
        <w:t>rogramu</w:t>
      </w:r>
      <w:r w:rsidR="00A15E2A">
        <w:rPr>
          <w:rFonts w:cstheme="minorHAnsi"/>
        </w:rPr>
        <w:t xml:space="preserve"> </w:t>
      </w:r>
      <w:r w:rsidR="00A15E2A" w:rsidRPr="00E435F9">
        <w:rPr>
          <w:rFonts w:cstheme="minorHAnsi"/>
          <w:i/>
        </w:rPr>
        <w:t>Nemovitost</w:t>
      </w:r>
      <w:r w:rsidR="00D749C4" w:rsidRPr="00E435F9">
        <w:rPr>
          <w:rFonts w:cstheme="minorHAnsi"/>
          <w:i/>
        </w:rPr>
        <w:t>i</w:t>
      </w:r>
      <w:r w:rsidRPr="00EB1470">
        <w:rPr>
          <w:rFonts w:cstheme="minorHAnsi"/>
        </w:rPr>
        <w:t xml:space="preserve"> </w:t>
      </w:r>
      <w:r w:rsidR="00C844EE">
        <w:rPr>
          <w:rFonts w:cstheme="minorHAnsi"/>
        </w:rPr>
        <w:t xml:space="preserve">OPPIK </w:t>
      </w:r>
      <w:r w:rsidRPr="00EB1470">
        <w:rPr>
          <w:rFonts w:cstheme="minorHAnsi"/>
        </w:rPr>
        <w:t>bylo usnadňovat malým a středním podnikatelům modernizaci zastaralých, prostorově a technicky nevyhovujících budov pro provádění podporovaných ekonomických činností nebo jejich nahrazení novými budovami pro</w:t>
      </w:r>
      <w:r w:rsidR="00D749C4">
        <w:rPr>
          <w:rFonts w:cstheme="minorHAnsi"/>
        </w:rPr>
        <w:t xml:space="preserve"> </w:t>
      </w:r>
      <w:r w:rsidRPr="00EB1470">
        <w:rPr>
          <w:rFonts w:cstheme="minorHAnsi"/>
        </w:rPr>
        <w:t>podnikání ve všech regionech kromě hl. m. Prahy</w:t>
      </w:r>
      <w:r w:rsidR="00D749C4">
        <w:rPr>
          <w:rFonts w:cstheme="minorHAnsi"/>
        </w:rPr>
        <w:t>,</w:t>
      </w:r>
      <w:r w:rsidRPr="00EB1470">
        <w:rPr>
          <w:rFonts w:cstheme="minorHAnsi"/>
        </w:rPr>
        <w:t xml:space="preserve"> umožňujících tak zachování a zvyšování zaměstnanosti v regionu či přispívajících ke zlepšení životního prostředí nebo pracovních podmínek zaměstnanců. MPO podporu v rámci </w:t>
      </w:r>
      <w:r w:rsidR="00D749C4">
        <w:rPr>
          <w:rFonts w:cstheme="minorHAnsi"/>
        </w:rPr>
        <w:t>p</w:t>
      </w:r>
      <w:r w:rsidRPr="00EB1470">
        <w:rPr>
          <w:rFonts w:cstheme="minorHAnsi"/>
        </w:rPr>
        <w:t xml:space="preserve">rogramu </w:t>
      </w:r>
      <w:r w:rsidRPr="00E435F9">
        <w:rPr>
          <w:rFonts w:cstheme="minorHAnsi"/>
          <w:i/>
        </w:rPr>
        <w:t>Nemovitosti</w:t>
      </w:r>
      <w:r w:rsidR="00C844EE">
        <w:rPr>
          <w:rFonts w:cstheme="minorHAnsi"/>
        </w:rPr>
        <w:t xml:space="preserve"> OPPIK</w:t>
      </w:r>
      <w:r w:rsidRPr="00EB1470">
        <w:rPr>
          <w:rFonts w:cstheme="minorHAnsi"/>
        </w:rPr>
        <w:t xml:space="preserve"> poskytovalo </w:t>
      </w:r>
      <w:r w:rsidRPr="001756AD">
        <w:rPr>
          <w:rFonts w:cstheme="minorHAnsi"/>
          <w:b/>
        </w:rPr>
        <w:t>formou dotací a formou finančního nástroje</w:t>
      </w:r>
      <w:r w:rsidRPr="00E435F9">
        <w:rPr>
          <w:rFonts w:cstheme="minorHAnsi"/>
          <w:b/>
        </w:rPr>
        <w:t>.</w:t>
      </w:r>
    </w:p>
    <w:p w14:paraId="27C8961D" w14:textId="273C405B" w:rsidR="00EF238A" w:rsidRDefault="006F115D" w:rsidP="006F115D">
      <w:pPr>
        <w:pStyle w:val="Odstavecseseznamem"/>
        <w:spacing w:before="120" w:after="120"/>
        <w:ind w:left="0"/>
        <w:contextualSpacing w:val="0"/>
        <w:rPr>
          <w:rFonts w:cstheme="minorHAnsi"/>
        </w:rPr>
      </w:pPr>
      <w:r w:rsidRPr="00AE0EC4">
        <w:rPr>
          <w:rFonts w:cstheme="minorHAnsi"/>
        </w:rPr>
        <w:lastRenderedPageBreak/>
        <w:t xml:space="preserve">V rámci </w:t>
      </w:r>
      <w:r w:rsidR="005A41AA">
        <w:rPr>
          <w:rFonts w:cstheme="minorHAnsi"/>
        </w:rPr>
        <w:t>p</w:t>
      </w:r>
      <w:r w:rsidRPr="00AE0EC4">
        <w:rPr>
          <w:rFonts w:cstheme="minorHAnsi"/>
        </w:rPr>
        <w:t xml:space="preserve">rogramu </w:t>
      </w:r>
      <w:r w:rsidRPr="00E435F9">
        <w:rPr>
          <w:rFonts w:cstheme="minorHAnsi"/>
          <w:i/>
        </w:rPr>
        <w:t>Nemovitosti</w:t>
      </w:r>
      <w:r w:rsidR="00C844EE">
        <w:rPr>
          <w:rFonts w:cstheme="minorHAnsi"/>
        </w:rPr>
        <w:t xml:space="preserve"> OPPIK</w:t>
      </w:r>
      <w:r w:rsidRPr="00AE0EC4">
        <w:rPr>
          <w:rFonts w:cstheme="minorHAnsi"/>
        </w:rPr>
        <w:t xml:space="preserve"> bylo vyhlášeno </w:t>
      </w:r>
      <w:r w:rsidR="00A15E2A">
        <w:rPr>
          <w:rFonts w:cstheme="minorHAnsi"/>
        </w:rPr>
        <w:t>deset</w:t>
      </w:r>
      <w:r w:rsidRPr="00AE0EC4">
        <w:rPr>
          <w:rFonts w:cstheme="minorHAnsi"/>
        </w:rPr>
        <w:t xml:space="preserve"> výzev, ve kterých byla podpora poskytována formou dotace, a to s celkovou alokací 8 232 mil. Kč. Z toho bylo šest výzev vyhlášeno přímo pro podnikatelské subjekty z kategorie malý a střední podnik. Další čtyři výzvy byly vyhlášeny na podporu integrovaných projektů naplňujících integrované územní investice </w:t>
      </w:r>
      <w:r w:rsidR="00507935">
        <w:rPr>
          <w:rFonts w:cstheme="minorHAnsi"/>
        </w:rPr>
        <w:t>h</w:t>
      </w:r>
      <w:r w:rsidRPr="00AE0EC4">
        <w:rPr>
          <w:rFonts w:cstheme="minorHAnsi"/>
        </w:rPr>
        <w:t xml:space="preserve">radecko-pardubické aglomerace </w:t>
      </w:r>
      <w:r w:rsidR="00EF238A">
        <w:rPr>
          <w:rFonts w:cstheme="minorHAnsi"/>
        </w:rPr>
        <w:t xml:space="preserve">a </w:t>
      </w:r>
      <w:r w:rsidR="00507935">
        <w:rPr>
          <w:rFonts w:cstheme="minorHAnsi"/>
        </w:rPr>
        <w:t>o</w:t>
      </w:r>
      <w:r w:rsidRPr="00AE0EC4">
        <w:rPr>
          <w:rFonts w:cstheme="minorHAnsi"/>
        </w:rPr>
        <w:t xml:space="preserve">lomoucké aglomerace.  </w:t>
      </w:r>
    </w:p>
    <w:p w14:paraId="2BF1457E" w14:textId="00EB716E" w:rsidR="006F115D" w:rsidRPr="009A2376" w:rsidRDefault="006F115D" w:rsidP="006F115D">
      <w:pPr>
        <w:pStyle w:val="Odstavecseseznamem"/>
        <w:spacing w:before="120" w:after="120"/>
        <w:ind w:left="0"/>
        <w:contextualSpacing w:val="0"/>
        <w:rPr>
          <w:rFonts w:cstheme="minorHAnsi"/>
        </w:rPr>
      </w:pPr>
      <w:r w:rsidRPr="001756AD">
        <w:rPr>
          <w:rFonts w:cstheme="minorHAnsi"/>
          <w:b/>
        </w:rPr>
        <w:t>O získání dotace</w:t>
      </w:r>
      <w:r w:rsidR="00A15E2A">
        <w:rPr>
          <w:rFonts w:cstheme="minorHAnsi"/>
        </w:rPr>
        <w:t xml:space="preserve"> </w:t>
      </w:r>
      <w:r w:rsidRPr="00AE0EC4">
        <w:rPr>
          <w:rFonts w:cstheme="minorHAnsi"/>
        </w:rPr>
        <w:t xml:space="preserve">z </w:t>
      </w:r>
      <w:r w:rsidR="00134244">
        <w:rPr>
          <w:rFonts w:cstheme="minorHAnsi"/>
        </w:rPr>
        <w:t>p</w:t>
      </w:r>
      <w:r w:rsidRPr="00AE0EC4">
        <w:rPr>
          <w:rFonts w:cstheme="minorHAnsi"/>
        </w:rPr>
        <w:t xml:space="preserve">rogramu </w:t>
      </w:r>
      <w:r w:rsidRPr="00E435F9">
        <w:rPr>
          <w:rFonts w:cstheme="minorHAnsi"/>
          <w:i/>
        </w:rPr>
        <w:t>Nemovitosti</w:t>
      </w:r>
      <w:r w:rsidR="00A15E2A">
        <w:rPr>
          <w:rFonts w:cstheme="minorHAnsi"/>
        </w:rPr>
        <w:t xml:space="preserve"> OPPIK</w:t>
      </w:r>
      <w:r w:rsidRPr="00AE0EC4">
        <w:rPr>
          <w:rFonts w:cstheme="minorHAnsi"/>
        </w:rPr>
        <w:t xml:space="preserve"> byl </w:t>
      </w:r>
      <w:r w:rsidR="00A15E2A">
        <w:rPr>
          <w:rFonts w:cstheme="minorHAnsi"/>
        </w:rPr>
        <w:t>ze</w:t>
      </w:r>
      <w:r w:rsidR="006D5510">
        <w:rPr>
          <w:rFonts w:cstheme="minorHAnsi"/>
        </w:rPr>
        <w:t> </w:t>
      </w:r>
      <w:r w:rsidR="00A15E2A">
        <w:rPr>
          <w:rFonts w:cstheme="minorHAnsi"/>
        </w:rPr>
        <w:t>strany podnikatelských subjektů</w:t>
      </w:r>
      <w:r w:rsidR="00A15E2A" w:rsidRPr="00AE0EC4">
        <w:rPr>
          <w:rFonts w:cstheme="minorHAnsi"/>
        </w:rPr>
        <w:t xml:space="preserve"> </w:t>
      </w:r>
      <w:r w:rsidRPr="001756AD">
        <w:rPr>
          <w:rFonts w:cstheme="minorHAnsi"/>
          <w:b/>
        </w:rPr>
        <w:t>velký zájem</w:t>
      </w:r>
      <w:r w:rsidRPr="003E42C7">
        <w:rPr>
          <w:rFonts w:cstheme="minorHAnsi"/>
          <w:b/>
        </w:rPr>
        <w:t>.</w:t>
      </w:r>
      <w:r w:rsidRPr="00AE0EC4">
        <w:rPr>
          <w:rFonts w:cstheme="minorHAnsi"/>
        </w:rPr>
        <w:t xml:space="preserve"> V rámci </w:t>
      </w:r>
      <w:r w:rsidR="00134244">
        <w:rPr>
          <w:rFonts w:cstheme="minorHAnsi"/>
        </w:rPr>
        <w:t>p</w:t>
      </w:r>
      <w:r w:rsidRPr="00AE0EC4">
        <w:rPr>
          <w:rFonts w:cstheme="minorHAnsi"/>
        </w:rPr>
        <w:t xml:space="preserve">rogramu </w:t>
      </w:r>
      <w:r w:rsidRPr="003E42C7">
        <w:rPr>
          <w:rFonts w:cstheme="minorHAnsi"/>
          <w:i/>
        </w:rPr>
        <w:t>Nemovitosti</w:t>
      </w:r>
      <w:r w:rsidR="00A15E2A">
        <w:rPr>
          <w:rFonts w:cstheme="minorHAnsi"/>
        </w:rPr>
        <w:t xml:space="preserve"> OPPIK</w:t>
      </w:r>
      <w:r w:rsidRPr="00AE0EC4">
        <w:rPr>
          <w:rFonts w:cstheme="minorHAnsi"/>
        </w:rPr>
        <w:t xml:space="preserve"> bylo podáno celkem 1 601 žádostí o</w:t>
      </w:r>
      <w:r w:rsidR="00134244">
        <w:rPr>
          <w:rFonts w:cstheme="minorHAnsi"/>
        </w:rPr>
        <w:t> </w:t>
      </w:r>
      <w:r w:rsidRPr="00AE0EC4">
        <w:rPr>
          <w:rFonts w:cstheme="minorHAnsi"/>
        </w:rPr>
        <w:t>dotaci, z</w:t>
      </w:r>
      <w:r w:rsidR="00476FC7">
        <w:rPr>
          <w:rFonts w:cstheme="minorHAnsi"/>
        </w:rPr>
        <w:t> </w:t>
      </w:r>
      <w:r w:rsidRPr="00AE0EC4">
        <w:rPr>
          <w:rFonts w:cstheme="minorHAnsi"/>
        </w:rPr>
        <w:t xml:space="preserve">kterých MPO vybralo k podpoře 357 projektů. </w:t>
      </w:r>
      <w:r w:rsidR="00A928FA" w:rsidRPr="00430359">
        <w:rPr>
          <w:rFonts w:asciiTheme="minorHAnsi" w:hAnsiTheme="minorHAnsi" w:cstheme="minorHAnsi"/>
        </w:rPr>
        <w:t xml:space="preserve">Těmto vybraným příjemcům do konce roku 2023 vyplatilo MPO dotace v celkové výši </w:t>
      </w:r>
      <w:r w:rsidR="0096453F">
        <w:rPr>
          <w:rFonts w:asciiTheme="minorHAnsi" w:hAnsiTheme="minorHAnsi" w:cstheme="minorHAnsi"/>
        </w:rPr>
        <w:t>4 167,6</w:t>
      </w:r>
      <w:r w:rsidR="00A928FA" w:rsidRPr="00430359">
        <w:rPr>
          <w:rFonts w:asciiTheme="minorHAnsi" w:hAnsiTheme="minorHAnsi" w:cstheme="minorHAnsi"/>
        </w:rPr>
        <w:t xml:space="preserve"> mil. </w:t>
      </w:r>
      <w:r w:rsidR="00A928FA" w:rsidRPr="008055A9">
        <w:rPr>
          <w:rFonts w:asciiTheme="minorHAnsi" w:hAnsiTheme="minorHAnsi" w:cstheme="minorHAnsi"/>
        </w:rPr>
        <w:t>Kč.</w:t>
      </w:r>
      <w:r w:rsidR="008055A9" w:rsidRPr="008055A9">
        <w:rPr>
          <w:rFonts w:cstheme="minorHAnsi"/>
        </w:rPr>
        <w:t xml:space="preserve"> </w:t>
      </w:r>
      <w:r w:rsidR="00563FFD" w:rsidRPr="008055A9">
        <w:rPr>
          <w:rFonts w:cstheme="minorHAnsi"/>
        </w:rPr>
        <w:t>N</w:t>
      </w:r>
      <w:r w:rsidR="00563FFD" w:rsidRPr="009A2376">
        <w:rPr>
          <w:rFonts w:cstheme="minorHAnsi"/>
        </w:rPr>
        <w:t xml:space="preserve">KÚ </w:t>
      </w:r>
      <w:r w:rsidR="00563FFD">
        <w:rPr>
          <w:rFonts w:cstheme="minorHAnsi"/>
        </w:rPr>
        <w:t>u</w:t>
      </w:r>
      <w:r w:rsidR="002E4FB4" w:rsidRPr="009A2376">
        <w:rPr>
          <w:rFonts w:cstheme="minorHAnsi"/>
        </w:rPr>
        <w:t xml:space="preserve"> vybraného vzorku deseti projektů podpořených dotací z </w:t>
      </w:r>
      <w:r w:rsidR="00134244">
        <w:rPr>
          <w:rFonts w:cstheme="minorHAnsi"/>
        </w:rPr>
        <w:t>p</w:t>
      </w:r>
      <w:r w:rsidR="002E4FB4" w:rsidRPr="009A2376">
        <w:rPr>
          <w:rFonts w:cstheme="minorHAnsi"/>
        </w:rPr>
        <w:t xml:space="preserve">rogramu </w:t>
      </w:r>
      <w:r w:rsidR="002E4FB4" w:rsidRPr="003E42C7">
        <w:rPr>
          <w:rFonts w:cstheme="minorHAnsi"/>
          <w:i/>
        </w:rPr>
        <w:t>Nemovitosti</w:t>
      </w:r>
      <w:r w:rsidR="002E4FB4" w:rsidRPr="009A2376">
        <w:rPr>
          <w:rFonts w:cstheme="minorHAnsi"/>
        </w:rPr>
        <w:t xml:space="preserve"> OPPIK ověřil</w:t>
      </w:r>
      <w:r w:rsidR="009A2376" w:rsidRPr="009A2376">
        <w:rPr>
          <w:rFonts w:cstheme="minorHAnsi"/>
        </w:rPr>
        <w:t>, že MPO provedlo</w:t>
      </w:r>
      <w:r w:rsidR="002E4FB4" w:rsidRPr="009A2376">
        <w:rPr>
          <w:rFonts w:cstheme="minorHAnsi"/>
        </w:rPr>
        <w:t xml:space="preserve"> výběr a</w:t>
      </w:r>
      <w:r w:rsidR="002D6D61">
        <w:rPr>
          <w:rFonts w:cstheme="minorHAnsi"/>
        </w:rPr>
        <w:t> </w:t>
      </w:r>
      <w:r w:rsidR="002E4FB4" w:rsidRPr="009A2376">
        <w:rPr>
          <w:rFonts w:cstheme="minorHAnsi"/>
        </w:rPr>
        <w:t>hodnocení</w:t>
      </w:r>
      <w:r w:rsidR="009A2376" w:rsidRPr="009A2376">
        <w:rPr>
          <w:rFonts w:cstheme="minorHAnsi"/>
        </w:rPr>
        <w:t xml:space="preserve"> těchto projektů podle předem stanovených kritérií </w:t>
      </w:r>
      <w:r w:rsidR="002E4FB4" w:rsidRPr="009A2376">
        <w:rPr>
          <w:rFonts w:cstheme="minorHAnsi"/>
        </w:rPr>
        <w:t xml:space="preserve">včetně hodnocení účelnosti a hospodárnosti, </w:t>
      </w:r>
      <w:r w:rsidR="009A2376" w:rsidRPr="009A2376">
        <w:rPr>
          <w:rFonts w:cstheme="minorHAnsi"/>
        </w:rPr>
        <w:t>že příjemci vybíral</w:t>
      </w:r>
      <w:r w:rsidR="00E12549">
        <w:rPr>
          <w:rFonts w:cstheme="minorHAnsi"/>
        </w:rPr>
        <w:t>i</w:t>
      </w:r>
      <w:r w:rsidR="005671FC">
        <w:rPr>
          <w:rFonts w:cstheme="minorHAnsi"/>
        </w:rPr>
        <w:t xml:space="preserve"> </w:t>
      </w:r>
      <w:r w:rsidR="009A2376" w:rsidRPr="009A2376">
        <w:rPr>
          <w:rFonts w:cstheme="minorHAnsi"/>
        </w:rPr>
        <w:t>dodavatele podle postupů stanovených MPO</w:t>
      </w:r>
      <w:r w:rsidR="002E4FB4" w:rsidRPr="009A2376">
        <w:rPr>
          <w:rFonts w:cstheme="minorHAnsi"/>
        </w:rPr>
        <w:t xml:space="preserve">, </w:t>
      </w:r>
      <w:r w:rsidR="009A2376" w:rsidRPr="009A2376">
        <w:rPr>
          <w:rFonts w:cstheme="minorHAnsi"/>
        </w:rPr>
        <w:t xml:space="preserve">že příjemci realizací projektů dosáhli </w:t>
      </w:r>
      <w:r w:rsidR="002E4FB4" w:rsidRPr="009A2376">
        <w:rPr>
          <w:rFonts w:cstheme="minorHAnsi"/>
        </w:rPr>
        <w:t>splnění stanovených cílů</w:t>
      </w:r>
      <w:r w:rsidR="002D086B">
        <w:rPr>
          <w:rFonts w:cstheme="minorHAnsi"/>
        </w:rPr>
        <w:t xml:space="preserve">, </w:t>
      </w:r>
      <w:r w:rsidR="009A2376" w:rsidRPr="009A2376">
        <w:rPr>
          <w:rFonts w:cstheme="minorHAnsi"/>
        </w:rPr>
        <w:t xml:space="preserve">že </w:t>
      </w:r>
      <w:r w:rsidR="004536B9">
        <w:rPr>
          <w:rFonts w:cstheme="minorHAnsi"/>
        </w:rPr>
        <w:t>MPO zajistilo, že jím pověřená podřízená organizace kont</w:t>
      </w:r>
      <w:r w:rsidR="007D6B10">
        <w:rPr>
          <w:rFonts w:cstheme="minorHAnsi"/>
        </w:rPr>
        <w:t>r</w:t>
      </w:r>
      <w:r w:rsidR="004536B9">
        <w:rPr>
          <w:rFonts w:cstheme="minorHAnsi"/>
        </w:rPr>
        <w:t xml:space="preserve">oluje vynaložené výdaje a že </w:t>
      </w:r>
      <w:r w:rsidR="009A2376" w:rsidRPr="009A2376">
        <w:rPr>
          <w:rFonts w:cstheme="minorHAnsi"/>
        </w:rPr>
        <w:t>MPO provádělo kontroly</w:t>
      </w:r>
      <w:r w:rsidR="002E4FB4" w:rsidRPr="009A2376">
        <w:rPr>
          <w:rFonts w:cstheme="minorHAnsi"/>
        </w:rPr>
        <w:t xml:space="preserve"> a</w:t>
      </w:r>
      <w:r w:rsidR="002D6D61">
        <w:rPr>
          <w:rFonts w:cstheme="minorHAnsi"/>
        </w:rPr>
        <w:t> </w:t>
      </w:r>
      <w:r w:rsidR="002E4FB4" w:rsidRPr="009A2376">
        <w:rPr>
          <w:rFonts w:cstheme="minorHAnsi"/>
        </w:rPr>
        <w:t>monitoring</w:t>
      </w:r>
      <w:r w:rsidR="009A2376" w:rsidRPr="009A2376">
        <w:rPr>
          <w:rFonts w:cstheme="minorHAnsi"/>
        </w:rPr>
        <w:t xml:space="preserve"> vybraných projektů</w:t>
      </w:r>
      <w:r w:rsidR="002E4FB4" w:rsidRPr="009A2376">
        <w:rPr>
          <w:rFonts w:cstheme="minorHAnsi"/>
        </w:rPr>
        <w:t xml:space="preserve">. </w:t>
      </w:r>
    </w:p>
    <w:p w14:paraId="6C289657" w14:textId="636B27C1" w:rsidR="009A2376" w:rsidRDefault="009A2376" w:rsidP="006F115D">
      <w:pPr>
        <w:pStyle w:val="Odstavecseseznamem"/>
        <w:spacing w:before="120" w:after="120"/>
        <w:ind w:left="0"/>
        <w:contextualSpacing w:val="0"/>
        <w:rPr>
          <w:rFonts w:cstheme="minorHAnsi"/>
        </w:rPr>
      </w:pPr>
      <w:r w:rsidRPr="009A2376">
        <w:rPr>
          <w:rFonts w:cstheme="minorHAnsi"/>
        </w:rPr>
        <w:t>NKÚ v roce 2018</w:t>
      </w:r>
      <w:r>
        <w:rPr>
          <w:rFonts w:cstheme="minorHAnsi"/>
        </w:rPr>
        <w:t xml:space="preserve"> v kontrolní</w:t>
      </w:r>
      <w:r w:rsidR="00057BF3">
        <w:rPr>
          <w:rFonts w:cstheme="minorHAnsi"/>
        </w:rPr>
        <w:t>m</w:t>
      </w:r>
      <w:r>
        <w:rPr>
          <w:rFonts w:cstheme="minorHAnsi"/>
        </w:rPr>
        <w:t xml:space="preserve"> závěru č. 18/01</w:t>
      </w:r>
      <w:r w:rsidRPr="009A2376">
        <w:rPr>
          <w:rFonts w:cstheme="minorHAnsi"/>
        </w:rPr>
        <w:t xml:space="preserve"> u </w:t>
      </w:r>
      <w:r w:rsidR="00134244">
        <w:rPr>
          <w:rFonts w:cstheme="minorHAnsi"/>
        </w:rPr>
        <w:t>p</w:t>
      </w:r>
      <w:r w:rsidRPr="009A2376">
        <w:rPr>
          <w:rFonts w:cstheme="minorHAnsi"/>
        </w:rPr>
        <w:t xml:space="preserve">rogramu </w:t>
      </w:r>
      <w:r w:rsidRPr="003E42C7">
        <w:rPr>
          <w:rFonts w:cstheme="minorHAnsi"/>
          <w:i/>
        </w:rPr>
        <w:t>Nemovitosti</w:t>
      </w:r>
      <w:r w:rsidRPr="009A2376">
        <w:rPr>
          <w:rFonts w:cstheme="minorHAnsi"/>
        </w:rPr>
        <w:t xml:space="preserve"> </w:t>
      </w:r>
      <w:r>
        <w:rPr>
          <w:rFonts w:cstheme="minorHAnsi"/>
        </w:rPr>
        <w:t xml:space="preserve">OPPIK </w:t>
      </w:r>
      <w:r w:rsidRPr="009A2376">
        <w:rPr>
          <w:rFonts w:cstheme="minorHAnsi"/>
        </w:rPr>
        <w:t xml:space="preserve">upozornil, že MPO po realizaci projektů nesledovalo, zda podniky vykazují očekávané přínosy. K tomuto zjištění přijalo MPO nápravné opatření, které spočívalo v rozšíření požadovaných informací, které příjemci </w:t>
      </w:r>
      <w:r>
        <w:rPr>
          <w:rFonts w:cstheme="minorHAnsi"/>
        </w:rPr>
        <w:t xml:space="preserve">každoročně </w:t>
      </w:r>
      <w:r w:rsidRPr="009A2376">
        <w:rPr>
          <w:rFonts w:cstheme="minorHAnsi"/>
        </w:rPr>
        <w:t>pře</w:t>
      </w:r>
      <w:r w:rsidR="002D4405">
        <w:rPr>
          <w:rFonts w:cstheme="minorHAnsi"/>
        </w:rPr>
        <w:t>d</w:t>
      </w:r>
      <w:r w:rsidRPr="009A2376">
        <w:rPr>
          <w:rFonts w:cstheme="minorHAnsi"/>
        </w:rPr>
        <w:t>kládali. MPO koncem roku 2018 oznámilo příjemcům, aby od</w:t>
      </w:r>
      <w:r w:rsidR="00476FC7">
        <w:rPr>
          <w:rFonts w:cstheme="minorHAnsi"/>
        </w:rPr>
        <w:t> </w:t>
      </w:r>
      <w:r w:rsidRPr="009A2376">
        <w:rPr>
          <w:rFonts w:cstheme="minorHAnsi"/>
        </w:rPr>
        <w:t>1. ledna 2019 rozšířili předkládané informace o informace o zvýšení/změně objemu výroby, o</w:t>
      </w:r>
      <w:r w:rsidR="005D1D1B">
        <w:rPr>
          <w:rFonts w:cstheme="minorHAnsi"/>
        </w:rPr>
        <w:t> </w:t>
      </w:r>
      <w:r w:rsidRPr="009A2376">
        <w:rPr>
          <w:rFonts w:cstheme="minorHAnsi"/>
        </w:rPr>
        <w:t>zvýšení podílu exportu na výkonech, o zvýšení/změně počtu pracovních míst v</w:t>
      </w:r>
      <w:r w:rsidR="00476FC7">
        <w:rPr>
          <w:rFonts w:cstheme="minorHAnsi"/>
        </w:rPr>
        <w:t> </w:t>
      </w:r>
      <w:r w:rsidRPr="009A2376">
        <w:rPr>
          <w:rFonts w:cstheme="minorHAnsi"/>
        </w:rPr>
        <w:t>důsledku projektu a o zvýšení/zlepšení efektivnosti výroby</w:t>
      </w:r>
      <w:r w:rsidR="00563FFD">
        <w:rPr>
          <w:rFonts w:cstheme="minorHAnsi"/>
        </w:rPr>
        <w:t>.</w:t>
      </w:r>
      <w:r w:rsidR="005671FC">
        <w:rPr>
          <w:rFonts w:cstheme="minorHAnsi"/>
        </w:rPr>
        <w:t xml:space="preserve"> NKÚ u vzorku deseti projektů ověřil, že příjemci ve svých každoročních zprávách požadované informace uváděli. </w:t>
      </w:r>
      <w:r w:rsidR="00563FFD">
        <w:rPr>
          <w:rFonts w:cstheme="minorHAnsi"/>
        </w:rPr>
        <w:t>Tím</w:t>
      </w:r>
      <w:r w:rsidRPr="009A2376">
        <w:rPr>
          <w:rFonts w:cstheme="minorHAnsi"/>
        </w:rPr>
        <w:t xml:space="preserve"> MPO splnilo </w:t>
      </w:r>
      <w:r w:rsidR="00C844EE">
        <w:rPr>
          <w:rFonts w:cstheme="minorHAnsi"/>
        </w:rPr>
        <w:t>přijaté</w:t>
      </w:r>
      <w:r w:rsidRPr="009A2376">
        <w:rPr>
          <w:rFonts w:cstheme="minorHAnsi"/>
        </w:rPr>
        <w:t xml:space="preserve"> nápravn</w:t>
      </w:r>
      <w:r w:rsidR="00C844EE">
        <w:rPr>
          <w:rFonts w:cstheme="minorHAnsi"/>
        </w:rPr>
        <w:t xml:space="preserve">é </w:t>
      </w:r>
      <w:r w:rsidRPr="009A2376">
        <w:rPr>
          <w:rFonts w:cstheme="minorHAnsi"/>
        </w:rPr>
        <w:t xml:space="preserve">opatření. </w:t>
      </w:r>
    </w:p>
    <w:p w14:paraId="78BC349E" w14:textId="123E3E0A" w:rsidR="00DA0DF4" w:rsidRPr="00EB1470" w:rsidRDefault="006F115D" w:rsidP="007745E3">
      <w:pPr>
        <w:pStyle w:val="Odstavecseseznamem"/>
        <w:spacing w:before="120" w:after="240"/>
        <w:ind w:left="0"/>
        <w:contextualSpacing w:val="0"/>
        <w:rPr>
          <w:rFonts w:cstheme="minorHAnsi"/>
        </w:rPr>
      </w:pPr>
      <w:r>
        <w:t xml:space="preserve">MPO si dalo za cíl, že v rámci </w:t>
      </w:r>
      <w:r w:rsidR="00134244">
        <w:t>p</w:t>
      </w:r>
      <w:r>
        <w:t xml:space="preserve">rogramu </w:t>
      </w:r>
      <w:r w:rsidRPr="003E42C7">
        <w:rPr>
          <w:i/>
        </w:rPr>
        <w:t>Nemovitosti</w:t>
      </w:r>
      <w:r w:rsidR="00A15E2A">
        <w:t xml:space="preserve"> OPPIK</w:t>
      </w:r>
      <w:r>
        <w:t xml:space="preserve"> podpoří regeneraci min.</w:t>
      </w:r>
      <w:r w:rsidR="005D1D1B">
        <w:t> </w:t>
      </w:r>
      <w:r>
        <w:t>243</w:t>
      </w:r>
      <w:r w:rsidR="005D1D1B">
        <w:t> </w:t>
      </w:r>
      <w:r>
        <w:t>tis.</w:t>
      </w:r>
      <w:r w:rsidR="005D1D1B">
        <w:t> </w:t>
      </w:r>
      <w:r>
        <w:t>m</w:t>
      </w:r>
      <w:r>
        <w:rPr>
          <w:vertAlign w:val="superscript"/>
        </w:rPr>
        <w:t>2</w:t>
      </w:r>
      <w:r>
        <w:t xml:space="preserve"> lokalit brownfieldů. MPO do konce roku </w:t>
      </w:r>
      <w:r w:rsidR="00A15E2A">
        <w:t xml:space="preserve">2023 </w:t>
      </w:r>
      <w:r>
        <w:t>vykázalo, že podpořilo 642</w:t>
      </w:r>
      <w:r w:rsidR="005D1D1B">
        <w:t> </w:t>
      </w:r>
      <w:r>
        <w:t>tis.</w:t>
      </w:r>
      <w:r w:rsidR="005D1D1B">
        <w:t> </w:t>
      </w:r>
      <w:r>
        <w:t>m</w:t>
      </w:r>
      <w:r>
        <w:rPr>
          <w:vertAlign w:val="superscript"/>
        </w:rPr>
        <w:t>2</w:t>
      </w:r>
      <w:r>
        <w:t xml:space="preserve"> lokalit brownfieldů. Z naprosté většiny ke splnění tohoto cíle </w:t>
      </w:r>
      <w:r w:rsidRPr="001756AD">
        <w:rPr>
          <w:b/>
        </w:rPr>
        <w:t>přispěly projekty podpořené dotací</w:t>
      </w:r>
      <w:r w:rsidRPr="003E42C7">
        <w:rPr>
          <w:b/>
        </w:rPr>
        <w:t>.</w:t>
      </w:r>
      <w:r>
        <w:t xml:space="preserve"> Ke konci roku 2023 z celkového čerpání </w:t>
      </w:r>
      <w:r w:rsidR="00134244">
        <w:t>p</w:t>
      </w:r>
      <w:r>
        <w:t xml:space="preserve">rogramu </w:t>
      </w:r>
      <w:r w:rsidRPr="003E42C7">
        <w:rPr>
          <w:i/>
        </w:rPr>
        <w:t>Nemovitosti</w:t>
      </w:r>
      <w:r>
        <w:t xml:space="preserve"> ve výši 4</w:t>
      </w:r>
      <w:r w:rsidR="00BF0C3A">
        <w:t> </w:t>
      </w:r>
      <w:r>
        <w:t>322</w:t>
      </w:r>
      <w:r w:rsidR="00BF0C3A">
        <w:t>,3</w:t>
      </w:r>
      <w:r>
        <w:t xml:space="preserve"> mil. Kč tvořil</w:t>
      </w:r>
      <w:r w:rsidR="002D4405">
        <w:t>y</w:t>
      </w:r>
      <w:r>
        <w:t xml:space="preserve"> dotace 4</w:t>
      </w:r>
      <w:r w:rsidR="00BF0C3A">
        <w:t> </w:t>
      </w:r>
      <w:r>
        <w:t>16</w:t>
      </w:r>
      <w:r w:rsidR="00BF0C3A">
        <w:t>7,6</w:t>
      </w:r>
      <w:r>
        <w:t xml:space="preserve"> mil. Kč (tj. 96 %)</w:t>
      </w:r>
      <w:r w:rsidR="00BF0C3A">
        <w:t xml:space="preserve"> a podpora formou finančního nástroje tvořila 154,7 mil. Kč (tj. 4 %)</w:t>
      </w:r>
      <w:r>
        <w:t>. Dotací MPO podpořilo celkem 357</w:t>
      </w:r>
      <w:r w:rsidR="0076760D">
        <w:t> </w:t>
      </w:r>
      <w:r>
        <w:t>projektů, formou finančního nástroje projekty čtyři.</w:t>
      </w:r>
    </w:p>
    <w:p w14:paraId="770E94C9" w14:textId="78DECDA3" w:rsidR="00223CAA" w:rsidRPr="00C02DD6" w:rsidRDefault="006F115D" w:rsidP="007745E3">
      <w:pPr>
        <w:pStyle w:val="Nadpis4"/>
        <w:spacing w:before="360" w:after="240"/>
        <w:ind w:left="426" w:hanging="426"/>
        <w:jc w:val="left"/>
        <w:rPr>
          <w:rFonts w:cstheme="minorHAnsi"/>
          <w:color w:val="000000"/>
        </w:rPr>
      </w:pPr>
      <w:r w:rsidRPr="00C02DD6">
        <w:rPr>
          <w:rFonts w:cstheme="minorHAnsi"/>
          <w:color w:val="000000"/>
        </w:rPr>
        <w:t>MPO podpořilo formou finančního nástroje pouze čtyři projekty</w:t>
      </w:r>
      <w:r w:rsidR="004B50DA" w:rsidRPr="00C02DD6">
        <w:rPr>
          <w:rFonts w:cstheme="minorHAnsi"/>
          <w:color w:val="000000"/>
        </w:rPr>
        <w:t xml:space="preserve">. Zatím vyplacené </w:t>
      </w:r>
      <w:r w:rsidRPr="00C02DD6">
        <w:t xml:space="preserve">výdaje </w:t>
      </w:r>
      <w:r w:rsidR="006C0456" w:rsidRPr="00C02DD6">
        <w:t>na odměny</w:t>
      </w:r>
      <w:r w:rsidR="00755653" w:rsidRPr="00C02DD6">
        <w:t xml:space="preserve"> za realizaci</w:t>
      </w:r>
      <w:r w:rsidRPr="00C02DD6">
        <w:t xml:space="preserve"> tohoto finančního nástroje tvořily 2</w:t>
      </w:r>
      <w:r w:rsidR="000A1CBC" w:rsidRPr="00C02DD6">
        <w:t>7</w:t>
      </w:r>
      <w:r w:rsidRPr="00C02DD6">
        <w:t xml:space="preserve"> % hodnoty poskytnuté podpory</w:t>
      </w:r>
    </w:p>
    <w:p w14:paraId="67997761" w14:textId="0E8DB823" w:rsidR="00CE796F" w:rsidRPr="00C02DD6" w:rsidRDefault="00557DE2" w:rsidP="00875B79">
      <w:pPr>
        <w:spacing w:before="120" w:after="120"/>
      </w:pPr>
      <w:r w:rsidRPr="00C02DD6">
        <w:t xml:space="preserve">Do implementace finančního nástroje byly zapojeny tři subjekty, a to </w:t>
      </w:r>
      <w:r w:rsidRPr="00C02DD6">
        <w:rPr>
          <w:b/>
        </w:rPr>
        <w:t xml:space="preserve">MPO, Správce </w:t>
      </w:r>
      <w:r w:rsidR="00875B79" w:rsidRPr="00057BF3">
        <w:t>Fondu fondů</w:t>
      </w:r>
      <w:r w:rsidR="00580614" w:rsidRPr="00057BF3">
        <w:rPr>
          <w:rStyle w:val="Znakapoznpodarou"/>
        </w:rPr>
        <w:footnoteReference w:id="23"/>
      </w:r>
      <w:r w:rsidRPr="00C02DD6">
        <w:t xml:space="preserve"> (ČMZRB investiční, a.s.</w:t>
      </w:r>
      <w:r w:rsidRPr="00C02DD6">
        <w:rPr>
          <w:rStyle w:val="Znakapoznpodarou"/>
        </w:rPr>
        <w:footnoteReference w:id="24"/>
      </w:r>
      <w:r w:rsidRPr="00C02DD6">
        <w:t xml:space="preserve">) </w:t>
      </w:r>
      <w:r w:rsidRPr="00C02DD6">
        <w:rPr>
          <w:b/>
        </w:rPr>
        <w:t>a Finanční zprostředkovatel</w:t>
      </w:r>
      <w:r w:rsidRPr="00C02DD6">
        <w:t xml:space="preserve"> (</w:t>
      </w:r>
      <w:r w:rsidR="00875B79" w:rsidRPr="00C02DD6">
        <w:t xml:space="preserve">soukromá společnost, kterou vybral Správce na základě </w:t>
      </w:r>
      <w:r w:rsidR="0093084A">
        <w:t xml:space="preserve">zadávacího </w:t>
      </w:r>
      <w:r w:rsidR="00875B79" w:rsidRPr="00C02DD6">
        <w:t>řízení podle zákona</w:t>
      </w:r>
      <w:r w:rsidR="0093084A">
        <w:t xml:space="preserve"> č. 134/2016 Sb.,</w:t>
      </w:r>
      <w:r w:rsidR="00875B79" w:rsidRPr="00C02DD6">
        <w:t xml:space="preserve"> o</w:t>
      </w:r>
      <w:r w:rsidR="00134244">
        <w:t> </w:t>
      </w:r>
      <w:r w:rsidR="00875B79" w:rsidRPr="00C02DD6">
        <w:t>zadávání veřejných zakázek). Podrobné implementační schéma</w:t>
      </w:r>
      <w:r w:rsidR="00C844EE" w:rsidRPr="00C02DD6">
        <w:t xml:space="preserve"> finančního nástroje</w:t>
      </w:r>
      <w:r w:rsidR="0096041A" w:rsidRPr="00C02DD6">
        <w:t xml:space="preserve"> </w:t>
      </w:r>
      <w:r w:rsidR="00875B79" w:rsidRPr="00C02DD6">
        <w:t>je uvedeno v </w:t>
      </w:r>
      <w:r w:rsidR="00134244">
        <w:t>p</w:t>
      </w:r>
      <w:r w:rsidR="00875B79" w:rsidRPr="00C02DD6">
        <w:t>říloze č.</w:t>
      </w:r>
      <w:r w:rsidR="005B6F40" w:rsidRPr="00C02DD6">
        <w:t xml:space="preserve"> </w:t>
      </w:r>
      <w:r w:rsidR="009B467C" w:rsidRPr="00C02DD6">
        <w:t>3</w:t>
      </w:r>
      <w:r w:rsidR="00875B79" w:rsidRPr="00C02DD6">
        <w:t xml:space="preserve">. </w:t>
      </w:r>
    </w:p>
    <w:p w14:paraId="17A0FF3D" w14:textId="24C2F545" w:rsidR="006A1F65" w:rsidRPr="00C02DD6" w:rsidRDefault="00557DE2" w:rsidP="00875B79">
      <w:pPr>
        <w:spacing w:before="120" w:after="120"/>
        <w:rPr>
          <w:rFonts w:asciiTheme="minorHAnsi" w:hAnsiTheme="minorHAnsi" w:cstheme="minorHAnsi"/>
        </w:rPr>
      </w:pPr>
      <w:r w:rsidRPr="00C02DD6">
        <w:lastRenderedPageBreak/>
        <w:t>Ministerstv</w:t>
      </w:r>
      <w:r w:rsidR="00875B79" w:rsidRPr="00C02DD6">
        <w:t>o</w:t>
      </w:r>
      <w:r w:rsidRPr="00C02DD6">
        <w:t xml:space="preserve"> průmyslu a obchodu </w:t>
      </w:r>
      <w:r w:rsidR="00875B79" w:rsidRPr="00C02DD6">
        <w:t xml:space="preserve">uzavřelo </w:t>
      </w:r>
      <w:r w:rsidR="00386FDE" w:rsidRPr="00C02DD6">
        <w:t xml:space="preserve">s </w:t>
      </w:r>
      <w:r w:rsidRPr="00C02DD6">
        <w:t>ČMZRB investiční, a.s.</w:t>
      </w:r>
      <w:r w:rsidR="00134244">
        <w:t>,</w:t>
      </w:r>
      <w:r w:rsidR="00386FDE" w:rsidRPr="00C02DD6">
        <w:t xml:space="preserve"> jako Správcem</w:t>
      </w:r>
      <w:r w:rsidRPr="00C02DD6">
        <w:t xml:space="preserve"> </w:t>
      </w:r>
      <w:r w:rsidR="00875B79" w:rsidRPr="00C02DD6">
        <w:t>tzv.</w:t>
      </w:r>
      <w:r w:rsidR="00476FC7" w:rsidRPr="00C02DD6">
        <w:t> </w:t>
      </w:r>
      <w:r w:rsidR="00134244">
        <w:rPr>
          <w:b/>
        </w:rPr>
        <w:t>d</w:t>
      </w:r>
      <w:r w:rsidRPr="00C02DD6">
        <w:rPr>
          <w:b/>
        </w:rPr>
        <w:t>ohod</w:t>
      </w:r>
      <w:r w:rsidR="00783111" w:rsidRPr="00C02DD6">
        <w:rPr>
          <w:b/>
        </w:rPr>
        <w:t>u</w:t>
      </w:r>
      <w:r w:rsidRPr="00C02DD6">
        <w:rPr>
          <w:b/>
        </w:rPr>
        <w:t xml:space="preserve"> o financování</w:t>
      </w:r>
      <w:r w:rsidR="00875B79" w:rsidRPr="00C02DD6">
        <w:t xml:space="preserve"> dne 12. března 2020. </w:t>
      </w:r>
      <w:r w:rsidR="00BA6856" w:rsidRPr="00C02DD6">
        <w:t>Podle této dohody byl Správce povinen realizovat</w:t>
      </w:r>
      <w:r w:rsidR="00A0746E" w:rsidRPr="00C02DD6">
        <w:rPr>
          <w:rFonts w:asciiTheme="minorHAnsi" w:hAnsiTheme="minorHAnsi" w:cstheme="minorHAnsi"/>
        </w:rPr>
        <w:t xml:space="preserve"> činnosti spojené s výběrem Finančního zprostředkovatele</w:t>
      </w:r>
      <w:r w:rsidR="006800B2">
        <w:rPr>
          <w:rFonts w:asciiTheme="minorHAnsi" w:hAnsiTheme="minorHAnsi" w:cstheme="minorHAnsi"/>
        </w:rPr>
        <w:t xml:space="preserve"> a </w:t>
      </w:r>
      <w:r w:rsidR="00BF0C3A">
        <w:rPr>
          <w:rFonts w:asciiTheme="minorHAnsi" w:hAnsiTheme="minorHAnsi" w:cstheme="minorHAnsi"/>
        </w:rPr>
        <w:t xml:space="preserve">s </w:t>
      </w:r>
      <w:r w:rsidR="006800B2">
        <w:rPr>
          <w:rFonts w:asciiTheme="minorHAnsi" w:hAnsiTheme="minorHAnsi" w:cstheme="minorHAnsi"/>
        </w:rPr>
        <w:t>uzavřením tzv.</w:t>
      </w:r>
      <w:r w:rsidR="002D6D61">
        <w:rPr>
          <w:rFonts w:asciiTheme="minorHAnsi" w:hAnsiTheme="minorHAnsi" w:cstheme="minorHAnsi"/>
        </w:rPr>
        <w:t> </w:t>
      </w:r>
      <w:r w:rsidR="00134244">
        <w:rPr>
          <w:rFonts w:asciiTheme="minorHAnsi" w:hAnsiTheme="minorHAnsi" w:cstheme="minorHAnsi"/>
        </w:rPr>
        <w:t>o</w:t>
      </w:r>
      <w:r w:rsidR="006800B2">
        <w:rPr>
          <w:rFonts w:asciiTheme="minorHAnsi" w:hAnsiTheme="minorHAnsi" w:cstheme="minorHAnsi"/>
        </w:rPr>
        <w:t xml:space="preserve">perační dohody s vybraným </w:t>
      </w:r>
      <w:r w:rsidR="00AA0B3B">
        <w:rPr>
          <w:rFonts w:asciiTheme="minorHAnsi" w:hAnsiTheme="minorHAnsi" w:cstheme="minorHAnsi"/>
        </w:rPr>
        <w:t xml:space="preserve">Finančním </w:t>
      </w:r>
      <w:r w:rsidR="006800B2">
        <w:rPr>
          <w:rFonts w:asciiTheme="minorHAnsi" w:hAnsiTheme="minorHAnsi" w:cstheme="minorHAnsi"/>
        </w:rPr>
        <w:t>zprostředkovatelem</w:t>
      </w:r>
      <w:r w:rsidR="00A0746E" w:rsidRPr="00C02DD6">
        <w:rPr>
          <w:rFonts w:asciiTheme="minorHAnsi" w:hAnsiTheme="minorHAnsi" w:cstheme="minorHAnsi"/>
        </w:rPr>
        <w:t xml:space="preserve">, </w:t>
      </w:r>
      <w:r w:rsidR="006800B2">
        <w:rPr>
          <w:rFonts w:asciiTheme="minorHAnsi" w:hAnsiTheme="minorHAnsi" w:cstheme="minorHAnsi"/>
        </w:rPr>
        <w:t xml:space="preserve">činnosti spojené </w:t>
      </w:r>
      <w:r w:rsidR="00A0746E" w:rsidRPr="00C02DD6">
        <w:rPr>
          <w:rFonts w:asciiTheme="minorHAnsi" w:hAnsiTheme="minorHAnsi" w:cstheme="minorHAnsi"/>
        </w:rPr>
        <w:t>s</w:t>
      </w:r>
      <w:r w:rsidR="00134244">
        <w:rPr>
          <w:rFonts w:asciiTheme="minorHAnsi" w:hAnsiTheme="minorHAnsi" w:cstheme="minorHAnsi"/>
        </w:rPr>
        <w:t> </w:t>
      </w:r>
      <w:r w:rsidR="00A0746E" w:rsidRPr="00C02DD6">
        <w:rPr>
          <w:rFonts w:asciiTheme="minorHAnsi" w:hAnsiTheme="minorHAnsi" w:cstheme="minorHAnsi"/>
        </w:rPr>
        <w:t>výpočtem</w:t>
      </w:r>
      <w:r w:rsidR="00134244">
        <w:rPr>
          <w:rFonts w:asciiTheme="minorHAnsi" w:hAnsiTheme="minorHAnsi" w:cstheme="minorHAnsi"/>
        </w:rPr>
        <w:t xml:space="preserve"> </w:t>
      </w:r>
      <w:r w:rsidR="00A0746E" w:rsidRPr="00C02DD6">
        <w:rPr>
          <w:rFonts w:asciiTheme="minorHAnsi" w:hAnsiTheme="minorHAnsi" w:cstheme="minorHAnsi"/>
        </w:rPr>
        <w:t xml:space="preserve">odměny </w:t>
      </w:r>
      <w:r w:rsidR="006A1F65" w:rsidRPr="00C02DD6">
        <w:rPr>
          <w:rFonts w:asciiTheme="minorHAnsi" w:hAnsiTheme="minorHAnsi" w:cstheme="minorHAnsi"/>
        </w:rPr>
        <w:t>Správc</w:t>
      </w:r>
      <w:r w:rsidR="00134244">
        <w:rPr>
          <w:rFonts w:asciiTheme="minorHAnsi" w:hAnsiTheme="minorHAnsi" w:cstheme="minorHAnsi"/>
        </w:rPr>
        <w:t>i</w:t>
      </w:r>
      <w:r w:rsidR="006A1F65" w:rsidRPr="00C02DD6">
        <w:rPr>
          <w:rFonts w:asciiTheme="minorHAnsi" w:hAnsiTheme="minorHAnsi" w:cstheme="minorHAnsi"/>
        </w:rPr>
        <w:t xml:space="preserve"> a Finanční</w:t>
      </w:r>
      <w:r w:rsidR="00134244">
        <w:rPr>
          <w:rFonts w:asciiTheme="minorHAnsi" w:hAnsiTheme="minorHAnsi" w:cstheme="minorHAnsi"/>
        </w:rPr>
        <w:t>mu</w:t>
      </w:r>
      <w:r w:rsidR="006A1F65" w:rsidRPr="00C02DD6">
        <w:rPr>
          <w:rFonts w:asciiTheme="minorHAnsi" w:hAnsiTheme="minorHAnsi" w:cstheme="minorHAnsi"/>
        </w:rPr>
        <w:t xml:space="preserve"> zprostředkovatel</w:t>
      </w:r>
      <w:r w:rsidR="00134244">
        <w:rPr>
          <w:rFonts w:asciiTheme="minorHAnsi" w:hAnsiTheme="minorHAnsi" w:cstheme="minorHAnsi"/>
        </w:rPr>
        <w:t>i</w:t>
      </w:r>
      <w:r w:rsidR="006A1F65" w:rsidRPr="00C02DD6">
        <w:rPr>
          <w:rFonts w:asciiTheme="minorHAnsi" w:hAnsiTheme="minorHAnsi" w:cstheme="minorHAnsi"/>
        </w:rPr>
        <w:t xml:space="preserve"> a dále </w:t>
      </w:r>
      <w:r w:rsidR="00A0746E" w:rsidRPr="00C02DD6">
        <w:rPr>
          <w:rFonts w:asciiTheme="minorHAnsi" w:hAnsiTheme="minorHAnsi" w:cstheme="minorHAnsi"/>
        </w:rPr>
        <w:t>provádě</w:t>
      </w:r>
      <w:r w:rsidR="00BA6856" w:rsidRPr="00C02DD6">
        <w:rPr>
          <w:rFonts w:asciiTheme="minorHAnsi" w:hAnsiTheme="minorHAnsi" w:cstheme="minorHAnsi"/>
        </w:rPr>
        <w:t xml:space="preserve">t </w:t>
      </w:r>
      <w:r w:rsidR="00A0746E" w:rsidRPr="00C02DD6">
        <w:rPr>
          <w:rFonts w:asciiTheme="minorHAnsi" w:hAnsiTheme="minorHAnsi" w:cstheme="minorHAnsi"/>
        </w:rPr>
        <w:t>monitorovací a</w:t>
      </w:r>
      <w:r w:rsidR="002D6D61">
        <w:rPr>
          <w:rFonts w:asciiTheme="minorHAnsi" w:hAnsiTheme="minorHAnsi" w:cstheme="minorHAnsi"/>
        </w:rPr>
        <w:t> </w:t>
      </w:r>
      <w:r w:rsidR="00A0746E" w:rsidRPr="00C02DD6">
        <w:rPr>
          <w:rFonts w:asciiTheme="minorHAnsi" w:hAnsiTheme="minorHAnsi" w:cstheme="minorHAnsi"/>
        </w:rPr>
        <w:t>kontrolní činnost</w:t>
      </w:r>
      <w:r w:rsidR="006A1F65" w:rsidRPr="00C02DD6">
        <w:rPr>
          <w:rFonts w:asciiTheme="minorHAnsi" w:hAnsiTheme="minorHAnsi" w:cstheme="minorHAnsi"/>
        </w:rPr>
        <w:t>i</w:t>
      </w:r>
      <w:r w:rsidR="00A0746E" w:rsidRPr="00C02DD6">
        <w:rPr>
          <w:rFonts w:asciiTheme="minorHAnsi" w:hAnsiTheme="minorHAnsi" w:cstheme="minorHAnsi"/>
        </w:rPr>
        <w:t xml:space="preserve"> a </w:t>
      </w:r>
      <w:r w:rsidR="006A1F65" w:rsidRPr="00C02DD6">
        <w:rPr>
          <w:rFonts w:asciiTheme="minorHAnsi" w:hAnsiTheme="minorHAnsi" w:cstheme="minorHAnsi"/>
        </w:rPr>
        <w:t>řízení volné likvidity</w:t>
      </w:r>
      <w:r w:rsidR="00152620" w:rsidRPr="00C02DD6">
        <w:rPr>
          <w:rFonts w:asciiTheme="minorHAnsi" w:hAnsiTheme="minorHAnsi" w:cstheme="minorHAnsi"/>
        </w:rPr>
        <w:t xml:space="preserve"> Fondu fo</w:t>
      </w:r>
      <w:r w:rsidR="000E37B7" w:rsidRPr="00C02DD6">
        <w:rPr>
          <w:rFonts w:asciiTheme="minorHAnsi" w:hAnsiTheme="minorHAnsi" w:cstheme="minorHAnsi"/>
        </w:rPr>
        <w:t>nd</w:t>
      </w:r>
      <w:r w:rsidR="00152620" w:rsidRPr="00C02DD6">
        <w:rPr>
          <w:rFonts w:asciiTheme="minorHAnsi" w:hAnsiTheme="minorHAnsi" w:cstheme="minorHAnsi"/>
        </w:rPr>
        <w:t>ů</w:t>
      </w:r>
      <w:r w:rsidR="00A0746E" w:rsidRPr="00C02DD6">
        <w:rPr>
          <w:rFonts w:asciiTheme="minorHAnsi" w:hAnsiTheme="minorHAnsi" w:cstheme="minorHAnsi"/>
        </w:rPr>
        <w:t xml:space="preserve">. </w:t>
      </w:r>
      <w:r w:rsidR="000E37B7" w:rsidRPr="00C02DD6">
        <w:rPr>
          <w:rFonts w:asciiTheme="minorHAnsi" w:hAnsiTheme="minorHAnsi" w:cstheme="minorHAnsi"/>
        </w:rPr>
        <w:t xml:space="preserve">V uzavřené </w:t>
      </w:r>
      <w:r w:rsidR="00D339D2">
        <w:rPr>
          <w:rFonts w:asciiTheme="minorHAnsi" w:hAnsiTheme="minorHAnsi" w:cstheme="minorHAnsi"/>
        </w:rPr>
        <w:t>d</w:t>
      </w:r>
      <w:r w:rsidR="000E37B7" w:rsidRPr="00C02DD6">
        <w:rPr>
          <w:rFonts w:asciiTheme="minorHAnsi" w:hAnsiTheme="minorHAnsi" w:cstheme="minorHAnsi"/>
        </w:rPr>
        <w:t>ohodě o</w:t>
      </w:r>
      <w:r w:rsidR="00476FC7" w:rsidRPr="00C02DD6">
        <w:rPr>
          <w:rFonts w:asciiTheme="minorHAnsi" w:hAnsiTheme="minorHAnsi" w:cstheme="minorHAnsi"/>
        </w:rPr>
        <w:t> </w:t>
      </w:r>
      <w:r w:rsidR="000E37B7" w:rsidRPr="00C02DD6">
        <w:rPr>
          <w:rFonts w:asciiTheme="minorHAnsi" w:hAnsiTheme="minorHAnsi" w:cstheme="minorHAnsi"/>
        </w:rPr>
        <w:t xml:space="preserve">financování byla stanovena celková alokace pro Fond fondů ve výši 497 250 000 Kč. </w:t>
      </w:r>
      <w:r w:rsidR="000A59D2" w:rsidRPr="00C02DD6">
        <w:rPr>
          <w:rFonts w:asciiTheme="minorHAnsi" w:hAnsiTheme="minorHAnsi" w:cstheme="minorHAnsi"/>
        </w:rPr>
        <w:t>Za vykonávané činnosti byla Správci do 31. prosince 2023 poskytnuta odměna ve výši 8,1</w:t>
      </w:r>
      <w:r w:rsidR="00D339D2">
        <w:rPr>
          <w:rFonts w:asciiTheme="minorHAnsi" w:hAnsiTheme="minorHAnsi" w:cstheme="minorHAnsi"/>
        </w:rPr>
        <w:t> </w:t>
      </w:r>
      <w:r w:rsidR="000A59D2" w:rsidRPr="00C02DD6">
        <w:rPr>
          <w:rFonts w:asciiTheme="minorHAnsi" w:hAnsiTheme="minorHAnsi" w:cstheme="minorHAnsi"/>
        </w:rPr>
        <w:t>mil.</w:t>
      </w:r>
      <w:r w:rsidR="00D339D2">
        <w:rPr>
          <w:rFonts w:asciiTheme="minorHAnsi" w:hAnsiTheme="minorHAnsi" w:cstheme="minorHAnsi"/>
        </w:rPr>
        <w:t> </w:t>
      </w:r>
      <w:r w:rsidR="000A59D2" w:rsidRPr="00C02DD6">
        <w:rPr>
          <w:rFonts w:asciiTheme="minorHAnsi" w:hAnsiTheme="minorHAnsi" w:cstheme="minorHAnsi"/>
        </w:rPr>
        <w:t>Kč.</w:t>
      </w:r>
    </w:p>
    <w:p w14:paraId="26AE4F46" w14:textId="6290BDA2" w:rsidR="00DA0DF4" w:rsidRPr="00C02DD6" w:rsidRDefault="00557DE2" w:rsidP="00875B79">
      <w:pPr>
        <w:spacing w:before="120" w:after="120"/>
      </w:pPr>
      <w:r w:rsidRPr="00C02DD6">
        <w:t>ČMZRB investiční, a.s.</w:t>
      </w:r>
      <w:r w:rsidR="00D339D2">
        <w:t>,</w:t>
      </w:r>
      <w:r w:rsidRPr="00C02DD6">
        <w:t xml:space="preserve"> </w:t>
      </w:r>
      <w:r w:rsidR="00875B79" w:rsidRPr="00C02DD6">
        <w:t>uzavřela s Finančním zprostředkovatelem</w:t>
      </w:r>
      <w:r w:rsidR="0093084A">
        <w:t xml:space="preserve"> </w:t>
      </w:r>
      <w:r w:rsidR="00875B79" w:rsidRPr="00C02DD6">
        <w:t xml:space="preserve">tzv. </w:t>
      </w:r>
      <w:r w:rsidR="00D339D2">
        <w:rPr>
          <w:b/>
        </w:rPr>
        <w:t>o</w:t>
      </w:r>
      <w:r w:rsidR="00875B79" w:rsidRPr="00C02DD6">
        <w:rPr>
          <w:b/>
        </w:rPr>
        <w:t>perační dohodu</w:t>
      </w:r>
      <w:r w:rsidR="00875B79" w:rsidRPr="00C02DD6">
        <w:t xml:space="preserve"> dne 20. října 2020</w:t>
      </w:r>
      <w:r w:rsidR="00875B79" w:rsidRPr="00C02DD6">
        <w:rPr>
          <w:rFonts w:cstheme="minorHAnsi"/>
        </w:rPr>
        <w:t>.</w:t>
      </w:r>
      <w:r w:rsidR="00A0746E" w:rsidRPr="00C02DD6">
        <w:t xml:space="preserve"> </w:t>
      </w:r>
      <w:r w:rsidR="00BA6856" w:rsidRPr="00C02DD6">
        <w:t xml:space="preserve">Podle této dohody byl </w:t>
      </w:r>
      <w:r w:rsidR="00A0746E" w:rsidRPr="00C02DD6">
        <w:t>Finanční zprostředkovatel</w:t>
      </w:r>
      <w:r w:rsidR="006A1F65" w:rsidRPr="00C02DD6">
        <w:t xml:space="preserve"> </w:t>
      </w:r>
      <w:r w:rsidR="00BA6856" w:rsidRPr="00C02DD6">
        <w:t>povinen realizovat</w:t>
      </w:r>
      <w:r w:rsidR="00A0746E" w:rsidRPr="00C02DD6">
        <w:t xml:space="preserve"> činnosti</w:t>
      </w:r>
      <w:r w:rsidR="006A1F65" w:rsidRPr="00C02DD6">
        <w:t xml:space="preserve"> spojené s</w:t>
      </w:r>
      <w:r w:rsidR="004238BE" w:rsidRPr="00C02DD6">
        <w:t> </w:t>
      </w:r>
      <w:r w:rsidR="006A1F65" w:rsidRPr="00C02DD6">
        <w:t>výběrem</w:t>
      </w:r>
      <w:r w:rsidR="004238BE" w:rsidRPr="00C02DD6">
        <w:t xml:space="preserve"> a</w:t>
      </w:r>
      <w:r w:rsidR="006A1F65" w:rsidRPr="00C02DD6">
        <w:t xml:space="preserve"> s</w:t>
      </w:r>
      <w:r w:rsidR="004238BE" w:rsidRPr="00C02DD6">
        <w:t> </w:t>
      </w:r>
      <w:r w:rsidR="006A1F65" w:rsidRPr="00C02DD6">
        <w:t>hodnocením</w:t>
      </w:r>
      <w:r w:rsidR="004238BE" w:rsidRPr="00C02DD6">
        <w:t xml:space="preserve"> konečných příjemců</w:t>
      </w:r>
      <w:r w:rsidR="006A1F65" w:rsidRPr="00C02DD6">
        <w:t xml:space="preserve"> a s uzavíráním smluv o</w:t>
      </w:r>
      <w:r w:rsidR="00D339D2">
        <w:t> </w:t>
      </w:r>
      <w:r w:rsidR="006A1F65" w:rsidRPr="00C02DD6">
        <w:t>investici s</w:t>
      </w:r>
      <w:r w:rsidR="002D6D61">
        <w:rPr>
          <w:rFonts w:asciiTheme="minorHAnsi" w:hAnsiTheme="minorHAnsi" w:cstheme="minorHAnsi"/>
        </w:rPr>
        <w:t> </w:t>
      </w:r>
      <w:r w:rsidR="006A1F65" w:rsidRPr="00C02DD6">
        <w:rPr>
          <w:rFonts w:asciiTheme="minorHAnsi" w:hAnsiTheme="minorHAnsi" w:cstheme="minorHAnsi"/>
        </w:rPr>
        <w:t>konečnými příjemci na základě vyhlášené výzvy a</w:t>
      </w:r>
      <w:r w:rsidR="006A1F65" w:rsidRPr="00C02DD6">
        <w:rPr>
          <w:rFonts w:cstheme="minorHAnsi"/>
        </w:rPr>
        <w:t xml:space="preserve"> </w:t>
      </w:r>
      <w:r w:rsidR="00BA6856" w:rsidRPr="00C02DD6">
        <w:rPr>
          <w:rFonts w:cstheme="minorHAnsi"/>
        </w:rPr>
        <w:t>dále provádět</w:t>
      </w:r>
      <w:r w:rsidR="006A1F65" w:rsidRPr="00C02DD6">
        <w:rPr>
          <w:rFonts w:cstheme="minorHAnsi"/>
        </w:rPr>
        <w:t xml:space="preserve"> investiční</w:t>
      </w:r>
      <w:r w:rsidR="00BA6856" w:rsidRPr="00C02DD6">
        <w:rPr>
          <w:rFonts w:cstheme="minorHAnsi"/>
        </w:rPr>
        <w:t xml:space="preserve"> </w:t>
      </w:r>
      <w:r w:rsidR="006A1F65" w:rsidRPr="00C02DD6">
        <w:rPr>
          <w:rFonts w:cstheme="minorHAnsi"/>
        </w:rPr>
        <w:t>vyhodnocení jednotlivých projektů a provádě</w:t>
      </w:r>
      <w:r w:rsidR="00BA6856" w:rsidRPr="00C02DD6">
        <w:rPr>
          <w:rFonts w:cstheme="minorHAnsi"/>
        </w:rPr>
        <w:t>t</w:t>
      </w:r>
      <w:r w:rsidR="006A1F65" w:rsidRPr="00C02DD6">
        <w:rPr>
          <w:rFonts w:cstheme="minorHAnsi"/>
        </w:rPr>
        <w:t xml:space="preserve"> správ</w:t>
      </w:r>
      <w:r w:rsidR="00BA6856" w:rsidRPr="00C02DD6">
        <w:rPr>
          <w:rFonts w:cstheme="minorHAnsi"/>
        </w:rPr>
        <w:t>u</w:t>
      </w:r>
      <w:r w:rsidR="006A1F65" w:rsidRPr="00C02DD6">
        <w:rPr>
          <w:rFonts w:cstheme="minorHAnsi"/>
        </w:rPr>
        <w:t xml:space="preserve"> </w:t>
      </w:r>
      <w:r w:rsidR="00E66BED">
        <w:rPr>
          <w:rFonts w:cstheme="minorHAnsi"/>
        </w:rPr>
        <w:t>r</w:t>
      </w:r>
      <w:r w:rsidR="006A1F65" w:rsidRPr="00C02DD6">
        <w:rPr>
          <w:rFonts w:cstheme="minorHAnsi"/>
        </w:rPr>
        <w:t>ozvojového fondu</w:t>
      </w:r>
      <w:r w:rsidR="002D086B">
        <w:rPr>
          <w:rStyle w:val="Znakapoznpodarou"/>
          <w:rFonts w:cstheme="minorHAnsi"/>
        </w:rPr>
        <w:footnoteReference w:id="25"/>
      </w:r>
      <w:r w:rsidR="006A1F65" w:rsidRPr="00C02DD6">
        <w:rPr>
          <w:rFonts w:cstheme="minorHAnsi"/>
        </w:rPr>
        <w:t>.</w:t>
      </w:r>
      <w:r w:rsidR="00A0746E" w:rsidRPr="00C02DD6">
        <w:t xml:space="preserve"> </w:t>
      </w:r>
      <w:r w:rsidR="000E37B7" w:rsidRPr="00C02DD6">
        <w:t>V </w:t>
      </w:r>
      <w:r w:rsidR="00E66BED">
        <w:t>o</w:t>
      </w:r>
      <w:r w:rsidR="000E37B7" w:rsidRPr="00C02DD6">
        <w:t>perační dohodě bylo stanoven</w:t>
      </w:r>
      <w:r w:rsidR="008C6C69" w:rsidRPr="00C02DD6">
        <w:t>o</w:t>
      </w:r>
      <w:r w:rsidR="000E37B7" w:rsidRPr="00C02DD6">
        <w:t xml:space="preserve">, že Finanční zprostředkovatel je oprávněn požádat Správce </w:t>
      </w:r>
      <w:r w:rsidR="008C6C69" w:rsidRPr="00C02DD6">
        <w:t xml:space="preserve">celkově </w:t>
      </w:r>
      <w:r w:rsidR="000E37B7" w:rsidRPr="00C02DD6">
        <w:t>o vklad do</w:t>
      </w:r>
      <w:r w:rsidR="00476FC7" w:rsidRPr="00C02DD6">
        <w:t> </w:t>
      </w:r>
      <w:r w:rsidR="000E37B7" w:rsidRPr="00C02DD6">
        <w:t xml:space="preserve">svého </w:t>
      </w:r>
      <w:r w:rsidR="00E66BED">
        <w:t>r</w:t>
      </w:r>
      <w:r w:rsidR="000E37B7" w:rsidRPr="00C02DD6">
        <w:t xml:space="preserve">ozvojového fondu až do </w:t>
      </w:r>
      <w:r w:rsidR="00E56E12" w:rsidRPr="00C02DD6">
        <w:t xml:space="preserve">maximální </w:t>
      </w:r>
      <w:r w:rsidR="000E37B7" w:rsidRPr="00C02DD6">
        <w:t xml:space="preserve">výše </w:t>
      </w:r>
      <w:r w:rsidR="009C5AFE" w:rsidRPr="00C02DD6">
        <w:t>483 000 000 Kč</w:t>
      </w:r>
      <w:r w:rsidR="000A59D2" w:rsidRPr="00C02DD6">
        <w:rPr>
          <w:rStyle w:val="Znakapoznpodarou"/>
        </w:rPr>
        <w:footnoteReference w:id="26"/>
      </w:r>
      <w:r w:rsidR="009C5AFE" w:rsidRPr="00C02DD6">
        <w:t xml:space="preserve">. </w:t>
      </w:r>
      <w:r w:rsidR="000A59D2" w:rsidRPr="00C02DD6">
        <w:rPr>
          <w:rFonts w:asciiTheme="minorHAnsi" w:hAnsiTheme="minorHAnsi" w:cstheme="minorHAnsi"/>
        </w:rPr>
        <w:t xml:space="preserve">Za vykonávané činnosti byla Finančnímu zprostředkovateli do 31. prosince 2023 poskytnuta odměna ve výši </w:t>
      </w:r>
      <w:r w:rsidR="00157E6C">
        <w:rPr>
          <w:rFonts w:asciiTheme="minorHAnsi" w:hAnsiTheme="minorHAnsi" w:cstheme="minorHAnsi"/>
        </w:rPr>
        <w:t>23,3</w:t>
      </w:r>
      <w:r w:rsidR="002D6D61">
        <w:rPr>
          <w:rFonts w:asciiTheme="minorHAnsi" w:hAnsiTheme="minorHAnsi" w:cstheme="minorHAnsi"/>
        </w:rPr>
        <w:t> </w:t>
      </w:r>
      <w:r w:rsidR="000A59D2" w:rsidRPr="00C02DD6">
        <w:rPr>
          <w:rFonts w:asciiTheme="minorHAnsi" w:hAnsiTheme="minorHAnsi" w:cstheme="minorHAnsi"/>
        </w:rPr>
        <w:t>mil.</w:t>
      </w:r>
      <w:r w:rsidR="002D6D61">
        <w:rPr>
          <w:rFonts w:asciiTheme="minorHAnsi" w:hAnsiTheme="minorHAnsi" w:cstheme="minorHAnsi"/>
        </w:rPr>
        <w:t> </w:t>
      </w:r>
      <w:r w:rsidR="000A59D2" w:rsidRPr="00C02DD6">
        <w:rPr>
          <w:rFonts w:asciiTheme="minorHAnsi" w:hAnsiTheme="minorHAnsi" w:cstheme="minorHAnsi"/>
        </w:rPr>
        <w:t>Kč.</w:t>
      </w:r>
    </w:p>
    <w:p w14:paraId="0FDC0147" w14:textId="6A6AE742" w:rsidR="00152620" w:rsidRPr="00C02DD6" w:rsidRDefault="00152620" w:rsidP="00DA6F12">
      <w:pPr>
        <w:spacing w:before="120" w:after="120"/>
      </w:pPr>
      <w:r w:rsidRPr="00C02DD6">
        <w:t xml:space="preserve">MPO </w:t>
      </w:r>
      <w:r w:rsidR="009C5AFE" w:rsidRPr="00C02DD6">
        <w:t xml:space="preserve">provedlo na základě žádosti Správce </w:t>
      </w:r>
      <w:r w:rsidRPr="00C02DD6">
        <w:t>do Fondu fondů do konce roku 2023 dvě platby</w:t>
      </w:r>
      <w:r w:rsidR="000A59D2" w:rsidRPr="00C02DD6">
        <w:t>, ze</w:t>
      </w:r>
      <w:r w:rsidR="00C02DD6">
        <w:t> </w:t>
      </w:r>
      <w:r w:rsidR="000A59D2" w:rsidRPr="00C02DD6">
        <w:t>kterých si Správce ponechal částku pro svou odměnu a zbytek převedl Finančnímu zprostředkovateli</w:t>
      </w:r>
      <w:r w:rsidRPr="00C02DD6">
        <w:t xml:space="preserve">: </w:t>
      </w:r>
    </w:p>
    <w:p w14:paraId="1D63C41F" w14:textId="280533EF" w:rsidR="00152620" w:rsidRPr="00C02DD6" w:rsidRDefault="007D2841" w:rsidP="00DA6F12">
      <w:pPr>
        <w:pStyle w:val="Odstavecseseznamem"/>
        <w:numPr>
          <w:ilvl w:val="0"/>
          <w:numId w:val="10"/>
        </w:numPr>
        <w:spacing w:after="120"/>
        <w:ind w:left="284" w:hanging="284"/>
        <w:contextualSpacing w:val="0"/>
        <w:rPr>
          <w:rFonts w:cstheme="minorHAnsi"/>
        </w:rPr>
      </w:pPr>
      <w:r w:rsidRPr="00C02DD6">
        <w:t>V březnu</w:t>
      </w:r>
      <w:r w:rsidR="00152620" w:rsidRPr="00C02DD6">
        <w:t xml:space="preserve"> 2020 </w:t>
      </w:r>
      <w:r w:rsidRPr="00C02DD6">
        <w:t xml:space="preserve">požádal Správce </w:t>
      </w:r>
      <w:r w:rsidRPr="00C02DD6">
        <w:rPr>
          <w:b/>
        </w:rPr>
        <w:t>o první platbu</w:t>
      </w:r>
      <w:r w:rsidR="00152620" w:rsidRPr="00C02DD6">
        <w:t xml:space="preserve"> ve</w:t>
      </w:r>
      <w:r w:rsidRPr="00C02DD6">
        <w:t xml:space="preserve"> výši</w:t>
      </w:r>
      <w:r w:rsidR="00152620" w:rsidRPr="00C02DD6">
        <w:rPr>
          <w:b/>
        </w:rPr>
        <w:t xml:space="preserve"> 124 000 000 Kč</w:t>
      </w:r>
      <w:r w:rsidR="00152620" w:rsidRPr="00C02DD6">
        <w:t xml:space="preserve"> a následně z této částky převedl Finančnímu zprostředkovateli částku</w:t>
      </w:r>
      <w:r w:rsidR="00152620" w:rsidRPr="00C02DD6">
        <w:rPr>
          <w:b/>
        </w:rPr>
        <w:t xml:space="preserve"> 115 000 000 Kč.</w:t>
      </w:r>
      <w:r w:rsidR="00152620" w:rsidRPr="00C02DD6">
        <w:t xml:space="preserve">  </w:t>
      </w:r>
    </w:p>
    <w:p w14:paraId="4892EC38" w14:textId="00F224CB" w:rsidR="007D2841" w:rsidRPr="00C02DD6" w:rsidRDefault="007D2841" w:rsidP="007745E3">
      <w:pPr>
        <w:pStyle w:val="Odstavecseseznamem"/>
        <w:numPr>
          <w:ilvl w:val="0"/>
          <w:numId w:val="10"/>
        </w:numPr>
        <w:spacing w:before="120" w:after="120"/>
        <w:ind w:left="284" w:hanging="284"/>
        <w:contextualSpacing w:val="0"/>
        <w:rPr>
          <w:rFonts w:cstheme="minorHAnsi"/>
        </w:rPr>
      </w:pPr>
      <w:r w:rsidRPr="00C02DD6">
        <w:rPr>
          <w:rFonts w:cstheme="minorHAnsi"/>
        </w:rPr>
        <w:t xml:space="preserve">V prosinci 2022 požádal Správce </w:t>
      </w:r>
      <w:r w:rsidRPr="00C02DD6">
        <w:rPr>
          <w:rFonts w:cstheme="minorHAnsi"/>
          <w:b/>
        </w:rPr>
        <w:t>o druhou platbu</w:t>
      </w:r>
      <w:r w:rsidRPr="00C02DD6">
        <w:rPr>
          <w:rFonts w:cstheme="minorHAnsi"/>
        </w:rPr>
        <w:t xml:space="preserve"> ve výši</w:t>
      </w:r>
      <w:r w:rsidRPr="00C02DD6">
        <w:rPr>
          <w:rFonts w:cstheme="minorHAnsi"/>
          <w:b/>
        </w:rPr>
        <w:t xml:space="preserve"> 124 312 500 Kč</w:t>
      </w:r>
      <w:r w:rsidRPr="00C02DD6">
        <w:rPr>
          <w:rFonts w:cstheme="minorHAnsi"/>
        </w:rPr>
        <w:t xml:space="preserve"> a následně z této částky převedl Finančnímu zprostředkovateli částku ve výši </w:t>
      </w:r>
      <w:r w:rsidRPr="00C02DD6">
        <w:rPr>
          <w:rFonts w:cstheme="minorHAnsi"/>
          <w:b/>
        </w:rPr>
        <w:t>120 750 000 Kč</w:t>
      </w:r>
      <w:r w:rsidRPr="003E42C7">
        <w:rPr>
          <w:rFonts w:cstheme="minorHAnsi"/>
          <w:b/>
        </w:rPr>
        <w:t>.</w:t>
      </w:r>
    </w:p>
    <w:p w14:paraId="4B06463C" w14:textId="647A2CDA" w:rsidR="007D2841" w:rsidRPr="00C02DD6" w:rsidRDefault="00CB1D31" w:rsidP="00C03DEE">
      <w:pPr>
        <w:spacing w:before="120" w:after="120"/>
        <w:rPr>
          <w:rFonts w:cstheme="minorHAnsi"/>
        </w:rPr>
      </w:pPr>
      <w:r w:rsidRPr="00C02DD6">
        <w:rPr>
          <w:rFonts w:cstheme="minorHAnsi"/>
        </w:rPr>
        <w:t>Finanční nástroj byl</w:t>
      </w:r>
      <w:r w:rsidR="007D2841" w:rsidRPr="00C02DD6">
        <w:rPr>
          <w:rFonts w:cstheme="minorHAnsi"/>
        </w:rPr>
        <w:t xml:space="preserve"> realizován pomaleji a v menším objemu, než MPO původně předpokládalo, </w:t>
      </w:r>
      <w:r w:rsidRPr="00C02DD6">
        <w:rPr>
          <w:rFonts w:cstheme="minorHAnsi"/>
        </w:rPr>
        <w:t>proto</w:t>
      </w:r>
      <w:r w:rsidR="007D2841" w:rsidRPr="00C02DD6">
        <w:rPr>
          <w:rFonts w:cstheme="minorHAnsi"/>
        </w:rPr>
        <w:t xml:space="preserve"> MPO se Správcem uzavřelo 18. prosince 2023 </w:t>
      </w:r>
      <w:r w:rsidR="00E66BED">
        <w:rPr>
          <w:rFonts w:cstheme="minorHAnsi"/>
        </w:rPr>
        <w:t>d</w:t>
      </w:r>
      <w:r w:rsidR="007D2841" w:rsidRPr="00C02DD6">
        <w:rPr>
          <w:rFonts w:cstheme="minorHAnsi"/>
        </w:rPr>
        <w:t>odatek k </w:t>
      </w:r>
      <w:r w:rsidR="00E66BED">
        <w:rPr>
          <w:rFonts w:cstheme="minorHAnsi"/>
        </w:rPr>
        <w:t>d</w:t>
      </w:r>
      <w:r w:rsidR="007D2841" w:rsidRPr="00C02DD6">
        <w:rPr>
          <w:rFonts w:cstheme="minorHAnsi"/>
        </w:rPr>
        <w:t>ohodě o</w:t>
      </w:r>
      <w:r w:rsidR="00C02DD6">
        <w:rPr>
          <w:rFonts w:cstheme="minorHAnsi"/>
        </w:rPr>
        <w:t> </w:t>
      </w:r>
      <w:r w:rsidR="007D2841" w:rsidRPr="00C02DD6">
        <w:rPr>
          <w:rFonts w:cstheme="minorHAnsi"/>
        </w:rPr>
        <w:t xml:space="preserve">financování </w:t>
      </w:r>
      <w:r w:rsidR="009C5AFE" w:rsidRPr="00C02DD6">
        <w:rPr>
          <w:rFonts w:cstheme="minorHAnsi"/>
        </w:rPr>
        <w:t>a původní alokac</w:t>
      </w:r>
      <w:r w:rsidR="000A59D2" w:rsidRPr="00C02DD6">
        <w:rPr>
          <w:rFonts w:cstheme="minorHAnsi"/>
        </w:rPr>
        <w:t>i</w:t>
      </w:r>
      <w:r w:rsidR="009C5AFE" w:rsidRPr="00C02DD6">
        <w:rPr>
          <w:rFonts w:cstheme="minorHAnsi"/>
        </w:rPr>
        <w:t xml:space="preserve"> ve výši 497 250 000 Kč </w:t>
      </w:r>
      <w:r w:rsidR="000A59D2" w:rsidRPr="00C02DD6">
        <w:rPr>
          <w:rFonts w:cstheme="minorHAnsi"/>
        </w:rPr>
        <w:t>snížilo</w:t>
      </w:r>
      <w:r w:rsidR="009C5AFE" w:rsidRPr="00C02DD6">
        <w:rPr>
          <w:rFonts w:cstheme="minorHAnsi"/>
          <w:b/>
        </w:rPr>
        <w:t xml:space="preserve"> na</w:t>
      </w:r>
      <w:r w:rsidR="00476FC7" w:rsidRPr="00C02DD6">
        <w:rPr>
          <w:rFonts w:cstheme="minorHAnsi"/>
          <w:b/>
        </w:rPr>
        <w:t> </w:t>
      </w:r>
      <w:r w:rsidR="009C5AFE" w:rsidRPr="00C02DD6">
        <w:rPr>
          <w:rFonts w:cstheme="minorHAnsi"/>
          <w:b/>
        </w:rPr>
        <w:t>154 677 000 Kč.</w:t>
      </w:r>
      <w:r w:rsidR="009C5AFE" w:rsidRPr="00C02DD6">
        <w:rPr>
          <w:rFonts w:cstheme="minorHAnsi"/>
        </w:rPr>
        <w:t xml:space="preserve"> </w:t>
      </w:r>
    </w:p>
    <w:p w14:paraId="62838E26" w14:textId="3E178E60" w:rsidR="0084600A" w:rsidRDefault="00E66BED" w:rsidP="00C03DEE">
      <w:pPr>
        <w:spacing w:before="120" w:after="120"/>
      </w:pPr>
      <w:r>
        <w:t>Po</w:t>
      </w:r>
      <w:r w:rsidR="000E37B7" w:rsidRPr="00C02DD6">
        <w:t xml:space="preserve"> vyhlášení výzvy </w:t>
      </w:r>
      <w:r w:rsidRPr="00C02DD6">
        <w:t>byly</w:t>
      </w:r>
      <w:r w:rsidRPr="00C02DD6" w:rsidDel="00E66BED">
        <w:t xml:space="preserve"> </w:t>
      </w:r>
      <w:r>
        <w:t xml:space="preserve">od </w:t>
      </w:r>
      <w:r w:rsidRPr="00C02DD6">
        <w:t xml:space="preserve">1. května 2021 do 31. prosince 2023 </w:t>
      </w:r>
      <w:r w:rsidR="000E37B7" w:rsidRPr="00C02DD6">
        <w:t xml:space="preserve">Finančním zprostředkovatelem k podpoře vybrány </w:t>
      </w:r>
      <w:r w:rsidR="00875B79" w:rsidRPr="00C02DD6">
        <w:t>čt</w:t>
      </w:r>
      <w:r w:rsidR="009A2376" w:rsidRPr="00C02DD6">
        <w:t>yři projekty</w:t>
      </w:r>
      <w:r w:rsidR="000A59D2" w:rsidRPr="00C02DD6">
        <w:t>, které byly podp</w:t>
      </w:r>
      <w:r w:rsidR="00C02DD6">
        <w:t>ořeny</w:t>
      </w:r>
      <w:r w:rsidR="009A2376" w:rsidRPr="00C02DD6">
        <w:t xml:space="preserve"> formou tzv.</w:t>
      </w:r>
      <w:r w:rsidR="00223CAA" w:rsidRPr="00C02DD6">
        <w:t xml:space="preserve"> nezajištěn</w:t>
      </w:r>
      <w:r w:rsidR="00875B79" w:rsidRPr="00C02DD6">
        <w:t>é</w:t>
      </w:r>
      <w:r w:rsidR="00223CAA" w:rsidRPr="00C02DD6">
        <w:t xml:space="preserve"> </w:t>
      </w:r>
      <w:proofErr w:type="spellStart"/>
      <w:r w:rsidR="00223CAA" w:rsidRPr="00C02DD6">
        <w:t>kvazikapitálov</w:t>
      </w:r>
      <w:r w:rsidR="00875B79" w:rsidRPr="00C02DD6">
        <w:t>é</w:t>
      </w:r>
      <w:proofErr w:type="spellEnd"/>
      <w:r w:rsidR="009A2376" w:rsidRPr="00C02DD6">
        <w:t xml:space="preserve"> </w:t>
      </w:r>
      <w:r w:rsidR="00223CAA" w:rsidRPr="00C02DD6">
        <w:t>půjčk</w:t>
      </w:r>
      <w:r w:rsidR="00875B79" w:rsidRPr="00C02DD6">
        <w:t>y</w:t>
      </w:r>
      <w:r w:rsidR="00223CAA" w:rsidRPr="00C02DD6">
        <w:t xml:space="preserve"> se zvýhodněnou úrokovou sazbou. </w:t>
      </w:r>
      <w:r w:rsidR="009A2376" w:rsidRPr="00C02DD6">
        <w:t>Těmto čtyřem</w:t>
      </w:r>
      <w:r w:rsidR="00223CAA" w:rsidRPr="00C02DD6">
        <w:t xml:space="preserve"> projekt</w:t>
      </w:r>
      <w:r w:rsidR="009A2376" w:rsidRPr="00C02DD6">
        <w:t xml:space="preserve">ům </w:t>
      </w:r>
      <w:r w:rsidR="00875B79" w:rsidRPr="00C02DD6">
        <w:t>byla poskytnuta podpora</w:t>
      </w:r>
      <w:r w:rsidR="00ED1BF0" w:rsidRPr="00C02DD6">
        <w:t xml:space="preserve"> z </w:t>
      </w:r>
      <w:r>
        <w:t>p</w:t>
      </w:r>
      <w:r w:rsidR="00ED1BF0" w:rsidRPr="00C02DD6">
        <w:t>rogramu</w:t>
      </w:r>
      <w:r w:rsidR="00ED1BF0" w:rsidRPr="003E42C7">
        <w:rPr>
          <w:i/>
        </w:rPr>
        <w:t xml:space="preserve"> Nemovitosti</w:t>
      </w:r>
      <w:r w:rsidR="00ED1BF0" w:rsidRPr="00C02DD6">
        <w:t xml:space="preserve"> OPPIK</w:t>
      </w:r>
      <w:r>
        <w:t>,</w:t>
      </w:r>
      <w:r w:rsidR="00ED1BF0" w:rsidRPr="00C02DD6">
        <w:t xml:space="preserve"> tzn. </w:t>
      </w:r>
      <w:r w:rsidR="00ED1BF0" w:rsidRPr="00C02DD6">
        <w:rPr>
          <w:b/>
        </w:rPr>
        <w:t>investic</w:t>
      </w:r>
      <w:r w:rsidR="00875B79" w:rsidRPr="00C02DD6">
        <w:rPr>
          <w:b/>
        </w:rPr>
        <w:t>e</w:t>
      </w:r>
      <w:r>
        <w:rPr>
          <w:b/>
        </w:rPr>
        <w:t>,</w:t>
      </w:r>
      <w:r w:rsidR="00ED1BF0" w:rsidRPr="00C02DD6">
        <w:rPr>
          <w:b/>
        </w:rPr>
        <w:t xml:space="preserve"> ve výši 118</w:t>
      </w:r>
      <w:r w:rsidR="009401B3" w:rsidRPr="00C02DD6">
        <w:rPr>
          <w:b/>
        </w:rPr>
        <w:t> </w:t>
      </w:r>
      <w:r w:rsidR="00826C26" w:rsidRPr="00C02DD6">
        <w:rPr>
          <w:b/>
        </w:rPr>
        <w:t>mil.</w:t>
      </w:r>
      <w:r w:rsidR="00ED1BF0" w:rsidRPr="00C02DD6">
        <w:rPr>
          <w:b/>
        </w:rPr>
        <w:t xml:space="preserve"> Kč</w:t>
      </w:r>
      <w:r w:rsidR="00223CAA" w:rsidRPr="003E42C7">
        <w:rPr>
          <w:b/>
        </w:rPr>
        <w:t>.</w:t>
      </w:r>
      <w:r w:rsidR="00223CAA" w:rsidRPr="00C02DD6">
        <w:t xml:space="preserve"> </w:t>
      </w:r>
    </w:p>
    <w:p w14:paraId="2F01C140" w14:textId="1C5D1B2D" w:rsidR="008055A9" w:rsidRPr="002D6D61" w:rsidRDefault="008C6C69" w:rsidP="00C03DEE">
      <w:pPr>
        <w:pStyle w:val="Odstavecseseznamem"/>
        <w:spacing w:before="120" w:after="120"/>
        <w:ind w:left="0"/>
        <w:contextualSpacing w:val="0"/>
        <w:rPr>
          <w:rFonts w:asciiTheme="minorHAnsi" w:hAnsiTheme="minorHAnsi" w:cstheme="minorHAnsi"/>
        </w:rPr>
      </w:pPr>
      <w:r w:rsidRPr="00C02DD6">
        <w:t xml:space="preserve">Ke konci roku 2023 byla </w:t>
      </w:r>
      <w:r w:rsidR="0070519D">
        <w:t xml:space="preserve">stanovena </w:t>
      </w:r>
      <w:r w:rsidRPr="00C02DD6">
        <w:t xml:space="preserve">odměna Správci a Finančnímu zprostředkovateli ve výši </w:t>
      </w:r>
      <w:r w:rsidR="005707E6">
        <w:rPr>
          <w:b/>
        </w:rPr>
        <w:t>31,4</w:t>
      </w:r>
      <w:r w:rsidRPr="00C02DD6">
        <w:rPr>
          <w:b/>
        </w:rPr>
        <w:t> mil. Kč,</w:t>
      </w:r>
      <w:r w:rsidRPr="00C02DD6">
        <w:rPr>
          <w:rFonts w:asciiTheme="minorHAnsi" w:hAnsiTheme="minorHAnsi" w:cstheme="minorHAnsi"/>
          <w:b/>
        </w:rPr>
        <w:t xml:space="preserve"> tj. 27 %</w:t>
      </w:r>
      <w:r w:rsidRPr="00C02DD6">
        <w:rPr>
          <w:rFonts w:asciiTheme="minorHAnsi" w:hAnsiTheme="minorHAnsi" w:cstheme="minorHAnsi"/>
        </w:rPr>
        <w:t xml:space="preserve"> z celkové investované částky do čtyř projektů ve výši 118 mil. Kč</w:t>
      </w:r>
      <w:r w:rsidRPr="00C02DD6">
        <w:t>. Z toho výše odměny Správci (</w:t>
      </w:r>
      <w:r w:rsidR="00BF0C3A">
        <w:t xml:space="preserve">dceřiné společnosti </w:t>
      </w:r>
      <w:r w:rsidRPr="00C02DD6">
        <w:t>ban</w:t>
      </w:r>
      <w:r w:rsidR="00BF0C3A">
        <w:t>ky</w:t>
      </w:r>
      <w:r w:rsidRPr="00C02DD6">
        <w:t xml:space="preserve"> vlastněné státem) činila </w:t>
      </w:r>
      <w:r w:rsidRPr="00C02DD6">
        <w:rPr>
          <w:b/>
        </w:rPr>
        <w:t>8</w:t>
      </w:r>
      <w:r w:rsidR="00CB1D31" w:rsidRPr="00C02DD6">
        <w:rPr>
          <w:b/>
        </w:rPr>
        <w:t>,1</w:t>
      </w:r>
      <w:r w:rsidRPr="00C02DD6">
        <w:rPr>
          <w:b/>
        </w:rPr>
        <w:t xml:space="preserve"> mil. Kč</w:t>
      </w:r>
      <w:r w:rsidR="00CB1D31" w:rsidRPr="00C02DD6">
        <w:rPr>
          <w:b/>
        </w:rPr>
        <w:t xml:space="preserve"> </w:t>
      </w:r>
      <w:r w:rsidR="00CB1D31" w:rsidRPr="00C02DD6">
        <w:t>(6,3</w:t>
      </w:r>
      <w:r w:rsidR="00BF0C3A">
        <w:t> </w:t>
      </w:r>
      <w:r w:rsidR="00CB1D31" w:rsidRPr="00C02DD6">
        <w:t>mil.</w:t>
      </w:r>
      <w:r w:rsidR="00BF0C3A">
        <w:t> </w:t>
      </w:r>
      <w:r w:rsidR="00CB1D31" w:rsidRPr="00C02DD6">
        <w:t>Kč základní a</w:t>
      </w:r>
      <w:r w:rsidR="00C02DD6">
        <w:t> </w:t>
      </w:r>
      <w:r w:rsidR="00CB1D31" w:rsidRPr="00C02DD6">
        <w:t>1,8</w:t>
      </w:r>
      <w:r w:rsidR="00C02DD6">
        <w:t> </w:t>
      </w:r>
      <w:r w:rsidR="00CB1D31" w:rsidRPr="00C02DD6">
        <w:t>mil. Kč výkonnostní odměna)</w:t>
      </w:r>
      <w:r w:rsidRPr="00C02DD6">
        <w:t xml:space="preserve"> a Finančnímu zprostředkovateli (soukromé společnosti) činila </w:t>
      </w:r>
      <w:r w:rsidR="00157E6C">
        <w:rPr>
          <w:b/>
        </w:rPr>
        <w:t>23,3</w:t>
      </w:r>
      <w:r w:rsidRPr="00C02DD6">
        <w:rPr>
          <w:b/>
        </w:rPr>
        <w:t> mil. Kč</w:t>
      </w:r>
      <w:r w:rsidR="00CB1D31" w:rsidRPr="00C02DD6">
        <w:rPr>
          <w:b/>
        </w:rPr>
        <w:t xml:space="preserve"> </w:t>
      </w:r>
      <w:r w:rsidR="00CB1D31" w:rsidRPr="00C02DD6">
        <w:t>(20,</w:t>
      </w:r>
      <w:r w:rsidR="005707E6">
        <w:t>8</w:t>
      </w:r>
      <w:r w:rsidR="00CB1D31" w:rsidRPr="00C02DD6">
        <w:t xml:space="preserve"> mil. Kč základní a 2,5 mil. Kč výkonnostní odměna)</w:t>
      </w:r>
      <w:r w:rsidRPr="00C02DD6">
        <w:t xml:space="preserve">. </w:t>
      </w:r>
      <w:r w:rsidR="00C83102">
        <w:t xml:space="preserve">Do konce roku 2023 z celkové odměny připadalo 86 % na základní odměnu a 14 % na výkonnostní odměnu. Skutečné investice formou finančního nástroje do konkrétních </w:t>
      </w:r>
      <w:r w:rsidR="00C83102">
        <w:lastRenderedPageBreak/>
        <w:t xml:space="preserve">projektů měly vliv až </w:t>
      </w:r>
      <w:r w:rsidR="00C83102" w:rsidRPr="002D6D61">
        <w:t>na</w:t>
      </w:r>
      <w:r w:rsidR="002D6D61">
        <w:t> </w:t>
      </w:r>
      <w:r w:rsidR="00C83102" w:rsidRPr="002D6D61">
        <w:t>výkonnostní</w:t>
      </w:r>
      <w:r w:rsidR="00C83102">
        <w:t xml:space="preserve"> odměnu.</w:t>
      </w:r>
      <w:r w:rsidR="007D6B10">
        <w:t xml:space="preserve"> </w:t>
      </w:r>
      <w:r w:rsidR="007D6B10" w:rsidRPr="00430359">
        <w:rPr>
          <w:rFonts w:asciiTheme="minorHAnsi" w:hAnsiTheme="minorHAnsi" w:cstheme="minorHAnsi"/>
        </w:rPr>
        <w:t>Výši odměn stanovoval Správce a čtvrtletně o</w:t>
      </w:r>
      <w:r w:rsidR="00BF0C3A">
        <w:rPr>
          <w:rFonts w:asciiTheme="minorHAnsi" w:hAnsiTheme="minorHAnsi" w:cstheme="minorHAnsi"/>
        </w:rPr>
        <w:t> </w:t>
      </w:r>
      <w:r w:rsidR="007D6B10" w:rsidRPr="00430359">
        <w:rPr>
          <w:rFonts w:asciiTheme="minorHAnsi" w:hAnsiTheme="minorHAnsi" w:cstheme="minorHAnsi"/>
        </w:rPr>
        <w:t xml:space="preserve">jejich výši informoval MPO, které </w:t>
      </w:r>
      <w:r w:rsidR="007D6B10">
        <w:rPr>
          <w:rFonts w:asciiTheme="minorHAnsi" w:hAnsiTheme="minorHAnsi" w:cstheme="minorHAnsi"/>
        </w:rPr>
        <w:t>jeho průběžné výpočty nerozporovalo</w:t>
      </w:r>
      <w:r w:rsidR="007D6B10" w:rsidRPr="00430359">
        <w:rPr>
          <w:rFonts w:asciiTheme="minorHAnsi" w:hAnsiTheme="minorHAnsi" w:cstheme="minorHAnsi"/>
        </w:rPr>
        <w:t>.</w:t>
      </w:r>
    </w:p>
    <w:p w14:paraId="439C7E62" w14:textId="1EC32A6F" w:rsidR="008055A9" w:rsidRPr="00C02DD6" w:rsidRDefault="008055A9" w:rsidP="00C03DEE">
      <w:pPr>
        <w:pStyle w:val="Odstavecseseznamem"/>
        <w:keepNext/>
        <w:spacing w:before="120" w:after="120"/>
        <w:ind w:left="0"/>
        <w:contextualSpacing w:val="0"/>
      </w:pPr>
      <w:r w:rsidRPr="00C03DEE">
        <w:rPr>
          <w:b/>
        </w:rPr>
        <w:t>Graf č. 1:</w:t>
      </w:r>
      <w:r w:rsidRPr="005A746D">
        <w:t xml:space="preserve"> </w:t>
      </w:r>
      <w:r w:rsidRPr="005A746D">
        <w:rPr>
          <w:b/>
          <w:bCs/>
        </w:rPr>
        <w:t>Struk</w:t>
      </w:r>
      <w:r>
        <w:rPr>
          <w:b/>
          <w:bCs/>
        </w:rPr>
        <w:t>t</w:t>
      </w:r>
      <w:r w:rsidRPr="005A746D">
        <w:rPr>
          <w:b/>
          <w:bCs/>
        </w:rPr>
        <w:t>ura odměny Správc</w:t>
      </w:r>
      <w:r w:rsidR="00874EBF">
        <w:rPr>
          <w:b/>
          <w:bCs/>
        </w:rPr>
        <w:t>i</w:t>
      </w:r>
      <w:r w:rsidRPr="005A746D">
        <w:rPr>
          <w:b/>
          <w:bCs/>
        </w:rPr>
        <w:t xml:space="preserve"> a Finanční</w:t>
      </w:r>
      <w:r w:rsidR="00874EBF">
        <w:rPr>
          <w:b/>
          <w:bCs/>
        </w:rPr>
        <w:t>mu</w:t>
      </w:r>
      <w:r w:rsidRPr="005A746D">
        <w:rPr>
          <w:b/>
          <w:bCs/>
        </w:rPr>
        <w:t xml:space="preserve"> zprostředkovatel</w:t>
      </w:r>
      <w:r w:rsidR="00874EBF">
        <w:rPr>
          <w:b/>
          <w:bCs/>
        </w:rPr>
        <w:t>i</w:t>
      </w:r>
    </w:p>
    <w:p w14:paraId="5BF3C957" w14:textId="35C365B6" w:rsidR="009A1F1C" w:rsidRDefault="00874EBF" w:rsidP="009A1F1C">
      <w:pPr>
        <w:pStyle w:val="Odstavecseseznamem"/>
        <w:ind w:left="0"/>
        <w:jc w:val="center"/>
      </w:pPr>
      <w:r>
        <w:rPr>
          <w:noProof/>
        </w:rPr>
        <w:drawing>
          <wp:inline distT="0" distB="0" distL="0" distR="0" wp14:anchorId="2421CFC2" wp14:editId="6B1EF1A9">
            <wp:extent cx="5631484" cy="2095500"/>
            <wp:effectExtent l="0" t="0" r="0" b="0"/>
            <wp:docPr id="2" name="Graf 2">
              <a:extLst xmlns:a="http://schemas.openxmlformats.org/drawingml/2006/main">
                <a:ext uri="{FF2B5EF4-FFF2-40B4-BE49-F238E27FC236}">
                  <a16:creationId xmlns:a16="http://schemas.microsoft.com/office/drawing/2014/main" id="{E4833BCB-FED4-4D93-B2ED-1ADFFA900B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01430F" w14:textId="455DC6B2" w:rsidR="00611FF4" w:rsidRDefault="00611FF4" w:rsidP="009A1F1C">
      <w:pPr>
        <w:pStyle w:val="Odstavecseseznamem"/>
        <w:ind w:left="0"/>
        <w:jc w:val="center"/>
      </w:pPr>
    </w:p>
    <w:p w14:paraId="1F10E611" w14:textId="42E3839D" w:rsidR="001756AD" w:rsidRDefault="00755653" w:rsidP="00C03DEE">
      <w:pPr>
        <w:pStyle w:val="Odstavecseseznamem"/>
        <w:spacing w:before="120" w:after="120"/>
        <w:ind w:left="0"/>
        <w:contextualSpacing w:val="0"/>
      </w:pPr>
      <w:r w:rsidRPr="00C02DD6">
        <w:t>Jako</w:t>
      </w:r>
      <w:r w:rsidRPr="00C02DD6">
        <w:rPr>
          <w:b/>
        </w:rPr>
        <w:t xml:space="preserve"> z</w:t>
      </w:r>
      <w:r w:rsidR="0002374B" w:rsidRPr="00C02DD6">
        <w:rPr>
          <w:b/>
        </w:rPr>
        <w:t>ákladn</w:t>
      </w:r>
      <w:r w:rsidRPr="00C02DD6">
        <w:rPr>
          <w:b/>
        </w:rPr>
        <w:t>a</w:t>
      </w:r>
      <w:r w:rsidR="0002374B" w:rsidRPr="00C02DD6">
        <w:rPr>
          <w:b/>
        </w:rPr>
        <w:t xml:space="preserve"> pro výpočet základní</w:t>
      </w:r>
      <w:r w:rsidR="009A1F1C" w:rsidRPr="00C02DD6">
        <w:rPr>
          <w:b/>
        </w:rPr>
        <w:t xml:space="preserve"> odměn</w:t>
      </w:r>
      <w:r w:rsidR="0002374B" w:rsidRPr="00C02DD6">
        <w:rPr>
          <w:b/>
        </w:rPr>
        <w:t>y</w:t>
      </w:r>
      <w:r w:rsidR="009A1F1C" w:rsidRPr="00C02DD6">
        <w:rPr>
          <w:b/>
        </w:rPr>
        <w:t xml:space="preserve"> Správc</w:t>
      </w:r>
      <w:r w:rsidR="00BF0D33">
        <w:rPr>
          <w:b/>
        </w:rPr>
        <w:t>i</w:t>
      </w:r>
      <w:r w:rsidR="0002374B" w:rsidRPr="00C02DD6">
        <w:t xml:space="preserve"> byla </w:t>
      </w:r>
      <w:r w:rsidRPr="00C02DD6">
        <w:t>použita</w:t>
      </w:r>
      <w:r w:rsidR="009A1F1C" w:rsidRPr="00C02DD6">
        <w:t xml:space="preserve"> </w:t>
      </w:r>
      <w:r w:rsidR="0002374B" w:rsidRPr="00C02DD6">
        <w:t xml:space="preserve">částka </w:t>
      </w:r>
      <w:r w:rsidR="00B6039F" w:rsidRPr="00C02DD6">
        <w:t xml:space="preserve">kumulovaných </w:t>
      </w:r>
      <w:r w:rsidR="009A1F1C" w:rsidRPr="00C02DD6">
        <w:t>peněžních prostředků</w:t>
      </w:r>
      <w:r w:rsidR="0093084A">
        <w:t>, které MPO</w:t>
      </w:r>
      <w:r w:rsidR="009A1F1C" w:rsidRPr="00C02DD6">
        <w:t xml:space="preserve"> skutečně </w:t>
      </w:r>
      <w:r w:rsidR="0093084A">
        <w:rPr>
          <w:b/>
        </w:rPr>
        <w:t>uhradilo</w:t>
      </w:r>
      <w:r w:rsidR="0093084A" w:rsidRPr="00C02DD6">
        <w:t xml:space="preserve"> </w:t>
      </w:r>
      <w:r w:rsidR="0096041A" w:rsidRPr="00C02DD6">
        <w:t>Správci</w:t>
      </w:r>
      <w:r w:rsidR="009A1F1C" w:rsidRPr="00C02DD6">
        <w:t xml:space="preserve"> </w:t>
      </w:r>
      <w:r w:rsidR="0096041A" w:rsidRPr="00C02DD6">
        <w:t>(</w:t>
      </w:r>
      <w:r w:rsidR="004A39F9">
        <w:t>viz t</w:t>
      </w:r>
      <w:r w:rsidR="0096041A" w:rsidRPr="00C02DD6">
        <w:t xml:space="preserve">abulka č. </w:t>
      </w:r>
      <w:r w:rsidR="00CB1D31" w:rsidRPr="00C02DD6">
        <w:t>5</w:t>
      </w:r>
      <w:r w:rsidR="0096041A" w:rsidRPr="00C02DD6">
        <w:t>).</w:t>
      </w:r>
      <w:r w:rsidR="00A210C7" w:rsidRPr="00C02DD6">
        <w:t xml:space="preserve"> </w:t>
      </w:r>
    </w:p>
    <w:p w14:paraId="7D2E0BB5" w14:textId="65AA1F87" w:rsidR="009A1F1C" w:rsidRPr="00C02DD6" w:rsidRDefault="009A1F1C" w:rsidP="00C03DEE">
      <w:pPr>
        <w:pStyle w:val="Odstavecseseznamem"/>
        <w:spacing w:before="120" w:after="40"/>
        <w:ind w:left="0"/>
        <w:contextualSpacing w:val="0"/>
        <w:rPr>
          <w:rFonts w:asciiTheme="minorHAnsi" w:hAnsiTheme="minorHAnsi" w:cstheme="minorHAnsi"/>
          <w:b/>
        </w:rPr>
      </w:pPr>
      <w:r w:rsidRPr="00C03DEE">
        <w:rPr>
          <w:rFonts w:asciiTheme="minorHAnsi" w:hAnsiTheme="minorHAnsi" w:cstheme="minorHAnsi"/>
          <w:b/>
        </w:rPr>
        <w:t xml:space="preserve">Tabulka č. </w:t>
      </w:r>
      <w:r w:rsidR="00CB1D31" w:rsidRPr="00C03DEE">
        <w:rPr>
          <w:rFonts w:asciiTheme="minorHAnsi" w:hAnsiTheme="minorHAnsi" w:cstheme="minorHAnsi"/>
          <w:b/>
        </w:rPr>
        <w:t>5</w:t>
      </w:r>
      <w:r w:rsidRPr="00C03DEE">
        <w:rPr>
          <w:rFonts w:asciiTheme="minorHAnsi" w:hAnsiTheme="minorHAnsi" w:cstheme="minorHAnsi"/>
          <w:b/>
        </w:rPr>
        <w:t xml:space="preserve">: </w:t>
      </w:r>
      <w:r w:rsidRPr="00C02DD6">
        <w:rPr>
          <w:rFonts w:asciiTheme="minorHAnsi" w:hAnsiTheme="minorHAnsi" w:cstheme="minorHAnsi"/>
          <w:b/>
        </w:rPr>
        <w:t>Základny pro výpočet základní odměny Správc</w:t>
      </w:r>
      <w:r w:rsidR="004A39F9">
        <w:rPr>
          <w:rFonts w:asciiTheme="minorHAnsi" w:hAnsiTheme="minorHAnsi" w:cstheme="minorHAnsi"/>
          <w:b/>
        </w:rPr>
        <w:t>i</w:t>
      </w:r>
      <w:r w:rsidR="009401B3" w:rsidRPr="00C02DD6">
        <w:rPr>
          <w:rFonts w:asciiTheme="minorHAnsi" w:hAnsiTheme="minorHAnsi" w:cstheme="minorHAnsi"/>
          <w:b/>
        </w:rPr>
        <w:t xml:space="preserve"> </w:t>
      </w:r>
    </w:p>
    <w:tbl>
      <w:tblPr>
        <w:tblStyle w:val="Mkatabulky"/>
        <w:tblW w:w="9072" w:type="dxa"/>
        <w:jc w:val="center"/>
        <w:tblLook w:val="04A0" w:firstRow="1" w:lastRow="0" w:firstColumn="1" w:lastColumn="0" w:noHBand="0" w:noVBand="1"/>
      </w:tblPr>
      <w:tblGrid>
        <w:gridCol w:w="1455"/>
        <w:gridCol w:w="2540"/>
        <w:gridCol w:w="2603"/>
        <w:gridCol w:w="2474"/>
      </w:tblGrid>
      <w:tr w:rsidR="009A1F1C" w:rsidRPr="00C02DD6" w14:paraId="7BE3A19B" w14:textId="77777777" w:rsidTr="00BA1990">
        <w:trPr>
          <w:trHeight w:val="283"/>
          <w:jc w:val="center"/>
        </w:trPr>
        <w:tc>
          <w:tcPr>
            <w:tcW w:w="1455" w:type="dxa"/>
            <w:shd w:val="clear" w:color="auto" w:fill="E6E6E6"/>
            <w:vAlign w:val="center"/>
          </w:tcPr>
          <w:p w14:paraId="6A841EBB" w14:textId="77777777" w:rsidR="009A1F1C" w:rsidRPr="00C02DD6" w:rsidRDefault="009A1F1C" w:rsidP="00A24307">
            <w:pPr>
              <w:pStyle w:val="Odstavecseseznamem"/>
              <w:ind w:left="0"/>
              <w:rPr>
                <w:rFonts w:asciiTheme="minorHAnsi" w:hAnsiTheme="minorHAnsi" w:cstheme="minorHAnsi"/>
                <w:b/>
                <w:sz w:val="20"/>
                <w:szCs w:val="20"/>
              </w:rPr>
            </w:pPr>
            <w:r w:rsidRPr="00C02DD6">
              <w:rPr>
                <w:rFonts w:asciiTheme="minorHAnsi" w:hAnsiTheme="minorHAnsi" w:cstheme="minorHAnsi"/>
                <w:b/>
                <w:sz w:val="20"/>
                <w:szCs w:val="20"/>
              </w:rPr>
              <w:t>Platnost od</w:t>
            </w:r>
          </w:p>
        </w:tc>
        <w:tc>
          <w:tcPr>
            <w:tcW w:w="0" w:type="auto"/>
            <w:shd w:val="clear" w:color="auto" w:fill="auto"/>
            <w:vAlign w:val="center"/>
          </w:tcPr>
          <w:p w14:paraId="699BCF10" w14:textId="77777777" w:rsidR="009A1F1C" w:rsidRPr="00C02DD6" w:rsidRDefault="009A1F1C" w:rsidP="00A24307">
            <w:pPr>
              <w:jc w:val="center"/>
              <w:rPr>
                <w:rFonts w:asciiTheme="minorHAnsi" w:hAnsiTheme="minorHAnsi" w:cstheme="minorHAnsi"/>
                <w:sz w:val="20"/>
                <w:szCs w:val="20"/>
              </w:rPr>
            </w:pPr>
            <w:r w:rsidRPr="00C02DD6">
              <w:rPr>
                <w:rFonts w:asciiTheme="minorHAnsi" w:hAnsiTheme="minorHAnsi" w:cstheme="minorHAnsi"/>
                <w:sz w:val="20"/>
                <w:szCs w:val="20"/>
              </w:rPr>
              <w:t>27. března 2020</w:t>
            </w:r>
          </w:p>
        </w:tc>
        <w:tc>
          <w:tcPr>
            <w:tcW w:w="0" w:type="auto"/>
            <w:shd w:val="clear" w:color="auto" w:fill="auto"/>
            <w:vAlign w:val="center"/>
          </w:tcPr>
          <w:p w14:paraId="19637E91" w14:textId="77777777" w:rsidR="009A1F1C" w:rsidRPr="00C02DD6" w:rsidRDefault="009A1F1C"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2. prosince 2022</w:t>
            </w:r>
          </w:p>
        </w:tc>
        <w:tc>
          <w:tcPr>
            <w:tcW w:w="2474" w:type="dxa"/>
            <w:shd w:val="clear" w:color="auto" w:fill="auto"/>
            <w:vAlign w:val="center"/>
          </w:tcPr>
          <w:p w14:paraId="18FB4DC8" w14:textId="77777777" w:rsidR="009A1F1C" w:rsidRPr="00C02DD6" w:rsidRDefault="009A1F1C" w:rsidP="00A24307">
            <w:pPr>
              <w:jc w:val="center"/>
              <w:rPr>
                <w:rFonts w:asciiTheme="minorHAnsi" w:hAnsiTheme="minorHAnsi" w:cstheme="minorHAnsi"/>
                <w:sz w:val="20"/>
                <w:szCs w:val="20"/>
              </w:rPr>
            </w:pPr>
            <w:r w:rsidRPr="00C02DD6">
              <w:rPr>
                <w:rFonts w:asciiTheme="minorHAnsi" w:hAnsiTheme="minorHAnsi" w:cstheme="minorHAnsi"/>
                <w:sz w:val="20"/>
                <w:szCs w:val="20"/>
              </w:rPr>
              <w:t>18. prosince 2023</w:t>
            </w:r>
          </w:p>
        </w:tc>
      </w:tr>
      <w:tr w:rsidR="009A1F1C" w:rsidRPr="00C02DD6" w14:paraId="5402D515" w14:textId="77777777" w:rsidTr="00BA1990">
        <w:trPr>
          <w:trHeight w:val="283"/>
          <w:jc w:val="center"/>
        </w:trPr>
        <w:tc>
          <w:tcPr>
            <w:tcW w:w="1455" w:type="dxa"/>
            <w:shd w:val="clear" w:color="auto" w:fill="E6E6E6"/>
            <w:vAlign w:val="center"/>
          </w:tcPr>
          <w:p w14:paraId="66BBC11A" w14:textId="77777777" w:rsidR="009A1F1C" w:rsidRPr="00C02DD6" w:rsidRDefault="009A1F1C" w:rsidP="00A24307">
            <w:pPr>
              <w:pStyle w:val="Odstavecseseznamem"/>
              <w:ind w:left="0"/>
              <w:rPr>
                <w:rFonts w:asciiTheme="minorHAnsi" w:hAnsiTheme="minorHAnsi" w:cstheme="minorHAnsi"/>
                <w:b/>
                <w:sz w:val="20"/>
                <w:szCs w:val="20"/>
              </w:rPr>
            </w:pPr>
            <w:r w:rsidRPr="00C02DD6">
              <w:rPr>
                <w:rFonts w:asciiTheme="minorHAnsi" w:hAnsiTheme="minorHAnsi" w:cstheme="minorHAnsi"/>
                <w:b/>
                <w:sz w:val="20"/>
                <w:szCs w:val="20"/>
              </w:rPr>
              <w:t>Základna v Kč</w:t>
            </w:r>
          </w:p>
        </w:tc>
        <w:tc>
          <w:tcPr>
            <w:tcW w:w="0" w:type="auto"/>
            <w:shd w:val="clear" w:color="auto" w:fill="auto"/>
            <w:vAlign w:val="center"/>
          </w:tcPr>
          <w:p w14:paraId="4BEBDDC8" w14:textId="77777777" w:rsidR="009A1F1C" w:rsidRPr="00C02DD6" w:rsidRDefault="009A1F1C"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124 000 000 Kč</w:t>
            </w:r>
          </w:p>
        </w:tc>
        <w:tc>
          <w:tcPr>
            <w:tcW w:w="0" w:type="auto"/>
            <w:shd w:val="clear" w:color="auto" w:fill="auto"/>
            <w:vAlign w:val="center"/>
          </w:tcPr>
          <w:p w14:paraId="32A82B9B" w14:textId="77777777" w:rsidR="009A1F1C" w:rsidRPr="00C02DD6" w:rsidRDefault="009A1F1C"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248 312 500 Kč</w:t>
            </w:r>
          </w:p>
        </w:tc>
        <w:tc>
          <w:tcPr>
            <w:tcW w:w="2474" w:type="dxa"/>
            <w:shd w:val="clear" w:color="auto" w:fill="auto"/>
            <w:vAlign w:val="center"/>
          </w:tcPr>
          <w:p w14:paraId="789DAD00" w14:textId="77777777" w:rsidR="009A1F1C" w:rsidRPr="00C02DD6" w:rsidRDefault="009A1F1C" w:rsidP="00A24307">
            <w:pPr>
              <w:jc w:val="center"/>
              <w:rPr>
                <w:rFonts w:asciiTheme="minorHAnsi" w:hAnsiTheme="minorHAnsi" w:cstheme="minorHAnsi"/>
                <w:sz w:val="20"/>
                <w:szCs w:val="20"/>
              </w:rPr>
            </w:pPr>
            <w:r w:rsidRPr="00C02DD6">
              <w:rPr>
                <w:rFonts w:asciiTheme="minorHAnsi" w:hAnsiTheme="minorHAnsi" w:cstheme="minorHAnsi"/>
                <w:sz w:val="20"/>
                <w:szCs w:val="20"/>
              </w:rPr>
              <w:t>154 677 000 Kč</w:t>
            </w:r>
          </w:p>
        </w:tc>
      </w:tr>
    </w:tbl>
    <w:p w14:paraId="432F005F" w14:textId="00B1A50A" w:rsidR="009A1F1C" w:rsidRPr="00C03DEE" w:rsidRDefault="009A1F1C" w:rsidP="00C03DEE">
      <w:pPr>
        <w:spacing w:before="40" w:after="120"/>
        <w:ind w:left="567" w:hanging="567"/>
        <w:rPr>
          <w:rFonts w:cstheme="minorHAnsi"/>
          <w:sz w:val="20"/>
          <w:szCs w:val="20"/>
        </w:rPr>
      </w:pPr>
      <w:r w:rsidRPr="00C03DEE">
        <w:rPr>
          <w:rFonts w:cstheme="minorHAnsi"/>
          <w:b/>
          <w:sz w:val="20"/>
          <w:szCs w:val="20"/>
        </w:rPr>
        <w:t>Zdroj:</w:t>
      </w:r>
      <w:r w:rsidRPr="00C03DEE">
        <w:rPr>
          <w:rFonts w:cstheme="minorHAnsi"/>
          <w:sz w:val="20"/>
          <w:szCs w:val="20"/>
        </w:rPr>
        <w:t xml:space="preserve"> </w:t>
      </w:r>
      <w:r w:rsidR="004A39F9">
        <w:rPr>
          <w:rFonts w:cstheme="minorHAnsi"/>
          <w:sz w:val="20"/>
          <w:szCs w:val="20"/>
        </w:rPr>
        <w:t>ž</w:t>
      </w:r>
      <w:r w:rsidRPr="00C03DEE">
        <w:rPr>
          <w:rFonts w:cstheme="minorHAnsi"/>
          <w:sz w:val="20"/>
          <w:szCs w:val="20"/>
        </w:rPr>
        <w:t xml:space="preserve">ádosti o provedení vkladu na účet </w:t>
      </w:r>
      <w:proofErr w:type="spellStart"/>
      <w:r w:rsidRPr="00343B53">
        <w:rPr>
          <w:rFonts w:cstheme="minorHAnsi"/>
          <w:i/>
          <w:sz w:val="20"/>
          <w:szCs w:val="20"/>
        </w:rPr>
        <w:t>Brownfield</w:t>
      </w:r>
      <w:proofErr w:type="spellEnd"/>
      <w:r w:rsidRPr="00C03DEE">
        <w:rPr>
          <w:rFonts w:cstheme="minorHAnsi"/>
          <w:sz w:val="20"/>
          <w:szCs w:val="20"/>
        </w:rPr>
        <w:t xml:space="preserve"> </w:t>
      </w:r>
      <w:r w:rsidR="004A39F9">
        <w:rPr>
          <w:rFonts w:cstheme="minorHAnsi"/>
          <w:sz w:val="20"/>
          <w:szCs w:val="20"/>
        </w:rPr>
        <w:t>F</w:t>
      </w:r>
      <w:r w:rsidRPr="00C03DEE">
        <w:rPr>
          <w:rFonts w:cstheme="minorHAnsi"/>
          <w:sz w:val="20"/>
          <w:szCs w:val="20"/>
        </w:rPr>
        <w:t>ond</w:t>
      </w:r>
      <w:r w:rsidR="004A39F9">
        <w:rPr>
          <w:rFonts w:cstheme="minorHAnsi"/>
          <w:sz w:val="20"/>
          <w:szCs w:val="20"/>
        </w:rPr>
        <w:t>u</w:t>
      </w:r>
      <w:r w:rsidRPr="00C03DEE">
        <w:rPr>
          <w:rFonts w:cstheme="minorHAnsi"/>
          <w:sz w:val="20"/>
          <w:szCs w:val="20"/>
        </w:rPr>
        <w:t xml:space="preserve"> fondů a výpisy z bankovního účtu o provedení platby, </w:t>
      </w:r>
      <w:r w:rsidR="00A37A90">
        <w:rPr>
          <w:rFonts w:cstheme="minorHAnsi"/>
          <w:sz w:val="20"/>
          <w:szCs w:val="20"/>
        </w:rPr>
        <w:t>d</w:t>
      </w:r>
      <w:r w:rsidRPr="00C03DEE">
        <w:rPr>
          <w:rFonts w:cstheme="minorHAnsi"/>
          <w:sz w:val="20"/>
          <w:szCs w:val="20"/>
        </w:rPr>
        <w:t>odatek č. 1 k </w:t>
      </w:r>
      <w:r w:rsidR="00A37A90">
        <w:rPr>
          <w:rFonts w:cstheme="minorHAnsi"/>
          <w:sz w:val="20"/>
          <w:szCs w:val="20"/>
        </w:rPr>
        <w:t>d</w:t>
      </w:r>
      <w:r w:rsidRPr="00C03DEE">
        <w:rPr>
          <w:rFonts w:cstheme="minorHAnsi"/>
          <w:sz w:val="20"/>
          <w:szCs w:val="20"/>
        </w:rPr>
        <w:t>ohodě o financování uzavřený dne 18. prosince 2023.</w:t>
      </w:r>
    </w:p>
    <w:p w14:paraId="1ABFA4A5" w14:textId="0FC9A456" w:rsidR="001756AD" w:rsidRPr="00C02DD6" w:rsidRDefault="00374921" w:rsidP="00C03DEE">
      <w:pPr>
        <w:pStyle w:val="Odstavecseseznamem"/>
        <w:spacing w:before="120" w:after="120"/>
        <w:ind w:left="0"/>
        <w:contextualSpacing w:val="0"/>
      </w:pPr>
      <w:r w:rsidRPr="00C02DD6">
        <w:t>Správce j</w:t>
      </w:r>
      <w:r w:rsidR="00CE77C0" w:rsidRPr="00C02DD6">
        <w:t>ako</w:t>
      </w:r>
      <w:r w:rsidR="00CE77C0" w:rsidRPr="00C02DD6">
        <w:rPr>
          <w:b/>
        </w:rPr>
        <w:t xml:space="preserve"> základnu pro výpočet základní odměny</w:t>
      </w:r>
      <w:r w:rsidR="0096041A" w:rsidRPr="00C02DD6">
        <w:t xml:space="preserve"> </w:t>
      </w:r>
      <w:r w:rsidR="009A1F1C" w:rsidRPr="00C02DD6">
        <w:rPr>
          <w:b/>
        </w:rPr>
        <w:t>Finanční</w:t>
      </w:r>
      <w:r w:rsidR="00A37A90">
        <w:rPr>
          <w:b/>
        </w:rPr>
        <w:t>mu</w:t>
      </w:r>
      <w:r w:rsidR="009A1F1C" w:rsidRPr="00C02DD6">
        <w:rPr>
          <w:b/>
        </w:rPr>
        <w:t xml:space="preserve"> zprostředkovatel</w:t>
      </w:r>
      <w:r w:rsidR="00A37A90">
        <w:rPr>
          <w:b/>
        </w:rPr>
        <w:t>i</w:t>
      </w:r>
      <w:r w:rsidRPr="00C02DD6">
        <w:rPr>
          <w:b/>
        </w:rPr>
        <w:t xml:space="preserve"> </w:t>
      </w:r>
      <w:r w:rsidR="00CE77C0" w:rsidRPr="00C02DD6">
        <w:t xml:space="preserve">zvolil </w:t>
      </w:r>
      <w:r w:rsidR="009A1F1C" w:rsidRPr="00C02DD6">
        <w:t>částk</w:t>
      </w:r>
      <w:r w:rsidR="00A210C7" w:rsidRPr="00C02DD6">
        <w:t>y</w:t>
      </w:r>
      <w:r w:rsidR="00AE0CC1" w:rsidRPr="00C02DD6">
        <w:t xml:space="preserve">, které byly uvedeny v uzavřené </w:t>
      </w:r>
      <w:r w:rsidR="00A37A90">
        <w:t>o</w:t>
      </w:r>
      <w:r w:rsidR="00AE0CC1" w:rsidRPr="00C02DD6">
        <w:t>perační dohodě jako</w:t>
      </w:r>
      <w:r w:rsidR="009A1F1C" w:rsidRPr="00C02DD6">
        <w:t xml:space="preserve"> </w:t>
      </w:r>
      <w:r w:rsidR="00895D4C" w:rsidRPr="00C02DD6">
        <w:t xml:space="preserve">maximální </w:t>
      </w:r>
      <w:r w:rsidR="009A1F1C" w:rsidRPr="00C02DD6">
        <w:t>výš</w:t>
      </w:r>
      <w:r w:rsidR="0017312D" w:rsidRPr="00C02DD6">
        <w:t>e</w:t>
      </w:r>
      <w:r w:rsidR="009A1F1C" w:rsidRPr="00C02DD6">
        <w:t xml:space="preserve"> </w:t>
      </w:r>
      <w:r w:rsidR="00386FDE" w:rsidRPr="00C02DD6">
        <w:t>prostředků OPPIK</w:t>
      </w:r>
      <w:r w:rsidR="00726B96" w:rsidRPr="00C02DD6">
        <w:t xml:space="preserve">, o kterou byl Finanční zprostředkovatel </w:t>
      </w:r>
      <w:r w:rsidR="00726B96" w:rsidRPr="00C02DD6">
        <w:rPr>
          <w:b/>
        </w:rPr>
        <w:t>oprávněn požádat</w:t>
      </w:r>
      <w:r w:rsidR="00726B96" w:rsidRPr="00C02DD6">
        <w:t xml:space="preserve"> </w:t>
      </w:r>
      <w:r w:rsidR="009A1F1C" w:rsidRPr="00C02DD6">
        <w:t>(</w:t>
      </w:r>
      <w:r w:rsidR="00A37A90">
        <w:t>viz t</w:t>
      </w:r>
      <w:r w:rsidR="009A1F1C" w:rsidRPr="00C02DD6">
        <w:t>abulka</w:t>
      </w:r>
      <w:r w:rsidR="00A37A90">
        <w:t xml:space="preserve"> </w:t>
      </w:r>
      <w:r w:rsidR="009A1F1C" w:rsidRPr="00C02DD6">
        <w:t>č.</w:t>
      </w:r>
      <w:r w:rsidR="00A37A90">
        <w:t> </w:t>
      </w:r>
      <w:r w:rsidR="00CB1D31" w:rsidRPr="00C02DD6">
        <w:t>6</w:t>
      </w:r>
      <w:r w:rsidR="009A1F1C" w:rsidRPr="00C02DD6">
        <w:t>)</w:t>
      </w:r>
      <w:r w:rsidR="00F029B2" w:rsidRPr="00C02DD6">
        <w:t xml:space="preserve">. </w:t>
      </w:r>
    </w:p>
    <w:p w14:paraId="16B3337B" w14:textId="45B231C3" w:rsidR="0002374B" w:rsidRPr="00C02DD6" w:rsidRDefault="0002374B" w:rsidP="00E849E8">
      <w:pPr>
        <w:pStyle w:val="Odstavecseseznamem"/>
        <w:spacing w:before="120" w:after="40"/>
        <w:ind w:left="0"/>
        <w:contextualSpacing w:val="0"/>
        <w:rPr>
          <w:rFonts w:cstheme="minorHAnsi"/>
          <w:b/>
        </w:rPr>
      </w:pPr>
      <w:r w:rsidRPr="00E849E8">
        <w:rPr>
          <w:rFonts w:cstheme="minorHAnsi"/>
          <w:b/>
        </w:rPr>
        <w:t xml:space="preserve">Tabulka č. </w:t>
      </w:r>
      <w:r w:rsidR="00CB1D31" w:rsidRPr="00E849E8">
        <w:rPr>
          <w:rFonts w:cstheme="minorHAnsi"/>
          <w:b/>
        </w:rPr>
        <w:t>6</w:t>
      </w:r>
      <w:r w:rsidRPr="00E849E8">
        <w:rPr>
          <w:rFonts w:cstheme="minorHAnsi"/>
          <w:b/>
        </w:rPr>
        <w:t>:</w:t>
      </w:r>
      <w:r w:rsidRPr="00C02DD6">
        <w:rPr>
          <w:rFonts w:cstheme="minorHAnsi"/>
          <w:b/>
        </w:rPr>
        <w:t xml:space="preserve"> Základny pro výpočet základní odměny Finanční</w:t>
      </w:r>
      <w:r w:rsidR="00A37A90">
        <w:rPr>
          <w:rFonts w:cstheme="minorHAnsi"/>
          <w:b/>
        </w:rPr>
        <w:t>mu</w:t>
      </w:r>
      <w:r w:rsidRPr="00C02DD6">
        <w:rPr>
          <w:rFonts w:cstheme="minorHAnsi"/>
          <w:b/>
        </w:rPr>
        <w:t xml:space="preserve"> zprostředkovatel</w:t>
      </w:r>
      <w:r w:rsidR="00A37A90">
        <w:rPr>
          <w:rFonts w:cstheme="minorHAnsi"/>
          <w:b/>
        </w:rPr>
        <w:t>i</w:t>
      </w:r>
    </w:p>
    <w:tbl>
      <w:tblPr>
        <w:tblStyle w:val="Mkatabulky"/>
        <w:tblW w:w="9072" w:type="dxa"/>
        <w:jc w:val="center"/>
        <w:tblLook w:val="04A0" w:firstRow="1" w:lastRow="0" w:firstColumn="1" w:lastColumn="0" w:noHBand="0" w:noVBand="1"/>
      </w:tblPr>
      <w:tblGrid>
        <w:gridCol w:w="1512"/>
        <w:gridCol w:w="1727"/>
        <w:gridCol w:w="1945"/>
        <w:gridCol w:w="1944"/>
        <w:gridCol w:w="1944"/>
      </w:tblGrid>
      <w:tr w:rsidR="0002374B" w:rsidRPr="00C02DD6" w14:paraId="11DCFE8D" w14:textId="77777777" w:rsidTr="00BA1990">
        <w:trPr>
          <w:trHeight w:val="283"/>
          <w:jc w:val="center"/>
        </w:trPr>
        <w:tc>
          <w:tcPr>
            <w:tcW w:w="1418" w:type="dxa"/>
            <w:shd w:val="clear" w:color="auto" w:fill="E6E6E6"/>
            <w:vAlign w:val="center"/>
          </w:tcPr>
          <w:p w14:paraId="73CAB811" w14:textId="77777777" w:rsidR="0002374B" w:rsidRPr="00C02DD6" w:rsidRDefault="0002374B" w:rsidP="00A24307">
            <w:pPr>
              <w:pStyle w:val="Odstavecseseznamem"/>
              <w:ind w:left="0"/>
              <w:rPr>
                <w:rFonts w:asciiTheme="minorHAnsi" w:hAnsiTheme="minorHAnsi" w:cstheme="minorHAnsi"/>
                <w:b/>
                <w:color w:val="auto"/>
                <w:sz w:val="20"/>
                <w:szCs w:val="20"/>
              </w:rPr>
            </w:pPr>
            <w:r w:rsidRPr="00C02DD6">
              <w:rPr>
                <w:rFonts w:asciiTheme="minorHAnsi" w:hAnsiTheme="minorHAnsi" w:cstheme="minorHAnsi"/>
                <w:b/>
                <w:color w:val="auto"/>
                <w:sz w:val="20"/>
                <w:szCs w:val="20"/>
              </w:rPr>
              <w:t>Platnost od</w:t>
            </w:r>
          </w:p>
        </w:tc>
        <w:tc>
          <w:tcPr>
            <w:tcW w:w="1618" w:type="dxa"/>
            <w:shd w:val="clear" w:color="auto" w:fill="auto"/>
            <w:vAlign w:val="center"/>
          </w:tcPr>
          <w:p w14:paraId="430461D5" w14:textId="77777777" w:rsidR="0002374B" w:rsidRPr="00C02DD6" w:rsidRDefault="0002374B"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20. října 2020</w:t>
            </w:r>
          </w:p>
        </w:tc>
        <w:tc>
          <w:tcPr>
            <w:tcW w:w="1822" w:type="dxa"/>
            <w:shd w:val="clear" w:color="auto" w:fill="auto"/>
            <w:vAlign w:val="center"/>
          </w:tcPr>
          <w:p w14:paraId="1A29F362" w14:textId="77777777" w:rsidR="0002374B" w:rsidRPr="00C02DD6" w:rsidRDefault="0002374B"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4. července 2023</w:t>
            </w:r>
          </w:p>
        </w:tc>
        <w:tc>
          <w:tcPr>
            <w:tcW w:w="1821" w:type="dxa"/>
            <w:shd w:val="clear" w:color="auto" w:fill="auto"/>
            <w:vAlign w:val="center"/>
          </w:tcPr>
          <w:p w14:paraId="566AC99F" w14:textId="77777777" w:rsidR="0002374B" w:rsidRPr="00C02DD6" w:rsidRDefault="0002374B"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1. prosince 2023</w:t>
            </w:r>
          </w:p>
        </w:tc>
        <w:tc>
          <w:tcPr>
            <w:tcW w:w="1821" w:type="dxa"/>
            <w:shd w:val="clear" w:color="auto" w:fill="auto"/>
            <w:vAlign w:val="center"/>
          </w:tcPr>
          <w:p w14:paraId="59C5BC7D" w14:textId="77777777" w:rsidR="0002374B" w:rsidRPr="00C02DD6" w:rsidRDefault="0002374B"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20. prosince 2023</w:t>
            </w:r>
          </w:p>
        </w:tc>
      </w:tr>
      <w:tr w:rsidR="0002374B" w:rsidRPr="00C02DD6" w14:paraId="646043B4" w14:textId="77777777" w:rsidTr="00BA1990">
        <w:trPr>
          <w:trHeight w:val="283"/>
          <w:jc w:val="center"/>
        </w:trPr>
        <w:tc>
          <w:tcPr>
            <w:tcW w:w="1418" w:type="dxa"/>
            <w:shd w:val="clear" w:color="auto" w:fill="E6E6E6"/>
            <w:vAlign w:val="center"/>
          </w:tcPr>
          <w:p w14:paraId="661E135A" w14:textId="77777777" w:rsidR="0002374B" w:rsidRPr="00C02DD6" w:rsidRDefault="0002374B" w:rsidP="00A24307">
            <w:pPr>
              <w:pStyle w:val="Odstavecseseznamem"/>
              <w:ind w:left="0"/>
              <w:rPr>
                <w:rFonts w:asciiTheme="minorHAnsi" w:hAnsiTheme="minorHAnsi" w:cstheme="minorHAnsi"/>
                <w:b/>
                <w:color w:val="auto"/>
                <w:sz w:val="20"/>
                <w:szCs w:val="20"/>
              </w:rPr>
            </w:pPr>
            <w:r w:rsidRPr="00C02DD6">
              <w:rPr>
                <w:rFonts w:asciiTheme="minorHAnsi" w:hAnsiTheme="minorHAnsi" w:cstheme="minorHAnsi"/>
                <w:b/>
                <w:color w:val="auto"/>
                <w:sz w:val="20"/>
                <w:szCs w:val="20"/>
              </w:rPr>
              <w:t>Základna v Kč</w:t>
            </w:r>
          </w:p>
        </w:tc>
        <w:tc>
          <w:tcPr>
            <w:tcW w:w="1618" w:type="dxa"/>
            <w:shd w:val="clear" w:color="auto" w:fill="auto"/>
            <w:vAlign w:val="center"/>
          </w:tcPr>
          <w:p w14:paraId="2AD96360" w14:textId="77777777" w:rsidR="0002374B" w:rsidRPr="00C02DD6" w:rsidRDefault="0002374B"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483 000 000</w:t>
            </w:r>
          </w:p>
        </w:tc>
        <w:tc>
          <w:tcPr>
            <w:tcW w:w="1822" w:type="dxa"/>
            <w:shd w:val="clear" w:color="auto" w:fill="auto"/>
            <w:vAlign w:val="center"/>
          </w:tcPr>
          <w:p w14:paraId="70C62121" w14:textId="77777777" w:rsidR="0002374B" w:rsidRPr="00C02DD6" w:rsidRDefault="0002374B"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186 500 000</w:t>
            </w:r>
          </w:p>
        </w:tc>
        <w:tc>
          <w:tcPr>
            <w:tcW w:w="1821" w:type="dxa"/>
            <w:shd w:val="clear" w:color="auto" w:fill="auto"/>
            <w:vAlign w:val="center"/>
          </w:tcPr>
          <w:p w14:paraId="7BF1E539" w14:textId="77777777" w:rsidR="0002374B" w:rsidRPr="00C02DD6" w:rsidRDefault="0002374B"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161 660 000</w:t>
            </w:r>
          </w:p>
        </w:tc>
        <w:tc>
          <w:tcPr>
            <w:tcW w:w="1821" w:type="dxa"/>
            <w:shd w:val="clear" w:color="auto" w:fill="auto"/>
            <w:vAlign w:val="center"/>
          </w:tcPr>
          <w:p w14:paraId="09F3ADD4" w14:textId="77777777" w:rsidR="0002374B" w:rsidRPr="00C02DD6" w:rsidRDefault="0002374B" w:rsidP="00A24307">
            <w:pPr>
              <w:pStyle w:val="Odstavecseseznamem"/>
              <w:ind w:left="0"/>
              <w:jc w:val="center"/>
              <w:rPr>
                <w:rFonts w:asciiTheme="minorHAnsi" w:hAnsiTheme="minorHAnsi" w:cstheme="minorHAnsi"/>
                <w:sz w:val="20"/>
                <w:szCs w:val="20"/>
              </w:rPr>
            </w:pPr>
            <w:r w:rsidRPr="00C02DD6">
              <w:rPr>
                <w:rFonts w:asciiTheme="minorHAnsi" w:hAnsiTheme="minorHAnsi" w:cstheme="minorHAnsi"/>
                <w:sz w:val="20"/>
                <w:szCs w:val="20"/>
              </w:rPr>
              <w:t>146 631 000</w:t>
            </w:r>
          </w:p>
        </w:tc>
      </w:tr>
    </w:tbl>
    <w:p w14:paraId="46B641BF" w14:textId="463991C9" w:rsidR="006C7133" w:rsidRPr="00E849E8" w:rsidRDefault="0002374B" w:rsidP="00E849E8">
      <w:pPr>
        <w:spacing w:before="40" w:after="120"/>
        <w:ind w:left="567" w:hanging="567"/>
        <w:rPr>
          <w:rFonts w:cstheme="minorHAnsi"/>
          <w:sz w:val="20"/>
          <w:szCs w:val="20"/>
        </w:rPr>
      </w:pPr>
      <w:r w:rsidRPr="00E849E8">
        <w:rPr>
          <w:rFonts w:cstheme="minorHAnsi"/>
          <w:b/>
          <w:sz w:val="20"/>
          <w:szCs w:val="20"/>
        </w:rPr>
        <w:t>Zdroj:</w:t>
      </w:r>
      <w:r w:rsidRPr="00E849E8">
        <w:rPr>
          <w:rFonts w:cstheme="minorHAnsi"/>
          <w:sz w:val="20"/>
          <w:szCs w:val="20"/>
        </w:rPr>
        <w:t xml:space="preserve"> </w:t>
      </w:r>
      <w:r w:rsidR="00A37A90">
        <w:rPr>
          <w:rFonts w:cstheme="minorHAnsi"/>
          <w:sz w:val="20"/>
          <w:szCs w:val="20"/>
        </w:rPr>
        <w:t>o</w:t>
      </w:r>
      <w:r w:rsidRPr="00E849E8">
        <w:rPr>
          <w:rFonts w:cstheme="minorHAnsi"/>
          <w:sz w:val="20"/>
          <w:szCs w:val="20"/>
        </w:rPr>
        <w:t>perační dohoda uzavřen</w:t>
      </w:r>
      <w:r w:rsidR="00A37A90">
        <w:rPr>
          <w:rFonts w:cstheme="minorHAnsi"/>
          <w:sz w:val="20"/>
          <w:szCs w:val="20"/>
        </w:rPr>
        <w:t>á</w:t>
      </w:r>
      <w:r w:rsidRPr="00E849E8">
        <w:rPr>
          <w:rFonts w:cstheme="minorHAnsi"/>
          <w:sz w:val="20"/>
          <w:szCs w:val="20"/>
        </w:rPr>
        <w:t xml:space="preserve"> dne 20. října 2020, </w:t>
      </w:r>
      <w:r w:rsidR="00A37A90">
        <w:rPr>
          <w:rFonts w:cstheme="minorHAnsi"/>
          <w:sz w:val="20"/>
          <w:szCs w:val="20"/>
        </w:rPr>
        <w:t>d</w:t>
      </w:r>
      <w:r w:rsidRPr="00E849E8">
        <w:rPr>
          <w:rFonts w:cstheme="minorHAnsi"/>
          <w:sz w:val="20"/>
          <w:szCs w:val="20"/>
        </w:rPr>
        <w:t>odatek č. 3 uzavřen</w:t>
      </w:r>
      <w:r w:rsidR="00A37A90">
        <w:rPr>
          <w:rFonts w:cstheme="minorHAnsi"/>
          <w:sz w:val="20"/>
          <w:szCs w:val="20"/>
        </w:rPr>
        <w:t>ý</w:t>
      </w:r>
      <w:r w:rsidRPr="00E849E8">
        <w:rPr>
          <w:rFonts w:cstheme="minorHAnsi"/>
          <w:sz w:val="20"/>
          <w:szCs w:val="20"/>
        </w:rPr>
        <w:t xml:space="preserve"> dne 4. července 2023, </w:t>
      </w:r>
      <w:r w:rsidR="00A37A90">
        <w:rPr>
          <w:rFonts w:cstheme="minorHAnsi"/>
          <w:sz w:val="20"/>
          <w:szCs w:val="20"/>
        </w:rPr>
        <w:t>d</w:t>
      </w:r>
      <w:r w:rsidRPr="00E849E8">
        <w:rPr>
          <w:rFonts w:cstheme="minorHAnsi"/>
          <w:sz w:val="20"/>
          <w:szCs w:val="20"/>
        </w:rPr>
        <w:t>odatek č. 4 uzavřen</w:t>
      </w:r>
      <w:r w:rsidR="00A37A90">
        <w:rPr>
          <w:rFonts w:cstheme="minorHAnsi"/>
          <w:sz w:val="20"/>
          <w:szCs w:val="20"/>
        </w:rPr>
        <w:t>ý</w:t>
      </w:r>
      <w:r w:rsidRPr="00E849E8">
        <w:rPr>
          <w:rFonts w:cstheme="minorHAnsi"/>
          <w:sz w:val="20"/>
          <w:szCs w:val="20"/>
        </w:rPr>
        <w:t xml:space="preserve"> dne 1. prosince 2023 a </w:t>
      </w:r>
      <w:r w:rsidR="00A37A90">
        <w:rPr>
          <w:rFonts w:cstheme="minorHAnsi"/>
          <w:sz w:val="20"/>
          <w:szCs w:val="20"/>
        </w:rPr>
        <w:t>d</w:t>
      </w:r>
      <w:r w:rsidRPr="00E849E8">
        <w:rPr>
          <w:rFonts w:cstheme="minorHAnsi"/>
          <w:sz w:val="20"/>
          <w:szCs w:val="20"/>
        </w:rPr>
        <w:t>odatek č. 5 uzavřen</w:t>
      </w:r>
      <w:r w:rsidR="00A37A90">
        <w:rPr>
          <w:rFonts w:cstheme="minorHAnsi"/>
          <w:sz w:val="20"/>
          <w:szCs w:val="20"/>
        </w:rPr>
        <w:t>ý</w:t>
      </w:r>
      <w:r w:rsidRPr="00E849E8">
        <w:rPr>
          <w:rFonts w:cstheme="minorHAnsi"/>
          <w:sz w:val="20"/>
          <w:szCs w:val="20"/>
        </w:rPr>
        <w:t xml:space="preserve"> dne 20. prosince 2023.</w:t>
      </w:r>
    </w:p>
    <w:p w14:paraId="1039C2BB" w14:textId="4028229B" w:rsidR="005D1D1B" w:rsidRPr="0070519D" w:rsidRDefault="00FE4B44" w:rsidP="00E849E8">
      <w:pPr>
        <w:spacing w:before="120" w:after="120" w:line="259" w:lineRule="auto"/>
        <w:rPr>
          <w:rFonts w:asciiTheme="minorHAnsi" w:eastAsia="Calibri" w:hAnsiTheme="minorHAnsi" w:cstheme="minorHAnsi"/>
          <w:color w:val="auto"/>
        </w:rPr>
      </w:pPr>
      <w:bookmarkStart w:id="22" w:name="_Hlk168046393"/>
      <w:r w:rsidRPr="00E544DD">
        <w:rPr>
          <w:rFonts w:asciiTheme="minorHAnsi" w:eastAsia="Calibri" w:hAnsiTheme="minorHAnsi" w:cstheme="minorHAnsi"/>
          <w:color w:val="auto"/>
        </w:rPr>
        <w:t>Správce použil pro výpočet základní odměny</w:t>
      </w:r>
      <w:r w:rsidR="00A210C7" w:rsidRPr="00E544DD">
        <w:rPr>
          <w:rFonts w:asciiTheme="minorHAnsi" w:eastAsia="Calibri" w:hAnsiTheme="minorHAnsi" w:cstheme="minorHAnsi"/>
          <w:color w:val="auto"/>
        </w:rPr>
        <w:t xml:space="preserve"> Finanční</w:t>
      </w:r>
      <w:r w:rsidR="00A37A90">
        <w:rPr>
          <w:rFonts w:asciiTheme="minorHAnsi" w:eastAsia="Calibri" w:hAnsiTheme="minorHAnsi" w:cstheme="minorHAnsi"/>
          <w:color w:val="auto"/>
        </w:rPr>
        <w:t>mu</w:t>
      </w:r>
      <w:r w:rsidR="00A210C7" w:rsidRPr="00E544DD">
        <w:rPr>
          <w:rFonts w:asciiTheme="minorHAnsi" w:eastAsia="Calibri" w:hAnsiTheme="minorHAnsi" w:cstheme="minorHAnsi"/>
          <w:color w:val="auto"/>
        </w:rPr>
        <w:t xml:space="preserve"> zprostředkovatel</w:t>
      </w:r>
      <w:r w:rsidR="00A37A90">
        <w:rPr>
          <w:rFonts w:asciiTheme="minorHAnsi" w:eastAsia="Calibri" w:hAnsiTheme="minorHAnsi" w:cstheme="minorHAnsi"/>
          <w:color w:val="auto"/>
        </w:rPr>
        <w:t>i</w:t>
      </w:r>
      <w:r w:rsidR="00374921" w:rsidRPr="00E544DD">
        <w:rPr>
          <w:rFonts w:asciiTheme="minorHAnsi" w:eastAsia="Calibri" w:hAnsiTheme="minorHAnsi" w:cstheme="minorHAnsi"/>
          <w:color w:val="auto"/>
        </w:rPr>
        <w:t xml:space="preserve"> jako základny peněžní prostředky ve výši, v</w:t>
      </w:r>
      <w:r w:rsidR="00E60BD3">
        <w:rPr>
          <w:rFonts w:asciiTheme="minorHAnsi" w:eastAsia="Calibri" w:hAnsiTheme="minorHAnsi" w:cstheme="minorHAnsi"/>
          <w:color w:val="auto"/>
        </w:rPr>
        <w:t>e</w:t>
      </w:r>
      <w:r w:rsidR="00374921" w:rsidRPr="00E544DD">
        <w:rPr>
          <w:rFonts w:asciiTheme="minorHAnsi" w:eastAsia="Calibri" w:hAnsiTheme="minorHAnsi" w:cstheme="minorHAnsi"/>
          <w:color w:val="auto"/>
        </w:rPr>
        <w:t xml:space="preserve"> které je </w:t>
      </w:r>
      <w:r w:rsidRPr="00E544DD">
        <w:rPr>
          <w:rFonts w:asciiTheme="minorHAnsi" w:eastAsia="Calibri" w:hAnsiTheme="minorHAnsi" w:cstheme="minorHAnsi"/>
          <w:color w:val="auto"/>
        </w:rPr>
        <w:t>Finanční</w:t>
      </w:r>
      <w:r w:rsidR="00A210C7" w:rsidRPr="00E544DD">
        <w:rPr>
          <w:rFonts w:asciiTheme="minorHAnsi" w:eastAsia="Calibri" w:hAnsiTheme="minorHAnsi" w:cstheme="minorHAnsi"/>
          <w:color w:val="auto"/>
        </w:rPr>
        <w:t xml:space="preserve">mu </w:t>
      </w:r>
      <w:r w:rsidRPr="00E544DD">
        <w:rPr>
          <w:rFonts w:asciiTheme="minorHAnsi" w:eastAsia="Calibri" w:hAnsiTheme="minorHAnsi" w:cstheme="minorHAnsi"/>
          <w:color w:val="auto"/>
        </w:rPr>
        <w:t>zprostředkovatel</w:t>
      </w:r>
      <w:r w:rsidR="00A210C7" w:rsidRPr="00E544DD">
        <w:rPr>
          <w:rFonts w:asciiTheme="minorHAnsi" w:eastAsia="Calibri" w:hAnsiTheme="minorHAnsi" w:cstheme="minorHAnsi"/>
          <w:color w:val="auto"/>
        </w:rPr>
        <w:t>i</w:t>
      </w:r>
      <w:r w:rsidRPr="00E544DD">
        <w:rPr>
          <w:rFonts w:asciiTheme="minorHAnsi" w:eastAsia="Calibri" w:hAnsiTheme="minorHAnsi" w:cstheme="minorHAnsi"/>
          <w:color w:val="auto"/>
        </w:rPr>
        <w:t xml:space="preserve"> </w:t>
      </w:r>
      <w:r w:rsidR="00374921" w:rsidRPr="00E544DD">
        <w:rPr>
          <w:rFonts w:asciiTheme="minorHAnsi" w:eastAsia="Calibri" w:hAnsiTheme="minorHAnsi" w:cstheme="minorHAnsi"/>
          <w:color w:val="auto"/>
        </w:rPr>
        <w:t xml:space="preserve">fakticky </w:t>
      </w:r>
      <w:r w:rsidR="00A210C7" w:rsidRPr="00E544DD">
        <w:rPr>
          <w:rFonts w:asciiTheme="minorHAnsi" w:eastAsia="Calibri" w:hAnsiTheme="minorHAnsi" w:cstheme="minorHAnsi"/>
          <w:b/>
          <w:color w:val="auto"/>
        </w:rPr>
        <w:t>nepřevedl</w:t>
      </w:r>
      <w:r w:rsidR="001756AD" w:rsidRPr="00E544DD">
        <w:rPr>
          <w:rFonts w:asciiTheme="minorHAnsi" w:eastAsia="Calibri" w:hAnsiTheme="minorHAnsi" w:cstheme="minorHAnsi"/>
          <w:b/>
          <w:color w:val="auto"/>
        </w:rPr>
        <w:t xml:space="preserve"> a ani nemohl převést</w:t>
      </w:r>
      <w:r w:rsidR="001756AD" w:rsidRPr="00343B53">
        <w:rPr>
          <w:rFonts w:asciiTheme="minorHAnsi" w:eastAsia="Calibri" w:hAnsiTheme="minorHAnsi" w:cstheme="minorHAnsi"/>
          <w:b/>
          <w:color w:val="auto"/>
        </w:rPr>
        <w:t>,</w:t>
      </w:r>
      <w:r w:rsidR="00A210C7" w:rsidRPr="00E544DD">
        <w:rPr>
          <w:rFonts w:asciiTheme="minorHAnsi" w:eastAsia="Calibri" w:hAnsiTheme="minorHAnsi" w:cstheme="minorHAnsi"/>
          <w:color w:val="auto"/>
        </w:rPr>
        <w:t xml:space="preserve"> neboť </w:t>
      </w:r>
      <w:r w:rsidR="00374921" w:rsidRPr="00E544DD">
        <w:rPr>
          <w:rFonts w:asciiTheme="minorHAnsi" w:eastAsia="Calibri" w:hAnsiTheme="minorHAnsi" w:cstheme="minorHAnsi"/>
          <w:color w:val="auto"/>
        </w:rPr>
        <w:t xml:space="preserve">je </w:t>
      </w:r>
      <w:r w:rsidR="0017312D" w:rsidRPr="00E544DD">
        <w:rPr>
          <w:rFonts w:asciiTheme="minorHAnsi" w:eastAsia="Calibri" w:hAnsiTheme="minorHAnsi" w:cstheme="minorHAnsi"/>
          <w:color w:val="auto"/>
        </w:rPr>
        <w:t xml:space="preserve">neměl </w:t>
      </w:r>
      <w:r w:rsidR="00374921" w:rsidRPr="00E544DD">
        <w:rPr>
          <w:rFonts w:asciiTheme="minorHAnsi" w:eastAsia="Calibri" w:hAnsiTheme="minorHAnsi" w:cstheme="minorHAnsi"/>
          <w:color w:val="auto"/>
        </w:rPr>
        <w:t>od MPO</w:t>
      </w:r>
      <w:r w:rsidR="0017312D" w:rsidRPr="00E544DD">
        <w:rPr>
          <w:rFonts w:asciiTheme="minorHAnsi" w:eastAsia="Calibri" w:hAnsiTheme="minorHAnsi" w:cstheme="minorHAnsi"/>
          <w:color w:val="auto"/>
        </w:rPr>
        <w:t xml:space="preserve"> k dispozici</w:t>
      </w:r>
      <w:r w:rsidR="00A210C7" w:rsidRPr="00E544DD">
        <w:rPr>
          <w:rFonts w:asciiTheme="minorHAnsi" w:eastAsia="Calibri" w:hAnsiTheme="minorHAnsi" w:cstheme="minorHAnsi"/>
          <w:color w:val="auto"/>
        </w:rPr>
        <w:t>.</w:t>
      </w:r>
      <w:r w:rsidR="00B75D2D" w:rsidRPr="00E544DD">
        <w:rPr>
          <w:rFonts w:asciiTheme="minorHAnsi" w:eastAsia="Calibri" w:hAnsiTheme="minorHAnsi" w:cstheme="minorHAnsi"/>
          <w:color w:val="auto"/>
        </w:rPr>
        <w:t xml:space="preserve"> Ve skutečnosti</w:t>
      </w:r>
      <w:r w:rsidR="000875BD" w:rsidRPr="00E544DD">
        <w:rPr>
          <w:rFonts w:asciiTheme="minorHAnsi" w:eastAsia="Calibri" w:hAnsiTheme="minorHAnsi" w:cstheme="minorHAnsi"/>
          <w:color w:val="auto"/>
        </w:rPr>
        <w:t xml:space="preserve"> </w:t>
      </w:r>
      <w:r w:rsidR="00B75D2D" w:rsidRPr="00E544DD">
        <w:rPr>
          <w:rFonts w:asciiTheme="minorHAnsi" w:eastAsia="Calibri" w:hAnsiTheme="minorHAnsi" w:cstheme="minorHAnsi"/>
          <w:color w:val="auto"/>
        </w:rPr>
        <w:t xml:space="preserve">Finanční zprostředkovatel obdržel od Správce částku </w:t>
      </w:r>
      <w:r w:rsidR="00B75D2D" w:rsidRPr="00E544DD">
        <w:rPr>
          <w:b/>
        </w:rPr>
        <w:t xml:space="preserve">115 000 000 Kč </w:t>
      </w:r>
      <w:r w:rsidR="00B75D2D" w:rsidRPr="00E544DD">
        <w:t>v roce 2020</w:t>
      </w:r>
      <w:r w:rsidR="00B75D2D" w:rsidRPr="00A37A90">
        <w:t xml:space="preserve"> </w:t>
      </w:r>
      <w:r w:rsidR="00B75D2D" w:rsidRPr="00E544DD">
        <w:t>a částku</w:t>
      </w:r>
      <w:r w:rsidR="00B75D2D" w:rsidRPr="00A37A90">
        <w:t xml:space="preserve"> </w:t>
      </w:r>
      <w:r w:rsidR="00B75D2D" w:rsidRPr="00E544DD">
        <w:rPr>
          <w:rFonts w:cstheme="minorHAnsi"/>
          <w:b/>
        </w:rPr>
        <w:t xml:space="preserve">120 750 000 Kč </w:t>
      </w:r>
      <w:r w:rsidR="00B75D2D" w:rsidRPr="00E544DD">
        <w:rPr>
          <w:rFonts w:cstheme="minorHAnsi"/>
        </w:rPr>
        <w:t>v roce 2022</w:t>
      </w:r>
      <w:r w:rsidR="00B75D2D" w:rsidRPr="00A37A90">
        <w:rPr>
          <w:rFonts w:cstheme="minorHAnsi"/>
        </w:rPr>
        <w:t xml:space="preserve">. </w:t>
      </w:r>
      <w:r w:rsidR="00B75D2D" w:rsidRPr="00E544DD">
        <w:rPr>
          <w:rFonts w:cstheme="minorHAnsi"/>
        </w:rPr>
        <w:t>Správce</w:t>
      </w:r>
      <w:r w:rsidR="003A00CF" w:rsidRPr="00E544DD">
        <w:rPr>
          <w:rFonts w:cstheme="minorHAnsi"/>
        </w:rPr>
        <w:t xml:space="preserve"> </w:t>
      </w:r>
      <w:r w:rsidR="00B75D2D" w:rsidRPr="00E544DD">
        <w:rPr>
          <w:rFonts w:cstheme="minorHAnsi"/>
        </w:rPr>
        <w:t>tak vypočetl Finančnímu zprostředkovateli základní odměnu z</w:t>
      </w:r>
      <w:r w:rsidR="000A59D2" w:rsidRPr="00E544DD">
        <w:rPr>
          <w:rFonts w:cstheme="minorHAnsi"/>
        </w:rPr>
        <w:t> </w:t>
      </w:r>
      <w:r w:rsidR="00B75D2D" w:rsidRPr="00E544DD">
        <w:rPr>
          <w:rFonts w:cstheme="minorHAnsi"/>
        </w:rPr>
        <w:t>částek</w:t>
      </w:r>
      <w:r w:rsidR="000A59D2" w:rsidRPr="00E544DD">
        <w:rPr>
          <w:rFonts w:cstheme="minorHAnsi"/>
        </w:rPr>
        <w:t xml:space="preserve"> (viz </w:t>
      </w:r>
      <w:r w:rsidR="0089580B">
        <w:rPr>
          <w:rFonts w:cstheme="minorHAnsi"/>
        </w:rPr>
        <w:t>t</w:t>
      </w:r>
      <w:r w:rsidR="000A59D2" w:rsidRPr="00E544DD">
        <w:rPr>
          <w:rFonts w:cstheme="minorHAnsi"/>
        </w:rPr>
        <w:t>abulka č. 6)</w:t>
      </w:r>
      <w:r w:rsidR="00B75D2D" w:rsidRPr="00E544DD">
        <w:rPr>
          <w:rFonts w:cstheme="minorHAnsi"/>
        </w:rPr>
        <w:t xml:space="preserve">, které </w:t>
      </w:r>
      <w:r w:rsidR="00B75D2D" w:rsidRPr="00E544DD">
        <w:rPr>
          <w:rFonts w:cstheme="minorHAnsi"/>
          <w:b/>
        </w:rPr>
        <w:t xml:space="preserve">Finanční zprostředkovatel ve skutečnosti </w:t>
      </w:r>
      <w:r w:rsidR="0070519D" w:rsidRPr="00430359">
        <w:rPr>
          <w:rFonts w:cstheme="minorHAnsi"/>
          <w:b/>
        </w:rPr>
        <w:t xml:space="preserve">v letech 2020 a 2023 </w:t>
      </w:r>
      <w:r w:rsidR="00B75D2D" w:rsidRPr="00E544DD">
        <w:rPr>
          <w:rFonts w:cstheme="minorHAnsi"/>
          <w:b/>
        </w:rPr>
        <w:t>nespravoval</w:t>
      </w:r>
      <w:r w:rsidR="00C83102" w:rsidRPr="00430359">
        <w:rPr>
          <w:rFonts w:cstheme="minorHAnsi"/>
          <w:b/>
        </w:rPr>
        <w:t>.</w:t>
      </w:r>
      <w:r w:rsidR="00430359">
        <w:rPr>
          <w:rFonts w:cstheme="minorHAnsi"/>
          <w:b/>
        </w:rPr>
        <w:t xml:space="preserve"> </w:t>
      </w:r>
    </w:p>
    <w:bookmarkEnd w:id="22"/>
    <w:p w14:paraId="5A16378C" w14:textId="411B43EC" w:rsidR="00912DF1" w:rsidRDefault="008C6C69" w:rsidP="00E849E8">
      <w:pPr>
        <w:spacing w:before="120" w:after="120" w:line="259" w:lineRule="auto"/>
      </w:pPr>
      <w:r w:rsidRPr="00C02DD6">
        <w:rPr>
          <w:rFonts w:asciiTheme="minorHAnsi" w:eastAsia="Calibri" w:hAnsiTheme="minorHAnsi" w:cstheme="minorHAnsi"/>
          <w:color w:val="auto"/>
        </w:rPr>
        <w:t>Konečná konkrétní výše odměny Správc</w:t>
      </w:r>
      <w:r w:rsidR="0089580B">
        <w:rPr>
          <w:rFonts w:asciiTheme="minorHAnsi" w:eastAsia="Calibri" w:hAnsiTheme="minorHAnsi" w:cstheme="minorHAnsi"/>
          <w:color w:val="auto"/>
        </w:rPr>
        <w:t>i</w:t>
      </w:r>
      <w:r w:rsidRPr="00C02DD6">
        <w:rPr>
          <w:rFonts w:asciiTheme="minorHAnsi" w:eastAsia="Calibri" w:hAnsiTheme="minorHAnsi" w:cstheme="minorHAnsi"/>
          <w:color w:val="auto"/>
        </w:rPr>
        <w:t xml:space="preserve"> a Finanční</w:t>
      </w:r>
      <w:r w:rsidR="0089580B">
        <w:rPr>
          <w:rFonts w:asciiTheme="minorHAnsi" w:eastAsia="Calibri" w:hAnsiTheme="minorHAnsi" w:cstheme="minorHAnsi"/>
          <w:color w:val="auto"/>
        </w:rPr>
        <w:t>mu</w:t>
      </w:r>
      <w:r w:rsidRPr="00C02DD6">
        <w:rPr>
          <w:rFonts w:asciiTheme="minorHAnsi" w:eastAsia="Calibri" w:hAnsiTheme="minorHAnsi" w:cstheme="minorHAnsi"/>
          <w:color w:val="auto"/>
        </w:rPr>
        <w:t xml:space="preserve"> zprostředkovatel</w:t>
      </w:r>
      <w:r w:rsidR="0089580B">
        <w:rPr>
          <w:rFonts w:asciiTheme="minorHAnsi" w:eastAsia="Calibri" w:hAnsiTheme="minorHAnsi" w:cstheme="minorHAnsi"/>
          <w:color w:val="auto"/>
        </w:rPr>
        <w:t>i</w:t>
      </w:r>
      <w:r w:rsidRPr="00C02DD6">
        <w:rPr>
          <w:rFonts w:asciiTheme="minorHAnsi" w:eastAsia="Calibri" w:hAnsiTheme="minorHAnsi" w:cstheme="minorHAnsi"/>
          <w:color w:val="auto"/>
        </w:rPr>
        <w:t xml:space="preserve"> bude přepočtena a</w:t>
      </w:r>
      <w:r w:rsidR="00476FC7" w:rsidRPr="00C02DD6">
        <w:rPr>
          <w:rFonts w:asciiTheme="minorHAnsi" w:eastAsia="Calibri" w:hAnsiTheme="minorHAnsi" w:cstheme="minorHAnsi"/>
          <w:color w:val="auto"/>
        </w:rPr>
        <w:t> </w:t>
      </w:r>
      <w:r w:rsidR="00972381" w:rsidRPr="00C02DD6">
        <w:rPr>
          <w:rFonts w:asciiTheme="minorHAnsi" w:eastAsia="Calibri" w:hAnsiTheme="minorHAnsi" w:cstheme="minorHAnsi"/>
          <w:color w:val="auto"/>
        </w:rPr>
        <w:t xml:space="preserve">její finální </w:t>
      </w:r>
      <w:r w:rsidR="00C75C43" w:rsidRPr="00C02DD6">
        <w:rPr>
          <w:rFonts w:asciiTheme="minorHAnsi" w:eastAsia="Calibri" w:hAnsiTheme="minorHAnsi" w:cstheme="minorHAnsi"/>
          <w:color w:val="auto"/>
        </w:rPr>
        <w:t>způsobilá</w:t>
      </w:r>
      <w:r w:rsidR="00C75C43" w:rsidRPr="00C02DD6">
        <w:rPr>
          <w:rStyle w:val="Znakapoznpodarou"/>
          <w:rFonts w:asciiTheme="minorHAnsi" w:eastAsia="Calibri" w:hAnsiTheme="minorHAnsi" w:cstheme="minorHAnsi"/>
          <w:color w:val="auto"/>
        </w:rPr>
        <w:footnoteReference w:id="27"/>
      </w:r>
      <w:r w:rsidR="00C75C43" w:rsidRPr="00C02DD6">
        <w:rPr>
          <w:rFonts w:asciiTheme="minorHAnsi" w:eastAsia="Calibri" w:hAnsiTheme="minorHAnsi" w:cstheme="minorHAnsi"/>
          <w:color w:val="auto"/>
        </w:rPr>
        <w:t xml:space="preserve"> </w:t>
      </w:r>
      <w:r w:rsidR="00972381" w:rsidRPr="00C02DD6">
        <w:rPr>
          <w:rFonts w:asciiTheme="minorHAnsi" w:eastAsia="Calibri" w:hAnsiTheme="minorHAnsi" w:cstheme="minorHAnsi"/>
          <w:color w:val="auto"/>
        </w:rPr>
        <w:t xml:space="preserve">výše </w:t>
      </w:r>
      <w:r w:rsidRPr="00C02DD6">
        <w:rPr>
          <w:rFonts w:asciiTheme="minorHAnsi" w:eastAsia="Calibri" w:hAnsiTheme="minorHAnsi" w:cstheme="minorHAnsi"/>
          <w:color w:val="auto"/>
        </w:rPr>
        <w:t xml:space="preserve">stanovena až při </w:t>
      </w:r>
      <w:r w:rsidR="004748C2" w:rsidRPr="00C02DD6">
        <w:rPr>
          <w:rFonts w:asciiTheme="minorHAnsi" w:eastAsia="Calibri" w:hAnsiTheme="minorHAnsi" w:cstheme="minorHAnsi"/>
          <w:color w:val="auto"/>
        </w:rPr>
        <w:t xml:space="preserve">uzavření a finančním </w:t>
      </w:r>
      <w:r w:rsidR="00AE0CC1" w:rsidRPr="00C02DD6">
        <w:rPr>
          <w:rFonts w:asciiTheme="minorHAnsi" w:eastAsia="Calibri" w:hAnsiTheme="minorHAnsi" w:cstheme="minorHAnsi"/>
          <w:color w:val="auto"/>
        </w:rPr>
        <w:t>vypořádání Fondu fondů</w:t>
      </w:r>
      <w:r w:rsidRPr="00C02DD6">
        <w:rPr>
          <w:rFonts w:asciiTheme="minorHAnsi" w:eastAsia="Calibri" w:hAnsiTheme="minorHAnsi" w:cstheme="minorHAnsi"/>
          <w:color w:val="auto"/>
        </w:rPr>
        <w:t>.</w:t>
      </w:r>
      <w:r w:rsidR="00AE0CC1" w:rsidRPr="00C02DD6">
        <w:rPr>
          <w:rFonts w:asciiTheme="minorHAnsi" w:eastAsia="Calibri" w:hAnsiTheme="minorHAnsi" w:cstheme="minorHAnsi"/>
          <w:color w:val="auto"/>
        </w:rPr>
        <w:t xml:space="preserve"> V </w:t>
      </w:r>
      <w:r w:rsidR="0089580B">
        <w:rPr>
          <w:rFonts w:asciiTheme="minorHAnsi" w:eastAsia="Calibri" w:hAnsiTheme="minorHAnsi" w:cstheme="minorHAnsi"/>
          <w:color w:val="auto"/>
        </w:rPr>
        <w:t>d</w:t>
      </w:r>
      <w:r w:rsidR="00AE0CC1" w:rsidRPr="00C02DD6">
        <w:rPr>
          <w:rFonts w:asciiTheme="minorHAnsi" w:eastAsia="Calibri" w:hAnsiTheme="minorHAnsi" w:cstheme="minorHAnsi"/>
          <w:color w:val="auto"/>
        </w:rPr>
        <w:t>ohodě o financování byl uveden předpoklad</w:t>
      </w:r>
      <w:r w:rsidR="0017312D" w:rsidRPr="00C02DD6">
        <w:rPr>
          <w:rFonts w:asciiTheme="minorHAnsi" w:eastAsia="Calibri" w:hAnsiTheme="minorHAnsi" w:cstheme="minorHAnsi"/>
          <w:color w:val="auto"/>
        </w:rPr>
        <w:t xml:space="preserve">, že </w:t>
      </w:r>
      <w:r w:rsidR="005D0ACA" w:rsidRPr="00C02DD6">
        <w:rPr>
          <w:rFonts w:asciiTheme="minorHAnsi" w:eastAsia="Calibri" w:hAnsiTheme="minorHAnsi" w:cstheme="minorHAnsi"/>
          <w:color w:val="auto"/>
        </w:rPr>
        <w:t xml:space="preserve">finanční </w:t>
      </w:r>
      <w:r w:rsidR="0017312D" w:rsidRPr="00C02DD6">
        <w:rPr>
          <w:rFonts w:asciiTheme="minorHAnsi" w:eastAsia="Calibri" w:hAnsiTheme="minorHAnsi" w:cstheme="minorHAnsi"/>
          <w:color w:val="auto"/>
        </w:rPr>
        <w:t xml:space="preserve">vypořádání proběhne v roce </w:t>
      </w:r>
      <w:r w:rsidR="0017312D" w:rsidRPr="00C02DD6">
        <w:rPr>
          <w:rFonts w:asciiTheme="minorHAnsi" w:eastAsia="Calibri" w:hAnsiTheme="minorHAnsi" w:cstheme="minorHAnsi"/>
          <w:color w:val="auto"/>
        </w:rPr>
        <w:lastRenderedPageBreak/>
        <w:t>2028.</w:t>
      </w:r>
      <w:r w:rsidRPr="00C02DD6">
        <w:rPr>
          <w:rFonts w:asciiTheme="minorHAnsi" w:eastAsia="Calibri" w:hAnsiTheme="minorHAnsi" w:cstheme="minorHAnsi"/>
          <w:color w:val="auto"/>
        </w:rPr>
        <w:t xml:space="preserve"> </w:t>
      </w:r>
      <w:r w:rsidR="00E6193E" w:rsidRPr="00C02DD6">
        <w:rPr>
          <w:rFonts w:asciiTheme="minorHAnsi" w:eastAsia="Calibri" w:hAnsiTheme="minorHAnsi" w:cstheme="minorHAnsi"/>
          <w:color w:val="auto"/>
        </w:rPr>
        <w:t xml:space="preserve">Pro </w:t>
      </w:r>
      <w:r w:rsidR="00C75C43" w:rsidRPr="00C02DD6">
        <w:rPr>
          <w:rFonts w:asciiTheme="minorHAnsi" w:eastAsia="Calibri" w:hAnsiTheme="minorHAnsi" w:cstheme="minorHAnsi"/>
          <w:color w:val="auto"/>
        </w:rPr>
        <w:t>způsobilost</w:t>
      </w:r>
      <w:r w:rsidR="00E6193E" w:rsidRPr="00C02DD6">
        <w:rPr>
          <w:rFonts w:asciiTheme="minorHAnsi" w:eastAsia="Calibri" w:hAnsiTheme="minorHAnsi" w:cstheme="minorHAnsi"/>
          <w:color w:val="auto"/>
        </w:rPr>
        <w:t xml:space="preserve"> </w:t>
      </w:r>
      <w:r w:rsidR="000A59D2" w:rsidRPr="00C02DD6">
        <w:rPr>
          <w:rFonts w:asciiTheme="minorHAnsi" w:eastAsia="Calibri" w:hAnsiTheme="minorHAnsi" w:cstheme="minorHAnsi"/>
          <w:color w:val="auto"/>
        </w:rPr>
        <w:t>výdajů</w:t>
      </w:r>
      <w:r w:rsidR="00736652" w:rsidRPr="00C02DD6">
        <w:rPr>
          <w:rFonts w:asciiTheme="minorHAnsi" w:eastAsia="Calibri" w:hAnsiTheme="minorHAnsi" w:cstheme="minorHAnsi"/>
          <w:color w:val="auto"/>
        </w:rPr>
        <w:t xml:space="preserve"> na řízení finančního nástroje </w:t>
      </w:r>
      <w:r w:rsidR="00736652" w:rsidRPr="005175CC">
        <w:rPr>
          <w:rFonts w:asciiTheme="minorHAnsi" w:eastAsia="Calibri" w:hAnsiTheme="minorHAnsi" w:cstheme="minorHAnsi"/>
          <w:b/>
          <w:color w:val="auto"/>
        </w:rPr>
        <w:t>je nezbytné</w:t>
      </w:r>
      <w:r w:rsidR="00736652" w:rsidRPr="008A6E97">
        <w:rPr>
          <w:rFonts w:asciiTheme="minorHAnsi" w:eastAsia="Calibri" w:hAnsiTheme="minorHAnsi" w:cstheme="minorHAnsi"/>
          <w:b/>
          <w:color w:val="auto"/>
        </w:rPr>
        <w:t>,</w:t>
      </w:r>
      <w:r w:rsidR="00736652" w:rsidRPr="00C02DD6">
        <w:rPr>
          <w:rFonts w:asciiTheme="minorHAnsi" w:eastAsia="Calibri" w:hAnsiTheme="minorHAnsi" w:cstheme="minorHAnsi"/>
          <w:color w:val="auto"/>
        </w:rPr>
        <w:t xml:space="preserve"> aby MPO při konečném </w:t>
      </w:r>
      <w:r w:rsidR="0017312D" w:rsidRPr="00C02DD6">
        <w:rPr>
          <w:rFonts w:asciiTheme="minorHAnsi" w:eastAsia="Calibri" w:hAnsiTheme="minorHAnsi" w:cstheme="minorHAnsi"/>
          <w:color w:val="auto"/>
        </w:rPr>
        <w:t>vypořádání Fondu fondů</w:t>
      </w:r>
      <w:r w:rsidRPr="00C02DD6">
        <w:rPr>
          <w:rFonts w:asciiTheme="minorHAnsi" w:eastAsia="Calibri" w:hAnsiTheme="minorHAnsi" w:cstheme="minorHAnsi"/>
          <w:color w:val="auto"/>
        </w:rPr>
        <w:t xml:space="preserve"> trvalo na tom, aby Správce</w:t>
      </w:r>
      <w:r w:rsidR="00736652" w:rsidRPr="00C02DD6">
        <w:rPr>
          <w:rFonts w:asciiTheme="minorHAnsi" w:eastAsia="Calibri" w:hAnsiTheme="minorHAnsi" w:cstheme="minorHAnsi"/>
          <w:color w:val="auto"/>
        </w:rPr>
        <w:t xml:space="preserve"> provedl</w:t>
      </w:r>
      <w:r w:rsidR="005D0ACA" w:rsidRPr="00C02DD6">
        <w:rPr>
          <w:rFonts w:asciiTheme="minorHAnsi" w:eastAsia="Calibri" w:hAnsiTheme="minorHAnsi" w:cstheme="minorHAnsi"/>
          <w:color w:val="auto"/>
        </w:rPr>
        <w:t xml:space="preserve"> finální </w:t>
      </w:r>
      <w:r w:rsidR="00736652" w:rsidRPr="00C02DD6">
        <w:rPr>
          <w:rFonts w:asciiTheme="minorHAnsi" w:eastAsia="Calibri" w:hAnsiTheme="minorHAnsi" w:cstheme="minorHAnsi"/>
          <w:color w:val="auto"/>
        </w:rPr>
        <w:t xml:space="preserve">přepočet </w:t>
      </w:r>
      <w:r w:rsidRPr="00C02DD6">
        <w:rPr>
          <w:rFonts w:asciiTheme="minorHAnsi" w:eastAsia="Calibri" w:hAnsiTheme="minorHAnsi" w:cstheme="minorHAnsi"/>
          <w:color w:val="auto"/>
        </w:rPr>
        <w:t xml:space="preserve">odměny Finančnímu zprostředkovateli </w:t>
      </w:r>
      <w:r w:rsidR="00736652" w:rsidRPr="005175CC">
        <w:rPr>
          <w:rFonts w:asciiTheme="minorHAnsi" w:eastAsia="Calibri" w:hAnsiTheme="minorHAnsi" w:cstheme="minorHAnsi"/>
          <w:b/>
          <w:color w:val="auto"/>
        </w:rPr>
        <w:t>v souladu s relevantními předpisy EU</w:t>
      </w:r>
      <w:r w:rsidR="00BD69E9" w:rsidRPr="00C02DD6">
        <w:rPr>
          <w:rStyle w:val="Znakapoznpodarou"/>
          <w:rFonts w:asciiTheme="minorHAnsi" w:eastAsia="Calibri" w:hAnsiTheme="minorHAnsi" w:cstheme="minorHAnsi"/>
          <w:color w:val="auto"/>
        </w:rPr>
        <w:footnoteReference w:id="28"/>
      </w:r>
      <w:r w:rsidR="0017312D" w:rsidRPr="00C02DD6">
        <w:rPr>
          <w:rFonts w:asciiTheme="minorHAnsi" w:eastAsia="Calibri" w:hAnsiTheme="minorHAnsi" w:cstheme="minorHAnsi"/>
          <w:color w:val="auto"/>
        </w:rPr>
        <w:t xml:space="preserve">. </w:t>
      </w:r>
      <w:r w:rsidR="007E12FD">
        <w:rPr>
          <w:rFonts w:asciiTheme="minorHAnsi" w:eastAsia="Calibri" w:hAnsiTheme="minorHAnsi" w:cstheme="minorHAnsi"/>
          <w:color w:val="auto"/>
        </w:rPr>
        <w:t>Především</w:t>
      </w:r>
      <w:r w:rsidR="0017312D" w:rsidRPr="00C02DD6">
        <w:rPr>
          <w:rFonts w:asciiTheme="minorHAnsi" w:eastAsia="Calibri" w:hAnsiTheme="minorHAnsi" w:cstheme="minorHAnsi"/>
          <w:color w:val="auto"/>
        </w:rPr>
        <w:t xml:space="preserve"> aby při přepočtu</w:t>
      </w:r>
      <w:r w:rsidR="00B928E9" w:rsidRPr="00C02DD6">
        <w:rPr>
          <w:rFonts w:asciiTheme="minorHAnsi" w:eastAsia="Calibri" w:hAnsiTheme="minorHAnsi" w:cstheme="minorHAnsi"/>
          <w:color w:val="auto"/>
        </w:rPr>
        <w:t xml:space="preserve"> odměny</w:t>
      </w:r>
      <w:r w:rsidR="0017312D" w:rsidRPr="00C02DD6">
        <w:rPr>
          <w:rFonts w:asciiTheme="minorHAnsi" w:eastAsia="Calibri" w:hAnsiTheme="minorHAnsi" w:cstheme="minorHAnsi"/>
          <w:color w:val="auto"/>
        </w:rPr>
        <w:t xml:space="preserve"> </w:t>
      </w:r>
      <w:r w:rsidR="00340A22">
        <w:rPr>
          <w:rFonts w:asciiTheme="minorHAnsi" w:eastAsia="Calibri" w:hAnsiTheme="minorHAnsi" w:cstheme="minorHAnsi"/>
          <w:color w:val="auto"/>
        </w:rPr>
        <w:t>použil</w:t>
      </w:r>
      <w:r w:rsidR="00340A22" w:rsidRPr="00C02DD6">
        <w:rPr>
          <w:rFonts w:asciiTheme="minorHAnsi" w:eastAsia="Calibri" w:hAnsiTheme="minorHAnsi" w:cstheme="minorHAnsi"/>
          <w:color w:val="auto"/>
        </w:rPr>
        <w:t xml:space="preserve"> </w:t>
      </w:r>
      <w:r w:rsidR="00C47368">
        <w:rPr>
          <w:rFonts w:asciiTheme="minorHAnsi" w:eastAsia="Calibri" w:hAnsiTheme="minorHAnsi" w:cstheme="minorHAnsi"/>
          <w:color w:val="auto"/>
        </w:rPr>
        <w:t xml:space="preserve">jako základnu </w:t>
      </w:r>
      <w:r w:rsidR="0017312D" w:rsidRPr="00C02DD6">
        <w:rPr>
          <w:rFonts w:asciiTheme="minorHAnsi" w:eastAsia="Calibri" w:hAnsiTheme="minorHAnsi" w:cstheme="minorHAnsi"/>
          <w:color w:val="auto"/>
        </w:rPr>
        <w:t>výši příspěvků skutečně vyplacených do finančního nástroje</w:t>
      </w:r>
      <w:r w:rsidR="0089580B">
        <w:rPr>
          <w:rFonts w:asciiTheme="minorHAnsi" w:eastAsia="Calibri" w:hAnsiTheme="minorHAnsi" w:cstheme="minorHAnsi"/>
          <w:color w:val="auto"/>
        </w:rPr>
        <w:t>,</w:t>
      </w:r>
      <w:r w:rsidR="00C75C43" w:rsidRPr="00C02DD6">
        <w:rPr>
          <w:rFonts w:asciiTheme="minorHAnsi" w:eastAsia="Calibri" w:hAnsiTheme="minorHAnsi" w:cstheme="minorHAnsi"/>
          <w:color w:val="auto"/>
        </w:rPr>
        <w:t xml:space="preserve"> a</w:t>
      </w:r>
      <w:r w:rsidR="00C02DD6">
        <w:rPr>
          <w:rFonts w:asciiTheme="minorHAnsi" w:eastAsia="Calibri" w:hAnsiTheme="minorHAnsi" w:cstheme="minorHAnsi"/>
          <w:color w:val="auto"/>
        </w:rPr>
        <w:t> </w:t>
      </w:r>
      <w:r w:rsidR="00C75C43" w:rsidRPr="00C02DD6">
        <w:rPr>
          <w:rFonts w:asciiTheme="minorHAnsi" w:eastAsia="Calibri" w:hAnsiTheme="minorHAnsi" w:cstheme="minorHAnsi"/>
          <w:color w:val="auto"/>
        </w:rPr>
        <w:t xml:space="preserve">tím zajistil, že </w:t>
      </w:r>
      <w:r w:rsidR="000A59D2" w:rsidRPr="00430359">
        <w:rPr>
          <w:rFonts w:asciiTheme="minorHAnsi" w:eastAsia="Calibri" w:hAnsiTheme="minorHAnsi" w:cstheme="minorHAnsi"/>
          <w:b/>
          <w:color w:val="auto"/>
        </w:rPr>
        <w:t>výdaje</w:t>
      </w:r>
      <w:r w:rsidR="00C75C43" w:rsidRPr="00430359">
        <w:rPr>
          <w:rFonts w:asciiTheme="minorHAnsi" w:eastAsia="Calibri" w:hAnsiTheme="minorHAnsi" w:cstheme="minorHAnsi"/>
          <w:b/>
          <w:color w:val="auto"/>
        </w:rPr>
        <w:t xml:space="preserve"> </w:t>
      </w:r>
      <w:r w:rsidR="000A59D2" w:rsidRPr="00430359">
        <w:rPr>
          <w:rFonts w:asciiTheme="minorHAnsi" w:eastAsia="Calibri" w:hAnsiTheme="minorHAnsi" w:cstheme="minorHAnsi"/>
          <w:b/>
          <w:color w:val="auto"/>
        </w:rPr>
        <w:t>z</w:t>
      </w:r>
      <w:r w:rsidR="00C75C43" w:rsidRPr="00430359">
        <w:rPr>
          <w:rFonts w:asciiTheme="minorHAnsi" w:eastAsia="Calibri" w:hAnsiTheme="minorHAnsi" w:cstheme="minorHAnsi"/>
          <w:b/>
          <w:color w:val="auto"/>
        </w:rPr>
        <w:t>a základní odměnu</w:t>
      </w:r>
      <w:r w:rsidR="00C75C43" w:rsidRPr="00C02DD6">
        <w:rPr>
          <w:rFonts w:asciiTheme="minorHAnsi" w:eastAsia="Calibri" w:hAnsiTheme="minorHAnsi" w:cstheme="minorHAnsi"/>
          <w:color w:val="auto"/>
        </w:rPr>
        <w:t xml:space="preserve"> Finanční</w:t>
      </w:r>
      <w:r w:rsidR="0089580B">
        <w:rPr>
          <w:rFonts w:asciiTheme="minorHAnsi" w:eastAsia="Calibri" w:hAnsiTheme="minorHAnsi" w:cstheme="minorHAnsi"/>
          <w:color w:val="auto"/>
        </w:rPr>
        <w:t>mu</w:t>
      </w:r>
      <w:r w:rsidR="00C75C43" w:rsidRPr="00C02DD6">
        <w:rPr>
          <w:rFonts w:asciiTheme="minorHAnsi" w:eastAsia="Calibri" w:hAnsiTheme="minorHAnsi" w:cstheme="minorHAnsi"/>
          <w:color w:val="auto"/>
        </w:rPr>
        <w:t xml:space="preserve"> zprostředkovatel</w:t>
      </w:r>
      <w:r w:rsidR="0089580B">
        <w:rPr>
          <w:rFonts w:asciiTheme="minorHAnsi" w:eastAsia="Calibri" w:hAnsiTheme="minorHAnsi" w:cstheme="minorHAnsi"/>
          <w:color w:val="auto"/>
        </w:rPr>
        <w:t>i</w:t>
      </w:r>
      <w:r w:rsidR="00C75C43" w:rsidRPr="00C02DD6">
        <w:rPr>
          <w:rFonts w:asciiTheme="minorHAnsi" w:eastAsia="Calibri" w:hAnsiTheme="minorHAnsi" w:cstheme="minorHAnsi"/>
          <w:color w:val="auto"/>
        </w:rPr>
        <w:t xml:space="preserve"> </w:t>
      </w:r>
      <w:r w:rsidR="00C75C43" w:rsidRPr="00430359">
        <w:rPr>
          <w:rFonts w:asciiTheme="minorHAnsi" w:eastAsia="Calibri" w:hAnsiTheme="minorHAnsi" w:cstheme="minorHAnsi"/>
          <w:b/>
          <w:color w:val="auto"/>
        </w:rPr>
        <w:t xml:space="preserve">budou </w:t>
      </w:r>
      <w:r w:rsidR="00374921" w:rsidRPr="00430359">
        <w:rPr>
          <w:rFonts w:asciiTheme="minorHAnsi" w:eastAsia="Calibri" w:hAnsiTheme="minorHAnsi" w:cstheme="minorHAnsi"/>
          <w:b/>
          <w:color w:val="auto"/>
        </w:rPr>
        <w:t xml:space="preserve">způsobilými </w:t>
      </w:r>
      <w:r w:rsidR="000A59D2" w:rsidRPr="00C02DD6">
        <w:rPr>
          <w:rFonts w:asciiTheme="minorHAnsi" w:eastAsia="Calibri" w:hAnsiTheme="minorHAnsi" w:cstheme="minorHAnsi"/>
          <w:color w:val="auto"/>
        </w:rPr>
        <w:t>pro uhrazení z peněžních prostředků OPPIK</w:t>
      </w:r>
      <w:r w:rsidR="00C47368">
        <w:rPr>
          <w:rFonts w:asciiTheme="minorHAnsi" w:eastAsia="Calibri" w:hAnsiTheme="minorHAnsi" w:cstheme="minorHAnsi"/>
          <w:color w:val="auto"/>
        </w:rPr>
        <w:t>. T</w:t>
      </w:r>
      <w:r w:rsidR="00BB4F15">
        <w:t>ím</w:t>
      </w:r>
      <w:r w:rsidR="00C47368">
        <w:t xml:space="preserve"> také</w:t>
      </w:r>
      <w:r w:rsidR="00BB4F15">
        <w:t xml:space="preserve"> </w:t>
      </w:r>
      <w:r w:rsidR="00912DF1">
        <w:t xml:space="preserve">MPO vytvoří předpoklady pro </w:t>
      </w:r>
      <w:r w:rsidR="00BB4F15">
        <w:t xml:space="preserve">hospodárnost peněžních prostředků vynaložených na odměny. </w:t>
      </w:r>
    </w:p>
    <w:p w14:paraId="16753E78" w14:textId="451C0085" w:rsidR="00B47743" w:rsidRPr="00212B3B" w:rsidRDefault="002D114B" w:rsidP="00196C96">
      <w:pPr>
        <w:spacing w:before="840" w:after="240"/>
        <w:rPr>
          <w:rFonts w:eastAsia="Calibri"/>
          <w:b/>
          <w:color w:val="auto"/>
        </w:rPr>
      </w:pPr>
      <w:r w:rsidRPr="00212B3B">
        <w:rPr>
          <w:rFonts w:eastAsia="Calibri"/>
          <w:b/>
          <w:color w:val="auto"/>
        </w:rPr>
        <w:t>Seznam zkratek</w:t>
      </w:r>
    </w:p>
    <w:p w14:paraId="3D215026" w14:textId="35333045" w:rsidR="00615CC4" w:rsidRDefault="00615CC4"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BF</w:t>
      </w:r>
      <w:r>
        <w:rPr>
          <w:rFonts w:asciiTheme="minorHAnsi" w:eastAsia="Calibri" w:hAnsiTheme="minorHAnsi" w:cstheme="minorHAnsi"/>
          <w:color w:val="auto"/>
        </w:rPr>
        <w:tab/>
      </w:r>
      <w:proofErr w:type="spellStart"/>
      <w:r w:rsidR="005A2AA5">
        <w:rPr>
          <w:rFonts w:asciiTheme="minorHAnsi" w:eastAsia="Calibri" w:hAnsiTheme="minorHAnsi" w:cstheme="minorHAnsi"/>
          <w:color w:val="auto"/>
        </w:rPr>
        <w:t>b</w:t>
      </w:r>
      <w:r>
        <w:rPr>
          <w:rFonts w:asciiTheme="minorHAnsi" w:eastAsia="Calibri" w:hAnsiTheme="minorHAnsi" w:cstheme="minorHAnsi"/>
          <w:color w:val="auto"/>
        </w:rPr>
        <w:t>rownfield</w:t>
      </w:r>
      <w:proofErr w:type="spellEnd"/>
    </w:p>
    <w:p w14:paraId="215BB9D2" w14:textId="776F4527" w:rsidR="004F4301" w:rsidRPr="004F4301" w:rsidRDefault="000C0953" w:rsidP="00187E14">
      <w:pPr>
        <w:spacing w:before="120" w:after="120"/>
        <w:ind w:left="1985" w:hanging="1985"/>
        <w:rPr>
          <w:rFonts w:asciiTheme="minorHAnsi" w:eastAsia="Calibri" w:hAnsiTheme="minorHAnsi" w:cstheme="minorHAnsi"/>
          <w:color w:val="auto"/>
        </w:rPr>
      </w:pPr>
      <w:r w:rsidRPr="004F4301">
        <w:rPr>
          <w:rFonts w:asciiTheme="minorHAnsi" w:eastAsia="Calibri" w:hAnsiTheme="minorHAnsi" w:cstheme="minorHAnsi"/>
          <w:color w:val="auto"/>
        </w:rPr>
        <w:t>covid</w:t>
      </w:r>
      <w:r w:rsidR="004F4301" w:rsidRPr="004F4301">
        <w:rPr>
          <w:rFonts w:asciiTheme="minorHAnsi" w:eastAsia="Calibri" w:hAnsiTheme="minorHAnsi" w:cstheme="minorHAnsi"/>
          <w:color w:val="auto"/>
        </w:rPr>
        <w:t>-19</w:t>
      </w:r>
      <w:r w:rsidR="004F4301">
        <w:rPr>
          <w:rFonts w:asciiTheme="minorHAnsi" w:eastAsia="Calibri" w:hAnsiTheme="minorHAnsi" w:cstheme="minorHAnsi"/>
          <w:color w:val="auto"/>
        </w:rPr>
        <w:tab/>
      </w:r>
      <w:r w:rsidR="005A2AA5" w:rsidRPr="00303BEC">
        <w:rPr>
          <w:rFonts w:eastAsia="Calibri" w:cstheme="minorHAnsi"/>
          <w:color w:val="auto"/>
          <w:spacing w:val="-2"/>
        </w:rPr>
        <w:t>o</w:t>
      </w:r>
      <w:r w:rsidR="004F4301" w:rsidRPr="00303BEC">
        <w:rPr>
          <w:rFonts w:eastAsia="Calibri" w:cstheme="minorHAnsi"/>
          <w:color w:val="auto"/>
          <w:spacing w:val="-2"/>
        </w:rPr>
        <w:t>nemocnění zp</w:t>
      </w:r>
      <w:r w:rsidR="004F4301" w:rsidRPr="00303BEC">
        <w:rPr>
          <w:rFonts w:eastAsia="Calibri"/>
          <w:color w:val="auto"/>
          <w:spacing w:val="-2"/>
        </w:rPr>
        <w:t>ů</w:t>
      </w:r>
      <w:r w:rsidR="004F4301" w:rsidRPr="00303BEC">
        <w:rPr>
          <w:rFonts w:eastAsia="Calibri" w:cstheme="minorHAnsi"/>
          <w:color w:val="auto"/>
          <w:spacing w:val="-2"/>
        </w:rPr>
        <w:t xml:space="preserve">sobené </w:t>
      </w:r>
      <w:proofErr w:type="spellStart"/>
      <w:r w:rsidR="004F4301" w:rsidRPr="00303BEC">
        <w:rPr>
          <w:rFonts w:eastAsia="Calibri" w:cstheme="minorHAnsi"/>
          <w:color w:val="auto"/>
          <w:spacing w:val="-2"/>
        </w:rPr>
        <w:t>koronavirem</w:t>
      </w:r>
      <w:proofErr w:type="spellEnd"/>
      <w:r w:rsidR="00615CC4" w:rsidRPr="00303BEC">
        <w:rPr>
          <w:rFonts w:eastAsia="Calibri" w:cstheme="minorHAnsi"/>
          <w:color w:val="auto"/>
          <w:spacing w:val="-2"/>
        </w:rPr>
        <w:t xml:space="preserve"> s odborným označením SARS-CoV-2</w:t>
      </w:r>
    </w:p>
    <w:p w14:paraId="7A39099F" w14:textId="666AEE9B" w:rsidR="000A7BAF" w:rsidRDefault="000A7BAF" w:rsidP="00187E14">
      <w:pPr>
        <w:spacing w:before="120" w:after="120"/>
        <w:ind w:left="1985" w:hanging="1985"/>
        <w:rPr>
          <w:rFonts w:asciiTheme="minorHAnsi" w:eastAsia="Calibri" w:hAnsiTheme="minorHAnsi" w:cstheme="minorHAnsi"/>
          <w:color w:val="auto"/>
        </w:rPr>
      </w:pPr>
      <w:r w:rsidRPr="005831EA">
        <w:rPr>
          <w:rFonts w:asciiTheme="minorHAnsi" w:eastAsia="Calibri" w:hAnsiTheme="minorHAnsi" w:cstheme="minorHAnsi"/>
          <w:color w:val="auto"/>
        </w:rPr>
        <w:t>ČR</w:t>
      </w:r>
      <w:r w:rsidR="00296828" w:rsidRPr="005831EA">
        <w:rPr>
          <w:rFonts w:asciiTheme="minorHAnsi" w:eastAsia="Calibri" w:hAnsiTheme="minorHAnsi" w:cstheme="minorHAnsi"/>
          <w:color w:val="auto"/>
        </w:rPr>
        <w:tab/>
        <w:t>Česká republika</w:t>
      </w:r>
    </w:p>
    <w:p w14:paraId="41B990A7" w14:textId="102817AD" w:rsidR="004F4301" w:rsidRDefault="004F4301"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EDS</w:t>
      </w:r>
      <w:r>
        <w:rPr>
          <w:rFonts w:asciiTheme="minorHAnsi" w:eastAsia="Calibri" w:hAnsiTheme="minorHAnsi" w:cstheme="minorHAnsi"/>
          <w:color w:val="auto"/>
        </w:rPr>
        <w:tab/>
      </w:r>
      <w:r w:rsidRPr="008A6E97">
        <w:rPr>
          <w:rFonts w:asciiTheme="minorHAnsi" w:eastAsia="Calibri" w:hAnsiTheme="minorHAnsi" w:cstheme="minorHAnsi"/>
          <w:i/>
          <w:color w:val="auto"/>
        </w:rPr>
        <w:t>Evidenční dotační systém</w:t>
      </w:r>
      <w:r w:rsidR="0089580B">
        <w:rPr>
          <w:rFonts w:asciiTheme="minorHAnsi" w:eastAsia="Calibri" w:hAnsiTheme="minorHAnsi" w:cstheme="minorHAnsi"/>
          <w:color w:val="auto"/>
        </w:rPr>
        <w:t>; modul rozpočtového systému</w:t>
      </w:r>
      <w:r>
        <w:rPr>
          <w:rFonts w:asciiTheme="minorHAnsi" w:eastAsia="Calibri" w:hAnsiTheme="minorHAnsi" w:cstheme="minorHAnsi"/>
          <w:color w:val="auto"/>
        </w:rPr>
        <w:t>, ve</w:t>
      </w:r>
      <w:r w:rsidR="00615CC4">
        <w:rPr>
          <w:rFonts w:asciiTheme="minorHAnsi" w:eastAsia="Calibri" w:hAnsiTheme="minorHAnsi" w:cstheme="minorHAnsi"/>
          <w:color w:val="auto"/>
        </w:rPr>
        <w:t xml:space="preserve"> kterém se mimo jiné </w:t>
      </w:r>
      <w:r w:rsidR="00615CC4" w:rsidRPr="00615CC4">
        <w:rPr>
          <w:rFonts w:asciiTheme="minorHAnsi" w:eastAsia="Calibri" w:hAnsiTheme="minorHAnsi" w:cstheme="minorHAnsi"/>
          <w:color w:val="auto"/>
        </w:rPr>
        <w:t>sleduje a</w:t>
      </w:r>
      <w:r w:rsidR="002A7F5B">
        <w:rPr>
          <w:rFonts w:asciiTheme="minorHAnsi" w:eastAsia="Calibri" w:hAnsiTheme="minorHAnsi" w:cstheme="minorHAnsi"/>
          <w:color w:val="auto"/>
        </w:rPr>
        <w:t> </w:t>
      </w:r>
      <w:r w:rsidR="00615CC4" w:rsidRPr="00615CC4">
        <w:rPr>
          <w:rFonts w:asciiTheme="minorHAnsi" w:eastAsia="Calibri" w:hAnsiTheme="minorHAnsi" w:cstheme="minorHAnsi"/>
          <w:color w:val="auto"/>
        </w:rPr>
        <w:t>vyhodnocuje soubor měřitelných, věcných, časových a</w:t>
      </w:r>
      <w:r w:rsidR="002A7F5B">
        <w:rPr>
          <w:rFonts w:asciiTheme="minorHAnsi" w:eastAsia="Calibri" w:hAnsiTheme="minorHAnsi" w:cstheme="minorHAnsi"/>
          <w:color w:val="auto"/>
        </w:rPr>
        <w:t> </w:t>
      </w:r>
      <w:r w:rsidR="00615CC4" w:rsidRPr="00615CC4">
        <w:rPr>
          <w:rFonts w:asciiTheme="minorHAnsi" w:eastAsia="Calibri" w:hAnsiTheme="minorHAnsi" w:cstheme="minorHAnsi"/>
          <w:color w:val="auto"/>
        </w:rPr>
        <w:t>finančních podmínek pro čerpání peněžních prostředků státního rozpočtu konkrétních akcí (projektů</w:t>
      </w:r>
      <w:r w:rsidR="00615CC4">
        <w:rPr>
          <w:rFonts w:asciiTheme="minorHAnsi" w:eastAsia="Calibri" w:hAnsiTheme="minorHAnsi" w:cstheme="minorHAnsi"/>
          <w:color w:val="auto"/>
        </w:rPr>
        <w:t>)</w:t>
      </w:r>
    </w:p>
    <w:p w14:paraId="24ABEDF7" w14:textId="20350132" w:rsidR="00615CC4" w:rsidRDefault="00615CC4"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ESI</w:t>
      </w:r>
      <w:r>
        <w:rPr>
          <w:rFonts w:asciiTheme="minorHAnsi" w:eastAsia="Calibri" w:hAnsiTheme="minorHAnsi" w:cstheme="minorHAnsi"/>
          <w:color w:val="auto"/>
        </w:rPr>
        <w:tab/>
      </w:r>
      <w:r w:rsidR="005A2AA5">
        <w:rPr>
          <w:rFonts w:asciiTheme="minorHAnsi" w:eastAsia="Calibri" w:hAnsiTheme="minorHAnsi" w:cstheme="minorHAnsi"/>
          <w:color w:val="auto"/>
        </w:rPr>
        <w:t>e</w:t>
      </w:r>
      <w:r w:rsidRPr="00615CC4">
        <w:rPr>
          <w:rFonts w:asciiTheme="minorHAnsi" w:eastAsia="Calibri" w:hAnsiTheme="minorHAnsi" w:cstheme="minorHAnsi"/>
          <w:color w:val="auto"/>
        </w:rPr>
        <w:t>vropské strukturální a investiční fondy</w:t>
      </w:r>
      <w:r w:rsidR="005A2AA5">
        <w:rPr>
          <w:rFonts w:asciiTheme="minorHAnsi" w:eastAsia="Calibri" w:hAnsiTheme="minorHAnsi" w:cstheme="minorHAnsi"/>
          <w:color w:val="auto"/>
        </w:rPr>
        <w:t>;</w:t>
      </w:r>
      <w:r w:rsidRPr="00615CC4">
        <w:rPr>
          <w:rFonts w:asciiTheme="minorHAnsi" w:eastAsia="Calibri" w:hAnsiTheme="minorHAnsi" w:cstheme="minorHAnsi"/>
          <w:color w:val="auto"/>
        </w:rPr>
        <w:t xml:space="preserve"> jsou </w:t>
      </w:r>
      <w:r w:rsidR="005A2AA5">
        <w:rPr>
          <w:rFonts w:asciiTheme="minorHAnsi" w:eastAsia="Calibri" w:hAnsiTheme="minorHAnsi" w:cstheme="minorHAnsi"/>
          <w:color w:val="auto"/>
        </w:rPr>
        <w:t xml:space="preserve">to </w:t>
      </w:r>
      <w:r w:rsidRPr="00615CC4">
        <w:rPr>
          <w:rFonts w:asciiTheme="minorHAnsi" w:eastAsia="Calibri" w:hAnsiTheme="minorHAnsi" w:cstheme="minorHAnsi"/>
          <w:color w:val="auto"/>
        </w:rPr>
        <w:t>fondy, které spoluprac</w:t>
      </w:r>
      <w:r>
        <w:rPr>
          <w:rFonts w:asciiTheme="minorHAnsi" w:eastAsia="Calibri" w:hAnsiTheme="minorHAnsi" w:cstheme="minorHAnsi"/>
          <w:color w:val="auto"/>
        </w:rPr>
        <w:t>ovaly</w:t>
      </w:r>
      <w:r w:rsidRPr="00615CC4">
        <w:rPr>
          <w:rFonts w:asciiTheme="minorHAnsi" w:eastAsia="Calibri" w:hAnsiTheme="minorHAnsi" w:cstheme="minorHAnsi"/>
          <w:color w:val="auto"/>
        </w:rPr>
        <w:t xml:space="preserve"> na podpoře hospodářské, sociální a územní soudržnosti a naplňování cílů strategie EU </w:t>
      </w:r>
      <w:r w:rsidRPr="008A6E97">
        <w:rPr>
          <w:rFonts w:asciiTheme="minorHAnsi" w:eastAsia="Calibri" w:hAnsiTheme="minorHAnsi" w:cstheme="minorHAnsi"/>
          <w:i/>
          <w:color w:val="auto"/>
        </w:rPr>
        <w:t>Evropa 2020</w:t>
      </w:r>
      <w:r w:rsidRPr="00615CC4">
        <w:rPr>
          <w:rFonts w:asciiTheme="minorHAnsi" w:eastAsia="Calibri" w:hAnsiTheme="minorHAnsi" w:cstheme="minorHAnsi"/>
          <w:color w:val="auto"/>
        </w:rPr>
        <w:t xml:space="preserve"> v</w:t>
      </w:r>
      <w:r>
        <w:rPr>
          <w:rFonts w:asciiTheme="minorHAnsi" w:eastAsia="Calibri" w:hAnsiTheme="minorHAnsi" w:cstheme="minorHAnsi"/>
          <w:color w:val="auto"/>
        </w:rPr>
        <w:t xml:space="preserve"> programovém </w:t>
      </w:r>
      <w:r w:rsidRPr="00615CC4">
        <w:rPr>
          <w:rFonts w:asciiTheme="minorHAnsi" w:eastAsia="Calibri" w:hAnsiTheme="minorHAnsi" w:cstheme="minorHAnsi"/>
          <w:color w:val="auto"/>
        </w:rPr>
        <w:t>období 2014 a</w:t>
      </w:r>
      <w:r w:rsidR="00196C96">
        <w:rPr>
          <w:rFonts w:asciiTheme="minorHAnsi" w:eastAsia="Calibri" w:hAnsiTheme="minorHAnsi" w:cstheme="minorHAnsi"/>
          <w:color w:val="auto"/>
        </w:rPr>
        <w:t>ž</w:t>
      </w:r>
      <w:r w:rsidRPr="00615CC4">
        <w:rPr>
          <w:rFonts w:asciiTheme="minorHAnsi" w:eastAsia="Calibri" w:hAnsiTheme="minorHAnsi" w:cstheme="minorHAnsi"/>
          <w:color w:val="auto"/>
        </w:rPr>
        <w:t xml:space="preserve"> 2020.</w:t>
      </w:r>
    </w:p>
    <w:p w14:paraId="6C2262A0" w14:textId="7294C6FE" w:rsidR="00386FDE" w:rsidRDefault="00386FDE"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EU</w:t>
      </w:r>
      <w:r>
        <w:rPr>
          <w:rFonts w:asciiTheme="minorHAnsi" w:eastAsia="Calibri" w:hAnsiTheme="minorHAnsi" w:cstheme="minorHAnsi"/>
          <w:color w:val="auto"/>
        </w:rPr>
        <w:tab/>
        <w:t xml:space="preserve">Evropská </w:t>
      </w:r>
      <w:r w:rsidR="005A2AA5">
        <w:rPr>
          <w:rFonts w:asciiTheme="minorHAnsi" w:eastAsia="Calibri" w:hAnsiTheme="minorHAnsi" w:cstheme="minorHAnsi"/>
          <w:color w:val="auto"/>
        </w:rPr>
        <w:t>u</w:t>
      </w:r>
      <w:r>
        <w:rPr>
          <w:rFonts w:asciiTheme="minorHAnsi" w:eastAsia="Calibri" w:hAnsiTheme="minorHAnsi" w:cstheme="minorHAnsi"/>
          <w:color w:val="auto"/>
        </w:rPr>
        <w:t>nie</w:t>
      </w:r>
    </w:p>
    <w:p w14:paraId="7B03E536" w14:textId="2E08C849" w:rsidR="00615CC4" w:rsidRDefault="00615CC4"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GF</w:t>
      </w:r>
      <w:r>
        <w:rPr>
          <w:rFonts w:asciiTheme="minorHAnsi" w:eastAsia="Calibri" w:hAnsiTheme="minorHAnsi" w:cstheme="minorHAnsi"/>
          <w:color w:val="auto"/>
        </w:rPr>
        <w:tab/>
      </w:r>
      <w:proofErr w:type="spellStart"/>
      <w:r w:rsidR="005A2AA5">
        <w:rPr>
          <w:rFonts w:asciiTheme="minorHAnsi" w:eastAsia="Calibri" w:hAnsiTheme="minorHAnsi" w:cstheme="minorHAnsi"/>
          <w:color w:val="auto"/>
        </w:rPr>
        <w:t>g</w:t>
      </w:r>
      <w:r>
        <w:rPr>
          <w:rFonts w:asciiTheme="minorHAnsi" w:eastAsia="Calibri" w:hAnsiTheme="minorHAnsi" w:cstheme="minorHAnsi"/>
          <w:color w:val="auto"/>
        </w:rPr>
        <w:t>reenfield</w:t>
      </w:r>
      <w:proofErr w:type="spellEnd"/>
      <w:r>
        <w:rPr>
          <w:rFonts w:asciiTheme="minorHAnsi" w:eastAsia="Calibri" w:hAnsiTheme="minorHAnsi" w:cstheme="minorHAnsi"/>
          <w:color w:val="auto"/>
        </w:rPr>
        <w:t xml:space="preserve">, </w:t>
      </w:r>
      <w:r w:rsidR="005A2AA5">
        <w:rPr>
          <w:rFonts w:asciiTheme="minorHAnsi" w:eastAsia="Calibri" w:hAnsiTheme="minorHAnsi" w:cstheme="minorHAnsi"/>
          <w:color w:val="auto"/>
        </w:rPr>
        <w:t>česky</w:t>
      </w:r>
      <w:r>
        <w:rPr>
          <w:rFonts w:asciiTheme="minorHAnsi" w:eastAsia="Calibri" w:hAnsiTheme="minorHAnsi" w:cstheme="minorHAnsi"/>
          <w:color w:val="auto"/>
        </w:rPr>
        <w:t xml:space="preserve"> </w:t>
      </w:r>
      <w:r w:rsidR="005A2AA5">
        <w:rPr>
          <w:rFonts w:asciiTheme="minorHAnsi" w:eastAsia="Calibri" w:hAnsiTheme="minorHAnsi" w:cstheme="minorHAnsi"/>
          <w:color w:val="auto"/>
        </w:rPr>
        <w:t>„</w:t>
      </w:r>
      <w:r>
        <w:rPr>
          <w:rFonts w:asciiTheme="minorHAnsi" w:eastAsia="Calibri" w:hAnsiTheme="minorHAnsi" w:cstheme="minorHAnsi"/>
          <w:color w:val="auto"/>
        </w:rPr>
        <w:t>zelená louka</w:t>
      </w:r>
      <w:r w:rsidR="005A2AA5">
        <w:rPr>
          <w:rFonts w:asciiTheme="minorHAnsi" w:eastAsia="Calibri" w:hAnsiTheme="minorHAnsi" w:cstheme="minorHAnsi"/>
          <w:color w:val="auto"/>
        </w:rPr>
        <w:t>“</w:t>
      </w:r>
    </w:p>
    <w:p w14:paraId="6D09CE18" w14:textId="21F871C3" w:rsidR="00615CC4" w:rsidRDefault="00615CC4"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ITI</w:t>
      </w:r>
      <w:r>
        <w:rPr>
          <w:rFonts w:asciiTheme="minorHAnsi" w:eastAsia="Calibri" w:hAnsiTheme="minorHAnsi" w:cstheme="minorHAnsi"/>
          <w:color w:val="auto"/>
        </w:rPr>
        <w:tab/>
      </w:r>
      <w:r w:rsidR="005A2AA5">
        <w:rPr>
          <w:rFonts w:asciiTheme="minorHAnsi" w:eastAsia="Calibri" w:hAnsiTheme="minorHAnsi" w:cstheme="minorHAnsi"/>
          <w:color w:val="auto"/>
        </w:rPr>
        <w:t>i</w:t>
      </w:r>
      <w:r w:rsidRPr="002A7F5B">
        <w:rPr>
          <w:rFonts w:asciiTheme="minorHAnsi" w:eastAsia="Calibri" w:hAnsiTheme="minorHAnsi" w:cstheme="minorHAnsi"/>
          <w:color w:val="auto"/>
        </w:rPr>
        <w:t>ntegrované územní investice</w:t>
      </w:r>
    </w:p>
    <w:p w14:paraId="780FF4C9" w14:textId="33DE52B8" w:rsidR="000A7BAF" w:rsidRDefault="000A7BAF" w:rsidP="00187E14">
      <w:pPr>
        <w:spacing w:before="120" w:after="120"/>
        <w:ind w:left="1985" w:hanging="1985"/>
        <w:rPr>
          <w:rFonts w:asciiTheme="minorHAnsi" w:eastAsia="Calibri" w:hAnsiTheme="minorHAnsi" w:cstheme="minorHAnsi"/>
          <w:color w:val="auto"/>
        </w:rPr>
      </w:pPr>
      <w:r w:rsidRPr="005831EA">
        <w:rPr>
          <w:rFonts w:asciiTheme="minorHAnsi" w:eastAsia="Calibri" w:hAnsiTheme="minorHAnsi" w:cstheme="minorHAnsi"/>
          <w:color w:val="auto"/>
        </w:rPr>
        <w:t>MPO</w:t>
      </w:r>
      <w:r w:rsidR="00296828" w:rsidRPr="005831EA">
        <w:rPr>
          <w:rFonts w:asciiTheme="minorHAnsi" w:eastAsia="Calibri" w:hAnsiTheme="minorHAnsi" w:cstheme="minorHAnsi"/>
          <w:color w:val="auto"/>
        </w:rPr>
        <w:tab/>
        <w:t>Ministerstvo průmyslu a obchodu</w:t>
      </w:r>
    </w:p>
    <w:p w14:paraId="3550FD53" w14:textId="2C7BA964" w:rsidR="00615CC4" w:rsidRPr="006F7267" w:rsidRDefault="00615CC4"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MS2014</w:t>
      </w:r>
      <w:r w:rsidRPr="006F7267">
        <w:rPr>
          <w:rFonts w:asciiTheme="minorHAnsi" w:eastAsia="Calibri" w:hAnsiTheme="minorHAnsi" w:cstheme="minorHAnsi"/>
          <w:color w:val="auto"/>
        </w:rPr>
        <w:t>+</w:t>
      </w:r>
      <w:r w:rsidRPr="006F7267">
        <w:rPr>
          <w:rFonts w:asciiTheme="minorHAnsi" w:eastAsia="Calibri" w:hAnsiTheme="minorHAnsi" w:cstheme="minorHAnsi"/>
          <w:color w:val="auto"/>
        </w:rPr>
        <w:tab/>
      </w:r>
      <w:r w:rsidR="005A2AA5">
        <w:rPr>
          <w:rFonts w:asciiTheme="minorHAnsi" w:eastAsia="Calibri" w:hAnsiTheme="minorHAnsi" w:cstheme="minorHAnsi"/>
          <w:color w:val="auto"/>
        </w:rPr>
        <w:t>m</w:t>
      </w:r>
      <w:r w:rsidRPr="00615CC4">
        <w:rPr>
          <w:rFonts w:asciiTheme="minorHAnsi" w:eastAsia="Calibri" w:hAnsiTheme="minorHAnsi" w:cstheme="minorHAnsi"/>
          <w:color w:val="auto"/>
        </w:rPr>
        <w:t xml:space="preserve">onitorovací systém evropských fondů pro rozpočtové období </w:t>
      </w:r>
      <w:r w:rsidR="00196C96">
        <w:rPr>
          <w:rFonts w:asciiTheme="minorHAnsi" w:eastAsia="Calibri" w:hAnsiTheme="minorHAnsi" w:cstheme="minorHAnsi"/>
          <w:color w:val="auto"/>
        </w:rPr>
        <w:br/>
      </w:r>
      <w:r w:rsidRPr="00615CC4">
        <w:rPr>
          <w:rFonts w:asciiTheme="minorHAnsi" w:eastAsia="Calibri" w:hAnsiTheme="minorHAnsi" w:cstheme="minorHAnsi"/>
          <w:color w:val="auto"/>
        </w:rPr>
        <w:t>2014–2020</w:t>
      </w:r>
    </w:p>
    <w:p w14:paraId="4DD032FE" w14:textId="498C645F" w:rsidR="001D56CB" w:rsidRDefault="000A7BAF" w:rsidP="00187E14">
      <w:pPr>
        <w:spacing w:before="120" w:after="120"/>
        <w:ind w:left="1985" w:hanging="1985"/>
        <w:rPr>
          <w:rFonts w:asciiTheme="minorHAnsi" w:eastAsia="Calibri" w:hAnsiTheme="minorHAnsi" w:cstheme="minorHAnsi"/>
          <w:color w:val="auto"/>
        </w:rPr>
      </w:pPr>
      <w:r w:rsidRPr="005831EA">
        <w:rPr>
          <w:rFonts w:asciiTheme="minorHAnsi" w:eastAsia="Calibri" w:hAnsiTheme="minorHAnsi" w:cstheme="minorHAnsi"/>
          <w:color w:val="auto"/>
        </w:rPr>
        <w:t>NKÚ</w:t>
      </w:r>
      <w:r w:rsidR="00296828" w:rsidRPr="005831EA">
        <w:rPr>
          <w:rFonts w:asciiTheme="minorHAnsi" w:eastAsia="Calibri" w:hAnsiTheme="minorHAnsi" w:cstheme="minorHAnsi"/>
          <w:color w:val="auto"/>
        </w:rPr>
        <w:tab/>
        <w:t>Nejvyšší kontrolní úřad</w:t>
      </w:r>
      <w:r w:rsidR="001D56CB">
        <w:rPr>
          <w:rFonts w:asciiTheme="minorHAnsi" w:eastAsia="Calibri" w:hAnsiTheme="minorHAnsi" w:cstheme="minorHAnsi"/>
          <w:color w:val="auto"/>
        </w:rPr>
        <w:tab/>
      </w:r>
    </w:p>
    <w:p w14:paraId="31D69433" w14:textId="36018F09" w:rsidR="00615CC4" w:rsidRDefault="00615CC4"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NPO</w:t>
      </w:r>
      <w:r>
        <w:rPr>
          <w:rFonts w:asciiTheme="minorHAnsi" w:eastAsia="Calibri" w:hAnsiTheme="minorHAnsi" w:cstheme="minorHAnsi"/>
          <w:color w:val="auto"/>
        </w:rPr>
        <w:tab/>
      </w:r>
      <w:r w:rsidRPr="00E46C86">
        <w:rPr>
          <w:rFonts w:asciiTheme="minorHAnsi" w:eastAsia="Calibri" w:hAnsiTheme="minorHAnsi" w:cstheme="minorHAnsi"/>
          <w:i/>
          <w:color w:val="auto"/>
        </w:rPr>
        <w:t>Národní plán obnovy</w:t>
      </w:r>
    </w:p>
    <w:p w14:paraId="24107136" w14:textId="7BCF1D06" w:rsidR="000A7BAF" w:rsidRDefault="001317AE"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NSRB</w:t>
      </w:r>
      <w:r>
        <w:rPr>
          <w:rFonts w:asciiTheme="minorHAnsi" w:eastAsia="Calibri" w:hAnsiTheme="minorHAnsi" w:cstheme="minorHAnsi"/>
          <w:color w:val="auto"/>
        </w:rPr>
        <w:tab/>
      </w:r>
      <w:r w:rsidRPr="00E46C86">
        <w:rPr>
          <w:rFonts w:asciiTheme="minorHAnsi" w:eastAsia="Calibri" w:hAnsiTheme="minorHAnsi" w:cstheme="minorHAnsi"/>
          <w:i/>
          <w:color w:val="auto"/>
        </w:rPr>
        <w:t>Národní strategie regenerací brownfieldů</w:t>
      </w:r>
      <w:r w:rsidR="00FE67F3" w:rsidRPr="00BA3A3B">
        <w:rPr>
          <w:i/>
        </w:rPr>
        <w:t xml:space="preserve"> 2019–2024</w:t>
      </w:r>
    </w:p>
    <w:p w14:paraId="428B4470" w14:textId="5224A369" w:rsidR="00C926E5" w:rsidRDefault="00C926E5"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Obecné nařízení</w:t>
      </w:r>
      <w:r>
        <w:rPr>
          <w:rFonts w:asciiTheme="minorHAnsi" w:eastAsia="Calibri" w:hAnsiTheme="minorHAnsi" w:cstheme="minorHAnsi"/>
          <w:color w:val="auto"/>
        </w:rPr>
        <w:tab/>
      </w:r>
      <w:proofErr w:type="spellStart"/>
      <w:r w:rsidR="00187E14">
        <w:rPr>
          <w:rFonts w:asciiTheme="minorHAnsi" w:eastAsia="Calibri" w:hAnsiTheme="minorHAnsi" w:cstheme="minorHAnsi"/>
          <w:color w:val="auto"/>
        </w:rPr>
        <w:t>n</w:t>
      </w:r>
      <w:r w:rsidR="00187E14" w:rsidRPr="00187E14">
        <w:rPr>
          <w:rFonts w:asciiTheme="minorHAnsi" w:eastAsia="Calibri" w:hAnsiTheme="minorHAnsi" w:cstheme="minorHAnsi"/>
          <w:color w:val="auto"/>
        </w:rPr>
        <w:t>ařízení</w:t>
      </w:r>
      <w:proofErr w:type="spellEnd"/>
      <w:r w:rsidR="00187E14" w:rsidRPr="00187E14">
        <w:rPr>
          <w:rFonts w:asciiTheme="minorHAnsi" w:eastAsia="Calibri" w:hAnsiTheme="minorHAnsi" w:cstheme="minorHAnsi"/>
          <w:color w:val="auto"/>
        </w:rPr>
        <w:t xml:space="preserve"> Evropského parlamentu a Rady (EU) č. 1303/2013 ze dne 17.</w:t>
      </w:r>
      <w:r w:rsidR="00187E14">
        <w:rPr>
          <w:rFonts w:asciiTheme="minorHAnsi" w:eastAsia="Calibri" w:hAnsiTheme="minorHAnsi" w:cstheme="minorHAnsi"/>
          <w:color w:val="auto"/>
        </w:rPr>
        <w:t> </w:t>
      </w:r>
      <w:r w:rsidR="00187E14" w:rsidRPr="00187E14">
        <w:rPr>
          <w:rFonts w:asciiTheme="minorHAnsi" w:eastAsia="Calibri" w:hAnsiTheme="minorHAnsi" w:cstheme="minorHAnsi"/>
          <w:color w:val="auto"/>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w:t>
      </w:r>
      <w:r w:rsidR="00187E14" w:rsidRPr="00187E14">
        <w:rPr>
          <w:rFonts w:asciiTheme="minorHAnsi" w:eastAsia="Calibri" w:hAnsiTheme="minorHAnsi" w:cstheme="minorHAnsi"/>
          <w:color w:val="auto"/>
        </w:rPr>
        <w:lastRenderedPageBreak/>
        <w:t>soudržnosti a Evropském námořním a rybářském fondu a o zrušení nařízení Rady (ES) č. 1083/2006</w:t>
      </w:r>
    </w:p>
    <w:p w14:paraId="6F903102" w14:textId="1AC4F3FC" w:rsidR="00615CC4" w:rsidRDefault="00615CC4"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OPPIK</w:t>
      </w:r>
      <w:r>
        <w:rPr>
          <w:rFonts w:asciiTheme="minorHAnsi" w:eastAsia="Calibri" w:hAnsiTheme="minorHAnsi" w:cstheme="minorHAnsi"/>
          <w:color w:val="auto"/>
        </w:rPr>
        <w:tab/>
      </w:r>
      <w:r w:rsidR="005A2AA5">
        <w:rPr>
          <w:rFonts w:asciiTheme="minorHAnsi" w:eastAsia="Calibri" w:hAnsiTheme="minorHAnsi" w:cstheme="minorHAnsi"/>
          <w:color w:val="auto"/>
        </w:rPr>
        <w:t>o</w:t>
      </w:r>
      <w:r w:rsidRPr="00615CC4">
        <w:rPr>
          <w:rFonts w:asciiTheme="minorHAnsi" w:eastAsia="Calibri" w:hAnsiTheme="minorHAnsi" w:cstheme="minorHAnsi"/>
          <w:color w:val="auto"/>
        </w:rPr>
        <w:t xml:space="preserve">perační program </w:t>
      </w:r>
      <w:r w:rsidRPr="00E46C86">
        <w:rPr>
          <w:rFonts w:asciiTheme="minorHAnsi" w:eastAsia="Calibri" w:hAnsiTheme="minorHAnsi" w:cstheme="minorHAnsi"/>
          <w:i/>
          <w:color w:val="auto"/>
        </w:rPr>
        <w:t>Podnikání a inovace pro konkurenceschopnost</w:t>
      </w:r>
    </w:p>
    <w:p w14:paraId="4A612B17" w14:textId="10D0D5C7" w:rsidR="00615CC4" w:rsidRDefault="00615CC4" w:rsidP="00187E14">
      <w:pPr>
        <w:spacing w:before="120" w:after="120"/>
        <w:ind w:left="1985" w:hanging="1985"/>
        <w:rPr>
          <w:rFonts w:asciiTheme="minorHAnsi" w:eastAsia="Calibri" w:hAnsiTheme="minorHAnsi" w:cstheme="minorHAnsi"/>
          <w:i/>
          <w:color w:val="auto"/>
        </w:rPr>
      </w:pPr>
      <w:r>
        <w:rPr>
          <w:rFonts w:asciiTheme="minorHAnsi" w:eastAsia="Calibri" w:hAnsiTheme="minorHAnsi" w:cstheme="minorHAnsi"/>
          <w:color w:val="auto"/>
        </w:rPr>
        <w:t>OPTAK</w:t>
      </w:r>
      <w:r>
        <w:rPr>
          <w:rFonts w:asciiTheme="minorHAnsi" w:eastAsia="Calibri" w:hAnsiTheme="minorHAnsi" w:cstheme="minorHAnsi"/>
          <w:color w:val="auto"/>
        </w:rPr>
        <w:tab/>
      </w:r>
      <w:r w:rsidR="005A2AA5">
        <w:rPr>
          <w:rFonts w:asciiTheme="minorHAnsi" w:eastAsia="Calibri" w:hAnsiTheme="minorHAnsi" w:cstheme="minorHAnsi"/>
          <w:color w:val="auto"/>
        </w:rPr>
        <w:t>o</w:t>
      </w:r>
      <w:r w:rsidRPr="00615CC4">
        <w:rPr>
          <w:rFonts w:asciiTheme="minorHAnsi" w:eastAsia="Calibri" w:hAnsiTheme="minorHAnsi" w:cstheme="minorHAnsi"/>
          <w:color w:val="auto"/>
        </w:rPr>
        <w:t xml:space="preserve">perační program </w:t>
      </w:r>
      <w:r w:rsidRPr="00E46C86">
        <w:rPr>
          <w:rFonts w:asciiTheme="minorHAnsi" w:eastAsia="Calibri" w:hAnsiTheme="minorHAnsi" w:cstheme="minorHAnsi"/>
          <w:i/>
          <w:color w:val="auto"/>
        </w:rPr>
        <w:t>Technologie a aplikace pro konkurenceschopnost</w:t>
      </w:r>
    </w:p>
    <w:p w14:paraId="60CF1178" w14:textId="564B773A" w:rsidR="00187E14" w:rsidRDefault="00187E14" w:rsidP="00187E14">
      <w:pPr>
        <w:spacing w:before="120" w:after="120"/>
        <w:ind w:left="1985" w:hanging="1985"/>
        <w:rPr>
          <w:rFonts w:asciiTheme="minorHAnsi" w:eastAsia="Calibri" w:hAnsiTheme="minorHAnsi" w:cstheme="minorHAnsi"/>
          <w:color w:val="auto"/>
        </w:rPr>
      </w:pPr>
      <w:r>
        <w:rPr>
          <w:rFonts w:asciiTheme="minorHAnsi" w:eastAsia="Calibri" w:hAnsiTheme="minorHAnsi" w:cstheme="minorHAnsi"/>
          <w:color w:val="auto"/>
        </w:rPr>
        <w:t>Prováděcí nařízení</w:t>
      </w:r>
      <w:r>
        <w:rPr>
          <w:rFonts w:asciiTheme="minorHAnsi" w:eastAsia="Calibri" w:hAnsiTheme="minorHAnsi" w:cstheme="minorHAnsi"/>
          <w:color w:val="auto"/>
        </w:rPr>
        <w:tab/>
      </w:r>
      <w:proofErr w:type="spellStart"/>
      <w:r>
        <w:rPr>
          <w:rFonts w:asciiTheme="minorHAnsi" w:eastAsia="Calibri" w:hAnsiTheme="minorHAnsi" w:cstheme="minorHAnsi"/>
          <w:color w:val="auto"/>
        </w:rPr>
        <w:t>n</w:t>
      </w:r>
      <w:r w:rsidRPr="00FB73DE">
        <w:t>ařízení</w:t>
      </w:r>
      <w:proofErr w:type="spellEnd"/>
      <w:r w:rsidRPr="00FB73DE">
        <w:t xml:space="preserve"> Komise v přenesené pravomoci (EU) č. 480/2014 ze dne 3.</w:t>
      </w:r>
      <w:r>
        <w:t> </w:t>
      </w:r>
      <w:r w:rsidRPr="00FB73DE">
        <w:t>března 2014 , kterým se doplňuje nařízení Evropského parlamentu a</w:t>
      </w:r>
      <w:r>
        <w:t> </w:t>
      </w:r>
      <w:r w:rsidRPr="00FB73DE">
        <w:t>Rady (EU) č. 1303/2013 o společných ustanoveních o Evropském fondu pro regionální rozvoj, Evropském sociálním fondu, Fondu soudržnosti, Evropském zemědělském fondu pro rozvoj venkova a</w:t>
      </w:r>
      <w:r>
        <w:t> </w:t>
      </w:r>
      <w:r w:rsidRPr="00FB73DE">
        <w:t>Evropském námořním a rybářském fondu a o obecných ustanoveních o Evropském fondu pro regionální rozvoj, Evropském sociálním fondu, Fondu soudržnosti a Evropském námořním a rybářském fondu</w:t>
      </w:r>
    </w:p>
    <w:p w14:paraId="2C940BBC" w14:textId="77777777" w:rsidR="00900374" w:rsidRDefault="00900374" w:rsidP="00187E14">
      <w:pPr>
        <w:spacing w:before="120" w:after="120"/>
        <w:jc w:val="left"/>
        <w:rPr>
          <w:b/>
          <w:color w:val="auto"/>
        </w:rPr>
      </w:pPr>
      <w:r>
        <w:rPr>
          <w:b/>
          <w:color w:val="auto"/>
        </w:rPr>
        <w:br w:type="page"/>
      </w:r>
    </w:p>
    <w:p w14:paraId="6339811D" w14:textId="1430BB74" w:rsidR="00AC5925" w:rsidRPr="008C27AA" w:rsidRDefault="00AC5925" w:rsidP="00AC5925">
      <w:pPr>
        <w:pStyle w:val="Odstavecseseznamem"/>
        <w:ind w:left="0"/>
        <w:jc w:val="right"/>
        <w:rPr>
          <w:b/>
          <w:color w:val="auto"/>
        </w:rPr>
      </w:pPr>
      <w:r w:rsidRPr="008C27AA">
        <w:rPr>
          <w:b/>
          <w:color w:val="auto"/>
        </w:rPr>
        <w:lastRenderedPageBreak/>
        <w:t>Příloha č. 1</w:t>
      </w:r>
    </w:p>
    <w:p w14:paraId="301B21F5" w14:textId="77777777" w:rsidR="00AC5925" w:rsidRDefault="00AC5925" w:rsidP="00AC5925">
      <w:pPr>
        <w:jc w:val="center"/>
        <w:rPr>
          <w:rFonts w:cstheme="minorHAnsi"/>
          <w:b/>
          <w:bCs/>
        </w:rPr>
      </w:pPr>
    </w:p>
    <w:p w14:paraId="1BF2877A" w14:textId="77777777" w:rsidR="00AC5925" w:rsidRDefault="00AC5925" w:rsidP="00AC5925">
      <w:pPr>
        <w:jc w:val="center"/>
        <w:rPr>
          <w:rFonts w:cstheme="minorHAnsi"/>
          <w:b/>
          <w:bCs/>
        </w:rPr>
      </w:pPr>
      <w:r>
        <w:rPr>
          <w:rFonts w:cstheme="minorHAnsi"/>
          <w:b/>
          <w:bCs/>
        </w:rPr>
        <w:t>Přehled projektů vybraných ke kontrole</w:t>
      </w:r>
    </w:p>
    <w:p w14:paraId="42441422" w14:textId="77777777" w:rsidR="00AC5925" w:rsidRPr="00803BDF" w:rsidRDefault="00AC5925" w:rsidP="00AC5925">
      <w:pPr>
        <w:jc w:val="center"/>
        <w:rPr>
          <w:rFonts w:cstheme="minorHAnsi"/>
          <w:b/>
          <w:bCs/>
        </w:rPr>
      </w:pPr>
    </w:p>
    <w:tbl>
      <w:tblPr>
        <w:tblStyle w:val="Mkatabulky"/>
        <w:tblW w:w="9075" w:type="dxa"/>
        <w:jc w:val="center"/>
        <w:tblLook w:val="04A0" w:firstRow="1" w:lastRow="0" w:firstColumn="1" w:lastColumn="0" w:noHBand="0" w:noVBand="1"/>
      </w:tblPr>
      <w:tblGrid>
        <w:gridCol w:w="3108"/>
        <w:gridCol w:w="1857"/>
        <w:gridCol w:w="2523"/>
        <w:gridCol w:w="1587"/>
      </w:tblGrid>
      <w:tr w:rsidR="00AC5925" w:rsidRPr="0091346D" w14:paraId="6D169535" w14:textId="77777777" w:rsidTr="00E849E8">
        <w:trPr>
          <w:trHeight w:val="283"/>
          <w:jc w:val="center"/>
        </w:trPr>
        <w:tc>
          <w:tcPr>
            <w:tcW w:w="3108" w:type="dxa"/>
            <w:shd w:val="clear" w:color="auto" w:fill="E6E6E6"/>
            <w:vAlign w:val="center"/>
          </w:tcPr>
          <w:p w14:paraId="48C53AC3" w14:textId="77777777" w:rsidR="00AC5925" w:rsidRPr="0091346D" w:rsidRDefault="00AC5925" w:rsidP="00E849E8">
            <w:pPr>
              <w:pStyle w:val="Odstavecseseznamem"/>
              <w:spacing w:before="20" w:after="20"/>
              <w:ind w:left="0"/>
              <w:contextualSpacing w:val="0"/>
              <w:jc w:val="left"/>
              <w:rPr>
                <w:b/>
                <w:sz w:val="20"/>
                <w:szCs w:val="20"/>
              </w:rPr>
            </w:pPr>
            <w:r w:rsidRPr="0091346D">
              <w:rPr>
                <w:b/>
                <w:sz w:val="20"/>
                <w:szCs w:val="20"/>
              </w:rPr>
              <w:t xml:space="preserve">Projekt </w:t>
            </w:r>
          </w:p>
        </w:tc>
        <w:tc>
          <w:tcPr>
            <w:tcW w:w="1857" w:type="dxa"/>
            <w:shd w:val="clear" w:color="auto" w:fill="E6E6E6"/>
            <w:vAlign w:val="center"/>
          </w:tcPr>
          <w:p w14:paraId="516C1F95" w14:textId="77777777" w:rsidR="00AC5925" w:rsidRPr="0091346D" w:rsidRDefault="00AC5925" w:rsidP="0091346D">
            <w:pPr>
              <w:pStyle w:val="Odstavecseseznamem"/>
              <w:spacing w:before="20" w:after="20"/>
              <w:ind w:left="0"/>
              <w:contextualSpacing w:val="0"/>
              <w:jc w:val="center"/>
              <w:rPr>
                <w:b/>
                <w:sz w:val="20"/>
                <w:szCs w:val="20"/>
              </w:rPr>
            </w:pPr>
            <w:r w:rsidRPr="0091346D">
              <w:rPr>
                <w:b/>
                <w:sz w:val="20"/>
                <w:szCs w:val="20"/>
              </w:rPr>
              <w:t>Žadatel/příjemce</w:t>
            </w:r>
          </w:p>
        </w:tc>
        <w:tc>
          <w:tcPr>
            <w:tcW w:w="2523" w:type="dxa"/>
            <w:shd w:val="clear" w:color="auto" w:fill="E6E6E6"/>
            <w:vAlign w:val="center"/>
          </w:tcPr>
          <w:p w14:paraId="3C0481AD" w14:textId="77777777" w:rsidR="00AC5925" w:rsidRPr="0091346D" w:rsidRDefault="00AC5925" w:rsidP="0091346D">
            <w:pPr>
              <w:pStyle w:val="Odstavecseseznamem"/>
              <w:spacing w:before="20" w:after="20"/>
              <w:ind w:left="0"/>
              <w:contextualSpacing w:val="0"/>
              <w:jc w:val="center"/>
              <w:rPr>
                <w:b/>
                <w:sz w:val="20"/>
                <w:szCs w:val="20"/>
              </w:rPr>
            </w:pPr>
            <w:r w:rsidRPr="0091346D">
              <w:rPr>
                <w:b/>
                <w:sz w:val="20"/>
                <w:szCs w:val="20"/>
              </w:rPr>
              <w:t>Podpora z programu</w:t>
            </w:r>
          </w:p>
        </w:tc>
        <w:tc>
          <w:tcPr>
            <w:tcW w:w="1587" w:type="dxa"/>
            <w:shd w:val="clear" w:color="auto" w:fill="E6E6E6"/>
            <w:vAlign w:val="center"/>
          </w:tcPr>
          <w:p w14:paraId="13EFAEEE" w14:textId="4916B0FA" w:rsidR="00AC5925" w:rsidRPr="0091346D" w:rsidRDefault="00AC5925" w:rsidP="0091346D">
            <w:pPr>
              <w:pStyle w:val="Odstavecseseznamem"/>
              <w:spacing w:before="20" w:after="20"/>
              <w:ind w:left="0"/>
              <w:contextualSpacing w:val="0"/>
              <w:jc w:val="center"/>
              <w:rPr>
                <w:b/>
                <w:sz w:val="20"/>
                <w:szCs w:val="20"/>
              </w:rPr>
            </w:pPr>
            <w:r w:rsidRPr="0091346D">
              <w:rPr>
                <w:b/>
                <w:color w:val="auto"/>
                <w:sz w:val="20"/>
                <w:szCs w:val="20"/>
              </w:rPr>
              <w:t xml:space="preserve">Výše </w:t>
            </w:r>
            <w:r w:rsidR="0031169F" w:rsidRPr="0091346D">
              <w:rPr>
                <w:b/>
                <w:color w:val="auto"/>
                <w:sz w:val="20"/>
                <w:szCs w:val="20"/>
              </w:rPr>
              <w:t xml:space="preserve">čerpané </w:t>
            </w:r>
            <w:r w:rsidRPr="0091346D">
              <w:rPr>
                <w:b/>
                <w:color w:val="auto"/>
                <w:sz w:val="20"/>
                <w:szCs w:val="20"/>
              </w:rPr>
              <w:t>dotace</w:t>
            </w:r>
            <w:r w:rsidR="00422D27" w:rsidRPr="0091346D">
              <w:rPr>
                <w:b/>
                <w:color w:val="auto"/>
                <w:sz w:val="20"/>
                <w:szCs w:val="20"/>
              </w:rPr>
              <w:t xml:space="preserve"> v Kč</w:t>
            </w:r>
          </w:p>
        </w:tc>
      </w:tr>
      <w:tr w:rsidR="00422D27" w:rsidRPr="0091346D" w14:paraId="3F1DEBCF" w14:textId="77777777" w:rsidTr="00E849E8">
        <w:trPr>
          <w:trHeight w:val="283"/>
          <w:jc w:val="center"/>
        </w:trPr>
        <w:tc>
          <w:tcPr>
            <w:tcW w:w="3108" w:type="dxa"/>
            <w:vAlign w:val="center"/>
          </w:tcPr>
          <w:p w14:paraId="16670DAA" w14:textId="77777777" w:rsidR="00422D27" w:rsidRPr="0091346D" w:rsidRDefault="00422D27" w:rsidP="00E849E8">
            <w:pPr>
              <w:spacing w:before="20" w:after="20"/>
              <w:jc w:val="left"/>
              <w:rPr>
                <w:bCs/>
                <w:sz w:val="20"/>
                <w:szCs w:val="20"/>
              </w:rPr>
            </w:pPr>
            <w:r w:rsidRPr="0091346D">
              <w:rPr>
                <w:bCs/>
                <w:sz w:val="20"/>
                <w:szCs w:val="20"/>
              </w:rPr>
              <w:t>Pivovar Litoměřice – regenerace budovy A pro podnikatelské využití (122D211000001)</w:t>
            </w:r>
          </w:p>
        </w:tc>
        <w:tc>
          <w:tcPr>
            <w:tcW w:w="1857" w:type="dxa"/>
            <w:vAlign w:val="center"/>
          </w:tcPr>
          <w:p w14:paraId="0A83EC88" w14:textId="77777777" w:rsidR="00422D27" w:rsidRPr="0091346D" w:rsidRDefault="00422D27" w:rsidP="0091346D">
            <w:pPr>
              <w:spacing w:before="20" w:after="20"/>
              <w:jc w:val="center"/>
              <w:rPr>
                <w:bCs/>
                <w:sz w:val="20"/>
                <w:szCs w:val="20"/>
              </w:rPr>
            </w:pPr>
            <w:r w:rsidRPr="0091346D">
              <w:rPr>
                <w:bCs/>
                <w:sz w:val="20"/>
                <w:szCs w:val="20"/>
              </w:rPr>
              <w:t>Město Litoměřice</w:t>
            </w:r>
          </w:p>
        </w:tc>
        <w:tc>
          <w:tcPr>
            <w:tcW w:w="2523" w:type="dxa"/>
            <w:vAlign w:val="center"/>
          </w:tcPr>
          <w:p w14:paraId="0215D29C" w14:textId="77777777" w:rsidR="00422D27" w:rsidRPr="0091346D" w:rsidRDefault="00422D27" w:rsidP="0091346D">
            <w:pPr>
              <w:spacing w:before="20" w:after="20"/>
              <w:jc w:val="center"/>
              <w:rPr>
                <w:bCs/>
                <w:sz w:val="20"/>
                <w:szCs w:val="20"/>
              </w:rPr>
            </w:pPr>
            <w:r w:rsidRPr="0091346D">
              <w:rPr>
                <w:bCs/>
                <w:sz w:val="20"/>
                <w:szCs w:val="20"/>
              </w:rPr>
              <w:t>Program 122D21</w:t>
            </w:r>
          </w:p>
        </w:tc>
        <w:tc>
          <w:tcPr>
            <w:tcW w:w="1587" w:type="dxa"/>
            <w:vAlign w:val="center"/>
          </w:tcPr>
          <w:p w14:paraId="1A3D5CCD" w14:textId="39C1D101" w:rsidR="00422D27" w:rsidRPr="0091346D" w:rsidRDefault="00422D27" w:rsidP="00E849E8">
            <w:pPr>
              <w:spacing w:before="20" w:after="20"/>
              <w:ind w:right="113"/>
              <w:jc w:val="right"/>
              <w:rPr>
                <w:bCs/>
                <w:sz w:val="20"/>
                <w:szCs w:val="20"/>
              </w:rPr>
            </w:pPr>
            <w:r w:rsidRPr="0091346D">
              <w:rPr>
                <w:bCs/>
                <w:sz w:val="20"/>
                <w:szCs w:val="20"/>
              </w:rPr>
              <w:t>11 475 000,00</w:t>
            </w:r>
          </w:p>
        </w:tc>
      </w:tr>
      <w:tr w:rsidR="00422D27" w:rsidRPr="0091346D" w14:paraId="03C4274C" w14:textId="77777777" w:rsidTr="00E849E8">
        <w:trPr>
          <w:trHeight w:val="283"/>
          <w:jc w:val="center"/>
        </w:trPr>
        <w:tc>
          <w:tcPr>
            <w:tcW w:w="3108" w:type="dxa"/>
            <w:vAlign w:val="center"/>
          </w:tcPr>
          <w:p w14:paraId="79EC2BAD" w14:textId="77777777" w:rsidR="00422D27" w:rsidRPr="0091346D" w:rsidRDefault="00422D27" w:rsidP="00E849E8">
            <w:pPr>
              <w:pStyle w:val="Odstavecseseznamem"/>
              <w:spacing w:before="20" w:after="20"/>
              <w:ind w:left="0"/>
              <w:contextualSpacing w:val="0"/>
              <w:jc w:val="left"/>
              <w:rPr>
                <w:sz w:val="20"/>
                <w:szCs w:val="20"/>
              </w:rPr>
            </w:pPr>
            <w:r w:rsidRPr="0091346D">
              <w:rPr>
                <w:sz w:val="20"/>
                <w:szCs w:val="20"/>
              </w:rPr>
              <w:t>Regenerace nevyužívaného objektu bývalé budovy Geoindustrie na podnikatelskou plochu (122D211000003)</w:t>
            </w:r>
          </w:p>
        </w:tc>
        <w:tc>
          <w:tcPr>
            <w:tcW w:w="1857" w:type="dxa"/>
            <w:vAlign w:val="center"/>
          </w:tcPr>
          <w:p w14:paraId="745496FD"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Obec Proboštov</w:t>
            </w:r>
          </w:p>
        </w:tc>
        <w:tc>
          <w:tcPr>
            <w:tcW w:w="2523" w:type="dxa"/>
            <w:vAlign w:val="center"/>
          </w:tcPr>
          <w:p w14:paraId="6C314D96" w14:textId="77777777" w:rsidR="00422D27" w:rsidRPr="0091346D" w:rsidRDefault="00422D27" w:rsidP="0091346D">
            <w:pPr>
              <w:spacing w:before="20" w:after="20"/>
              <w:jc w:val="center"/>
              <w:rPr>
                <w:bCs/>
                <w:sz w:val="20"/>
                <w:szCs w:val="20"/>
              </w:rPr>
            </w:pPr>
            <w:r w:rsidRPr="0091346D">
              <w:rPr>
                <w:bCs/>
                <w:sz w:val="20"/>
                <w:szCs w:val="20"/>
              </w:rPr>
              <w:t>Program 122D21</w:t>
            </w:r>
          </w:p>
        </w:tc>
        <w:tc>
          <w:tcPr>
            <w:tcW w:w="1587" w:type="dxa"/>
            <w:vAlign w:val="center"/>
          </w:tcPr>
          <w:p w14:paraId="3A7A6010" w14:textId="3EDCD135"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10 194 355,00</w:t>
            </w:r>
          </w:p>
        </w:tc>
      </w:tr>
      <w:tr w:rsidR="00422D27" w:rsidRPr="0091346D" w14:paraId="246C8F12" w14:textId="77777777" w:rsidTr="00E849E8">
        <w:trPr>
          <w:trHeight w:val="283"/>
          <w:jc w:val="center"/>
        </w:trPr>
        <w:tc>
          <w:tcPr>
            <w:tcW w:w="3108" w:type="dxa"/>
            <w:vAlign w:val="center"/>
          </w:tcPr>
          <w:p w14:paraId="17244E27" w14:textId="7A90B972" w:rsidR="00422D27" w:rsidRPr="0091346D" w:rsidRDefault="00422D27" w:rsidP="00E849E8">
            <w:pPr>
              <w:pStyle w:val="Odstavecseseznamem"/>
              <w:spacing w:before="20" w:after="20"/>
              <w:ind w:left="0"/>
              <w:contextualSpacing w:val="0"/>
              <w:jc w:val="left"/>
              <w:rPr>
                <w:sz w:val="20"/>
                <w:szCs w:val="20"/>
              </w:rPr>
            </w:pPr>
            <w:r w:rsidRPr="0091346D">
              <w:rPr>
                <w:sz w:val="20"/>
                <w:szCs w:val="20"/>
              </w:rPr>
              <w:t>Horní Slavkov – Dům služeb č.</w:t>
            </w:r>
            <w:r w:rsidR="005A2AA5">
              <w:rPr>
                <w:sz w:val="20"/>
                <w:szCs w:val="20"/>
              </w:rPr>
              <w:t> </w:t>
            </w:r>
            <w:r w:rsidRPr="0091346D">
              <w:rPr>
                <w:sz w:val="20"/>
                <w:szCs w:val="20"/>
              </w:rPr>
              <w:t>p.</w:t>
            </w:r>
            <w:r w:rsidR="008B6BCC">
              <w:rPr>
                <w:sz w:val="20"/>
                <w:szCs w:val="20"/>
              </w:rPr>
              <w:t> </w:t>
            </w:r>
            <w:r w:rsidRPr="0091346D">
              <w:rPr>
                <w:sz w:val="20"/>
                <w:szCs w:val="20"/>
              </w:rPr>
              <w:t xml:space="preserve">653 </w:t>
            </w:r>
          </w:p>
        </w:tc>
        <w:tc>
          <w:tcPr>
            <w:tcW w:w="1857" w:type="dxa"/>
            <w:vAlign w:val="center"/>
          </w:tcPr>
          <w:p w14:paraId="66D6E2D7"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Město Horní Slavkov</w:t>
            </w:r>
          </w:p>
        </w:tc>
        <w:tc>
          <w:tcPr>
            <w:tcW w:w="2523" w:type="dxa"/>
            <w:vAlign w:val="center"/>
          </w:tcPr>
          <w:p w14:paraId="5CC9468B" w14:textId="77777777" w:rsidR="00422D27" w:rsidRPr="0091346D" w:rsidRDefault="00422D27" w:rsidP="0091346D">
            <w:pPr>
              <w:spacing w:before="20" w:after="20"/>
              <w:jc w:val="center"/>
              <w:rPr>
                <w:bCs/>
                <w:sz w:val="20"/>
                <w:szCs w:val="20"/>
              </w:rPr>
            </w:pPr>
            <w:r w:rsidRPr="0091346D">
              <w:rPr>
                <w:bCs/>
                <w:sz w:val="20"/>
                <w:szCs w:val="20"/>
              </w:rPr>
              <w:t>Program 122D21</w:t>
            </w:r>
          </w:p>
        </w:tc>
        <w:tc>
          <w:tcPr>
            <w:tcW w:w="1587" w:type="dxa"/>
            <w:vAlign w:val="center"/>
          </w:tcPr>
          <w:p w14:paraId="30A426AD" w14:textId="73977377"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20 158 653,00</w:t>
            </w:r>
          </w:p>
        </w:tc>
      </w:tr>
      <w:tr w:rsidR="00422D27" w:rsidRPr="0091346D" w14:paraId="394A15BE" w14:textId="77777777" w:rsidTr="00E849E8">
        <w:trPr>
          <w:trHeight w:val="283"/>
          <w:jc w:val="center"/>
        </w:trPr>
        <w:tc>
          <w:tcPr>
            <w:tcW w:w="3108" w:type="dxa"/>
            <w:vAlign w:val="center"/>
          </w:tcPr>
          <w:p w14:paraId="73B95F4E" w14:textId="68261499" w:rsidR="00422D27" w:rsidRPr="0091346D" w:rsidRDefault="00422D27" w:rsidP="00E849E8">
            <w:pPr>
              <w:pStyle w:val="Odstavecseseznamem"/>
              <w:spacing w:before="20" w:after="20"/>
              <w:ind w:left="0"/>
              <w:contextualSpacing w:val="0"/>
              <w:jc w:val="left"/>
              <w:rPr>
                <w:sz w:val="20"/>
                <w:szCs w:val="20"/>
              </w:rPr>
            </w:pPr>
            <w:r w:rsidRPr="0091346D">
              <w:rPr>
                <w:sz w:val="20"/>
                <w:szCs w:val="20"/>
              </w:rPr>
              <w:t xml:space="preserve">Výstavba areálu technických služeb Obrnice </w:t>
            </w:r>
          </w:p>
        </w:tc>
        <w:tc>
          <w:tcPr>
            <w:tcW w:w="1857" w:type="dxa"/>
            <w:vAlign w:val="center"/>
          </w:tcPr>
          <w:p w14:paraId="298A3543"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Obec Obrnice</w:t>
            </w:r>
          </w:p>
        </w:tc>
        <w:tc>
          <w:tcPr>
            <w:tcW w:w="2523" w:type="dxa"/>
            <w:vAlign w:val="center"/>
          </w:tcPr>
          <w:p w14:paraId="362A23FB" w14:textId="77777777" w:rsidR="00422D27" w:rsidRPr="0091346D" w:rsidRDefault="00422D27" w:rsidP="0091346D">
            <w:pPr>
              <w:spacing w:before="20" w:after="20"/>
              <w:jc w:val="center"/>
              <w:rPr>
                <w:bCs/>
                <w:sz w:val="20"/>
                <w:szCs w:val="20"/>
              </w:rPr>
            </w:pPr>
            <w:r w:rsidRPr="0091346D">
              <w:rPr>
                <w:bCs/>
                <w:sz w:val="20"/>
                <w:szCs w:val="20"/>
              </w:rPr>
              <w:t>Program 122D21</w:t>
            </w:r>
          </w:p>
        </w:tc>
        <w:tc>
          <w:tcPr>
            <w:tcW w:w="1587" w:type="dxa"/>
            <w:vAlign w:val="center"/>
          </w:tcPr>
          <w:p w14:paraId="09B32975" w14:textId="1D89D912"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9 437 345,00</w:t>
            </w:r>
          </w:p>
        </w:tc>
      </w:tr>
      <w:tr w:rsidR="00422D27" w:rsidRPr="0091346D" w14:paraId="10E95D27" w14:textId="77777777" w:rsidTr="00E849E8">
        <w:trPr>
          <w:trHeight w:val="283"/>
          <w:jc w:val="center"/>
        </w:trPr>
        <w:tc>
          <w:tcPr>
            <w:tcW w:w="3108" w:type="dxa"/>
            <w:vAlign w:val="center"/>
          </w:tcPr>
          <w:p w14:paraId="6A30E241" w14:textId="17F13323" w:rsidR="00422D27" w:rsidRPr="0091346D" w:rsidRDefault="00422D27" w:rsidP="00E849E8">
            <w:pPr>
              <w:pStyle w:val="Odstavecseseznamem"/>
              <w:spacing w:before="20" w:after="20"/>
              <w:ind w:left="0"/>
              <w:contextualSpacing w:val="0"/>
              <w:jc w:val="left"/>
              <w:rPr>
                <w:sz w:val="20"/>
                <w:szCs w:val="20"/>
              </w:rPr>
            </w:pPr>
            <w:r w:rsidRPr="0091346D">
              <w:rPr>
                <w:sz w:val="20"/>
                <w:szCs w:val="20"/>
              </w:rPr>
              <w:t xml:space="preserve">Litoměřice – Kasárna pod </w:t>
            </w:r>
            <w:proofErr w:type="spellStart"/>
            <w:r w:rsidRPr="0091346D">
              <w:rPr>
                <w:sz w:val="20"/>
                <w:szCs w:val="20"/>
              </w:rPr>
              <w:t>Radobýlem</w:t>
            </w:r>
            <w:proofErr w:type="spellEnd"/>
            <w:r w:rsidRPr="0091346D">
              <w:rPr>
                <w:sz w:val="20"/>
                <w:szCs w:val="20"/>
              </w:rPr>
              <w:t xml:space="preserve"> </w:t>
            </w:r>
          </w:p>
        </w:tc>
        <w:tc>
          <w:tcPr>
            <w:tcW w:w="1857" w:type="dxa"/>
            <w:vAlign w:val="center"/>
          </w:tcPr>
          <w:p w14:paraId="7064B559"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Město Litoměřice</w:t>
            </w:r>
          </w:p>
        </w:tc>
        <w:tc>
          <w:tcPr>
            <w:tcW w:w="2523" w:type="dxa"/>
            <w:vAlign w:val="center"/>
          </w:tcPr>
          <w:p w14:paraId="628DFA16" w14:textId="77777777" w:rsidR="00422D27" w:rsidRPr="0091346D" w:rsidRDefault="00422D27" w:rsidP="0091346D">
            <w:pPr>
              <w:spacing w:before="20" w:after="20"/>
              <w:jc w:val="center"/>
              <w:rPr>
                <w:bCs/>
                <w:sz w:val="20"/>
                <w:szCs w:val="20"/>
              </w:rPr>
            </w:pPr>
            <w:r w:rsidRPr="0091346D">
              <w:rPr>
                <w:bCs/>
                <w:sz w:val="20"/>
                <w:szCs w:val="20"/>
              </w:rPr>
              <w:t>Program 122D21</w:t>
            </w:r>
          </w:p>
        </w:tc>
        <w:tc>
          <w:tcPr>
            <w:tcW w:w="1587" w:type="dxa"/>
            <w:vAlign w:val="center"/>
          </w:tcPr>
          <w:p w14:paraId="7BC0076A" w14:textId="6A46F4D0"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14 460 235,00</w:t>
            </w:r>
          </w:p>
        </w:tc>
      </w:tr>
      <w:tr w:rsidR="00422D27" w:rsidRPr="0091346D" w14:paraId="46B61AEA" w14:textId="77777777" w:rsidTr="00E849E8">
        <w:trPr>
          <w:trHeight w:val="283"/>
          <w:jc w:val="center"/>
        </w:trPr>
        <w:tc>
          <w:tcPr>
            <w:tcW w:w="3108" w:type="dxa"/>
            <w:vAlign w:val="center"/>
          </w:tcPr>
          <w:p w14:paraId="63A76D85" w14:textId="77777777" w:rsidR="00422D27" w:rsidRPr="0091346D" w:rsidRDefault="00422D27" w:rsidP="00E849E8">
            <w:pPr>
              <w:pStyle w:val="Odstavecseseznamem"/>
              <w:spacing w:before="20" w:after="20"/>
              <w:ind w:left="0"/>
              <w:contextualSpacing w:val="0"/>
              <w:jc w:val="left"/>
              <w:rPr>
                <w:sz w:val="20"/>
                <w:szCs w:val="20"/>
              </w:rPr>
            </w:pPr>
            <w:r w:rsidRPr="0091346D">
              <w:rPr>
                <w:sz w:val="20"/>
                <w:szCs w:val="20"/>
              </w:rPr>
              <w:t>Revitalizace jatek v České Lípě</w:t>
            </w:r>
          </w:p>
        </w:tc>
        <w:tc>
          <w:tcPr>
            <w:tcW w:w="1857" w:type="dxa"/>
            <w:vAlign w:val="center"/>
          </w:tcPr>
          <w:p w14:paraId="292164AE"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VELKOOBCHOD FAVE s.r.o.</w:t>
            </w:r>
          </w:p>
        </w:tc>
        <w:tc>
          <w:tcPr>
            <w:tcW w:w="2523" w:type="dxa"/>
            <w:vAlign w:val="center"/>
          </w:tcPr>
          <w:p w14:paraId="01202721"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Program Nemovitosti OPPIK</w:t>
            </w:r>
          </w:p>
        </w:tc>
        <w:tc>
          <w:tcPr>
            <w:tcW w:w="1587" w:type="dxa"/>
            <w:vAlign w:val="center"/>
          </w:tcPr>
          <w:p w14:paraId="4989CE24" w14:textId="7B0625A5"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40 950 000,00</w:t>
            </w:r>
          </w:p>
        </w:tc>
      </w:tr>
      <w:tr w:rsidR="00422D27" w:rsidRPr="0091346D" w14:paraId="041C6669" w14:textId="77777777" w:rsidTr="00E849E8">
        <w:trPr>
          <w:trHeight w:val="283"/>
          <w:jc w:val="center"/>
        </w:trPr>
        <w:tc>
          <w:tcPr>
            <w:tcW w:w="3108" w:type="dxa"/>
            <w:vAlign w:val="center"/>
          </w:tcPr>
          <w:p w14:paraId="53334E29" w14:textId="77777777" w:rsidR="00422D27" w:rsidRPr="0091346D" w:rsidRDefault="00422D27" w:rsidP="00E849E8">
            <w:pPr>
              <w:pStyle w:val="Odstavecseseznamem"/>
              <w:spacing w:before="20" w:after="20"/>
              <w:ind w:left="0"/>
              <w:contextualSpacing w:val="0"/>
              <w:jc w:val="left"/>
              <w:rPr>
                <w:sz w:val="20"/>
                <w:szCs w:val="20"/>
              </w:rPr>
            </w:pPr>
            <w:r w:rsidRPr="0091346D">
              <w:rPr>
                <w:sz w:val="20"/>
                <w:szCs w:val="20"/>
              </w:rPr>
              <w:t>Revitalizace areálu Zelinger Tečovice</w:t>
            </w:r>
          </w:p>
        </w:tc>
        <w:tc>
          <w:tcPr>
            <w:tcW w:w="1857" w:type="dxa"/>
            <w:vAlign w:val="center"/>
          </w:tcPr>
          <w:p w14:paraId="724A5BD9"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Zelinger plast s.r.o.</w:t>
            </w:r>
          </w:p>
        </w:tc>
        <w:tc>
          <w:tcPr>
            <w:tcW w:w="2523" w:type="dxa"/>
            <w:vAlign w:val="center"/>
          </w:tcPr>
          <w:p w14:paraId="29B295AF" w14:textId="77777777" w:rsidR="00422D27" w:rsidRPr="0091346D" w:rsidRDefault="00422D27" w:rsidP="0091346D">
            <w:pPr>
              <w:spacing w:before="20" w:after="20"/>
              <w:jc w:val="center"/>
              <w:rPr>
                <w:sz w:val="20"/>
                <w:szCs w:val="20"/>
              </w:rPr>
            </w:pPr>
            <w:r w:rsidRPr="0091346D">
              <w:rPr>
                <w:sz w:val="20"/>
                <w:szCs w:val="20"/>
              </w:rPr>
              <w:t>Program Nemovitosti OPPIK</w:t>
            </w:r>
          </w:p>
        </w:tc>
        <w:tc>
          <w:tcPr>
            <w:tcW w:w="1587" w:type="dxa"/>
            <w:vAlign w:val="center"/>
          </w:tcPr>
          <w:p w14:paraId="43252C2C" w14:textId="35DF315D"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25 420 502,52</w:t>
            </w:r>
          </w:p>
        </w:tc>
      </w:tr>
      <w:tr w:rsidR="00422D27" w:rsidRPr="0091346D" w14:paraId="4535957A" w14:textId="77777777" w:rsidTr="00E849E8">
        <w:trPr>
          <w:trHeight w:val="283"/>
          <w:jc w:val="center"/>
        </w:trPr>
        <w:tc>
          <w:tcPr>
            <w:tcW w:w="3108" w:type="dxa"/>
            <w:vAlign w:val="center"/>
          </w:tcPr>
          <w:p w14:paraId="50917620" w14:textId="77777777" w:rsidR="00422D27" w:rsidRPr="0091346D" w:rsidRDefault="00422D27" w:rsidP="00E849E8">
            <w:pPr>
              <w:pStyle w:val="Odstavecseseznamem"/>
              <w:spacing w:before="20" w:after="20"/>
              <w:ind w:left="0"/>
              <w:contextualSpacing w:val="0"/>
              <w:jc w:val="left"/>
              <w:rPr>
                <w:sz w:val="20"/>
                <w:szCs w:val="20"/>
              </w:rPr>
            </w:pPr>
            <w:r w:rsidRPr="0091346D">
              <w:rPr>
                <w:sz w:val="20"/>
                <w:szCs w:val="20"/>
              </w:rPr>
              <w:t xml:space="preserve">3. část rekonstrukce a přístavby areálu firmy DK </w:t>
            </w:r>
            <w:proofErr w:type="spellStart"/>
            <w:r w:rsidRPr="0091346D">
              <w:rPr>
                <w:sz w:val="20"/>
                <w:szCs w:val="20"/>
              </w:rPr>
              <w:t>mont</w:t>
            </w:r>
            <w:proofErr w:type="spellEnd"/>
          </w:p>
        </w:tc>
        <w:tc>
          <w:tcPr>
            <w:tcW w:w="1857" w:type="dxa"/>
            <w:vAlign w:val="center"/>
          </w:tcPr>
          <w:p w14:paraId="776D9B5D"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 xml:space="preserve">DK </w:t>
            </w:r>
            <w:proofErr w:type="spellStart"/>
            <w:r w:rsidRPr="0091346D">
              <w:rPr>
                <w:sz w:val="20"/>
                <w:szCs w:val="20"/>
              </w:rPr>
              <w:t>mont</w:t>
            </w:r>
            <w:proofErr w:type="spellEnd"/>
            <w:r w:rsidRPr="0091346D">
              <w:rPr>
                <w:sz w:val="20"/>
                <w:szCs w:val="20"/>
              </w:rPr>
              <w:t xml:space="preserve"> </w:t>
            </w:r>
            <w:proofErr w:type="spellStart"/>
            <w:proofErr w:type="gramStart"/>
            <w:r w:rsidRPr="0091346D">
              <w:rPr>
                <w:sz w:val="20"/>
                <w:szCs w:val="20"/>
              </w:rPr>
              <w:t>a.s</w:t>
            </w:r>
            <w:proofErr w:type="spellEnd"/>
            <w:proofErr w:type="gramEnd"/>
          </w:p>
        </w:tc>
        <w:tc>
          <w:tcPr>
            <w:tcW w:w="2523" w:type="dxa"/>
            <w:vAlign w:val="center"/>
          </w:tcPr>
          <w:p w14:paraId="42EE34A6" w14:textId="77777777" w:rsidR="00422D27" w:rsidRPr="0091346D" w:rsidRDefault="00422D27" w:rsidP="0091346D">
            <w:pPr>
              <w:spacing w:before="20" w:after="20"/>
              <w:jc w:val="center"/>
              <w:rPr>
                <w:sz w:val="20"/>
                <w:szCs w:val="20"/>
              </w:rPr>
            </w:pPr>
            <w:r w:rsidRPr="0091346D">
              <w:rPr>
                <w:sz w:val="20"/>
                <w:szCs w:val="20"/>
              </w:rPr>
              <w:t>Program Nemovitosti OPPIK</w:t>
            </w:r>
          </w:p>
        </w:tc>
        <w:tc>
          <w:tcPr>
            <w:tcW w:w="1587" w:type="dxa"/>
            <w:vAlign w:val="center"/>
          </w:tcPr>
          <w:p w14:paraId="47669381" w14:textId="4E759187"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32 394 206,64</w:t>
            </w:r>
          </w:p>
        </w:tc>
      </w:tr>
      <w:tr w:rsidR="00422D27" w:rsidRPr="0091346D" w14:paraId="650CF3ED" w14:textId="77777777" w:rsidTr="00E849E8">
        <w:trPr>
          <w:trHeight w:val="283"/>
          <w:jc w:val="center"/>
        </w:trPr>
        <w:tc>
          <w:tcPr>
            <w:tcW w:w="3108" w:type="dxa"/>
            <w:vAlign w:val="center"/>
          </w:tcPr>
          <w:p w14:paraId="33B44C74" w14:textId="77777777" w:rsidR="00422D27" w:rsidRPr="0091346D" w:rsidRDefault="00422D27" w:rsidP="00E849E8">
            <w:pPr>
              <w:pStyle w:val="Odstavecseseznamem"/>
              <w:spacing w:before="20" w:after="20"/>
              <w:ind w:left="0"/>
              <w:contextualSpacing w:val="0"/>
              <w:jc w:val="left"/>
              <w:rPr>
                <w:sz w:val="20"/>
                <w:szCs w:val="20"/>
              </w:rPr>
            </w:pPr>
            <w:r w:rsidRPr="0091346D">
              <w:rPr>
                <w:sz w:val="20"/>
                <w:szCs w:val="20"/>
              </w:rPr>
              <w:t>Revitalizace bývalého zemědělského objektu v areálu zemědělského družstva</w:t>
            </w:r>
          </w:p>
        </w:tc>
        <w:tc>
          <w:tcPr>
            <w:tcW w:w="1857" w:type="dxa"/>
            <w:vAlign w:val="center"/>
          </w:tcPr>
          <w:p w14:paraId="26E5BD88"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UNION COSMETIC s.r.o.</w:t>
            </w:r>
          </w:p>
        </w:tc>
        <w:tc>
          <w:tcPr>
            <w:tcW w:w="2523" w:type="dxa"/>
            <w:vAlign w:val="center"/>
          </w:tcPr>
          <w:p w14:paraId="56A4D782" w14:textId="77777777" w:rsidR="00422D27" w:rsidRPr="0091346D" w:rsidRDefault="00422D27" w:rsidP="0091346D">
            <w:pPr>
              <w:spacing w:before="20" w:after="20"/>
              <w:jc w:val="center"/>
              <w:rPr>
                <w:sz w:val="20"/>
                <w:szCs w:val="20"/>
              </w:rPr>
            </w:pPr>
            <w:r w:rsidRPr="0091346D">
              <w:rPr>
                <w:sz w:val="20"/>
                <w:szCs w:val="20"/>
              </w:rPr>
              <w:t>Program Nemovitosti OPPIK</w:t>
            </w:r>
          </w:p>
        </w:tc>
        <w:tc>
          <w:tcPr>
            <w:tcW w:w="1587" w:type="dxa"/>
            <w:vAlign w:val="center"/>
          </w:tcPr>
          <w:p w14:paraId="0CEC6C8C" w14:textId="0F5CD298"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14 071 672,89</w:t>
            </w:r>
          </w:p>
        </w:tc>
      </w:tr>
      <w:tr w:rsidR="00422D27" w:rsidRPr="0091346D" w14:paraId="35FD82A6" w14:textId="77777777" w:rsidTr="00E849E8">
        <w:trPr>
          <w:trHeight w:val="283"/>
          <w:jc w:val="center"/>
        </w:trPr>
        <w:tc>
          <w:tcPr>
            <w:tcW w:w="3108" w:type="dxa"/>
            <w:vAlign w:val="center"/>
          </w:tcPr>
          <w:p w14:paraId="3CF6A65C" w14:textId="2DDE0B9D" w:rsidR="00422D27" w:rsidRPr="0091346D" w:rsidRDefault="00422D27" w:rsidP="00E849E8">
            <w:pPr>
              <w:pStyle w:val="Odstavecseseznamem"/>
              <w:spacing w:before="20" w:after="20"/>
              <w:ind w:left="0"/>
              <w:contextualSpacing w:val="0"/>
              <w:jc w:val="left"/>
              <w:rPr>
                <w:sz w:val="20"/>
                <w:szCs w:val="20"/>
              </w:rPr>
            </w:pPr>
            <w:r w:rsidRPr="0091346D">
              <w:rPr>
                <w:sz w:val="20"/>
                <w:szCs w:val="20"/>
              </w:rPr>
              <w:t>Rekonstrukce objektu č.p. 888 v</w:t>
            </w:r>
            <w:r w:rsidR="0091346D" w:rsidRPr="0091346D">
              <w:rPr>
                <w:sz w:val="20"/>
                <w:szCs w:val="20"/>
              </w:rPr>
              <w:t> </w:t>
            </w:r>
            <w:r w:rsidRPr="0091346D">
              <w:rPr>
                <w:sz w:val="20"/>
                <w:szCs w:val="20"/>
              </w:rPr>
              <w:t xml:space="preserve">bývalém výrobním areálu </w:t>
            </w:r>
            <w:proofErr w:type="spellStart"/>
            <w:r w:rsidRPr="0091346D">
              <w:rPr>
                <w:sz w:val="20"/>
                <w:szCs w:val="20"/>
              </w:rPr>
              <w:t>s.p</w:t>
            </w:r>
            <w:proofErr w:type="spellEnd"/>
            <w:r w:rsidRPr="0091346D">
              <w:rPr>
                <w:sz w:val="20"/>
                <w:szCs w:val="20"/>
              </w:rPr>
              <w:t>. MEZ Vsetín</w:t>
            </w:r>
            <w:r w:rsidR="0091346D" w:rsidRPr="0091346D">
              <w:rPr>
                <w:sz w:val="20"/>
                <w:szCs w:val="20"/>
              </w:rPr>
              <w:t xml:space="preserve"> </w:t>
            </w:r>
            <w:r w:rsidR="0091346D">
              <w:rPr>
                <w:sz w:val="20"/>
                <w:szCs w:val="20"/>
              </w:rPr>
              <w:t>–</w:t>
            </w:r>
            <w:r w:rsidRPr="0091346D">
              <w:rPr>
                <w:sz w:val="20"/>
                <w:szCs w:val="20"/>
              </w:rPr>
              <w:t xml:space="preserve"> SANDRIK</w:t>
            </w:r>
          </w:p>
        </w:tc>
        <w:tc>
          <w:tcPr>
            <w:tcW w:w="1857" w:type="dxa"/>
            <w:vAlign w:val="center"/>
          </w:tcPr>
          <w:p w14:paraId="5D58FA67"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V-PODLAHY, s.r.o.</w:t>
            </w:r>
          </w:p>
        </w:tc>
        <w:tc>
          <w:tcPr>
            <w:tcW w:w="2523" w:type="dxa"/>
            <w:vAlign w:val="center"/>
          </w:tcPr>
          <w:p w14:paraId="398B193C" w14:textId="77777777" w:rsidR="00422D27" w:rsidRPr="0091346D" w:rsidRDefault="00422D27" w:rsidP="0091346D">
            <w:pPr>
              <w:spacing w:before="20" w:after="20"/>
              <w:jc w:val="center"/>
              <w:rPr>
                <w:sz w:val="20"/>
                <w:szCs w:val="20"/>
              </w:rPr>
            </w:pPr>
            <w:r w:rsidRPr="0091346D">
              <w:rPr>
                <w:sz w:val="20"/>
                <w:szCs w:val="20"/>
              </w:rPr>
              <w:t>Program Nemovitosti OPPIK</w:t>
            </w:r>
          </w:p>
        </w:tc>
        <w:tc>
          <w:tcPr>
            <w:tcW w:w="1587" w:type="dxa"/>
            <w:vAlign w:val="center"/>
          </w:tcPr>
          <w:p w14:paraId="2853E824" w14:textId="7707CFEE"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29 999 999,98</w:t>
            </w:r>
          </w:p>
        </w:tc>
      </w:tr>
      <w:tr w:rsidR="00422D27" w:rsidRPr="0091346D" w14:paraId="481B8B0C" w14:textId="77777777" w:rsidTr="00E849E8">
        <w:trPr>
          <w:trHeight w:val="283"/>
          <w:jc w:val="center"/>
        </w:trPr>
        <w:tc>
          <w:tcPr>
            <w:tcW w:w="3108" w:type="dxa"/>
            <w:vAlign w:val="center"/>
          </w:tcPr>
          <w:p w14:paraId="5989DE6A" w14:textId="351696C5" w:rsidR="00422D27" w:rsidRPr="0091346D" w:rsidRDefault="00422D27" w:rsidP="00E849E8">
            <w:pPr>
              <w:pStyle w:val="Odstavecseseznamem"/>
              <w:spacing w:before="20" w:after="20"/>
              <w:ind w:left="0"/>
              <w:contextualSpacing w:val="0"/>
              <w:jc w:val="left"/>
              <w:rPr>
                <w:sz w:val="20"/>
                <w:szCs w:val="20"/>
              </w:rPr>
            </w:pPr>
            <w:r w:rsidRPr="0091346D">
              <w:rPr>
                <w:sz w:val="20"/>
                <w:szCs w:val="20"/>
              </w:rPr>
              <w:t xml:space="preserve">Rekonstrukce objektu rekreační chaty Slavie čp. 134 </w:t>
            </w:r>
            <w:r w:rsidR="0091346D">
              <w:rPr>
                <w:sz w:val="20"/>
                <w:szCs w:val="20"/>
              </w:rPr>
              <w:t>–</w:t>
            </w:r>
            <w:r w:rsidRPr="0091346D">
              <w:rPr>
                <w:sz w:val="20"/>
                <w:szCs w:val="20"/>
              </w:rPr>
              <w:t xml:space="preserve"> Špindlerův mlýn</w:t>
            </w:r>
          </w:p>
        </w:tc>
        <w:tc>
          <w:tcPr>
            <w:tcW w:w="1857" w:type="dxa"/>
            <w:vAlign w:val="center"/>
          </w:tcPr>
          <w:p w14:paraId="1926669F"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3V Invest s.r.o.</w:t>
            </w:r>
          </w:p>
        </w:tc>
        <w:tc>
          <w:tcPr>
            <w:tcW w:w="2523" w:type="dxa"/>
            <w:vAlign w:val="center"/>
          </w:tcPr>
          <w:p w14:paraId="713B9AA1" w14:textId="77777777" w:rsidR="00422D27" w:rsidRPr="0091346D" w:rsidRDefault="00422D27" w:rsidP="0091346D">
            <w:pPr>
              <w:spacing w:before="20" w:after="20"/>
              <w:jc w:val="center"/>
              <w:rPr>
                <w:sz w:val="20"/>
                <w:szCs w:val="20"/>
              </w:rPr>
            </w:pPr>
            <w:r w:rsidRPr="0091346D">
              <w:rPr>
                <w:sz w:val="20"/>
                <w:szCs w:val="20"/>
              </w:rPr>
              <w:t>Program Nemovitosti OPPIK</w:t>
            </w:r>
          </w:p>
        </w:tc>
        <w:tc>
          <w:tcPr>
            <w:tcW w:w="1587" w:type="dxa"/>
            <w:vAlign w:val="center"/>
          </w:tcPr>
          <w:p w14:paraId="16A80D86" w14:textId="01C0DEF1"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9 614 988,81</w:t>
            </w:r>
          </w:p>
        </w:tc>
      </w:tr>
      <w:tr w:rsidR="00422D27" w:rsidRPr="0091346D" w14:paraId="179666B0" w14:textId="77777777" w:rsidTr="00E849E8">
        <w:trPr>
          <w:trHeight w:val="283"/>
          <w:jc w:val="center"/>
        </w:trPr>
        <w:tc>
          <w:tcPr>
            <w:tcW w:w="3108" w:type="dxa"/>
            <w:vAlign w:val="center"/>
          </w:tcPr>
          <w:p w14:paraId="63B21C21" w14:textId="77777777" w:rsidR="00422D27" w:rsidRPr="0091346D" w:rsidRDefault="00422D27" w:rsidP="00E849E8">
            <w:pPr>
              <w:pStyle w:val="Odstavecseseznamem"/>
              <w:spacing w:before="20" w:after="20"/>
              <w:ind w:left="0"/>
              <w:contextualSpacing w:val="0"/>
              <w:jc w:val="left"/>
              <w:rPr>
                <w:sz w:val="20"/>
                <w:szCs w:val="20"/>
              </w:rPr>
            </w:pPr>
            <w:r w:rsidRPr="0091346D">
              <w:rPr>
                <w:sz w:val="20"/>
                <w:szCs w:val="20"/>
              </w:rPr>
              <w:t>Rekonstrukce bývalého areálu STOMI</w:t>
            </w:r>
          </w:p>
        </w:tc>
        <w:tc>
          <w:tcPr>
            <w:tcW w:w="1857" w:type="dxa"/>
            <w:vAlign w:val="center"/>
          </w:tcPr>
          <w:p w14:paraId="42EE16D9"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 xml:space="preserve">JMC </w:t>
            </w:r>
            <w:proofErr w:type="spellStart"/>
            <w:r w:rsidRPr="0091346D">
              <w:rPr>
                <w:sz w:val="20"/>
                <w:szCs w:val="20"/>
              </w:rPr>
              <w:t>Trading</w:t>
            </w:r>
            <w:proofErr w:type="spellEnd"/>
            <w:r w:rsidRPr="0091346D">
              <w:rPr>
                <w:sz w:val="20"/>
                <w:szCs w:val="20"/>
              </w:rPr>
              <w:t xml:space="preserve"> s.r.o.</w:t>
            </w:r>
          </w:p>
        </w:tc>
        <w:tc>
          <w:tcPr>
            <w:tcW w:w="2523" w:type="dxa"/>
            <w:vAlign w:val="center"/>
          </w:tcPr>
          <w:p w14:paraId="42EF5C26" w14:textId="77777777" w:rsidR="00422D27" w:rsidRPr="0091346D" w:rsidRDefault="00422D27" w:rsidP="0091346D">
            <w:pPr>
              <w:spacing w:before="20" w:after="20"/>
              <w:jc w:val="center"/>
              <w:rPr>
                <w:sz w:val="20"/>
                <w:szCs w:val="20"/>
              </w:rPr>
            </w:pPr>
            <w:r w:rsidRPr="0091346D">
              <w:rPr>
                <w:sz w:val="20"/>
                <w:szCs w:val="20"/>
              </w:rPr>
              <w:t>Program Nemovitosti OPPIK</w:t>
            </w:r>
          </w:p>
        </w:tc>
        <w:tc>
          <w:tcPr>
            <w:tcW w:w="1587" w:type="dxa"/>
            <w:vAlign w:val="center"/>
          </w:tcPr>
          <w:p w14:paraId="73AEE50F" w14:textId="5F35723B"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8 355 496,35</w:t>
            </w:r>
          </w:p>
        </w:tc>
      </w:tr>
      <w:tr w:rsidR="00422D27" w:rsidRPr="0091346D" w14:paraId="738F8371" w14:textId="77777777" w:rsidTr="00E849E8">
        <w:trPr>
          <w:trHeight w:val="283"/>
          <w:jc w:val="center"/>
        </w:trPr>
        <w:tc>
          <w:tcPr>
            <w:tcW w:w="3108" w:type="dxa"/>
            <w:vAlign w:val="center"/>
          </w:tcPr>
          <w:p w14:paraId="7FEE39B0" w14:textId="77777777" w:rsidR="00422D27" w:rsidRPr="0091346D" w:rsidRDefault="00422D27" w:rsidP="00E849E8">
            <w:pPr>
              <w:pStyle w:val="Odstavecseseznamem"/>
              <w:spacing w:before="20" w:after="20"/>
              <w:ind w:left="0"/>
              <w:contextualSpacing w:val="0"/>
              <w:jc w:val="left"/>
              <w:rPr>
                <w:sz w:val="20"/>
                <w:szCs w:val="20"/>
              </w:rPr>
            </w:pPr>
            <w:r w:rsidRPr="0091346D">
              <w:rPr>
                <w:sz w:val="20"/>
                <w:szCs w:val="20"/>
              </w:rPr>
              <w:t>Stavebniny Falta</w:t>
            </w:r>
          </w:p>
        </w:tc>
        <w:tc>
          <w:tcPr>
            <w:tcW w:w="1857" w:type="dxa"/>
            <w:vAlign w:val="center"/>
          </w:tcPr>
          <w:p w14:paraId="71280747"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Zdeněk Falta</w:t>
            </w:r>
          </w:p>
        </w:tc>
        <w:tc>
          <w:tcPr>
            <w:tcW w:w="2523" w:type="dxa"/>
            <w:vAlign w:val="center"/>
          </w:tcPr>
          <w:p w14:paraId="27AC0FD4" w14:textId="77777777" w:rsidR="00422D27" w:rsidRPr="0091346D" w:rsidRDefault="00422D27" w:rsidP="0091346D">
            <w:pPr>
              <w:spacing w:before="20" w:after="20"/>
              <w:jc w:val="center"/>
              <w:rPr>
                <w:sz w:val="20"/>
                <w:szCs w:val="20"/>
              </w:rPr>
            </w:pPr>
            <w:r w:rsidRPr="0091346D">
              <w:rPr>
                <w:sz w:val="20"/>
                <w:szCs w:val="20"/>
              </w:rPr>
              <w:t>Program Nemovitosti OPPIK</w:t>
            </w:r>
          </w:p>
        </w:tc>
        <w:tc>
          <w:tcPr>
            <w:tcW w:w="1587" w:type="dxa"/>
            <w:vAlign w:val="center"/>
          </w:tcPr>
          <w:p w14:paraId="0EE7F430" w14:textId="206C217F"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69 999 999,99</w:t>
            </w:r>
          </w:p>
        </w:tc>
      </w:tr>
      <w:tr w:rsidR="00422D27" w:rsidRPr="0091346D" w14:paraId="18F8C9AC" w14:textId="77777777" w:rsidTr="00E849E8">
        <w:trPr>
          <w:trHeight w:val="283"/>
          <w:jc w:val="center"/>
        </w:trPr>
        <w:tc>
          <w:tcPr>
            <w:tcW w:w="3108" w:type="dxa"/>
            <w:vAlign w:val="center"/>
          </w:tcPr>
          <w:p w14:paraId="63B2741E" w14:textId="0DE67294" w:rsidR="00422D27" w:rsidRPr="0091346D" w:rsidRDefault="00422D27" w:rsidP="00E849E8">
            <w:pPr>
              <w:pStyle w:val="Odstavecseseznamem"/>
              <w:spacing w:before="20" w:after="20"/>
              <w:ind w:left="0"/>
              <w:contextualSpacing w:val="0"/>
              <w:jc w:val="left"/>
              <w:rPr>
                <w:sz w:val="20"/>
                <w:szCs w:val="20"/>
              </w:rPr>
            </w:pPr>
            <w:r w:rsidRPr="0091346D">
              <w:rPr>
                <w:sz w:val="20"/>
                <w:szCs w:val="20"/>
              </w:rPr>
              <w:t>Rekonstrukce areálu Jeníkovice, č.</w:t>
            </w:r>
            <w:r w:rsidR="005A2AA5">
              <w:rPr>
                <w:sz w:val="20"/>
                <w:szCs w:val="20"/>
              </w:rPr>
              <w:t> </w:t>
            </w:r>
            <w:r w:rsidRPr="0091346D">
              <w:rPr>
                <w:sz w:val="20"/>
                <w:szCs w:val="20"/>
              </w:rPr>
              <w:t>p. 54/1</w:t>
            </w:r>
          </w:p>
        </w:tc>
        <w:tc>
          <w:tcPr>
            <w:tcW w:w="1857" w:type="dxa"/>
            <w:vAlign w:val="center"/>
          </w:tcPr>
          <w:p w14:paraId="501D9CA8"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VIBROM spol. s r.o.</w:t>
            </w:r>
          </w:p>
        </w:tc>
        <w:tc>
          <w:tcPr>
            <w:tcW w:w="2523" w:type="dxa"/>
            <w:vAlign w:val="center"/>
          </w:tcPr>
          <w:p w14:paraId="1B0FB93E" w14:textId="77777777" w:rsidR="00422D27" w:rsidRPr="0091346D" w:rsidRDefault="00422D27" w:rsidP="0091346D">
            <w:pPr>
              <w:spacing w:before="20" w:after="20"/>
              <w:jc w:val="center"/>
              <w:rPr>
                <w:sz w:val="20"/>
                <w:szCs w:val="20"/>
              </w:rPr>
            </w:pPr>
            <w:r w:rsidRPr="0091346D">
              <w:rPr>
                <w:sz w:val="20"/>
                <w:szCs w:val="20"/>
              </w:rPr>
              <w:t>Program Nemovitosti OPPIK</w:t>
            </w:r>
          </w:p>
        </w:tc>
        <w:tc>
          <w:tcPr>
            <w:tcW w:w="1587" w:type="dxa"/>
            <w:vAlign w:val="center"/>
          </w:tcPr>
          <w:p w14:paraId="45423BB1" w14:textId="6F4DCA5E"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19 034 761,93</w:t>
            </w:r>
          </w:p>
        </w:tc>
      </w:tr>
      <w:tr w:rsidR="00422D27" w:rsidRPr="0091346D" w14:paraId="7D23F508" w14:textId="77777777" w:rsidTr="00E849E8">
        <w:trPr>
          <w:trHeight w:val="283"/>
          <w:jc w:val="center"/>
        </w:trPr>
        <w:tc>
          <w:tcPr>
            <w:tcW w:w="3108" w:type="dxa"/>
            <w:vAlign w:val="center"/>
          </w:tcPr>
          <w:p w14:paraId="1B5D9331" w14:textId="77777777" w:rsidR="00422D27" w:rsidRPr="0091346D" w:rsidRDefault="00422D27" w:rsidP="00E849E8">
            <w:pPr>
              <w:pStyle w:val="Odstavecseseznamem"/>
              <w:spacing w:before="20" w:after="20"/>
              <w:ind w:left="0"/>
              <w:contextualSpacing w:val="0"/>
              <w:jc w:val="left"/>
              <w:rPr>
                <w:sz w:val="20"/>
                <w:szCs w:val="20"/>
              </w:rPr>
            </w:pPr>
            <w:r w:rsidRPr="0091346D">
              <w:rPr>
                <w:sz w:val="20"/>
                <w:szCs w:val="20"/>
              </w:rPr>
              <w:t>Revitalizace objektu</w:t>
            </w:r>
          </w:p>
        </w:tc>
        <w:tc>
          <w:tcPr>
            <w:tcW w:w="1857" w:type="dxa"/>
            <w:vAlign w:val="center"/>
          </w:tcPr>
          <w:p w14:paraId="6FE4921E" w14:textId="77777777" w:rsidR="00422D27" w:rsidRPr="0091346D" w:rsidRDefault="00422D27" w:rsidP="0091346D">
            <w:pPr>
              <w:pStyle w:val="Odstavecseseznamem"/>
              <w:spacing w:before="20" w:after="20"/>
              <w:ind w:left="0"/>
              <w:contextualSpacing w:val="0"/>
              <w:jc w:val="center"/>
              <w:rPr>
                <w:sz w:val="20"/>
                <w:szCs w:val="20"/>
              </w:rPr>
            </w:pPr>
            <w:r w:rsidRPr="0091346D">
              <w:rPr>
                <w:sz w:val="20"/>
                <w:szCs w:val="20"/>
              </w:rPr>
              <w:t>Areál Moravská, s.r.o.</w:t>
            </w:r>
          </w:p>
        </w:tc>
        <w:tc>
          <w:tcPr>
            <w:tcW w:w="2523" w:type="dxa"/>
            <w:vAlign w:val="center"/>
          </w:tcPr>
          <w:p w14:paraId="2EC68881" w14:textId="77777777" w:rsidR="00422D27" w:rsidRPr="0091346D" w:rsidRDefault="00422D27" w:rsidP="0091346D">
            <w:pPr>
              <w:spacing w:before="20" w:after="20"/>
              <w:jc w:val="center"/>
              <w:rPr>
                <w:sz w:val="20"/>
                <w:szCs w:val="20"/>
              </w:rPr>
            </w:pPr>
            <w:r w:rsidRPr="0091346D">
              <w:rPr>
                <w:sz w:val="20"/>
                <w:szCs w:val="20"/>
              </w:rPr>
              <w:t>Program Nemovitosti OPPIK</w:t>
            </w:r>
          </w:p>
        </w:tc>
        <w:tc>
          <w:tcPr>
            <w:tcW w:w="1587" w:type="dxa"/>
            <w:vAlign w:val="center"/>
          </w:tcPr>
          <w:p w14:paraId="116F7D3B" w14:textId="1659720F" w:rsidR="00422D27" w:rsidRPr="0091346D" w:rsidRDefault="00422D27" w:rsidP="00E849E8">
            <w:pPr>
              <w:pStyle w:val="Odstavecseseznamem"/>
              <w:spacing w:before="20" w:after="20"/>
              <w:ind w:left="0" w:right="113"/>
              <w:contextualSpacing w:val="0"/>
              <w:jc w:val="right"/>
              <w:rPr>
                <w:bCs/>
                <w:sz w:val="20"/>
                <w:szCs w:val="20"/>
              </w:rPr>
            </w:pPr>
            <w:r w:rsidRPr="0091346D">
              <w:rPr>
                <w:bCs/>
                <w:sz w:val="20"/>
                <w:szCs w:val="20"/>
              </w:rPr>
              <w:t>35 000 000,00</w:t>
            </w:r>
          </w:p>
        </w:tc>
      </w:tr>
      <w:tr w:rsidR="00AC5925" w:rsidRPr="0091346D" w14:paraId="5D243758" w14:textId="77777777" w:rsidTr="00E849E8">
        <w:trPr>
          <w:trHeight w:val="283"/>
          <w:jc w:val="center"/>
        </w:trPr>
        <w:tc>
          <w:tcPr>
            <w:tcW w:w="7488" w:type="dxa"/>
            <w:gridSpan w:val="3"/>
            <w:vAlign w:val="center"/>
          </w:tcPr>
          <w:p w14:paraId="20194841" w14:textId="4CE04681" w:rsidR="00AC5925" w:rsidRPr="0091346D" w:rsidRDefault="00AC5925" w:rsidP="00E849E8">
            <w:pPr>
              <w:pStyle w:val="Odstavecseseznamem"/>
              <w:spacing w:before="20" w:after="20"/>
              <w:ind w:left="0"/>
              <w:contextualSpacing w:val="0"/>
              <w:jc w:val="left"/>
              <w:rPr>
                <w:b/>
                <w:sz w:val="20"/>
                <w:szCs w:val="20"/>
              </w:rPr>
            </w:pPr>
            <w:r w:rsidRPr="0091346D">
              <w:rPr>
                <w:b/>
                <w:sz w:val="20"/>
                <w:szCs w:val="20"/>
              </w:rPr>
              <w:t>Celke</w:t>
            </w:r>
            <w:r w:rsidR="00422D27" w:rsidRPr="0091346D">
              <w:rPr>
                <w:b/>
                <w:sz w:val="20"/>
                <w:szCs w:val="20"/>
              </w:rPr>
              <w:t>m</w:t>
            </w:r>
          </w:p>
        </w:tc>
        <w:tc>
          <w:tcPr>
            <w:tcW w:w="1587" w:type="dxa"/>
            <w:vAlign w:val="center"/>
          </w:tcPr>
          <w:p w14:paraId="04F59A11" w14:textId="62D9D4F5" w:rsidR="00AC5925" w:rsidRPr="0091346D" w:rsidRDefault="00422D27" w:rsidP="00E849E8">
            <w:pPr>
              <w:pStyle w:val="Odstavecseseznamem"/>
              <w:spacing w:before="20" w:after="20"/>
              <w:ind w:left="0" w:right="113"/>
              <w:contextualSpacing w:val="0"/>
              <w:jc w:val="right"/>
              <w:rPr>
                <w:b/>
                <w:sz w:val="20"/>
                <w:szCs w:val="20"/>
              </w:rPr>
            </w:pPr>
            <w:r w:rsidRPr="0091346D">
              <w:rPr>
                <w:b/>
                <w:bCs/>
                <w:sz w:val="20"/>
                <w:szCs w:val="20"/>
              </w:rPr>
              <w:t>350 567 217,11</w:t>
            </w:r>
          </w:p>
        </w:tc>
      </w:tr>
    </w:tbl>
    <w:p w14:paraId="516C1B83" w14:textId="77777777" w:rsidR="00AC5925" w:rsidRPr="00803BDF" w:rsidRDefault="00AC5925" w:rsidP="00AC5925">
      <w:pPr>
        <w:spacing w:line="264" w:lineRule="auto"/>
      </w:pPr>
    </w:p>
    <w:p w14:paraId="11781E8B" w14:textId="77777777" w:rsidR="00900374" w:rsidRDefault="00900374">
      <w:pPr>
        <w:spacing w:after="160" w:line="259" w:lineRule="auto"/>
        <w:jc w:val="left"/>
        <w:rPr>
          <w:rFonts w:asciiTheme="minorHAnsi" w:eastAsia="Calibri" w:hAnsiTheme="minorHAnsi" w:cstheme="minorHAnsi"/>
          <w:b/>
          <w:color w:val="auto"/>
        </w:rPr>
      </w:pPr>
      <w:r>
        <w:rPr>
          <w:rFonts w:asciiTheme="minorHAnsi" w:eastAsia="Calibri" w:hAnsiTheme="minorHAnsi" w:cstheme="minorHAnsi"/>
          <w:b/>
          <w:color w:val="auto"/>
        </w:rPr>
        <w:br w:type="page"/>
      </w:r>
    </w:p>
    <w:p w14:paraId="63BADAD9" w14:textId="469306C9" w:rsidR="0031169F" w:rsidRDefault="0031169F" w:rsidP="0031169F">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4767"/>
          <w:tab w:val="left" w:pos="4994"/>
          <w:tab w:val="left" w:pos="5509"/>
        </w:tabs>
        <w:spacing w:after="240"/>
        <w:ind w:left="3178" w:hanging="3178"/>
        <w:jc w:val="right"/>
        <w:rPr>
          <w:rFonts w:asciiTheme="minorHAnsi" w:eastAsia="Calibri" w:hAnsiTheme="minorHAnsi" w:cstheme="minorHAnsi"/>
          <w:b/>
          <w:color w:val="auto"/>
        </w:rPr>
      </w:pPr>
      <w:r w:rsidRPr="0031169F">
        <w:rPr>
          <w:rFonts w:asciiTheme="minorHAnsi" w:eastAsia="Calibri" w:hAnsiTheme="minorHAnsi" w:cstheme="minorHAnsi"/>
          <w:b/>
          <w:color w:val="auto"/>
        </w:rPr>
        <w:lastRenderedPageBreak/>
        <w:t>Příloha č. 2</w:t>
      </w:r>
    </w:p>
    <w:p w14:paraId="526FD0CB" w14:textId="36A5F4DB" w:rsidR="0031169F" w:rsidRPr="00FB76DD" w:rsidRDefault="0031169F" w:rsidP="0031169F">
      <w:pPr>
        <w:pStyle w:val="Odstavecseseznamem"/>
        <w:spacing w:after="120"/>
        <w:ind w:left="0"/>
        <w:contextualSpacing w:val="0"/>
        <w:rPr>
          <w:b/>
        </w:rPr>
      </w:pPr>
      <w:r>
        <w:rPr>
          <w:rFonts w:ascii="CIDFont+F4" w:hAnsi="CIDFont+F4" w:cs="CIDFont+F4"/>
          <w:b/>
        </w:rPr>
        <w:t>Vyhodnocení</w:t>
      </w:r>
      <w:r w:rsidRPr="00FB76DD">
        <w:rPr>
          <w:rFonts w:ascii="CIDFont+F4" w:hAnsi="CIDFont+F4" w:cs="CIDFont+F4"/>
          <w:b/>
        </w:rPr>
        <w:t xml:space="preserve"> opatření stanovených v </w:t>
      </w:r>
      <w:r w:rsidRPr="00E46C86">
        <w:rPr>
          <w:rFonts w:cstheme="minorHAnsi"/>
          <w:b/>
          <w:i/>
        </w:rPr>
        <w:t xml:space="preserve">Národní strategii regenerací </w:t>
      </w:r>
      <w:proofErr w:type="spellStart"/>
      <w:r w:rsidRPr="00E46C86">
        <w:rPr>
          <w:rFonts w:cstheme="minorHAnsi"/>
          <w:b/>
          <w:i/>
        </w:rPr>
        <w:t>brownfieldů</w:t>
      </w:r>
      <w:proofErr w:type="spellEnd"/>
      <w:r w:rsidRPr="00E46C86">
        <w:rPr>
          <w:rFonts w:cstheme="minorHAnsi"/>
          <w:b/>
          <w:i/>
        </w:rPr>
        <w:t xml:space="preserve"> 201</w:t>
      </w:r>
      <w:r w:rsidR="008B6BCC">
        <w:rPr>
          <w:rFonts w:cstheme="minorHAnsi"/>
          <w:b/>
          <w:i/>
        </w:rPr>
        <w:t>9</w:t>
      </w:r>
      <w:r w:rsidR="0091346D" w:rsidRPr="00E46C86">
        <w:rPr>
          <w:rFonts w:cstheme="minorHAnsi"/>
          <w:b/>
          <w:i/>
        </w:rPr>
        <w:t>–</w:t>
      </w:r>
      <w:r w:rsidRPr="00E46C86">
        <w:rPr>
          <w:rFonts w:cstheme="minorHAnsi"/>
          <w:b/>
          <w:i/>
        </w:rPr>
        <w:t>2024</w:t>
      </w:r>
    </w:p>
    <w:tbl>
      <w:tblPr>
        <w:tblpPr w:leftFromText="141" w:rightFromText="141" w:vertAnchor="text" w:horzAnchor="margin" w:tblpXSpec="center" w:tblpY="61"/>
        <w:tblOverlap w:val="neve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345"/>
        <w:gridCol w:w="1418"/>
        <w:gridCol w:w="1134"/>
        <w:gridCol w:w="1361"/>
        <w:gridCol w:w="1587"/>
      </w:tblGrid>
      <w:tr w:rsidR="0031169F" w:rsidRPr="006965A1" w14:paraId="5792B4DB" w14:textId="77777777" w:rsidTr="000B06C3">
        <w:trPr>
          <w:cantSplit/>
          <w:trHeight w:val="283"/>
          <w:jc w:val="center"/>
        </w:trPr>
        <w:tc>
          <w:tcPr>
            <w:tcW w:w="624" w:type="dxa"/>
            <w:tcBorders>
              <w:top w:val="single" w:sz="4" w:space="0" w:color="auto"/>
            </w:tcBorders>
            <w:shd w:val="clear" w:color="auto" w:fill="E6E6E6"/>
            <w:vAlign w:val="center"/>
          </w:tcPr>
          <w:p w14:paraId="26A9ED57" w14:textId="0A70540F" w:rsidR="0031169F" w:rsidRPr="006965A1" w:rsidRDefault="0031169F" w:rsidP="000B06C3">
            <w:pPr>
              <w:keepNext/>
              <w:ind w:left="-57" w:right="-57"/>
              <w:jc w:val="center"/>
              <w:rPr>
                <w:b/>
                <w:bCs/>
                <w:sz w:val="20"/>
                <w:szCs w:val="20"/>
                <w:lang w:eastAsia="cs-CZ"/>
              </w:rPr>
            </w:pPr>
            <w:r w:rsidRPr="006965A1">
              <w:rPr>
                <w:b/>
                <w:bCs/>
                <w:sz w:val="20"/>
                <w:szCs w:val="20"/>
                <w:lang w:eastAsia="cs-CZ"/>
              </w:rPr>
              <w:t>Číslo</w:t>
            </w:r>
          </w:p>
        </w:tc>
        <w:tc>
          <w:tcPr>
            <w:tcW w:w="3345" w:type="dxa"/>
            <w:tcBorders>
              <w:top w:val="single" w:sz="4" w:space="0" w:color="auto"/>
            </w:tcBorders>
            <w:shd w:val="clear" w:color="auto" w:fill="E6E6E6"/>
            <w:vAlign w:val="center"/>
          </w:tcPr>
          <w:p w14:paraId="6002E42B" w14:textId="77777777" w:rsidR="0031169F" w:rsidRPr="006965A1" w:rsidRDefault="0031169F" w:rsidP="000B06C3">
            <w:pPr>
              <w:keepNext/>
              <w:ind w:left="-57" w:right="-57"/>
              <w:jc w:val="center"/>
              <w:rPr>
                <w:b/>
                <w:bCs/>
                <w:sz w:val="20"/>
                <w:szCs w:val="20"/>
                <w:lang w:eastAsia="cs-CZ"/>
              </w:rPr>
            </w:pPr>
            <w:r w:rsidRPr="006965A1">
              <w:rPr>
                <w:b/>
                <w:bCs/>
                <w:sz w:val="20"/>
                <w:szCs w:val="20"/>
                <w:lang w:eastAsia="cs-CZ"/>
              </w:rPr>
              <w:t>Text opatření</w:t>
            </w:r>
          </w:p>
        </w:tc>
        <w:tc>
          <w:tcPr>
            <w:tcW w:w="1418" w:type="dxa"/>
            <w:tcBorders>
              <w:top w:val="single" w:sz="4" w:space="0" w:color="auto"/>
            </w:tcBorders>
            <w:shd w:val="clear" w:color="auto" w:fill="E6E6E6"/>
            <w:vAlign w:val="center"/>
          </w:tcPr>
          <w:p w14:paraId="69F81CFC" w14:textId="77777777" w:rsidR="0031169F" w:rsidRPr="006965A1" w:rsidRDefault="0031169F" w:rsidP="000B06C3">
            <w:pPr>
              <w:keepNext/>
              <w:ind w:left="-57" w:right="-57"/>
              <w:jc w:val="center"/>
              <w:rPr>
                <w:b/>
                <w:bCs/>
                <w:sz w:val="20"/>
                <w:szCs w:val="20"/>
                <w:lang w:eastAsia="cs-CZ"/>
              </w:rPr>
            </w:pPr>
            <w:r w:rsidRPr="006965A1">
              <w:rPr>
                <w:b/>
                <w:bCs/>
                <w:sz w:val="20"/>
                <w:szCs w:val="20"/>
                <w:lang w:eastAsia="cs-CZ"/>
              </w:rPr>
              <w:t>Zodpovědnost</w:t>
            </w:r>
          </w:p>
        </w:tc>
        <w:tc>
          <w:tcPr>
            <w:tcW w:w="1134" w:type="dxa"/>
            <w:tcBorders>
              <w:top w:val="single" w:sz="4" w:space="0" w:color="auto"/>
            </w:tcBorders>
            <w:shd w:val="clear" w:color="auto" w:fill="E6E6E6"/>
            <w:vAlign w:val="center"/>
          </w:tcPr>
          <w:p w14:paraId="6E7CE7CE" w14:textId="77777777" w:rsidR="0031169F" w:rsidRPr="006965A1" w:rsidRDefault="0031169F" w:rsidP="000B06C3">
            <w:pPr>
              <w:keepNext/>
              <w:ind w:left="-57" w:right="-57"/>
              <w:jc w:val="center"/>
              <w:rPr>
                <w:b/>
                <w:bCs/>
                <w:sz w:val="20"/>
                <w:szCs w:val="20"/>
                <w:lang w:eastAsia="cs-CZ"/>
              </w:rPr>
            </w:pPr>
            <w:r w:rsidRPr="006965A1">
              <w:rPr>
                <w:b/>
                <w:bCs/>
                <w:sz w:val="20"/>
                <w:szCs w:val="20"/>
                <w:lang w:eastAsia="cs-CZ"/>
              </w:rPr>
              <w:t>Stanovený termín</w:t>
            </w:r>
          </w:p>
        </w:tc>
        <w:tc>
          <w:tcPr>
            <w:tcW w:w="1361" w:type="dxa"/>
            <w:tcBorders>
              <w:top w:val="single" w:sz="4" w:space="0" w:color="auto"/>
            </w:tcBorders>
            <w:shd w:val="clear" w:color="auto" w:fill="E6E6E6"/>
            <w:vAlign w:val="center"/>
          </w:tcPr>
          <w:p w14:paraId="48D5B821" w14:textId="77777777" w:rsidR="0031169F" w:rsidRPr="006965A1" w:rsidRDefault="0031169F" w:rsidP="000B06C3">
            <w:pPr>
              <w:keepNext/>
              <w:ind w:left="-57" w:right="-57"/>
              <w:jc w:val="center"/>
              <w:rPr>
                <w:b/>
                <w:bCs/>
                <w:sz w:val="20"/>
                <w:szCs w:val="20"/>
                <w:lang w:eastAsia="cs-CZ"/>
              </w:rPr>
            </w:pPr>
            <w:r w:rsidRPr="006965A1">
              <w:rPr>
                <w:b/>
                <w:bCs/>
                <w:sz w:val="20"/>
                <w:szCs w:val="20"/>
                <w:lang w:eastAsia="cs-CZ"/>
              </w:rPr>
              <w:t>Vyhodnocení plnění MPO</w:t>
            </w:r>
          </w:p>
        </w:tc>
        <w:tc>
          <w:tcPr>
            <w:tcW w:w="1587" w:type="dxa"/>
            <w:tcBorders>
              <w:top w:val="single" w:sz="4" w:space="0" w:color="auto"/>
            </w:tcBorders>
            <w:shd w:val="clear" w:color="auto" w:fill="E6E6E6"/>
            <w:vAlign w:val="center"/>
          </w:tcPr>
          <w:p w14:paraId="4A05B237" w14:textId="471B59AB" w:rsidR="0031169F" w:rsidRPr="006965A1" w:rsidRDefault="0031169F" w:rsidP="000B06C3">
            <w:pPr>
              <w:keepNext/>
              <w:ind w:left="-57" w:right="-57"/>
              <w:jc w:val="center"/>
              <w:rPr>
                <w:b/>
                <w:bCs/>
                <w:sz w:val="20"/>
                <w:szCs w:val="20"/>
                <w:lang w:eastAsia="cs-CZ"/>
              </w:rPr>
            </w:pPr>
            <w:r w:rsidRPr="006965A1">
              <w:rPr>
                <w:b/>
                <w:bCs/>
                <w:sz w:val="20"/>
                <w:szCs w:val="20"/>
                <w:lang w:eastAsia="cs-CZ"/>
              </w:rPr>
              <w:t>Vyhodnocení plnění Agenturou CzechInvest</w:t>
            </w:r>
          </w:p>
        </w:tc>
      </w:tr>
      <w:tr w:rsidR="0031169F" w:rsidRPr="006965A1" w14:paraId="243205F0" w14:textId="77777777" w:rsidTr="000B06C3">
        <w:trPr>
          <w:cantSplit/>
          <w:trHeight w:val="283"/>
          <w:jc w:val="center"/>
        </w:trPr>
        <w:tc>
          <w:tcPr>
            <w:tcW w:w="624" w:type="dxa"/>
            <w:shd w:val="clear" w:color="auto" w:fill="auto"/>
            <w:vAlign w:val="center"/>
          </w:tcPr>
          <w:p w14:paraId="32311D56" w14:textId="77777777" w:rsidR="0031169F" w:rsidRPr="006965A1" w:rsidRDefault="0031169F" w:rsidP="006965A1">
            <w:pPr>
              <w:jc w:val="center"/>
              <w:rPr>
                <w:sz w:val="20"/>
                <w:szCs w:val="20"/>
                <w:lang w:eastAsia="cs-CZ"/>
              </w:rPr>
            </w:pPr>
            <w:r w:rsidRPr="006965A1">
              <w:rPr>
                <w:sz w:val="20"/>
                <w:szCs w:val="20"/>
                <w:lang w:eastAsia="cs-CZ"/>
              </w:rPr>
              <w:t>1.1.</w:t>
            </w:r>
          </w:p>
        </w:tc>
        <w:tc>
          <w:tcPr>
            <w:tcW w:w="3345" w:type="dxa"/>
            <w:vAlign w:val="center"/>
          </w:tcPr>
          <w:p w14:paraId="213F35AD" w14:textId="3B26F1FF" w:rsidR="0031169F" w:rsidRPr="006965A1" w:rsidRDefault="0031169F" w:rsidP="006965A1">
            <w:pPr>
              <w:keepNext/>
              <w:jc w:val="left"/>
              <w:rPr>
                <w:bCs/>
                <w:sz w:val="20"/>
                <w:szCs w:val="20"/>
                <w:lang w:eastAsia="cs-CZ"/>
              </w:rPr>
            </w:pPr>
            <w:r w:rsidRPr="006965A1">
              <w:rPr>
                <w:bCs/>
                <w:sz w:val="20"/>
                <w:szCs w:val="20"/>
                <w:lang w:eastAsia="cs-CZ"/>
              </w:rPr>
              <w:t>Vytvořit mezire</w:t>
            </w:r>
            <w:r w:rsidR="00044B38">
              <w:rPr>
                <w:bCs/>
                <w:sz w:val="20"/>
                <w:szCs w:val="20"/>
                <w:lang w:eastAsia="cs-CZ"/>
              </w:rPr>
              <w:t>s</w:t>
            </w:r>
            <w:r w:rsidRPr="006965A1">
              <w:rPr>
                <w:bCs/>
                <w:sz w:val="20"/>
                <w:szCs w:val="20"/>
                <w:lang w:eastAsia="cs-CZ"/>
              </w:rPr>
              <w:t>ortní pracovní skupinu pro regenerace brownfieldů ze zástupců MPO/CzechInvest, MMR, MŽP a MZe.</w:t>
            </w:r>
          </w:p>
        </w:tc>
        <w:tc>
          <w:tcPr>
            <w:tcW w:w="1418" w:type="dxa"/>
            <w:vAlign w:val="center"/>
          </w:tcPr>
          <w:p w14:paraId="10FAE1A0" w14:textId="77777777" w:rsidR="0031169F" w:rsidRPr="006965A1" w:rsidRDefault="0031169F" w:rsidP="006965A1">
            <w:pPr>
              <w:jc w:val="center"/>
              <w:rPr>
                <w:sz w:val="20"/>
                <w:szCs w:val="20"/>
                <w:lang w:eastAsia="cs-CZ"/>
              </w:rPr>
            </w:pPr>
            <w:r w:rsidRPr="006965A1">
              <w:rPr>
                <w:sz w:val="20"/>
                <w:szCs w:val="20"/>
                <w:lang w:eastAsia="cs-CZ"/>
              </w:rPr>
              <w:t>MPO, Agentura CzechInvest</w:t>
            </w:r>
          </w:p>
        </w:tc>
        <w:tc>
          <w:tcPr>
            <w:tcW w:w="1134" w:type="dxa"/>
            <w:shd w:val="clear" w:color="auto" w:fill="auto"/>
            <w:vAlign w:val="center"/>
          </w:tcPr>
          <w:p w14:paraId="03AE7E50" w14:textId="77777777" w:rsidR="0031169F" w:rsidRPr="006965A1" w:rsidRDefault="0031169F" w:rsidP="006965A1">
            <w:pPr>
              <w:jc w:val="center"/>
              <w:rPr>
                <w:sz w:val="20"/>
                <w:szCs w:val="20"/>
                <w:lang w:eastAsia="cs-CZ"/>
              </w:rPr>
            </w:pPr>
            <w:r w:rsidRPr="006965A1">
              <w:rPr>
                <w:sz w:val="20"/>
                <w:szCs w:val="20"/>
                <w:lang w:eastAsia="cs-CZ"/>
              </w:rPr>
              <w:t>2019</w:t>
            </w:r>
          </w:p>
        </w:tc>
        <w:tc>
          <w:tcPr>
            <w:tcW w:w="1361" w:type="dxa"/>
            <w:vAlign w:val="center"/>
          </w:tcPr>
          <w:p w14:paraId="5830659A" w14:textId="601E8B91" w:rsidR="0031169F" w:rsidRPr="006965A1" w:rsidRDefault="00044B38" w:rsidP="006965A1">
            <w:pPr>
              <w:jc w:val="center"/>
              <w:rPr>
                <w:sz w:val="20"/>
                <w:szCs w:val="20"/>
                <w:lang w:eastAsia="cs-CZ"/>
              </w:rPr>
            </w:pPr>
            <w:r>
              <w:rPr>
                <w:sz w:val="20"/>
                <w:szCs w:val="20"/>
                <w:lang w:eastAsia="cs-CZ"/>
              </w:rPr>
              <w:t>S</w:t>
            </w:r>
            <w:r w:rsidR="0031169F" w:rsidRPr="006965A1">
              <w:rPr>
                <w:sz w:val="20"/>
                <w:szCs w:val="20"/>
                <w:lang w:eastAsia="cs-CZ"/>
              </w:rPr>
              <w:t>plněno</w:t>
            </w:r>
          </w:p>
        </w:tc>
        <w:tc>
          <w:tcPr>
            <w:tcW w:w="1587" w:type="dxa"/>
            <w:vAlign w:val="center"/>
          </w:tcPr>
          <w:p w14:paraId="53B6BB08" w14:textId="0EDD21E8" w:rsidR="0031169F" w:rsidRPr="006965A1" w:rsidRDefault="00044B38" w:rsidP="006965A1">
            <w:pPr>
              <w:jc w:val="center"/>
              <w:rPr>
                <w:sz w:val="20"/>
                <w:szCs w:val="20"/>
                <w:lang w:eastAsia="cs-CZ"/>
              </w:rPr>
            </w:pPr>
            <w:r>
              <w:rPr>
                <w:sz w:val="20"/>
                <w:szCs w:val="20"/>
                <w:lang w:eastAsia="cs-CZ"/>
              </w:rPr>
              <w:t>S</w:t>
            </w:r>
            <w:r w:rsidR="0031169F" w:rsidRPr="006965A1">
              <w:rPr>
                <w:sz w:val="20"/>
                <w:szCs w:val="20"/>
                <w:lang w:eastAsia="cs-CZ"/>
              </w:rPr>
              <w:t>plněno</w:t>
            </w:r>
          </w:p>
        </w:tc>
      </w:tr>
      <w:tr w:rsidR="0031169F" w:rsidRPr="006965A1" w14:paraId="158DA29E" w14:textId="77777777" w:rsidTr="000B06C3">
        <w:trPr>
          <w:cantSplit/>
          <w:trHeight w:val="283"/>
          <w:jc w:val="center"/>
        </w:trPr>
        <w:tc>
          <w:tcPr>
            <w:tcW w:w="624" w:type="dxa"/>
            <w:shd w:val="clear" w:color="auto" w:fill="auto"/>
            <w:vAlign w:val="center"/>
          </w:tcPr>
          <w:p w14:paraId="2E1A8E79" w14:textId="77777777" w:rsidR="0031169F" w:rsidRPr="006965A1" w:rsidRDefault="0031169F" w:rsidP="006965A1">
            <w:pPr>
              <w:jc w:val="center"/>
              <w:rPr>
                <w:sz w:val="20"/>
                <w:szCs w:val="20"/>
                <w:lang w:eastAsia="cs-CZ"/>
              </w:rPr>
            </w:pPr>
            <w:r w:rsidRPr="006965A1">
              <w:rPr>
                <w:sz w:val="20"/>
                <w:szCs w:val="20"/>
                <w:lang w:eastAsia="cs-CZ"/>
              </w:rPr>
              <w:t>1.2</w:t>
            </w:r>
          </w:p>
        </w:tc>
        <w:tc>
          <w:tcPr>
            <w:tcW w:w="3345" w:type="dxa"/>
            <w:vAlign w:val="center"/>
          </w:tcPr>
          <w:p w14:paraId="4BD879F8" w14:textId="546A67CB" w:rsidR="0031169F" w:rsidRPr="006965A1" w:rsidRDefault="0031169F" w:rsidP="006965A1">
            <w:pPr>
              <w:keepNext/>
              <w:jc w:val="left"/>
              <w:rPr>
                <w:bCs/>
                <w:sz w:val="20"/>
                <w:szCs w:val="20"/>
                <w:lang w:eastAsia="cs-CZ"/>
              </w:rPr>
            </w:pPr>
            <w:r w:rsidRPr="006965A1">
              <w:rPr>
                <w:bCs/>
                <w:sz w:val="20"/>
                <w:szCs w:val="20"/>
                <w:lang w:eastAsia="cs-CZ"/>
              </w:rPr>
              <w:t>Nastavit spolupráci pracovní skupiny pro regenerace brownfieldů s kraji a</w:t>
            </w:r>
            <w:r w:rsidR="000B06C3">
              <w:rPr>
                <w:bCs/>
                <w:sz w:val="20"/>
                <w:szCs w:val="20"/>
                <w:lang w:eastAsia="cs-CZ"/>
              </w:rPr>
              <w:t> </w:t>
            </w:r>
            <w:r w:rsidRPr="006965A1">
              <w:rPr>
                <w:bCs/>
                <w:sz w:val="20"/>
                <w:szCs w:val="20"/>
                <w:lang w:eastAsia="cs-CZ"/>
              </w:rPr>
              <w:t>obcemi a tematicky souvisejícími odbornými skupinami</w:t>
            </w:r>
          </w:p>
        </w:tc>
        <w:tc>
          <w:tcPr>
            <w:tcW w:w="1418" w:type="dxa"/>
            <w:vAlign w:val="center"/>
          </w:tcPr>
          <w:p w14:paraId="4ACBF9E8" w14:textId="77777777" w:rsidR="0031169F" w:rsidRPr="006965A1" w:rsidRDefault="0031169F" w:rsidP="006965A1">
            <w:pPr>
              <w:jc w:val="center"/>
              <w:rPr>
                <w:sz w:val="20"/>
                <w:szCs w:val="20"/>
                <w:lang w:eastAsia="cs-CZ"/>
              </w:rPr>
            </w:pPr>
            <w:r w:rsidRPr="006965A1">
              <w:rPr>
                <w:sz w:val="20"/>
                <w:szCs w:val="20"/>
                <w:lang w:eastAsia="cs-CZ"/>
              </w:rPr>
              <w:t>MPO, Agentura CzechInvest, MMR</w:t>
            </w:r>
          </w:p>
        </w:tc>
        <w:tc>
          <w:tcPr>
            <w:tcW w:w="1134" w:type="dxa"/>
            <w:shd w:val="clear" w:color="auto" w:fill="auto"/>
            <w:vAlign w:val="center"/>
          </w:tcPr>
          <w:p w14:paraId="0E3F18D1" w14:textId="111CBE86" w:rsidR="0031169F" w:rsidRPr="006965A1" w:rsidRDefault="00044B38" w:rsidP="006965A1">
            <w:pPr>
              <w:jc w:val="center"/>
              <w:rPr>
                <w:sz w:val="20"/>
                <w:szCs w:val="20"/>
                <w:lang w:eastAsia="cs-CZ"/>
              </w:rPr>
            </w:pPr>
            <w:r>
              <w:rPr>
                <w:sz w:val="20"/>
                <w:szCs w:val="20"/>
                <w:lang w:eastAsia="cs-CZ"/>
              </w:rPr>
              <w:t>P</w:t>
            </w:r>
            <w:r w:rsidR="0031169F" w:rsidRPr="006965A1">
              <w:rPr>
                <w:sz w:val="20"/>
                <w:szCs w:val="20"/>
                <w:lang w:eastAsia="cs-CZ"/>
              </w:rPr>
              <w:t>růběžně</w:t>
            </w:r>
          </w:p>
        </w:tc>
        <w:tc>
          <w:tcPr>
            <w:tcW w:w="1361" w:type="dxa"/>
            <w:vAlign w:val="center"/>
          </w:tcPr>
          <w:p w14:paraId="25A7D41B" w14:textId="16C5E41D" w:rsidR="0031169F" w:rsidRPr="006965A1" w:rsidRDefault="00044B38" w:rsidP="006965A1">
            <w:pPr>
              <w:jc w:val="center"/>
              <w:rPr>
                <w:sz w:val="20"/>
                <w:szCs w:val="20"/>
                <w:lang w:eastAsia="cs-CZ"/>
              </w:rPr>
            </w:pPr>
            <w:r>
              <w:rPr>
                <w:sz w:val="20"/>
                <w:szCs w:val="20"/>
                <w:lang w:eastAsia="cs-CZ"/>
              </w:rPr>
              <w:t>P</w:t>
            </w:r>
            <w:r w:rsidR="0031169F" w:rsidRPr="006965A1">
              <w:rPr>
                <w:sz w:val="20"/>
                <w:szCs w:val="20"/>
                <w:lang w:eastAsia="cs-CZ"/>
              </w:rPr>
              <w:t>lněné</w:t>
            </w:r>
          </w:p>
        </w:tc>
        <w:tc>
          <w:tcPr>
            <w:tcW w:w="1587" w:type="dxa"/>
            <w:vAlign w:val="center"/>
          </w:tcPr>
          <w:p w14:paraId="3280E2E8" w14:textId="40CCE050" w:rsidR="0031169F" w:rsidRPr="006965A1" w:rsidRDefault="00044B38" w:rsidP="006965A1">
            <w:pPr>
              <w:jc w:val="center"/>
              <w:rPr>
                <w:sz w:val="20"/>
                <w:szCs w:val="20"/>
                <w:lang w:eastAsia="cs-CZ"/>
              </w:rPr>
            </w:pPr>
            <w:r>
              <w:rPr>
                <w:sz w:val="20"/>
                <w:szCs w:val="20"/>
                <w:lang w:eastAsia="cs-CZ"/>
              </w:rPr>
              <w:t>P</w:t>
            </w:r>
            <w:r w:rsidR="0031169F" w:rsidRPr="006965A1">
              <w:rPr>
                <w:sz w:val="20"/>
                <w:szCs w:val="20"/>
                <w:lang w:eastAsia="cs-CZ"/>
              </w:rPr>
              <w:t>lněné</w:t>
            </w:r>
          </w:p>
        </w:tc>
      </w:tr>
      <w:tr w:rsidR="0031169F" w:rsidRPr="006965A1" w14:paraId="241D7E8A" w14:textId="77777777" w:rsidTr="000B06C3">
        <w:trPr>
          <w:cantSplit/>
          <w:trHeight w:val="283"/>
          <w:jc w:val="center"/>
        </w:trPr>
        <w:tc>
          <w:tcPr>
            <w:tcW w:w="624" w:type="dxa"/>
            <w:shd w:val="clear" w:color="auto" w:fill="auto"/>
            <w:vAlign w:val="center"/>
          </w:tcPr>
          <w:p w14:paraId="75A4540C" w14:textId="77777777" w:rsidR="0031169F" w:rsidRPr="006965A1" w:rsidRDefault="0031169F" w:rsidP="006965A1">
            <w:pPr>
              <w:jc w:val="center"/>
              <w:rPr>
                <w:sz w:val="20"/>
                <w:szCs w:val="20"/>
                <w:lang w:eastAsia="cs-CZ"/>
              </w:rPr>
            </w:pPr>
            <w:r w:rsidRPr="006965A1">
              <w:rPr>
                <w:sz w:val="20"/>
                <w:szCs w:val="20"/>
                <w:lang w:eastAsia="cs-CZ"/>
              </w:rPr>
              <w:t xml:space="preserve">1.3 </w:t>
            </w:r>
          </w:p>
        </w:tc>
        <w:tc>
          <w:tcPr>
            <w:tcW w:w="3345" w:type="dxa"/>
            <w:vAlign w:val="center"/>
          </w:tcPr>
          <w:p w14:paraId="3C394998" w14:textId="45F72ECF" w:rsidR="0031169F" w:rsidRPr="006965A1" w:rsidRDefault="0031169F" w:rsidP="006965A1">
            <w:pPr>
              <w:keepNext/>
              <w:jc w:val="left"/>
              <w:rPr>
                <w:bCs/>
                <w:sz w:val="20"/>
                <w:szCs w:val="20"/>
                <w:lang w:eastAsia="cs-CZ"/>
              </w:rPr>
            </w:pPr>
            <w:r w:rsidRPr="006965A1">
              <w:rPr>
                <w:bCs/>
                <w:sz w:val="20"/>
                <w:szCs w:val="20"/>
                <w:lang w:eastAsia="cs-CZ"/>
              </w:rPr>
              <w:t>Cíle NSRB 2024 promítat do tematicky souvisejících politik, strategií a</w:t>
            </w:r>
            <w:r w:rsidR="000B06C3">
              <w:rPr>
                <w:bCs/>
                <w:sz w:val="20"/>
                <w:szCs w:val="20"/>
                <w:lang w:eastAsia="cs-CZ"/>
              </w:rPr>
              <w:t> </w:t>
            </w:r>
            <w:r w:rsidRPr="006965A1">
              <w:rPr>
                <w:bCs/>
                <w:sz w:val="20"/>
                <w:szCs w:val="20"/>
                <w:lang w:eastAsia="cs-CZ"/>
              </w:rPr>
              <w:t>koncepcí</w:t>
            </w:r>
          </w:p>
        </w:tc>
        <w:tc>
          <w:tcPr>
            <w:tcW w:w="1418" w:type="dxa"/>
            <w:vAlign w:val="center"/>
          </w:tcPr>
          <w:p w14:paraId="7CC92228" w14:textId="77777777" w:rsidR="0031169F" w:rsidRPr="006965A1" w:rsidRDefault="0031169F" w:rsidP="006965A1">
            <w:pPr>
              <w:jc w:val="center"/>
              <w:rPr>
                <w:sz w:val="20"/>
                <w:szCs w:val="20"/>
                <w:lang w:eastAsia="cs-CZ"/>
              </w:rPr>
            </w:pPr>
            <w:r w:rsidRPr="006965A1">
              <w:rPr>
                <w:sz w:val="20"/>
                <w:szCs w:val="20"/>
                <w:lang w:eastAsia="cs-CZ"/>
              </w:rPr>
              <w:t xml:space="preserve">MPO, MŽP, </w:t>
            </w:r>
            <w:proofErr w:type="spellStart"/>
            <w:r w:rsidRPr="006965A1">
              <w:rPr>
                <w:sz w:val="20"/>
                <w:szCs w:val="20"/>
                <w:lang w:eastAsia="cs-CZ"/>
              </w:rPr>
              <w:t>MZe</w:t>
            </w:r>
            <w:proofErr w:type="spellEnd"/>
            <w:r w:rsidRPr="006965A1">
              <w:rPr>
                <w:sz w:val="20"/>
                <w:szCs w:val="20"/>
                <w:lang w:eastAsia="cs-CZ"/>
              </w:rPr>
              <w:t xml:space="preserve">, MMR, Agentura </w:t>
            </w:r>
            <w:proofErr w:type="spellStart"/>
            <w:r w:rsidRPr="006965A1">
              <w:rPr>
                <w:sz w:val="20"/>
                <w:szCs w:val="20"/>
                <w:lang w:eastAsia="cs-CZ"/>
              </w:rPr>
              <w:t>CzechInvest</w:t>
            </w:r>
            <w:proofErr w:type="spellEnd"/>
          </w:p>
        </w:tc>
        <w:tc>
          <w:tcPr>
            <w:tcW w:w="1134" w:type="dxa"/>
            <w:shd w:val="clear" w:color="auto" w:fill="auto"/>
            <w:vAlign w:val="center"/>
          </w:tcPr>
          <w:p w14:paraId="4B3065D8" w14:textId="0EC6243F" w:rsidR="0031169F" w:rsidRPr="006965A1" w:rsidRDefault="00044B38" w:rsidP="006965A1">
            <w:pPr>
              <w:jc w:val="center"/>
              <w:rPr>
                <w:sz w:val="20"/>
                <w:szCs w:val="20"/>
                <w:lang w:eastAsia="cs-CZ"/>
              </w:rPr>
            </w:pPr>
            <w:r>
              <w:rPr>
                <w:sz w:val="20"/>
                <w:szCs w:val="20"/>
                <w:lang w:eastAsia="cs-CZ"/>
              </w:rPr>
              <w:t>P</w:t>
            </w:r>
            <w:r w:rsidR="0031169F" w:rsidRPr="006965A1">
              <w:rPr>
                <w:sz w:val="20"/>
                <w:szCs w:val="20"/>
                <w:lang w:eastAsia="cs-CZ"/>
              </w:rPr>
              <w:t>růběžně</w:t>
            </w:r>
          </w:p>
        </w:tc>
        <w:tc>
          <w:tcPr>
            <w:tcW w:w="1361" w:type="dxa"/>
            <w:vAlign w:val="center"/>
          </w:tcPr>
          <w:p w14:paraId="1ABFFF7D" w14:textId="62694DCA" w:rsidR="0031169F" w:rsidRPr="006965A1" w:rsidRDefault="00044B38" w:rsidP="006965A1">
            <w:pPr>
              <w:jc w:val="center"/>
              <w:rPr>
                <w:sz w:val="20"/>
                <w:szCs w:val="20"/>
                <w:lang w:eastAsia="cs-CZ"/>
              </w:rPr>
            </w:pPr>
            <w:r>
              <w:rPr>
                <w:sz w:val="20"/>
                <w:szCs w:val="20"/>
                <w:lang w:eastAsia="cs-CZ"/>
              </w:rPr>
              <w:t>P</w:t>
            </w:r>
            <w:r w:rsidR="0031169F" w:rsidRPr="006965A1">
              <w:rPr>
                <w:sz w:val="20"/>
                <w:szCs w:val="20"/>
                <w:lang w:eastAsia="cs-CZ"/>
              </w:rPr>
              <w:t>lněné</w:t>
            </w:r>
          </w:p>
        </w:tc>
        <w:tc>
          <w:tcPr>
            <w:tcW w:w="1587" w:type="dxa"/>
            <w:vAlign w:val="center"/>
          </w:tcPr>
          <w:p w14:paraId="52B92717" w14:textId="7CDA3477" w:rsidR="0031169F" w:rsidRPr="006965A1" w:rsidRDefault="00044B38" w:rsidP="006965A1">
            <w:pPr>
              <w:jc w:val="center"/>
              <w:rPr>
                <w:sz w:val="20"/>
                <w:szCs w:val="20"/>
                <w:lang w:val="en-GB" w:eastAsia="cs-CZ"/>
              </w:rPr>
            </w:pPr>
            <w:r>
              <w:rPr>
                <w:sz w:val="20"/>
                <w:szCs w:val="20"/>
                <w:lang w:eastAsia="cs-CZ"/>
              </w:rPr>
              <w:t>N</w:t>
            </w:r>
            <w:r w:rsidR="0031169F" w:rsidRPr="006965A1">
              <w:rPr>
                <w:sz w:val="20"/>
                <w:szCs w:val="20"/>
                <w:lang w:eastAsia="cs-CZ"/>
              </w:rPr>
              <w:t>ehodnoceno</w:t>
            </w:r>
            <w:r w:rsidR="0031169F" w:rsidRPr="006965A1">
              <w:rPr>
                <w:sz w:val="20"/>
                <w:szCs w:val="20"/>
                <w:lang w:val="en-GB" w:eastAsia="cs-CZ"/>
              </w:rPr>
              <w:t>*</w:t>
            </w:r>
          </w:p>
        </w:tc>
      </w:tr>
      <w:tr w:rsidR="0031169F" w:rsidRPr="006965A1" w14:paraId="3F2394F9" w14:textId="77777777" w:rsidTr="000B06C3">
        <w:trPr>
          <w:cantSplit/>
          <w:trHeight w:val="283"/>
          <w:jc w:val="center"/>
        </w:trPr>
        <w:tc>
          <w:tcPr>
            <w:tcW w:w="624" w:type="dxa"/>
            <w:shd w:val="clear" w:color="auto" w:fill="auto"/>
            <w:vAlign w:val="center"/>
          </w:tcPr>
          <w:p w14:paraId="1A8C3E2A" w14:textId="77777777" w:rsidR="0031169F" w:rsidRPr="006965A1" w:rsidRDefault="0031169F" w:rsidP="006965A1">
            <w:pPr>
              <w:jc w:val="center"/>
              <w:rPr>
                <w:sz w:val="20"/>
                <w:szCs w:val="20"/>
                <w:lang w:eastAsia="cs-CZ"/>
              </w:rPr>
            </w:pPr>
            <w:r w:rsidRPr="006965A1">
              <w:rPr>
                <w:sz w:val="20"/>
                <w:szCs w:val="20"/>
                <w:lang w:eastAsia="cs-CZ"/>
              </w:rPr>
              <w:t>2.1</w:t>
            </w:r>
          </w:p>
        </w:tc>
        <w:tc>
          <w:tcPr>
            <w:tcW w:w="3345" w:type="dxa"/>
            <w:vAlign w:val="center"/>
          </w:tcPr>
          <w:p w14:paraId="1139966B" w14:textId="5A1BC39F" w:rsidR="0031169F" w:rsidRPr="006965A1" w:rsidRDefault="0031169F" w:rsidP="006965A1">
            <w:pPr>
              <w:keepNext/>
              <w:jc w:val="left"/>
              <w:rPr>
                <w:bCs/>
                <w:sz w:val="20"/>
                <w:szCs w:val="20"/>
                <w:lang w:eastAsia="cs-CZ"/>
              </w:rPr>
            </w:pPr>
            <w:r w:rsidRPr="006965A1">
              <w:rPr>
                <w:bCs/>
                <w:sz w:val="20"/>
                <w:szCs w:val="20"/>
                <w:lang w:eastAsia="cs-CZ"/>
              </w:rPr>
              <w:t xml:space="preserve">Nové podnikatelské nemovitosti směřovat na plochy </w:t>
            </w:r>
            <w:proofErr w:type="spellStart"/>
            <w:r w:rsidRPr="006965A1">
              <w:rPr>
                <w:bCs/>
                <w:sz w:val="20"/>
                <w:szCs w:val="20"/>
                <w:lang w:eastAsia="cs-CZ"/>
              </w:rPr>
              <w:t>brownfieldů</w:t>
            </w:r>
            <w:proofErr w:type="spellEnd"/>
          </w:p>
        </w:tc>
        <w:tc>
          <w:tcPr>
            <w:tcW w:w="1418" w:type="dxa"/>
            <w:vAlign w:val="center"/>
          </w:tcPr>
          <w:p w14:paraId="694C5372" w14:textId="77777777" w:rsidR="0031169F" w:rsidRPr="006965A1" w:rsidRDefault="0031169F" w:rsidP="006965A1">
            <w:pPr>
              <w:jc w:val="center"/>
              <w:rPr>
                <w:sz w:val="20"/>
                <w:szCs w:val="20"/>
                <w:lang w:eastAsia="cs-CZ"/>
              </w:rPr>
            </w:pPr>
            <w:r w:rsidRPr="006965A1">
              <w:rPr>
                <w:sz w:val="20"/>
                <w:szCs w:val="20"/>
                <w:lang w:eastAsia="cs-CZ"/>
              </w:rPr>
              <w:t>MPO/ Agentura CzechInvest</w:t>
            </w:r>
          </w:p>
        </w:tc>
        <w:tc>
          <w:tcPr>
            <w:tcW w:w="1134" w:type="dxa"/>
            <w:shd w:val="clear" w:color="auto" w:fill="auto"/>
            <w:vAlign w:val="center"/>
          </w:tcPr>
          <w:p w14:paraId="302A2EAE" w14:textId="762C977B" w:rsidR="0031169F" w:rsidRPr="006965A1" w:rsidRDefault="00044B38" w:rsidP="006965A1">
            <w:pPr>
              <w:jc w:val="center"/>
              <w:rPr>
                <w:sz w:val="20"/>
                <w:szCs w:val="20"/>
                <w:lang w:eastAsia="cs-CZ"/>
              </w:rPr>
            </w:pPr>
            <w:r>
              <w:rPr>
                <w:sz w:val="20"/>
                <w:szCs w:val="20"/>
                <w:lang w:eastAsia="cs-CZ"/>
              </w:rPr>
              <w:t>P</w:t>
            </w:r>
            <w:r w:rsidR="0031169F" w:rsidRPr="006965A1">
              <w:rPr>
                <w:sz w:val="20"/>
                <w:szCs w:val="20"/>
                <w:lang w:eastAsia="cs-CZ"/>
              </w:rPr>
              <w:t>růběžně</w:t>
            </w:r>
          </w:p>
        </w:tc>
        <w:tc>
          <w:tcPr>
            <w:tcW w:w="1361" w:type="dxa"/>
            <w:vAlign w:val="center"/>
          </w:tcPr>
          <w:p w14:paraId="5D4DA320" w14:textId="27BC3907" w:rsidR="0031169F" w:rsidRPr="006965A1" w:rsidRDefault="00044B38" w:rsidP="006965A1">
            <w:pPr>
              <w:jc w:val="center"/>
              <w:rPr>
                <w:sz w:val="20"/>
                <w:szCs w:val="20"/>
                <w:lang w:eastAsia="cs-CZ"/>
              </w:rPr>
            </w:pPr>
            <w:r>
              <w:rPr>
                <w:sz w:val="20"/>
                <w:szCs w:val="20"/>
                <w:lang w:eastAsia="cs-CZ"/>
              </w:rPr>
              <w:t>Č</w:t>
            </w:r>
            <w:r w:rsidR="0031169F" w:rsidRPr="006965A1">
              <w:rPr>
                <w:sz w:val="20"/>
                <w:szCs w:val="20"/>
                <w:lang w:eastAsia="cs-CZ"/>
              </w:rPr>
              <w:t>ástečně</w:t>
            </w:r>
          </w:p>
        </w:tc>
        <w:tc>
          <w:tcPr>
            <w:tcW w:w="1587" w:type="dxa"/>
            <w:vAlign w:val="center"/>
          </w:tcPr>
          <w:p w14:paraId="0677DB45" w14:textId="7AE49862" w:rsidR="0031169F" w:rsidRPr="006965A1" w:rsidRDefault="00044B38" w:rsidP="006965A1">
            <w:pPr>
              <w:jc w:val="center"/>
              <w:rPr>
                <w:sz w:val="20"/>
                <w:szCs w:val="20"/>
                <w:lang w:eastAsia="cs-CZ"/>
              </w:rPr>
            </w:pPr>
            <w:r>
              <w:rPr>
                <w:sz w:val="20"/>
                <w:szCs w:val="20"/>
                <w:lang w:eastAsia="cs-CZ"/>
              </w:rPr>
              <w:t>P</w:t>
            </w:r>
            <w:r w:rsidR="0031169F" w:rsidRPr="006965A1">
              <w:rPr>
                <w:sz w:val="20"/>
                <w:szCs w:val="20"/>
                <w:lang w:eastAsia="cs-CZ"/>
              </w:rPr>
              <w:t>lněné</w:t>
            </w:r>
          </w:p>
        </w:tc>
      </w:tr>
      <w:tr w:rsidR="0031169F" w:rsidRPr="006965A1" w14:paraId="2A017680" w14:textId="77777777" w:rsidTr="000B06C3">
        <w:trPr>
          <w:cantSplit/>
          <w:trHeight w:val="283"/>
          <w:jc w:val="center"/>
        </w:trPr>
        <w:tc>
          <w:tcPr>
            <w:tcW w:w="624" w:type="dxa"/>
            <w:shd w:val="clear" w:color="auto" w:fill="auto"/>
            <w:vAlign w:val="center"/>
          </w:tcPr>
          <w:p w14:paraId="5316E30E" w14:textId="77777777" w:rsidR="0031169F" w:rsidRPr="006965A1" w:rsidRDefault="0031169F" w:rsidP="006965A1">
            <w:pPr>
              <w:jc w:val="center"/>
              <w:rPr>
                <w:sz w:val="20"/>
                <w:szCs w:val="20"/>
                <w:lang w:eastAsia="cs-CZ"/>
              </w:rPr>
            </w:pPr>
            <w:r w:rsidRPr="006965A1">
              <w:rPr>
                <w:sz w:val="20"/>
                <w:szCs w:val="20"/>
                <w:lang w:eastAsia="cs-CZ"/>
              </w:rPr>
              <w:t>2.4</w:t>
            </w:r>
          </w:p>
        </w:tc>
        <w:tc>
          <w:tcPr>
            <w:tcW w:w="3345" w:type="dxa"/>
            <w:vAlign w:val="center"/>
          </w:tcPr>
          <w:p w14:paraId="30117EAE" w14:textId="7652A24A" w:rsidR="0031169F" w:rsidRPr="006965A1" w:rsidRDefault="0031169F" w:rsidP="006965A1">
            <w:pPr>
              <w:keepNext/>
              <w:jc w:val="left"/>
              <w:rPr>
                <w:bCs/>
                <w:sz w:val="20"/>
                <w:szCs w:val="20"/>
                <w:lang w:eastAsia="cs-CZ"/>
              </w:rPr>
            </w:pPr>
            <w:r w:rsidRPr="006965A1">
              <w:rPr>
                <w:bCs/>
                <w:sz w:val="20"/>
                <w:szCs w:val="20"/>
                <w:lang w:eastAsia="cs-CZ"/>
              </w:rPr>
              <w:t>Podporovat využití finančních nástrojů pro regeneraci brownfieldů prostřednictvím Českomoravské záruční a rozvojové banky, a.s.</w:t>
            </w:r>
            <w:r w:rsidR="00044B38">
              <w:rPr>
                <w:bCs/>
                <w:sz w:val="20"/>
                <w:szCs w:val="20"/>
                <w:lang w:eastAsia="cs-CZ"/>
              </w:rPr>
              <w:t>,</w:t>
            </w:r>
            <w:r w:rsidRPr="006965A1">
              <w:rPr>
                <w:bCs/>
                <w:sz w:val="20"/>
                <w:szCs w:val="20"/>
                <w:lang w:eastAsia="cs-CZ"/>
              </w:rPr>
              <w:t xml:space="preserve"> včetně analýzy možných řešení</w:t>
            </w:r>
          </w:p>
        </w:tc>
        <w:tc>
          <w:tcPr>
            <w:tcW w:w="1418" w:type="dxa"/>
            <w:vAlign w:val="center"/>
          </w:tcPr>
          <w:p w14:paraId="2A35B6F3" w14:textId="77777777" w:rsidR="0031169F" w:rsidRPr="006965A1" w:rsidRDefault="0031169F" w:rsidP="006965A1">
            <w:pPr>
              <w:jc w:val="center"/>
              <w:rPr>
                <w:sz w:val="20"/>
                <w:szCs w:val="20"/>
                <w:lang w:eastAsia="cs-CZ"/>
              </w:rPr>
            </w:pPr>
            <w:r w:rsidRPr="006965A1">
              <w:rPr>
                <w:sz w:val="20"/>
                <w:szCs w:val="20"/>
                <w:lang w:eastAsia="cs-CZ"/>
              </w:rPr>
              <w:t>MPO, ČMRZB</w:t>
            </w:r>
          </w:p>
        </w:tc>
        <w:tc>
          <w:tcPr>
            <w:tcW w:w="1134" w:type="dxa"/>
            <w:shd w:val="clear" w:color="auto" w:fill="auto"/>
            <w:vAlign w:val="center"/>
          </w:tcPr>
          <w:p w14:paraId="69B844AB" w14:textId="77777777" w:rsidR="0031169F" w:rsidRPr="006965A1" w:rsidRDefault="0031169F" w:rsidP="006965A1">
            <w:pPr>
              <w:jc w:val="center"/>
              <w:rPr>
                <w:sz w:val="20"/>
                <w:szCs w:val="20"/>
                <w:lang w:eastAsia="cs-CZ"/>
              </w:rPr>
            </w:pPr>
            <w:r w:rsidRPr="006965A1">
              <w:rPr>
                <w:sz w:val="20"/>
                <w:szCs w:val="20"/>
                <w:lang w:eastAsia="cs-CZ"/>
              </w:rPr>
              <w:t>2019</w:t>
            </w:r>
          </w:p>
        </w:tc>
        <w:tc>
          <w:tcPr>
            <w:tcW w:w="1361" w:type="dxa"/>
            <w:vAlign w:val="center"/>
          </w:tcPr>
          <w:p w14:paraId="5D2F3D65" w14:textId="2EB6D573" w:rsidR="0031169F" w:rsidRPr="006965A1" w:rsidRDefault="006633EC" w:rsidP="006965A1">
            <w:pPr>
              <w:jc w:val="center"/>
              <w:rPr>
                <w:sz w:val="20"/>
                <w:szCs w:val="20"/>
                <w:lang w:eastAsia="cs-CZ"/>
              </w:rPr>
            </w:pPr>
            <w:r>
              <w:rPr>
                <w:sz w:val="20"/>
                <w:szCs w:val="20"/>
                <w:lang w:eastAsia="cs-CZ"/>
              </w:rPr>
              <w:t>S</w:t>
            </w:r>
            <w:r w:rsidR="0031169F" w:rsidRPr="006965A1">
              <w:rPr>
                <w:sz w:val="20"/>
                <w:szCs w:val="20"/>
                <w:lang w:eastAsia="cs-CZ"/>
              </w:rPr>
              <w:t>plněno</w:t>
            </w:r>
          </w:p>
        </w:tc>
        <w:tc>
          <w:tcPr>
            <w:tcW w:w="1587" w:type="dxa"/>
            <w:vAlign w:val="center"/>
          </w:tcPr>
          <w:p w14:paraId="78532D65" w14:textId="77777777" w:rsidR="0031169F" w:rsidRPr="006965A1" w:rsidRDefault="0031169F" w:rsidP="006965A1">
            <w:pPr>
              <w:jc w:val="center"/>
              <w:rPr>
                <w:sz w:val="20"/>
                <w:szCs w:val="20"/>
                <w:lang w:eastAsia="cs-CZ"/>
              </w:rPr>
            </w:pPr>
            <w:r w:rsidRPr="006965A1">
              <w:rPr>
                <w:sz w:val="20"/>
                <w:szCs w:val="20"/>
                <w:lang w:eastAsia="cs-CZ"/>
              </w:rPr>
              <w:t>x</w:t>
            </w:r>
          </w:p>
        </w:tc>
      </w:tr>
      <w:tr w:rsidR="0031169F" w:rsidRPr="006965A1" w14:paraId="3F771FE2" w14:textId="77777777" w:rsidTr="000B06C3">
        <w:trPr>
          <w:cantSplit/>
          <w:trHeight w:val="283"/>
          <w:jc w:val="center"/>
        </w:trPr>
        <w:tc>
          <w:tcPr>
            <w:tcW w:w="624" w:type="dxa"/>
            <w:tcBorders>
              <w:bottom w:val="single" w:sz="4" w:space="0" w:color="auto"/>
            </w:tcBorders>
            <w:shd w:val="clear" w:color="auto" w:fill="auto"/>
            <w:vAlign w:val="center"/>
          </w:tcPr>
          <w:p w14:paraId="152BDB41" w14:textId="77777777" w:rsidR="0031169F" w:rsidRPr="006965A1" w:rsidRDefault="0031169F" w:rsidP="006965A1">
            <w:pPr>
              <w:jc w:val="center"/>
              <w:rPr>
                <w:sz w:val="20"/>
                <w:szCs w:val="20"/>
                <w:lang w:eastAsia="cs-CZ"/>
              </w:rPr>
            </w:pPr>
            <w:r w:rsidRPr="006965A1">
              <w:rPr>
                <w:sz w:val="20"/>
                <w:szCs w:val="20"/>
                <w:lang w:eastAsia="cs-CZ"/>
              </w:rPr>
              <w:t>2.5</w:t>
            </w:r>
          </w:p>
        </w:tc>
        <w:tc>
          <w:tcPr>
            <w:tcW w:w="3345" w:type="dxa"/>
            <w:tcBorders>
              <w:bottom w:val="single" w:sz="4" w:space="0" w:color="auto"/>
            </w:tcBorders>
            <w:vAlign w:val="center"/>
          </w:tcPr>
          <w:p w14:paraId="4E86FC6B" w14:textId="37275B58" w:rsidR="0031169F" w:rsidRPr="006965A1" w:rsidRDefault="0031169F" w:rsidP="006965A1">
            <w:pPr>
              <w:keepNext/>
              <w:jc w:val="left"/>
              <w:rPr>
                <w:bCs/>
                <w:sz w:val="20"/>
                <w:szCs w:val="20"/>
                <w:lang w:eastAsia="cs-CZ"/>
              </w:rPr>
            </w:pPr>
            <w:r w:rsidRPr="006965A1">
              <w:rPr>
                <w:bCs/>
                <w:sz w:val="20"/>
                <w:szCs w:val="20"/>
                <w:lang w:eastAsia="cs-CZ"/>
              </w:rPr>
              <w:t>Monitorovat využívání dotačních prostředků pro regenerace</w:t>
            </w:r>
          </w:p>
        </w:tc>
        <w:tc>
          <w:tcPr>
            <w:tcW w:w="1418" w:type="dxa"/>
            <w:tcBorders>
              <w:bottom w:val="single" w:sz="4" w:space="0" w:color="auto"/>
            </w:tcBorders>
            <w:vAlign w:val="center"/>
          </w:tcPr>
          <w:p w14:paraId="2B8E6A5E" w14:textId="77777777" w:rsidR="0031169F" w:rsidRPr="006965A1" w:rsidRDefault="0031169F" w:rsidP="006965A1">
            <w:pPr>
              <w:jc w:val="center"/>
              <w:rPr>
                <w:sz w:val="20"/>
                <w:szCs w:val="20"/>
                <w:lang w:eastAsia="cs-CZ"/>
              </w:rPr>
            </w:pPr>
            <w:r w:rsidRPr="006965A1">
              <w:rPr>
                <w:sz w:val="20"/>
                <w:szCs w:val="20"/>
                <w:lang w:eastAsia="cs-CZ"/>
              </w:rPr>
              <w:t>MPO, Agentura CzechInvest</w:t>
            </w:r>
          </w:p>
        </w:tc>
        <w:tc>
          <w:tcPr>
            <w:tcW w:w="1134" w:type="dxa"/>
            <w:tcBorders>
              <w:bottom w:val="single" w:sz="4" w:space="0" w:color="auto"/>
            </w:tcBorders>
            <w:shd w:val="clear" w:color="auto" w:fill="auto"/>
            <w:vAlign w:val="center"/>
          </w:tcPr>
          <w:p w14:paraId="1193554B" w14:textId="7BE80C24"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růběžně</w:t>
            </w:r>
          </w:p>
        </w:tc>
        <w:tc>
          <w:tcPr>
            <w:tcW w:w="1361" w:type="dxa"/>
            <w:tcBorders>
              <w:bottom w:val="single" w:sz="4" w:space="0" w:color="auto"/>
            </w:tcBorders>
            <w:vAlign w:val="center"/>
          </w:tcPr>
          <w:p w14:paraId="5C3BDA1D" w14:textId="1026C4BB"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lněné</w:t>
            </w:r>
          </w:p>
        </w:tc>
        <w:tc>
          <w:tcPr>
            <w:tcW w:w="1587" w:type="dxa"/>
            <w:tcBorders>
              <w:bottom w:val="single" w:sz="4" w:space="0" w:color="auto"/>
            </w:tcBorders>
            <w:vAlign w:val="center"/>
          </w:tcPr>
          <w:p w14:paraId="7F2B6964" w14:textId="3A55F2F4"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lněno</w:t>
            </w:r>
          </w:p>
        </w:tc>
      </w:tr>
      <w:tr w:rsidR="0031169F" w:rsidRPr="006965A1" w14:paraId="65CAC968" w14:textId="77777777" w:rsidTr="000B06C3">
        <w:trPr>
          <w:cantSplit/>
          <w:trHeight w:val="283"/>
          <w:jc w:val="center"/>
        </w:trPr>
        <w:tc>
          <w:tcPr>
            <w:tcW w:w="624" w:type="dxa"/>
            <w:tcBorders>
              <w:bottom w:val="single" w:sz="4" w:space="0" w:color="auto"/>
            </w:tcBorders>
            <w:shd w:val="clear" w:color="auto" w:fill="auto"/>
            <w:vAlign w:val="center"/>
          </w:tcPr>
          <w:p w14:paraId="580EF2FF" w14:textId="77777777" w:rsidR="0031169F" w:rsidRPr="006965A1" w:rsidRDefault="0031169F" w:rsidP="006965A1">
            <w:pPr>
              <w:jc w:val="center"/>
              <w:rPr>
                <w:sz w:val="20"/>
                <w:szCs w:val="20"/>
                <w:lang w:eastAsia="cs-CZ"/>
              </w:rPr>
            </w:pPr>
            <w:r w:rsidRPr="006965A1">
              <w:rPr>
                <w:sz w:val="20"/>
                <w:szCs w:val="20"/>
                <w:lang w:eastAsia="cs-CZ"/>
              </w:rPr>
              <w:t>3.1</w:t>
            </w:r>
          </w:p>
        </w:tc>
        <w:tc>
          <w:tcPr>
            <w:tcW w:w="3345" w:type="dxa"/>
            <w:tcBorders>
              <w:bottom w:val="single" w:sz="4" w:space="0" w:color="auto"/>
            </w:tcBorders>
            <w:vAlign w:val="center"/>
          </w:tcPr>
          <w:p w14:paraId="508D0EEE" w14:textId="0E565D40" w:rsidR="0031169F" w:rsidRPr="006965A1" w:rsidRDefault="0031169F" w:rsidP="006965A1">
            <w:pPr>
              <w:keepNext/>
              <w:jc w:val="left"/>
              <w:rPr>
                <w:bCs/>
                <w:sz w:val="20"/>
                <w:szCs w:val="20"/>
                <w:lang w:eastAsia="cs-CZ"/>
              </w:rPr>
            </w:pPr>
            <w:r w:rsidRPr="006965A1">
              <w:rPr>
                <w:bCs/>
                <w:sz w:val="20"/>
                <w:szCs w:val="20"/>
                <w:lang w:eastAsia="cs-CZ"/>
              </w:rPr>
              <w:t xml:space="preserve">Provedení celkové studie „Analýza brownfieldů v ČR“ včetně ověření možností jejich regenerace a návrhů motivačních nástrojů </w:t>
            </w:r>
          </w:p>
        </w:tc>
        <w:tc>
          <w:tcPr>
            <w:tcW w:w="1418" w:type="dxa"/>
            <w:tcBorders>
              <w:bottom w:val="single" w:sz="4" w:space="0" w:color="auto"/>
            </w:tcBorders>
            <w:vAlign w:val="center"/>
          </w:tcPr>
          <w:p w14:paraId="4E82A8B0" w14:textId="77777777" w:rsidR="0031169F" w:rsidRPr="006965A1" w:rsidRDefault="0031169F" w:rsidP="006965A1">
            <w:pPr>
              <w:jc w:val="center"/>
              <w:rPr>
                <w:sz w:val="20"/>
                <w:szCs w:val="20"/>
                <w:lang w:eastAsia="cs-CZ"/>
              </w:rPr>
            </w:pPr>
            <w:r w:rsidRPr="006965A1">
              <w:rPr>
                <w:sz w:val="20"/>
                <w:szCs w:val="20"/>
                <w:lang w:eastAsia="cs-CZ"/>
              </w:rPr>
              <w:t>MPO, Agentura CzechInvest</w:t>
            </w:r>
          </w:p>
        </w:tc>
        <w:tc>
          <w:tcPr>
            <w:tcW w:w="1134" w:type="dxa"/>
            <w:tcBorders>
              <w:bottom w:val="single" w:sz="4" w:space="0" w:color="auto"/>
            </w:tcBorders>
            <w:shd w:val="clear" w:color="auto" w:fill="auto"/>
            <w:vAlign w:val="center"/>
          </w:tcPr>
          <w:p w14:paraId="058E34D1" w14:textId="77777777" w:rsidR="0031169F" w:rsidRPr="006965A1" w:rsidRDefault="0031169F" w:rsidP="006965A1">
            <w:pPr>
              <w:jc w:val="center"/>
              <w:rPr>
                <w:sz w:val="20"/>
                <w:szCs w:val="20"/>
                <w:lang w:eastAsia="cs-CZ"/>
              </w:rPr>
            </w:pPr>
            <w:r w:rsidRPr="006965A1">
              <w:rPr>
                <w:sz w:val="20"/>
                <w:szCs w:val="20"/>
                <w:lang w:eastAsia="cs-CZ"/>
              </w:rPr>
              <w:t>2020</w:t>
            </w:r>
          </w:p>
        </w:tc>
        <w:tc>
          <w:tcPr>
            <w:tcW w:w="1361" w:type="dxa"/>
            <w:tcBorders>
              <w:bottom w:val="single" w:sz="4" w:space="0" w:color="auto"/>
            </w:tcBorders>
            <w:vAlign w:val="center"/>
          </w:tcPr>
          <w:p w14:paraId="3B8CF757" w14:textId="2244153A" w:rsidR="0031169F" w:rsidRPr="006965A1" w:rsidRDefault="006633EC" w:rsidP="006965A1">
            <w:pPr>
              <w:jc w:val="center"/>
              <w:rPr>
                <w:sz w:val="20"/>
                <w:szCs w:val="20"/>
                <w:lang w:eastAsia="cs-CZ"/>
              </w:rPr>
            </w:pPr>
            <w:r>
              <w:rPr>
                <w:sz w:val="20"/>
                <w:szCs w:val="20"/>
                <w:lang w:eastAsia="cs-CZ"/>
              </w:rPr>
              <w:t>Č</w:t>
            </w:r>
            <w:r w:rsidR="0031169F" w:rsidRPr="006965A1">
              <w:rPr>
                <w:sz w:val="20"/>
                <w:szCs w:val="20"/>
                <w:lang w:eastAsia="cs-CZ"/>
              </w:rPr>
              <w:t>ástečně</w:t>
            </w:r>
          </w:p>
        </w:tc>
        <w:tc>
          <w:tcPr>
            <w:tcW w:w="1587" w:type="dxa"/>
            <w:tcBorders>
              <w:bottom w:val="single" w:sz="4" w:space="0" w:color="auto"/>
            </w:tcBorders>
            <w:vAlign w:val="center"/>
          </w:tcPr>
          <w:p w14:paraId="29F98E09" w14:textId="28EF15A8"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lněno</w:t>
            </w:r>
          </w:p>
        </w:tc>
      </w:tr>
      <w:tr w:rsidR="0031169F" w:rsidRPr="006965A1" w14:paraId="7DE10477" w14:textId="77777777" w:rsidTr="000B06C3">
        <w:trPr>
          <w:cantSplit/>
          <w:trHeight w:val="283"/>
          <w:jc w:val="center"/>
        </w:trPr>
        <w:tc>
          <w:tcPr>
            <w:tcW w:w="624" w:type="dxa"/>
            <w:tcBorders>
              <w:bottom w:val="single" w:sz="4" w:space="0" w:color="auto"/>
            </w:tcBorders>
            <w:shd w:val="clear" w:color="auto" w:fill="auto"/>
            <w:vAlign w:val="center"/>
          </w:tcPr>
          <w:p w14:paraId="2F9D8854" w14:textId="77777777" w:rsidR="0031169F" w:rsidRPr="006965A1" w:rsidRDefault="0031169F" w:rsidP="006965A1">
            <w:pPr>
              <w:jc w:val="center"/>
              <w:rPr>
                <w:sz w:val="20"/>
                <w:szCs w:val="20"/>
                <w:lang w:eastAsia="cs-CZ"/>
              </w:rPr>
            </w:pPr>
            <w:r w:rsidRPr="006965A1">
              <w:rPr>
                <w:sz w:val="20"/>
                <w:szCs w:val="20"/>
                <w:lang w:eastAsia="cs-CZ"/>
              </w:rPr>
              <w:t>3.3</w:t>
            </w:r>
          </w:p>
        </w:tc>
        <w:tc>
          <w:tcPr>
            <w:tcW w:w="3345" w:type="dxa"/>
            <w:tcBorders>
              <w:bottom w:val="single" w:sz="4" w:space="0" w:color="auto"/>
            </w:tcBorders>
            <w:vAlign w:val="center"/>
          </w:tcPr>
          <w:p w14:paraId="4983C76C" w14:textId="771EA1B9" w:rsidR="0031169F" w:rsidRPr="006965A1" w:rsidRDefault="0031169F" w:rsidP="006965A1">
            <w:pPr>
              <w:keepNext/>
              <w:jc w:val="left"/>
              <w:rPr>
                <w:bCs/>
                <w:sz w:val="20"/>
                <w:szCs w:val="20"/>
                <w:lang w:eastAsia="cs-CZ"/>
              </w:rPr>
            </w:pPr>
            <w:r w:rsidRPr="006965A1">
              <w:rPr>
                <w:bCs/>
                <w:sz w:val="20"/>
                <w:szCs w:val="20"/>
                <w:lang w:eastAsia="cs-CZ"/>
              </w:rPr>
              <w:t xml:space="preserve">Rozvíjet a aktualizovat Národní databázi </w:t>
            </w:r>
            <w:proofErr w:type="spellStart"/>
            <w:r w:rsidRPr="006965A1">
              <w:rPr>
                <w:bCs/>
                <w:sz w:val="20"/>
                <w:szCs w:val="20"/>
                <w:lang w:eastAsia="cs-CZ"/>
              </w:rPr>
              <w:t>brownfieldů</w:t>
            </w:r>
            <w:proofErr w:type="spellEnd"/>
          </w:p>
        </w:tc>
        <w:tc>
          <w:tcPr>
            <w:tcW w:w="1418" w:type="dxa"/>
            <w:tcBorders>
              <w:bottom w:val="single" w:sz="4" w:space="0" w:color="auto"/>
            </w:tcBorders>
            <w:vAlign w:val="center"/>
          </w:tcPr>
          <w:p w14:paraId="5F8649F5" w14:textId="77777777" w:rsidR="0031169F" w:rsidRPr="006965A1" w:rsidRDefault="0031169F" w:rsidP="006965A1">
            <w:pPr>
              <w:jc w:val="center"/>
              <w:rPr>
                <w:sz w:val="20"/>
                <w:szCs w:val="20"/>
                <w:lang w:eastAsia="cs-CZ"/>
              </w:rPr>
            </w:pPr>
            <w:r w:rsidRPr="006965A1">
              <w:rPr>
                <w:sz w:val="20"/>
                <w:szCs w:val="20"/>
                <w:lang w:eastAsia="cs-CZ"/>
              </w:rPr>
              <w:t>Agentura CzechInvest</w:t>
            </w:r>
          </w:p>
        </w:tc>
        <w:tc>
          <w:tcPr>
            <w:tcW w:w="1134" w:type="dxa"/>
            <w:tcBorders>
              <w:bottom w:val="single" w:sz="4" w:space="0" w:color="auto"/>
            </w:tcBorders>
            <w:shd w:val="clear" w:color="auto" w:fill="auto"/>
            <w:vAlign w:val="center"/>
          </w:tcPr>
          <w:p w14:paraId="3DD02009" w14:textId="3E82D978" w:rsidR="0031169F" w:rsidRPr="006965A1" w:rsidRDefault="0031169F" w:rsidP="006965A1">
            <w:pPr>
              <w:jc w:val="center"/>
              <w:rPr>
                <w:sz w:val="20"/>
                <w:szCs w:val="20"/>
                <w:lang w:eastAsia="cs-CZ"/>
              </w:rPr>
            </w:pPr>
            <w:r w:rsidRPr="006965A1">
              <w:rPr>
                <w:sz w:val="20"/>
                <w:szCs w:val="20"/>
                <w:lang w:eastAsia="cs-CZ"/>
              </w:rPr>
              <w:t>2019 a</w:t>
            </w:r>
            <w:r w:rsidR="000B06C3">
              <w:rPr>
                <w:sz w:val="20"/>
                <w:szCs w:val="20"/>
                <w:lang w:eastAsia="cs-CZ"/>
              </w:rPr>
              <w:t> </w:t>
            </w:r>
            <w:r w:rsidRPr="006965A1">
              <w:rPr>
                <w:sz w:val="20"/>
                <w:szCs w:val="20"/>
                <w:lang w:eastAsia="cs-CZ"/>
              </w:rPr>
              <w:t>dále průběžně</w:t>
            </w:r>
          </w:p>
        </w:tc>
        <w:tc>
          <w:tcPr>
            <w:tcW w:w="1361" w:type="dxa"/>
            <w:tcBorders>
              <w:bottom w:val="single" w:sz="4" w:space="0" w:color="auto"/>
            </w:tcBorders>
            <w:vAlign w:val="center"/>
          </w:tcPr>
          <w:p w14:paraId="7469BF8D" w14:textId="77777777" w:rsidR="0031169F" w:rsidRPr="006965A1" w:rsidRDefault="0031169F" w:rsidP="006965A1">
            <w:pPr>
              <w:jc w:val="center"/>
              <w:rPr>
                <w:sz w:val="20"/>
                <w:szCs w:val="20"/>
                <w:lang w:eastAsia="cs-CZ"/>
              </w:rPr>
            </w:pPr>
            <w:r w:rsidRPr="006965A1">
              <w:rPr>
                <w:sz w:val="20"/>
                <w:szCs w:val="20"/>
                <w:lang w:eastAsia="cs-CZ"/>
              </w:rPr>
              <w:t>x</w:t>
            </w:r>
          </w:p>
        </w:tc>
        <w:tc>
          <w:tcPr>
            <w:tcW w:w="1587" w:type="dxa"/>
            <w:tcBorders>
              <w:bottom w:val="single" w:sz="4" w:space="0" w:color="auto"/>
            </w:tcBorders>
            <w:vAlign w:val="center"/>
          </w:tcPr>
          <w:p w14:paraId="17E66C9A" w14:textId="6D2F3249"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lněné</w:t>
            </w:r>
          </w:p>
        </w:tc>
      </w:tr>
      <w:tr w:rsidR="0031169F" w:rsidRPr="006965A1" w14:paraId="40E7DE98" w14:textId="77777777" w:rsidTr="000B06C3">
        <w:trPr>
          <w:cantSplit/>
          <w:trHeight w:val="283"/>
          <w:jc w:val="center"/>
        </w:trPr>
        <w:tc>
          <w:tcPr>
            <w:tcW w:w="624" w:type="dxa"/>
            <w:shd w:val="clear" w:color="auto" w:fill="auto"/>
            <w:vAlign w:val="center"/>
          </w:tcPr>
          <w:p w14:paraId="3C755619" w14:textId="77777777" w:rsidR="0031169F" w:rsidRPr="006965A1" w:rsidRDefault="0031169F" w:rsidP="006965A1">
            <w:pPr>
              <w:jc w:val="center"/>
              <w:rPr>
                <w:sz w:val="20"/>
                <w:szCs w:val="20"/>
                <w:lang w:eastAsia="cs-CZ"/>
              </w:rPr>
            </w:pPr>
            <w:r w:rsidRPr="006965A1">
              <w:rPr>
                <w:sz w:val="20"/>
                <w:szCs w:val="20"/>
                <w:lang w:eastAsia="cs-CZ"/>
              </w:rPr>
              <w:t>3.4</w:t>
            </w:r>
          </w:p>
        </w:tc>
        <w:tc>
          <w:tcPr>
            <w:tcW w:w="3345" w:type="dxa"/>
            <w:vAlign w:val="center"/>
          </w:tcPr>
          <w:p w14:paraId="7C74C323" w14:textId="46A912EE" w:rsidR="0031169F" w:rsidRPr="006965A1" w:rsidRDefault="0031169F" w:rsidP="006965A1">
            <w:pPr>
              <w:keepNext/>
              <w:jc w:val="left"/>
              <w:rPr>
                <w:bCs/>
                <w:sz w:val="20"/>
                <w:szCs w:val="20"/>
                <w:lang w:eastAsia="cs-CZ"/>
              </w:rPr>
            </w:pPr>
            <w:r w:rsidRPr="006965A1">
              <w:rPr>
                <w:bCs/>
                <w:sz w:val="20"/>
                <w:szCs w:val="20"/>
                <w:lang w:eastAsia="cs-CZ"/>
              </w:rPr>
              <w:t xml:space="preserve">Prověřit veřejné registry nepotřebného majetku pro vyhledání lokalit do Národní databáze </w:t>
            </w:r>
            <w:proofErr w:type="spellStart"/>
            <w:r w:rsidRPr="006965A1">
              <w:rPr>
                <w:bCs/>
                <w:sz w:val="20"/>
                <w:szCs w:val="20"/>
                <w:lang w:eastAsia="cs-CZ"/>
              </w:rPr>
              <w:t>brownfieldů</w:t>
            </w:r>
            <w:proofErr w:type="spellEnd"/>
          </w:p>
        </w:tc>
        <w:tc>
          <w:tcPr>
            <w:tcW w:w="1418" w:type="dxa"/>
            <w:vAlign w:val="center"/>
          </w:tcPr>
          <w:p w14:paraId="266F0F8D" w14:textId="77777777" w:rsidR="0031169F" w:rsidRPr="006965A1" w:rsidRDefault="0031169F" w:rsidP="006965A1">
            <w:pPr>
              <w:jc w:val="center"/>
              <w:rPr>
                <w:sz w:val="20"/>
                <w:szCs w:val="20"/>
                <w:lang w:eastAsia="cs-CZ"/>
              </w:rPr>
            </w:pPr>
            <w:r w:rsidRPr="006965A1">
              <w:rPr>
                <w:sz w:val="20"/>
                <w:szCs w:val="20"/>
                <w:lang w:eastAsia="cs-CZ"/>
              </w:rPr>
              <w:t>Agentura CzechInvest, MPO</w:t>
            </w:r>
          </w:p>
        </w:tc>
        <w:tc>
          <w:tcPr>
            <w:tcW w:w="1134" w:type="dxa"/>
            <w:shd w:val="clear" w:color="auto" w:fill="auto"/>
            <w:vAlign w:val="center"/>
          </w:tcPr>
          <w:p w14:paraId="0DB45530" w14:textId="77777777" w:rsidR="0031169F" w:rsidRPr="006965A1" w:rsidRDefault="0031169F" w:rsidP="006965A1">
            <w:pPr>
              <w:jc w:val="center"/>
              <w:rPr>
                <w:sz w:val="20"/>
                <w:szCs w:val="20"/>
                <w:lang w:eastAsia="cs-CZ"/>
              </w:rPr>
            </w:pPr>
            <w:r w:rsidRPr="006965A1">
              <w:rPr>
                <w:sz w:val="20"/>
                <w:szCs w:val="20"/>
                <w:lang w:eastAsia="cs-CZ"/>
              </w:rPr>
              <w:t>2019</w:t>
            </w:r>
          </w:p>
        </w:tc>
        <w:tc>
          <w:tcPr>
            <w:tcW w:w="1361" w:type="dxa"/>
            <w:vAlign w:val="center"/>
          </w:tcPr>
          <w:p w14:paraId="5A34D86B" w14:textId="5F480A67" w:rsidR="0031169F" w:rsidRPr="006965A1" w:rsidRDefault="006633EC" w:rsidP="006965A1">
            <w:pPr>
              <w:jc w:val="center"/>
              <w:rPr>
                <w:sz w:val="20"/>
                <w:szCs w:val="20"/>
                <w:lang w:eastAsia="cs-CZ"/>
              </w:rPr>
            </w:pPr>
            <w:r>
              <w:rPr>
                <w:sz w:val="20"/>
                <w:szCs w:val="20"/>
                <w:lang w:eastAsia="cs-CZ"/>
              </w:rPr>
              <w:t>Č</w:t>
            </w:r>
            <w:r w:rsidR="0031169F" w:rsidRPr="006965A1">
              <w:rPr>
                <w:sz w:val="20"/>
                <w:szCs w:val="20"/>
                <w:lang w:eastAsia="cs-CZ"/>
              </w:rPr>
              <w:t>ástečně</w:t>
            </w:r>
          </w:p>
        </w:tc>
        <w:tc>
          <w:tcPr>
            <w:tcW w:w="1587" w:type="dxa"/>
            <w:vAlign w:val="center"/>
          </w:tcPr>
          <w:p w14:paraId="385F73BD" w14:textId="69C3F85E" w:rsidR="0031169F" w:rsidRPr="006965A1" w:rsidRDefault="006633EC" w:rsidP="006965A1">
            <w:pPr>
              <w:jc w:val="center"/>
              <w:rPr>
                <w:sz w:val="20"/>
                <w:szCs w:val="20"/>
                <w:lang w:eastAsia="cs-CZ"/>
              </w:rPr>
            </w:pPr>
            <w:r>
              <w:rPr>
                <w:sz w:val="20"/>
                <w:szCs w:val="20"/>
                <w:lang w:eastAsia="cs-CZ"/>
              </w:rPr>
              <w:t>N</w:t>
            </w:r>
            <w:r w:rsidR="0031169F" w:rsidRPr="006965A1">
              <w:rPr>
                <w:sz w:val="20"/>
                <w:szCs w:val="20"/>
                <w:lang w:eastAsia="cs-CZ"/>
              </w:rPr>
              <w:t>esplněno</w:t>
            </w:r>
          </w:p>
        </w:tc>
      </w:tr>
      <w:tr w:rsidR="0031169F" w:rsidRPr="006965A1" w14:paraId="3306315C" w14:textId="77777777" w:rsidTr="000B06C3">
        <w:trPr>
          <w:cantSplit/>
          <w:trHeight w:val="283"/>
          <w:jc w:val="center"/>
        </w:trPr>
        <w:tc>
          <w:tcPr>
            <w:tcW w:w="624" w:type="dxa"/>
            <w:tcBorders>
              <w:bottom w:val="single" w:sz="4" w:space="0" w:color="auto"/>
            </w:tcBorders>
            <w:shd w:val="clear" w:color="auto" w:fill="auto"/>
            <w:vAlign w:val="center"/>
          </w:tcPr>
          <w:p w14:paraId="1A534B42" w14:textId="77777777" w:rsidR="0031169F" w:rsidRPr="006965A1" w:rsidRDefault="0031169F" w:rsidP="006965A1">
            <w:pPr>
              <w:jc w:val="center"/>
              <w:rPr>
                <w:sz w:val="20"/>
                <w:szCs w:val="20"/>
                <w:lang w:eastAsia="cs-CZ"/>
              </w:rPr>
            </w:pPr>
            <w:r w:rsidRPr="006965A1">
              <w:rPr>
                <w:sz w:val="20"/>
                <w:szCs w:val="20"/>
                <w:lang w:eastAsia="cs-CZ"/>
              </w:rPr>
              <w:t>3.5</w:t>
            </w:r>
          </w:p>
        </w:tc>
        <w:tc>
          <w:tcPr>
            <w:tcW w:w="3345" w:type="dxa"/>
            <w:tcBorders>
              <w:bottom w:val="single" w:sz="4" w:space="0" w:color="auto"/>
            </w:tcBorders>
            <w:vAlign w:val="center"/>
          </w:tcPr>
          <w:p w14:paraId="087AD4E2" w14:textId="1E1C1E05" w:rsidR="0031169F" w:rsidRPr="006965A1" w:rsidRDefault="0031169F" w:rsidP="006965A1">
            <w:pPr>
              <w:keepNext/>
              <w:jc w:val="left"/>
              <w:rPr>
                <w:bCs/>
                <w:sz w:val="20"/>
                <w:szCs w:val="20"/>
                <w:lang w:eastAsia="cs-CZ"/>
              </w:rPr>
            </w:pPr>
            <w:r w:rsidRPr="006965A1">
              <w:rPr>
                <w:bCs/>
                <w:sz w:val="20"/>
                <w:szCs w:val="20"/>
                <w:lang w:eastAsia="cs-CZ"/>
              </w:rPr>
              <w:t xml:space="preserve">Rozšiřovat, kompletovat a propagovat nabídku ploch </w:t>
            </w:r>
            <w:proofErr w:type="spellStart"/>
            <w:r w:rsidRPr="006965A1">
              <w:rPr>
                <w:bCs/>
                <w:sz w:val="20"/>
                <w:szCs w:val="20"/>
                <w:lang w:eastAsia="cs-CZ"/>
              </w:rPr>
              <w:t>brownfieldů</w:t>
            </w:r>
            <w:proofErr w:type="spellEnd"/>
          </w:p>
        </w:tc>
        <w:tc>
          <w:tcPr>
            <w:tcW w:w="1418" w:type="dxa"/>
            <w:tcBorders>
              <w:bottom w:val="single" w:sz="4" w:space="0" w:color="auto"/>
            </w:tcBorders>
            <w:vAlign w:val="center"/>
          </w:tcPr>
          <w:p w14:paraId="6B459487" w14:textId="77777777" w:rsidR="0031169F" w:rsidRPr="006965A1" w:rsidRDefault="0031169F" w:rsidP="006965A1">
            <w:pPr>
              <w:jc w:val="center"/>
              <w:rPr>
                <w:sz w:val="20"/>
                <w:szCs w:val="20"/>
                <w:lang w:eastAsia="cs-CZ"/>
              </w:rPr>
            </w:pPr>
            <w:r w:rsidRPr="006965A1">
              <w:rPr>
                <w:sz w:val="20"/>
                <w:szCs w:val="20"/>
                <w:lang w:eastAsia="cs-CZ"/>
              </w:rPr>
              <w:t>Agentura CzechInvest</w:t>
            </w:r>
          </w:p>
        </w:tc>
        <w:tc>
          <w:tcPr>
            <w:tcW w:w="1134" w:type="dxa"/>
            <w:tcBorders>
              <w:bottom w:val="single" w:sz="4" w:space="0" w:color="auto"/>
            </w:tcBorders>
            <w:shd w:val="clear" w:color="auto" w:fill="auto"/>
            <w:vAlign w:val="center"/>
          </w:tcPr>
          <w:p w14:paraId="675FE23F" w14:textId="37B86090"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růběžně</w:t>
            </w:r>
          </w:p>
        </w:tc>
        <w:tc>
          <w:tcPr>
            <w:tcW w:w="1361" w:type="dxa"/>
            <w:tcBorders>
              <w:bottom w:val="single" w:sz="4" w:space="0" w:color="auto"/>
            </w:tcBorders>
            <w:vAlign w:val="center"/>
          </w:tcPr>
          <w:p w14:paraId="6477779B" w14:textId="77777777" w:rsidR="0031169F" w:rsidRPr="006965A1" w:rsidRDefault="0031169F" w:rsidP="006965A1">
            <w:pPr>
              <w:jc w:val="center"/>
              <w:rPr>
                <w:sz w:val="20"/>
                <w:szCs w:val="20"/>
                <w:lang w:eastAsia="cs-CZ"/>
              </w:rPr>
            </w:pPr>
            <w:r w:rsidRPr="006965A1">
              <w:rPr>
                <w:sz w:val="20"/>
                <w:szCs w:val="20"/>
                <w:lang w:eastAsia="cs-CZ"/>
              </w:rPr>
              <w:t>x</w:t>
            </w:r>
          </w:p>
        </w:tc>
        <w:tc>
          <w:tcPr>
            <w:tcW w:w="1587" w:type="dxa"/>
            <w:tcBorders>
              <w:bottom w:val="single" w:sz="4" w:space="0" w:color="auto"/>
            </w:tcBorders>
            <w:vAlign w:val="center"/>
          </w:tcPr>
          <w:p w14:paraId="563464A7" w14:textId="375D3760"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lněné</w:t>
            </w:r>
          </w:p>
        </w:tc>
      </w:tr>
      <w:tr w:rsidR="0031169F" w:rsidRPr="006965A1" w14:paraId="3986B3BF" w14:textId="77777777" w:rsidTr="000B06C3">
        <w:trPr>
          <w:cantSplit/>
          <w:trHeight w:val="283"/>
          <w:jc w:val="center"/>
        </w:trPr>
        <w:tc>
          <w:tcPr>
            <w:tcW w:w="624" w:type="dxa"/>
            <w:tcBorders>
              <w:bottom w:val="single" w:sz="4" w:space="0" w:color="auto"/>
            </w:tcBorders>
            <w:shd w:val="clear" w:color="auto" w:fill="auto"/>
            <w:vAlign w:val="center"/>
          </w:tcPr>
          <w:p w14:paraId="0FA07655" w14:textId="77777777" w:rsidR="0031169F" w:rsidRPr="006965A1" w:rsidRDefault="0031169F" w:rsidP="006965A1">
            <w:pPr>
              <w:jc w:val="center"/>
              <w:rPr>
                <w:sz w:val="20"/>
                <w:szCs w:val="20"/>
                <w:lang w:eastAsia="cs-CZ"/>
              </w:rPr>
            </w:pPr>
            <w:r w:rsidRPr="006965A1">
              <w:rPr>
                <w:sz w:val="20"/>
                <w:szCs w:val="20"/>
                <w:lang w:eastAsia="cs-CZ"/>
              </w:rPr>
              <w:t>3.6</w:t>
            </w:r>
          </w:p>
        </w:tc>
        <w:tc>
          <w:tcPr>
            <w:tcW w:w="3345" w:type="dxa"/>
            <w:tcBorders>
              <w:bottom w:val="single" w:sz="4" w:space="0" w:color="auto"/>
            </w:tcBorders>
            <w:vAlign w:val="center"/>
          </w:tcPr>
          <w:p w14:paraId="19E8618A" w14:textId="0E222729" w:rsidR="0031169F" w:rsidRPr="006965A1" w:rsidRDefault="0031169F" w:rsidP="006965A1">
            <w:pPr>
              <w:keepNext/>
              <w:jc w:val="left"/>
              <w:rPr>
                <w:bCs/>
                <w:sz w:val="20"/>
                <w:szCs w:val="20"/>
                <w:lang w:eastAsia="cs-CZ"/>
              </w:rPr>
            </w:pPr>
            <w:r w:rsidRPr="006965A1">
              <w:rPr>
                <w:bCs/>
                <w:sz w:val="20"/>
                <w:szCs w:val="20"/>
                <w:lang w:eastAsia="cs-CZ"/>
              </w:rPr>
              <w:t xml:space="preserve">Pravidelně zpracovávat statistiky vývoje počtu a charakteru </w:t>
            </w:r>
            <w:proofErr w:type="spellStart"/>
            <w:r w:rsidRPr="006965A1">
              <w:rPr>
                <w:bCs/>
                <w:sz w:val="20"/>
                <w:szCs w:val="20"/>
                <w:lang w:eastAsia="cs-CZ"/>
              </w:rPr>
              <w:t>brownfieldů</w:t>
            </w:r>
            <w:proofErr w:type="spellEnd"/>
          </w:p>
        </w:tc>
        <w:tc>
          <w:tcPr>
            <w:tcW w:w="1418" w:type="dxa"/>
            <w:tcBorders>
              <w:bottom w:val="single" w:sz="4" w:space="0" w:color="auto"/>
            </w:tcBorders>
            <w:vAlign w:val="center"/>
          </w:tcPr>
          <w:p w14:paraId="02F2A9A1" w14:textId="77777777" w:rsidR="0031169F" w:rsidRPr="006965A1" w:rsidRDefault="0031169F" w:rsidP="006965A1">
            <w:pPr>
              <w:jc w:val="center"/>
              <w:rPr>
                <w:sz w:val="20"/>
                <w:szCs w:val="20"/>
                <w:lang w:eastAsia="cs-CZ"/>
              </w:rPr>
            </w:pPr>
            <w:r w:rsidRPr="006965A1">
              <w:rPr>
                <w:sz w:val="20"/>
                <w:szCs w:val="20"/>
                <w:lang w:eastAsia="cs-CZ"/>
              </w:rPr>
              <w:t>Agentura CzechInvest</w:t>
            </w:r>
          </w:p>
        </w:tc>
        <w:tc>
          <w:tcPr>
            <w:tcW w:w="1134" w:type="dxa"/>
            <w:tcBorders>
              <w:bottom w:val="single" w:sz="4" w:space="0" w:color="auto"/>
            </w:tcBorders>
            <w:shd w:val="clear" w:color="auto" w:fill="auto"/>
            <w:vAlign w:val="center"/>
          </w:tcPr>
          <w:p w14:paraId="32622555" w14:textId="4F44F5BC"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růběžně</w:t>
            </w:r>
          </w:p>
        </w:tc>
        <w:tc>
          <w:tcPr>
            <w:tcW w:w="1361" w:type="dxa"/>
            <w:tcBorders>
              <w:bottom w:val="single" w:sz="4" w:space="0" w:color="auto"/>
            </w:tcBorders>
            <w:vAlign w:val="center"/>
          </w:tcPr>
          <w:p w14:paraId="7A3F0F49" w14:textId="77777777" w:rsidR="0031169F" w:rsidRPr="006965A1" w:rsidRDefault="0031169F" w:rsidP="006965A1">
            <w:pPr>
              <w:jc w:val="center"/>
              <w:rPr>
                <w:sz w:val="20"/>
                <w:szCs w:val="20"/>
                <w:lang w:eastAsia="cs-CZ"/>
              </w:rPr>
            </w:pPr>
            <w:r w:rsidRPr="006965A1">
              <w:rPr>
                <w:sz w:val="20"/>
                <w:szCs w:val="20"/>
                <w:lang w:eastAsia="cs-CZ"/>
              </w:rPr>
              <w:t>x</w:t>
            </w:r>
          </w:p>
        </w:tc>
        <w:tc>
          <w:tcPr>
            <w:tcW w:w="1587" w:type="dxa"/>
            <w:tcBorders>
              <w:bottom w:val="single" w:sz="4" w:space="0" w:color="auto"/>
            </w:tcBorders>
            <w:vAlign w:val="center"/>
          </w:tcPr>
          <w:p w14:paraId="603A5974" w14:textId="2393FCB9"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lněné</w:t>
            </w:r>
          </w:p>
        </w:tc>
      </w:tr>
      <w:tr w:rsidR="0031169F" w:rsidRPr="006965A1" w14:paraId="5C41CAAF" w14:textId="77777777" w:rsidTr="000B06C3">
        <w:trPr>
          <w:cantSplit/>
          <w:trHeight w:val="283"/>
          <w:jc w:val="center"/>
        </w:trPr>
        <w:tc>
          <w:tcPr>
            <w:tcW w:w="624" w:type="dxa"/>
            <w:tcBorders>
              <w:bottom w:val="single" w:sz="4" w:space="0" w:color="auto"/>
            </w:tcBorders>
            <w:shd w:val="clear" w:color="auto" w:fill="auto"/>
            <w:vAlign w:val="center"/>
          </w:tcPr>
          <w:p w14:paraId="7FAA82D8" w14:textId="77777777" w:rsidR="0031169F" w:rsidRPr="006965A1" w:rsidRDefault="0031169F" w:rsidP="006965A1">
            <w:pPr>
              <w:jc w:val="center"/>
              <w:rPr>
                <w:sz w:val="20"/>
                <w:szCs w:val="20"/>
                <w:lang w:eastAsia="cs-CZ"/>
              </w:rPr>
            </w:pPr>
            <w:r w:rsidRPr="006965A1">
              <w:rPr>
                <w:sz w:val="20"/>
                <w:szCs w:val="20"/>
                <w:lang w:eastAsia="cs-CZ"/>
              </w:rPr>
              <w:t>4.1</w:t>
            </w:r>
          </w:p>
        </w:tc>
        <w:tc>
          <w:tcPr>
            <w:tcW w:w="3345" w:type="dxa"/>
            <w:tcBorders>
              <w:bottom w:val="single" w:sz="4" w:space="0" w:color="auto"/>
            </w:tcBorders>
            <w:vAlign w:val="center"/>
          </w:tcPr>
          <w:p w14:paraId="4B6A9E37" w14:textId="7F530D5C" w:rsidR="0031169F" w:rsidRPr="006965A1" w:rsidRDefault="0031169F" w:rsidP="006965A1">
            <w:pPr>
              <w:keepNext/>
              <w:jc w:val="left"/>
              <w:rPr>
                <w:bCs/>
                <w:sz w:val="20"/>
                <w:szCs w:val="20"/>
                <w:lang w:eastAsia="cs-CZ"/>
              </w:rPr>
            </w:pPr>
            <w:r w:rsidRPr="006965A1">
              <w:rPr>
                <w:bCs/>
                <w:sz w:val="20"/>
                <w:szCs w:val="20"/>
                <w:lang w:eastAsia="cs-CZ"/>
              </w:rPr>
              <w:t>Na webových stránkách CzechInvestu zveřejňovat data a informace o</w:t>
            </w:r>
            <w:r w:rsidR="0091346D">
              <w:rPr>
                <w:bCs/>
                <w:sz w:val="20"/>
                <w:szCs w:val="20"/>
                <w:lang w:eastAsia="cs-CZ"/>
              </w:rPr>
              <w:t> </w:t>
            </w:r>
            <w:r w:rsidRPr="006965A1">
              <w:rPr>
                <w:bCs/>
                <w:sz w:val="20"/>
                <w:szCs w:val="20"/>
                <w:lang w:eastAsia="cs-CZ"/>
              </w:rPr>
              <w:t xml:space="preserve">problematice </w:t>
            </w:r>
            <w:proofErr w:type="spellStart"/>
            <w:r w:rsidRPr="006965A1">
              <w:rPr>
                <w:bCs/>
                <w:sz w:val="20"/>
                <w:szCs w:val="20"/>
                <w:lang w:eastAsia="cs-CZ"/>
              </w:rPr>
              <w:t>brownfieldů</w:t>
            </w:r>
            <w:proofErr w:type="spellEnd"/>
          </w:p>
        </w:tc>
        <w:tc>
          <w:tcPr>
            <w:tcW w:w="1418" w:type="dxa"/>
            <w:tcBorders>
              <w:bottom w:val="single" w:sz="4" w:space="0" w:color="auto"/>
            </w:tcBorders>
            <w:vAlign w:val="center"/>
          </w:tcPr>
          <w:p w14:paraId="544486A9" w14:textId="77777777" w:rsidR="0031169F" w:rsidRPr="006965A1" w:rsidRDefault="0031169F" w:rsidP="006965A1">
            <w:pPr>
              <w:jc w:val="center"/>
              <w:rPr>
                <w:sz w:val="20"/>
                <w:szCs w:val="20"/>
                <w:lang w:eastAsia="cs-CZ"/>
              </w:rPr>
            </w:pPr>
            <w:r w:rsidRPr="006965A1">
              <w:rPr>
                <w:sz w:val="20"/>
                <w:szCs w:val="20"/>
                <w:lang w:eastAsia="cs-CZ"/>
              </w:rPr>
              <w:t>Agentura CzechInvest</w:t>
            </w:r>
          </w:p>
        </w:tc>
        <w:tc>
          <w:tcPr>
            <w:tcW w:w="1134" w:type="dxa"/>
            <w:tcBorders>
              <w:bottom w:val="single" w:sz="4" w:space="0" w:color="auto"/>
            </w:tcBorders>
            <w:shd w:val="clear" w:color="auto" w:fill="auto"/>
            <w:vAlign w:val="center"/>
          </w:tcPr>
          <w:p w14:paraId="63EEE3B3" w14:textId="30347F8E"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růběžně</w:t>
            </w:r>
          </w:p>
        </w:tc>
        <w:tc>
          <w:tcPr>
            <w:tcW w:w="1361" w:type="dxa"/>
            <w:tcBorders>
              <w:bottom w:val="single" w:sz="4" w:space="0" w:color="auto"/>
            </w:tcBorders>
            <w:vAlign w:val="center"/>
          </w:tcPr>
          <w:p w14:paraId="5EA22FDA" w14:textId="77777777" w:rsidR="0031169F" w:rsidRPr="006965A1" w:rsidRDefault="0031169F" w:rsidP="006965A1">
            <w:pPr>
              <w:jc w:val="center"/>
              <w:rPr>
                <w:sz w:val="20"/>
                <w:szCs w:val="20"/>
                <w:lang w:eastAsia="cs-CZ"/>
              </w:rPr>
            </w:pPr>
            <w:r w:rsidRPr="006965A1">
              <w:rPr>
                <w:sz w:val="20"/>
                <w:szCs w:val="20"/>
                <w:lang w:eastAsia="cs-CZ"/>
              </w:rPr>
              <w:t>x</w:t>
            </w:r>
          </w:p>
        </w:tc>
        <w:tc>
          <w:tcPr>
            <w:tcW w:w="1587" w:type="dxa"/>
            <w:tcBorders>
              <w:bottom w:val="single" w:sz="4" w:space="0" w:color="auto"/>
            </w:tcBorders>
            <w:vAlign w:val="center"/>
          </w:tcPr>
          <w:p w14:paraId="0F12B8A2" w14:textId="690E2B3F"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lněné</w:t>
            </w:r>
          </w:p>
        </w:tc>
      </w:tr>
      <w:tr w:rsidR="0031169F" w:rsidRPr="006965A1" w14:paraId="7798148B" w14:textId="77777777" w:rsidTr="000B06C3">
        <w:trPr>
          <w:cantSplit/>
          <w:trHeight w:val="283"/>
          <w:jc w:val="center"/>
        </w:trPr>
        <w:tc>
          <w:tcPr>
            <w:tcW w:w="624" w:type="dxa"/>
            <w:tcBorders>
              <w:bottom w:val="single" w:sz="4" w:space="0" w:color="auto"/>
            </w:tcBorders>
            <w:shd w:val="clear" w:color="auto" w:fill="auto"/>
            <w:vAlign w:val="center"/>
          </w:tcPr>
          <w:p w14:paraId="63097F60" w14:textId="77777777" w:rsidR="0031169F" w:rsidRPr="006965A1" w:rsidRDefault="0031169F" w:rsidP="006965A1">
            <w:pPr>
              <w:jc w:val="center"/>
              <w:rPr>
                <w:sz w:val="20"/>
                <w:szCs w:val="20"/>
                <w:lang w:eastAsia="cs-CZ"/>
              </w:rPr>
            </w:pPr>
            <w:r w:rsidRPr="006965A1">
              <w:rPr>
                <w:sz w:val="20"/>
                <w:szCs w:val="20"/>
                <w:lang w:eastAsia="cs-CZ"/>
              </w:rPr>
              <w:t>4.2</w:t>
            </w:r>
          </w:p>
        </w:tc>
        <w:tc>
          <w:tcPr>
            <w:tcW w:w="3345" w:type="dxa"/>
            <w:tcBorders>
              <w:bottom w:val="single" w:sz="4" w:space="0" w:color="auto"/>
            </w:tcBorders>
            <w:vAlign w:val="center"/>
          </w:tcPr>
          <w:p w14:paraId="7E6883FA" w14:textId="5F9E06B9" w:rsidR="0031169F" w:rsidRPr="006965A1" w:rsidRDefault="0031169F" w:rsidP="006965A1">
            <w:pPr>
              <w:keepNext/>
              <w:jc w:val="left"/>
              <w:rPr>
                <w:bCs/>
                <w:sz w:val="20"/>
                <w:szCs w:val="20"/>
                <w:lang w:eastAsia="cs-CZ"/>
              </w:rPr>
            </w:pPr>
            <w:r w:rsidRPr="006965A1">
              <w:rPr>
                <w:bCs/>
                <w:sz w:val="20"/>
                <w:szCs w:val="20"/>
                <w:lang w:eastAsia="cs-CZ"/>
              </w:rPr>
              <w:t xml:space="preserve">Podporovat a propagovat tematiku regenerací </w:t>
            </w:r>
            <w:proofErr w:type="spellStart"/>
            <w:r w:rsidRPr="006965A1">
              <w:rPr>
                <w:bCs/>
                <w:sz w:val="20"/>
                <w:szCs w:val="20"/>
                <w:lang w:eastAsia="cs-CZ"/>
              </w:rPr>
              <w:t>brownfieldů</w:t>
            </w:r>
            <w:proofErr w:type="spellEnd"/>
          </w:p>
        </w:tc>
        <w:tc>
          <w:tcPr>
            <w:tcW w:w="1418" w:type="dxa"/>
            <w:tcBorders>
              <w:bottom w:val="single" w:sz="4" w:space="0" w:color="auto"/>
            </w:tcBorders>
            <w:vAlign w:val="center"/>
          </w:tcPr>
          <w:p w14:paraId="0A9C0290" w14:textId="77777777" w:rsidR="0031169F" w:rsidRPr="006965A1" w:rsidRDefault="0031169F" w:rsidP="006965A1">
            <w:pPr>
              <w:jc w:val="center"/>
              <w:rPr>
                <w:sz w:val="20"/>
                <w:szCs w:val="20"/>
                <w:lang w:eastAsia="cs-CZ"/>
              </w:rPr>
            </w:pPr>
            <w:r w:rsidRPr="006965A1">
              <w:rPr>
                <w:sz w:val="20"/>
                <w:szCs w:val="20"/>
                <w:lang w:eastAsia="cs-CZ"/>
              </w:rPr>
              <w:t>MPO, Agentura CzechInvest</w:t>
            </w:r>
          </w:p>
        </w:tc>
        <w:tc>
          <w:tcPr>
            <w:tcW w:w="1134" w:type="dxa"/>
            <w:tcBorders>
              <w:bottom w:val="single" w:sz="4" w:space="0" w:color="auto"/>
            </w:tcBorders>
            <w:shd w:val="clear" w:color="auto" w:fill="auto"/>
            <w:vAlign w:val="center"/>
          </w:tcPr>
          <w:p w14:paraId="1E1B01CA" w14:textId="4C74C431"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růběžně</w:t>
            </w:r>
          </w:p>
        </w:tc>
        <w:tc>
          <w:tcPr>
            <w:tcW w:w="1361" w:type="dxa"/>
            <w:tcBorders>
              <w:bottom w:val="single" w:sz="4" w:space="0" w:color="auto"/>
            </w:tcBorders>
            <w:vAlign w:val="center"/>
          </w:tcPr>
          <w:p w14:paraId="0D20740F" w14:textId="3697759A"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lněné</w:t>
            </w:r>
          </w:p>
        </w:tc>
        <w:tc>
          <w:tcPr>
            <w:tcW w:w="1587" w:type="dxa"/>
            <w:tcBorders>
              <w:bottom w:val="single" w:sz="4" w:space="0" w:color="auto"/>
            </w:tcBorders>
            <w:vAlign w:val="center"/>
          </w:tcPr>
          <w:p w14:paraId="3111167A" w14:textId="6B875AB4" w:rsidR="0031169F" w:rsidRPr="006965A1" w:rsidRDefault="006633EC" w:rsidP="006965A1">
            <w:pPr>
              <w:jc w:val="center"/>
              <w:rPr>
                <w:sz w:val="20"/>
                <w:szCs w:val="20"/>
                <w:lang w:eastAsia="cs-CZ"/>
              </w:rPr>
            </w:pPr>
            <w:r>
              <w:rPr>
                <w:sz w:val="20"/>
                <w:szCs w:val="20"/>
                <w:lang w:eastAsia="cs-CZ"/>
              </w:rPr>
              <w:t>P</w:t>
            </w:r>
            <w:r w:rsidR="0031169F" w:rsidRPr="006965A1">
              <w:rPr>
                <w:sz w:val="20"/>
                <w:szCs w:val="20"/>
                <w:lang w:eastAsia="cs-CZ"/>
              </w:rPr>
              <w:t>lněné</w:t>
            </w:r>
          </w:p>
        </w:tc>
      </w:tr>
    </w:tbl>
    <w:p w14:paraId="20590A9D" w14:textId="77777777" w:rsidR="0031169F" w:rsidRPr="006965A1" w:rsidRDefault="0031169F" w:rsidP="006965A1">
      <w:pPr>
        <w:pStyle w:val="Odstavecseseznamem"/>
        <w:spacing w:before="40"/>
        <w:ind w:left="567" w:hanging="567"/>
        <w:contextualSpacing w:val="0"/>
        <w:rPr>
          <w:rFonts w:cstheme="minorHAnsi"/>
          <w:sz w:val="20"/>
          <w:szCs w:val="20"/>
        </w:rPr>
      </w:pPr>
      <w:r w:rsidRPr="006965A1">
        <w:rPr>
          <w:rFonts w:cstheme="minorHAnsi"/>
          <w:b/>
          <w:sz w:val="20"/>
          <w:szCs w:val="20"/>
        </w:rPr>
        <w:t>Pozn.:</w:t>
      </w:r>
      <w:r w:rsidRPr="006965A1">
        <w:rPr>
          <w:rFonts w:cstheme="minorHAnsi"/>
          <w:sz w:val="20"/>
          <w:szCs w:val="20"/>
        </w:rPr>
        <w:t xml:space="preserve"> *Agentura CzechInvest není samostatným tvůrcem politik, strategií a koncepcí.</w:t>
      </w:r>
    </w:p>
    <w:p w14:paraId="3B7791BF" w14:textId="42AF895A" w:rsidR="00900374" w:rsidRDefault="0031169F" w:rsidP="008B6BCC">
      <w:pPr>
        <w:pStyle w:val="Odstavecseseznamem"/>
        <w:ind w:left="567" w:hanging="567"/>
        <w:rPr>
          <w:rFonts w:asciiTheme="minorHAnsi" w:eastAsia="Calibri" w:hAnsiTheme="minorHAnsi" w:cstheme="minorHAnsi"/>
          <w:b/>
          <w:color w:val="auto"/>
        </w:rPr>
      </w:pPr>
      <w:r w:rsidRPr="006965A1">
        <w:rPr>
          <w:rFonts w:cstheme="minorHAnsi"/>
          <w:b/>
          <w:sz w:val="20"/>
          <w:szCs w:val="20"/>
        </w:rPr>
        <w:t>Zdroj:</w:t>
      </w:r>
      <w:r w:rsidRPr="006965A1">
        <w:rPr>
          <w:rFonts w:cstheme="minorHAnsi"/>
          <w:sz w:val="20"/>
          <w:szCs w:val="20"/>
        </w:rPr>
        <w:t xml:space="preserve"> </w:t>
      </w:r>
      <w:r w:rsidRPr="00E46C86">
        <w:rPr>
          <w:rFonts w:cstheme="minorHAnsi"/>
          <w:i/>
          <w:sz w:val="20"/>
          <w:szCs w:val="20"/>
        </w:rPr>
        <w:t xml:space="preserve">Národní strategie regenerací </w:t>
      </w:r>
      <w:proofErr w:type="spellStart"/>
      <w:r w:rsidRPr="00E46C86">
        <w:rPr>
          <w:rFonts w:cstheme="minorHAnsi"/>
          <w:i/>
          <w:sz w:val="20"/>
          <w:szCs w:val="20"/>
        </w:rPr>
        <w:t>brownfieldů</w:t>
      </w:r>
      <w:proofErr w:type="spellEnd"/>
      <w:r w:rsidRPr="00E46C86">
        <w:rPr>
          <w:rFonts w:cstheme="minorHAnsi"/>
          <w:i/>
          <w:sz w:val="20"/>
          <w:szCs w:val="20"/>
        </w:rPr>
        <w:t xml:space="preserve"> 2019</w:t>
      </w:r>
      <w:r w:rsidR="00044B38" w:rsidRPr="00E46C86">
        <w:rPr>
          <w:rFonts w:cstheme="minorHAnsi"/>
          <w:i/>
          <w:sz w:val="20"/>
          <w:szCs w:val="20"/>
        </w:rPr>
        <w:t>–</w:t>
      </w:r>
      <w:r w:rsidRPr="00E46C86">
        <w:rPr>
          <w:rFonts w:cstheme="minorHAnsi"/>
          <w:i/>
          <w:sz w:val="20"/>
          <w:szCs w:val="20"/>
        </w:rPr>
        <w:t>2024</w:t>
      </w:r>
      <w:r w:rsidRPr="006965A1">
        <w:rPr>
          <w:rFonts w:cstheme="minorHAnsi"/>
          <w:sz w:val="20"/>
          <w:szCs w:val="20"/>
        </w:rPr>
        <w:t xml:space="preserve">, doklady a odpovědi MPO a Agentury CzechInvest předložené v průběhu kontroly. </w:t>
      </w:r>
      <w:r w:rsidR="00900374">
        <w:rPr>
          <w:rFonts w:asciiTheme="minorHAnsi" w:eastAsia="Calibri" w:hAnsiTheme="minorHAnsi" w:cstheme="minorHAnsi"/>
          <w:b/>
          <w:color w:val="auto"/>
        </w:rPr>
        <w:br w:type="page"/>
      </w:r>
    </w:p>
    <w:p w14:paraId="6BD31B35" w14:textId="073C299A" w:rsidR="0031169F" w:rsidRDefault="00303BEC" w:rsidP="00303BEC">
      <w:pPr>
        <w:jc w:val="right"/>
        <w:rPr>
          <w:rFonts w:asciiTheme="minorHAnsi" w:eastAsia="Calibri" w:hAnsiTheme="minorHAnsi" w:cstheme="minorHAnsi"/>
          <w:b/>
          <w:color w:val="auto"/>
        </w:rPr>
      </w:pPr>
      <w:r>
        <w:rPr>
          <w:rFonts w:asciiTheme="minorHAnsi" w:eastAsia="Calibri" w:hAnsiTheme="minorHAnsi" w:cstheme="minorHAnsi"/>
          <w:b/>
          <w:color w:val="auto"/>
        </w:rPr>
        <w:lastRenderedPageBreak/>
        <w:t>Příloha č. 3</w:t>
      </w:r>
    </w:p>
    <w:p w14:paraId="2A14B4F8" w14:textId="77777777" w:rsidR="00303BEC" w:rsidRPr="00303BEC" w:rsidRDefault="00303BEC" w:rsidP="00303BEC">
      <w:pPr>
        <w:jc w:val="center"/>
        <w:rPr>
          <w:b/>
          <w:noProof/>
        </w:rPr>
      </w:pPr>
    </w:p>
    <w:p w14:paraId="1CC7A389" w14:textId="6605274A" w:rsidR="0031169F" w:rsidRDefault="0031169F" w:rsidP="0031169F">
      <w:pPr>
        <w:jc w:val="center"/>
        <w:rPr>
          <w:b/>
          <w:noProof/>
        </w:rPr>
      </w:pPr>
      <w:r w:rsidRPr="0031169F">
        <w:rPr>
          <w:b/>
          <w:noProof/>
        </w:rPr>
        <w:t>Implementační schéma finančního nástroje</w:t>
      </w:r>
    </w:p>
    <w:p w14:paraId="6EC134AC" w14:textId="050E8ED1" w:rsidR="0031169F" w:rsidRDefault="0031169F" w:rsidP="0031169F">
      <w:pPr>
        <w:jc w:val="center"/>
        <w:rPr>
          <w:b/>
          <w:noProof/>
        </w:rPr>
      </w:pPr>
    </w:p>
    <w:p w14:paraId="1A89A3CC" w14:textId="77777777" w:rsidR="0031169F" w:rsidRPr="0031169F" w:rsidRDefault="0031169F" w:rsidP="0031169F">
      <w:pPr>
        <w:jc w:val="center"/>
        <w:rPr>
          <w:b/>
          <w:noProof/>
        </w:rPr>
      </w:pPr>
    </w:p>
    <w:p w14:paraId="31D98C2C" w14:textId="632344EE" w:rsidR="0031169F" w:rsidRDefault="00FA0812" w:rsidP="0031169F">
      <w:pPr>
        <w:jc w:val="center"/>
      </w:pPr>
      <w:r w:rsidRPr="00644B57">
        <w:rPr>
          <w:noProof/>
        </w:rPr>
        <w:drawing>
          <wp:inline distT="0" distB="0" distL="0" distR="0" wp14:anchorId="5B1840B1" wp14:editId="67D9C964">
            <wp:extent cx="6045363" cy="38798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46577" cy="3880629"/>
                    </a:xfrm>
                    <a:prstGeom prst="rect">
                      <a:avLst/>
                    </a:prstGeom>
                  </pic:spPr>
                </pic:pic>
              </a:graphicData>
            </a:graphic>
          </wp:inline>
        </w:drawing>
      </w:r>
    </w:p>
    <w:p w14:paraId="33BAE10F" w14:textId="77777777" w:rsidR="00805C20" w:rsidRDefault="00805C20" w:rsidP="0031169F">
      <w:pPr>
        <w:pStyle w:val="Odstavecseseznamem"/>
        <w:autoSpaceDE w:val="0"/>
        <w:autoSpaceDN w:val="0"/>
        <w:adjustRightInd w:val="0"/>
        <w:ind w:left="284"/>
        <w:jc w:val="center"/>
        <w:rPr>
          <w:i/>
          <w:sz w:val="20"/>
          <w:szCs w:val="20"/>
        </w:rPr>
      </w:pPr>
    </w:p>
    <w:p w14:paraId="1FDD00AE" w14:textId="77777777" w:rsidR="00805C20" w:rsidRDefault="00805C20" w:rsidP="0031169F">
      <w:pPr>
        <w:pStyle w:val="Odstavecseseznamem"/>
        <w:autoSpaceDE w:val="0"/>
        <w:autoSpaceDN w:val="0"/>
        <w:adjustRightInd w:val="0"/>
        <w:ind w:left="284"/>
        <w:jc w:val="center"/>
        <w:rPr>
          <w:i/>
          <w:sz w:val="20"/>
          <w:szCs w:val="20"/>
        </w:rPr>
      </w:pPr>
    </w:p>
    <w:p w14:paraId="17880FCD" w14:textId="77777777" w:rsidR="00E6217C" w:rsidRPr="00900374" w:rsidRDefault="00E6217C" w:rsidP="00900374">
      <w:pPr>
        <w:pStyle w:val="Odstavecseseznamem"/>
        <w:autoSpaceDE w:val="0"/>
        <w:autoSpaceDN w:val="0"/>
        <w:adjustRightInd w:val="0"/>
        <w:ind w:left="567" w:hanging="567"/>
        <w:rPr>
          <w:sz w:val="20"/>
          <w:szCs w:val="20"/>
        </w:rPr>
      </w:pPr>
      <w:r w:rsidRPr="006965A1">
        <w:rPr>
          <w:b/>
          <w:sz w:val="20"/>
          <w:szCs w:val="20"/>
        </w:rPr>
        <w:t>Pozn.:</w:t>
      </w:r>
      <w:r w:rsidRPr="00900374">
        <w:rPr>
          <w:sz w:val="20"/>
          <w:szCs w:val="20"/>
        </w:rPr>
        <w:t xml:space="preserve"> Ekvita představuje peněžní nebo nepeněžní vklad do společnosti výměnou za podíl vlastnictví. </w:t>
      </w:r>
    </w:p>
    <w:p w14:paraId="777A7179" w14:textId="59D2E02E" w:rsidR="00E6217C" w:rsidRPr="00900374" w:rsidRDefault="00E6217C" w:rsidP="00900374">
      <w:pPr>
        <w:pStyle w:val="Odstavecseseznamem"/>
        <w:autoSpaceDE w:val="0"/>
        <w:autoSpaceDN w:val="0"/>
        <w:adjustRightInd w:val="0"/>
        <w:ind w:left="567" w:hanging="567"/>
        <w:rPr>
          <w:sz w:val="20"/>
          <w:szCs w:val="20"/>
        </w:rPr>
      </w:pPr>
      <w:r w:rsidRPr="00900374">
        <w:rPr>
          <w:sz w:val="20"/>
          <w:szCs w:val="20"/>
        </w:rPr>
        <w:t>MSP = malé a střední podniky.</w:t>
      </w:r>
    </w:p>
    <w:p w14:paraId="01E33FD1" w14:textId="3E3EFD75" w:rsidR="0031169F" w:rsidRPr="005A2AA5" w:rsidRDefault="0031169F" w:rsidP="00900374">
      <w:pPr>
        <w:pStyle w:val="Odstavecseseznamem"/>
        <w:autoSpaceDE w:val="0"/>
        <w:autoSpaceDN w:val="0"/>
        <w:adjustRightInd w:val="0"/>
        <w:ind w:left="567" w:hanging="567"/>
        <w:rPr>
          <w:rFonts w:asciiTheme="minorHAnsi" w:hAnsiTheme="minorHAnsi" w:cstheme="minorHAnsi"/>
        </w:rPr>
      </w:pPr>
      <w:r w:rsidRPr="006965A1">
        <w:rPr>
          <w:b/>
          <w:sz w:val="20"/>
          <w:szCs w:val="20"/>
        </w:rPr>
        <w:t>Zdroj:</w:t>
      </w:r>
      <w:r w:rsidRPr="00900374">
        <w:rPr>
          <w:sz w:val="20"/>
          <w:szCs w:val="20"/>
        </w:rPr>
        <w:t xml:space="preserve"> </w:t>
      </w:r>
      <w:r w:rsidR="006A3545">
        <w:rPr>
          <w:sz w:val="20"/>
          <w:szCs w:val="20"/>
        </w:rPr>
        <w:t xml:space="preserve">schéma bylo převzato z </w:t>
      </w:r>
      <w:r w:rsidR="005A2AA5">
        <w:rPr>
          <w:sz w:val="20"/>
          <w:szCs w:val="20"/>
        </w:rPr>
        <w:t>d</w:t>
      </w:r>
      <w:r w:rsidRPr="00900374">
        <w:rPr>
          <w:sz w:val="20"/>
          <w:szCs w:val="20"/>
        </w:rPr>
        <w:t>ohod</w:t>
      </w:r>
      <w:r w:rsidR="006A3545">
        <w:rPr>
          <w:sz w:val="20"/>
          <w:szCs w:val="20"/>
        </w:rPr>
        <w:t>y</w:t>
      </w:r>
      <w:r w:rsidRPr="00900374">
        <w:rPr>
          <w:sz w:val="20"/>
          <w:szCs w:val="20"/>
        </w:rPr>
        <w:t xml:space="preserve"> o financování uzavřen</w:t>
      </w:r>
      <w:r w:rsidR="006A3545">
        <w:rPr>
          <w:sz w:val="20"/>
          <w:szCs w:val="20"/>
        </w:rPr>
        <w:t>é</w:t>
      </w:r>
      <w:r w:rsidRPr="00900374">
        <w:rPr>
          <w:sz w:val="20"/>
          <w:szCs w:val="20"/>
        </w:rPr>
        <w:t xml:space="preserve"> mezi Českou republikou – Ministerstvem financí a ČMZRB investiční, a.s.</w:t>
      </w:r>
      <w:r w:rsidR="005A2AA5">
        <w:rPr>
          <w:sz w:val="20"/>
          <w:szCs w:val="20"/>
        </w:rPr>
        <w:t>,</w:t>
      </w:r>
      <w:r w:rsidRPr="00900374">
        <w:rPr>
          <w:sz w:val="20"/>
          <w:szCs w:val="20"/>
        </w:rPr>
        <w:t xml:space="preserve"> ze dne 12. března 2020 – </w:t>
      </w:r>
      <w:r w:rsidR="005A2AA5">
        <w:rPr>
          <w:sz w:val="20"/>
          <w:szCs w:val="20"/>
        </w:rPr>
        <w:t>p</w:t>
      </w:r>
      <w:r w:rsidRPr="00900374">
        <w:rPr>
          <w:sz w:val="20"/>
          <w:szCs w:val="20"/>
        </w:rPr>
        <w:t xml:space="preserve">říloha č. 2 – </w:t>
      </w:r>
      <w:r w:rsidRPr="004B2332">
        <w:rPr>
          <w:i/>
          <w:sz w:val="20"/>
          <w:szCs w:val="20"/>
        </w:rPr>
        <w:t>Investiční strategie Fondu fondů</w:t>
      </w:r>
      <w:r w:rsidR="005A2AA5">
        <w:rPr>
          <w:sz w:val="20"/>
          <w:szCs w:val="20"/>
        </w:rPr>
        <w:t>.</w:t>
      </w:r>
    </w:p>
    <w:p w14:paraId="0613E183" w14:textId="77777777" w:rsidR="0031169F" w:rsidRDefault="0031169F" w:rsidP="00900374">
      <w:pPr>
        <w:ind w:left="567" w:hanging="567"/>
      </w:pPr>
    </w:p>
    <w:p w14:paraId="700FEF53" w14:textId="77777777" w:rsidR="0031169F" w:rsidRPr="0031169F" w:rsidRDefault="0031169F" w:rsidP="0031169F">
      <w:pPr>
        <w:tabs>
          <w:tab w:val="left" w:pos="227"/>
          <w:tab w:val="left" w:pos="454"/>
          <w:tab w:val="left" w:pos="681"/>
          <w:tab w:val="left" w:pos="908"/>
          <w:tab w:val="left" w:pos="1135"/>
          <w:tab w:val="left" w:pos="1362"/>
          <w:tab w:val="left" w:pos="1589"/>
          <w:tab w:val="left" w:pos="1816"/>
          <w:tab w:val="left" w:pos="2043"/>
          <w:tab w:val="left" w:pos="2270"/>
          <w:tab w:val="left" w:pos="2497"/>
          <w:tab w:val="left" w:pos="2724"/>
          <w:tab w:val="left" w:pos="2951"/>
          <w:tab w:val="left" w:pos="3178"/>
          <w:tab w:val="left" w:pos="3405"/>
          <w:tab w:val="left" w:pos="3632"/>
          <w:tab w:val="left" w:pos="3859"/>
          <w:tab w:val="left" w:pos="4086"/>
          <w:tab w:val="left" w:pos="4313"/>
          <w:tab w:val="left" w:pos="4540"/>
          <w:tab w:val="left" w:pos="4767"/>
          <w:tab w:val="left" w:pos="4994"/>
          <w:tab w:val="left" w:pos="5509"/>
        </w:tabs>
        <w:spacing w:after="240"/>
        <w:ind w:left="3178" w:hanging="3178"/>
        <w:jc w:val="right"/>
        <w:rPr>
          <w:rFonts w:asciiTheme="minorHAnsi" w:eastAsia="Calibri" w:hAnsiTheme="minorHAnsi" w:cstheme="minorHAnsi"/>
          <w:b/>
          <w:color w:val="auto"/>
        </w:rPr>
      </w:pPr>
    </w:p>
    <w:sectPr w:rsidR="0031169F" w:rsidRPr="0031169F" w:rsidSect="006C1E17">
      <w:footerReference w:type="default" r:id="rId14"/>
      <w:headerReference w:type="first" r:id="rId15"/>
      <w:pgSz w:w="11906" w:h="16838"/>
      <w:pgMar w:top="1418" w:right="1418" w:bottom="136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0D92D" w14:textId="77777777" w:rsidR="009A1B03" w:rsidRDefault="009A1B03" w:rsidP="00D0493E">
      <w:r>
        <w:separator/>
      </w:r>
    </w:p>
  </w:endnote>
  <w:endnote w:type="continuationSeparator" w:id="0">
    <w:p w14:paraId="44EFCBB4" w14:textId="77777777" w:rsidR="009A1B03" w:rsidRDefault="009A1B03" w:rsidP="00D0493E">
      <w:r>
        <w:continuationSeparator/>
      </w:r>
    </w:p>
  </w:endnote>
  <w:endnote w:type="continuationNotice" w:id="1">
    <w:p w14:paraId="605F42CD" w14:textId="77777777" w:rsidR="009A1B03" w:rsidRDefault="009A1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372727"/>
      <w:docPartObj>
        <w:docPartGallery w:val="Page Numbers (Bottom of Page)"/>
        <w:docPartUnique/>
      </w:docPartObj>
    </w:sdtPr>
    <w:sdtEndPr/>
    <w:sdtContent>
      <w:p w14:paraId="445FEC7E" w14:textId="225604BB" w:rsidR="009A1B03" w:rsidRDefault="009A1B03">
        <w:pPr>
          <w:pStyle w:val="Zpat"/>
          <w:jc w:val="center"/>
        </w:pPr>
        <w:r>
          <w:fldChar w:fldCharType="begin"/>
        </w:r>
        <w:r>
          <w:instrText>PAGE   \* MERGEFORMAT</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86BD5" w14:textId="77777777" w:rsidR="009A1B03" w:rsidRDefault="009A1B03" w:rsidP="00D0493E">
      <w:r>
        <w:separator/>
      </w:r>
    </w:p>
  </w:footnote>
  <w:footnote w:type="continuationSeparator" w:id="0">
    <w:p w14:paraId="51B45904" w14:textId="77777777" w:rsidR="009A1B03" w:rsidRDefault="009A1B03" w:rsidP="00D0493E">
      <w:r>
        <w:continuationSeparator/>
      </w:r>
    </w:p>
  </w:footnote>
  <w:footnote w:type="continuationNotice" w:id="1">
    <w:p w14:paraId="19EB021E" w14:textId="77777777" w:rsidR="009A1B03" w:rsidRDefault="009A1B03"/>
  </w:footnote>
  <w:footnote w:id="2">
    <w:p w14:paraId="7CF468FC" w14:textId="2C05B750" w:rsidR="009A1B03" w:rsidRDefault="009A1B03" w:rsidP="00DA6F12">
      <w:pPr>
        <w:pStyle w:val="Textpoznpodarou"/>
        <w:ind w:left="284" w:hanging="284"/>
        <w:jc w:val="both"/>
      </w:pPr>
      <w:r>
        <w:rPr>
          <w:rStyle w:val="Znakapoznpodarou"/>
          <w:rFonts w:eastAsiaTheme="majorEastAsia"/>
        </w:rPr>
        <w:footnoteRef/>
      </w:r>
      <w:r>
        <w:t xml:space="preserve"> </w:t>
      </w:r>
      <w:r>
        <w:tab/>
        <w:t>Definice uvedená</w:t>
      </w:r>
      <w:r w:rsidRPr="002D1423">
        <w:t xml:space="preserve"> v Národní strategii regenerací brownfieldů</w:t>
      </w:r>
      <w:r>
        <w:t xml:space="preserve">. </w:t>
      </w:r>
      <w:r w:rsidRPr="00747256">
        <w:t>Jedná se o definici obecnou. Jednotlivé parametry brownfieldů mohou být upřesňovány pro účely mapování brownfieldů, využití v dotačních programech nebo v</w:t>
      </w:r>
      <w:r>
        <w:t> </w:t>
      </w:r>
      <w:r w:rsidRPr="00747256">
        <w:t>územních opatřeních (například minimální plocha brownfieldu, míra nevyužití, doba nevyužívání nemovitosti apod.).</w:t>
      </w:r>
    </w:p>
  </w:footnote>
  <w:footnote w:id="3">
    <w:p w14:paraId="33ACFC9F" w14:textId="776692B3" w:rsidR="009A1B03" w:rsidRDefault="009A1B03" w:rsidP="00C21147">
      <w:pPr>
        <w:pStyle w:val="Textpoznpodarou"/>
        <w:ind w:left="284" w:hanging="284"/>
        <w:jc w:val="both"/>
      </w:pPr>
      <w:r>
        <w:rPr>
          <w:rStyle w:val="Znakapoznpodarou"/>
        </w:rPr>
        <w:footnoteRef/>
      </w:r>
      <w:r>
        <w:t xml:space="preserve"> </w:t>
      </w:r>
      <w:r>
        <w:tab/>
        <w:t>P</w:t>
      </w:r>
      <w:r w:rsidRPr="00F15A20">
        <w:t>rostřednictvím</w:t>
      </w:r>
      <w:r>
        <w:t xml:space="preserve"> finančních nástrojů</w:t>
      </w:r>
      <w:r w:rsidRPr="00F15A20">
        <w:t xml:space="preserve"> se z veřejných zdrojů vytvářejí finanční produkty, jako jsou úvěry, garance</w:t>
      </w:r>
      <w:r>
        <w:t xml:space="preserve"> nebo</w:t>
      </w:r>
      <w:r w:rsidRPr="00F15A20">
        <w:t xml:space="preserve"> kapitálové investice</w:t>
      </w:r>
      <w:r>
        <w:t>. Oproti podpoře formou dotací se jedná o návratnou formu podpory.</w:t>
      </w:r>
    </w:p>
  </w:footnote>
  <w:footnote w:id="4">
    <w:p w14:paraId="27A61FDB" w14:textId="16241A59" w:rsidR="009A1B03" w:rsidRDefault="009A1B03" w:rsidP="00422C6E">
      <w:pPr>
        <w:pStyle w:val="Textpoznpodarou"/>
        <w:ind w:left="284" w:hanging="284"/>
      </w:pPr>
      <w:r>
        <w:rPr>
          <w:rStyle w:val="Znakapoznpodarou"/>
        </w:rPr>
        <w:footnoteRef/>
      </w:r>
      <w:r>
        <w:t xml:space="preserve"> </w:t>
      </w:r>
      <w:bookmarkStart w:id="9" w:name="_Hlk169767221"/>
      <w:r>
        <w:tab/>
        <w:t>Předpoklad uvedený v příloze č. 3 dohody o financování uzavřené mezi MPO a Správcem.</w:t>
      </w:r>
      <w:bookmarkEnd w:id="9"/>
    </w:p>
  </w:footnote>
  <w:footnote w:id="5">
    <w:p w14:paraId="257B0BB0" w14:textId="6A2403C7" w:rsidR="009A1B03" w:rsidRDefault="009A1B03" w:rsidP="00422C6E">
      <w:pPr>
        <w:pStyle w:val="Textpoznpodarou"/>
        <w:ind w:left="284" w:hanging="284"/>
        <w:jc w:val="both"/>
      </w:pPr>
      <w:r>
        <w:rPr>
          <w:rStyle w:val="Znakapoznpodarou"/>
        </w:rPr>
        <w:footnoteRef/>
      </w:r>
      <w:r>
        <w:t xml:space="preserve"> </w:t>
      </w:r>
      <w:r>
        <w:tab/>
      </w:r>
      <w:r w:rsidRPr="00C96BC5">
        <w:t>Regenerací brownfieldů se rozumí proces, jehož realizací nemovitost nebo lokalita získává znovu možnost využití. Projekty regenerací brownfieldů mohou zahrnovat odstranění nebo rekonstrukce původních staveb, jejich dostavbu, nástavbu nebo úpravu pro dosažení energetických úspor.</w:t>
      </w:r>
    </w:p>
  </w:footnote>
  <w:footnote w:id="6">
    <w:p w14:paraId="2F460FB5" w14:textId="5B2C5D2A" w:rsidR="009A1B03" w:rsidRDefault="009A1B03" w:rsidP="00044B38">
      <w:pPr>
        <w:pStyle w:val="Textpoznpodarou"/>
        <w:ind w:left="284" w:hanging="284"/>
        <w:jc w:val="both"/>
      </w:pPr>
      <w:r>
        <w:rPr>
          <w:rStyle w:val="Znakapoznpodarou"/>
        </w:rPr>
        <w:footnoteRef/>
      </w:r>
      <w:r>
        <w:t xml:space="preserve"> </w:t>
      </w:r>
      <w:r>
        <w:tab/>
      </w:r>
      <w:r w:rsidRPr="00A66720">
        <w:rPr>
          <w:rFonts w:cstheme="minorHAnsi"/>
          <w:i/>
        </w:rPr>
        <w:t>Národní plán obnovy</w:t>
      </w:r>
      <w:r w:rsidRPr="006C4D25">
        <w:rPr>
          <w:rFonts w:cstheme="minorHAnsi"/>
        </w:rPr>
        <w:t xml:space="preserve"> je strategický dokument ČR pro realizaci reforem a investic financovaných z </w:t>
      </w:r>
      <w:r w:rsidRPr="00A66720">
        <w:rPr>
          <w:rFonts w:cstheme="minorHAnsi"/>
          <w:i/>
        </w:rPr>
        <w:t>Nástroje pro oživení a odolnost</w:t>
      </w:r>
      <w:r w:rsidRPr="006C4D25">
        <w:rPr>
          <w:rFonts w:cstheme="minorHAnsi"/>
        </w:rPr>
        <w:t xml:space="preserve"> (Recovery and resillience facility) vytvořeného EU v reakci na krizi způsobenou pandemií covid</w:t>
      </w:r>
      <w:r>
        <w:rPr>
          <w:rFonts w:cstheme="minorHAnsi"/>
        </w:rPr>
        <w:t>u</w:t>
      </w:r>
      <w:r w:rsidRPr="006C4D25">
        <w:rPr>
          <w:rFonts w:cstheme="minorHAnsi"/>
        </w:rPr>
        <w:t xml:space="preserve">-19. </w:t>
      </w:r>
    </w:p>
  </w:footnote>
  <w:footnote w:id="7">
    <w:p w14:paraId="59153AA8" w14:textId="171DDC13" w:rsidR="009A1B03" w:rsidRDefault="009A1B03" w:rsidP="00044B38">
      <w:pPr>
        <w:pStyle w:val="Textpoznpodarou"/>
        <w:ind w:left="284" w:hanging="284"/>
        <w:jc w:val="both"/>
      </w:pPr>
      <w:r>
        <w:rPr>
          <w:rStyle w:val="Znakapoznpodarou"/>
        </w:rPr>
        <w:footnoteRef/>
      </w:r>
      <w:r>
        <w:t xml:space="preserve"> </w:t>
      </w:r>
      <w:r>
        <w:tab/>
        <w:t>Veřejnoprávní smlouva ze dne 25. 4. 2018 o přenesení výkonu některých činností správce programu 122D21 a programu 222 230, ke které byly uzavřeny dva dodatky, kterými MPO převzalo od října 2020 zpět některé činnosti programu 122D21 a programu 222 230 a převedlo na Agenturu CzechInvest některé povinnosti programu 122D20 a které nastavují povinnosti tohoto zpětného převzetí (spisová odluka, zajištění uskladnění dokumentace apod.).</w:t>
      </w:r>
    </w:p>
  </w:footnote>
  <w:footnote w:id="8">
    <w:p w14:paraId="1E783319" w14:textId="27C965DC" w:rsidR="009A1B03" w:rsidRDefault="009A1B03" w:rsidP="00044B38">
      <w:pPr>
        <w:pStyle w:val="Textpoznpodarou"/>
        <w:ind w:left="284" w:hanging="284"/>
      </w:pPr>
      <w:r>
        <w:rPr>
          <w:rStyle w:val="Znakapoznpodarou"/>
        </w:rPr>
        <w:footnoteRef/>
      </w:r>
      <w:r>
        <w:t xml:space="preserve"> </w:t>
      </w:r>
      <w:r>
        <w:tab/>
        <w:t>Veřejnoprávní smlouva ze dne 22. 12. 2017 pro OPPIK a pro OPTAK ze dne 3. 12. 2022.</w:t>
      </w:r>
    </w:p>
  </w:footnote>
  <w:footnote w:id="9">
    <w:p w14:paraId="044D12E3" w14:textId="74556623" w:rsidR="009A1B03" w:rsidRDefault="009A1B03" w:rsidP="00044B38">
      <w:pPr>
        <w:pStyle w:val="Textpoznpodarou"/>
        <w:ind w:left="284" w:hanging="284"/>
        <w:jc w:val="both"/>
      </w:pPr>
      <w:r>
        <w:rPr>
          <w:rStyle w:val="Znakapoznpodarou"/>
        </w:rPr>
        <w:footnoteRef/>
      </w:r>
      <w:r>
        <w:t xml:space="preserve"> </w:t>
      </w:r>
      <w:r>
        <w:tab/>
        <w:t xml:space="preserve">Integrovaná územní investice (ITI) je nástroj pro realizaci integrovaných strategií rozvoje území a umožňující koordinaci navzájem provázaných a územně zacílených intervencí z různých prioritních os jednoho či více programů ESI fondů. </w:t>
      </w:r>
    </w:p>
  </w:footnote>
  <w:footnote w:id="10">
    <w:p w14:paraId="543A2068" w14:textId="72364575" w:rsidR="009A1B03" w:rsidRDefault="009A1B03" w:rsidP="001B632F">
      <w:pPr>
        <w:pStyle w:val="Textpoznpodarou"/>
        <w:ind w:left="284" w:hanging="284"/>
      </w:pPr>
      <w:r>
        <w:rPr>
          <w:rStyle w:val="Znakapoznpodarou"/>
        </w:rPr>
        <w:footnoteRef/>
      </w:r>
      <w:r>
        <w:t xml:space="preserve"> </w:t>
      </w:r>
      <w:r>
        <w:tab/>
        <w:t xml:space="preserve">Komponenty jsou konkrétní předem definované oblasti podpory v rámci </w:t>
      </w:r>
      <w:r w:rsidRPr="00A66720">
        <w:rPr>
          <w:i/>
        </w:rPr>
        <w:t>Národního plánu obnovy</w:t>
      </w:r>
      <w:r>
        <w:t>.</w:t>
      </w:r>
    </w:p>
  </w:footnote>
  <w:footnote w:id="11">
    <w:p w14:paraId="370DBA81" w14:textId="01E693BB" w:rsidR="009A1B03" w:rsidRDefault="009A1B03" w:rsidP="0078411B">
      <w:pPr>
        <w:pStyle w:val="Textpoznpodarou"/>
        <w:ind w:left="284" w:hanging="284"/>
        <w:jc w:val="both"/>
      </w:pPr>
      <w:r>
        <w:rPr>
          <w:rStyle w:val="Znakapoznpodarou"/>
        </w:rPr>
        <w:footnoteRef/>
      </w:r>
      <w:r>
        <w:t xml:space="preserve"> </w:t>
      </w:r>
      <w:r>
        <w:tab/>
        <w:t>Zákon č. 320/2001 Sb., o finanční kontrole ve veřejné správě a o změně některých zákonů (zákon o finanční kontrole).</w:t>
      </w:r>
    </w:p>
  </w:footnote>
  <w:footnote w:id="12">
    <w:p w14:paraId="3F6DF04B" w14:textId="4CE9DD11" w:rsidR="009A1B03" w:rsidRDefault="009A1B03" w:rsidP="00044B38">
      <w:pPr>
        <w:pStyle w:val="Textpoznpodarou"/>
        <w:ind w:left="284" w:hanging="284"/>
        <w:jc w:val="both"/>
      </w:pPr>
      <w:r>
        <w:rPr>
          <w:rStyle w:val="Znakapoznpodarou"/>
        </w:rPr>
        <w:footnoteRef/>
      </w:r>
      <w:r>
        <w:t xml:space="preserve"> </w:t>
      </w:r>
      <w:r>
        <w:tab/>
        <w:t>Zákon České národní rady č. 2/1969 Sb., o zřízení ministerstev a jiných ústředních orgánů státní správy České republiky.</w:t>
      </w:r>
    </w:p>
  </w:footnote>
  <w:footnote w:id="13">
    <w:p w14:paraId="77A83FD0" w14:textId="377F6146" w:rsidR="009A1B03" w:rsidRDefault="009A1B03" w:rsidP="00044B38">
      <w:pPr>
        <w:pStyle w:val="Textpoznpodarou"/>
        <w:ind w:left="284" w:hanging="284"/>
        <w:jc w:val="both"/>
      </w:pPr>
      <w:r>
        <w:rPr>
          <w:rStyle w:val="Znakapoznpodarou"/>
        </w:rPr>
        <w:footnoteRef/>
      </w:r>
      <w:r>
        <w:t xml:space="preserve"> </w:t>
      </w:r>
      <w:r>
        <w:tab/>
        <w:t>Zákon č. 47/2002 Sb., o podpoře malého a středního podnikání a o změně zákona č. 2/1969 Sb., o zřízení ministerstev a jiných ústředních orgánů státní správy České republiky, ve znění pozdějších předpisů.</w:t>
      </w:r>
    </w:p>
  </w:footnote>
  <w:footnote w:id="14">
    <w:p w14:paraId="0CA51536" w14:textId="646CBAB9" w:rsidR="009A1B03" w:rsidRDefault="009A1B03" w:rsidP="00044B38">
      <w:pPr>
        <w:pStyle w:val="Textpoznpodarou"/>
        <w:ind w:left="284" w:hanging="284"/>
        <w:jc w:val="both"/>
      </w:pPr>
      <w:r>
        <w:rPr>
          <w:rStyle w:val="Znakapoznpodarou"/>
        </w:rPr>
        <w:footnoteRef/>
      </w:r>
      <w:r>
        <w:t xml:space="preserve"> </w:t>
      </w:r>
      <w:r>
        <w:tab/>
        <w:t>Zákon č. 128/2000 Sb., o obcích (obecní zřízení).</w:t>
      </w:r>
    </w:p>
  </w:footnote>
  <w:footnote w:id="15">
    <w:p w14:paraId="342B7BD4" w14:textId="366E3A26" w:rsidR="009A1B03" w:rsidRDefault="009A1B03" w:rsidP="00044B38">
      <w:pPr>
        <w:pStyle w:val="Textpoznpodarou"/>
        <w:ind w:left="284" w:hanging="284"/>
        <w:jc w:val="both"/>
      </w:pPr>
      <w:r>
        <w:rPr>
          <w:rStyle w:val="Znakapoznpodarou"/>
        </w:rPr>
        <w:footnoteRef/>
      </w:r>
      <w:r>
        <w:t xml:space="preserve"> </w:t>
      </w:r>
      <w:r>
        <w:tab/>
        <w:t>Zákon č. 218/2000 Sb., o rozpočtových pravidlech a o změně některých souvisejících zákonů (rozpočtová pravidla).</w:t>
      </w:r>
    </w:p>
  </w:footnote>
  <w:footnote w:id="16">
    <w:p w14:paraId="033A4B3C" w14:textId="1FED2CC0" w:rsidR="009A1B03" w:rsidRDefault="009A1B03" w:rsidP="00044B38">
      <w:pPr>
        <w:pStyle w:val="Textpoznpodarou"/>
        <w:ind w:left="284" w:hanging="284"/>
        <w:jc w:val="both"/>
      </w:pPr>
      <w:r>
        <w:rPr>
          <w:rStyle w:val="Znakapoznpodarou"/>
        </w:rPr>
        <w:footnoteRef/>
      </w:r>
      <w:r>
        <w:t xml:space="preserve"> </w:t>
      </w:r>
      <w:r>
        <w:tab/>
        <w:t>Zákon č. 340/2015 Sb., o zvláštních podmínkách účinnosti některých smluv, uveřejňování těchto smluv a o registru smluv (zákon o registru smluv).</w:t>
      </w:r>
    </w:p>
  </w:footnote>
  <w:footnote w:id="17">
    <w:p w14:paraId="6E6500C1" w14:textId="1707855C" w:rsidR="009A1B03" w:rsidRDefault="009A1B03" w:rsidP="00044B38">
      <w:pPr>
        <w:pStyle w:val="Textpoznpodarou"/>
        <w:ind w:left="284" w:hanging="284"/>
        <w:jc w:val="both"/>
      </w:pPr>
      <w:r>
        <w:rPr>
          <w:rStyle w:val="Znakapoznpodarou"/>
        </w:rPr>
        <w:footnoteRef/>
      </w:r>
      <w:r>
        <w:t xml:space="preserve"> </w:t>
      </w:r>
      <w:r>
        <w:tab/>
        <w:t xml:space="preserve">Zákon č. </w:t>
      </w:r>
      <w:r>
        <w:t>1</w:t>
      </w:r>
      <w:bookmarkStart w:id="20" w:name="_GoBack"/>
      <w:bookmarkEnd w:id="20"/>
      <w:r>
        <w:t>34/2016 Sb., o zadávání veřejných zakázek.</w:t>
      </w:r>
    </w:p>
  </w:footnote>
  <w:footnote w:id="18">
    <w:p w14:paraId="590FBB20" w14:textId="21DCFB5F" w:rsidR="009A1B03" w:rsidRDefault="009A1B03" w:rsidP="00044B38">
      <w:pPr>
        <w:pStyle w:val="Textpoznpodarou"/>
        <w:ind w:left="284" w:hanging="284"/>
        <w:jc w:val="both"/>
      </w:pPr>
      <w:r>
        <w:rPr>
          <w:rStyle w:val="Znakapoznpodarou"/>
        </w:rPr>
        <w:footnoteRef/>
      </w:r>
      <w:r>
        <w:t xml:space="preserve"> </w:t>
      </w:r>
      <w:r>
        <w:tab/>
      </w:r>
      <w:r w:rsidRPr="004520DD">
        <w:t>Nařízení Evropského parlamentu a Rady (EU) č. 1303/2013 ze dne 17. prosince 2013</w:t>
      </w:r>
      <w:r>
        <w:t>,</w:t>
      </w:r>
      <w:r w:rsidRPr="004520DD">
        <w:t xml:space="preserve">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w:t>
      </w:r>
      <w:r>
        <w:t> </w:t>
      </w:r>
      <w:r w:rsidRPr="004520DD">
        <w:t>Evropském námořním a rybářském fondu a o zrušení nařízení Rady (ES) č. 1083/2006</w:t>
      </w:r>
      <w:r>
        <w:t>.</w:t>
      </w:r>
    </w:p>
  </w:footnote>
  <w:footnote w:id="19">
    <w:p w14:paraId="5D44E202" w14:textId="68DCEF03" w:rsidR="009A1B03" w:rsidRDefault="009A1B03" w:rsidP="00044B38">
      <w:pPr>
        <w:pStyle w:val="Textpoznpodarou"/>
        <w:ind w:left="284" w:hanging="284"/>
        <w:jc w:val="both"/>
      </w:pPr>
      <w:r>
        <w:rPr>
          <w:rStyle w:val="Znakapoznpodarou"/>
        </w:rPr>
        <w:footnoteRef/>
      </w:r>
      <w:r>
        <w:t xml:space="preserve"> </w:t>
      </w:r>
      <w:r>
        <w:tab/>
      </w:r>
      <w:r w:rsidRPr="00FB73DE">
        <w:t>Nařízení Komise v přenesené pravomoci (EU) č. 480/2014 ze dne 3. března 2014, kterým se doplňuje nařízení Evropského parlamentu a Rady (EU) č. 1303/2013</w:t>
      </w:r>
      <w:r>
        <w:t>,</w:t>
      </w:r>
      <w:r w:rsidRPr="00FB73DE">
        <w:t xml:space="preserve"> o společných ustanoveních o Evropském fondu pro regionální rozvoj, Evropském sociálním fondu, Fondu soudržnosti, Evropském zemědělském fondu pro rozvoj venkova a</w:t>
      </w:r>
      <w:r>
        <w:t> </w:t>
      </w:r>
      <w:r w:rsidRPr="00FB73DE">
        <w:t>Evropském námořním a rybářském fondu a o obecných ustanoveních o Evropském fondu pro regionální rozvoj, Evropském sociálním fondu, Fondu soudržnosti a Evropském námořním a rybářském fondu</w:t>
      </w:r>
      <w:r>
        <w:t>.</w:t>
      </w:r>
    </w:p>
  </w:footnote>
  <w:footnote w:id="20">
    <w:p w14:paraId="5C2E8FFB" w14:textId="47058580" w:rsidR="009A1B03" w:rsidRDefault="009A1B03" w:rsidP="00DE5C3A">
      <w:pPr>
        <w:pStyle w:val="Textpoznpodarou"/>
        <w:ind w:left="284" w:hanging="284"/>
        <w:jc w:val="both"/>
      </w:pPr>
      <w:r>
        <w:rPr>
          <w:rStyle w:val="Znakapoznpodarou"/>
          <w:rFonts w:eastAsiaTheme="majorEastAsia"/>
        </w:rPr>
        <w:footnoteRef/>
      </w:r>
      <w:r>
        <w:t xml:space="preserve"> </w:t>
      </w:r>
      <w:r>
        <w:tab/>
        <w:t xml:space="preserve">Kontrolní závěr z kontrolní akce č. 18/01 – </w:t>
      </w:r>
      <w:r w:rsidRPr="008E0961">
        <w:rPr>
          <w:i/>
        </w:rPr>
        <w:t>Podpora podnikatelských nemovitostí a podnikatelské infrastruktury</w:t>
      </w:r>
      <w:r>
        <w:t xml:space="preserve"> (kontrolní závěr byl zveřejněn v částce 6/2018 </w:t>
      </w:r>
      <w:r>
        <w:rPr>
          <w:i/>
        </w:rPr>
        <w:t>Věstníku NKÚ</w:t>
      </w:r>
      <w:r>
        <w:t xml:space="preserve">). </w:t>
      </w:r>
    </w:p>
  </w:footnote>
  <w:footnote w:id="21">
    <w:p w14:paraId="6B05FBA9" w14:textId="2040AC31" w:rsidR="009A1B03" w:rsidRDefault="009A1B03" w:rsidP="006965A1">
      <w:pPr>
        <w:pStyle w:val="Textpoznpodarou"/>
        <w:ind w:left="284" w:hanging="284"/>
        <w:jc w:val="both"/>
      </w:pPr>
      <w:r>
        <w:rPr>
          <w:rStyle w:val="Znakapoznpodarou"/>
          <w:rFonts w:eastAsiaTheme="majorEastAsia"/>
        </w:rPr>
        <w:footnoteRef/>
      </w:r>
      <w:r>
        <w:t xml:space="preserve"> </w:t>
      </w:r>
      <w:r>
        <w:tab/>
        <w:t xml:space="preserve">Usnesení vlády České republiky ze dne 30. září 2019 č. 673, </w:t>
      </w:r>
      <w:r w:rsidRPr="008E0961">
        <w:rPr>
          <w:i/>
        </w:rPr>
        <w:t>ke Kontrolnímu závěru Nejvyššího kontrolního úřadu z kontrolní akce č. 18/01 Podpora podnikatelských nemovitostí a podnikatelské infrastruktury</w:t>
      </w:r>
      <w:r>
        <w:t>.</w:t>
      </w:r>
    </w:p>
  </w:footnote>
  <w:footnote w:id="22">
    <w:p w14:paraId="636BB3A4" w14:textId="2FE66935" w:rsidR="009A1B03" w:rsidRDefault="009A1B03" w:rsidP="00D86DDE">
      <w:pPr>
        <w:pStyle w:val="Textpoznpodarou"/>
        <w:ind w:left="284" w:hanging="284"/>
        <w:jc w:val="both"/>
      </w:pPr>
      <w:r>
        <w:rPr>
          <w:rStyle w:val="Znakapoznpodarou"/>
        </w:rPr>
        <w:footnoteRef/>
      </w:r>
      <w:r>
        <w:t xml:space="preserve"> </w:t>
      </w:r>
      <w:r>
        <w:tab/>
      </w:r>
      <w:r w:rsidRPr="00A138F9">
        <w:t>V roce 2016 byl sledovaný ukazatel s názvem „</w:t>
      </w:r>
      <w:r>
        <w:t>p</w:t>
      </w:r>
      <w:r w:rsidRPr="00A138F9">
        <w:t xml:space="preserve">očet podpořených projektů“ zařazen mezi parametry. Aktualizací </w:t>
      </w:r>
      <w:r>
        <w:t>d</w:t>
      </w:r>
      <w:r w:rsidRPr="00A138F9">
        <w:t>okumentace programu 122D21 provedenou v roce 2018 byl přesunut mezi indikátory.</w:t>
      </w:r>
    </w:p>
  </w:footnote>
  <w:footnote w:id="23">
    <w:p w14:paraId="29F303FE" w14:textId="27C8D2E0" w:rsidR="009A1B03" w:rsidRDefault="009A1B03" w:rsidP="00D86DDE">
      <w:pPr>
        <w:pStyle w:val="Textpoznpodarou"/>
        <w:ind w:left="284" w:hanging="284"/>
        <w:jc w:val="both"/>
      </w:pPr>
      <w:r>
        <w:rPr>
          <w:rStyle w:val="Znakapoznpodarou"/>
        </w:rPr>
        <w:footnoteRef/>
      </w:r>
      <w:r>
        <w:t xml:space="preserve"> </w:t>
      </w:r>
      <w:r>
        <w:tab/>
        <w:t>F</w:t>
      </w:r>
      <w:r w:rsidRPr="00580614">
        <w:t>ondem fondů se dle čl. 2 odst. 27 Obecného nařízení rozumí fond zřízený s cílem poskytovat podporu z</w:t>
      </w:r>
      <w:r>
        <w:t> </w:t>
      </w:r>
      <w:r w:rsidRPr="00580614">
        <w:t>programu či programů několika finančním nástrojům.</w:t>
      </w:r>
    </w:p>
  </w:footnote>
  <w:footnote w:id="24">
    <w:p w14:paraId="73EF90D9" w14:textId="4074CA1A" w:rsidR="009A1B03" w:rsidRDefault="009A1B03" w:rsidP="00D86DDE">
      <w:pPr>
        <w:pStyle w:val="Textpoznpodarou"/>
        <w:ind w:left="284" w:hanging="284"/>
        <w:jc w:val="both"/>
      </w:pPr>
      <w:r>
        <w:rPr>
          <w:rStyle w:val="Znakapoznpodarou"/>
        </w:rPr>
        <w:footnoteRef/>
      </w:r>
      <w:r>
        <w:t xml:space="preserve"> </w:t>
      </w:r>
      <w:r w:rsidRPr="00D700F7">
        <w:rPr>
          <w:rFonts w:asciiTheme="minorHAnsi" w:hAnsiTheme="minorHAnsi" w:cstheme="minorHAnsi"/>
        </w:rPr>
        <w:t>ČMZRB investiční, a.s.</w:t>
      </w:r>
      <w:r>
        <w:rPr>
          <w:rFonts w:asciiTheme="minorHAnsi" w:hAnsiTheme="minorHAnsi" w:cstheme="minorHAnsi"/>
        </w:rPr>
        <w:t>, (</w:t>
      </w:r>
      <w:r w:rsidRPr="00DD6DD9">
        <w:rPr>
          <w:rFonts w:asciiTheme="minorHAnsi" w:hAnsiTheme="minorHAnsi" w:cstheme="minorHAnsi"/>
        </w:rPr>
        <w:t>Národní rozvojová investiční, a.s.</w:t>
      </w:r>
      <w:r>
        <w:rPr>
          <w:rFonts w:asciiTheme="minorHAnsi" w:hAnsiTheme="minorHAnsi" w:cstheme="minorHAnsi"/>
        </w:rPr>
        <w:t xml:space="preserve">) je dceřinou společností 100% vlastněnou </w:t>
      </w:r>
      <w:r w:rsidRPr="001A1FA6">
        <w:t>Českomoravsk</w:t>
      </w:r>
      <w:r>
        <w:t>ou</w:t>
      </w:r>
      <w:r w:rsidRPr="001A1FA6">
        <w:t xml:space="preserve"> záruční a rozvojov</w:t>
      </w:r>
      <w:r>
        <w:t>ou</w:t>
      </w:r>
      <w:r w:rsidRPr="001A1FA6">
        <w:t xml:space="preserve"> bank</w:t>
      </w:r>
      <w:r>
        <w:t>ou</w:t>
      </w:r>
      <w:r w:rsidRPr="001A1FA6">
        <w:t>, a.s.</w:t>
      </w:r>
      <w:r>
        <w:t xml:space="preserve"> (</w:t>
      </w:r>
      <w:r w:rsidRPr="001A1FA6">
        <w:t>Národní rozvojo</w:t>
      </w:r>
      <w:r>
        <w:t>vou</w:t>
      </w:r>
      <w:r w:rsidRPr="001A1FA6">
        <w:t xml:space="preserve"> bank</w:t>
      </w:r>
      <w:r>
        <w:t>ou</w:t>
      </w:r>
      <w:r w:rsidRPr="001A1FA6">
        <w:t>, a.s.</w:t>
      </w:r>
      <w:r>
        <w:t>).</w:t>
      </w:r>
    </w:p>
  </w:footnote>
  <w:footnote w:id="25">
    <w:p w14:paraId="6F66C97B" w14:textId="663A4323" w:rsidR="009A1B03" w:rsidRDefault="009A1B03" w:rsidP="00D86DDE">
      <w:pPr>
        <w:pStyle w:val="Textpoznpodarou"/>
        <w:ind w:left="284" w:hanging="284"/>
        <w:jc w:val="both"/>
      </w:pPr>
      <w:r>
        <w:rPr>
          <w:rStyle w:val="Znakapoznpodarou"/>
        </w:rPr>
        <w:footnoteRef/>
      </w:r>
      <w:r>
        <w:t xml:space="preserve"> </w:t>
      </w:r>
      <w:r>
        <w:tab/>
        <w:t>Rozvojový fond je akciová společnost, jejímž jediným akcionářem a statutárním orgánem je Finanční zprostředkovatel a jejím předmětem činnosti je přijetí prostředků z Fondu fondů a poskytnutí investice z finančního nástroje konečným příjemcům.</w:t>
      </w:r>
    </w:p>
  </w:footnote>
  <w:footnote w:id="26">
    <w:p w14:paraId="44F8AF15" w14:textId="642E8A4D" w:rsidR="009A1B03" w:rsidRDefault="009A1B03">
      <w:pPr>
        <w:pStyle w:val="Textpoznpodarou"/>
      </w:pPr>
      <w:r>
        <w:rPr>
          <w:rStyle w:val="Znakapoznpodarou"/>
        </w:rPr>
        <w:footnoteRef/>
      </w:r>
      <w:r>
        <w:t xml:space="preserve"> </w:t>
      </w:r>
      <w:r>
        <w:tab/>
        <w:t>Jedná se o celkovou částku alokace ve výši 497 250 000 Kč sníženou o odměnu pro Správce.</w:t>
      </w:r>
    </w:p>
  </w:footnote>
  <w:footnote w:id="27">
    <w:p w14:paraId="5C2A5925" w14:textId="5C3101C5" w:rsidR="009A1B03" w:rsidRDefault="009A1B03" w:rsidP="00637E52">
      <w:pPr>
        <w:pStyle w:val="Textpoznpodarou"/>
        <w:ind w:left="284" w:hanging="284"/>
        <w:jc w:val="both"/>
      </w:pPr>
      <w:r>
        <w:rPr>
          <w:rStyle w:val="Znakapoznpodarou"/>
        </w:rPr>
        <w:footnoteRef/>
      </w:r>
      <w:r>
        <w:t xml:space="preserve"> </w:t>
      </w:r>
      <w:r>
        <w:tab/>
        <w:t xml:space="preserve">Z peněžních prostředků OPPIK lze uhradit jen způsobilé výdaje. Případné nezpůsobilé výdaje by musely být hrazeny z </w:t>
      </w:r>
      <w:r w:rsidRPr="00B750E0">
        <w:rPr>
          <w:rFonts w:cstheme="minorHAnsi"/>
        </w:rPr>
        <w:t>peněžních prostředků státního rozpočtu (z</w:t>
      </w:r>
      <w:r>
        <w:rPr>
          <w:rFonts w:cstheme="minorHAnsi"/>
        </w:rPr>
        <w:t> </w:t>
      </w:r>
      <w:r w:rsidRPr="00B750E0">
        <w:rPr>
          <w:rFonts w:cstheme="minorHAnsi"/>
        </w:rPr>
        <w:t>kapitoly 322 – MPO)</w:t>
      </w:r>
      <w:r>
        <w:rPr>
          <w:rFonts w:cstheme="minorHAnsi"/>
        </w:rPr>
        <w:t>.</w:t>
      </w:r>
    </w:p>
  </w:footnote>
  <w:footnote w:id="28">
    <w:p w14:paraId="487D0F7D" w14:textId="5FE1B858" w:rsidR="009A1B03" w:rsidRDefault="009A1B03" w:rsidP="00637E52">
      <w:pPr>
        <w:pStyle w:val="Textpoznpodarou"/>
        <w:ind w:left="284" w:hanging="284"/>
        <w:jc w:val="both"/>
      </w:pPr>
      <w:r>
        <w:rPr>
          <w:rStyle w:val="Znakapoznpodarou"/>
        </w:rPr>
        <w:footnoteRef/>
      </w:r>
      <w:r>
        <w:t xml:space="preserve"> </w:t>
      </w:r>
      <w:r>
        <w:tab/>
        <w:t xml:space="preserve">Obecné nařízení, Prováděcí nařízení, </w:t>
      </w:r>
      <w:r w:rsidRPr="007323F8">
        <w:rPr>
          <w:rFonts w:cstheme="minorHAnsi"/>
        </w:rPr>
        <w:t>Guidance for Member States on</w:t>
      </w:r>
      <w:r>
        <w:rPr>
          <w:rFonts w:cstheme="minorHAnsi"/>
        </w:rPr>
        <w:t xml:space="preserve"> </w:t>
      </w:r>
      <w:r w:rsidRPr="007323F8">
        <w:rPr>
          <w:rFonts w:cstheme="minorHAnsi"/>
        </w:rPr>
        <w:t>Article 42(1)(d) CPR</w:t>
      </w:r>
      <w:r>
        <w:rPr>
          <w:rFonts w:cstheme="minorHAnsi"/>
        </w:rPr>
        <w:t xml:space="preserve"> </w:t>
      </w:r>
      <w:r w:rsidRPr="007323F8">
        <w:rPr>
          <w:rFonts w:cstheme="minorHAnsi"/>
        </w:rPr>
        <w:t>– Eligible management costs and fees</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908C" w14:textId="77777777" w:rsidR="009A1B03" w:rsidRPr="00715839" w:rsidRDefault="009A1B03" w:rsidP="00972D3C">
    <w:pPr>
      <w:pStyle w:val="Zhlav"/>
      <w:jc w:val="right"/>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3A09"/>
    <w:multiLevelType w:val="hybridMultilevel"/>
    <w:tmpl w:val="82AED790"/>
    <w:lvl w:ilvl="0" w:tplc="F5C88458">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991894"/>
    <w:multiLevelType w:val="multilevel"/>
    <w:tmpl w:val="CAB65A8C"/>
    <w:lvl w:ilvl="0">
      <w:start w:val="1"/>
      <w:numFmt w:val="decimal"/>
      <w:pStyle w:val="Nadpis2"/>
      <w:lvlText w:val="2.%1"/>
      <w:lvlJc w:val="left"/>
      <w:pPr>
        <w:ind w:left="107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2924" w:hanging="360"/>
      </w:pPr>
      <w:rPr>
        <w:rFonts w:hint="default"/>
      </w:rPr>
    </w:lvl>
    <w:lvl w:ilvl="2">
      <w:start w:val="1"/>
      <w:numFmt w:val="lowerRoman"/>
      <w:lvlText w:val="%3."/>
      <w:lvlJc w:val="right"/>
      <w:pPr>
        <w:ind w:left="3644" w:hanging="180"/>
      </w:pPr>
      <w:rPr>
        <w:rFonts w:hint="default"/>
      </w:rPr>
    </w:lvl>
    <w:lvl w:ilvl="3">
      <w:start w:val="1"/>
      <w:numFmt w:val="decimal"/>
      <w:lvlText w:val="%4."/>
      <w:lvlJc w:val="left"/>
      <w:pPr>
        <w:ind w:left="4364" w:hanging="360"/>
      </w:pPr>
      <w:rPr>
        <w:rFonts w:hint="default"/>
      </w:rPr>
    </w:lvl>
    <w:lvl w:ilvl="4">
      <w:start w:val="1"/>
      <w:numFmt w:val="lowerLetter"/>
      <w:lvlText w:val="%5."/>
      <w:lvlJc w:val="left"/>
      <w:pPr>
        <w:ind w:left="5084" w:hanging="360"/>
      </w:pPr>
      <w:rPr>
        <w:rFonts w:hint="default"/>
      </w:rPr>
    </w:lvl>
    <w:lvl w:ilvl="5">
      <w:start w:val="1"/>
      <w:numFmt w:val="lowerRoman"/>
      <w:lvlText w:val="%6."/>
      <w:lvlJc w:val="right"/>
      <w:pPr>
        <w:ind w:left="5804" w:hanging="180"/>
      </w:pPr>
      <w:rPr>
        <w:rFonts w:hint="default"/>
      </w:rPr>
    </w:lvl>
    <w:lvl w:ilvl="6">
      <w:start w:val="1"/>
      <w:numFmt w:val="decimal"/>
      <w:lvlText w:val="%7."/>
      <w:lvlJc w:val="left"/>
      <w:pPr>
        <w:ind w:left="6524" w:hanging="360"/>
      </w:pPr>
      <w:rPr>
        <w:rFonts w:hint="default"/>
      </w:rPr>
    </w:lvl>
    <w:lvl w:ilvl="7">
      <w:start w:val="1"/>
      <w:numFmt w:val="lowerLetter"/>
      <w:lvlText w:val="%8."/>
      <w:lvlJc w:val="left"/>
      <w:pPr>
        <w:ind w:left="7244" w:hanging="360"/>
      </w:pPr>
      <w:rPr>
        <w:rFonts w:hint="default"/>
      </w:rPr>
    </w:lvl>
    <w:lvl w:ilvl="8">
      <w:start w:val="1"/>
      <w:numFmt w:val="lowerRoman"/>
      <w:lvlText w:val="%9."/>
      <w:lvlJc w:val="right"/>
      <w:pPr>
        <w:ind w:left="7964" w:hanging="180"/>
      </w:pPr>
      <w:rPr>
        <w:rFonts w:hint="default"/>
      </w:rPr>
    </w:lvl>
  </w:abstractNum>
  <w:abstractNum w:abstractNumId="2" w15:restartNumberingAfterBreak="0">
    <w:nsid w:val="20E51A75"/>
    <w:multiLevelType w:val="hybridMultilevel"/>
    <w:tmpl w:val="6C462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427BE2"/>
    <w:multiLevelType w:val="hybridMultilevel"/>
    <w:tmpl w:val="9E1C238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761CAA"/>
    <w:multiLevelType w:val="hybridMultilevel"/>
    <w:tmpl w:val="0FF6D29A"/>
    <w:lvl w:ilvl="0" w:tplc="EF423B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8F4CFC"/>
    <w:multiLevelType w:val="hybridMultilevel"/>
    <w:tmpl w:val="055C1D92"/>
    <w:lvl w:ilvl="0" w:tplc="F2240B9C">
      <w:start w:val="1"/>
      <w:numFmt w:val="decimal"/>
      <w:pStyle w:val="Nadpis3"/>
      <w:lvlText w:val="3.%1"/>
      <w:lvlJc w:val="left"/>
      <w:pPr>
        <w:ind w:left="72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A351627"/>
    <w:multiLevelType w:val="hybridMultilevel"/>
    <w:tmpl w:val="3A3A3D0C"/>
    <w:lvl w:ilvl="0" w:tplc="7D4EC0BC">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CBC575B"/>
    <w:multiLevelType w:val="hybridMultilevel"/>
    <w:tmpl w:val="F79A9816"/>
    <w:lvl w:ilvl="0" w:tplc="153609FE">
      <w:start w:val="1"/>
      <w:numFmt w:val="decimal"/>
      <w:pStyle w:val="Nadpis4"/>
      <w:lvlText w:val="4.%1"/>
      <w:lvlJc w:val="left"/>
      <w:pPr>
        <w:ind w:left="2203"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CE33A6A"/>
    <w:multiLevelType w:val="hybridMultilevel"/>
    <w:tmpl w:val="9704114E"/>
    <w:lvl w:ilvl="0" w:tplc="7AC4581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2E40E0B"/>
    <w:multiLevelType w:val="hybridMultilevel"/>
    <w:tmpl w:val="E0CA21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F445B48"/>
    <w:multiLevelType w:val="multilevel"/>
    <w:tmpl w:val="14E05492"/>
    <w:lvl w:ilvl="0">
      <w:start w:val="1"/>
      <w:numFmt w:val="decimal"/>
      <w:lvlText w:val="%1."/>
      <w:lvlJc w:val="left"/>
      <w:pPr>
        <w:ind w:left="851" w:hanging="851"/>
      </w:pPr>
      <w:rPr>
        <w:rFonts w:hint="default"/>
      </w:rPr>
    </w:lvl>
    <w:lvl w:ilvl="1">
      <w:start w:val="1"/>
      <w:numFmt w:val="decimal"/>
      <w:lvlText w:val="%1.%2."/>
      <w:lvlJc w:val="left"/>
      <w:pPr>
        <w:tabs>
          <w:tab w:val="num" w:pos="567"/>
        </w:tabs>
        <w:ind w:left="1134" w:hanging="777"/>
      </w:pPr>
      <w:rPr>
        <w:rFonts w:hint="default"/>
        <w:strike w:val="0"/>
        <w:color w:val="auto"/>
        <w:sz w:val="24"/>
        <w:szCs w:val="24"/>
      </w:rPr>
    </w:lvl>
    <w:lvl w:ilvl="2">
      <w:start w:val="1"/>
      <w:numFmt w:val="decimal"/>
      <w:lvlText w:val="%1.%2.%3."/>
      <w:lvlJc w:val="left"/>
      <w:pPr>
        <w:ind w:left="1565" w:hanging="851"/>
      </w:pPr>
      <w:rPr>
        <w:rFonts w:hint="default"/>
      </w:rPr>
    </w:lvl>
    <w:lvl w:ilvl="3">
      <w:start w:val="1"/>
      <w:numFmt w:val="decimal"/>
      <w:lvlText w:val="%1.%2.%3.%4."/>
      <w:lvlJc w:val="left"/>
      <w:pPr>
        <w:ind w:left="1922" w:hanging="851"/>
      </w:pPr>
      <w:rPr>
        <w:rFonts w:hint="default"/>
      </w:rPr>
    </w:lvl>
    <w:lvl w:ilvl="4">
      <w:start w:val="1"/>
      <w:numFmt w:val="decimal"/>
      <w:lvlText w:val="%1.%2.%3.%4.%5."/>
      <w:lvlJc w:val="left"/>
      <w:pPr>
        <w:ind w:left="2279" w:hanging="851"/>
      </w:pPr>
      <w:rPr>
        <w:rFonts w:hint="default"/>
      </w:rPr>
    </w:lvl>
    <w:lvl w:ilvl="5">
      <w:start w:val="1"/>
      <w:numFmt w:val="decimal"/>
      <w:lvlText w:val="%1.%2.%3.%4.%5.%6."/>
      <w:lvlJc w:val="left"/>
      <w:pPr>
        <w:ind w:left="2636" w:hanging="851"/>
      </w:pPr>
      <w:rPr>
        <w:rFonts w:hint="default"/>
      </w:rPr>
    </w:lvl>
    <w:lvl w:ilvl="6">
      <w:start w:val="1"/>
      <w:numFmt w:val="decimal"/>
      <w:lvlText w:val="%1.%2.%3.%4.%5.%6.%7."/>
      <w:lvlJc w:val="left"/>
      <w:pPr>
        <w:ind w:left="2993" w:hanging="851"/>
      </w:pPr>
      <w:rPr>
        <w:rFonts w:hint="default"/>
      </w:rPr>
    </w:lvl>
    <w:lvl w:ilvl="7">
      <w:start w:val="1"/>
      <w:numFmt w:val="decimal"/>
      <w:lvlText w:val="%1.%2.%3.%4.%5.%6.%7.%8."/>
      <w:lvlJc w:val="left"/>
      <w:pPr>
        <w:ind w:left="3350" w:hanging="851"/>
      </w:pPr>
      <w:rPr>
        <w:rFonts w:hint="default"/>
      </w:rPr>
    </w:lvl>
    <w:lvl w:ilvl="8">
      <w:start w:val="1"/>
      <w:numFmt w:val="decimal"/>
      <w:lvlText w:val="%1.%2.%3.%4.%5.%6.%7.%8.%9."/>
      <w:lvlJc w:val="left"/>
      <w:pPr>
        <w:ind w:left="3707" w:hanging="851"/>
      </w:pPr>
      <w:rPr>
        <w:rFonts w:hint="default"/>
      </w:rPr>
    </w:lvl>
  </w:abstractNum>
  <w:abstractNum w:abstractNumId="11" w15:restartNumberingAfterBreak="0">
    <w:nsid w:val="756B6027"/>
    <w:multiLevelType w:val="hybridMultilevel"/>
    <w:tmpl w:val="9BF0B420"/>
    <w:lvl w:ilvl="0" w:tplc="5B88D67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8"/>
  </w:num>
  <w:num w:numId="5">
    <w:abstractNumId w:val="1"/>
  </w:num>
  <w:num w:numId="6">
    <w:abstractNumId w:val="5"/>
  </w:num>
  <w:num w:numId="7">
    <w:abstractNumId w:val="7"/>
  </w:num>
  <w:num w:numId="8">
    <w:abstractNumId w:val="3"/>
  </w:num>
  <w:num w:numId="9">
    <w:abstractNumId w:val="9"/>
  </w:num>
  <w:num w:numId="10">
    <w:abstractNumId w:val="2"/>
  </w:num>
  <w:num w:numId="11">
    <w:abstractNumId w:val="11"/>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227"/>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B3724"/>
    <w:rsid w:val="000001A4"/>
    <w:rsid w:val="00000330"/>
    <w:rsid w:val="00000739"/>
    <w:rsid w:val="00000BCF"/>
    <w:rsid w:val="00001B9E"/>
    <w:rsid w:val="0000251F"/>
    <w:rsid w:val="00002599"/>
    <w:rsid w:val="000031B6"/>
    <w:rsid w:val="00003288"/>
    <w:rsid w:val="00003383"/>
    <w:rsid w:val="00005103"/>
    <w:rsid w:val="000056A2"/>
    <w:rsid w:val="00005BF6"/>
    <w:rsid w:val="00006C82"/>
    <w:rsid w:val="00007D0E"/>
    <w:rsid w:val="00010542"/>
    <w:rsid w:val="00010B91"/>
    <w:rsid w:val="00010FCA"/>
    <w:rsid w:val="00012394"/>
    <w:rsid w:val="000125BA"/>
    <w:rsid w:val="000128B2"/>
    <w:rsid w:val="00014047"/>
    <w:rsid w:val="000144BA"/>
    <w:rsid w:val="00015B0A"/>
    <w:rsid w:val="00016254"/>
    <w:rsid w:val="000162F2"/>
    <w:rsid w:val="0001658D"/>
    <w:rsid w:val="00016AFF"/>
    <w:rsid w:val="00016CAB"/>
    <w:rsid w:val="00016D60"/>
    <w:rsid w:val="00020393"/>
    <w:rsid w:val="00020D87"/>
    <w:rsid w:val="000212E0"/>
    <w:rsid w:val="00021654"/>
    <w:rsid w:val="0002374B"/>
    <w:rsid w:val="0002404E"/>
    <w:rsid w:val="00024651"/>
    <w:rsid w:val="0002611C"/>
    <w:rsid w:val="00026AE9"/>
    <w:rsid w:val="00027EB2"/>
    <w:rsid w:val="000302B5"/>
    <w:rsid w:val="00032905"/>
    <w:rsid w:val="00033308"/>
    <w:rsid w:val="0003457C"/>
    <w:rsid w:val="00036137"/>
    <w:rsid w:val="000370C0"/>
    <w:rsid w:val="0003724A"/>
    <w:rsid w:val="000402A6"/>
    <w:rsid w:val="00041116"/>
    <w:rsid w:val="000411BB"/>
    <w:rsid w:val="000418A9"/>
    <w:rsid w:val="00041A1D"/>
    <w:rsid w:val="000425B6"/>
    <w:rsid w:val="00044B38"/>
    <w:rsid w:val="0004553D"/>
    <w:rsid w:val="00045928"/>
    <w:rsid w:val="0004637C"/>
    <w:rsid w:val="000473AF"/>
    <w:rsid w:val="00047AC0"/>
    <w:rsid w:val="00050F15"/>
    <w:rsid w:val="000534E1"/>
    <w:rsid w:val="0005647F"/>
    <w:rsid w:val="000566DC"/>
    <w:rsid w:val="00056FDA"/>
    <w:rsid w:val="00057BF3"/>
    <w:rsid w:val="00063024"/>
    <w:rsid w:val="00063B25"/>
    <w:rsid w:val="00063C16"/>
    <w:rsid w:val="00065B68"/>
    <w:rsid w:val="000708A7"/>
    <w:rsid w:val="00071284"/>
    <w:rsid w:val="000715F7"/>
    <w:rsid w:val="00073940"/>
    <w:rsid w:val="00073B70"/>
    <w:rsid w:val="00074295"/>
    <w:rsid w:val="00076077"/>
    <w:rsid w:val="00076BBF"/>
    <w:rsid w:val="00080C46"/>
    <w:rsid w:val="000811A6"/>
    <w:rsid w:val="00081F74"/>
    <w:rsid w:val="000823D0"/>
    <w:rsid w:val="00082A4F"/>
    <w:rsid w:val="00083E4E"/>
    <w:rsid w:val="00084344"/>
    <w:rsid w:val="000847FB"/>
    <w:rsid w:val="000849EF"/>
    <w:rsid w:val="00085681"/>
    <w:rsid w:val="000875BD"/>
    <w:rsid w:val="00087C57"/>
    <w:rsid w:val="00090A4D"/>
    <w:rsid w:val="0009161F"/>
    <w:rsid w:val="00092573"/>
    <w:rsid w:val="00092EF1"/>
    <w:rsid w:val="0009379F"/>
    <w:rsid w:val="00093BFE"/>
    <w:rsid w:val="000945B7"/>
    <w:rsid w:val="000945E8"/>
    <w:rsid w:val="00094621"/>
    <w:rsid w:val="00097AA5"/>
    <w:rsid w:val="000A123C"/>
    <w:rsid w:val="000A1CBC"/>
    <w:rsid w:val="000A312F"/>
    <w:rsid w:val="000A3343"/>
    <w:rsid w:val="000A37FD"/>
    <w:rsid w:val="000A3C79"/>
    <w:rsid w:val="000A4338"/>
    <w:rsid w:val="000A51D9"/>
    <w:rsid w:val="000A59D2"/>
    <w:rsid w:val="000A60E3"/>
    <w:rsid w:val="000A7BAF"/>
    <w:rsid w:val="000A7FC8"/>
    <w:rsid w:val="000B06C3"/>
    <w:rsid w:val="000B0AC1"/>
    <w:rsid w:val="000B3054"/>
    <w:rsid w:val="000B3DBA"/>
    <w:rsid w:val="000B3E62"/>
    <w:rsid w:val="000B518E"/>
    <w:rsid w:val="000B674B"/>
    <w:rsid w:val="000B7DA4"/>
    <w:rsid w:val="000C013D"/>
    <w:rsid w:val="000C0953"/>
    <w:rsid w:val="000C1B1A"/>
    <w:rsid w:val="000C215A"/>
    <w:rsid w:val="000C4972"/>
    <w:rsid w:val="000C4CE6"/>
    <w:rsid w:val="000C5ED6"/>
    <w:rsid w:val="000C7943"/>
    <w:rsid w:val="000C7F33"/>
    <w:rsid w:val="000D00F5"/>
    <w:rsid w:val="000D14BA"/>
    <w:rsid w:val="000D187D"/>
    <w:rsid w:val="000D19A3"/>
    <w:rsid w:val="000D267A"/>
    <w:rsid w:val="000D2F5B"/>
    <w:rsid w:val="000D38B6"/>
    <w:rsid w:val="000D45C7"/>
    <w:rsid w:val="000D4F90"/>
    <w:rsid w:val="000E0037"/>
    <w:rsid w:val="000E04E8"/>
    <w:rsid w:val="000E04EB"/>
    <w:rsid w:val="000E31DB"/>
    <w:rsid w:val="000E37B7"/>
    <w:rsid w:val="000E4069"/>
    <w:rsid w:val="000E73F7"/>
    <w:rsid w:val="000E7D3B"/>
    <w:rsid w:val="000F1BD3"/>
    <w:rsid w:val="000F2A2C"/>
    <w:rsid w:val="000F49B6"/>
    <w:rsid w:val="000F4C22"/>
    <w:rsid w:val="000F59D3"/>
    <w:rsid w:val="000F619C"/>
    <w:rsid w:val="00100BD7"/>
    <w:rsid w:val="0010184E"/>
    <w:rsid w:val="0010316E"/>
    <w:rsid w:val="0010382C"/>
    <w:rsid w:val="00103864"/>
    <w:rsid w:val="00103CE0"/>
    <w:rsid w:val="00103F25"/>
    <w:rsid w:val="00107907"/>
    <w:rsid w:val="00110F83"/>
    <w:rsid w:val="00111142"/>
    <w:rsid w:val="0011228B"/>
    <w:rsid w:val="001122ED"/>
    <w:rsid w:val="001138E6"/>
    <w:rsid w:val="00115124"/>
    <w:rsid w:val="0011527E"/>
    <w:rsid w:val="00115B23"/>
    <w:rsid w:val="0011693C"/>
    <w:rsid w:val="00116B75"/>
    <w:rsid w:val="001174E4"/>
    <w:rsid w:val="001174E8"/>
    <w:rsid w:val="00117528"/>
    <w:rsid w:val="00117FD9"/>
    <w:rsid w:val="0012037F"/>
    <w:rsid w:val="00121499"/>
    <w:rsid w:val="00121B98"/>
    <w:rsid w:val="00121BDD"/>
    <w:rsid w:val="0012264D"/>
    <w:rsid w:val="001228DC"/>
    <w:rsid w:val="00122916"/>
    <w:rsid w:val="001230EC"/>
    <w:rsid w:val="0012312A"/>
    <w:rsid w:val="00124991"/>
    <w:rsid w:val="00124A87"/>
    <w:rsid w:val="001266AE"/>
    <w:rsid w:val="001269DF"/>
    <w:rsid w:val="00126A00"/>
    <w:rsid w:val="00126B2F"/>
    <w:rsid w:val="00126CB7"/>
    <w:rsid w:val="00126CF8"/>
    <w:rsid w:val="001317AE"/>
    <w:rsid w:val="0013346F"/>
    <w:rsid w:val="00134244"/>
    <w:rsid w:val="00134731"/>
    <w:rsid w:val="00135404"/>
    <w:rsid w:val="00137860"/>
    <w:rsid w:val="0013799D"/>
    <w:rsid w:val="001423D6"/>
    <w:rsid w:val="00143A22"/>
    <w:rsid w:val="001443CF"/>
    <w:rsid w:val="00144F18"/>
    <w:rsid w:val="00145606"/>
    <w:rsid w:val="00145DE8"/>
    <w:rsid w:val="00145F43"/>
    <w:rsid w:val="0014708B"/>
    <w:rsid w:val="00147093"/>
    <w:rsid w:val="001502F0"/>
    <w:rsid w:val="001525E4"/>
    <w:rsid w:val="00152620"/>
    <w:rsid w:val="00152C0C"/>
    <w:rsid w:val="00156DF3"/>
    <w:rsid w:val="00156F36"/>
    <w:rsid w:val="001579EC"/>
    <w:rsid w:val="00157E6C"/>
    <w:rsid w:val="00157F93"/>
    <w:rsid w:val="0016119A"/>
    <w:rsid w:val="00161F79"/>
    <w:rsid w:val="001622C4"/>
    <w:rsid w:val="00163C52"/>
    <w:rsid w:val="00164A80"/>
    <w:rsid w:val="00164B71"/>
    <w:rsid w:val="00165319"/>
    <w:rsid w:val="001659D3"/>
    <w:rsid w:val="00165ECB"/>
    <w:rsid w:val="00166798"/>
    <w:rsid w:val="00166C24"/>
    <w:rsid w:val="0017219A"/>
    <w:rsid w:val="001722C0"/>
    <w:rsid w:val="0017312D"/>
    <w:rsid w:val="00173C33"/>
    <w:rsid w:val="00173CB0"/>
    <w:rsid w:val="001756AD"/>
    <w:rsid w:val="00175806"/>
    <w:rsid w:val="00176E0F"/>
    <w:rsid w:val="00180440"/>
    <w:rsid w:val="001814FA"/>
    <w:rsid w:val="001830AB"/>
    <w:rsid w:val="0018613A"/>
    <w:rsid w:val="00186FF9"/>
    <w:rsid w:val="00187E14"/>
    <w:rsid w:val="0019059C"/>
    <w:rsid w:val="001918A3"/>
    <w:rsid w:val="00193E1B"/>
    <w:rsid w:val="00194DC5"/>
    <w:rsid w:val="00196ABE"/>
    <w:rsid w:val="00196C96"/>
    <w:rsid w:val="001A108A"/>
    <w:rsid w:val="001A12F3"/>
    <w:rsid w:val="001A3136"/>
    <w:rsid w:val="001A34F4"/>
    <w:rsid w:val="001A3EA2"/>
    <w:rsid w:val="001A47EC"/>
    <w:rsid w:val="001A5305"/>
    <w:rsid w:val="001A5887"/>
    <w:rsid w:val="001A7427"/>
    <w:rsid w:val="001A775E"/>
    <w:rsid w:val="001B0710"/>
    <w:rsid w:val="001B0B82"/>
    <w:rsid w:val="001B0BAD"/>
    <w:rsid w:val="001B16BD"/>
    <w:rsid w:val="001B18BE"/>
    <w:rsid w:val="001B239B"/>
    <w:rsid w:val="001B3FB7"/>
    <w:rsid w:val="001B4895"/>
    <w:rsid w:val="001B5F3D"/>
    <w:rsid w:val="001B632F"/>
    <w:rsid w:val="001B65F2"/>
    <w:rsid w:val="001B71ED"/>
    <w:rsid w:val="001B72B7"/>
    <w:rsid w:val="001B742C"/>
    <w:rsid w:val="001C01D2"/>
    <w:rsid w:val="001C029A"/>
    <w:rsid w:val="001C28D0"/>
    <w:rsid w:val="001C2EDF"/>
    <w:rsid w:val="001C35A0"/>
    <w:rsid w:val="001C47C9"/>
    <w:rsid w:val="001C4BDD"/>
    <w:rsid w:val="001C6024"/>
    <w:rsid w:val="001C6682"/>
    <w:rsid w:val="001C6951"/>
    <w:rsid w:val="001C6F1C"/>
    <w:rsid w:val="001C7EC9"/>
    <w:rsid w:val="001D1C04"/>
    <w:rsid w:val="001D2BC9"/>
    <w:rsid w:val="001D2EE2"/>
    <w:rsid w:val="001D332B"/>
    <w:rsid w:val="001D4B45"/>
    <w:rsid w:val="001D4E9E"/>
    <w:rsid w:val="001D56CB"/>
    <w:rsid w:val="001D5D98"/>
    <w:rsid w:val="001D62D4"/>
    <w:rsid w:val="001D6CB6"/>
    <w:rsid w:val="001E05E8"/>
    <w:rsid w:val="001E0DF6"/>
    <w:rsid w:val="001E3132"/>
    <w:rsid w:val="001E449A"/>
    <w:rsid w:val="001E5436"/>
    <w:rsid w:val="001E5D44"/>
    <w:rsid w:val="001E630A"/>
    <w:rsid w:val="001E6FC4"/>
    <w:rsid w:val="001E7E6C"/>
    <w:rsid w:val="001E7FAF"/>
    <w:rsid w:val="001F047A"/>
    <w:rsid w:val="001F1614"/>
    <w:rsid w:val="001F290E"/>
    <w:rsid w:val="001F552E"/>
    <w:rsid w:val="001F56F8"/>
    <w:rsid w:val="001F607A"/>
    <w:rsid w:val="001F6320"/>
    <w:rsid w:val="001F66B2"/>
    <w:rsid w:val="001F6704"/>
    <w:rsid w:val="001F685C"/>
    <w:rsid w:val="002003D1"/>
    <w:rsid w:val="002016C2"/>
    <w:rsid w:val="00201D5A"/>
    <w:rsid w:val="002023AE"/>
    <w:rsid w:val="002024F5"/>
    <w:rsid w:val="00202FC3"/>
    <w:rsid w:val="00203177"/>
    <w:rsid w:val="002056B4"/>
    <w:rsid w:val="00206ED9"/>
    <w:rsid w:val="0020750D"/>
    <w:rsid w:val="00207B9D"/>
    <w:rsid w:val="00207C28"/>
    <w:rsid w:val="002105E0"/>
    <w:rsid w:val="0021088E"/>
    <w:rsid w:val="0021145B"/>
    <w:rsid w:val="002118FF"/>
    <w:rsid w:val="00212B3B"/>
    <w:rsid w:val="00213221"/>
    <w:rsid w:val="002132E1"/>
    <w:rsid w:val="00214767"/>
    <w:rsid w:val="002157FF"/>
    <w:rsid w:val="002158A7"/>
    <w:rsid w:val="00217248"/>
    <w:rsid w:val="002173F7"/>
    <w:rsid w:val="00217429"/>
    <w:rsid w:val="0021759B"/>
    <w:rsid w:val="002200F7"/>
    <w:rsid w:val="002206D0"/>
    <w:rsid w:val="00221C60"/>
    <w:rsid w:val="00223341"/>
    <w:rsid w:val="00223CAA"/>
    <w:rsid w:val="00223FC7"/>
    <w:rsid w:val="00223FF7"/>
    <w:rsid w:val="00224676"/>
    <w:rsid w:val="00224A07"/>
    <w:rsid w:val="0022689B"/>
    <w:rsid w:val="00227A2F"/>
    <w:rsid w:val="00230A63"/>
    <w:rsid w:val="00231E45"/>
    <w:rsid w:val="00232C82"/>
    <w:rsid w:val="0023307A"/>
    <w:rsid w:val="00234BCD"/>
    <w:rsid w:val="00235FBE"/>
    <w:rsid w:val="00236E56"/>
    <w:rsid w:val="00237172"/>
    <w:rsid w:val="00237183"/>
    <w:rsid w:val="0023745A"/>
    <w:rsid w:val="00240044"/>
    <w:rsid w:val="00241731"/>
    <w:rsid w:val="0024184E"/>
    <w:rsid w:val="00241F14"/>
    <w:rsid w:val="002429E5"/>
    <w:rsid w:val="002433BF"/>
    <w:rsid w:val="00243E20"/>
    <w:rsid w:val="00244BF1"/>
    <w:rsid w:val="0024599E"/>
    <w:rsid w:val="00245C04"/>
    <w:rsid w:val="00246E02"/>
    <w:rsid w:val="00246ED7"/>
    <w:rsid w:val="00250778"/>
    <w:rsid w:val="00250779"/>
    <w:rsid w:val="00250958"/>
    <w:rsid w:val="002511A6"/>
    <w:rsid w:val="00251457"/>
    <w:rsid w:val="002524CD"/>
    <w:rsid w:val="00252FA9"/>
    <w:rsid w:val="00254663"/>
    <w:rsid w:val="00255BF4"/>
    <w:rsid w:val="00261133"/>
    <w:rsid w:val="0026124B"/>
    <w:rsid w:val="0026163E"/>
    <w:rsid w:val="00261F2C"/>
    <w:rsid w:val="00263A2D"/>
    <w:rsid w:val="00263CC0"/>
    <w:rsid w:val="00265796"/>
    <w:rsid w:val="0026607D"/>
    <w:rsid w:val="00266632"/>
    <w:rsid w:val="00267E99"/>
    <w:rsid w:val="00272348"/>
    <w:rsid w:val="00272463"/>
    <w:rsid w:val="00272D08"/>
    <w:rsid w:val="00273193"/>
    <w:rsid w:val="00274719"/>
    <w:rsid w:val="00274A6C"/>
    <w:rsid w:val="00275D8B"/>
    <w:rsid w:val="00277B4A"/>
    <w:rsid w:val="00277BD8"/>
    <w:rsid w:val="002807CB"/>
    <w:rsid w:val="00280890"/>
    <w:rsid w:val="00281496"/>
    <w:rsid w:val="002835F3"/>
    <w:rsid w:val="00285AFC"/>
    <w:rsid w:val="00286791"/>
    <w:rsid w:val="0028711E"/>
    <w:rsid w:val="002877D5"/>
    <w:rsid w:val="00292067"/>
    <w:rsid w:val="002926C0"/>
    <w:rsid w:val="002945A6"/>
    <w:rsid w:val="00295D79"/>
    <w:rsid w:val="00296828"/>
    <w:rsid w:val="00296C0D"/>
    <w:rsid w:val="002A0F98"/>
    <w:rsid w:val="002A1A48"/>
    <w:rsid w:val="002A1D99"/>
    <w:rsid w:val="002A1E7A"/>
    <w:rsid w:val="002A3A3E"/>
    <w:rsid w:val="002A40C6"/>
    <w:rsid w:val="002A439F"/>
    <w:rsid w:val="002A7F5B"/>
    <w:rsid w:val="002B06B6"/>
    <w:rsid w:val="002B0E05"/>
    <w:rsid w:val="002B0F62"/>
    <w:rsid w:val="002B31DB"/>
    <w:rsid w:val="002B465B"/>
    <w:rsid w:val="002B4DBD"/>
    <w:rsid w:val="002C06DA"/>
    <w:rsid w:val="002C0736"/>
    <w:rsid w:val="002C0F54"/>
    <w:rsid w:val="002C1F93"/>
    <w:rsid w:val="002C5CBB"/>
    <w:rsid w:val="002C65BE"/>
    <w:rsid w:val="002C6951"/>
    <w:rsid w:val="002D086B"/>
    <w:rsid w:val="002D114B"/>
    <w:rsid w:val="002D1E8E"/>
    <w:rsid w:val="002D4405"/>
    <w:rsid w:val="002D6D61"/>
    <w:rsid w:val="002D732A"/>
    <w:rsid w:val="002E01CE"/>
    <w:rsid w:val="002E0C5E"/>
    <w:rsid w:val="002E1BEA"/>
    <w:rsid w:val="002E39AF"/>
    <w:rsid w:val="002E4FB4"/>
    <w:rsid w:val="002E5F2D"/>
    <w:rsid w:val="002E7028"/>
    <w:rsid w:val="002E70D5"/>
    <w:rsid w:val="002F0ECF"/>
    <w:rsid w:val="002F2199"/>
    <w:rsid w:val="002F238A"/>
    <w:rsid w:val="002F3884"/>
    <w:rsid w:val="002F4B90"/>
    <w:rsid w:val="002F5F79"/>
    <w:rsid w:val="002F632D"/>
    <w:rsid w:val="002F6D8E"/>
    <w:rsid w:val="002F7EE7"/>
    <w:rsid w:val="002F7FC6"/>
    <w:rsid w:val="0030010D"/>
    <w:rsid w:val="00301C60"/>
    <w:rsid w:val="0030214E"/>
    <w:rsid w:val="00303922"/>
    <w:rsid w:val="00303BEC"/>
    <w:rsid w:val="00303C45"/>
    <w:rsid w:val="00304C83"/>
    <w:rsid w:val="003064CE"/>
    <w:rsid w:val="00307B55"/>
    <w:rsid w:val="003100F8"/>
    <w:rsid w:val="00310748"/>
    <w:rsid w:val="003112DB"/>
    <w:rsid w:val="0031169F"/>
    <w:rsid w:val="00312788"/>
    <w:rsid w:val="00313416"/>
    <w:rsid w:val="00313BAD"/>
    <w:rsid w:val="00313CD3"/>
    <w:rsid w:val="00313CE1"/>
    <w:rsid w:val="00313ED9"/>
    <w:rsid w:val="003143F0"/>
    <w:rsid w:val="00316136"/>
    <w:rsid w:val="0031643B"/>
    <w:rsid w:val="00316912"/>
    <w:rsid w:val="003169A2"/>
    <w:rsid w:val="00320920"/>
    <w:rsid w:val="00324B95"/>
    <w:rsid w:val="00325137"/>
    <w:rsid w:val="00325213"/>
    <w:rsid w:val="0032524C"/>
    <w:rsid w:val="0032569C"/>
    <w:rsid w:val="00325987"/>
    <w:rsid w:val="00325BBF"/>
    <w:rsid w:val="00326A8A"/>
    <w:rsid w:val="00326F7E"/>
    <w:rsid w:val="00327F42"/>
    <w:rsid w:val="00330378"/>
    <w:rsid w:val="003305AE"/>
    <w:rsid w:val="003308D6"/>
    <w:rsid w:val="00332553"/>
    <w:rsid w:val="00333158"/>
    <w:rsid w:val="0033408B"/>
    <w:rsid w:val="0033479C"/>
    <w:rsid w:val="00334E93"/>
    <w:rsid w:val="0033501E"/>
    <w:rsid w:val="00340A22"/>
    <w:rsid w:val="003410FA"/>
    <w:rsid w:val="0034159E"/>
    <w:rsid w:val="00343B53"/>
    <w:rsid w:val="00344627"/>
    <w:rsid w:val="0034568D"/>
    <w:rsid w:val="00346600"/>
    <w:rsid w:val="003519E7"/>
    <w:rsid w:val="00351A3A"/>
    <w:rsid w:val="00352C02"/>
    <w:rsid w:val="00355CEA"/>
    <w:rsid w:val="00355E02"/>
    <w:rsid w:val="003565CF"/>
    <w:rsid w:val="003566A8"/>
    <w:rsid w:val="003568E9"/>
    <w:rsid w:val="003571BA"/>
    <w:rsid w:val="00360E01"/>
    <w:rsid w:val="0036360F"/>
    <w:rsid w:val="003639C6"/>
    <w:rsid w:val="00364C35"/>
    <w:rsid w:val="003710FF"/>
    <w:rsid w:val="00371419"/>
    <w:rsid w:val="003716A0"/>
    <w:rsid w:val="003723CF"/>
    <w:rsid w:val="00373BB6"/>
    <w:rsid w:val="003745E6"/>
    <w:rsid w:val="003745FB"/>
    <w:rsid w:val="00374921"/>
    <w:rsid w:val="00374C56"/>
    <w:rsid w:val="003750ED"/>
    <w:rsid w:val="0037582E"/>
    <w:rsid w:val="00375B58"/>
    <w:rsid w:val="00375C28"/>
    <w:rsid w:val="00376252"/>
    <w:rsid w:val="00377CE5"/>
    <w:rsid w:val="00380C24"/>
    <w:rsid w:val="00381F21"/>
    <w:rsid w:val="00383CC8"/>
    <w:rsid w:val="00384249"/>
    <w:rsid w:val="00384C3C"/>
    <w:rsid w:val="0038594F"/>
    <w:rsid w:val="00385BE9"/>
    <w:rsid w:val="00386D7A"/>
    <w:rsid w:val="00386FDE"/>
    <w:rsid w:val="003877FB"/>
    <w:rsid w:val="0039054C"/>
    <w:rsid w:val="00390BEB"/>
    <w:rsid w:val="003911EA"/>
    <w:rsid w:val="00392BCA"/>
    <w:rsid w:val="00393DFB"/>
    <w:rsid w:val="00396FDB"/>
    <w:rsid w:val="003A00CF"/>
    <w:rsid w:val="003A01D5"/>
    <w:rsid w:val="003A0474"/>
    <w:rsid w:val="003A049A"/>
    <w:rsid w:val="003A0624"/>
    <w:rsid w:val="003A0D9F"/>
    <w:rsid w:val="003A0DBE"/>
    <w:rsid w:val="003A3D0C"/>
    <w:rsid w:val="003A46ED"/>
    <w:rsid w:val="003A566D"/>
    <w:rsid w:val="003B045C"/>
    <w:rsid w:val="003B07FF"/>
    <w:rsid w:val="003B0D6E"/>
    <w:rsid w:val="003B2877"/>
    <w:rsid w:val="003B3871"/>
    <w:rsid w:val="003B46DA"/>
    <w:rsid w:val="003B47C2"/>
    <w:rsid w:val="003B64DE"/>
    <w:rsid w:val="003B6F97"/>
    <w:rsid w:val="003B6FF8"/>
    <w:rsid w:val="003B7857"/>
    <w:rsid w:val="003C13E3"/>
    <w:rsid w:val="003C15DB"/>
    <w:rsid w:val="003C28CF"/>
    <w:rsid w:val="003C4E14"/>
    <w:rsid w:val="003C6238"/>
    <w:rsid w:val="003C6987"/>
    <w:rsid w:val="003C79DE"/>
    <w:rsid w:val="003C7B45"/>
    <w:rsid w:val="003D0C6D"/>
    <w:rsid w:val="003D2390"/>
    <w:rsid w:val="003D35A2"/>
    <w:rsid w:val="003D4D34"/>
    <w:rsid w:val="003D6040"/>
    <w:rsid w:val="003D633D"/>
    <w:rsid w:val="003D6933"/>
    <w:rsid w:val="003D75BD"/>
    <w:rsid w:val="003E1ADA"/>
    <w:rsid w:val="003E20E0"/>
    <w:rsid w:val="003E336F"/>
    <w:rsid w:val="003E3A70"/>
    <w:rsid w:val="003E3DE0"/>
    <w:rsid w:val="003E42C7"/>
    <w:rsid w:val="003F21EE"/>
    <w:rsid w:val="003F35DE"/>
    <w:rsid w:val="003F3C95"/>
    <w:rsid w:val="003F3D04"/>
    <w:rsid w:val="003F4B01"/>
    <w:rsid w:val="003F4BD9"/>
    <w:rsid w:val="003F4FFE"/>
    <w:rsid w:val="003F514B"/>
    <w:rsid w:val="003F53D6"/>
    <w:rsid w:val="003F6B64"/>
    <w:rsid w:val="004006FA"/>
    <w:rsid w:val="0040083D"/>
    <w:rsid w:val="00401892"/>
    <w:rsid w:val="00402948"/>
    <w:rsid w:val="0040394E"/>
    <w:rsid w:val="0040425A"/>
    <w:rsid w:val="00404AEC"/>
    <w:rsid w:val="00405392"/>
    <w:rsid w:val="00406E51"/>
    <w:rsid w:val="00406F7F"/>
    <w:rsid w:val="00407605"/>
    <w:rsid w:val="0040796A"/>
    <w:rsid w:val="00411624"/>
    <w:rsid w:val="00411DC2"/>
    <w:rsid w:val="00412AE3"/>
    <w:rsid w:val="00413C39"/>
    <w:rsid w:val="004164C6"/>
    <w:rsid w:val="00416D3D"/>
    <w:rsid w:val="004212E1"/>
    <w:rsid w:val="00422C6E"/>
    <w:rsid w:val="00422CC0"/>
    <w:rsid w:val="00422D27"/>
    <w:rsid w:val="00423117"/>
    <w:rsid w:val="004238BE"/>
    <w:rsid w:val="00423CB0"/>
    <w:rsid w:val="00423D3A"/>
    <w:rsid w:val="0042583D"/>
    <w:rsid w:val="00425FEA"/>
    <w:rsid w:val="0042731F"/>
    <w:rsid w:val="00430359"/>
    <w:rsid w:val="00431BEB"/>
    <w:rsid w:val="00432168"/>
    <w:rsid w:val="0043216F"/>
    <w:rsid w:val="00432791"/>
    <w:rsid w:val="00432A4D"/>
    <w:rsid w:val="00433642"/>
    <w:rsid w:val="00433785"/>
    <w:rsid w:val="004346B8"/>
    <w:rsid w:val="0043512D"/>
    <w:rsid w:val="0043526F"/>
    <w:rsid w:val="00435AB3"/>
    <w:rsid w:val="00435F06"/>
    <w:rsid w:val="00436B83"/>
    <w:rsid w:val="00437497"/>
    <w:rsid w:val="0044094F"/>
    <w:rsid w:val="00443B1F"/>
    <w:rsid w:val="00445C6C"/>
    <w:rsid w:val="00445F96"/>
    <w:rsid w:val="00446055"/>
    <w:rsid w:val="004460BB"/>
    <w:rsid w:val="0044705E"/>
    <w:rsid w:val="0044728A"/>
    <w:rsid w:val="00447769"/>
    <w:rsid w:val="0044782F"/>
    <w:rsid w:val="0045047F"/>
    <w:rsid w:val="00451695"/>
    <w:rsid w:val="00451E2F"/>
    <w:rsid w:val="00451FD0"/>
    <w:rsid w:val="00453684"/>
    <w:rsid w:val="004536B9"/>
    <w:rsid w:val="004551EC"/>
    <w:rsid w:val="004553E4"/>
    <w:rsid w:val="00455965"/>
    <w:rsid w:val="00455ED4"/>
    <w:rsid w:val="00455FB5"/>
    <w:rsid w:val="00456526"/>
    <w:rsid w:val="00456D5E"/>
    <w:rsid w:val="00457588"/>
    <w:rsid w:val="0046016A"/>
    <w:rsid w:val="00460875"/>
    <w:rsid w:val="00461DCF"/>
    <w:rsid w:val="004622C3"/>
    <w:rsid w:val="00462D2C"/>
    <w:rsid w:val="0046350D"/>
    <w:rsid w:val="00463BEF"/>
    <w:rsid w:val="0046475E"/>
    <w:rsid w:val="00464944"/>
    <w:rsid w:val="0046676B"/>
    <w:rsid w:val="0046759F"/>
    <w:rsid w:val="00467972"/>
    <w:rsid w:val="00470A0A"/>
    <w:rsid w:val="00470CC6"/>
    <w:rsid w:val="0047159B"/>
    <w:rsid w:val="00473FAE"/>
    <w:rsid w:val="004748C2"/>
    <w:rsid w:val="00474D1E"/>
    <w:rsid w:val="0047579F"/>
    <w:rsid w:val="00475A33"/>
    <w:rsid w:val="00475D0F"/>
    <w:rsid w:val="00476AC3"/>
    <w:rsid w:val="00476FC7"/>
    <w:rsid w:val="00477CAD"/>
    <w:rsid w:val="00481431"/>
    <w:rsid w:val="004828CC"/>
    <w:rsid w:val="00484816"/>
    <w:rsid w:val="00485937"/>
    <w:rsid w:val="004876A5"/>
    <w:rsid w:val="00487F83"/>
    <w:rsid w:val="0049011F"/>
    <w:rsid w:val="004901C2"/>
    <w:rsid w:val="0049042B"/>
    <w:rsid w:val="00490B20"/>
    <w:rsid w:val="00491941"/>
    <w:rsid w:val="0049337D"/>
    <w:rsid w:val="0049365C"/>
    <w:rsid w:val="0049392F"/>
    <w:rsid w:val="004942A4"/>
    <w:rsid w:val="0049557D"/>
    <w:rsid w:val="0049583F"/>
    <w:rsid w:val="00496BBA"/>
    <w:rsid w:val="0049744D"/>
    <w:rsid w:val="004A0926"/>
    <w:rsid w:val="004A0DB4"/>
    <w:rsid w:val="004A2C8C"/>
    <w:rsid w:val="004A39F9"/>
    <w:rsid w:val="004A3E35"/>
    <w:rsid w:val="004A46D7"/>
    <w:rsid w:val="004A6F6E"/>
    <w:rsid w:val="004B2332"/>
    <w:rsid w:val="004B2F4C"/>
    <w:rsid w:val="004B38CA"/>
    <w:rsid w:val="004B3A09"/>
    <w:rsid w:val="004B50DA"/>
    <w:rsid w:val="004B52CF"/>
    <w:rsid w:val="004B5740"/>
    <w:rsid w:val="004B5D78"/>
    <w:rsid w:val="004B6193"/>
    <w:rsid w:val="004B722F"/>
    <w:rsid w:val="004B7602"/>
    <w:rsid w:val="004B7B94"/>
    <w:rsid w:val="004C0E82"/>
    <w:rsid w:val="004C13CA"/>
    <w:rsid w:val="004C1E85"/>
    <w:rsid w:val="004C299C"/>
    <w:rsid w:val="004C4AC0"/>
    <w:rsid w:val="004C5EA6"/>
    <w:rsid w:val="004C66D5"/>
    <w:rsid w:val="004C7442"/>
    <w:rsid w:val="004C7AC3"/>
    <w:rsid w:val="004C7D5B"/>
    <w:rsid w:val="004C7FD2"/>
    <w:rsid w:val="004D0460"/>
    <w:rsid w:val="004D07AB"/>
    <w:rsid w:val="004D1443"/>
    <w:rsid w:val="004D1C6E"/>
    <w:rsid w:val="004D26CD"/>
    <w:rsid w:val="004D2C87"/>
    <w:rsid w:val="004D2E45"/>
    <w:rsid w:val="004D3996"/>
    <w:rsid w:val="004D3B5F"/>
    <w:rsid w:val="004D44FA"/>
    <w:rsid w:val="004D6AA5"/>
    <w:rsid w:val="004D7FFC"/>
    <w:rsid w:val="004E17FE"/>
    <w:rsid w:val="004E34E9"/>
    <w:rsid w:val="004E34EB"/>
    <w:rsid w:val="004E3B42"/>
    <w:rsid w:val="004E4466"/>
    <w:rsid w:val="004E6283"/>
    <w:rsid w:val="004F09DE"/>
    <w:rsid w:val="004F230F"/>
    <w:rsid w:val="004F25AD"/>
    <w:rsid w:val="004F4301"/>
    <w:rsid w:val="004F616C"/>
    <w:rsid w:val="00501CD5"/>
    <w:rsid w:val="00502687"/>
    <w:rsid w:val="00503245"/>
    <w:rsid w:val="00503493"/>
    <w:rsid w:val="005035F8"/>
    <w:rsid w:val="0050448E"/>
    <w:rsid w:val="00504BFE"/>
    <w:rsid w:val="00505183"/>
    <w:rsid w:val="00506EA3"/>
    <w:rsid w:val="00507583"/>
    <w:rsid w:val="005076FA"/>
    <w:rsid w:val="00507935"/>
    <w:rsid w:val="00507B15"/>
    <w:rsid w:val="00507C8E"/>
    <w:rsid w:val="00507FDE"/>
    <w:rsid w:val="00510847"/>
    <w:rsid w:val="00510928"/>
    <w:rsid w:val="00511604"/>
    <w:rsid w:val="00512C4D"/>
    <w:rsid w:val="005137A5"/>
    <w:rsid w:val="005175CC"/>
    <w:rsid w:val="00520509"/>
    <w:rsid w:val="005212A1"/>
    <w:rsid w:val="00521FAF"/>
    <w:rsid w:val="0052225F"/>
    <w:rsid w:val="00522470"/>
    <w:rsid w:val="00522AB8"/>
    <w:rsid w:val="00523B4D"/>
    <w:rsid w:val="00524CC3"/>
    <w:rsid w:val="00527BC1"/>
    <w:rsid w:val="00527C61"/>
    <w:rsid w:val="00527CF8"/>
    <w:rsid w:val="00530866"/>
    <w:rsid w:val="00530EDF"/>
    <w:rsid w:val="00530F09"/>
    <w:rsid w:val="00533433"/>
    <w:rsid w:val="00533E99"/>
    <w:rsid w:val="00533F62"/>
    <w:rsid w:val="0053480C"/>
    <w:rsid w:val="00534D55"/>
    <w:rsid w:val="005357C2"/>
    <w:rsid w:val="00536360"/>
    <w:rsid w:val="00536A6E"/>
    <w:rsid w:val="00536B15"/>
    <w:rsid w:val="00536F1E"/>
    <w:rsid w:val="0053745A"/>
    <w:rsid w:val="005379C8"/>
    <w:rsid w:val="00537BA1"/>
    <w:rsid w:val="00540F9E"/>
    <w:rsid w:val="005427A7"/>
    <w:rsid w:val="00543418"/>
    <w:rsid w:val="0054559C"/>
    <w:rsid w:val="0054621C"/>
    <w:rsid w:val="00546C15"/>
    <w:rsid w:val="005470F0"/>
    <w:rsid w:val="005477D2"/>
    <w:rsid w:val="005500D7"/>
    <w:rsid w:val="0055053A"/>
    <w:rsid w:val="005506B4"/>
    <w:rsid w:val="00552159"/>
    <w:rsid w:val="00552B18"/>
    <w:rsid w:val="00553DC2"/>
    <w:rsid w:val="0055409B"/>
    <w:rsid w:val="00554525"/>
    <w:rsid w:val="005546D1"/>
    <w:rsid w:val="005549D4"/>
    <w:rsid w:val="00555188"/>
    <w:rsid w:val="005556AD"/>
    <w:rsid w:val="00555C3C"/>
    <w:rsid w:val="00556425"/>
    <w:rsid w:val="005567CE"/>
    <w:rsid w:val="00557DE2"/>
    <w:rsid w:val="005616B2"/>
    <w:rsid w:val="0056295A"/>
    <w:rsid w:val="00563FFD"/>
    <w:rsid w:val="00564360"/>
    <w:rsid w:val="00564866"/>
    <w:rsid w:val="00565AC8"/>
    <w:rsid w:val="005664FC"/>
    <w:rsid w:val="005671FC"/>
    <w:rsid w:val="00567C29"/>
    <w:rsid w:val="00567F50"/>
    <w:rsid w:val="00570313"/>
    <w:rsid w:val="00570605"/>
    <w:rsid w:val="005706D1"/>
    <w:rsid w:val="005707E6"/>
    <w:rsid w:val="00572471"/>
    <w:rsid w:val="00573E61"/>
    <w:rsid w:val="00575078"/>
    <w:rsid w:val="0057577E"/>
    <w:rsid w:val="0057600A"/>
    <w:rsid w:val="005762DD"/>
    <w:rsid w:val="00580201"/>
    <w:rsid w:val="00580212"/>
    <w:rsid w:val="00580614"/>
    <w:rsid w:val="005808FF"/>
    <w:rsid w:val="005831EA"/>
    <w:rsid w:val="0058522C"/>
    <w:rsid w:val="00585CE7"/>
    <w:rsid w:val="005860E0"/>
    <w:rsid w:val="0058664F"/>
    <w:rsid w:val="00590F30"/>
    <w:rsid w:val="00590FC2"/>
    <w:rsid w:val="00591BF4"/>
    <w:rsid w:val="00594E2F"/>
    <w:rsid w:val="0059514E"/>
    <w:rsid w:val="00595497"/>
    <w:rsid w:val="00595646"/>
    <w:rsid w:val="00595B69"/>
    <w:rsid w:val="00595EC5"/>
    <w:rsid w:val="00596197"/>
    <w:rsid w:val="005962DA"/>
    <w:rsid w:val="00596E47"/>
    <w:rsid w:val="005A02E5"/>
    <w:rsid w:val="005A07E2"/>
    <w:rsid w:val="005A0DCC"/>
    <w:rsid w:val="005A0EF1"/>
    <w:rsid w:val="005A17ED"/>
    <w:rsid w:val="005A1ED7"/>
    <w:rsid w:val="005A2801"/>
    <w:rsid w:val="005A2AA5"/>
    <w:rsid w:val="005A3093"/>
    <w:rsid w:val="005A41AA"/>
    <w:rsid w:val="005A57BA"/>
    <w:rsid w:val="005A5F86"/>
    <w:rsid w:val="005A6C26"/>
    <w:rsid w:val="005A7429"/>
    <w:rsid w:val="005A752E"/>
    <w:rsid w:val="005A7786"/>
    <w:rsid w:val="005A7950"/>
    <w:rsid w:val="005B0148"/>
    <w:rsid w:val="005B06DA"/>
    <w:rsid w:val="005B0830"/>
    <w:rsid w:val="005B0857"/>
    <w:rsid w:val="005B1BCD"/>
    <w:rsid w:val="005B1EE7"/>
    <w:rsid w:val="005B29C8"/>
    <w:rsid w:val="005B5953"/>
    <w:rsid w:val="005B6F40"/>
    <w:rsid w:val="005B6F8D"/>
    <w:rsid w:val="005B7BD7"/>
    <w:rsid w:val="005C1191"/>
    <w:rsid w:val="005C4A99"/>
    <w:rsid w:val="005C5421"/>
    <w:rsid w:val="005C6B18"/>
    <w:rsid w:val="005C6D42"/>
    <w:rsid w:val="005D040D"/>
    <w:rsid w:val="005D09F0"/>
    <w:rsid w:val="005D0ACA"/>
    <w:rsid w:val="005D162F"/>
    <w:rsid w:val="005D1D1B"/>
    <w:rsid w:val="005D27C4"/>
    <w:rsid w:val="005D2A69"/>
    <w:rsid w:val="005D4D94"/>
    <w:rsid w:val="005D6774"/>
    <w:rsid w:val="005D6C59"/>
    <w:rsid w:val="005D766A"/>
    <w:rsid w:val="005D78E5"/>
    <w:rsid w:val="005E0CE4"/>
    <w:rsid w:val="005E19AA"/>
    <w:rsid w:val="005E3890"/>
    <w:rsid w:val="005E389E"/>
    <w:rsid w:val="005E529E"/>
    <w:rsid w:val="005E5BCD"/>
    <w:rsid w:val="005E5C07"/>
    <w:rsid w:val="005E6053"/>
    <w:rsid w:val="005E6B58"/>
    <w:rsid w:val="005E749D"/>
    <w:rsid w:val="005F1608"/>
    <w:rsid w:val="005F3807"/>
    <w:rsid w:val="005F3828"/>
    <w:rsid w:val="005F3D8A"/>
    <w:rsid w:val="00600246"/>
    <w:rsid w:val="0060091C"/>
    <w:rsid w:val="00601468"/>
    <w:rsid w:val="00602087"/>
    <w:rsid w:val="00602263"/>
    <w:rsid w:val="006030EA"/>
    <w:rsid w:val="00603CB9"/>
    <w:rsid w:val="006043E0"/>
    <w:rsid w:val="006066D8"/>
    <w:rsid w:val="00606A0A"/>
    <w:rsid w:val="00607083"/>
    <w:rsid w:val="006107C0"/>
    <w:rsid w:val="006115CB"/>
    <w:rsid w:val="00611FF4"/>
    <w:rsid w:val="006120D0"/>
    <w:rsid w:val="006139B0"/>
    <w:rsid w:val="00614886"/>
    <w:rsid w:val="00614D8D"/>
    <w:rsid w:val="00614E2F"/>
    <w:rsid w:val="0061518D"/>
    <w:rsid w:val="00615731"/>
    <w:rsid w:val="006157F4"/>
    <w:rsid w:val="00615CC4"/>
    <w:rsid w:val="006179FC"/>
    <w:rsid w:val="006202C9"/>
    <w:rsid w:val="00621D20"/>
    <w:rsid w:val="00622C3E"/>
    <w:rsid w:val="00622CA1"/>
    <w:rsid w:val="00626AB8"/>
    <w:rsid w:val="00627C40"/>
    <w:rsid w:val="00630C8A"/>
    <w:rsid w:val="00630D4D"/>
    <w:rsid w:val="0063105E"/>
    <w:rsid w:val="006315FC"/>
    <w:rsid w:val="00631AFB"/>
    <w:rsid w:val="006344C1"/>
    <w:rsid w:val="00635236"/>
    <w:rsid w:val="00636A9E"/>
    <w:rsid w:val="00637795"/>
    <w:rsid w:val="00637E52"/>
    <w:rsid w:val="00640D07"/>
    <w:rsid w:val="00641468"/>
    <w:rsid w:val="00642057"/>
    <w:rsid w:val="00642528"/>
    <w:rsid w:val="00642CE7"/>
    <w:rsid w:val="0064309F"/>
    <w:rsid w:val="00643C03"/>
    <w:rsid w:val="00644B17"/>
    <w:rsid w:val="00644DB7"/>
    <w:rsid w:val="00645410"/>
    <w:rsid w:val="006468A6"/>
    <w:rsid w:val="00646AFD"/>
    <w:rsid w:val="00646C0E"/>
    <w:rsid w:val="00646CA5"/>
    <w:rsid w:val="00646D7F"/>
    <w:rsid w:val="0065095C"/>
    <w:rsid w:val="00651757"/>
    <w:rsid w:val="00652EB1"/>
    <w:rsid w:val="0065341E"/>
    <w:rsid w:val="00655311"/>
    <w:rsid w:val="00656086"/>
    <w:rsid w:val="006562EA"/>
    <w:rsid w:val="00656D0C"/>
    <w:rsid w:val="00657048"/>
    <w:rsid w:val="00657592"/>
    <w:rsid w:val="0066073D"/>
    <w:rsid w:val="00661385"/>
    <w:rsid w:val="0066195D"/>
    <w:rsid w:val="00662E1F"/>
    <w:rsid w:val="006633EC"/>
    <w:rsid w:val="00664008"/>
    <w:rsid w:val="00665266"/>
    <w:rsid w:val="0066711D"/>
    <w:rsid w:val="006673A0"/>
    <w:rsid w:val="00670865"/>
    <w:rsid w:val="006717C0"/>
    <w:rsid w:val="00672A67"/>
    <w:rsid w:val="00675ED4"/>
    <w:rsid w:val="006800B2"/>
    <w:rsid w:val="00680633"/>
    <w:rsid w:val="00680997"/>
    <w:rsid w:val="00681F55"/>
    <w:rsid w:val="00683B95"/>
    <w:rsid w:val="00684789"/>
    <w:rsid w:val="006855F5"/>
    <w:rsid w:val="00687E8D"/>
    <w:rsid w:val="00691432"/>
    <w:rsid w:val="00691E40"/>
    <w:rsid w:val="0069252D"/>
    <w:rsid w:val="006938FF"/>
    <w:rsid w:val="006944B1"/>
    <w:rsid w:val="006947EA"/>
    <w:rsid w:val="006965A1"/>
    <w:rsid w:val="00697995"/>
    <w:rsid w:val="006A0004"/>
    <w:rsid w:val="006A1F65"/>
    <w:rsid w:val="006A3545"/>
    <w:rsid w:val="006A4507"/>
    <w:rsid w:val="006A5ECB"/>
    <w:rsid w:val="006B1A78"/>
    <w:rsid w:val="006B37FE"/>
    <w:rsid w:val="006B38BC"/>
    <w:rsid w:val="006B5078"/>
    <w:rsid w:val="006B587C"/>
    <w:rsid w:val="006B5AD1"/>
    <w:rsid w:val="006B5FDB"/>
    <w:rsid w:val="006B67F7"/>
    <w:rsid w:val="006C0456"/>
    <w:rsid w:val="006C1E17"/>
    <w:rsid w:val="006C2FF2"/>
    <w:rsid w:val="006C3BA9"/>
    <w:rsid w:val="006C4DD0"/>
    <w:rsid w:val="006C50A3"/>
    <w:rsid w:val="006C59BC"/>
    <w:rsid w:val="006C680D"/>
    <w:rsid w:val="006C7133"/>
    <w:rsid w:val="006C75ED"/>
    <w:rsid w:val="006D006C"/>
    <w:rsid w:val="006D0F1B"/>
    <w:rsid w:val="006D11FA"/>
    <w:rsid w:val="006D1D72"/>
    <w:rsid w:val="006D2564"/>
    <w:rsid w:val="006D2634"/>
    <w:rsid w:val="006D3829"/>
    <w:rsid w:val="006D41D4"/>
    <w:rsid w:val="006D47A0"/>
    <w:rsid w:val="006D4881"/>
    <w:rsid w:val="006D4E62"/>
    <w:rsid w:val="006D4EAE"/>
    <w:rsid w:val="006D5510"/>
    <w:rsid w:val="006D6C44"/>
    <w:rsid w:val="006D745A"/>
    <w:rsid w:val="006D7CF6"/>
    <w:rsid w:val="006D7EFF"/>
    <w:rsid w:val="006E01FC"/>
    <w:rsid w:val="006E0CFA"/>
    <w:rsid w:val="006E0DB4"/>
    <w:rsid w:val="006E1FCD"/>
    <w:rsid w:val="006E3647"/>
    <w:rsid w:val="006E3928"/>
    <w:rsid w:val="006E435A"/>
    <w:rsid w:val="006E4FE4"/>
    <w:rsid w:val="006E505C"/>
    <w:rsid w:val="006E529B"/>
    <w:rsid w:val="006E5709"/>
    <w:rsid w:val="006E6638"/>
    <w:rsid w:val="006E6786"/>
    <w:rsid w:val="006E6C8A"/>
    <w:rsid w:val="006F012D"/>
    <w:rsid w:val="006F115D"/>
    <w:rsid w:val="006F12EB"/>
    <w:rsid w:val="006F19CF"/>
    <w:rsid w:val="006F2C6E"/>
    <w:rsid w:val="006F322D"/>
    <w:rsid w:val="006F3676"/>
    <w:rsid w:val="006F5D64"/>
    <w:rsid w:val="006F61F9"/>
    <w:rsid w:val="006F7267"/>
    <w:rsid w:val="006F754E"/>
    <w:rsid w:val="00701E19"/>
    <w:rsid w:val="00701E7C"/>
    <w:rsid w:val="00704481"/>
    <w:rsid w:val="007049B9"/>
    <w:rsid w:val="0070519D"/>
    <w:rsid w:val="00707DE4"/>
    <w:rsid w:val="00707EB0"/>
    <w:rsid w:val="00711356"/>
    <w:rsid w:val="00711662"/>
    <w:rsid w:val="00711E96"/>
    <w:rsid w:val="007123B1"/>
    <w:rsid w:val="00712D77"/>
    <w:rsid w:val="00713526"/>
    <w:rsid w:val="007142DA"/>
    <w:rsid w:val="007145E9"/>
    <w:rsid w:val="0071466C"/>
    <w:rsid w:val="00715839"/>
    <w:rsid w:val="00716090"/>
    <w:rsid w:val="007163A7"/>
    <w:rsid w:val="00720A3E"/>
    <w:rsid w:val="00721570"/>
    <w:rsid w:val="00721695"/>
    <w:rsid w:val="00721774"/>
    <w:rsid w:val="00721CDB"/>
    <w:rsid w:val="0072225F"/>
    <w:rsid w:val="00724107"/>
    <w:rsid w:val="00726B96"/>
    <w:rsid w:val="007274E9"/>
    <w:rsid w:val="00731587"/>
    <w:rsid w:val="0073163C"/>
    <w:rsid w:val="00734605"/>
    <w:rsid w:val="00734F18"/>
    <w:rsid w:val="0073550F"/>
    <w:rsid w:val="00736652"/>
    <w:rsid w:val="00736858"/>
    <w:rsid w:val="00736A06"/>
    <w:rsid w:val="00737093"/>
    <w:rsid w:val="00740BF8"/>
    <w:rsid w:val="0074104D"/>
    <w:rsid w:val="00741AC2"/>
    <w:rsid w:val="00743898"/>
    <w:rsid w:val="0074502C"/>
    <w:rsid w:val="007471EC"/>
    <w:rsid w:val="007474C6"/>
    <w:rsid w:val="00747BA2"/>
    <w:rsid w:val="00747BA9"/>
    <w:rsid w:val="00750230"/>
    <w:rsid w:val="007502FE"/>
    <w:rsid w:val="007520C7"/>
    <w:rsid w:val="007525B7"/>
    <w:rsid w:val="00752881"/>
    <w:rsid w:val="00752E7F"/>
    <w:rsid w:val="00753BC3"/>
    <w:rsid w:val="0075509E"/>
    <w:rsid w:val="00755653"/>
    <w:rsid w:val="00755A98"/>
    <w:rsid w:val="00755F90"/>
    <w:rsid w:val="00756D4B"/>
    <w:rsid w:val="00760FBC"/>
    <w:rsid w:val="00761B26"/>
    <w:rsid w:val="00763CD6"/>
    <w:rsid w:val="00763E4E"/>
    <w:rsid w:val="00764C68"/>
    <w:rsid w:val="00764D7A"/>
    <w:rsid w:val="007657EF"/>
    <w:rsid w:val="00765885"/>
    <w:rsid w:val="00767275"/>
    <w:rsid w:val="0076760D"/>
    <w:rsid w:val="007710CE"/>
    <w:rsid w:val="007715AA"/>
    <w:rsid w:val="00771CE9"/>
    <w:rsid w:val="00772D5F"/>
    <w:rsid w:val="00772D7D"/>
    <w:rsid w:val="0077441C"/>
    <w:rsid w:val="007745E3"/>
    <w:rsid w:val="00774AE3"/>
    <w:rsid w:val="0077696E"/>
    <w:rsid w:val="007776F4"/>
    <w:rsid w:val="007802F2"/>
    <w:rsid w:val="00780EFE"/>
    <w:rsid w:val="00781729"/>
    <w:rsid w:val="0078209C"/>
    <w:rsid w:val="007828E3"/>
    <w:rsid w:val="00783111"/>
    <w:rsid w:val="0078411B"/>
    <w:rsid w:val="007841E1"/>
    <w:rsid w:val="00784EB9"/>
    <w:rsid w:val="00785023"/>
    <w:rsid w:val="007855F1"/>
    <w:rsid w:val="00785DFE"/>
    <w:rsid w:val="00786D59"/>
    <w:rsid w:val="00786F26"/>
    <w:rsid w:val="007878C3"/>
    <w:rsid w:val="007908D7"/>
    <w:rsid w:val="00790B70"/>
    <w:rsid w:val="007938BA"/>
    <w:rsid w:val="00795C74"/>
    <w:rsid w:val="0079691E"/>
    <w:rsid w:val="00796F2D"/>
    <w:rsid w:val="007A0287"/>
    <w:rsid w:val="007A1A20"/>
    <w:rsid w:val="007A31A8"/>
    <w:rsid w:val="007A3D1C"/>
    <w:rsid w:val="007A3F7C"/>
    <w:rsid w:val="007A5AB2"/>
    <w:rsid w:val="007A64C5"/>
    <w:rsid w:val="007A7743"/>
    <w:rsid w:val="007A7911"/>
    <w:rsid w:val="007B0F7F"/>
    <w:rsid w:val="007B14ED"/>
    <w:rsid w:val="007B373E"/>
    <w:rsid w:val="007B3C1D"/>
    <w:rsid w:val="007B4DFA"/>
    <w:rsid w:val="007B5EB9"/>
    <w:rsid w:val="007B5F10"/>
    <w:rsid w:val="007B6061"/>
    <w:rsid w:val="007C0AA6"/>
    <w:rsid w:val="007C0FA7"/>
    <w:rsid w:val="007C123B"/>
    <w:rsid w:val="007C1E0F"/>
    <w:rsid w:val="007C22CD"/>
    <w:rsid w:val="007C30E3"/>
    <w:rsid w:val="007C4AF8"/>
    <w:rsid w:val="007C5AF0"/>
    <w:rsid w:val="007C646D"/>
    <w:rsid w:val="007C6D11"/>
    <w:rsid w:val="007C7ADC"/>
    <w:rsid w:val="007C7B5A"/>
    <w:rsid w:val="007D169A"/>
    <w:rsid w:val="007D2841"/>
    <w:rsid w:val="007D2B08"/>
    <w:rsid w:val="007D3A23"/>
    <w:rsid w:val="007D5B21"/>
    <w:rsid w:val="007D5E70"/>
    <w:rsid w:val="007D5EC7"/>
    <w:rsid w:val="007D5EFD"/>
    <w:rsid w:val="007D6B10"/>
    <w:rsid w:val="007E0457"/>
    <w:rsid w:val="007E0958"/>
    <w:rsid w:val="007E0A1C"/>
    <w:rsid w:val="007E12FD"/>
    <w:rsid w:val="007E1953"/>
    <w:rsid w:val="007E1F73"/>
    <w:rsid w:val="007E21AB"/>
    <w:rsid w:val="007E28E0"/>
    <w:rsid w:val="007E3061"/>
    <w:rsid w:val="007E377F"/>
    <w:rsid w:val="007E4B0C"/>
    <w:rsid w:val="007E6875"/>
    <w:rsid w:val="007F16B4"/>
    <w:rsid w:val="007F1D1E"/>
    <w:rsid w:val="007F2BB0"/>
    <w:rsid w:val="007F3FDE"/>
    <w:rsid w:val="007F5141"/>
    <w:rsid w:val="007F5FA8"/>
    <w:rsid w:val="007F651F"/>
    <w:rsid w:val="008009BC"/>
    <w:rsid w:val="00800BA7"/>
    <w:rsid w:val="00801608"/>
    <w:rsid w:val="00801FBA"/>
    <w:rsid w:val="008023FE"/>
    <w:rsid w:val="00802B46"/>
    <w:rsid w:val="008053F7"/>
    <w:rsid w:val="008055A9"/>
    <w:rsid w:val="00805C20"/>
    <w:rsid w:val="008066E6"/>
    <w:rsid w:val="0080704C"/>
    <w:rsid w:val="008079C5"/>
    <w:rsid w:val="008101D1"/>
    <w:rsid w:val="00810407"/>
    <w:rsid w:val="00810E7C"/>
    <w:rsid w:val="00812167"/>
    <w:rsid w:val="00812DFF"/>
    <w:rsid w:val="00813428"/>
    <w:rsid w:val="008135D4"/>
    <w:rsid w:val="008138E0"/>
    <w:rsid w:val="0081468C"/>
    <w:rsid w:val="008166D2"/>
    <w:rsid w:val="00817A07"/>
    <w:rsid w:val="008207D4"/>
    <w:rsid w:val="00820DB5"/>
    <w:rsid w:val="00822A89"/>
    <w:rsid w:val="008247BB"/>
    <w:rsid w:val="008267C4"/>
    <w:rsid w:val="00826C26"/>
    <w:rsid w:val="00830AB2"/>
    <w:rsid w:val="00831A74"/>
    <w:rsid w:val="00832056"/>
    <w:rsid w:val="008326F9"/>
    <w:rsid w:val="00832D1F"/>
    <w:rsid w:val="008336FE"/>
    <w:rsid w:val="0083370B"/>
    <w:rsid w:val="008349BF"/>
    <w:rsid w:val="00834D41"/>
    <w:rsid w:val="00840681"/>
    <w:rsid w:val="00840E0E"/>
    <w:rsid w:val="00840E83"/>
    <w:rsid w:val="00841AFC"/>
    <w:rsid w:val="00842D1B"/>
    <w:rsid w:val="0084392C"/>
    <w:rsid w:val="008454D2"/>
    <w:rsid w:val="0084600A"/>
    <w:rsid w:val="0084622B"/>
    <w:rsid w:val="0084642C"/>
    <w:rsid w:val="0084672E"/>
    <w:rsid w:val="0084757B"/>
    <w:rsid w:val="0084758C"/>
    <w:rsid w:val="00847938"/>
    <w:rsid w:val="00847DA5"/>
    <w:rsid w:val="00850C78"/>
    <w:rsid w:val="00850E56"/>
    <w:rsid w:val="0085172A"/>
    <w:rsid w:val="00851DDB"/>
    <w:rsid w:val="00851FA9"/>
    <w:rsid w:val="00851FD0"/>
    <w:rsid w:val="008527CE"/>
    <w:rsid w:val="00854199"/>
    <w:rsid w:val="008544C8"/>
    <w:rsid w:val="00854793"/>
    <w:rsid w:val="0085737C"/>
    <w:rsid w:val="0085746C"/>
    <w:rsid w:val="00857983"/>
    <w:rsid w:val="00864196"/>
    <w:rsid w:val="00864EC0"/>
    <w:rsid w:val="008662EB"/>
    <w:rsid w:val="00866F39"/>
    <w:rsid w:val="0086765F"/>
    <w:rsid w:val="00870A3E"/>
    <w:rsid w:val="008714DE"/>
    <w:rsid w:val="008716B2"/>
    <w:rsid w:val="00871A3A"/>
    <w:rsid w:val="008731B7"/>
    <w:rsid w:val="00873338"/>
    <w:rsid w:val="00874EBF"/>
    <w:rsid w:val="00874FC3"/>
    <w:rsid w:val="008757A2"/>
    <w:rsid w:val="00875B79"/>
    <w:rsid w:val="00876289"/>
    <w:rsid w:val="00877AB8"/>
    <w:rsid w:val="00882845"/>
    <w:rsid w:val="0088303A"/>
    <w:rsid w:val="008835BF"/>
    <w:rsid w:val="0088485B"/>
    <w:rsid w:val="0088537F"/>
    <w:rsid w:val="008859D7"/>
    <w:rsid w:val="00885CFA"/>
    <w:rsid w:val="00885F93"/>
    <w:rsid w:val="00886F95"/>
    <w:rsid w:val="00887E21"/>
    <w:rsid w:val="00893D59"/>
    <w:rsid w:val="00893DBA"/>
    <w:rsid w:val="00894561"/>
    <w:rsid w:val="0089580B"/>
    <w:rsid w:val="00895D4C"/>
    <w:rsid w:val="008A02AA"/>
    <w:rsid w:val="008A1851"/>
    <w:rsid w:val="008A248F"/>
    <w:rsid w:val="008A329C"/>
    <w:rsid w:val="008A391A"/>
    <w:rsid w:val="008A3B12"/>
    <w:rsid w:val="008A5519"/>
    <w:rsid w:val="008A5640"/>
    <w:rsid w:val="008A5EC4"/>
    <w:rsid w:val="008A6E97"/>
    <w:rsid w:val="008A74B6"/>
    <w:rsid w:val="008A74C3"/>
    <w:rsid w:val="008B0ECA"/>
    <w:rsid w:val="008B146D"/>
    <w:rsid w:val="008B158F"/>
    <w:rsid w:val="008B1F0A"/>
    <w:rsid w:val="008B4223"/>
    <w:rsid w:val="008B43D6"/>
    <w:rsid w:val="008B4E00"/>
    <w:rsid w:val="008B50CB"/>
    <w:rsid w:val="008B5B5A"/>
    <w:rsid w:val="008B6BCC"/>
    <w:rsid w:val="008B722F"/>
    <w:rsid w:val="008C1048"/>
    <w:rsid w:val="008C2ED6"/>
    <w:rsid w:val="008C4B55"/>
    <w:rsid w:val="008C4B83"/>
    <w:rsid w:val="008C4BD2"/>
    <w:rsid w:val="008C6419"/>
    <w:rsid w:val="008C686C"/>
    <w:rsid w:val="008C6C69"/>
    <w:rsid w:val="008C705E"/>
    <w:rsid w:val="008C7C16"/>
    <w:rsid w:val="008D012F"/>
    <w:rsid w:val="008D128E"/>
    <w:rsid w:val="008D14A7"/>
    <w:rsid w:val="008D180F"/>
    <w:rsid w:val="008D1D83"/>
    <w:rsid w:val="008D2AAB"/>
    <w:rsid w:val="008D4455"/>
    <w:rsid w:val="008D4CC4"/>
    <w:rsid w:val="008D52F8"/>
    <w:rsid w:val="008D5BA6"/>
    <w:rsid w:val="008D6018"/>
    <w:rsid w:val="008D605F"/>
    <w:rsid w:val="008D68B9"/>
    <w:rsid w:val="008E0252"/>
    <w:rsid w:val="008E05F6"/>
    <w:rsid w:val="008E07F7"/>
    <w:rsid w:val="008E0961"/>
    <w:rsid w:val="008E272E"/>
    <w:rsid w:val="008E2B24"/>
    <w:rsid w:val="008E3A97"/>
    <w:rsid w:val="008E3F90"/>
    <w:rsid w:val="008E5A0D"/>
    <w:rsid w:val="008E62B7"/>
    <w:rsid w:val="008E648F"/>
    <w:rsid w:val="008E7E2B"/>
    <w:rsid w:val="008E7F25"/>
    <w:rsid w:val="008F20BE"/>
    <w:rsid w:val="008F21F6"/>
    <w:rsid w:val="008F221E"/>
    <w:rsid w:val="008F38E6"/>
    <w:rsid w:val="008F593B"/>
    <w:rsid w:val="008F7172"/>
    <w:rsid w:val="008F7E6A"/>
    <w:rsid w:val="00900023"/>
    <w:rsid w:val="00900374"/>
    <w:rsid w:val="00900533"/>
    <w:rsid w:val="009009F5"/>
    <w:rsid w:val="00906895"/>
    <w:rsid w:val="00911BC3"/>
    <w:rsid w:val="00912834"/>
    <w:rsid w:val="00912DF1"/>
    <w:rsid w:val="0091346D"/>
    <w:rsid w:val="00914024"/>
    <w:rsid w:val="009164CA"/>
    <w:rsid w:val="00917F28"/>
    <w:rsid w:val="00920A46"/>
    <w:rsid w:val="00920C4C"/>
    <w:rsid w:val="00921287"/>
    <w:rsid w:val="00922E32"/>
    <w:rsid w:val="00924439"/>
    <w:rsid w:val="009253F0"/>
    <w:rsid w:val="009262B5"/>
    <w:rsid w:val="009270E7"/>
    <w:rsid w:val="009272D1"/>
    <w:rsid w:val="00927A04"/>
    <w:rsid w:val="00927C5D"/>
    <w:rsid w:val="00927EB6"/>
    <w:rsid w:val="0093015C"/>
    <w:rsid w:val="0093073E"/>
    <w:rsid w:val="0093084A"/>
    <w:rsid w:val="00930AA7"/>
    <w:rsid w:val="00930C5E"/>
    <w:rsid w:val="00930F39"/>
    <w:rsid w:val="009324F6"/>
    <w:rsid w:val="0093277C"/>
    <w:rsid w:val="00932AB9"/>
    <w:rsid w:val="00933078"/>
    <w:rsid w:val="009331B9"/>
    <w:rsid w:val="009335B0"/>
    <w:rsid w:val="0093363E"/>
    <w:rsid w:val="00934B51"/>
    <w:rsid w:val="00935A49"/>
    <w:rsid w:val="0093666A"/>
    <w:rsid w:val="00936D1B"/>
    <w:rsid w:val="00936FB2"/>
    <w:rsid w:val="00937B4D"/>
    <w:rsid w:val="009401B3"/>
    <w:rsid w:val="009429D0"/>
    <w:rsid w:val="00946E72"/>
    <w:rsid w:val="009531F6"/>
    <w:rsid w:val="00955891"/>
    <w:rsid w:val="009567C9"/>
    <w:rsid w:val="0096041A"/>
    <w:rsid w:val="0096071C"/>
    <w:rsid w:val="00960DCE"/>
    <w:rsid w:val="00961010"/>
    <w:rsid w:val="00963BD7"/>
    <w:rsid w:val="0096453F"/>
    <w:rsid w:val="0096490E"/>
    <w:rsid w:val="0096632E"/>
    <w:rsid w:val="0096746B"/>
    <w:rsid w:val="00967940"/>
    <w:rsid w:val="00970AF3"/>
    <w:rsid w:val="009715C0"/>
    <w:rsid w:val="009722F2"/>
    <w:rsid w:val="00972381"/>
    <w:rsid w:val="00972D3C"/>
    <w:rsid w:val="00975BFB"/>
    <w:rsid w:val="009777CB"/>
    <w:rsid w:val="00980BC7"/>
    <w:rsid w:val="00980BE7"/>
    <w:rsid w:val="0098299C"/>
    <w:rsid w:val="00982CEC"/>
    <w:rsid w:val="0098663C"/>
    <w:rsid w:val="00990368"/>
    <w:rsid w:val="009906D2"/>
    <w:rsid w:val="00990D5D"/>
    <w:rsid w:val="0099102A"/>
    <w:rsid w:val="00991D5F"/>
    <w:rsid w:val="00994A30"/>
    <w:rsid w:val="00997408"/>
    <w:rsid w:val="009A0980"/>
    <w:rsid w:val="009A0D33"/>
    <w:rsid w:val="009A0FD1"/>
    <w:rsid w:val="009A1B03"/>
    <w:rsid w:val="009A1E7B"/>
    <w:rsid w:val="009A1F1C"/>
    <w:rsid w:val="009A2376"/>
    <w:rsid w:val="009A2A3A"/>
    <w:rsid w:val="009A2FD4"/>
    <w:rsid w:val="009A6746"/>
    <w:rsid w:val="009A7EB9"/>
    <w:rsid w:val="009B0884"/>
    <w:rsid w:val="009B2435"/>
    <w:rsid w:val="009B2B4C"/>
    <w:rsid w:val="009B2C1A"/>
    <w:rsid w:val="009B2FE3"/>
    <w:rsid w:val="009B3B76"/>
    <w:rsid w:val="009B3CB1"/>
    <w:rsid w:val="009B3F22"/>
    <w:rsid w:val="009B467C"/>
    <w:rsid w:val="009B4F22"/>
    <w:rsid w:val="009B5634"/>
    <w:rsid w:val="009B6C68"/>
    <w:rsid w:val="009B7CFD"/>
    <w:rsid w:val="009C0A40"/>
    <w:rsid w:val="009C0BBE"/>
    <w:rsid w:val="009C2244"/>
    <w:rsid w:val="009C22B3"/>
    <w:rsid w:val="009C2D5D"/>
    <w:rsid w:val="009C3079"/>
    <w:rsid w:val="009C3411"/>
    <w:rsid w:val="009C4535"/>
    <w:rsid w:val="009C4996"/>
    <w:rsid w:val="009C4A3C"/>
    <w:rsid w:val="009C51BF"/>
    <w:rsid w:val="009C53B2"/>
    <w:rsid w:val="009C5AFE"/>
    <w:rsid w:val="009C5FAB"/>
    <w:rsid w:val="009C650F"/>
    <w:rsid w:val="009D21A6"/>
    <w:rsid w:val="009D366A"/>
    <w:rsid w:val="009D3FBB"/>
    <w:rsid w:val="009D52E0"/>
    <w:rsid w:val="009D62D9"/>
    <w:rsid w:val="009D63E0"/>
    <w:rsid w:val="009D6F7B"/>
    <w:rsid w:val="009E0298"/>
    <w:rsid w:val="009E0499"/>
    <w:rsid w:val="009E0A08"/>
    <w:rsid w:val="009E1B6B"/>
    <w:rsid w:val="009E1D66"/>
    <w:rsid w:val="009E3567"/>
    <w:rsid w:val="009E458D"/>
    <w:rsid w:val="009E740B"/>
    <w:rsid w:val="009F193E"/>
    <w:rsid w:val="009F1F47"/>
    <w:rsid w:val="009F21B8"/>
    <w:rsid w:val="009F319A"/>
    <w:rsid w:val="009F4362"/>
    <w:rsid w:val="009F54C8"/>
    <w:rsid w:val="009F5768"/>
    <w:rsid w:val="009F5989"/>
    <w:rsid w:val="009F5A36"/>
    <w:rsid w:val="009F5B31"/>
    <w:rsid w:val="009F5C6A"/>
    <w:rsid w:val="009F67D7"/>
    <w:rsid w:val="009F72A0"/>
    <w:rsid w:val="009F74A2"/>
    <w:rsid w:val="009F7707"/>
    <w:rsid w:val="009F77E9"/>
    <w:rsid w:val="009F7DCE"/>
    <w:rsid w:val="00A0037E"/>
    <w:rsid w:val="00A017BD"/>
    <w:rsid w:val="00A01AFE"/>
    <w:rsid w:val="00A02C6E"/>
    <w:rsid w:val="00A03514"/>
    <w:rsid w:val="00A047E2"/>
    <w:rsid w:val="00A04B85"/>
    <w:rsid w:val="00A04D7A"/>
    <w:rsid w:val="00A04FE8"/>
    <w:rsid w:val="00A05893"/>
    <w:rsid w:val="00A05B76"/>
    <w:rsid w:val="00A05E1A"/>
    <w:rsid w:val="00A0746E"/>
    <w:rsid w:val="00A10362"/>
    <w:rsid w:val="00A11876"/>
    <w:rsid w:val="00A12C51"/>
    <w:rsid w:val="00A1366A"/>
    <w:rsid w:val="00A14513"/>
    <w:rsid w:val="00A14526"/>
    <w:rsid w:val="00A14B10"/>
    <w:rsid w:val="00A154DE"/>
    <w:rsid w:val="00A15E2A"/>
    <w:rsid w:val="00A16DC6"/>
    <w:rsid w:val="00A16DEA"/>
    <w:rsid w:val="00A1730A"/>
    <w:rsid w:val="00A179F5"/>
    <w:rsid w:val="00A20403"/>
    <w:rsid w:val="00A210C7"/>
    <w:rsid w:val="00A21B0A"/>
    <w:rsid w:val="00A21E42"/>
    <w:rsid w:val="00A23639"/>
    <w:rsid w:val="00A24307"/>
    <w:rsid w:val="00A25236"/>
    <w:rsid w:val="00A277E8"/>
    <w:rsid w:val="00A27DF5"/>
    <w:rsid w:val="00A3022A"/>
    <w:rsid w:val="00A30CDC"/>
    <w:rsid w:val="00A317AD"/>
    <w:rsid w:val="00A32818"/>
    <w:rsid w:val="00A32944"/>
    <w:rsid w:val="00A32FD2"/>
    <w:rsid w:val="00A3388A"/>
    <w:rsid w:val="00A3398C"/>
    <w:rsid w:val="00A3409F"/>
    <w:rsid w:val="00A342E9"/>
    <w:rsid w:val="00A34552"/>
    <w:rsid w:val="00A350DF"/>
    <w:rsid w:val="00A35300"/>
    <w:rsid w:val="00A37A90"/>
    <w:rsid w:val="00A421ED"/>
    <w:rsid w:val="00A43777"/>
    <w:rsid w:val="00A44258"/>
    <w:rsid w:val="00A4441D"/>
    <w:rsid w:val="00A44B83"/>
    <w:rsid w:val="00A450D5"/>
    <w:rsid w:val="00A450E3"/>
    <w:rsid w:val="00A45126"/>
    <w:rsid w:val="00A45453"/>
    <w:rsid w:val="00A461B8"/>
    <w:rsid w:val="00A46504"/>
    <w:rsid w:val="00A46599"/>
    <w:rsid w:val="00A47AC8"/>
    <w:rsid w:val="00A47D0A"/>
    <w:rsid w:val="00A50168"/>
    <w:rsid w:val="00A50C26"/>
    <w:rsid w:val="00A50D14"/>
    <w:rsid w:val="00A5312A"/>
    <w:rsid w:val="00A53DAE"/>
    <w:rsid w:val="00A54876"/>
    <w:rsid w:val="00A5500C"/>
    <w:rsid w:val="00A55731"/>
    <w:rsid w:val="00A55776"/>
    <w:rsid w:val="00A5646F"/>
    <w:rsid w:val="00A56505"/>
    <w:rsid w:val="00A565EB"/>
    <w:rsid w:val="00A56A43"/>
    <w:rsid w:val="00A57AE9"/>
    <w:rsid w:val="00A60E69"/>
    <w:rsid w:val="00A61083"/>
    <w:rsid w:val="00A6123D"/>
    <w:rsid w:val="00A615E1"/>
    <w:rsid w:val="00A62576"/>
    <w:rsid w:val="00A63650"/>
    <w:rsid w:val="00A63F7C"/>
    <w:rsid w:val="00A65FDA"/>
    <w:rsid w:val="00A66720"/>
    <w:rsid w:val="00A66876"/>
    <w:rsid w:val="00A66C7B"/>
    <w:rsid w:val="00A67B3C"/>
    <w:rsid w:val="00A70CEE"/>
    <w:rsid w:val="00A71073"/>
    <w:rsid w:val="00A719E7"/>
    <w:rsid w:val="00A72067"/>
    <w:rsid w:val="00A738B0"/>
    <w:rsid w:val="00A73C7F"/>
    <w:rsid w:val="00A76250"/>
    <w:rsid w:val="00A77C4F"/>
    <w:rsid w:val="00A77D88"/>
    <w:rsid w:val="00A80D59"/>
    <w:rsid w:val="00A8137A"/>
    <w:rsid w:val="00A81897"/>
    <w:rsid w:val="00A841EB"/>
    <w:rsid w:val="00A8452B"/>
    <w:rsid w:val="00A84BA9"/>
    <w:rsid w:val="00A856B9"/>
    <w:rsid w:val="00A8576E"/>
    <w:rsid w:val="00A85C00"/>
    <w:rsid w:val="00A86A57"/>
    <w:rsid w:val="00A87210"/>
    <w:rsid w:val="00A878D9"/>
    <w:rsid w:val="00A90A90"/>
    <w:rsid w:val="00A91015"/>
    <w:rsid w:val="00A91549"/>
    <w:rsid w:val="00A9241C"/>
    <w:rsid w:val="00A92862"/>
    <w:rsid w:val="00A928FA"/>
    <w:rsid w:val="00A93362"/>
    <w:rsid w:val="00A93A92"/>
    <w:rsid w:val="00A97840"/>
    <w:rsid w:val="00A97CD9"/>
    <w:rsid w:val="00A97D29"/>
    <w:rsid w:val="00AA0005"/>
    <w:rsid w:val="00AA04A4"/>
    <w:rsid w:val="00AA0B3B"/>
    <w:rsid w:val="00AA1B23"/>
    <w:rsid w:val="00AA2D3D"/>
    <w:rsid w:val="00AA305B"/>
    <w:rsid w:val="00AA48F2"/>
    <w:rsid w:val="00AA5307"/>
    <w:rsid w:val="00AA5F44"/>
    <w:rsid w:val="00AA6F21"/>
    <w:rsid w:val="00AB1976"/>
    <w:rsid w:val="00AB33D9"/>
    <w:rsid w:val="00AB3724"/>
    <w:rsid w:val="00AB4524"/>
    <w:rsid w:val="00AB4D34"/>
    <w:rsid w:val="00AB4F58"/>
    <w:rsid w:val="00AB53E7"/>
    <w:rsid w:val="00AB6891"/>
    <w:rsid w:val="00AB7755"/>
    <w:rsid w:val="00AC10C7"/>
    <w:rsid w:val="00AC2933"/>
    <w:rsid w:val="00AC2F6E"/>
    <w:rsid w:val="00AC41AD"/>
    <w:rsid w:val="00AC4BE8"/>
    <w:rsid w:val="00AC539A"/>
    <w:rsid w:val="00AC5925"/>
    <w:rsid w:val="00AC5F80"/>
    <w:rsid w:val="00AD1855"/>
    <w:rsid w:val="00AD1DD2"/>
    <w:rsid w:val="00AD3063"/>
    <w:rsid w:val="00AE04AA"/>
    <w:rsid w:val="00AE0CC1"/>
    <w:rsid w:val="00AE361F"/>
    <w:rsid w:val="00AE3703"/>
    <w:rsid w:val="00AE3A1E"/>
    <w:rsid w:val="00AE49F2"/>
    <w:rsid w:val="00AE4E9E"/>
    <w:rsid w:val="00AE554B"/>
    <w:rsid w:val="00AE5D85"/>
    <w:rsid w:val="00AE5FF0"/>
    <w:rsid w:val="00AE604E"/>
    <w:rsid w:val="00AE71A1"/>
    <w:rsid w:val="00AF09D4"/>
    <w:rsid w:val="00AF45E7"/>
    <w:rsid w:val="00AF65C3"/>
    <w:rsid w:val="00AF6F03"/>
    <w:rsid w:val="00AF70CC"/>
    <w:rsid w:val="00B01DD6"/>
    <w:rsid w:val="00B023D7"/>
    <w:rsid w:val="00B02B2F"/>
    <w:rsid w:val="00B02DE3"/>
    <w:rsid w:val="00B05E7D"/>
    <w:rsid w:val="00B06227"/>
    <w:rsid w:val="00B07815"/>
    <w:rsid w:val="00B1091D"/>
    <w:rsid w:val="00B118FA"/>
    <w:rsid w:val="00B130D2"/>
    <w:rsid w:val="00B1369D"/>
    <w:rsid w:val="00B1427D"/>
    <w:rsid w:val="00B1516A"/>
    <w:rsid w:val="00B15594"/>
    <w:rsid w:val="00B1601A"/>
    <w:rsid w:val="00B20393"/>
    <w:rsid w:val="00B21E32"/>
    <w:rsid w:val="00B22405"/>
    <w:rsid w:val="00B2343F"/>
    <w:rsid w:val="00B23BA3"/>
    <w:rsid w:val="00B25AAC"/>
    <w:rsid w:val="00B26B19"/>
    <w:rsid w:val="00B2741A"/>
    <w:rsid w:val="00B2767A"/>
    <w:rsid w:val="00B30AC8"/>
    <w:rsid w:val="00B31284"/>
    <w:rsid w:val="00B31921"/>
    <w:rsid w:val="00B31C04"/>
    <w:rsid w:val="00B328B9"/>
    <w:rsid w:val="00B339DF"/>
    <w:rsid w:val="00B33C5C"/>
    <w:rsid w:val="00B3415F"/>
    <w:rsid w:val="00B3494C"/>
    <w:rsid w:val="00B34E41"/>
    <w:rsid w:val="00B35438"/>
    <w:rsid w:val="00B3596F"/>
    <w:rsid w:val="00B35ADC"/>
    <w:rsid w:val="00B3626F"/>
    <w:rsid w:val="00B362F4"/>
    <w:rsid w:val="00B37011"/>
    <w:rsid w:val="00B37929"/>
    <w:rsid w:val="00B400F7"/>
    <w:rsid w:val="00B410F4"/>
    <w:rsid w:val="00B4263A"/>
    <w:rsid w:val="00B42BEB"/>
    <w:rsid w:val="00B43549"/>
    <w:rsid w:val="00B43AE3"/>
    <w:rsid w:val="00B44A27"/>
    <w:rsid w:val="00B47743"/>
    <w:rsid w:val="00B50774"/>
    <w:rsid w:val="00B518B7"/>
    <w:rsid w:val="00B51BBC"/>
    <w:rsid w:val="00B52287"/>
    <w:rsid w:val="00B52D72"/>
    <w:rsid w:val="00B5311A"/>
    <w:rsid w:val="00B548C8"/>
    <w:rsid w:val="00B54A85"/>
    <w:rsid w:val="00B550B1"/>
    <w:rsid w:val="00B55279"/>
    <w:rsid w:val="00B55990"/>
    <w:rsid w:val="00B56F90"/>
    <w:rsid w:val="00B571D9"/>
    <w:rsid w:val="00B57E1E"/>
    <w:rsid w:val="00B6039F"/>
    <w:rsid w:val="00B60B47"/>
    <w:rsid w:val="00B6118F"/>
    <w:rsid w:val="00B626D4"/>
    <w:rsid w:val="00B62CF2"/>
    <w:rsid w:val="00B64EB6"/>
    <w:rsid w:val="00B6583B"/>
    <w:rsid w:val="00B702E0"/>
    <w:rsid w:val="00B70E33"/>
    <w:rsid w:val="00B7297E"/>
    <w:rsid w:val="00B73E4C"/>
    <w:rsid w:val="00B74D6B"/>
    <w:rsid w:val="00B74EDB"/>
    <w:rsid w:val="00B7509A"/>
    <w:rsid w:val="00B750E0"/>
    <w:rsid w:val="00B75D2D"/>
    <w:rsid w:val="00B77270"/>
    <w:rsid w:val="00B80A38"/>
    <w:rsid w:val="00B80A3A"/>
    <w:rsid w:val="00B81530"/>
    <w:rsid w:val="00B83C9F"/>
    <w:rsid w:val="00B85F4D"/>
    <w:rsid w:val="00B87299"/>
    <w:rsid w:val="00B903B5"/>
    <w:rsid w:val="00B91248"/>
    <w:rsid w:val="00B928E9"/>
    <w:rsid w:val="00B92A7B"/>
    <w:rsid w:val="00B9360C"/>
    <w:rsid w:val="00B938AA"/>
    <w:rsid w:val="00B948A6"/>
    <w:rsid w:val="00B948C5"/>
    <w:rsid w:val="00B94ED9"/>
    <w:rsid w:val="00B960B5"/>
    <w:rsid w:val="00B96C2A"/>
    <w:rsid w:val="00B971CD"/>
    <w:rsid w:val="00B97578"/>
    <w:rsid w:val="00BA09C7"/>
    <w:rsid w:val="00BA1990"/>
    <w:rsid w:val="00BA1A2C"/>
    <w:rsid w:val="00BA2F54"/>
    <w:rsid w:val="00BA396D"/>
    <w:rsid w:val="00BA6388"/>
    <w:rsid w:val="00BA6400"/>
    <w:rsid w:val="00BA66D3"/>
    <w:rsid w:val="00BA6856"/>
    <w:rsid w:val="00BB117B"/>
    <w:rsid w:val="00BB11BB"/>
    <w:rsid w:val="00BB2B91"/>
    <w:rsid w:val="00BB2F43"/>
    <w:rsid w:val="00BB328E"/>
    <w:rsid w:val="00BB37BE"/>
    <w:rsid w:val="00BB3A86"/>
    <w:rsid w:val="00BB3F44"/>
    <w:rsid w:val="00BB430B"/>
    <w:rsid w:val="00BB4F15"/>
    <w:rsid w:val="00BB4F82"/>
    <w:rsid w:val="00BB5A63"/>
    <w:rsid w:val="00BB73FA"/>
    <w:rsid w:val="00BC0EEC"/>
    <w:rsid w:val="00BC0F4A"/>
    <w:rsid w:val="00BC3232"/>
    <w:rsid w:val="00BC368C"/>
    <w:rsid w:val="00BC5A0B"/>
    <w:rsid w:val="00BD0987"/>
    <w:rsid w:val="00BD1260"/>
    <w:rsid w:val="00BD5759"/>
    <w:rsid w:val="00BD69E9"/>
    <w:rsid w:val="00BE1B02"/>
    <w:rsid w:val="00BE1BBF"/>
    <w:rsid w:val="00BE2CCC"/>
    <w:rsid w:val="00BE2D59"/>
    <w:rsid w:val="00BE2F61"/>
    <w:rsid w:val="00BE59FA"/>
    <w:rsid w:val="00BE5F88"/>
    <w:rsid w:val="00BE6519"/>
    <w:rsid w:val="00BE663C"/>
    <w:rsid w:val="00BF0C3A"/>
    <w:rsid w:val="00BF0D33"/>
    <w:rsid w:val="00BF179E"/>
    <w:rsid w:val="00BF245D"/>
    <w:rsid w:val="00BF368E"/>
    <w:rsid w:val="00BF3805"/>
    <w:rsid w:val="00BF3869"/>
    <w:rsid w:val="00BF4ED3"/>
    <w:rsid w:val="00BF5A29"/>
    <w:rsid w:val="00BF6CEE"/>
    <w:rsid w:val="00C01D13"/>
    <w:rsid w:val="00C020B4"/>
    <w:rsid w:val="00C02604"/>
    <w:rsid w:val="00C02DD6"/>
    <w:rsid w:val="00C03DEE"/>
    <w:rsid w:val="00C04F7A"/>
    <w:rsid w:val="00C05102"/>
    <w:rsid w:val="00C05662"/>
    <w:rsid w:val="00C05951"/>
    <w:rsid w:val="00C067EB"/>
    <w:rsid w:val="00C068B5"/>
    <w:rsid w:val="00C11775"/>
    <w:rsid w:val="00C118F7"/>
    <w:rsid w:val="00C12510"/>
    <w:rsid w:val="00C1382F"/>
    <w:rsid w:val="00C14EE7"/>
    <w:rsid w:val="00C15CEE"/>
    <w:rsid w:val="00C16446"/>
    <w:rsid w:val="00C20634"/>
    <w:rsid w:val="00C20BA2"/>
    <w:rsid w:val="00C20CA8"/>
    <w:rsid w:val="00C21147"/>
    <w:rsid w:val="00C2171B"/>
    <w:rsid w:val="00C23E19"/>
    <w:rsid w:val="00C258A3"/>
    <w:rsid w:val="00C25E27"/>
    <w:rsid w:val="00C26877"/>
    <w:rsid w:val="00C26FB7"/>
    <w:rsid w:val="00C27737"/>
    <w:rsid w:val="00C27BD0"/>
    <w:rsid w:val="00C27F73"/>
    <w:rsid w:val="00C30B8E"/>
    <w:rsid w:val="00C30FBC"/>
    <w:rsid w:val="00C31412"/>
    <w:rsid w:val="00C328AA"/>
    <w:rsid w:val="00C32916"/>
    <w:rsid w:val="00C32D17"/>
    <w:rsid w:val="00C336EE"/>
    <w:rsid w:val="00C35D56"/>
    <w:rsid w:val="00C36A1B"/>
    <w:rsid w:val="00C37114"/>
    <w:rsid w:val="00C37C38"/>
    <w:rsid w:val="00C40232"/>
    <w:rsid w:val="00C40A08"/>
    <w:rsid w:val="00C42F8A"/>
    <w:rsid w:val="00C46260"/>
    <w:rsid w:val="00C47368"/>
    <w:rsid w:val="00C47CCC"/>
    <w:rsid w:val="00C52B71"/>
    <w:rsid w:val="00C53B74"/>
    <w:rsid w:val="00C53E4C"/>
    <w:rsid w:val="00C55DF2"/>
    <w:rsid w:val="00C56075"/>
    <w:rsid w:val="00C573CE"/>
    <w:rsid w:val="00C57D97"/>
    <w:rsid w:val="00C6063D"/>
    <w:rsid w:val="00C60A11"/>
    <w:rsid w:val="00C61904"/>
    <w:rsid w:val="00C63958"/>
    <w:rsid w:val="00C64030"/>
    <w:rsid w:val="00C649AE"/>
    <w:rsid w:val="00C64CFD"/>
    <w:rsid w:val="00C64D7C"/>
    <w:rsid w:val="00C64F87"/>
    <w:rsid w:val="00C652CA"/>
    <w:rsid w:val="00C66621"/>
    <w:rsid w:val="00C66DC8"/>
    <w:rsid w:val="00C72894"/>
    <w:rsid w:val="00C7299B"/>
    <w:rsid w:val="00C73853"/>
    <w:rsid w:val="00C74AB8"/>
    <w:rsid w:val="00C75C43"/>
    <w:rsid w:val="00C76D9A"/>
    <w:rsid w:val="00C7762C"/>
    <w:rsid w:val="00C77917"/>
    <w:rsid w:val="00C80FE4"/>
    <w:rsid w:val="00C81C4A"/>
    <w:rsid w:val="00C828B7"/>
    <w:rsid w:val="00C83102"/>
    <w:rsid w:val="00C84237"/>
    <w:rsid w:val="00C844EE"/>
    <w:rsid w:val="00C84C57"/>
    <w:rsid w:val="00C85CD5"/>
    <w:rsid w:val="00C862E2"/>
    <w:rsid w:val="00C87BCA"/>
    <w:rsid w:val="00C92515"/>
    <w:rsid w:val="00C926E5"/>
    <w:rsid w:val="00C9389B"/>
    <w:rsid w:val="00C9541F"/>
    <w:rsid w:val="00C9568E"/>
    <w:rsid w:val="00C9599B"/>
    <w:rsid w:val="00C95AE3"/>
    <w:rsid w:val="00C96BC5"/>
    <w:rsid w:val="00C97D06"/>
    <w:rsid w:val="00CA01AA"/>
    <w:rsid w:val="00CA0778"/>
    <w:rsid w:val="00CA1F1A"/>
    <w:rsid w:val="00CA3390"/>
    <w:rsid w:val="00CA35FD"/>
    <w:rsid w:val="00CA4016"/>
    <w:rsid w:val="00CA4623"/>
    <w:rsid w:val="00CA779B"/>
    <w:rsid w:val="00CA7CB1"/>
    <w:rsid w:val="00CA7F33"/>
    <w:rsid w:val="00CB1D31"/>
    <w:rsid w:val="00CB2A3A"/>
    <w:rsid w:val="00CB3269"/>
    <w:rsid w:val="00CB395A"/>
    <w:rsid w:val="00CB3AFA"/>
    <w:rsid w:val="00CB3EAF"/>
    <w:rsid w:val="00CB419C"/>
    <w:rsid w:val="00CB4E79"/>
    <w:rsid w:val="00CB5177"/>
    <w:rsid w:val="00CB53B2"/>
    <w:rsid w:val="00CB7510"/>
    <w:rsid w:val="00CB7FE8"/>
    <w:rsid w:val="00CC00C0"/>
    <w:rsid w:val="00CC0D04"/>
    <w:rsid w:val="00CC2285"/>
    <w:rsid w:val="00CC4136"/>
    <w:rsid w:val="00CC5450"/>
    <w:rsid w:val="00CC773E"/>
    <w:rsid w:val="00CC7F8A"/>
    <w:rsid w:val="00CC7FC7"/>
    <w:rsid w:val="00CD0BCC"/>
    <w:rsid w:val="00CD0D6A"/>
    <w:rsid w:val="00CD11AF"/>
    <w:rsid w:val="00CD1B67"/>
    <w:rsid w:val="00CD212B"/>
    <w:rsid w:val="00CD216E"/>
    <w:rsid w:val="00CD34C9"/>
    <w:rsid w:val="00CD4509"/>
    <w:rsid w:val="00CD46CC"/>
    <w:rsid w:val="00CD4D2C"/>
    <w:rsid w:val="00CD5F23"/>
    <w:rsid w:val="00CD7666"/>
    <w:rsid w:val="00CE0607"/>
    <w:rsid w:val="00CE06E1"/>
    <w:rsid w:val="00CE11DE"/>
    <w:rsid w:val="00CE18B3"/>
    <w:rsid w:val="00CE1BCE"/>
    <w:rsid w:val="00CE27D1"/>
    <w:rsid w:val="00CE2C23"/>
    <w:rsid w:val="00CE3A7D"/>
    <w:rsid w:val="00CE4087"/>
    <w:rsid w:val="00CE5B50"/>
    <w:rsid w:val="00CE65D4"/>
    <w:rsid w:val="00CE77C0"/>
    <w:rsid w:val="00CE796F"/>
    <w:rsid w:val="00CF091E"/>
    <w:rsid w:val="00CF2E66"/>
    <w:rsid w:val="00CF4039"/>
    <w:rsid w:val="00CF456D"/>
    <w:rsid w:val="00CF4BDC"/>
    <w:rsid w:val="00CF4F55"/>
    <w:rsid w:val="00CF5107"/>
    <w:rsid w:val="00CF553B"/>
    <w:rsid w:val="00CF56B4"/>
    <w:rsid w:val="00CF5832"/>
    <w:rsid w:val="00D0493E"/>
    <w:rsid w:val="00D04C66"/>
    <w:rsid w:val="00D05799"/>
    <w:rsid w:val="00D07FA0"/>
    <w:rsid w:val="00D102C7"/>
    <w:rsid w:val="00D115CC"/>
    <w:rsid w:val="00D1200E"/>
    <w:rsid w:val="00D12C16"/>
    <w:rsid w:val="00D12EEE"/>
    <w:rsid w:val="00D15B08"/>
    <w:rsid w:val="00D15BBF"/>
    <w:rsid w:val="00D1623A"/>
    <w:rsid w:val="00D17A48"/>
    <w:rsid w:val="00D202EB"/>
    <w:rsid w:val="00D20A25"/>
    <w:rsid w:val="00D20EC3"/>
    <w:rsid w:val="00D21D0D"/>
    <w:rsid w:val="00D220EC"/>
    <w:rsid w:val="00D2329F"/>
    <w:rsid w:val="00D236E2"/>
    <w:rsid w:val="00D26589"/>
    <w:rsid w:val="00D26EA0"/>
    <w:rsid w:val="00D274F1"/>
    <w:rsid w:val="00D304EE"/>
    <w:rsid w:val="00D31374"/>
    <w:rsid w:val="00D3212C"/>
    <w:rsid w:val="00D339D2"/>
    <w:rsid w:val="00D348CC"/>
    <w:rsid w:val="00D349D5"/>
    <w:rsid w:val="00D34F32"/>
    <w:rsid w:val="00D351A9"/>
    <w:rsid w:val="00D35F98"/>
    <w:rsid w:val="00D368CD"/>
    <w:rsid w:val="00D3712D"/>
    <w:rsid w:val="00D40960"/>
    <w:rsid w:val="00D40DF3"/>
    <w:rsid w:val="00D41732"/>
    <w:rsid w:val="00D4243B"/>
    <w:rsid w:val="00D42D52"/>
    <w:rsid w:val="00D42E55"/>
    <w:rsid w:val="00D43822"/>
    <w:rsid w:val="00D43DB7"/>
    <w:rsid w:val="00D47D98"/>
    <w:rsid w:val="00D47F00"/>
    <w:rsid w:val="00D51CFD"/>
    <w:rsid w:val="00D5226D"/>
    <w:rsid w:val="00D5242D"/>
    <w:rsid w:val="00D5258B"/>
    <w:rsid w:val="00D54364"/>
    <w:rsid w:val="00D54B44"/>
    <w:rsid w:val="00D54C81"/>
    <w:rsid w:val="00D54CD1"/>
    <w:rsid w:val="00D55A05"/>
    <w:rsid w:val="00D56411"/>
    <w:rsid w:val="00D56FE1"/>
    <w:rsid w:val="00D57C9F"/>
    <w:rsid w:val="00D605CD"/>
    <w:rsid w:val="00D60B01"/>
    <w:rsid w:val="00D63667"/>
    <w:rsid w:val="00D63FB5"/>
    <w:rsid w:val="00D64131"/>
    <w:rsid w:val="00D644FF"/>
    <w:rsid w:val="00D713CF"/>
    <w:rsid w:val="00D71ACF"/>
    <w:rsid w:val="00D71B65"/>
    <w:rsid w:val="00D7200D"/>
    <w:rsid w:val="00D72489"/>
    <w:rsid w:val="00D72B57"/>
    <w:rsid w:val="00D73A99"/>
    <w:rsid w:val="00D73B29"/>
    <w:rsid w:val="00D749C4"/>
    <w:rsid w:val="00D749CC"/>
    <w:rsid w:val="00D75044"/>
    <w:rsid w:val="00D76123"/>
    <w:rsid w:val="00D76A81"/>
    <w:rsid w:val="00D77988"/>
    <w:rsid w:val="00D83D6A"/>
    <w:rsid w:val="00D84911"/>
    <w:rsid w:val="00D8525A"/>
    <w:rsid w:val="00D85A55"/>
    <w:rsid w:val="00D86AAE"/>
    <w:rsid w:val="00D86B1D"/>
    <w:rsid w:val="00D86DDE"/>
    <w:rsid w:val="00D87223"/>
    <w:rsid w:val="00D87640"/>
    <w:rsid w:val="00D8771E"/>
    <w:rsid w:val="00D909CE"/>
    <w:rsid w:val="00D9160A"/>
    <w:rsid w:val="00D93F3C"/>
    <w:rsid w:val="00D9523C"/>
    <w:rsid w:val="00D953D2"/>
    <w:rsid w:val="00D95995"/>
    <w:rsid w:val="00D96911"/>
    <w:rsid w:val="00D96C6C"/>
    <w:rsid w:val="00D96E77"/>
    <w:rsid w:val="00D973E8"/>
    <w:rsid w:val="00D974C8"/>
    <w:rsid w:val="00D97793"/>
    <w:rsid w:val="00DA00C5"/>
    <w:rsid w:val="00DA0D58"/>
    <w:rsid w:val="00DA0DF4"/>
    <w:rsid w:val="00DA4161"/>
    <w:rsid w:val="00DA482C"/>
    <w:rsid w:val="00DA4A0B"/>
    <w:rsid w:val="00DA6D5F"/>
    <w:rsid w:val="00DA6F12"/>
    <w:rsid w:val="00DA6FBB"/>
    <w:rsid w:val="00DA7959"/>
    <w:rsid w:val="00DB0E60"/>
    <w:rsid w:val="00DB0EC5"/>
    <w:rsid w:val="00DB1C60"/>
    <w:rsid w:val="00DB2C0C"/>
    <w:rsid w:val="00DB4B08"/>
    <w:rsid w:val="00DB5331"/>
    <w:rsid w:val="00DB67D6"/>
    <w:rsid w:val="00DB6AAD"/>
    <w:rsid w:val="00DB6FD8"/>
    <w:rsid w:val="00DB7495"/>
    <w:rsid w:val="00DC0089"/>
    <w:rsid w:val="00DC0C3F"/>
    <w:rsid w:val="00DC0E61"/>
    <w:rsid w:val="00DC316C"/>
    <w:rsid w:val="00DC62D3"/>
    <w:rsid w:val="00DC6C55"/>
    <w:rsid w:val="00DC7072"/>
    <w:rsid w:val="00DC7722"/>
    <w:rsid w:val="00DC799C"/>
    <w:rsid w:val="00DC7FA5"/>
    <w:rsid w:val="00DD1C39"/>
    <w:rsid w:val="00DD2259"/>
    <w:rsid w:val="00DD2A21"/>
    <w:rsid w:val="00DD3C8F"/>
    <w:rsid w:val="00DD5077"/>
    <w:rsid w:val="00DD60CA"/>
    <w:rsid w:val="00DD742E"/>
    <w:rsid w:val="00DD7F92"/>
    <w:rsid w:val="00DE1CDA"/>
    <w:rsid w:val="00DE2C34"/>
    <w:rsid w:val="00DE34EE"/>
    <w:rsid w:val="00DE46B3"/>
    <w:rsid w:val="00DE553A"/>
    <w:rsid w:val="00DE5C3A"/>
    <w:rsid w:val="00DE6194"/>
    <w:rsid w:val="00DE6518"/>
    <w:rsid w:val="00DE6C03"/>
    <w:rsid w:val="00DF12E7"/>
    <w:rsid w:val="00DF18C7"/>
    <w:rsid w:val="00DF1F54"/>
    <w:rsid w:val="00DF5812"/>
    <w:rsid w:val="00DF5A9E"/>
    <w:rsid w:val="00DF789B"/>
    <w:rsid w:val="00E01192"/>
    <w:rsid w:val="00E02153"/>
    <w:rsid w:val="00E0394C"/>
    <w:rsid w:val="00E056A7"/>
    <w:rsid w:val="00E070D8"/>
    <w:rsid w:val="00E1033B"/>
    <w:rsid w:val="00E1044D"/>
    <w:rsid w:val="00E12549"/>
    <w:rsid w:val="00E12CA4"/>
    <w:rsid w:val="00E13246"/>
    <w:rsid w:val="00E13C47"/>
    <w:rsid w:val="00E13CFB"/>
    <w:rsid w:val="00E144C5"/>
    <w:rsid w:val="00E15984"/>
    <w:rsid w:val="00E15DB3"/>
    <w:rsid w:val="00E15EE6"/>
    <w:rsid w:val="00E1746F"/>
    <w:rsid w:val="00E207A6"/>
    <w:rsid w:val="00E21168"/>
    <w:rsid w:val="00E2474A"/>
    <w:rsid w:val="00E254C8"/>
    <w:rsid w:val="00E25D2A"/>
    <w:rsid w:val="00E26D2B"/>
    <w:rsid w:val="00E26D38"/>
    <w:rsid w:val="00E278FE"/>
    <w:rsid w:val="00E27A5C"/>
    <w:rsid w:val="00E30D49"/>
    <w:rsid w:val="00E30EA3"/>
    <w:rsid w:val="00E33149"/>
    <w:rsid w:val="00E347E7"/>
    <w:rsid w:val="00E34BCD"/>
    <w:rsid w:val="00E35353"/>
    <w:rsid w:val="00E36530"/>
    <w:rsid w:val="00E36856"/>
    <w:rsid w:val="00E36BD4"/>
    <w:rsid w:val="00E40007"/>
    <w:rsid w:val="00E40926"/>
    <w:rsid w:val="00E42079"/>
    <w:rsid w:val="00E42111"/>
    <w:rsid w:val="00E421B8"/>
    <w:rsid w:val="00E435F9"/>
    <w:rsid w:val="00E43868"/>
    <w:rsid w:val="00E43DEB"/>
    <w:rsid w:val="00E46C86"/>
    <w:rsid w:val="00E471BD"/>
    <w:rsid w:val="00E50E66"/>
    <w:rsid w:val="00E52145"/>
    <w:rsid w:val="00E544DD"/>
    <w:rsid w:val="00E549C1"/>
    <w:rsid w:val="00E55D86"/>
    <w:rsid w:val="00E56421"/>
    <w:rsid w:val="00E56511"/>
    <w:rsid w:val="00E56E12"/>
    <w:rsid w:val="00E574A1"/>
    <w:rsid w:val="00E603AF"/>
    <w:rsid w:val="00E60BD3"/>
    <w:rsid w:val="00E61088"/>
    <w:rsid w:val="00E6193E"/>
    <w:rsid w:val="00E6217C"/>
    <w:rsid w:val="00E622D7"/>
    <w:rsid w:val="00E630EC"/>
    <w:rsid w:val="00E633EF"/>
    <w:rsid w:val="00E6344B"/>
    <w:rsid w:val="00E638DB"/>
    <w:rsid w:val="00E639EC"/>
    <w:rsid w:val="00E64C9F"/>
    <w:rsid w:val="00E64F0B"/>
    <w:rsid w:val="00E66AFB"/>
    <w:rsid w:val="00E66BED"/>
    <w:rsid w:val="00E671A9"/>
    <w:rsid w:val="00E67869"/>
    <w:rsid w:val="00E67F3B"/>
    <w:rsid w:val="00E70B16"/>
    <w:rsid w:val="00E70F2C"/>
    <w:rsid w:val="00E7256F"/>
    <w:rsid w:val="00E729C2"/>
    <w:rsid w:val="00E7313F"/>
    <w:rsid w:val="00E75983"/>
    <w:rsid w:val="00E75A93"/>
    <w:rsid w:val="00E77B86"/>
    <w:rsid w:val="00E81F3D"/>
    <w:rsid w:val="00E820F5"/>
    <w:rsid w:val="00E82AF2"/>
    <w:rsid w:val="00E82BA2"/>
    <w:rsid w:val="00E82E0B"/>
    <w:rsid w:val="00E83372"/>
    <w:rsid w:val="00E836C2"/>
    <w:rsid w:val="00E83CCC"/>
    <w:rsid w:val="00E849E8"/>
    <w:rsid w:val="00E84A0F"/>
    <w:rsid w:val="00E855D8"/>
    <w:rsid w:val="00E85B2A"/>
    <w:rsid w:val="00E863A6"/>
    <w:rsid w:val="00E90BC8"/>
    <w:rsid w:val="00E92663"/>
    <w:rsid w:val="00E953AD"/>
    <w:rsid w:val="00E95D28"/>
    <w:rsid w:val="00EA0C73"/>
    <w:rsid w:val="00EA1B56"/>
    <w:rsid w:val="00EA2CB0"/>
    <w:rsid w:val="00EA61CB"/>
    <w:rsid w:val="00EA77A5"/>
    <w:rsid w:val="00EB14DA"/>
    <w:rsid w:val="00EB256E"/>
    <w:rsid w:val="00EB39A1"/>
    <w:rsid w:val="00EB3C00"/>
    <w:rsid w:val="00EB4B72"/>
    <w:rsid w:val="00EB4BE9"/>
    <w:rsid w:val="00EB6F24"/>
    <w:rsid w:val="00EB75D5"/>
    <w:rsid w:val="00EC027C"/>
    <w:rsid w:val="00EC0B44"/>
    <w:rsid w:val="00EC0C2D"/>
    <w:rsid w:val="00EC0D96"/>
    <w:rsid w:val="00EC0F0E"/>
    <w:rsid w:val="00EC50A8"/>
    <w:rsid w:val="00EC54A6"/>
    <w:rsid w:val="00EC581C"/>
    <w:rsid w:val="00EC68FA"/>
    <w:rsid w:val="00ED0443"/>
    <w:rsid w:val="00ED16F2"/>
    <w:rsid w:val="00ED1BF0"/>
    <w:rsid w:val="00ED2233"/>
    <w:rsid w:val="00ED2785"/>
    <w:rsid w:val="00ED2EEB"/>
    <w:rsid w:val="00ED36BC"/>
    <w:rsid w:val="00ED3DCB"/>
    <w:rsid w:val="00ED6130"/>
    <w:rsid w:val="00ED6593"/>
    <w:rsid w:val="00ED6DC5"/>
    <w:rsid w:val="00ED76DA"/>
    <w:rsid w:val="00ED7721"/>
    <w:rsid w:val="00ED7948"/>
    <w:rsid w:val="00ED7981"/>
    <w:rsid w:val="00ED7B34"/>
    <w:rsid w:val="00EE109D"/>
    <w:rsid w:val="00EE589D"/>
    <w:rsid w:val="00EE5F9A"/>
    <w:rsid w:val="00EE708A"/>
    <w:rsid w:val="00EE762C"/>
    <w:rsid w:val="00EF238A"/>
    <w:rsid w:val="00EF37EE"/>
    <w:rsid w:val="00EF3D7E"/>
    <w:rsid w:val="00EF56E0"/>
    <w:rsid w:val="00EF5804"/>
    <w:rsid w:val="00EF5DB0"/>
    <w:rsid w:val="00F00269"/>
    <w:rsid w:val="00F00B60"/>
    <w:rsid w:val="00F01C57"/>
    <w:rsid w:val="00F029B2"/>
    <w:rsid w:val="00F0502B"/>
    <w:rsid w:val="00F0655A"/>
    <w:rsid w:val="00F0711E"/>
    <w:rsid w:val="00F07240"/>
    <w:rsid w:val="00F07AF9"/>
    <w:rsid w:val="00F122CC"/>
    <w:rsid w:val="00F1312E"/>
    <w:rsid w:val="00F141B5"/>
    <w:rsid w:val="00F14EE3"/>
    <w:rsid w:val="00F15A20"/>
    <w:rsid w:val="00F16EA2"/>
    <w:rsid w:val="00F174E2"/>
    <w:rsid w:val="00F21374"/>
    <w:rsid w:val="00F21EAA"/>
    <w:rsid w:val="00F23CA0"/>
    <w:rsid w:val="00F24324"/>
    <w:rsid w:val="00F25ABC"/>
    <w:rsid w:val="00F30B94"/>
    <w:rsid w:val="00F31FE0"/>
    <w:rsid w:val="00F326F7"/>
    <w:rsid w:val="00F34AFB"/>
    <w:rsid w:val="00F3766F"/>
    <w:rsid w:val="00F400F0"/>
    <w:rsid w:val="00F43C69"/>
    <w:rsid w:val="00F44530"/>
    <w:rsid w:val="00F44D4E"/>
    <w:rsid w:val="00F4632C"/>
    <w:rsid w:val="00F471D3"/>
    <w:rsid w:val="00F47EAD"/>
    <w:rsid w:val="00F50C4A"/>
    <w:rsid w:val="00F52097"/>
    <w:rsid w:val="00F54E49"/>
    <w:rsid w:val="00F55D43"/>
    <w:rsid w:val="00F561F9"/>
    <w:rsid w:val="00F60130"/>
    <w:rsid w:val="00F6097D"/>
    <w:rsid w:val="00F6317D"/>
    <w:rsid w:val="00F63369"/>
    <w:rsid w:val="00F6337D"/>
    <w:rsid w:val="00F63BB9"/>
    <w:rsid w:val="00F649B2"/>
    <w:rsid w:val="00F65D3D"/>
    <w:rsid w:val="00F65DA2"/>
    <w:rsid w:val="00F66B9D"/>
    <w:rsid w:val="00F67B60"/>
    <w:rsid w:val="00F706BD"/>
    <w:rsid w:val="00F70C25"/>
    <w:rsid w:val="00F72AF7"/>
    <w:rsid w:val="00F73021"/>
    <w:rsid w:val="00F73A8A"/>
    <w:rsid w:val="00F7563D"/>
    <w:rsid w:val="00F75D36"/>
    <w:rsid w:val="00F76E94"/>
    <w:rsid w:val="00F8007C"/>
    <w:rsid w:val="00F817BF"/>
    <w:rsid w:val="00F82C93"/>
    <w:rsid w:val="00F84924"/>
    <w:rsid w:val="00F84B32"/>
    <w:rsid w:val="00F84BCB"/>
    <w:rsid w:val="00F84C8E"/>
    <w:rsid w:val="00F8604E"/>
    <w:rsid w:val="00F914A8"/>
    <w:rsid w:val="00F9222A"/>
    <w:rsid w:val="00F93E61"/>
    <w:rsid w:val="00F949D7"/>
    <w:rsid w:val="00F94FB6"/>
    <w:rsid w:val="00F9556B"/>
    <w:rsid w:val="00F96137"/>
    <w:rsid w:val="00F96B50"/>
    <w:rsid w:val="00F96EDE"/>
    <w:rsid w:val="00F97096"/>
    <w:rsid w:val="00F97FD3"/>
    <w:rsid w:val="00FA0812"/>
    <w:rsid w:val="00FA3FF5"/>
    <w:rsid w:val="00FA4F1F"/>
    <w:rsid w:val="00FA4FBA"/>
    <w:rsid w:val="00FA630C"/>
    <w:rsid w:val="00FA765D"/>
    <w:rsid w:val="00FB001D"/>
    <w:rsid w:val="00FB21B3"/>
    <w:rsid w:val="00FB3272"/>
    <w:rsid w:val="00FB36A2"/>
    <w:rsid w:val="00FB3992"/>
    <w:rsid w:val="00FB47C1"/>
    <w:rsid w:val="00FB5375"/>
    <w:rsid w:val="00FB5FBC"/>
    <w:rsid w:val="00FB71A8"/>
    <w:rsid w:val="00FB73DE"/>
    <w:rsid w:val="00FB7536"/>
    <w:rsid w:val="00FB7E78"/>
    <w:rsid w:val="00FC031C"/>
    <w:rsid w:val="00FC112D"/>
    <w:rsid w:val="00FC2902"/>
    <w:rsid w:val="00FC2BA0"/>
    <w:rsid w:val="00FC2D75"/>
    <w:rsid w:val="00FC3BF4"/>
    <w:rsid w:val="00FC4C95"/>
    <w:rsid w:val="00FC5313"/>
    <w:rsid w:val="00FC5DAB"/>
    <w:rsid w:val="00FC6288"/>
    <w:rsid w:val="00FC66C8"/>
    <w:rsid w:val="00FC66DC"/>
    <w:rsid w:val="00FD12F5"/>
    <w:rsid w:val="00FD1C62"/>
    <w:rsid w:val="00FD4F55"/>
    <w:rsid w:val="00FD79FE"/>
    <w:rsid w:val="00FD7C7F"/>
    <w:rsid w:val="00FE0ABE"/>
    <w:rsid w:val="00FE1583"/>
    <w:rsid w:val="00FE158C"/>
    <w:rsid w:val="00FE1B65"/>
    <w:rsid w:val="00FE39B2"/>
    <w:rsid w:val="00FE3A22"/>
    <w:rsid w:val="00FE4B44"/>
    <w:rsid w:val="00FE6758"/>
    <w:rsid w:val="00FE67F3"/>
    <w:rsid w:val="00FE6D0A"/>
    <w:rsid w:val="00FE7288"/>
    <w:rsid w:val="00FE7456"/>
    <w:rsid w:val="00FE7580"/>
    <w:rsid w:val="00FE75BA"/>
    <w:rsid w:val="00FF03E3"/>
    <w:rsid w:val="00FF15CE"/>
    <w:rsid w:val="00FF16EF"/>
    <w:rsid w:val="00FF2445"/>
    <w:rsid w:val="00FF2607"/>
    <w:rsid w:val="00FF3EAA"/>
    <w:rsid w:val="00FF51C7"/>
    <w:rsid w:val="00FF63BB"/>
    <w:rsid w:val="00FF6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564C4E"/>
  <w15:docId w15:val="{AE1919A5-403E-470C-8D66-38EB6FDA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7FA5"/>
    <w:pPr>
      <w:spacing w:after="0" w:line="240" w:lineRule="auto"/>
      <w:jc w:val="both"/>
    </w:pPr>
    <w:rPr>
      <w:rFonts w:ascii="Calibri" w:eastAsia="Times New Roman" w:hAnsi="Calibri" w:cs="Calibri"/>
      <w:color w:val="000000"/>
      <w:sz w:val="24"/>
      <w:szCs w:val="24"/>
    </w:rPr>
  </w:style>
  <w:style w:type="paragraph" w:styleId="Nadpis1">
    <w:name w:val="heading 1"/>
    <w:basedOn w:val="Normln"/>
    <w:next w:val="Normln"/>
    <w:link w:val="Nadpis1Char"/>
    <w:qFormat/>
    <w:rsid w:val="00B750E0"/>
    <w:pPr>
      <w:keepNext/>
      <w:numPr>
        <w:numId w:val="3"/>
      </w:numPr>
      <w:ind w:left="414" w:hanging="57"/>
      <w:jc w:val="center"/>
      <w:outlineLvl w:val="0"/>
    </w:pPr>
    <w:rPr>
      <w:b/>
      <w:bCs/>
      <w:sz w:val="28"/>
      <w:szCs w:val="36"/>
    </w:rPr>
  </w:style>
  <w:style w:type="paragraph" w:styleId="Nadpis2">
    <w:name w:val="heading 2"/>
    <w:basedOn w:val="Normln"/>
    <w:next w:val="Normln"/>
    <w:link w:val="Nadpis2Char"/>
    <w:uiPriority w:val="9"/>
    <w:unhideWhenUsed/>
    <w:qFormat/>
    <w:rsid w:val="00755653"/>
    <w:pPr>
      <w:numPr>
        <w:numId w:val="5"/>
      </w:numPr>
      <w:ind w:left="0" w:firstLine="0"/>
      <w:outlineLvl w:val="1"/>
    </w:pPr>
    <w:rPr>
      <w:rFonts w:eastAsiaTheme="majorEastAsia" w:cstheme="majorBidi"/>
      <w:color w:val="auto"/>
      <w:szCs w:val="26"/>
    </w:rPr>
  </w:style>
  <w:style w:type="paragraph" w:styleId="Nadpis3">
    <w:name w:val="heading 3"/>
    <w:basedOn w:val="Normln"/>
    <w:next w:val="Normln"/>
    <w:link w:val="Nadpis3Char"/>
    <w:uiPriority w:val="9"/>
    <w:unhideWhenUsed/>
    <w:qFormat/>
    <w:rsid w:val="00755653"/>
    <w:pPr>
      <w:numPr>
        <w:numId w:val="6"/>
      </w:numPr>
      <w:ind w:left="0" w:firstLine="0"/>
      <w:outlineLvl w:val="2"/>
    </w:pPr>
    <w:rPr>
      <w:rFonts w:eastAsiaTheme="majorEastAsia" w:cstheme="majorBidi"/>
      <w:color w:val="000000" w:themeColor="text1"/>
    </w:rPr>
  </w:style>
  <w:style w:type="paragraph" w:styleId="Nadpis4">
    <w:name w:val="heading 4"/>
    <w:basedOn w:val="Normln"/>
    <w:next w:val="Normln"/>
    <w:link w:val="Nadpis4Char"/>
    <w:uiPriority w:val="9"/>
    <w:unhideWhenUsed/>
    <w:qFormat/>
    <w:rsid w:val="00D26589"/>
    <w:pPr>
      <w:keepNext/>
      <w:keepLines/>
      <w:numPr>
        <w:numId w:val="7"/>
      </w:numPr>
      <w:ind w:left="0" w:firstLine="0"/>
      <w:outlineLvl w:val="3"/>
    </w:pPr>
    <w:rPr>
      <w:rFonts w:eastAsiaTheme="majorEastAsia" w:cstheme="majorBidi"/>
      <w:b/>
      <w:iCs/>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B3724"/>
    <w:rPr>
      <w:b/>
      <w:bCs/>
    </w:rPr>
  </w:style>
  <w:style w:type="table" w:styleId="Mkatabulky">
    <w:name w:val="Table Grid"/>
    <w:basedOn w:val="Normlntabulka"/>
    <w:uiPriority w:val="39"/>
    <w:rsid w:val="00AB3724"/>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aliases w:val="Nad,Nadpis pro KZ,odrážky,List Paragraph_0,List Paragraph_1,List Paragraph_2,Odstavec se seznamem1,Odstavec se seznamem2,můj Nadpis 2,List Paragraph,Odstavec cíl se seznamem,Odstavec_muj,Odstavec se seznamem5,_Odstavec se seznamem"/>
    <w:basedOn w:val="Normln"/>
    <w:link w:val="OdstavecseseznamemChar"/>
    <w:uiPriority w:val="99"/>
    <w:qFormat/>
    <w:rsid w:val="00AB3724"/>
    <w:pPr>
      <w:ind w:left="720"/>
      <w:contextualSpacing/>
    </w:pPr>
  </w:style>
  <w:style w:type="character" w:customStyle="1" w:styleId="OdstavecseseznamemChar">
    <w:name w:val="Odstavec se seznamem Char"/>
    <w:aliases w:val="Nad Char,Nadpis pro KZ Char,odrážky Char,List Paragraph_0 Char,List Paragraph_1 Char,List Paragraph_2 Char,Odstavec se seznamem1 Char,Odstavec se seznamem2 Char,můj Nadpis 2 Char,List Paragraph Char,Odstavec_muj Char"/>
    <w:link w:val="Odstavecseseznamem"/>
    <w:uiPriority w:val="34"/>
    <w:qFormat/>
    <w:rsid w:val="00AB3724"/>
    <w:rPr>
      <w:rFonts w:ascii="Calibri" w:eastAsia="Times New Roman" w:hAnsi="Calibri" w:cs="Calibri"/>
      <w:color w:val="000000"/>
      <w:sz w:val="24"/>
      <w:szCs w:val="24"/>
    </w:rPr>
  </w:style>
  <w:style w:type="paragraph" w:customStyle="1" w:styleId="Pa18">
    <w:name w:val="Pa18"/>
    <w:basedOn w:val="Normln"/>
    <w:next w:val="Normln"/>
    <w:uiPriority w:val="99"/>
    <w:rsid w:val="00AB3724"/>
    <w:pPr>
      <w:autoSpaceDE w:val="0"/>
      <w:autoSpaceDN w:val="0"/>
      <w:adjustRightInd w:val="0"/>
      <w:spacing w:line="211" w:lineRule="atLeast"/>
      <w:jc w:val="left"/>
    </w:pPr>
    <w:rPr>
      <w:rFonts w:cs="Times New Roman"/>
      <w:color w:val="auto"/>
      <w:lang w:eastAsia="cs-CZ"/>
    </w:rPr>
  </w:style>
  <w:style w:type="character" w:customStyle="1" w:styleId="A14">
    <w:name w:val="A14"/>
    <w:uiPriority w:val="99"/>
    <w:rsid w:val="00AB3724"/>
    <w:rPr>
      <w:b/>
      <w:color w:val="000000"/>
      <w:sz w:val="54"/>
    </w:rPr>
  </w:style>
  <w:style w:type="paragraph" w:customStyle="1" w:styleId="Pa19">
    <w:name w:val="Pa19"/>
    <w:basedOn w:val="Normln"/>
    <w:next w:val="Normln"/>
    <w:uiPriority w:val="99"/>
    <w:rsid w:val="00AB3724"/>
    <w:pPr>
      <w:autoSpaceDE w:val="0"/>
      <w:autoSpaceDN w:val="0"/>
      <w:adjustRightInd w:val="0"/>
      <w:spacing w:line="211" w:lineRule="atLeast"/>
      <w:jc w:val="left"/>
    </w:pPr>
    <w:rPr>
      <w:rFonts w:cs="Times New Roman"/>
      <w:color w:val="auto"/>
      <w:lang w:eastAsia="cs-CZ"/>
    </w:rPr>
  </w:style>
  <w:style w:type="character" w:customStyle="1" w:styleId="Nadpis1Char">
    <w:name w:val="Nadpis 1 Char"/>
    <w:basedOn w:val="Standardnpsmoodstavce"/>
    <w:link w:val="Nadpis1"/>
    <w:rsid w:val="00B750E0"/>
    <w:rPr>
      <w:rFonts w:ascii="Calibri" w:eastAsia="Times New Roman" w:hAnsi="Calibri" w:cs="Calibri"/>
      <w:b/>
      <w:bCs/>
      <w:color w:val="000000"/>
      <w:sz w:val="28"/>
      <w:szCs w:val="36"/>
    </w:rPr>
  </w:style>
  <w:style w:type="character" w:customStyle="1" w:styleId="Nadpis2Char">
    <w:name w:val="Nadpis 2 Char"/>
    <w:basedOn w:val="Standardnpsmoodstavce"/>
    <w:link w:val="Nadpis2"/>
    <w:uiPriority w:val="9"/>
    <w:rsid w:val="00755653"/>
    <w:rPr>
      <w:rFonts w:ascii="Calibri" w:eastAsiaTheme="majorEastAsia" w:hAnsi="Calibri" w:cstheme="majorBidi"/>
      <w:sz w:val="24"/>
      <w:szCs w:val="26"/>
    </w:rPr>
  </w:style>
  <w:style w:type="paragraph" w:styleId="Textpoznpodarou">
    <w:name w:val="footnote text"/>
    <w:aliases w:val="Boston 10,Font: Geneva 9,Fußnotentextf,Geneva 9,Podrozdzia3,Podrozdział,Schriftart: 10 pt,Schriftart: 8 pt,Schriftart: 9 pt,Text poznámky pod čiarou 007,f,pozn. pod čarou,Char Char,Char,Char Char Char1,Char1,Text pozn. pod čarou1,fn"/>
    <w:basedOn w:val="Normln"/>
    <w:link w:val="TextpoznpodarouChar"/>
    <w:uiPriority w:val="99"/>
    <w:unhideWhenUsed/>
    <w:qFormat/>
    <w:rsid w:val="00D0493E"/>
    <w:pPr>
      <w:jc w:val="left"/>
    </w:pPr>
    <w:rPr>
      <w:rFonts w:cs="Times New Roman"/>
      <w:color w:val="auto"/>
      <w:sz w:val="20"/>
      <w:szCs w:val="20"/>
    </w:rPr>
  </w:style>
  <w:style w:type="character" w:customStyle="1" w:styleId="TextpoznpodarouChar">
    <w:name w:val="Text pozn. pod čarou Char"/>
    <w:aliases w:val="Boston 10 Char,Font: Geneva 9 Char,Fußnotentextf Char,Geneva 9 Char,Podrozdzia3 Char,Podrozdział Char,Schriftart: 10 pt Char,Schriftart: 8 pt Char,Schriftart: 9 pt Char,Text poznámky pod čiarou 007 Char,f Char,Char Char Char"/>
    <w:basedOn w:val="Standardnpsmoodstavce"/>
    <w:link w:val="Textpoznpodarou"/>
    <w:uiPriority w:val="99"/>
    <w:qFormat/>
    <w:rsid w:val="00D0493E"/>
    <w:rPr>
      <w:rFonts w:ascii="Calibri" w:eastAsia="Times New Roman" w:hAnsi="Calibri" w:cs="Times New Roman"/>
      <w:sz w:val="20"/>
      <w:szCs w:val="20"/>
    </w:rPr>
  </w:style>
  <w:style w:type="character" w:styleId="Znakapoznpodarou">
    <w:name w:val="footnote reference"/>
    <w:aliases w:val="12 b.,Footnote,PGI Fußnote Ziffer,PGI Fußnote Ziffer + Times New Roman,Zúžené o ...,Appel note de bas de p,Appel note de bas de page,BVI fnr,Char Car Car Car Car,Footnote Reference Superscript,Footnote call,Footnote symbol,Légende"/>
    <w:basedOn w:val="Standardnpsmoodstavce"/>
    <w:link w:val="BVIfnrCharChar"/>
    <w:uiPriority w:val="99"/>
    <w:unhideWhenUsed/>
    <w:qFormat/>
    <w:rsid w:val="00D0493E"/>
    <w:rPr>
      <w:vertAlign w:val="superscript"/>
    </w:rPr>
  </w:style>
  <w:style w:type="character" w:styleId="Hypertextovodkaz">
    <w:name w:val="Hyperlink"/>
    <w:basedOn w:val="Standardnpsmoodstavce"/>
    <w:uiPriority w:val="99"/>
    <w:unhideWhenUsed/>
    <w:rsid w:val="00E671A9"/>
    <w:rPr>
      <w:color w:val="0563C1" w:themeColor="hyperlink"/>
      <w:u w:val="single"/>
    </w:rPr>
  </w:style>
  <w:style w:type="paragraph" w:styleId="Textbubliny">
    <w:name w:val="Balloon Text"/>
    <w:basedOn w:val="Normln"/>
    <w:link w:val="TextbublinyChar"/>
    <w:uiPriority w:val="99"/>
    <w:semiHidden/>
    <w:unhideWhenUsed/>
    <w:rsid w:val="00073B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3B70"/>
    <w:rPr>
      <w:rFonts w:ascii="Segoe UI" w:eastAsia="Times New Roman" w:hAnsi="Segoe UI" w:cs="Segoe UI"/>
      <w:color w:val="000000"/>
      <w:sz w:val="18"/>
      <w:szCs w:val="18"/>
    </w:rPr>
  </w:style>
  <w:style w:type="paragraph" w:styleId="Zhlav">
    <w:name w:val="header"/>
    <w:basedOn w:val="Normln"/>
    <w:link w:val="ZhlavChar"/>
    <w:uiPriority w:val="99"/>
    <w:unhideWhenUsed/>
    <w:rsid w:val="00570605"/>
    <w:pPr>
      <w:tabs>
        <w:tab w:val="center" w:pos="4536"/>
        <w:tab w:val="right" w:pos="9072"/>
      </w:tabs>
    </w:pPr>
  </w:style>
  <w:style w:type="character" w:customStyle="1" w:styleId="ZhlavChar">
    <w:name w:val="Záhlaví Char"/>
    <w:basedOn w:val="Standardnpsmoodstavce"/>
    <w:link w:val="Zhlav"/>
    <w:uiPriority w:val="99"/>
    <w:rsid w:val="00570605"/>
    <w:rPr>
      <w:rFonts w:ascii="Calibri" w:eastAsia="Times New Roman" w:hAnsi="Calibri" w:cs="Calibri"/>
      <w:color w:val="000000"/>
      <w:sz w:val="24"/>
      <w:szCs w:val="24"/>
    </w:rPr>
  </w:style>
  <w:style w:type="paragraph" w:styleId="Zpat">
    <w:name w:val="footer"/>
    <w:basedOn w:val="Normln"/>
    <w:link w:val="ZpatChar"/>
    <w:unhideWhenUsed/>
    <w:rsid w:val="00570605"/>
    <w:pPr>
      <w:tabs>
        <w:tab w:val="center" w:pos="4536"/>
        <w:tab w:val="right" w:pos="9072"/>
      </w:tabs>
    </w:pPr>
  </w:style>
  <w:style w:type="character" w:customStyle="1" w:styleId="ZpatChar">
    <w:name w:val="Zápatí Char"/>
    <w:basedOn w:val="Standardnpsmoodstavce"/>
    <w:link w:val="Zpat"/>
    <w:uiPriority w:val="99"/>
    <w:rsid w:val="00570605"/>
    <w:rPr>
      <w:rFonts w:ascii="Calibri" w:eastAsia="Times New Roman" w:hAnsi="Calibri" w:cs="Calibri"/>
      <w:color w:val="000000"/>
      <w:sz w:val="24"/>
      <w:szCs w:val="24"/>
    </w:rPr>
  </w:style>
  <w:style w:type="character" w:styleId="Sledovanodkaz">
    <w:name w:val="FollowedHyperlink"/>
    <w:basedOn w:val="Standardnpsmoodstavce"/>
    <w:uiPriority w:val="99"/>
    <w:semiHidden/>
    <w:unhideWhenUsed/>
    <w:rsid w:val="00DB1C60"/>
    <w:rPr>
      <w:color w:val="954F72" w:themeColor="followedHyperlink"/>
      <w:u w:val="single"/>
    </w:rPr>
  </w:style>
  <w:style w:type="paragraph" w:styleId="Normlnweb">
    <w:name w:val="Normal (Web)"/>
    <w:basedOn w:val="Normln"/>
    <w:uiPriority w:val="99"/>
    <w:semiHidden/>
    <w:unhideWhenUsed/>
    <w:rsid w:val="00DD7F92"/>
    <w:pPr>
      <w:spacing w:before="100" w:beforeAutospacing="1" w:after="100" w:afterAutospacing="1"/>
      <w:jc w:val="left"/>
    </w:pPr>
    <w:rPr>
      <w:rFonts w:ascii="Times New Roman" w:eastAsiaTheme="minorEastAsia" w:hAnsi="Times New Roman" w:cs="Times New Roman"/>
      <w:color w:val="auto"/>
      <w:lang w:eastAsia="cs-CZ"/>
    </w:rPr>
  </w:style>
  <w:style w:type="character" w:customStyle="1" w:styleId="A1">
    <w:name w:val="A1"/>
    <w:uiPriority w:val="99"/>
    <w:rsid w:val="00A50168"/>
    <w:rPr>
      <w:color w:val="000000"/>
      <w:sz w:val="28"/>
      <w:szCs w:val="28"/>
    </w:rPr>
  </w:style>
  <w:style w:type="character" w:customStyle="1" w:styleId="A4">
    <w:name w:val="A4"/>
    <w:uiPriority w:val="99"/>
    <w:rsid w:val="00A50168"/>
    <w:rPr>
      <w:color w:val="000000"/>
      <w:sz w:val="60"/>
      <w:szCs w:val="60"/>
    </w:rPr>
  </w:style>
  <w:style w:type="character" w:customStyle="1" w:styleId="A5">
    <w:name w:val="A5"/>
    <w:uiPriority w:val="99"/>
    <w:rsid w:val="00A50168"/>
    <w:rPr>
      <w:b/>
      <w:bCs/>
      <w:color w:val="000000"/>
      <w:sz w:val="40"/>
      <w:szCs w:val="40"/>
    </w:rPr>
  </w:style>
  <w:style w:type="paragraph" w:customStyle="1" w:styleId="Default">
    <w:name w:val="Default"/>
    <w:rsid w:val="00393DFB"/>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Bodytext2">
    <w:name w:val="Body text|2_"/>
    <w:basedOn w:val="Standardnpsmoodstavce"/>
    <w:link w:val="Bodytext20"/>
    <w:rsid w:val="00930F39"/>
    <w:rPr>
      <w:rFonts w:ascii="Calibri" w:eastAsia="Calibri" w:hAnsi="Calibri" w:cs="Calibri"/>
      <w:sz w:val="20"/>
      <w:szCs w:val="20"/>
      <w:shd w:val="clear" w:color="auto" w:fill="FFFFFF"/>
    </w:rPr>
  </w:style>
  <w:style w:type="paragraph" w:customStyle="1" w:styleId="Bodytext20">
    <w:name w:val="Body text|2"/>
    <w:basedOn w:val="Normln"/>
    <w:link w:val="Bodytext2"/>
    <w:qFormat/>
    <w:rsid w:val="00930F39"/>
    <w:pPr>
      <w:widowControl w:val="0"/>
      <w:shd w:val="clear" w:color="auto" w:fill="FFFFFF"/>
      <w:spacing w:after="4560" w:line="206" w:lineRule="exact"/>
      <w:ind w:hanging="360"/>
      <w:jc w:val="left"/>
    </w:pPr>
    <w:rPr>
      <w:rFonts w:eastAsia="Calibri"/>
      <w:color w:val="auto"/>
      <w:sz w:val="20"/>
      <w:szCs w:val="20"/>
    </w:rPr>
  </w:style>
  <w:style w:type="character" w:customStyle="1" w:styleId="Nadpis3Char">
    <w:name w:val="Nadpis 3 Char"/>
    <w:basedOn w:val="Standardnpsmoodstavce"/>
    <w:link w:val="Nadpis3"/>
    <w:uiPriority w:val="9"/>
    <w:rsid w:val="00755653"/>
    <w:rPr>
      <w:rFonts w:ascii="Calibri" w:eastAsiaTheme="majorEastAsia" w:hAnsi="Calibri" w:cstheme="majorBidi"/>
      <w:color w:val="000000" w:themeColor="text1"/>
      <w:sz w:val="24"/>
      <w:szCs w:val="24"/>
    </w:rPr>
  </w:style>
  <w:style w:type="character" w:styleId="Odkaznakoment">
    <w:name w:val="annotation reference"/>
    <w:basedOn w:val="Standardnpsmoodstavce"/>
    <w:uiPriority w:val="99"/>
    <w:semiHidden/>
    <w:unhideWhenUsed/>
    <w:rsid w:val="00334E93"/>
    <w:rPr>
      <w:sz w:val="16"/>
      <w:szCs w:val="16"/>
    </w:rPr>
  </w:style>
  <w:style w:type="paragraph" w:styleId="Textkomente">
    <w:name w:val="annotation text"/>
    <w:basedOn w:val="Normln"/>
    <w:link w:val="TextkomenteChar"/>
    <w:uiPriority w:val="99"/>
    <w:semiHidden/>
    <w:unhideWhenUsed/>
    <w:rsid w:val="00334E93"/>
    <w:rPr>
      <w:sz w:val="20"/>
      <w:szCs w:val="20"/>
    </w:rPr>
  </w:style>
  <w:style w:type="character" w:customStyle="1" w:styleId="TextkomenteChar">
    <w:name w:val="Text komentáře Char"/>
    <w:basedOn w:val="Standardnpsmoodstavce"/>
    <w:link w:val="Textkomente"/>
    <w:uiPriority w:val="99"/>
    <w:semiHidden/>
    <w:rsid w:val="00334E93"/>
    <w:rPr>
      <w:rFonts w:ascii="Calibri" w:eastAsia="Times New Roman"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334E93"/>
    <w:rPr>
      <w:b/>
      <w:bCs/>
    </w:rPr>
  </w:style>
  <w:style w:type="character" w:customStyle="1" w:styleId="PedmtkomenteChar">
    <w:name w:val="Předmět komentáře Char"/>
    <w:basedOn w:val="TextkomenteChar"/>
    <w:link w:val="Pedmtkomente"/>
    <w:uiPriority w:val="99"/>
    <w:semiHidden/>
    <w:rsid w:val="00334E93"/>
    <w:rPr>
      <w:rFonts w:ascii="Calibri" w:eastAsia="Times New Roman" w:hAnsi="Calibri" w:cs="Calibri"/>
      <w:b/>
      <w:bCs/>
      <w:color w:val="000000"/>
      <w:sz w:val="20"/>
      <w:szCs w:val="20"/>
    </w:rPr>
  </w:style>
  <w:style w:type="paragraph" w:customStyle="1" w:styleId="l4">
    <w:name w:val="l4"/>
    <w:basedOn w:val="Normln"/>
    <w:rsid w:val="00936D1B"/>
    <w:pPr>
      <w:spacing w:before="100" w:beforeAutospacing="1" w:after="100" w:afterAutospacing="1"/>
      <w:jc w:val="left"/>
    </w:pPr>
    <w:rPr>
      <w:rFonts w:ascii="Times New Roman" w:hAnsi="Times New Roman" w:cs="Times New Roman"/>
      <w:color w:val="auto"/>
      <w:lang w:eastAsia="cs-CZ"/>
    </w:rPr>
  </w:style>
  <w:style w:type="paragraph" w:customStyle="1" w:styleId="l5">
    <w:name w:val="l5"/>
    <w:basedOn w:val="Normln"/>
    <w:rsid w:val="00C37C38"/>
    <w:pPr>
      <w:spacing w:before="100" w:beforeAutospacing="1" w:after="100" w:afterAutospacing="1"/>
      <w:jc w:val="left"/>
    </w:pPr>
    <w:rPr>
      <w:rFonts w:ascii="Times New Roman" w:hAnsi="Times New Roman" w:cs="Times New Roman"/>
      <w:color w:val="auto"/>
      <w:lang w:eastAsia="cs-CZ"/>
    </w:rPr>
  </w:style>
  <w:style w:type="character" w:styleId="PromnnHTML">
    <w:name w:val="HTML Variable"/>
    <w:basedOn w:val="Standardnpsmoodstavce"/>
    <w:uiPriority w:val="99"/>
    <w:semiHidden/>
    <w:unhideWhenUsed/>
    <w:rsid w:val="00C37C38"/>
    <w:rPr>
      <w:i/>
      <w:iCs/>
    </w:rPr>
  </w:style>
  <w:style w:type="character" w:styleId="Nevyeenzmnka">
    <w:name w:val="Unresolved Mention"/>
    <w:basedOn w:val="Standardnpsmoodstavce"/>
    <w:uiPriority w:val="99"/>
    <w:semiHidden/>
    <w:unhideWhenUsed/>
    <w:rsid w:val="008C4B55"/>
    <w:rPr>
      <w:color w:val="605E5C"/>
      <w:shd w:val="clear" w:color="auto" w:fill="E1DFDD"/>
    </w:rPr>
  </w:style>
  <w:style w:type="character" w:customStyle="1" w:styleId="Nadpis4Char">
    <w:name w:val="Nadpis 4 Char"/>
    <w:basedOn w:val="Standardnpsmoodstavce"/>
    <w:link w:val="Nadpis4"/>
    <w:uiPriority w:val="9"/>
    <w:rsid w:val="00D26589"/>
    <w:rPr>
      <w:rFonts w:ascii="Calibri" w:eastAsiaTheme="majorEastAsia" w:hAnsi="Calibri" w:cstheme="majorBidi"/>
      <w:b/>
      <w:iCs/>
      <w:sz w:val="24"/>
      <w:szCs w:val="24"/>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BE1B02"/>
    <w:pPr>
      <w:spacing w:after="160" w:line="240" w:lineRule="exact"/>
    </w:pPr>
    <w:rPr>
      <w:rFonts w:asciiTheme="minorHAnsi" w:eastAsiaTheme="minorHAnsi" w:hAnsiTheme="minorHAnsi" w:cstheme="minorBidi"/>
      <w:color w:val="auto"/>
      <w:sz w:val="22"/>
      <w:szCs w:val="22"/>
      <w:vertAlign w:val="superscript"/>
    </w:rPr>
  </w:style>
  <w:style w:type="table" w:customStyle="1" w:styleId="Mkatabulky1">
    <w:name w:val="Mřížka tabulky1"/>
    <w:basedOn w:val="Normlntabulka"/>
    <w:next w:val="Mkatabulky"/>
    <w:uiPriority w:val="39"/>
    <w:rsid w:val="00BE1B02"/>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6779">
      <w:bodyDiv w:val="1"/>
      <w:marLeft w:val="0"/>
      <w:marRight w:val="0"/>
      <w:marTop w:val="0"/>
      <w:marBottom w:val="0"/>
      <w:divBdr>
        <w:top w:val="none" w:sz="0" w:space="0" w:color="auto"/>
        <w:left w:val="none" w:sz="0" w:space="0" w:color="auto"/>
        <w:bottom w:val="none" w:sz="0" w:space="0" w:color="auto"/>
        <w:right w:val="none" w:sz="0" w:space="0" w:color="auto"/>
      </w:divBdr>
    </w:div>
    <w:div w:id="107966561">
      <w:bodyDiv w:val="1"/>
      <w:marLeft w:val="0"/>
      <w:marRight w:val="0"/>
      <w:marTop w:val="0"/>
      <w:marBottom w:val="0"/>
      <w:divBdr>
        <w:top w:val="none" w:sz="0" w:space="0" w:color="auto"/>
        <w:left w:val="none" w:sz="0" w:space="0" w:color="auto"/>
        <w:bottom w:val="none" w:sz="0" w:space="0" w:color="auto"/>
        <w:right w:val="none" w:sz="0" w:space="0" w:color="auto"/>
      </w:divBdr>
    </w:div>
    <w:div w:id="155651921">
      <w:bodyDiv w:val="1"/>
      <w:marLeft w:val="0"/>
      <w:marRight w:val="0"/>
      <w:marTop w:val="0"/>
      <w:marBottom w:val="0"/>
      <w:divBdr>
        <w:top w:val="none" w:sz="0" w:space="0" w:color="auto"/>
        <w:left w:val="none" w:sz="0" w:space="0" w:color="auto"/>
        <w:bottom w:val="none" w:sz="0" w:space="0" w:color="auto"/>
        <w:right w:val="none" w:sz="0" w:space="0" w:color="auto"/>
      </w:divBdr>
    </w:div>
    <w:div w:id="278224958">
      <w:bodyDiv w:val="1"/>
      <w:marLeft w:val="0"/>
      <w:marRight w:val="0"/>
      <w:marTop w:val="0"/>
      <w:marBottom w:val="0"/>
      <w:divBdr>
        <w:top w:val="none" w:sz="0" w:space="0" w:color="auto"/>
        <w:left w:val="none" w:sz="0" w:space="0" w:color="auto"/>
        <w:bottom w:val="none" w:sz="0" w:space="0" w:color="auto"/>
        <w:right w:val="none" w:sz="0" w:space="0" w:color="auto"/>
      </w:divBdr>
    </w:div>
    <w:div w:id="294339992">
      <w:bodyDiv w:val="1"/>
      <w:marLeft w:val="0"/>
      <w:marRight w:val="0"/>
      <w:marTop w:val="0"/>
      <w:marBottom w:val="0"/>
      <w:divBdr>
        <w:top w:val="none" w:sz="0" w:space="0" w:color="auto"/>
        <w:left w:val="none" w:sz="0" w:space="0" w:color="auto"/>
        <w:bottom w:val="none" w:sz="0" w:space="0" w:color="auto"/>
        <w:right w:val="none" w:sz="0" w:space="0" w:color="auto"/>
      </w:divBdr>
    </w:div>
    <w:div w:id="426846930">
      <w:bodyDiv w:val="1"/>
      <w:marLeft w:val="0"/>
      <w:marRight w:val="0"/>
      <w:marTop w:val="0"/>
      <w:marBottom w:val="0"/>
      <w:divBdr>
        <w:top w:val="none" w:sz="0" w:space="0" w:color="auto"/>
        <w:left w:val="none" w:sz="0" w:space="0" w:color="auto"/>
        <w:bottom w:val="none" w:sz="0" w:space="0" w:color="auto"/>
        <w:right w:val="none" w:sz="0" w:space="0" w:color="auto"/>
      </w:divBdr>
    </w:div>
    <w:div w:id="503131610">
      <w:bodyDiv w:val="1"/>
      <w:marLeft w:val="0"/>
      <w:marRight w:val="0"/>
      <w:marTop w:val="0"/>
      <w:marBottom w:val="0"/>
      <w:divBdr>
        <w:top w:val="none" w:sz="0" w:space="0" w:color="auto"/>
        <w:left w:val="none" w:sz="0" w:space="0" w:color="auto"/>
        <w:bottom w:val="none" w:sz="0" w:space="0" w:color="auto"/>
        <w:right w:val="none" w:sz="0" w:space="0" w:color="auto"/>
      </w:divBdr>
    </w:div>
    <w:div w:id="728311778">
      <w:bodyDiv w:val="1"/>
      <w:marLeft w:val="0"/>
      <w:marRight w:val="0"/>
      <w:marTop w:val="0"/>
      <w:marBottom w:val="0"/>
      <w:divBdr>
        <w:top w:val="none" w:sz="0" w:space="0" w:color="auto"/>
        <w:left w:val="none" w:sz="0" w:space="0" w:color="auto"/>
        <w:bottom w:val="none" w:sz="0" w:space="0" w:color="auto"/>
        <w:right w:val="none" w:sz="0" w:space="0" w:color="auto"/>
      </w:divBdr>
    </w:div>
    <w:div w:id="729890071">
      <w:bodyDiv w:val="1"/>
      <w:marLeft w:val="0"/>
      <w:marRight w:val="0"/>
      <w:marTop w:val="0"/>
      <w:marBottom w:val="0"/>
      <w:divBdr>
        <w:top w:val="none" w:sz="0" w:space="0" w:color="auto"/>
        <w:left w:val="none" w:sz="0" w:space="0" w:color="auto"/>
        <w:bottom w:val="none" w:sz="0" w:space="0" w:color="auto"/>
        <w:right w:val="none" w:sz="0" w:space="0" w:color="auto"/>
      </w:divBdr>
    </w:div>
    <w:div w:id="744650945">
      <w:bodyDiv w:val="1"/>
      <w:marLeft w:val="0"/>
      <w:marRight w:val="0"/>
      <w:marTop w:val="0"/>
      <w:marBottom w:val="0"/>
      <w:divBdr>
        <w:top w:val="none" w:sz="0" w:space="0" w:color="auto"/>
        <w:left w:val="none" w:sz="0" w:space="0" w:color="auto"/>
        <w:bottom w:val="none" w:sz="0" w:space="0" w:color="auto"/>
        <w:right w:val="none" w:sz="0" w:space="0" w:color="auto"/>
      </w:divBdr>
    </w:div>
    <w:div w:id="783305016">
      <w:bodyDiv w:val="1"/>
      <w:marLeft w:val="0"/>
      <w:marRight w:val="0"/>
      <w:marTop w:val="0"/>
      <w:marBottom w:val="0"/>
      <w:divBdr>
        <w:top w:val="none" w:sz="0" w:space="0" w:color="auto"/>
        <w:left w:val="none" w:sz="0" w:space="0" w:color="auto"/>
        <w:bottom w:val="none" w:sz="0" w:space="0" w:color="auto"/>
        <w:right w:val="none" w:sz="0" w:space="0" w:color="auto"/>
      </w:divBdr>
    </w:div>
    <w:div w:id="956645840">
      <w:bodyDiv w:val="1"/>
      <w:marLeft w:val="0"/>
      <w:marRight w:val="0"/>
      <w:marTop w:val="0"/>
      <w:marBottom w:val="0"/>
      <w:divBdr>
        <w:top w:val="none" w:sz="0" w:space="0" w:color="auto"/>
        <w:left w:val="none" w:sz="0" w:space="0" w:color="auto"/>
        <w:bottom w:val="none" w:sz="0" w:space="0" w:color="auto"/>
        <w:right w:val="none" w:sz="0" w:space="0" w:color="auto"/>
      </w:divBdr>
    </w:div>
    <w:div w:id="1022127353">
      <w:bodyDiv w:val="1"/>
      <w:marLeft w:val="0"/>
      <w:marRight w:val="0"/>
      <w:marTop w:val="0"/>
      <w:marBottom w:val="0"/>
      <w:divBdr>
        <w:top w:val="none" w:sz="0" w:space="0" w:color="auto"/>
        <w:left w:val="none" w:sz="0" w:space="0" w:color="auto"/>
        <w:bottom w:val="none" w:sz="0" w:space="0" w:color="auto"/>
        <w:right w:val="none" w:sz="0" w:space="0" w:color="auto"/>
      </w:divBdr>
    </w:div>
    <w:div w:id="1066878773">
      <w:bodyDiv w:val="1"/>
      <w:marLeft w:val="0"/>
      <w:marRight w:val="0"/>
      <w:marTop w:val="0"/>
      <w:marBottom w:val="0"/>
      <w:divBdr>
        <w:top w:val="none" w:sz="0" w:space="0" w:color="auto"/>
        <w:left w:val="none" w:sz="0" w:space="0" w:color="auto"/>
        <w:bottom w:val="none" w:sz="0" w:space="0" w:color="auto"/>
        <w:right w:val="none" w:sz="0" w:space="0" w:color="auto"/>
      </w:divBdr>
    </w:div>
    <w:div w:id="1206525963">
      <w:bodyDiv w:val="1"/>
      <w:marLeft w:val="0"/>
      <w:marRight w:val="0"/>
      <w:marTop w:val="0"/>
      <w:marBottom w:val="0"/>
      <w:divBdr>
        <w:top w:val="none" w:sz="0" w:space="0" w:color="auto"/>
        <w:left w:val="none" w:sz="0" w:space="0" w:color="auto"/>
        <w:bottom w:val="none" w:sz="0" w:space="0" w:color="auto"/>
        <w:right w:val="none" w:sz="0" w:space="0" w:color="auto"/>
      </w:divBdr>
    </w:div>
    <w:div w:id="1274702897">
      <w:bodyDiv w:val="1"/>
      <w:marLeft w:val="0"/>
      <w:marRight w:val="0"/>
      <w:marTop w:val="0"/>
      <w:marBottom w:val="0"/>
      <w:divBdr>
        <w:top w:val="none" w:sz="0" w:space="0" w:color="auto"/>
        <w:left w:val="none" w:sz="0" w:space="0" w:color="auto"/>
        <w:bottom w:val="none" w:sz="0" w:space="0" w:color="auto"/>
        <w:right w:val="none" w:sz="0" w:space="0" w:color="auto"/>
      </w:divBdr>
    </w:div>
    <w:div w:id="1455639382">
      <w:bodyDiv w:val="1"/>
      <w:marLeft w:val="0"/>
      <w:marRight w:val="0"/>
      <w:marTop w:val="0"/>
      <w:marBottom w:val="0"/>
      <w:divBdr>
        <w:top w:val="none" w:sz="0" w:space="0" w:color="auto"/>
        <w:left w:val="none" w:sz="0" w:space="0" w:color="auto"/>
        <w:bottom w:val="none" w:sz="0" w:space="0" w:color="auto"/>
        <w:right w:val="none" w:sz="0" w:space="0" w:color="auto"/>
      </w:divBdr>
    </w:div>
    <w:div w:id="1497183839">
      <w:bodyDiv w:val="1"/>
      <w:marLeft w:val="0"/>
      <w:marRight w:val="0"/>
      <w:marTop w:val="0"/>
      <w:marBottom w:val="0"/>
      <w:divBdr>
        <w:top w:val="none" w:sz="0" w:space="0" w:color="auto"/>
        <w:left w:val="none" w:sz="0" w:space="0" w:color="auto"/>
        <w:bottom w:val="none" w:sz="0" w:space="0" w:color="auto"/>
        <w:right w:val="none" w:sz="0" w:space="0" w:color="auto"/>
      </w:divBdr>
    </w:div>
    <w:div w:id="1623420010">
      <w:bodyDiv w:val="1"/>
      <w:marLeft w:val="0"/>
      <w:marRight w:val="0"/>
      <w:marTop w:val="0"/>
      <w:marBottom w:val="0"/>
      <w:divBdr>
        <w:top w:val="none" w:sz="0" w:space="0" w:color="auto"/>
        <w:left w:val="none" w:sz="0" w:space="0" w:color="auto"/>
        <w:bottom w:val="none" w:sz="0" w:space="0" w:color="auto"/>
        <w:right w:val="none" w:sz="0" w:space="0" w:color="auto"/>
      </w:divBdr>
    </w:div>
    <w:div w:id="1687899564">
      <w:bodyDiv w:val="1"/>
      <w:marLeft w:val="0"/>
      <w:marRight w:val="0"/>
      <w:marTop w:val="0"/>
      <w:marBottom w:val="0"/>
      <w:divBdr>
        <w:top w:val="none" w:sz="0" w:space="0" w:color="auto"/>
        <w:left w:val="none" w:sz="0" w:space="0" w:color="auto"/>
        <w:bottom w:val="none" w:sz="0" w:space="0" w:color="auto"/>
        <w:right w:val="none" w:sz="0" w:space="0" w:color="auto"/>
      </w:divBdr>
    </w:div>
    <w:div w:id="1803576726">
      <w:bodyDiv w:val="1"/>
      <w:marLeft w:val="0"/>
      <w:marRight w:val="0"/>
      <w:marTop w:val="0"/>
      <w:marBottom w:val="0"/>
      <w:divBdr>
        <w:top w:val="none" w:sz="0" w:space="0" w:color="auto"/>
        <w:left w:val="none" w:sz="0" w:space="0" w:color="auto"/>
        <w:bottom w:val="none" w:sz="0" w:space="0" w:color="auto"/>
        <w:right w:val="none" w:sz="0" w:space="0" w:color="auto"/>
      </w:divBdr>
    </w:div>
    <w:div w:id="1905604102">
      <w:bodyDiv w:val="1"/>
      <w:marLeft w:val="0"/>
      <w:marRight w:val="0"/>
      <w:marTop w:val="0"/>
      <w:marBottom w:val="0"/>
      <w:divBdr>
        <w:top w:val="none" w:sz="0" w:space="0" w:color="auto"/>
        <w:left w:val="none" w:sz="0" w:space="0" w:color="auto"/>
        <w:bottom w:val="none" w:sz="0" w:space="0" w:color="auto"/>
        <w:right w:val="none" w:sz="0" w:space="0" w:color="auto"/>
      </w:divBdr>
    </w:div>
    <w:div w:id="20253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F1\ZUZANKOVA\1KOREKTURY\KZ%2023_16%20gr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767579796774391E-2"/>
          <c:y val="0.16219518014793605"/>
          <c:w val="0.31958684820936351"/>
          <c:h val="0.75839261471626396"/>
        </c:manualLayout>
      </c:layout>
      <c:pieChart>
        <c:varyColors val="1"/>
        <c:ser>
          <c:idx val="0"/>
          <c:order val="0"/>
          <c:explosion val="1"/>
          <c:dPt>
            <c:idx val="0"/>
            <c:bubble3D val="0"/>
            <c:spPr>
              <a:solidFill>
                <a:srgbClr val="FDC300"/>
              </a:solidFill>
              <a:ln w="19050">
                <a:solidFill>
                  <a:schemeClr val="lt1"/>
                </a:solidFill>
              </a:ln>
              <a:effectLst/>
            </c:spPr>
            <c:extLst>
              <c:ext xmlns:c16="http://schemas.microsoft.com/office/drawing/2014/chart" uri="{C3380CC4-5D6E-409C-BE32-E72D297353CC}">
                <c16:uniqueId val="{00000001-47AA-44A9-BAE9-9F272BF9EBF9}"/>
              </c:ext>
            </c:extLst>
          </c:dPt>
          <c:dPt>
            <c:idx val="1"/>
            <c:bubble3D val="0"/>
            <c:spPr>
              <a:solidFill>
                <a:schemeClr val="bg1">
                  <a:lumMod val="65000"/>
                </a:schemeClr>
              </a:solidFill>
              <a:ln w="19050">
                <a:solidFill>
                  <a:schemeClr val="lt1"/>
                </a:solidFill>
              </a:ln>
              <a:effectLst/>
            </c:spPr>
            <c:extLst>
              <c:ext xmlns:c16="http://schemas.microsoft.com/office/drawing/2014/chart" uri="{C3380CC4-5D6E-409C-BE32-E72D297353CC}">
                <c16:uniqueId val="{00000003-47AA-44A9-BAE9-9F272BF9EBF9}"/>
              </c:ext>
            </c:extLst>
          </c:dPt>
          <c:dPt>
            <c:idx val="2"/>
            <c:bubble3D val="0"/>
            <c:spPr>
              <a:solidFill>
                <a:srgbClr val="AF1953"/>
              </a:solidFill>
              <a:ln w="19050">
                <a:solidFill>
                  <a:schemeClr val="lt1"/>
                </a:solidFill>
              </a:ln>
              <a:effectLst/>
            </c:spPr>
            <c:extLst>
              <c:ext xmlns:c16="http://schemas.microsoft.com/office/drawing/2014/chart" uri="{C3380CC4-5D6E-409C-BE32-E72D297353CC}">
                <c16:uniqueId val="{00000005-47AA-44A9-BAE9-9F272BF9EBF9}"/>
              </c:ext>
            </c:extLst>
          </c:dPt>
          <c:dPt>
            <c:idx val="3"/>
            <c:bubble3D val="0"/>
            <c:explosion val="0"/>
            <c:spPr>
              <a:solidFill>
                <a:srgbClr val="2EB3A1"/>
              </a:solidFill>
              <a:ln w="19050">
                <a:solidFill>
                  <a:schemeClr val="lt1"/>
                </a:solidFill>
              </a:ln>
              <a:effectLst/>
            </c:spPr>
            <c:extLst>
              <c:ext xmlns:c16="http://schemas.microsoft.com/office/drawing/2014/chart" uri="{C3380CC4-5D6E-409C-BE32-E72D297353CC}">
                <c16:uniqueId val="{00000007-47AA-44A9-BAE9-9F272BF9EBF9}"/>
              </c:ext>
            </c:extLst>
          </c:dPt>
          <c:dLbls>
            <c:dLbl>
              <c:idx val="0"/>
              <c:layout>
                <c:manualLayout>
                  <c:x val="-1.6023622047244095E-2"/>
                  <c:y val="6.356478167501761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7AA-44A9-BAE9-9F272BF9EBF9}"/>
                </c:ext>
              </c:extLst>
            </c:dLbl>
            <c:dLbl>
              <c:idx val="1"/>
              <c:layout>
                <c:manualLayout>
                  <c:x val="-1.0147390757132901E-2"/>
                  <c:y val="1.26359440179695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7AA-44A9-BAE9-9F272BF9EBF9}"/>
                </c:ext>
              </c:extLst>
            </c:dLbl>
            <c:dLbl>
              <c:idx val="2"/>
              <c:layout>
                <c:manualLayout>
                  <c:x val="-1.7774264346415087E-3"/>
                  <c:y val="-2.476390294473378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7AA-44A9-BAE9-9F272BF9EBF9}"/>
                </c:ext>
              </c:extLst>
            </c:dLbl>
            <c:dLbl>
              <c:idx val="3"/>
              <c:layout>
                <c:manualLayout>
                  <c:x val="-3.0187540956323655E-3"/>
                  <c:y val="2.134425986720311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7AA-44A9-BAE9-9F272BF9EBF9}"/>
                </c:ext>
              </c:extLst>
            </c:dLbl>
            <c:numFmt formatCode="0_I%" sourceLinked="0"/>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mn-lt"/>
                    <a:ea typeface="+mn-ea"/>
                    <a:cs typeface="+mn-cs"/>
                  </a:defRPr>
                </a:pPr>
                <a:endParaRPr lang="cs-CZ"/>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List1!$B$1:$E$1</c:f>
              <c:strCache>
                <c:ptCount val="4"/>
                <c:pt idx="0">
                  <c:v>Základní odměna Správci</c:v>
                </c:pt>
                <c:pt idx="1">
                  <c:v>Výkonnostní odměna Správci</c:v>
                </c:pt>
                <c:pt idx="2">
                  <c:v>Základní odměna Finančnímu zprostředkovateli</c:v>
                </c:pt>
                <c:pt idx="3">
                  <c:v>Výkonnostní odměna Finančnímu zprostředkovateli</c:v>
                </c:pt>
              </c:strCache>
            </c:strRef>
          </c:cat>
          <c:val>
            <c:numRef>
              <c:f>List1!$B$2:$E$2</c:f>
              <c:numCache>
                <c:formatCode>#\ ##0\ "Kč"</c:formatCode>
                <c:ptCount val="4"/>
                <c:pt idx="0">
                  <c:v>6284360.5599999996</c:v>
                </c:pt>
                <c:pt idx="1">
                  <c:v>1768857.18</c:v>
                </c:pt>
                <c:pt idx="2">
                  <c:v>20837756.359999999</c:v>
                </c:pt>
                <c:pt idx="3">
                  <c:v>2547397.0699999998</c:v>
                </c:pt>
              </c:numCache>
            </c:numRef>
          </c:val>
          <c:extLst>
            <c:ext xmlns:c16="http://schemas.microsoft.com/office/drawing/2014/chart" uri="{C3380CC4-5D6E-409C-BE32-E72D297353CC}">
              <c16:uniqueId val="{00000008-47AA-44A9-BAE9-9F272BF9EBF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42063741129288401"/>
          <c:y val="0.16333858267716536"/>
          <c:w val="0.57871029215869385"/>
          <c:h val="0.7715810069195895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000"/>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41ef85cfa56222539d111f4b1ed27123">
  <xsd:schema xmlns:xsd="http://www.w3.org/2001/XMLSchema" xmlns:xs="http://www.w3.org/2001/XMLSchema" xmlns:p="http://schemas.microsoft.com/office/2006/metadata/properties" xmlns:ns1="http://schemas.microsoft.com/sharepoint/v3" targetNamespace="http://schemas.microsoft.com/office/2006/metadata/properties" ma:root="true" ma:fieldsID="82835b98b50f7b97a7aacca622fbbc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44D2-2867-406A-97EB-33A077FCB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BF207-80F3-4C2F-89F8-C50F492DDF8C}">
  <ds:schemaRefs>
    <ds:schemaRef ds:uri="http://schemas.microsoft.com/office/2006/documentManagement/types"/>
    <ds:schemaRef ds:uri="http://purl.org/dc/elements/1.1/"/>
    <ds:schemaRef ds:uri="http://purl.org/dc/terms/"/>
    <ds:schemaRef ds:uri="http://schemas.microsoft.com/sharepoint/v3"/>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580DC5C-83D1-41EA-9ECB-79BEAAECC915}">
  <ds:schemaRefs>
    <ds:schemaRef ds:uri="http://schemas.microsoft.com/sharepoint/v3/contenttype/forms"/>
  </ds:schemaRefs>
</ds:datastoreItem>
</file>

<file path=customXml/itemProps4.xml><?xml version="1.0" encoding="utf-8"?>
<ds:datastoreItem xmlns:ds="http://schemas.openxmlformats.org/officeDocument/2006/customXml" ds:itemID="{37DF88A9-821E-4203-B33D-49451751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7459</Words>
  <Characters>44011</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Kontrolní závěr z kontrolní akce NKÚ č. 23/16 - Peněžní prostředky státu a Evropské unie vynakládané Ministerstvem průmyslu a obchodu na regeneraci brownfieldů</vt:lpstr>
    </vt:vector>
  </TitlesOfParts>
  <Company>NKU</Company>
  <LinksUpToDate>false</LinksUpToDate>
  <CharactersWithSpaces>51368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23/16 - Peněžní prostředky státu a Evropské unie vynakládané Ministerstvem průmyslu a obchodu na regeneraci brownfieldů</dc:title>
  <dc:subject>Kontrolní závěr z kontrolní akce NKÚ č. 23/16 - Peněžní prostředky státu a Evropské unie vynakládané Ministerstvem průmyslu a obchodu na regeneraci brownfieldů</dc:subject>
  <dc:creator>nku@NKU.cz</dc:creator>
  <cp:keywords>kontrolní závěr; regenerace brownfieldů; brownfieldy; MPO; Ministerstvo průmyslu a obchodu</cp:keywords>
  <dc:description/>
  <cp:lastModifiedBy>KOKRDA Daniel</cp:lastModifiedBy>
  <cp:revision>5</cp:revision>
  <cp:lastPrinted>2024-07-24T07:42:00Z</cp:lastPrinted>
  <dcterms:created xsi:type="dcterms:W3CDTF">2024-07-26T05:56:00Z</dcterms:created>
  <dcterms:modified xsi:type="dcterms:W3CDTF">2024-07-26T06:07:00Z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