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4925" w14:textId="317337A8" w:rsidR="004D6B7A" w:rsidRDefault="0017480C" w:rsidP="0017480C">
      <w:pPr>
        <w:spacing w:after="0" w:line="240" w:lineRule="auto"/>
        <w:jc w:val="center"/>
        <w:rPr>
          <w:rFonts w:cs="Calibri"/>
          <w:b/>
          <w:szCs w:val="24"/>
        </w:rPr>
      </w:pPr>
      <w:r>
        <w:rPr>
          <w:rFonts w:cs="Calibri"/>
          <w:b/>
          <w:noProof/>
          <w:szCs w:val="24"/>
        </w:rPr>
        <w:drawing>
          <wp:inline distT="0" distB="0" distL="0" distR="0" wp14:anchorId="2C2AFBA7" wp14:editId="19475846">
            <wp:extent cx="720000" cy="620760"/>
            <wp:effectExtent l="0" t="0" r="4445" b="8255"/>
            <wp:docPr id="580691380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91380" name="Obrázek 58069138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0E363" w14:textId="77777777" w:rsidR="004D6B7A" w:rsidRDefault="004D6B7A" w:rsidP="0017480C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241029BA" w14:textId="77777777" w:rsidR="004D6B7A" w:rsidRDefault="004D6B7A" w:rsidP="0017480C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1B1D9977" w14:textId="77777777" w:rsidR="004D6B7A" w:rsidRDefault="004D6B7A" w:rsidP="0017480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65CF3">
        <w:rPr>
          <w:rFonts w:cstheme="minorHAnsi"/>
          <w:b/>
          <w:sz w:val="28"/>
          <w:szCs w:val="28"/>
        </w:rPr>
        <w:t>Kontrolní závěr z kontrolní akce</w:t>
      </w:r>
    </w:p>
    <w:p w14:paraId="59953C5A" w14:textId="77777777" w:rsidR="004D6B7A" w:rsidRPr="00165CF3" w:rsidRDefault="004D6B7A" w:rsidP="0017480C">
      <w:pPr>
        <w:spacing w:after="0" w:line="240" w:lineRule="auto"/>
        <w:jc w:val="center"/>
      </w:pPr>
    </w:p>
    <w:p w14:paraId="4D392588" w14:textId="14E06CE2" w:rsidR="004D6B7A" w:rsidRDefault="00852B24" w:rsidP="0017480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25/11</w:t>
      </w:r>
    </w:p>
    <w:p w14:paraId="2461AE45" w14:textId="77777777" w:rsidR="004D6B7A" w:rsidRPr="00165CF3" w:rsidRDefault="004D6B7A" w:rsidP="0017480C">
      <w:pPr>
        <w:spacing w:after="0" w:line="240" w:lineRule="auto"/>
        <w:jc w:val="center"/>
      </w:pPr>
    </w:p>
    <w:p w14:paraId="52675B11" w14:textId="51CD3748" w:rsidR="004D6B7A" w:rsidRPr="00165CF3" w:rsidRDefault="00852B24" w:rsidP="0017480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Peněžní prostředky určené na rozvoj čisté mobility</w:t>
      </w:r>
    </w:p>
    <w:p w14:paraId="621D7863" w14:textId="77777777" w:rsidR="004D6B7A" w:rsidRDefault="004D6B7A" w:rsidP="0017480C">
      <w:pPr>
        <w:spacing w:after="0" w:line="240" w:lineRule="auto"/>
        <w:jc w:val="center"/>
      </w:pPr>
    </w:p>
    <w:p w14:paraId="1FA0464F" w14:textId="77777777" w:rsidR="004D6B7A" w:rsidRPr="00CE25AF" w:rsidRDefault="004D6B7A" w:rsidP="0017480C">
      <w:pPr>
        <w:spacing w:after="0" w:line="240" w:lineRule="auto"/>
        <w:jc w:val="center"/>
        <w:rPr>
          <w:rFonts w:cstheme="minorHAnsi"/>
          <w:b/>
          <w:szCs w:val="24"/>
        </w:rPr>
      </w:pPr>
    </w:p>
    <w:p w14:paraId="62B5FE18" w14:textId="083195F8" w:rsidR="004D6B7A" w:rsidRPr="00CE25AF" w:rsidRDefault="004D6B7A" w:rsidP="003F00EC">
      <w:pPr>
        <w:spacing w:after="0" w:line="240" w:lineRule="auto"/>
        <w:rPr>
          <w:rFonts w:cstheme="minorHAnsi"/>
          <w:szCs w:val="24"/>
        </w:rPr>
      </w:pPr>
      <w:r w:rsidRPr="00CE25AF">
        <w:rPr>
          <w:rFonts w:cstheme="minorHAnsi"/>
          <w:szCs w:val="24"/>
        </w:rPr>
        <w:t xml:space="preserve">Kontrolní akce byla zařazena do plánu kontrolní činnosti Nejvyššího kontrolního úřadu (dále také „NKÚ“) na rok </w:t>
      </w:r>
      <w:r w:rsidR="00852B24">
        <w:rPr>
          <w:rFonts w:cstheme="minorHAnsi"/>
          <w:szCs w:val="24"/>
        </w:rPr>
        <w:t>2025</w:t>
      </w:r>
      <w:r w:rsidRPr="00CE25AF">
        <w:rPr>
          <w:rFonts w:cstheme="minorHAnsi"/>
          <w:szCs w:val="24"/>
        </w:rPr>
        <w:t xml:space="preserve"> pod číslem</w:t>
      </w:r>
      <w:r w:rsidR="00244DA5">
        <w:rPr>
          <w:rFonts w:cstheme="minorHAnsi"/>
          <w:szCs w:val="24"/>
        </w:rPr>
        <w:t xml:space="preserve"> </w:t>
      </w:r>
      <w:r w:rsidR="00852B24">
        <w:rPr>
          <w:rFonts w:cstheme="minorHAnsi"/>
          <w:szCs w:val="24"/>
        </w:rPr>
        <w:t>25/11</w:t>
      </w:r>
      <w:r w:rsidRPr="00CE25AF">
        <w:rPr>
          <w:rFonts w:cstheme="minorHAnsi"/>
          <w:szCs w:val="24"/>
        </w:rPr>
        <w:t xml:space="preserve">. Kontrolní akci řídil a kontrolní závěr vypracoval člen NKÚ </w:t>
      </w:r>
      <w:r w:rsidR="00852B24">
        <w:rPr>
          <w:rFonts w:cstheme="minorHAnsi"/>
          <w:szCs w:val="24"/>
        </w:rPr>
        <w:t xml:space="preserve">RNDr. Petr </w:t>
      </w:r>
      <w:proofErr w:type="spellStart"/>
      <w:r w:rsidR="00852B24">
        <w:rPr>
          <w:rFonts w:cstheme="minorHAnsi"/>
          <w:szCs w:val="24"/>
        </w:rPr>
        <w:t>Neuvirt</w:t>
      </w:r>
      <w:proofErr w:type="spellEnd"/>
      <w:r w:rsidR="00852B24">
        <w:rPr>
          <w:rFonts w:cstheme="minorHAnsi"/>
          <w:szCs w:val="24"/>
        </w:rPr>
        <w:t>.</w:t>
      </w:r>
    </w:p>
    <w:p w14:paraId="2EC178BD" w14:textId="77777777" w:rsidR="00200AB3" w:rsidRDefault="00200AB3" w:rsidP="003F00EC">
      <w:pPr>
        <w:spacing w:after="0" w:line="240" w:lineRule="auto"/>
        <w:rPr>
          <w:rFonts w:cstheme="minorHAnsi"/>
          <w:szCs w:val="24"/>
        </w:rPr>
      </w:pPr>
    </w:p>
    <w:p w14:paraId="7AE1BDCD" w14:textId="15B7298B" w:rsidR="004D6B7A" w:rsidRPr="00CE25AF" w:rsidRDefault="004D6B7A" w:rsidP="003F00EC">
      <w:pPr>
        <w:spacing w:after="0" w:line="240" w:lineRule="auto"/>
        <w:rPr>
          <w:rFonts w:cstheme="minorHAnsi"/>
          <w:szCs w:val="24"/>
        </w:rPr>
      </w:pPr>
      <w:r w:rsidRPr="00165CF3">
        <w:rPr>
          <w:rFonts w:cstheme="minorHAnsi"/>
          <w:szCs w:val="24"/>
        </w:rPr>
        <w:t xml:space="preserve">Cílem kontroly </w:t>
      </w:r>
      <w:r w:rsidRPr="00326EF9">
        <w:rPr>
          <w:rFonts w:cstheme="minorHAnsi"/>
          <w:szCs w:val="24"/>
        </w:rPr>
        <w:t xml:space="preserve">bylo </w:t>
      </w:r>
      <w:r w:rsidR="00B31143">
        <w:rPr>
          <w:rFonts w:cstheme="minorHAnsi"/>
          <w:szCs w:val="24"/>
        </w:rPr>
        <w:t>p</w:t>
      </w:r>
      <w:r w:rsidR="00B31143" w:rsidRPr="00B31143">
        <w:rPr>
          <w:rFonts w:cstheme="minorHAnsi"/>
          <w:szCs w:val="24"/>
        </w:rPr>
        <w:t>rověřit, zda peněžní prostředky určené na rozvoj čisté mobility byly vynakládány účelně, hospodárně a v souladu s právními předpisy.</w:t>
      </w:r>
    </w:p>
    <w:p w14:paraId="251CE237" w14:textId="77777777" w:rsidR="00200AB3" w:rsidRDefault="00200AB3" w:rsidP="003F00EC">
      <w:pPr>
        <w:spacing w:after="0" w:line="240" w:lineRule="auto"/>
        <w:rPr>
          <w:rFonts w:eastAsia="Times New Roman" w:cstheme="minorHAnsi"/>
          <w:szCs w:val="24"/>
        </w:rPr>
      </w:pPr>
    </w:p>
    <w:p w14:paraId="235A89EB" w14:textId="77777777" w:rsidR="00200AB3" w:rsidRDefault="00200AB3" w:rsidP="003F00EC">
      <w:pPr>
        <w:pStyle w:val="Zkladn"/>
        <w:spacing w:before="0" w:after="0" w:line="240" w:lineRule="auto"/>
        <w:rPr>
          <w:rFonts w:cstheme="minorHAnsi"/>
          <w:b/>
          <w:szCs w:val="24"/>
        </w:rPr>
      </w:pPr>
    </w:p>
    <w:p w14:paraId="1B41FC80" w14:textId="601F144C" w:rsidR="004D6B7A" w:rsidRPr="00CE25AF" w:rsidRDefault="004D6B7A" w:rsidP="003F00EC">
      <w:pPr>
        <w:pStyle w:val="Zkladn"/>
        <w:spacing w:before="0" w:after="0" w:line="240" w:lineRule="auto"/>
        <w:rPr>
          <w:rFonts w:cstheme="minorHAnsi"/>
          <w:b/>
          <w:szCs w:val="24"/>
        </w:rPr>
      </w:pPr>
      <w:r w:rsidRPr="00CE25AF">
        <w:rPr>
          <w:rFonts w:cstheme="minorHAnsi"/>
          <w:b/>
          <w:szCs w:val="24"/>
        </w:rPr>
        <w:t>Kontrolované osoby:</w:t>
      </w:r>
    </w:p>
    <w:p w14:paraId="0FC9C907" w14:textId="1DF2AE08" w:rsidR="004D6B7A" w:rsidRDefault="00704114" w:rsidP="003F00EC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Ministerstvo průmyslu a obchodu</w:t>
      </w:r>
      <w:r w:rsidR="002B7529">
        <w:rPr>
          <w:rFonts w:cstheme="minorHAnsi"/>
          <w:szCs w:val="24"/>
        </w:rPr>
        <w:t xml:space="preserve"> (dále také „MPO“);</w:t>
      </w:r>
    </w:p>
    <w:p w14:paraId="0112D8D8" w14:textId="50B720A4" w:rsidR="002B7529" w:rsidRDefault="002B7529" w:rsidP="003F00EC">
      <w:pPr>
        <w:spacing w:after="0"/>
      </w:pPr>
      <w:r>
        <w:t>Ministerstvo dopravy (dále také „MD“);</w:t>
      </w:r>
    </w:p>
    <w:p w14:paraId="77CD193B" w14:textId="16CEB3FE" w:rsidR="002B7529" w:rsidRDefault="002B7529" w:rsidP="003F00EC">
      <w:pPr>
        <w:spacing w:after="0"/>
      </w:pPr>
      <w:r>
        <w:t>Agentura pro podnikání a inovace, Praha (dále také „API“);</w:t>
      </w:r>
    </w:p>
    <w:p w14:paraId="3E726941" w14:textId="65C634E4" w:rsidR="002B7529" w:rsidRDefault="00305EB7" w:rsidP="003F00EC">
      <w:pPr>
        <w:spacing w:after="0"/>
      </w:pPr>
      <w:r>
        <w:t>vybraní příjemci podpory: ČEZ, a.</w:t>
      </w:r>
      <w:r w:rsidR="00154C01">
        <w:t xml:space="preserve"> </w:t>
      </w:r>
      <w:r>
        <w:t>s.</w:t>
      </w:r>
      <w:r w:rsidR="00E317CD">
        <w:t>,</w:t>
      </w:r>
      <w:r w:rsidR="005F7BAD">
        <w:t xml:space="preserve"> Praha;</w:t>
      </w:r>
      <w:r w:rsidR="00E317CD">
        <w:t xml:space="preserve"> E.ON</w:t>
      </w:r>
      <w:r>
        <w:t xml:space="preserve"> Česká republika</w:t>
      </w:r>
      <w:r w:rsidR="00895470">
        <w:t>,</w:t>
      </w:r>
      <w:r>
        <w:t xml:space="preserve"> s.</w:t>
      </w:r>
      <w:r w:rsidR="00154C01">
        <w:t xml:space="preserve"> </w:t>
      </w:r>
      <w:r>
        <w:t>r.</w:t>
      </w:r>
      <w:r w:rsidR="00154C01">
        <w:t xml:space="preserve"> </w:t>
      </w:r>
      <w:r>
        <w:t>o.,</w:t>
      </w:r>
      <w:r w:rsidR="005F7BAD">
        <w:t xml:space="preserve"> České Budějovice;</w:t>
      </w:r>
      <w:r>
        <w:t xml:space="preserve"> </w:t>
      </w:r>
      <w:proofErr w:type="spellStart"/>
      <w:r>
        <w:t>GasNet</w:t>
      </w:r>
      <w:proofErr w:type="spellEnd"/>
      <w:r>
        <w:t xml:space="preserve">, s.r.o., </w:t>
      </w:r>
      <w:r w:rsidR="005F7BAD">
        <w:t xml:space="preserve">Ústí nad Labem; </w:t>
      </w:r>
      <w:r>
        <w:t>Pražská energetika, a.s.,</w:t>
      </w:r>
      <w:r w:rsidR="005F7BAD">
        <w:t xml:space="preserve"> Praha;</w:t>
      </w:r>
      <w:r>
        <w:t xml:space="preserve"> ORLEN Unipetrol RPA s.r.o.,</w:t>
      </w:r>
      <w:r w:rsidR="005F7BAD">
        <w:t xml:space="preserve"> Litvínov;</w:t>
      </w:r>
      <w:r>
        <w:t xml:space="preserve"> W.A.G.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solutions</w:t>
      </w:r>
      <w:proofErr w:type="spellEnd"/>
      <w:r w:rsidR="00154C01">
        <w:t>,</w:t>
      </w:r>
      <w:r>
        <w:t xml:space="preserve"> a.s.</w:t>
      </w:r>
      <w:r w:rsidR="005F7BAD">
        <w:t>, Praha</w:t>
      </w:r>
      <w:r w:rsidR="006D70CD">
        <w:t>.</w:t>
      </w:r>
    </w:p>
    <w:p w14:paraId="6E8FCC6E" w14:textId="77777777" w:rsidR="00305EB7" w:rsidRDefault="00305EB7" w:rsidP="003F00EC">
      <w:pPr>
        <w:spacing w:after="0"/>
      </w:pPr>
    </w:p>
    <w:p w14:paraId="39E3CA29" w14:textId="6C486D00" w:rsidR="00F329EB" w:rsidRDefault="00F329EB" w:rsidP="003F00EC">
      <w:pPr>
        <w:spacing w:after="0" w:line="240" w:lineRule="auto"/>
        <w:rPr>
          <w:rFonts w:eastAsia="Times New Roman" w:cstheme="minorHAnsi"/>
          <w:szCs w:val="24"/>
        </w:rPr>
      </w:pPr>
      <w:r w:rsidRPr="00165CF3">
        <w:rPr>
          <w:rFonts w:eastAsia="Times New Roman" w:cstheme="minorHAnsi"/>
          <w:szCs w:val="24"/>
        </w:rPr>
        <w:t>Kontrolováno bylo období</w:t>
      </w:r>
      <w:r w:rsidRPr="00326EF9">
        <w:rPr>
          <w:rFonts w:eastAsia="Times New Roman" w:cstheme="minorHAnsi"/>
          <w:szCs w:val="24"/>
        </w:rPr>
        <w:t xml:space="preserve"> </w:t>
      </w:r>
      <w:r>
        <w:rPr>
          <w:rFonts w:eastAsia="Times New Roman" w:cstheme="minorHAnsi"/>
          <w:szCs w:val="24"/>
        </w:rPr>
        <w:t>let</w:t>
      </w:r>
      <w:r w:rsidRPr="00CE25AF">
        <w:rPr>
          <w:rFonts w:eastAsia="Times New Roman" w:cstheme="minorHAnsi"/>
          <w:szCs w:val="24"/>
        </w:rPr>
        <w:t xml:space="preserve"> </w:t>
      </w:r>
      <w:r>
        <w:rPr>
          <w:rFonts w:eastAsia="Times New Roman" w:cstheme="minorHAnsi"/>
          <w:szCs w:val="24"/>
        </w:rPr>
        <w:t>2019</w:t>
      </w:r>
      <w:r w:rsidR="00412A9B">
        <w:rPr>
          <w:rFonts w:eastAsia="Times New Roman" w:cstheme="minorHAnsi"/>
          <w:szCs w:val="24"/>
        </w:rPr>
        <w:t xml:space="preserve"> až </w:t>
      </w:r>
      <w:r>
        <w:rPr>
          <w:rFonts w:eastAsia="Times New Roman" w:cstheme="minorHAnsi"/>
          <w:szCs w:val="24"/>
        </w:rPr>
        <w:t>2025,</w:t>
      </w:r>
      <w:r w:rsidRPr="00CE25AF">
        <w:rPr>
          <w:rFonts w:eastAsia="Times New Roman" w:cstheme="minorHAnsi"/>
          <w:szCs w:val="24"/>
        </w:rPr>
        <w:t xml:space="preserve"> </w:t>
      </w:r>
      <w:r>
        <w:rPr>
          <w:rFonts w:eastAsia="Times New Roman" w:cstheme="minorHAnsi"/>
          <w:szCs w:val="24"/>
        </w:rPr>
        <w:t>v</w:t>
      </w:r>
      <w:r w:rsidRPr="00CE25AF">
        <w:rPr>
          <w:rFonts w:eastAsia="Times New Roman" w:cstheme="minorHAnsi"/>
          <w:szCs w:val="24"/>
        </w:rPr>
        <w:t xml:space="preserve"> případě věcných souvislostí i období předcházející.</w:t>
      </w:r>
      <w:r>
        <w:rPr>
          <w:rFonts w:eastAsia="Times New Roman" w:cstheme="minorHAnsi"/>
          <w:szCs w:val="24"/>
        </w:rPr>
        <w:t xml:space="preserve"> </w:t>
      </w:r>
    </w:p>
    <w:p w14:paraId="19E130E9" w14:textId="77777777" w:rsidR="00F329EB" w:rsidRDefault="00F329EB" w:rsidP="003F00EC">
      <w:pPr>
        <w:spacing w:after="0" w:line="240" w:lineRule="auto"/>
        <w:rPr>
          <w:rFonts w:eastAsia="Times New Roman" w:cstheme="minorHAnsi"/>
          <w:szCs w:val="24"/>
        </w:rPr>
      </w:pPr>
    </w:p>
    <w:p w14:paraId="33AAB9BE" w14:textId="72CF684C" w:rsidR="00F329EB" w:rsidRPr="00CE25AF" w:rsidRDefault="00F329EB" w:rsidP="003F00EC">
      <w:pPr>
        <w:spacing w:after="0" w:line="240" w:lineRule="auto"/>
        <w:rPr>
          <w:rFonts w:cstheme="minorHAnsi"/>
          <w:szCs w:val="24"/>
        </w:rPr>
      </w:pPr>
      <w:r>
        <w:rPr>
          <w:rFonts w:eastAsia="Times New Roman" w:cstheme="minorHAnsi"/>
          <w:szCs w:val="24"/>
        </w:rPr>
        <w:t xml:space="preserve">Kontrola byla prováděna u kontrolovaných osob od června 2025 do prosince 2025. </w:t>
      </w:r>
    </w:p>
    <w:p w14:paraId="2DE599E9" w14:textId="587FD751" w:rsidR="00704114" w:rsidRPr="00704114" w:rsidRDefault="00704114" w:rsidP="003F00EC">
      <w:pPr>
        <w:spacing w:after="0"/>
      </w:pPr>
    </w:p>
    <w:p w14:paraId="4B31BAD4" w14:textId="77777777" w:rsidR="004D6B7A" w:rsidRPr="00CE25AF" w:rsidRDefault="004D6B7A" w:rsidP="003F00EC">
      <w:pPr>
        <w:spacing w:after="0" w:line="240" w:lineRule="auto"/>
      </w:pPr>
    </w:p>
    <w:p w14:paraId="4DD93413" w14:textId="5B64CC8A" w:rsidR="004D6B7A" w:rsidRPr="00EB3511" w:rsidRDefault="004D6B7A" w:rsidP="003F00EC">
      <w:pPr>
        <w:spacing w:after="0" w:line="360" w:lineRule="auto"/>
        <w:rPr>
          <w:rFonts w:cstheme="minorHAnsi"/>
          <w:szCs w:val="24"/>
        </w:rPr>
      </w:pPr>
      <w:r w:rsidRPr="00EB3511">
        <w:rPr>
          <w:rFonts w:cstheme="minorHAnsi"/>
          <w:b/>
          <w:i/>
          <w:szCs w:val="24"/>
        </w:rPr>
        <w:t xml:space="preserve">K o l e g i u m   N K Ú  </w:t>
      </w:r>
      <w:r w:rsidRPr="00EB3511">
        <w:rPr>
          <w:rFonts w:cstheme="minorHAnsi"/>
          <w:szCs w:val="24"/>
        </w:rPr>
        <w:t xml:space="preserve"> na svém</w:t>
      </w:r>
      <w:r w:rsidR="00DC7B02">
        <w:rPr>
          <w:rFonts w:cstheme="minorHAnsi"/>
          <w:szCs w:val="24"/>
        </w:rPr>
        <w:t xml:space="preserve"> </w:t>
      </w:r>
      <w:r w:rsidR="005F7BAD">
        <w:rPr>
          <w:rFonts w:cstheme="minorHAnsi"/>
          <w:szCs w:val="24"/>
        </w:rPr>
        <w:t>V.</w:t>
      </w:r>
      <w:r w:rsidRPr="00EB3511">
        <w:rPr>
          <w:rFonts w:cstheme="minorHAnsi"/>
          <w:szCs w:val="24"/>
        </w:rPr>
        <w:t xml:space="preserve"> jednání, které se konalo dne </w:t>
      </w:r>
      <w:r w:rsidR="005F7BAD">
        <w:rPr>
          <w:rFonts w:cstheme="minorHAnsi"/>
          <w:szCs w:val="24"/>
        </w:rPr>
        <w:t>30. března 2026</w:t>
      </w:r>
      <w:r w:rsidRPr="00EB3511">
        <w:rPr>
          <w:rFonts w:cstheme="minorHAnsi"/>
          <w:szCs w:val="24"/>
        </w:rPr>
        <w:t>,</w:t>
      </w:r>
    </w:p>
    <w:p w14:paraId="20AFADAC" w14:textId="7F2FB0D3" w:rsidR="004D6B7A" w:rsidRPr="00CE25AF" w:rsidRDefault="004D6B7A" w:rsidP="003F00EC">
      <w:pPr>
        <w:pStyle w:val="NormlnKZ"/>
        <w:spacing w:after="0" w:line="360" w:lineRule="auto"/>
        <w:ind w:firstLine="0"/>
        <w:rPr>
          <w:rFonts w:asciiTheme="minorHAnsi" w:hAnsiTheme="minorHAnsi" w:cstheme="minorHAnsi"/>
        </w:rPr>
      </w:pPr>
      <w:r w:rsidRPr="00EB3511">
        <w:rPr>
          <w:rFonts w:asciiTheme="minorHAnsi" w:hAnsiTheme="minorHAnsi" w:cstheme="minorHAnsi"/>
          <w:b/>
          <w:i/>
        </w:rPr>
        <w:t xml:space="preserve">s c h v á l i l o  </w:t>
      </w:r>
      <w:r w:rsidRPr="00EB3511">
        <w:rPr>
          <w:rFonts w:asciiTheme="minorHAnsi" w:hAnsiTheme="minorHAnsi" w:cstheme="minorHAnsi"/>
        </w:rPr>
        <w:t xml:space="preserve"> usnesením č</w:t>
      </w:r>
      <w:r w:rsidR="00DC7B02">
        <w:rPr>
          <w:rFonts w:asciiTheme="minorHAnsi" w:hAnsiTheme="minorHAnsi" w:cstheme="minorHAnsi"/>
        </w:rPr>
        <w:t>.</w:t>
      </w:r>
      <w:r w:rsidR="005F7BAD">
        <w:rPr>
          <w:rFonts w:asciiTheme="minorHAnsi" w:hAnsiTheme="minorHAnsi" w:cstheme="minorHAnsi"/>
        </w:rPr>
        <w:t xml:space="preserve"> </w:t>
      </w:r>
      <w:r w:rsidR="009651A6">
        <w:rPr>
          <w:rFonts w:asciiTheme="minorHAnsi" w:hAnsiTheme="minorHAnsi" w:cstheme="minorHAnsi"/>
        </w:rPr>
        <w:t>7</w:t>
      </w:r>
      <w:r w:rsidR="005F7BAD">
        <w:rPr>
          <w:rFonts w:asciiTheme="minorHAnsi" w:hAnsiTheme="minorHAnsi" w:cstheme="minorHAnsi"/>
        </w:rPr>
        <w:t>/V/2026</w:t>
      </w:r>
    </w:p>
    <w:p w14:paraId="0EA66120" w14:textId="77777777" w:rsidR="004D6B7A" w:rsidRPr="00CE25AF" w:rsidRDefault="004D6B7A" w:rsidP="003F00EC">
      <w:pPr>
        <w:spacing w:after="0" w:line="360" w:lineRule="auto"/>
        <w:rPr>
          <w:rFonts w:cstheme="minorHAnsi"/>
          <w:szCs w:val="24"/>
        </w:rPr>
      </w:pPr>
      <w:r w:rsidRPr="00CE25AF">
        <w:rPr>
          <w:rFonts w:cstheme="minorHAnsi"/>
          <w:b/>
          <w:i/>
          <w:szCs w:val="24"/>
        </w:rPr>
        <w:t>k o n t r o l n í   z á v ě r</w:t>
      </w:r>
      <w:r w:rsidRPr="00CE25AF">
        <w:rPr>
          <w:rFonts w:cstheme="minorHAnsi"/>
          <w:szCs w:val="24"/>
        </w:rPr>
        <w:t xml:space="preserve">   v tomto znění:</w:t>
      </w:r>
    </w:p>
    <w:p w14:paraId="1FE8C099" w14:textId="77777777" w:rsidR="004D6B7A" w:rsidRDefault="004D6B7A" w:rsidP="003F00EC">
      <w:pPr>
        <w:spacing w:after="0"/>
      </w:pPr>
    </w:p>
    <w:p w14:paraId="3F317B5C" w14:textId="77777777" w:rsidR="009B4397" w:rsidRDefault="009B4397" w:rsidP="003F00EC">
      <w:pPr>
        <w:spacing w:after="0"/>
      </w:pPr>
    </w:p>
    <w:p w14:paraId="685640BA" w14:textId="237A9E66" w:rsidR="009B4397" w:rsidRDefault="00813DE3" w:rsidP="003F00EC">
      <w:pPr>
        <w:spacing w:after="0"/>
        <w:jc w:val="left"/>
      </w:pPr>
      <w:r>
        <w:br w:type="page"/>
      </w:r>
    </w:p>
    <w:p w14:paraId="3427980B" w14:textId="77777777" w:rsidR="0087193A" w:rsidRPr="0061032F" w:rsidRDefault="0087193A" w:rsidP="003F00EC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61032F">
        <w:rPr>
          <w:rFonts w:ascii="Calibri" w:hAnsi="Calibri" w:cs="Calibri"/>
          <w:b/>
          <w:bCs/>
          <w:sz w:val="32"/>
          <w:szCs w:val="32"/>
        </w:rPr>
        <w:lastRenderedPageBreak/>
        <w:t>Čistá mobilita</w:t>
      </w:r>
    </w:p>
    <w:tbl>
      <w:tblPr>
        <w:tblStyle w:val="CVtable1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7657"/>
      </w:tblGrid>
      <w:tr w:rsidR="005A1AC0" w:rsidRPr="001D4932" w14:paraId="4E470AAB" w14:textId="77777777" w:rsidTr="005A1AC0">
        <w:trPr>
          <w:trHeight w:val="1134"/>
        </w:trPr>
        <w:tc>
          <w:tcPr>
            <w:tcW w:w="782" w:type="pct"/>
            <w:vAlign w:val="center"/>
          </w:tcPr>
          <w:p w14:paraId="47EA42ED" w14:textId="77777777" w:rsidR="005A1AC0" w:rsidRPr="001D4932" w:rsidRDefault="005A1AC0" w:rsidP="003F00EC">
            <w:pPr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65B76C3D" wp14:editId="48C047C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8255</wp:posOffset>
                      </wp:positionV>
                      <wp:extent cx="685800" cy="685800"/>
                      <wp:effectExtent l="0" t="0" r="19050" b="19050"/>
                      <wp:wrapNone/>
                      <wp:docPr id="407391849" name="Ová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CE01DE" w14:textId="77777777" w:rsidR="005A1AC0" w:rsidRPr="006021D8" w:rsidRDefault="005A1AC0" w:rsidP="005A1AC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021D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</w:rPr>
                                    <w:t>24.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B76C3D" id="Ovál 6" o:spid="_x0000_s1026" style="position:absolute;left:0;text-align:left;margin-left:4.45pt;margin-top:.65pt;width:54pt;height:54pt;z-index:251663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" fillcolor="#e00" strokecolor="black [3213]" strokeweight=".5pt">
                      <v:stroke joinstyle="miter"/>
                      <v:textbox>
                        <w:txbxContent>
                          <w:p w14:paraId="1CCE01DE" w14:textId="77777777" w:rsidR="005A1AC0" w:rsidRPr="006021D8" w:rsidRDefault="005A1AC0" w:rsidP="005A1AC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021D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24.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218" w:type="pct"/>
            <w:vAlign w:val="center"/>
          </w:tcPr>
          <w:p w14:paraId="4FF39279" w14:textId="44AF5786" w:rsidR="005A1AC0" w:rsidRPr="001D4932" w:rsidRDefault="005A1AC0" w:rsidP="003F00EC">
            <w:pPr>
              <w:rPr>
                <w:rFonts w:cs="Calibri"/>
                <w:szCs w:val="24"/>
              </w:rPr>
            </w:pPr>
            <w:r w:rsidRPr="001D4932">
              <w:rPr>
                <w:rFonts w:cs="Calibri"/>
                <w:szCs w:val="24"/>
              </w:rPr>
              <w:t xml:space="preserve">místo v Evropě </w:t>
            </w:r>
            <w:r w:rsidR="00F149FF">
              <w:rPr>
                <w:rFonts w:cs="Calibri"/>
                <w:szCs w:val="24"/>
              </w:rPr>
              <w:t>představuje</w:t>
            </w:r>
            <w:r w:rsidRPr="001D4932">
              <w:rPr>
                <w:rFonts w:cs="Calibri"/>
                <w:szCs w:val="24"/>
              </w:rPr>
              <w:t xml:space="preserve"> 54 </w:t>
            </w:r>
            <w:r w:rsidR="00F546E2">
              <w:rPr>
                <w:rFonts w:cs="Calibri"/>
                <w:szCs w:val="24"/>
              </w:rPr>
              <w:t>864</w:t>
            </w:r>
            <w:r w:rsidRPr="001D4932">
              <w:rPr>
                <w:rFonts w:cs="Calibri"/>
                <w:szCs w:val="24"/>
              </w:rPr>
              <w:t xml:space="preserve"> bateriových elektromobilů do 3,5 t</w:t>
            </w:r>
            <w:r w:rsidR="00B53FBE">
              <w:rPr>
                <w:rFonts w:cs="Calibri"/>
                <w:szCs w:val="24"/>
              </w:rPr>
              <w:t>uny</w:t>
            </w:r>
            <w:r w:rsidRPr="001D4932">
              <w:rPr>
                <w:rFonts w:cs="Calibri"/>
                <w:szCs w:val="24"/>
              </w:rPr>
              <w:t xml:space="preserve"> tvořících 1,2 % vozového parku v</w:t>
            </w:r>
            <w:r w:rsidR="005B27B7">
              <w:rPr>
                <w:rFonts w:cs="Calibri"/>
                <w:szCs w:val="24"/>
              </w:rPr>
              <w:t> </w:t>
            </w:r>
            <w:r w:rsidRPr="001D4932">
              <w:rPr>
                <w:rFonts w:cs="Calibri"/>
                <w:szCs w:val="24"/>
              </w:rPr>
              <w:t>ČR</w:t>
            </w:r>
            <w:r w:rsidR="005B27B7">
              <w:rPr>
                <w:rFonts w:cs="Calibri"/>
                <w:szCs w:val="24"/>
              </w:rPr>
              <w:t xml:space="preserve"> ke dni 30. září 2025</w:t>
            </w:r>
            <w:r>
              <w:rPr>
                <w:rFonts w:cs="Calibri"/>
                <w:szCs w:val="24"/>
              </w:rPr>
              <w:t>.</w:t>
            </w:r>
            <w:r w:rsidRPr="001D4932">
              <w:rPr>
                <w:rFonts w:cs="Calibri"/>
                <w:szCs w:val="24"/>
              </w:rPr>
              <w:t xml:space="preserve"> </w:t>
            </w:r>
          </w:p>
        </w:tc>
      </w:tr>
      <w:tr w:rsidR="005A1AC0" w:rsidRPr="001D4932" w14:paraId="6FB15F09" w14:textId="77777777" w:rsidTr="005A1AC0">
        <w:trPr>
          <w:trHeight w:val="1134"/>
        </w:trPr>
        <w:tc>
          <w:tcPr>
            <w:tcW w:w="782" w:type="pct"/>
            <w:vAlign w:val="center"/>
          </w:tcPr>
          <w:p w14:paraId="167117D8" w14:textId="77777777" w:rsidR="005A1AC0" w:rsidRPr="001D4932" w:rsidRDefault="005A1AC0" w:rsidP="003F00EC">
            <w:pPr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9" behindDoc="0" locked="0" layoutInCell="1" allowOverlap="1" wp14:anchorId="138ECBE1" wp14:editId="683032C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10795</wp:posOffset>
                      </wp:positionV>
                      <wp:extent cx="685800" cy="685800"/>
                      <wp:effectExtent l="0" t="0" r="19050" b="19050"/>
                      <wp:wrapNone/>
                      <wp:docPr id="1737796440" name="Ová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E000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862D7C" w14:textId="77777777" w:rsidR="005A1AC0" w:rsidRPr="000174A1" w:rsidRDefault="005A1AC0" w:rsidP="005A1AC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0174A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8ECBE1" id="_x0000_s1027" style="position:absolute;left:0;text-align:left;margin-left:4.55pt;margin-top:.85pt;width:54pt;height:54pt;z-index:251662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" fillcolor="#e00" strokecolor="black [3213]" strokeweight=".5pt">
                      <v:stroke joinstyle="miter"/>
                      <v:textbox>
                        <w:txbxContent>
                          <w:p w14:paraId="42862D7C" w14:textId="77777777" w:rsidR="005A1AC0" w:rsidRPr="000174A1" w:rsidRDefault="005A1AC0" w:rsidP="005A1AC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174A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218" w:type="pct"/>
            <w:vAlign w:val="center"/>
          </w:tcPr>
          <w:p w14:paraId="0BAC6528" w14:textId="73E43231" w:rsidR="005A1AC0" w:rsidRPr="001D4932" w:rsidRDefault="003A209F" w:rsidP="003F00EC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P</w:t>
            </w:r>
            <w:r w:rsidR="005A1AC0" w:rsidRPr="001D4932">
              <w:rPr>
                <w:rFonts w:cs="Calibri"/>
                <w:szCs w:val="24"/>
              </w:rPr>
              <w:t>očet veřejně přístupných dobíjecích stanic vybudovaných s</w:t>
            </w:r>
            <w:r w:rsidR="00752786">
              <w:rPr>
                <w:rFonts w:cs="Calibri"/>
                <w:szCs w:val="24"/>
              </w:rPr>
              <w:t xml:space="preserve"> </w:t>
            </w:r>
            <w:r w:rsidR="005A1AC0" w:rsidRPr="001D4932">
              <w:rPr>
                <w:rFonts w:cs="Calibri"/>
                <w:szCs w:val="24"/>
              </w:rPr>
              <w:t xml:space="preserve">podporou z operačního programu </w:t>
            </w:r>
            <w:r w:rsidR="005A1AC0" w:rsidRPr="004733C4">
              <w:rPr>
                <w:rFonts w:cs="Calibri"/>
                <w:i/>
                <w:iCs/>
                <w:szCs w:val="24"/>
              </w:rPr>
              <w:t xml:space="preserve">Doprava </w:t>
            </w:r>
            <w:r w:rsidR="00225B62" w:rsidRPr="004733C4">
              <w:rPr>
                <w:rFonts w:cs="Calibri"/>
                <w:i/>
                <w:iCs/>
                <w:szCs w:val="24"/>
              </w:rPr>
              <w:t>2021–2027</w:t>
            </w:r>
            <w:r w:rsidR="005A1AC0" w:rsidRPr="001D4932">
              <w:rPr>
                <w:rFonts w:cs="Calibri"/>
                <w:szCs w:val="24"/>
              </w:rPr>
              <w:t xml:space="preserve"> v době ukončení kontroly NKÚ</w:t>
            </w:r>
            <w:r w:rsidR="005A1AC0">
              <w:rPr>
                <w:rFonts w:cs="Calibri"/>
                <w:szCs w:val="24"/>
              </w:rPr>
              <w:t>.</w:t>
            </w:r>
            <w:r w:rsidR="005A1AC0" w:rsidRPr="001D4932">
              <w:rPr>
                <w:rFonts w:cs="Calibri"/>
                <w:szCs w:val="24"/>
              </w:rPr>
              <w:t xml:space="preserve"> </w:t>
            </w:r>
          </w:p>
        </w:tc>
      </w:tr>
      <w:tr w:rsidR="005A1AC0" w:rsidRPr="001D4932" w14:paraId="4F35DBAB" w14:textId="77777777" w:rsidTr="005A1AC0">
        <w:trPr>
          <w:trHeight w:val="1134"/>
        </w:trPr>
        <w:tc>
          <w:tcPr>
            <w:tcW w:w="782" w:type="pct"/>
            <w:vAlign w:val="center"/>
          </w:tcPr>
          <w:p w14:paraId="0297BC42" w14:textId="77777777" w:rsidR="005A1AC0" w:rsidRPr="001D4932" w:rsidRDefault="005A1AC0" w:rsidP="003F00EC">
            <w:pPr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1C1802E9" wp14:editId="6034749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13335</wp:posOffset>
                      </wp:positionV>
                      <wp:extent cx="685800" cy="685800"/>
                      <wp:effectExtent l="0" t="0" r="19050" b="19050"/>
                      <wp:wrapNone/>
                      <wp:docPr id="1429759273" name="Ová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A29F95" w14:textId="357C8E4C" w:rsidR="005A1AC0" w:rsidRPr="000174A1" w:rsidRDefault="009B40A7" w:rsidP="005A1AC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802E9" id="_x0000_s1028" style="position:absolute;left:0;text-align:left;margin-left:4.35pt;margin-top:1.05pt;width:54pt;height:54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" fillcolor="#ffc000" strokecolor="black [3213]" strokeweight=".5pt">
                      <v:stroke joinstyle="miter"/>
                      <v:textbox>
                        <w:txbxContent>
                          <w:p w14:paraId="7DA29F95" w14:textId="357C8E4C" w:rsidR="005A1AC0" w:rsidRPr="000174A1" w:rsidRDefault="009B40A7" w:rsidP="005A1AC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218" w:type="pct"/>
            <w:vAlign w:val="center"/>
          </w:tcPr>
          <w:p w14:paraId="1DD9FFC5" w14:textId="069EAC2F" w:rsidR="005A1AC0" w:rsidRPr="001D4932" w:rsidRDefault="009F1368" w:rsidP="003F00EC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 xml:space="preserve">Počet </w:t>
            </w:r>
            <w:r w:rsidR="009B40A7">
              <w:rPr>
                <w:rFonts w:cs="Calibri"/>
                <w:szCs w:val="24"/>
              </w:rPr>
              <w:t>cíl</w:t>
            </w:r>
            <w:r>
              <w:rPr>
                <w:rFonts w:cs="Calibri"/>
                <w:szCs w:val="24"/>
              </w:rPr>
              <w:t>ů</w:t>
            </w:r>
            <w:r w:rsidR="009B40A7">
              <w:rPr>
                <w:rFonts w:cs="Calibri"/>
                <w:szCs w:val="24"/>
              </w:rPr>
              <w:t xml:space="preserve"> nařízení AFIR</w:t>
            </w:r>
            <w:r w:rsidR="009B40A7">
              <w:rPr>
                <w:rStyle w:val="Znakapoznpodarou"/>
                <w:rFonts w:cs="Calibri"/>
                <w:szCs w:val="24"/>
              </w:rPr>
              <w:footnoteReference w:id="2"/>
            </w:r>
            <w:r w:rsidR="009B40A7">
              <w:rPr>
                <w:rFonts w:cs="Calibri"/>
                <w:szCs w:val="24"/>
              </w:rPr>
              <w:t xml:space="preserve"> v oblasti pokrytí dobíjecí infrastrukturou</w:t>
            </w:r>
            <w:r w:rsidR="00DA39DA">
              <w:rPr>
                <w:rFonts w:cs="Calibri"/>
                <w:szCs w:val="24"/>
              </w:rPr>
              <w:t>, které</w:t>
            </w:r>
            <w:r w:rsidR="009B40A7">
              <w:rPr>
                <w:rFonts w:cs="Calibri"/>
                <w:szCs w:val="24"/>
              </w:rPr>
              <w:t xml:space="preserve"> nejsou plněny</w:t>
            </w:r>
            <w:r>
              <w:rPr>
                <w:rFonts w:cs="Calibri"/>
                <w:szCs w:val="24"/>
              </w:rPr>
              <w:t>.</w:t>
            </w:r>
          </w:p>
        </w:tc>
      </w:tr>
      <w:tr w:rsidR="005A1AC0" w:rsidRPr="001D4932" w14:paraId="64912BD5" w14:textId="77777777" w:rsidTr="005A1AC0">
        <w:trPr>
          <w:trHeight w:val="1134"/>
        </w:trPr>
        <w:tc>
          <w:tcPr>
            <w:tcW w:w="782" w:type="pct"/>
            <w:vAlign w:val="center"/>
          </w:tcPr>
          <w:p w14:paraId="60390450" w14:textId="77777777" w:rsidR="005A1AC0" w:rsidRPr="001D4932" w:rsidRDefault="005A1AC0" w:rsidP="003F00EC">
            <w:pPr>
              <w:jc w:val="center"/>
              <w:rPr>
                <w:rFonts w:cs="Calibri"/>
                <w:b/>
                <w:bCs/>
                <w:szCs w:val="24"/>
              </w:rPr>
            </w:pPr>
            <w:r>
              <w:rPr>
                <w:rFonts w:cs="Calibri"/>
                <w:b/>
                <w:bCs/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5769BDCA" wp14:editId="0EA2CEAB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6985</wp:posOffset>
                      </wp:positionV>
                      <wp:extent cx="692785" cy="692785"/>
                      <wp:effectExtent l="0" t="0" r="12065" b="12065"/>
                      <wp:wrapNone/>
                      <wp:docPr id="273311212" name="Ová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785" cy="692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BE3D8C" w14:textId="77777777" w:rsidR="005A1AC0" w:rsidRPr="000174A1" w:rsidRDefault="005A1AC0" w:rsidP="005A1AC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0174A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0174A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69BDCA" id="_x0000_s1029" style="position:absolute;left:0;text-align:left;margin-left:4.05pt;margin-top:.55pt;width:54.55pt;height:54.5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" fillcolor="#00b050" strokecolor="black [3213]" strokeweight=".5pt">
                      <v:stroke joinstyle="miter"/>
                      <v:textbox>
                        <w:txbxContent>
                          <w:p w14:paraId="08BE3D8C" w14:textId="77777777" w:rsidR="005A1AC0" w:rsidRPr="000174A1" w:rsidRDefault="005A1AC0" w:rsidP="005A1AC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174A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41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0174A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%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218" w:type="pct"/>
            <w:vAlign w:val="center"/>
          </w:tcPr>
          <w:p w14:paraId="46B68ECD" w14:textId="676A5516" w:rsidR="005A1AC0" w:rsidRPr="001D4932" w:rsidRDefault="003A209F" w:rsidP="003F00EC">
            <w:p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Z</w:t>
            </w:r>
            <w:r w:rsidR="005A1AC0" w:rsidRPr="001D4932">
              <w:rPr>
                <w:rFonts w:cs="Calibri"/>
                <w:szCs w:val="24"/>
              </w:rPr>
              <w:t xml:space="preserve"> 3 258 veřejně přístupných dobíjecích stanic jich 1 318 bylo vybudováno s podporou z operačního programu </w:t>
            </w:r>
            <w:r w:rsidR="005A1AC0" w:rsidRPr="004733C4">
              <w:rPr>
                <w:rFonts w:cs="Calibri"/>
                <w:i/>
                <w:iCs/>
                <w:szCs w:val="24"/>
              </w:rPr>
              <w:t>Doprava 2014</w:t>
            </w:r>
            <w:r w:rsidR="00895470" w:rsidRPr="004733C4">
              <w:rPr>
                <w:rFonts w:cs="Calibri"/>
                <w:i/>
                <w:iCs/>
                <w:szCs w:val="24"/>
              </w:rPr>
              <w:t>–</w:t>
            </w:r>
            <w:r w:rsidR="005A1AC0" w:rsidRPr="004733C4">
              <w:rPr>
                <w:rFonts w:cs="Calibri"/>
                <w:i/>
                <w:iCs/>
                <w:szCs w:val="24"/>
              </w:rPr>
              <w:t>2020</w:t>
            </w:r>
            <w:r w:rsidR="005A1AC0">
              <w:rPr>
                <w:rFonts w:cs="Calibri"/>
                <w:szCs w:val="24"/>
              </w:rPr>
              <w:t>.</w:t>
            </w:r>
          </w:p>
        </w:tc>
      </w:tr>
      <w:tr w:rsidR="005A1AC0" w:rsidRPr="001D4932" w14:paraId="312FB0C0" w14:textId="77777777" w:rsidTr="005A1AC0">
        <w:tc>
          <w:tcPr>
            <w:tcW w:w="782" w:type="pct"/>
          </w:tcPr>
          <w:p w14:paraId="01040DAD" w14:textId="77777777" w:rsidR="005A1AC0" w:rsidRPr="001D4932" w:rsidRDefault="005A1AC0" w:rsidP="003F00EC">
            <w:pPr>
              <w:rPr>
                <w:rFonts w:cs="Calibri"/>
                <w:b/>
                <w:bCs/>
                <w:color w:val="00B050"/>
                <w:szCs w:val="24"/>
              </w:rPr>
            </w:pPr>
          </w:p>
        </w:tc>
        <w:tc>
          <w:tcPr>
            <w:tcW w:w="4218" w:type="pct"/>
          </w:tcPr>
          <w:p w14:paraId="138D5CD9" w14:textId="77777777" w:rsidR="005A1AC0" w:rsidRPr="001D4932" w:rsidRDefault="005A1AC0" w:rsidP="003F00EC">
            <w:pPr>
              <w:rPr>
                <w:rFonts w:cs="Calibri"/>
                <w:szCs w:val="24"/>
              </w:rPr>
            </w:pPr>
          </w:p>
        </w:tc>
      </w:tr>
      <w:tr w:rsidR="005A1AC0" w:rsidRPr="001D4932" w14:paraId="127F4FAC" w14:textId="77777777" w:rsidTr="005A1AC0">
        <w:trPr>
          <w:trHeight w:val="70"/>
        </w:trPr>
        <w:tc>
          <w:tcPr>
            <w:tcW w:w="5000" w:type="pct"/>
            <w:gridSpan w:val="2"/>
          </w:tcPr>
          <w:p w14:paraId="0B95F25B" w14:textId="4C94CC9E" w:rsidR="005A1AC0" w:rsidRPr="001D4932" w:rsidRDefault="005A1AC0" w:rsidP="003F00EC">
            <w:pPr>
              <w:rPr>
                <w:rFonts w:cs="Calibri"/>
                <w:szCs w:val="24"/>
              </w:rPr>
            </w:pPr>
            <w:r w:rsidRPr="001D4932">
              <w:rPr>
                <w:rFonts w:cs="Calibri"/>
                <w:szCs w:val="24"/>
              </w:rPr>
              <w:t>V ČR nejsou dokončena</w:t>
            </w:r>
            <w:r>
              <w:rPr>
                <w:rFonts w:cs="Calibri"/>
                <w:szCs w:val="24"/>
              </w:rPr>
              <w:t xml:space="preserve"> nová</w:t>
            </w:r>
            <w:r w:rsidRPr="001D4932">
              <w:rPr>
                <w:rFonts w:cs="Calibri"/>
                <w:szCs w:val="24"/>
              </w:rPr>
              <w:t xml:space="preserve"> pravidla pro bezpečné dobíjení elektromobilů a pro parkování aut na plynná paliva</w:t>
            </w:r>
            <w:r>
              <w:rPr>
                <w:rFonts w:cs="Calibri"/>
                <w:szCs w:val="24"/>
              </w:rPr>
              <w:t xml:space="preserve"> v hromadných garážích.</w:t>
            </w:r>
          </w:p>
        </w:tc>
      </w:tr>
    </w:tbl>
    <w:p w14:paraId="39203F51" w14:textId="77777777" w:rsidR="005A1AC0" w:rsidRDefault="005A1AC0" w:rsidP="003F00EC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A1AC0" w:rsidRPr="009926E1" w14:paraId="375E1AF0" w14:textId="77777777" w:rsidTr="00B3497B">
        <w:tc>
          <w:tcPr>
            <w:tcW w:w="4542" w:type="dxa"/>
          </w:tcPr>
          <w:p w14:paraId="5436CF3C" w14:textId="754F1F08" w:rsidR="005A1AC0" w:rsidRPr="009926E1" w:rsidRDefault="005A1AC0" w:rsidP="003F00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9926E1">
              <w:rPr>
                <w:rFonts w:cs="Calibri"/>
                <w:b/>
                <w:bCs/>
                <w:sz w:val="22"/>
                <w:szCs w:val="22"/>
              </w:rPr>
              <w:t>Počet elektromobilů na 100 tis. obyvatel</w:t>
            </w:r>
          </w:p>
        </w:tc>
        <w:tc>
          <w:tcPr>
            <w:tcW w:w="4520" w:type="dxa"/>
          </w:tcPr>
          <w:p w14:paraId="55B90E15" w14:textId="77777777" w:rsidR="005A1AC0" w:rsidRPr="009926E1" w:rsidRDefault="005A1AC0" w:rsidP="003F00EC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9926E1">
              <w:rPr>
                <w:rFonts w:cs="Calibri"/>
                <w:b/>
                <w:bCs/>
                <w:sz w:val="22"/>
                <w:szCs w:val="22"/>
              </w:rPr>
              <w:t>Počet dobíjecích stanic na 100 tis. obyvatel</w:t>
            </w:r>
          </w:p>
        </w:tc>
      </w:tr>
    </w:tbl>
    <w:p w14:paraId="303C44D3" w14:textId="77777777" w:rsidR="005A1AC0" w:rsidRDefault="005A1AC0" w:rsidP="003F00EC">
      <w:pPr>
        <w:spacing w:after="0"/>
        <w:rPr>
          <w:rFonts w:ascii="Calibri" w:hAnsi="Calibri" w:cs="Calibri"/>
          <w:sz w:val="20"/>
          <w:szCs w:val="20"/>
        </w:rPr>
        <w:sectPr w:rsidR="005A1AC0" w:rsidSect="004733C4"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329321D" w14:textId="77777777" w:rsidR="005A1AC0" w:rsidRDefault="005A1AC0" w:rsidP="003F00EC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16DF3942" wp14:editId="6CABE399">
            <wp:extent cx="2910449" cy="3132455"/>
            <wp:effectExtent l="0" t="0" r="0" b="5080"/>
            <wp:docPr id="2108219050" name="Obrázek 8" descr="Obsah obrázku text, map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19050" name="Obrázek 8" descr="Obsah obrázku text, mapa&#10;&#10;Obsah generovaný pomocí AI může být nesprávný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449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445BF" w14:textId="77777777" w:rsidR="005A1AC0" w:rsidRDefault="005A1AC0" w:rsidP="003F00EC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1A659E27" wp14:editId="3E84187A">
            <wp:extent cx="2887200" cy="3081600"/>
            <wp:effectExtent l="0" t="0" r="8890" b="5080"/>
            <wp:docPr id="220474904" name="Obrázek 9" descr="Obsah obrázku text, map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74904" name="Obrázek 9" descr="Obsah obrázku text, mapa&#10;&#10;Obsah generovaný pomocí AI může být nesprávný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30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2CC7">
        <w:rPr>
          <w:rFonts w:ascii="Calibri" w:hAnsi="Calibri" w:cs="Calibri"/>
          <w:sz w:val="20"/>
          <w:szCs w:val="20"/>
        </w:rPr>
        <w:t xml:space="preserve"> </w:t>
      </w:r>
    </w:p>
    <w:p w14:paraId="3DA4879B" w14:textId="77777777" w:rsidR="005A1AC0" w:rsidRDefault="005A1AC0" w:rsidP="003F00EC">
      <w:pPr>
        <w:spacing w:after="0"/>
        <w:rPr>
          <w:rFonts w:ascii="Calibri" w:hAnsi="Calibri" w:cs="Calibri"/>
          <w:sz w:val="20"/>
          <w:szCs w:val="20"/>
        </w:rPr>
        <w:sectPr w:rsidR="005A1AC0" w:rsidSect="005A1AC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073E8CC" w14:textId="0E1D8CCA" w:rsidR="005C59DB" w:rsidRDefault="005C59DB" w:rsidP="003F00EC">
      <w:pPr>
        <w:spacing w:after="0"/>
        <w:ind w:left="567" w:hanging="56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</w:t>
      </w:r>
      <w:r w:rsidR="005A1AC0" w:rsidRPr="004733C4">
        <w:rPr>
          <w:rFonts w:ascii="Calibri" w:hAnsi="Calibri" w:cs="Calibri"/>
          <w:b/>
          <w:bCs/>
          <w:sz w:val="20"/>
          <w:szCs w:val="20"/>
        </w:rPr>
        <w:t>ozn</w:t>
      </w:r>
      <w:r>
        <w:rPr>
          <w:rFonts w:ascii="Calibri" w:hAnsi="Calibri" w:cs="Calibri"/>
          <w:b/>
          <w:bCs/>
          <w:sz w:val="20"/>
          <w:szCs w:val="20"/>
        </w:rPr>
        <w:t>.</w:t>
      </w:r>
      <w:r w:rsidR="005A1AC0" w:rsidRPr="004733C4">
        <w:rPr>
          <w:rFonts w:ascii="Calibri" w:hAnsi="Calibri" w:cs="Calibri"/>
          <w:b/>
          <w:bCs/>
          <w:sz w:val="20"/>
          <w:szCs w:val="20"/>
        </w:rPr>
        <w:t>:</w:t>
      </w:r>
      <w:r w:rsidR="005A1AC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="005A1AC0">
        <w:rPr>
          <w:rFonts w:ascii="Calibri" w:hAnsi="Calibri" w:cs="Calibri"/>
          <w:sz w:val="20"/>
          <w:szCs w:val="20"/>
        </w:rPr>
        <w:t>V příloze č. 1 uvádíme základní pojmy pro oblast čisté mobility.</w:t>
      </w:r>
      <w:r w:rsidR="005A1AC0" w:rsidRPr="00952CC7">
        <w:rPr>
          <w:rFonts w:ascii="Calibri" w:hAnsi="Calibri" w:cs="Calibri"/>
          <w:sz w:val="20"/>
          <w:szCs w:val="20"/>
        </w:rPr>
        <w:t xml:space="preserve"> </w:t>
      </w:r>
      <w:r w:rsidR="007D6105">
        <w:rPr>
          <w:rFonts w:ascii="Calibri" w:hAnsi="Calibri" w:cs="Calibri"/>
          <w:sz w:val="20"/>
          <w:szCs w:val="20"/>
        </w:rPr>
        <w:t>Mezinárodní</w:t>
      </w:r>
      <w:r w:rsidR="005A1AC0" w:rsidRPr="00952CC7">
        <w:rPr>
          <w:rFonts w:ascii="Calibri" w:hAnsi="Calibri" w:cs="Calibri"/>
          <w:sz w:val="20"/>
          <w:szCs w:val="20"/>
        </w:rPr>
        <w:t xml:space="preserve"> srovnání je dostupné na </w:t>
      </w:r>
      <w:hyperlink r:id="rId17" w:history="1">
        <w:r w:rsidR="007D6105">
          <w:rPr>
            <w:rStyle w:val="Hypertextovodkaz"/>
            <w:rFonts w:ascii="Calibri" w:hAnsi="Calibri" w:cs="Calibri"/>
            <w:sz w:val="20"/>
            <w:szCs w:val="20"/>
          </w:rPr>
          <w:t>Mezinárodní srovnání</w:t>
        </w:r>
      </w:hyperlink>
      <w:r w:rsidR="005A1AC0" w:rsidRPr="00952CC7">
        <w:rPr>
          <w:rFonts w:ascii="Calibri" w:hAnsi="Calibri" w:cs="Calibri"/>
          <w:sz w:val="20"/>
          <w:szCs w:val="20"/>
        </w:rPr>
        <w:t xml:space="preserve"> (</w:t>
      </w:r>
      <w:hyperlink r:id="rId18" w:history="1">
        <w:r w:rsidR="001028C2" w:rsidRPr="001028C2">
          <w:rPr>
            <w:rStyle w:val="Hypertextovodkaz"/>
            <w:sz w:val="20"/>
            <w:szCs w:val="18"/>
          </w:rPr>
          <w:t>https://nku.gov.cz/scripts/detail.php?id=15555</w:t>
        </w:r>
      </w:hyperlink>
      <w:r w:rsidR="005A1AC0" w:rsidRPr="00952CC7">
        <w:rPr>
          <w:rFonts w:ascii="Calibri" w:hAnsi="Calibri" w:cs="Calibri"/>
          <w:sz w:val="20"/>
          <w:szCs w:val="20"/>
        </w:rPr>
        <w:t>)</w:t>
      </w:r>
      <w:r w:rsidR="003650AF">
        <w:rPr>
          <w:rFonts w:ascii="Calibri" w:hAnsi="Calibri" w:cs="Calibri"/>
          <w:sz w:val="20"/>
          <w:szCs w:val="20"/>
        </w:rPr>
        <w:t xml:space="preserve"> s daty k 30. září 2025</w:t>
      </w:r>
      <w:r>
        <w:rPr>
          <w:rFonts w:ascii="Calibri" w:hAnsi="Calibri" w:cs="Calibri"/>
          <w:sz w:val="20"/>
          <w:szCs w:val="20"/>
        </w:rPr>
        <w:t>.</w:t>
      </w:r>
      <w:r w:rsidR="005A1AC0" w:rsidRPr="00153A12">
        <w:rPr>
          <w:rFonts w:ascii="Calibri" w:hAnsi="Calibri" w:cs="Calibri"/>
          <w:sz w:val="20"/>
          <w:szCs w:val="20"/>
        </w:rPr>
        <w:t xml:space="preserve"> </w:t>
      </w:r>
    </w:p>
    <w:p w14:paraId="6BF30944" w14:textId="4BDB2BFF" w:rsidR="005A1AC0" w:rsidRDefault="005C59DB" w:rsidP="004733C4">
      <w:pPr>
        <w:spacing w:after="0"/>
        <w:ind w:left="567" w:hanging="567"/>
        <w:rPr>
          <w:rFonts w:ascii="Calibri" w:hAnsi="Calibri" w:cs="Calibri"/>
          <w:sz w:val="20"/>
          <w:szCs w:val="20"/>
        </w:rPr>
      </w:pPr>
      <w:r w:rsidRPr="004733C4">
        <w:rPr>
          <w:rFonts w:ascii="Calibri" w:hAnsi="Calibri" w:cs="Calibri"/>
          <w:b/>
          <w:bCs/>
          <w:sz w:val="20"/>
          <w:szCs w:val="20"/>
        </w:rPr>
        <w:t>Z</w:t>
      </w:r>
      <w:r w:rsidR="005A1AC0" w:rsidRPr="004733C4">
        <w:rPr>
          <w:rFonts w:ascii="Calibri" w:hAnsi="Calibri" w:cs="Calibri"/>
          <w:b/>
          <w:bCs/>
          <w:sz w:val="20"/>
          <w:szCs w:val="20"/>
        </w:rPr>
        <w:t>droj:</w:t>
      </w:r>
      <w:r w:rsidR="005A1AC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proofErr w:type="spellStart"/>
      <w:r w:rsidR="005A1AC0" w:rsidRPr="0017480C">
        <w:rPr>
          <w:rFonts w:ascii="Calibri" w:hAnsi="Calibri" w:cs="Calibri"/>
          <w:sz w:val="20"/>
          <w:szCs w:val="20"/>
        </w:rPr>
        <w:t>European</w:t>
      </w:r>
      <w:proofErr w:type="spellEnd"/>
      <w:r w:rsidR="005A1AC0" w:rsidRPr="0017480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A1AC0" w:rsidRPr="0017480C">
        <w:rPr>
          <w:rFonts w:ascii="Calibri" w:hAnsi="Calibri" w:cs="Calibri"/>
          <w:sz w:val="20"/>
          <w:szCs w:val="20"/>
        </w:rPr>
        <w:t>Alternative</w:t>
      </w:r>
      <w:proofErr w:type="spellEnd"/>
      <w:r w:rsidR="005A1AC0" w:rsidRPr="0017480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A1AC0" w:rsidRPr="0017480C">
        <w:rPr>
          <w:rFonts w:ascii="Calibri" w:hAnsi="Calibri" w:cs="Calibri"/>
          <w:sz w:val="20"/>
          <w:szCs w:val="20"/>
        </w:rPr>
        <w:t>Fuels</w:t>
      </w:r>
      <w:proofErr w:type="spellEnd"/>
      <w:r w:rsidR="005A1AC0" w:rsidRPr="0017480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A1AC0" w:rsidRPr="0017480C">
        <w:rPr>
          <w:rFonts w:ascii="Calibri" w:hAnsi="Calibri" w:cs="Calibri"/>
          <w:sz w:val="20"/>
          <w:szCs w:val="20"/>
        </w:rPr>
        <w:t>Observatory</w:t>
      </w:r>
      <w:proofErr w:type="spellEnd"/>
      <w:r w:rsidR="005A1AC0" w:rsidRPr="00436882">
        <w:rPr>
          <w:rFonts w:ascii="Calibri" w:hAnsi="Calibri" w:cs="Calibri"/>
          <w:sz w:val="20"/>
          <w:szCs w:val="20"/>
        </w:rPr>
        <w:t>, zřízen</w:t>
      </w:r>
      <w:r w:rsidR="005A1AC0">
        <w:rPr>
          <w:rFonts w:ascii="Calibri" w:hAnsi="Calibri" w:cs="Calibri"/>
          <w:sz w:val="20"/>
          <w:szCs w:val="20"/>
        </w:rPr>
        <w:t>a</w:t>
      </w:r>
      <w:r w:rsidR="005A1AC0" w:rsidRPr="00436882">
        <w:rPr>
          <w:rFonts w:ascii="Calibri" w:hAnsi="Calibri" w:cs="Calibri"/>
          <w:sz w:val="20"/>
          <w:szCs w:val="20"/>
        </w:rPr>
        <w:t xml:space="preserve"> Evropskou komisí pro sledování dat v</w:t>
      </w:r>
      <w:r w:rsidR="00B53FBE">
        <w:rPr>
          <w:rFonts w:ascii="Calibri" w:hAnsi="Calibri" w:cs="Calibri"/>
          <w:sz w:val="20"/>
          <w:szCs w:val="20"/>
        </w:rPr>
        <w:t xml:space="preserve"> </w:t>
      </w:r>
      <w:r w:rsidR="005A1AC0" w:rsidRPr="00436882">
        <w:rPr>
          <w:rFonts w:ascii="Calibri" w:hAnsi="Calibri" w:cs="Calibri"/>
          <w:sz w:val="20"/>
          <w:szCs w:val="20"/>
        </w:rPr>
        <w:t xml:space="preserve">oblasti alternativních paliv, data jsou dostupná online na </w:t>
      </w:r>
      <w:hyperlink r:id="rId19" w:history="1">
        <w:r w:rsidR="005A1AC0" w:rsidRPr="00436882">
          <w:rPr>
            <w:rStyle w:val="Hypertextovodkaz"/>
            <w:rFonts w:ascii="Calibri" w:hAnsi="Calibri" w:cs="Calibri"/>
            <w:sz w:val="20"/>
            <w:szCs w:val="20"/>
          </w:rPr>
          <w:t>https://alternative-fuels-observatory.ec.europa.eu/</w:t>
        </w:r>
      </w:hyperlink>
      <w:r w:rsidRPr="004733C4">
        <w:rPr>
          <w:rStyle w:val="Hypertextovodkaz"/>
          <w:rFonts w:ascii="Calibri" w:hAnsi="Calibri" w:cs="Calibri"/>
          <w:color w:val="auto"/>
          <w:sz w:val="20"/>
          <w:szCs w:val="20"/>
          <w:u w:val="none"/>
        </w:rPr>
        <w:t>.</w:t>
      </w:r>
    </w:p>
    <w:p w14:paraId="3CB197A9" w14:textId="77777777" w:rsidR="003650AF" w:rsidRPr="003650AF" w:rsidRDefault="003650AF" w:rsidP="004733C4">
      <w:pPr>
        <w:pStyle w:val="Nadpis2"/>
        <w:widowControl/>
        <w:numPr>
          <w:ilvl w:val="0"/>
          <w:numId w:val="0"/>
        </w:numPr>
        <w:rPr>
          <w:lang w:eastAsia="en-US"/>
        </w:rPr>
      </w:pPr>
    </w:p>
    <w:p w14:paraId="0A72E1F5" w14:textId="337FE014" w:rsidR="00DD195C" w:rsidRDefault="00A81C7D" w:rsidP="003F00EC">
      <w:pPr>
        <w:pStyle w:val="Nadpis1"/>
        <w:spacing w:before="0" w:after="0" w:line="254" w:lineRule="auto"/>
        <w:ind w:left="426"/>
        <w:rPr>
          <w:sz w:val="28"/>
          <w:szCs w:val="28"/>
        </w:rPr>
      </w:pPr>
      <w:bookmarkStart w:id="0" w:name="_Toc179807881"/>
      <w:r w:rsidRPr="00BF746A">
        <w:rPr>
          <w:sz w:val="28"/>
          <w:szCs w:val="28"/>
        </w:rPr>
        <w:t>I</w:t>
      </w:r>
      <w:r w:rsidR="00E376E8" w:rsidRPr="00BF746A">
        <w:rPr>
          <w:sz w:val="28"/>
          <w:szCs w:val="28"/>
        </w:rPr>
        <w:t>.</w:t>
      </w:r>
      <w:r w:rsidRPr="00BF746A">
        <w:rPr>
          <w:sz w:val="28"/>
          <w:szCs w:val="28"/>
        </w:rPr>
        <w:t xml:space="preserve"> </w:t>
      </w:r>
      <w:r w:rsidR="00C33626" w:rsidRPr="00BF746A">
        <w:rPr>
          <w:sz w:val="28"/>
          <w:szCs w:val="28"/>
        </w:rPr>
        <w:t>Shrnutí a vyhodnocení</w:t>
      </w:r>
      <w:bookmarkEnd w:id="0"/>
    </w:p>
    <w:p w14:paraId="464649D9" w14:textId="77777777" w:rsidR="00A85EDD" w:rsidRPr="00A85EDD" w:rsidRDefault="00A85EDD" w:rsidP="003F00EC">
      <w:pPr>
        <w:spacing w:after="0"/>
      </w:pPr>
    </w:p>
    <w:p w14:paraId="75ADFF37" w14:textId="7672A3ED" w:rsidR="003B3003" w:rsidRDefault="003D17B5" w:rsidP="003F00EC">
      <w:pPr>
        <w:pStyle w:val="Nadpis2"/>
        <w:widowControl/>
        <w:spacing w:before="0" w:line="254" w:lineRule="auto"/>
      </w:pPr>
      <w:r>
        <w:t xml:space="preserve">NKÚ provedl kontrolu poskytování a čerpání peněžních prostředků určených na podporu rozvoje čisté mobility. Kontrola byla zaměřena na podporu, kterou poskytovalo MPO z operačního programu </w:t>
      </w:r>
      <w:r w:rsidRPr="004733C4">
        <w:rPr>
          <w:i/>
          <w:iCs/>
        </w:rPr>
        <w:t>Podnikání a inovace pro konkurenceschopnost 2014</w:t>
      </w:r>
      <w:r w:rsidR="00895470">
        <w:rPr>
          <w:rFonts w:cstheme="minorHAnsi"/>
          <w:i/>
          <w:iCs/>
        </w:rPr>
        <w:t>–</w:t>
      </w:r>
      <w:r w:rsidRPr="004733C4">
        <w:rPr>
          <w:i/>
          <w:iCs/>
        </w:rPr>
        <w:t>2020</w:t>
      </w:r>
      <w:r>
        <w:t xml:space="preserve"> (dále také „OP PIK“) </w:t>
      </w:r>
      <w:r w:rsidR="00895470">
        <w:t xml:space="preserve">a </w:t>
      </w:r>
      <w:r w:rsidRPr="004733C4">
        <w:rPr>
          <w:i/>
          <w:iCs/>
        </w:rPr>
        <w:t>Národního plánu obnovy</w:t>
      </w:r>
      <w:r>
        <w:t xml:space="preserve"> (dále také „NPO“)</w:t>
      </w:r>
      <w:r w:rsidR="00895470">
        <w:t>,</w:t>
      </w:r>
      <w:r>
        <w:t xml:space="preserve"> a </w:t>
      </w:r>
      <w:r w:rsidR="00895470">
        <w:t xml:space="preserve">na </w:t>
      </w:r>
      <w:r>
        <w:t xml:space="preserve">podporu, kterou poskytovalo MD z operačního programu </w:t>
      </w:r>
      <w:r w:rsidRPr="004733C4">
        <w:rPr>
          <w:i/>
          <w:iCs/>
        </w:rPr>
        <w:t>Doprava 2014</w:t>
      </w:r>
      <w:r w:rsidR="00895470">
        <w:rPr>
          <w:rFonts w:cstheme="minorHAnsi"/>
          <w:i/>
          <w:iCs/>
        </w:rPr>
        <w:t>–</w:t>
      </w:r>
      <w:r w:rsidRPr="004733C4">
        <w:rPr>
          <w:i/>
          <w:iCs/>
        </w:rPr>
        <w:t>2020</w:t>
      </w:r>
      <w:r>
        <w:t xml:space="preserve"> a operačního programu </w:t>
      </w:r>
      <w:r w:rsidRPr="004733C4">
        <w:rPr>
          <w:i/>
          <w:iCs/>
        </w:rPr>
        <w:t>Doprava 2021</w:t>
      </w:r>
      <w:r w:rsidR="00895470" w:rsidRPr="00895470">
        <w:rPr>
          <w:rFonts w:cstheme="minorHAnsi"/>
          <w:i/>
          <w:iCs/>
        </w:rPr>
        <w:t>–</w:t>
      </w:r>
      <w:r w:rsidRPr="004733C4">
        <w:rPr>
          <w:i/>
          <w:iCs/>
        </w:rPr>
        <w:t>2027</w:t>
      </w:r>
      <w:r>
        <w:t xml:space="preserve">. Kontrole byla podrobena </w:t>
      </w:r>
      <w:r w:rsidR="00895470">
        <w:t xml:space="preserve">také </w:t>
      </w:r>
      <w:r>
        <w:t>činnost MPO jako koordinátora a</w:t>
      </w:r>
      <w:r w:rsidR="00895470">
        <w:t> </w:t>
      </w:r>
      <w:r>
        <w:t xml:space="preserve">gestora </w:t>
      </w:r>
      <w:r w:rsidRPr="004733C4">
        <w:rPr>
          <w:i/>
          <w:iCs/>
        </w:rPr>
        <w:t>Národního akčního plánu čisté mobility</w:t>
      </w:r>
      <w:r>
        <w:t xml:space="preserve"> (dále také „NAP CM“). Cílem kontroly bylo prověřit, zda peněžní prostředky poskytované M</w:t>
      </w:r>
      <w:r w:rsidR="003A209F">
        <w:t>D</w:t>
      </w:r>
      <w:r>
        <w:t xml:space="preserve"> a M</w:t>
      </w:r>
      <w:r w:rsidR="003A209F">
        <w:t>PO</w:t>
      </w:r>
      <w:r>
        <w:t xml:space="preserve"> na rozvoj čisté mobility byly vynakládány účelně, hospodárně a v souladu s právními předpisy</w:t>
      </w:r>
      <w:r w:rsidR="00666C4B">
        <w:t>.</w:t>
      </w:r>
    </w:p>
    <w:p w14:paraId="33464AF2" w14:textId="77777777" w:rsidR="00A85EDD" w:rsidRPr="00A85EDD" w:rsidRDefault="00A85EDD" w:rsidP="003F00EC">
      <w:pPr>
        <w:spacing w:after="0"/>
        <w:rPr>
          <w:lang w:eastAsia="cs-CZ"/>
        </w:rPr>
      </w:pPr>
    </w:p>
    <w:p w14:paraId="6FC5F0A7" w14:textId="6C8CE308" w:rsidR="00B61543" w:rsidRDefault="00846D4E" w:rsidP="003F00EC">
      <w:pPr>
        <w:pStyle w:val="Nadpis2"/>
        <w:widowControl/>
        <w:spacing w:before="0" w:line="254" w:lineRule="auto"/>
        <w:rPr>
          <w:b/>
          <w:bCs/>
        </w:rPr>
      </w:pPr>
      <w:bookmarkStart w:id="1" w:name="_Hlk220673067"/>
      <w:r>
        <w:rPr>
          <w:b/>
          <w:bCs/>
        </w:rPr>
        <w:t>Podpora, kterou poskytl</w:t>
      </w:r>
      <w:r w:rsidR="00895470">
        <w:rPr>
          <w:b/>
          <w:bCs/>
        </w:rPr>
        <w:t>y</w:t>
      </w:r>
      <w:r>
        <w:rPr>
          <w:b/>
          <w:bCs/>
        </w:rPr>
        <w:t xml:space="preserve"> MD a MPO </w:t>
      </w:r>
      <w:r w:rsidR="009E06FF" w:rsidRPr="009E06FF">
        <w:rPr>
          <w:b/>
          <w:bCs/>
        </w:rPr>
        <w:t>v kontrolovaném období</w:t>
      </w:r>
      <w:r>
        <w:rPr>
          <w:b/>
          <w:bCs/>
        </w:rPr>
        <w:t>, přispěla</w:t>
      </w:r>
      <w:r w:rsidR="009E06FF" w:rsidRPr="009E06FF">
        <w:rPr>
          <w:b/>
          <w:bCs/>
        </w:rPr>
        <w:t xml:space="preserve"> k rozvoji čisté mobility. Přesto některé stanovené cíle nebyly splněny. Část dálniční sítě směrem na hranice s Německem a Polskem není dostatečně pokryta veřejně dostupnou dobíjecí infrastrukturou. Není dokončena nová legislativa pro bezpečné dobíjení a parkování vozidel na alternativní paliva v hromadných garážích.</w:t>
      </w:r>
      <w:r w:rsidR="00F16793">
        <w:rPr>
          <w:b/>
          <w:bCs/>
        </w:rPr>
        <w:t xml:space="preserve"> Z operačního programu </w:t>
      </w:r>
      <w:r w:rsidR="00F16793" w:rsidRPr="004733C4">
        <w:rPr>
          <w:b/>
          <w:bCs/>
          <w:i/>
          <w:iCs/>
        </w:rPr>
        <w:t>Doprava 2021</w:t>
      </w:r>
      <w:r w:rsidR="00895470" w:rsidRPr="00C25976">
        <w:rPr>
          <w:rFonts w:cstheme="minorHAnsi"/>
          <w:b/>
          <w:bCs/>
          <w:i/>
          <w:iCs/>
        </w:rPr>
        <w:t>–</w:t>
      </w:r>
      <w:r w:rsidR="00F16793" w:rsidRPr="004733C4">
        <w:rPr>
          <w:b/>
          <w:bCs/>
          <w:i/>
          <w:iCs/>
        </w:rPr>
        <w:t>2027</w:t>
      </w:r>
      <w:r w:rsidR="00F16793">
        <w:rPr>
          <w:b/>
          <w:bCs/>
        </w:rPr>
        <w:t xml:space="preserve"> nebyla do doby ukončení kontroly vybudována žádná dobíjecí stanice.</w:t>
      </w:r>
      <w:r w:rsidR="009E06FF" w:rsidRPr="009E06FF">
        <w:rPr>
          <w:b/>
          <w:bCs/>
        </w:rPr>
        <w:t xml:space="preserve"> NKÚ vyhodnotil míru dosahování cílů podpory čisté mobility jako omezenou. Zjištěná nehospodárnost byla v průběhu kontroly odstraněna.</w:t>
      </w:r>
    </w:p>
    <w:p w14:paraId="10DA00C3" w14:textId="77777777" w:rsidR="00A85EDD" w:rsidRPr="00A85EDD" w:rsidRDefault="00A85EDD" w:rsidP="003F00EC">
      <w:pPr>
        <w:spacing w:after="0"/>
        <w:rPr>
          <w:lang w:eastAsia="cs-CZ"/>
        </w:rPr>
      </w:pPr>
    </w:p>
    <w:bookmarkEnd w:id="1"/>
    <w:p w14:paraId="25C5BA96" w14:textId="6BB0DEA9" w:rsidR="001F42D9" w:rsidRDefault="00666C4B" w:rsidP="003F00EC">
      <w:pPr>
        <w:pStyle w:val="Nadpis2"/>
        <w:widowControl/>
        <w:spacing w:before="0" w:line="254" w:lineRule="auto"/>
      </w:pPr>
      <w:r>
        <w:t xml:space="preserve">Výše uvedené celkové vyhodnocení vyplývá z následujících </w:t>
      </w:r>
      <w:r w:rsidR="00046B8C">
        <w:t>zjištění</w:t>
      </w:r>
      <w:r w:rsidR="00E41672">
        <w:t>:</w:t>
      </w:r>
    </w:p>
    <w:p w14:paraId="5DEAA397" w14:textId="77777777" w:rsidR="00A85EDD" w:rsidRPr="00A85EDD" w:rsidRDefault="00A85EDD" w:rsidP="003F00EC">
      <w:pPr>
        <w:spacing w:after="0"/>
        <w:rPr>
          <w:lang w:eastAsia="cs-CZ"/>
        </w:rPr>
      </w:pPr>
    </w:p>
    <w:p w14:paraId="6B265FE9" w14:textId="07541A36" w:rsidR="00046B8C" w:rsidRDefault="00383E9B" w:rsidP="003F00EC">
      <w:pPr>
        <w:pStyle w:val="Odstavecseseznamem"/>
        <w:numPr>
          <w:ilvl w:val="0"/>
          <w:numId w:val="85"/>
        </w:numPr>
        <w:spacing w:after="0"/>
        <w:rPr>
          <w:lang w:eastAsia="cs-CZ"/>
        </w:rPr>
      </w:pPr>
      <w:r>
        <w:rPr>
          <w:lang w:eastAsia="cs-CZ"/>
        </w:rPr>
        <w:t>ČR je v přepočtu elektrických a hybridních automobilů na 100 tis. obyvatel pod evropským průměrem</w:t>
      </w:r>
      <w:r w:rsidR="000B7230">
        <w:rPr>
          <w:lang w:eastAsia="cs-CZ"/>
        </w:rPr>
        <w:t xml:space="preserve"> na 24. místě</w:t>
      </w:r>
      <w:r w:rsidR="00976AD3">
        <w:rPr>
          <w:rStyle w:val="Znakapoznpodarou"/>
          <w:lang w:eastAsia="cs-CZ"/>
        </w:rPr>
        <w:footnoteReference w:id="3"/>
      </w:r>
      <w:r>
        <w:rPr>
          <w:lang w:eastAsia="cs-CZ"/>
        </w:rPr>
        <w:t>.</w:t>
      </w:r>
      <w:r w:rsidR="00020B54">
        <w:rPr>
          <w:lang w:eastAsia="cs-CZ"/>
        </w:rPr>
        <w:t xml:space="preserve"> </w:t>
      </w:r>
      <w:r w:rsidR="00020B54" w:rsidRPr="004733C4">
        <w:rPr>
          <w:i/>
          <w:iCs/>
          <w:lang w:eastAsia="cs-CZ"/>
        </w:rPr>
        <w:t>Národní akční plán čisté mobility</w:t>
      </w:r>
      <w:r w:rsidR="00020B54">
        <w:rPr>
          <w:lang w:eastAsia="cs-CZ"/>
        </w:rPr>
        <w:t xml:space="preserve"> </w:t>
      </w:r>
      <w:r w:rsidR="00413814">
        <w:rPr>
          <w:lang w:eastAsia="cs-CZ"/>
        </w:rPr>
        <w:t xml:space="preserve">počítá </w:t>
      </w:r>
      <w:r w:rsidR="000A138C">
        <w:rPr>
          <w:lang w:eastAsia="cs-CZ"/>
        </w:rPr>
        <w:t>při pořízení vozidel na alternativní paliva</w:t>
      </w:r>
      <w:r w:rsidR="005E1EF8">
        <w:rPr>
          <w:lang w:eastAsia="cs-CZ"/>
        </w:rPr>
        <w:t xml:space="preserve"> s podporou</w:t>
      </w:r>
      <w:r w:rsidR="000A138C">
        <w:rPr>
          <w:lang w:eastAsia="cs-CZ"/>
        </w:rPr>
        <w:t xml:space="preserve"> jen </w:t>
      </w:r>
      <w:r w:rsidR="00020B54">
        <w:rPr>
          <w:lang w:eastAsia="cs-CZ"/>
        </w:rPr>
        <w:t>podnikatelsk</w:t>
      </w:r>
      <w:r w:rsidR="005E1EF8">
        <w:rPr>
          <w:lang w:eastAsia="cs-CZ"/>
        </w:rPr>
        <w:t>ých</w:t>
      </w:r>
      <w:r w:rsidR="00020B54">
        <w:rPr>
          <w:lang w:eastAsia="cs-CZ"/>
        </w:rPr>
        <w:t xml:space="preserve"> subjekt</w:t>
      </w:r>
      <w:r w:rsidR="005E1EF8">
        <w:rPr>
          <w:lang w:eastAsia="cs-CZ"/>
        </w:rPr>
        <w:t>ů</w:t>
      </w:r>
      <w:r w:rsidR="00020B54">
        <w:rPr>
          <w:lang w:eastAsia="cs-CZ"/>
        </w:rPr>
        <w:t>. Vnitrostátní cíl čisté mobility dosáhnout v roce 2025 minimálně 50 000 osobních bateriových vozidel byl splněn. Ne</w:t>
      </w:r>
      <w:r w:rsidR="00542357">
        <w:rPr>
          <w:lang w:eastAsia="cs-CZ"/>
        </w:rPr>
        <w:t>byly</w:t>
      </w:r>
      <w:r>
        <w:rPr>
          <w:lang w:eastAsia="cs-CZ"/>
        </w:rPr>
        <w:t xml:space="preserve"> však</w:t>
      </w:r>
      <w:r w:rsidR="00020B54">
        <w:rPr>
          <w:lang w:eastAsia="cs-CZ"/>
        </w:rPr>
        <w:t xml:space="preserve"> dosa</w:t>
      </w:r>
      <w:r w:rsidR="00542357">
        <w:rPr>
          <w:lang w:eastAsia="cs-CZ"/>
        </w:rPr>
        <w:t>ženy</w:t>
      </w:r>
      <w:r w:rsidR="00020B54">
        <w:rPr>
          <w:lang w:eastAsia="cs-CZ"/>
        </w:rPr>
        <w:t xml:space="preserve"> cíle počtu bateriových užitkových vozidel, bateriových autobusů a vozidel na vodíkový pohon</w:t>
      </w:r>
      <w:r w:rsidR="00B610F7">
        <w:rPr>
          <w:lang w:eastAsia="cs-CZ"/>
        </w:rPr>
        <w:t xml:space="preserve"> (viz odstavce 4.1</w:t>
      </w:r>
      <w:r w:rsidR="00E4660D">
        <w:rPr>
          <w:lang w:eastAsia="cs-CZ"/>
        </w:rPr>
        <w:t>–</w:t>
      </w:r>
      <w:r w:rsidR="00B610F7">
        <w:rPr>
          <w:lang w:eastAsia="cs-CZ"/>
        </w:rPr>
        <w:t>4.3)</w:t>
      </w:r>
      <w:r w:rsidR="00BB1C94">
        <w:rPr>
          <w:lang w:eastAsia="cs-CZ"/>
        </w:rPr>
        <w:t>.</w:t>
      </w:r>
    </w:p>
    <w:p w14:paraId="26649227" w14:textId="77777777" w:rsidR="00F73D88" w:rsidRDefault="00F73D88" w:rsidP="003F00EC">
      <w:pPr>
        <w:pStyle w:val="Odstavecseseznamem"/>
        <w:spacing w:after="0"/>
        <w:ind w:left="567"/>
        <w:rPr>
          <w:lang w:eastAsia="cs-CZ"/>
        </w:rPr>
      </w:pPr>
    </w:p>
    <w:p w14:paraId="50695118" w14:textId="22C29038" w:rsidR="00020B54" w:rsidRDefault="00020B54" w:rsidP="003F00EC">
      <w:pPr>
        <w:pStyle w:val="Odstavecseseznamem"/>
        <w:numPr>
          <w:ilvl w:val="0"/>
          <w:numId w:val="85"/>
        </w:numPr>
        <w:spacing w:after="0"/>
        <w:rPr>
          <w:lang w:eastAsia="cs-CZ"/>
        </w:rPr>
      </w:pPr>
      <w:r>
        <w:rPr>
          <w:lang w:eastAsia="cs-CZ"/>
        </w:rPr>
        <w:t>Do doby ukončení kontroly NKÚ nesplnila ČR tři závazné cíle stanovené</w:t>
      </w:r>
      <w:r w:rsidR="007D65A7">
        <w:rPr>
          <w:lang w:eastAsia="cs-CZ"/>
        </w:rPr>
        <w:t xml:space="preserve"> </w:t>
      </w:r>
      <w:r w:rsidR="007D65A7">
        <w:t>nařízením Evropského parlamentu a Rady (EU) 2023/1804</w:t>
      </w:r>
      <w:r w:rsidR="007D65A7">
        <w:rPr>
          <w:rStyle w:val="Znakapoznpodarou"/>
        </w:rPr>
        <w:footnoteReference w:id="4"/>
      </w:r>
      <w:r>
        <w:rPr>
          <w:lang w:eastAsia="cs-CZ"/>
        </w:rPr>
        <w:t xml:space="preserve"> </w:t>
      </w:r>
      <w:r w:rsidR="007D65A7">
        <w:rPr>
          <w:lang w:eastAsia="cs-CZ"/>
        </w:rPr>
        <w:t>(dále také „</w:t>
      </w:r>
      <w:r>
        <w:rPr>
          <w:lang w:eastAsia="cs-CZ"/>
        </w:rPr>
        <w:t>nařízení AFIR</w:t>
      </w:r>
      <w:r w:rsidR="007D65A7">
        <w:rPr>
          <w:lang w:eastAsia="cs-CZ"/>
        </w:rPr>
        <w:t>“)</w:t>
      </w:r>
      <w:r>
        <w:rPr>
          <w:lang w:eastAsia="cs-CZ"/>
        </w:rPr>
        <w:t xml:space="preserve"> s termínem plnění do 31. prosince 2025</w:t>
      </w:r>
      <w:r w:rsidR="00166774">
        <w:rPr>
          <w:lang w:eastAsia="cs-CZ"/>
        </w:rPr>
        <w:t xml:space="preserve"> (blíže bod 4.</w:t>
      </w:r>
      <w:r w:rsidR="00CA359F">
        <w:rPr>
          <w:lang w:eastAsia="cs-CZ"/>
        </w:rPr>
        <w:t>6</w:t>
      </w:r>
      <w:r w:rsidR="00166774">
        <w:rPr>
          <w:lang w:eastAsia="cs-CZ"/>
        </w:rPr>
        <w:t>)</w:t>
      </w:r>
      <w:r>
        <w:rPr>
          <w:lang w:eastAsia="cs-CZ"/>
        </w:rPr>
        <w:t>, které se týkají pokrytí hlavní sítě TEN-T veřejně dostupnou dobíjecí infrastrukturou</w:t>
      </w:r>
      <w:r w:rsidR="00B47B29">
        <w:rPr>
          <w:lang w:eastAsia="cs-CZ"/>
        </w:rPr>
        <w:t>:</w:t>
      </w:r>
      <w:r w:rsidR="00EB0325">
        <w:rPr>
          <w:lang w:eastAsia="cs-CZ"/>
        </w:rPr>
        <w:t xml:space="preserve"> </w:t>
      </w:r>
    </w:p>
    <w:p w14:paraId="661945A0" w14:textId="48CC12EE" w:rsidR="00B47B29" w:rsidRDefault="00B47B29" w:rsidP="003F00EC">
      <w:pPr>
        <w:pStyle w:val="Odstavecseseznamem"/>
        <w:numPr>
          <w:ilvl w:val="1"/>
          <w:numId w:val="85"/>
        </w:numPr>
        <w:spacing w:after="0"/>
        <w:rPr>
          <w:lang w:eastAsia="cs-CZ"/>
        </w:rPr>
      </w:pPr>
      <w:r>
        <w:rPr>
          <w:lang w:eastAsia="cs-CZ"/>
        </w:rPr>
        <w:t xml:space="preserve">Na </w:t>
      </w:r>
      <w:r w:rsidR="00895470">
        <w:rPr>
          <w:lang w:eastAsia="cs-CZ"/>
        </w:rPr>
        <w:t xml:space="preserve">86 km </w:t>
      </w:r>
      <w:r>
        <w:rPr>
          <w:lang w:eastAsia="cs-CZ"/>
        </w:rPr>
        <w:t xml:space="preserve">dlouhém </w:t>
      </w:r>
      <w:r w:rsidR="00895470">
        <w:rPr>
          <w:lang w:eastAsia="cs-CZ"/>
        </w:rPr>
        <w:t xml:space="preserve">úseku </w:t>
      </w:r>
      <w:r>
        <w:rPr>
          <w:lang w:eastAsia="cs-CZ"/>
        </w:rPr>
        <w:t>dálnice D5 mezi státní hranicí a Plzní a na 110 km dlouhé dálnici D11 mezi Prahou a Jaroměří nejsou veřejně dostupné dobíjecí parky pro lehká elektrická vozidla s </w:t>
      </w:r>
      <w:r w:rsidR="00090A93">
        <w:rPr>
          <w:lang w:eastAsia="cs-CZ"/>
        </w:rPr>
        <w:t>celkovým</w:t>
      </w:r>
      <w:r>
        <w:rPr>
          <w:lang w:eastAsia="cs-CZ"/>
        </w:rPr>
        <w:t xml:space="preserve"> </w:t>
      </w:r>
      <w:r w:rsidR="00370D0D">
        <w:rPr>
          <w:lang w:eastAsia="cs-CZ"/>
        </w:rPr>
        <w:t xml:space="preserve">výstupním </w:t>
      </w:r>
      <w:r>
        <w:rPr>
          <w:lang w:eastAsia="cs-CZ"/>
        </w:rPr>
        <w:t>výkonem</w:t>
      </w:r>
      <w:r w:rsidR="00090A93">
        <w:rPr>
          <w:lang w:eastAsia="cs-CZ"/>
        </w:rPr>
        <w:t xml:space="preserve"> alespoň 400 kW</w:t>
      </w:r>
      <w:r>
        <w:rPr>
          <w:lang w:eastAsia="cs-CZ"/>
        </w:rPr>
        <w:t>;</w:t>
      </w:r>
    </w:p>
    <w:p w14:paraId="69BCF3B6" w14:textId="4466F054" w:rsidR="00020B54" w:rsidRDefault="00B47B29" w:rsidP="003F00EC">
      <w:pPr>
        <w:pStyle w:val="Odstavecseseznamem"/>
        <w:numPr>
          <w:ilvl w:val="1"/>
          <w:numId w:val="85"/>
        </w:numPr>
        <w:spacing w:after="0"/>
        <w:rPr>
          <w:lang w:eastAsia="cs-CZ"/>
        </w:rPr>
      </w:pPr>
      <w:r>
        <w:rPr>
          <w:lang w:eastAsia="cs-CZ"/>
        </w:rPr>
        <w:t>na hlavní síti TEN-T nejsou dostupné dobíjecí parky pro těžká elektrická vozidla s</w:t>
      </w:r>
      <w:r w:rsidR="00370D0D">
        <w:rPr>
          <w:lang w:eastAsia="cs-CZ"/>
        </w:rPr>
        <w:t> </w:t>
      </w:r>
      <w:r w:rsidR="00090A93">
        <w:rPr>
          <w:lang w:eastAsia="cs-CZ"/>
        </w:rPr>
        <w:t>celkovým</w:t>
      </w:r>
      <w:r w:rsidR="00370D0D">
        <w:rPr>
          <w:lang w:eastAsia="cs-CZ"/>
        </w:rPr>
        <w:t xml:space="preserve"> výstupním</w:t>
      </w:r>
      <w:r>
        <w:rPr>
          <w:lang w:eastAsia="cs-CZ"/>
        </w:rPr>
        <w:t xml:space="preserve"> výkonem</w:t>
      </w:r>
      <w:r w:rsidR="00090A93">
        <w:rPr>
          <w:lang w:eastAsia="cs-CZ"/>
        </w:rPr>
        <w:t xml:space="preserve"> alespoň 1 400 kW</w:t>
      </w:r>
      <w:r>
        <w:rPr>
          <w:lang w:eastAsia="cs-CZ"/>
        </w:rPr>
        <w:t>;</w:t>
      </w:r>
    </w:p>
    <w:p w14:paraId="037EDFA6" w14:textId="09950A52" w:rsidR="00FB7888" w:rsidRPr="00B47B29" w:rsidRDefault="003D518D" w:rsidP="003F00EC">
      <w:pPr>
        <w:pStyle w:val="Odstavecseseznamem"/>
        <w:numPr>
          <w:ilvl w:val="1"/>
          <w:numId w:val="85"/>
        </w:numPr>
        <w:rPr>
          <w:lang w:eastAsia="cs-CZ"/>
        </w:rPr>
      </w:pPr>
      <w:r>
        <w:rPr>
          <w:lang w:eastAsia="cs-CZ"/>
        </w:rPr>
        <w:lastRenderedPageBreak/>
        <w:t>v městském</w:t>
      </w:r>
      <w:r w:rsidR="00B47B29">
        <w:rPr>
          <w:lang w:eastAsia="cs-CZ"/>
        </w:rPr>
        <w:t xml:space="preserve"> </w:t>
      </w:r>
      <w:r w:rsidR="00B47B29" w:rsidRPr="00B47B29">
        <w:rPr>
          <w:lang w:eastAsia="cs-CZ"/>
        </w:rPr>
        <w:t>uzlu</w:t>
      </w:r>
      <w:r w:rsidR="00B47B29">
        <w:rPr>
          <w:rStyle w:val="Znakapoznpodarou"/>
          <w:lang w:eastAsia="cs-CZ"/>
        </w:rPr>
        <w:footnoteReference w:id="5"/>
      </w:r>
      <w:r w:rsidR="00B47B29">
        <w:rPr>
          <w:lang w:eastAsia="cs-CZ"/>
        </w:rPr>
        <w:t xml:space="preserve"> </w:t>
      </w:r>
      <w:r w:rsidR="00B47B29" w:rsidRPr="00B47B29">
        <w:rPr>
          <w:lang w:eastAsia="cs-CZ"/>
        </w:rPr>
        <w:t>Ústí nad Labem nejsou dostupné dobíjecí body pro těžká elektrická vozidla s</w:t>
      </w:r>
      <w:r w:rsidR="00370D0D">
        <w:rPr>
          <w:lang w:eastAsia="cs-CZ"/>
        </w:rPr>
        <w:t> </w:t>
      </w:r>
      <w:r w:rsidR="00090A93">
        <w:rPr>
          <w:lang w:eastAsia="cs-CZ"/>
        </w:rPr>
        <w:t>celkovým</w:t>
      </w:r>
      <w:r w:rsidR="00370D0D">
        <w:rPr>
          <w:lang w:eastAsia="cs-CZ"/>
        </w:rPr>
        <w:t xml:space="preserve"> výstupním</w:t>
      </w:r>
      <w:r w:rsidR="00B47B29" w:rsidRPr="00B47B29">
        <w:rPr>
          <w:lang w:eastAsia="cs-CZ"/>
        </w:rPr>
        <w:t xml:space="preserve"> výkonem</w:t>
      </w:r>
      <w:r w:rsidR="00090A93">
        <w:rPr>
          <w:lang w:eastAsia="cs-CZ"/>
        </w:rPr>
        <w:t xml:space="preserve"> alespoň 900 kW</w:t>
      </w:r>
      <w:r w:rsidR="00FB7888">
        <w:rPr>
          <w:lang w:eastAsia="cs-CZ"/>
        </w:rPr>
        <w:t xml:space="preserve"> (viz odstavce 4.4</w:t>
      </w:r>
      <w:r w:rsidR="00E4660D">
        <w:rPr>
          <w:lang w:eastAsia="cs-CZ"/>
        </w:rPr>
        <w:t>–</w:t>
      </w:r>
      <w:r w:rsidR="00FB7888">
        <w:rPr>
          <w:lang w:eastAsia="cs-CZ"/>
        </w:rPr>
        <w:t>4.9)</w:t>
      </w:r>
      <w:r w:rsidR="00BB1C94">
        <w:rPr>
          <w:lang w:eastAsia="cs-CZ"/>
        </w:rPr>
        <w:t>.</w:t>
      </w:r>
    </w:p>
    <w:p w14:paraId="0486C9A5" w14:textId="77777777" w:rsidR="00F73D88" w:rsidRDefault="00F73D88" w:rsidP="003F00EC">
      <w:pPr>
        <w:pStyle w:val="Odstavecseseznamem"/>
        <w:spacing w:after="0"/>
        <w:ind w:left="1080"/>
        <w:rPr>
          <w:lang w:eastAsia="cs-CZ"/>
        </w:rPr>
      </w:pPr>
    </w:p>
    <w:p w14:paraId="756F54BE" w14:textId="6823B330" w:rsidR="009011BE" w:rsidRDefault="009011BE" w:rsidP="003F00EC">
      <w:pPr>
        <w:pStyle w:val="Odstavecseseznamem"/>
        <w:numPr>
          <w:ilvl w:val="0"/>
          <w:numId w:val="85"/>
        </w:numPr>
        <w:spacing w:after="0"/>
        <w:rPr>
          <w:lang w:eastAsia="cs-CZ"/>
        </w:rPr>
      </w:pPr>
      <w:r>
        <w:rPr>
          <w:lang w:eastAsia="cs-CZ"/>
        </w:rPr>
        <w:t xml:space="preserve">Nejsou splněna legislativně-regulatorní opatření </w:t>
      </w:r>
      <w:r w:rsidR="00895470">
        <w:rPr>
          <w:lang w:eastAsia="cs-CZ"/>
        </w:rPr>
        <w:t>NAP CM</w:t>
      </w:r>
      <w:r>
        <w:rPr>
          <w:lang w:eastAsia="cs-CZ"/>
        </w:rPr>
        <w:t xml:space="preserve">, která měla zajistit bezpečnost při dobíjení elektrických vozidel ve vnitřních prostorách objektů (např. hromadných garáží) a odstranit překážky pro parkování vozidel na plynná paliva v nově budovaných a rekonstruovaných hromadných garážích. Pravidla pro bezpečné dobíjení elektrických vozidel měla být přijata do konce roku 2025, pro parkování vozidel na plynná paliva </w:t>
      </w:r>
      <w:r w:rsidR="00C25976">
        <w:rPr>
          <w:lang w:eastAsia="cs-CZ"/>
        </w:rPr>
        <w:br/>
      </w:r>
      <w:r>
        <w:rPr>
          <w:lang w:eastAsia="cs-CZ"/>
        </w:rPr>
        <w:t>měla být přijata do konce</w:t>
      </w:r>
      <w:r w:rsidR="00C25976">
        <w:rPr>
          <w:lang w:eastAsia="cs-CZ"/>
        </w:rPr>
        <w:t xml:space="preserve"> </w:t>
      </w:r>
      <w:r>
        <w:rPr>
          <w:lang w:eastAsia="cs-CZ"/>
        </w:rPr>
        <w:t xml:space="preserve">roku 2021. </w:t>
      </w:r>
      <w:r w:rsidR="00083A6D">
        <w:rPr>
          <w:lang w:eastAsia="cs-CZ"/>
        </w:rPr>
        <w:t xml:space="preserve">MPO má při přípravě těchto opatření koordinační roli, </w:t>
      </w:r>
      <w:r>
        <w:rPr>
          <w:lang w:eastAsia="cs-CZ"/>
        </w:rPr>
        <w:t>za nastavení pravidel</w:t>
      </w:r>
      <w:r w:rsidR="00083A6D">
        <w:rPr>
          <w:lang w:eastAsia="cs-CZ"/>
        </w:rPr>
        <w:t xml:space="preserve"> jsou</w:t>
      </w:r>
      <w:r>
        <w:rPr>
          <w:lang w:eastAsia="cs-CZ"/>
        </w:rPr>
        <w:t xml:space="preserve"> odpovědn</w:t>
      </w:r>
      <w:r w:rsidR="00895470">
        <w:rPr>
          <w:lang w:eastAsia="cs-CZ"/>
        </w:rPr>
        <w:t>é</w:t>
      </w:r>
      <w:r w:rsidR="00083A6D">
        <w:rPr>
          <w:lang w:eastAsia="cs-CZ"/>
        </w:rPr>
        <w:t xml:space="preserve"> MD,</w:t>
      </w:r>
      <w:r>
        <w:rPr>
          <w:lang w:eastAsia="cs-CZ"/>
        </w:rPr>
        <w:t xml:space="preserve"> Ministerstvo vnitra, Ministerstvo zdravotnictví a Ministerstvo pro místní rozvoj. Do doby ukončení kontroly NKÚ u nich </w:t>
      </w:r>
      <w:r w:rsidR="00CA359F">
        <w:rPr>
          <w:lang w:eastAsia="cs-CZ"/>
        </w:rPr>
        <w:t xml:space="preserve">ke shodě na opatřeních </w:t>
      </w:r>
      <w:r>
        <w:rPr>
          <w:lang w:eastAsia="cs-CZ"/>
        </w:rPr>
        <w:t>nedošlo</w:t>
      </w:r>
      <w:r w:rsidR="00FB7888">
        <w:rPr>
          <w:lang w:eastAsia="cs-CZ"/>
        </w:rPr>
        <w:t xml:space="preserve"> (viz odstavce 4.10</w:t>
      </w:r>
      <w:r w:rsidR="00E4660D">
        <w:rPr>
          <w:lang w:eastAsia="cs-CZ"/>
        </w:rPr>
        <w:t>–</w:t>
      </w:r>
      <w:r w:rsidR="00FB7888">
        <w:rPr>
          <w:lang w:eastAsia="cs-CZ"/>
        </w:rPr>
        <w:t>4.11).</w:t>
      </w:r>
    </w:p>
    <w:p w14:paraId="6DA531AB" w14:textId="77777777" w:rsidR="009011BE" w:rsidRDefault="009011BE" w:rsidP="003F00EC">
      <w:pPr>
        <w:pStyle w:val="Odstavecseseznamem"/>
        <w:spacing w:after="0"/>
        <w:ind w:left="567"/>
        <w:rPr>
          <w:lang w:eastAsia="cs-CZ"/>
        </w:rPr>
      </w:pPr>
    </w:p>
    <w:p w14:paraId="3C786E2A" w14:textId="4D28AD17" w:rsidR="00D4112F" w:rsidRDefault="00D4112F" w:rsidP="003F00EC">
      <w:pPr>
        <w:pStyle w:val="Odstavecseseznamem"/>
        <w:numPr>
          <w:ilvl w:val="0"/>
          <w:numId w:val="85"/>
        </w:numPr>
        <w:spacing w:after="0"/>
        <w:rPr>
          <w:lang w:eastAsia="cs-CZ"/>
        </w:rPr>
      </w:pPr>
      <w:r>
        <w:rPr>
          <w:lang w:eastAsia="cs-CZ"/>
        </w:rPr>
        <w:t>Dotace z</w:t>
      </w:r>
      <w:r w:rsidR="00293618">
        <w:rPr>
          <w:lang w:eastAsia="cs-CZ"/>
        </w:rPr>
        <w:t xml:space="preserve"> operačního programu </w:t>
      </w:r>
      <w:r w:rsidR="00293618" w:rsidRPr="004733C4">
        <w:rPr>
          <w:i/>
          <w:iCs/>
          <w:lang w:eastAsia="cs-CZ"/>
        </w:rPr>
        <w:t>Doprava 2021</w:t>
      </w:r>
      <w:r w:rsidR="00895470">
        <w:rPr>
          <w:rFonts w:cstheme="minorHAnsi"/>
          <w:i/>
          <w:iCs/>
          <w:lang w:eastAsia="cs-CZ"/>
        </w:rPr>
        <w:t>–</w:t>
      </w:r>
      <w:r w:rsidR="00293618" w:rsidRPr="004733C4">
        <w:rPr>
          <w:i/>
          <w:iCs/>
          <w:lang w:eastAsia="cs-CZ"/>
        </w:rPr>
        <w:t>2027</w:t>
      </w:r>
      <w:r>
        <w:rPr>
          <w:lang w:eastAsia="cs-CZ"/>
        </w:rPr>
        <w:t xml:space="preserve"> měly podpořit vybudování nejméně 500 </w:t>
      </w:r>
      <w:r w:rsidR="00776EB2">
        <w:rPr>
          <w:lang w:eastAsia="cs-CZ"/>
        </w:rPr>
        <w:t xml:space="preserve">veřejných </w:t>
      </w:r>
      <w:r>
        <w:rPr>
          <w:lang w:eastAsia="cs-CZ"/>
        </w:rPr>
        <w:t>dobíjecích stanic</w:t>
      </w:r>
      <w:r w:rsidR="003C1323">
        <w:rPr>
          <w:lang w:eastAsia="cs-CZ"/>
        </w:rPr>
        <w:t xml:space="preserve"> </w:t>
      </w:r>
      <w:r w:rsidR="004D577F">
        <w:rPr>
          <w:lang w:eastAsia="cs-CZ"/>
        </w:rPr>
        <w:t>do</w:t>
      </w:r>
      <w:r w:rsidR="003C1323">
        <w:rPr>
          <w:lang w:eastAsia="cs-CZ"/>
        </w:rPr>
        <w:t> 31. prosinc</w:t>
      </w:r>
      <w:r w:rsidR="004D577F">
        <w:rPr>
          <w:lang w:eastAsia="cs-CZ"/>
        </w:rPr>
        <w:t xml:space="preserve">e </w:t>
      </w:r>
      <w:r w:rsidR="003C1323">
        <w:rPr>
          <w:lang w:eastAsia="cs-CZ"/>
        </w:rPr>
        <w:t>2024</w:t>
      </w:r>
      <w:r w:rsidR="004D577F">
        <w:rPr>
          <w:lang w:eastAsia="cs-CZ"/>
        </w:rPr>
        <w:t xml:space="preserve"> a </w:t>
      </w:r>
      <w:r w:rsidR="003C1323">
        <w:rPr>
          <w:lang w:eastAsia="cs-CZ"/>
        </w:rPr>
        <w:t xml:space="preserve">do 31. prosince 2029 jich má být vybudováno 17 000. </w:t>
      </w:r>
      <w:r w:rsidR="003F452D">
        <w:rPr>
          <w:lang w:eastAsia="cs-CZ"/>
        </w:rPr>
        <w:t xml:space="preserve">MD </w:t>
      </w:r>
      <w:r w:rsidR="00776EB2">
        <w:rPr>
          <w:lang w:eastAsia="cs-CZ"/>
        </w:rPr>
        <w:t xml:space="preserve">vydalo pro </w:t>
      </w:r>
      <w:r w:rsidR="003F452D">
        <w:rPr>
          <w:lang w:eastAsia="cs-CZ"/>
        </w:rPr>
        <w:t>56 projektů</w:t>
      </w:r>
      <w:r w:rsidR="00776EB2">
        <w:rPr>
          <w:lang w:eastAsia="cs-CZ"/>
        </w:rPr>
        <w:t xml:space="preserve"> rozhodnutí o poskytnut</w:t>
      </w:r>
      <w:r w:rsidR="004254C8">
        <w:rPr>
          <w:lang w:eastAsia="cs-CZ"/>
        </w:rPr>
        <w:t>í</w:t>
      </w:r>
      <w:r w:rsidR="00776EB2">
        <w:rPr>
          <w:lang w:eastAsia="cs-CZ"/>
        </w:rPr>
        <w:t xml:space="preserve"> dotace (dále také „</w:t>
      </w:r>
      <w:proofErr w:type="spellStart"/>
      <w:r w:rsidR="00776EB2">
        <w:rPr>
          <w:lang w:eastAsia="cs-CZ"/>
        </w:rPr>
        <w:t>RoPD</w:t>
      </w:r>
      <w:proofErr w:type="spellEnd"/>
      <w:r w:rsidR="00776EB2">
        <w:rPr>
          <w:lang w:eastAsia="cs-CZ"/>
        </w:rPr>
        <w:t>“)</w:t>
      </w:r>
      <w:r w:rsidR="003F452D">
        <w:rPr>
          <w:lang w:eastAsia="cs-CZ"/>
        </w:rPr>
        <w:t xml:space="preserve"> </w:t>
      </w:r>
      <w:r w:rsidR="00776EB2">
        <w:rPr>
          <w:lang w:eastAsia="cs-CZ"/>
        </w:rPr>
        <w:t xml:space="preserve">v objemu </w:t>
      </w:r>
      <w:r w:rsidR="003F452D">
        <w:rPr>
          <w:lang w:eastAsia="cs-CZ"/>
        </w:rPr>
        <w:t>2,6 mld. Kč (43 % alokace)</w:t>
      </w:r>
      <w:r w:rsidR="00200301">
        <w:rPr>
          <w:lang w:eastAsia="cs-CZ"/>
        </w:rPr>
        <w:t xml:space="preserve">, pomocí kterých má být vybudováno 7 152 dobíjecích bodů (3 916 dobíjecích stanic). Do doby ukončení kontroly nebyla vybudována ani jedna </w:t>
      </w:r>
      <w:r w:rsidR="00895470">
        <w:rPr>
          <w:lang w:eastAsia="cs-CZ"/>
        </w:rPr>
        <w:t xml:space="preserve">z těchto </w:t>
      </w:r>
      <w:r w:rsidR="00200301">
        <w:rPr>
          <w:lang w:eastAsia="cs-CZ"/>
        </w:rPr>
        <w:t>dobíjecí</w:t>
      </w:r>
      <w:r w:rsidR="00895470">
        <w:rPr>
          <w:lang w:eastAsia="cs-CZ"/>
        </w:rPr>
        <w:t>ch</w:t>
      </w:r>
      <w:r w:rsidR="00200301">
        <w:rPr>
          <w:lang w:eastAsia="cs-CZ"/>
        </w:rPr>
        <w:t xml:space="preserve"> stanic</w:t>
      </w:r>
      <w:r w:rsidR="00895470">
        <w:rPr>
          <w:lang w:eastAsia="cs-CZ"/>
        </w:rPr>
        <w:t>, a to</w:t>
      </w:r>
      <w:r w:rsidR="00200301">
        <w:rPr>
          <w:lang w:eastAsia="cs-CZ"/>
        </w:rPr>
        <w:t xml:space="preserve"> kvůli náročnosti přípravy</w:t>
      </w:r>
      <w:r w:rsidR="00F23725">
        <w:rPr>
          <w:lang w:eastAsia="cs-CZ"/>
        </w:rPr>
        <w:t xml:space="preserve"> jednotlivých projektů </w:t>
      </w:r>
      <w:r w:rsidR="00895470">
        <w:rPr>
          <w:lang w:eastAsia="cs-CZ"/>
        </w:rPr>
        <w:t>i kvůli</w:t>
      </w:r>
      <w:r w:rsidR="00F23725">
        <w:rPr>
          <w:lang w:eastAsia="cs-CZ"/>
        </w:rPr>
        <w:t xml:space="preserve"> jejich</w:t>
      </w:r>
      <w:r w:rsidR="00200301">
        <w:rPr>
          <w:lang w:eastAsia="cs-CZ"/>
        </w:rPr>
        <w:t xml:space="preserve"> pomalé realizaci</w:t>
      </w:r>
      <w:r w:rsidR="00FB7888">
        <w:rPr>
          <w:lang w:eastAsia="cs-CZ"/>
        </w:rPr>
        <w:t xml:space="preserve"> (viz odstavce 4.19</w:t>
      </w:r>
      <w:r w:rsidR="00E4660D">
        <w:rPr>
          <w:lang w:eastAsia="cs-CZ"/>
        </w:rPr>
        <w:t>–</w:t>
      </w:r>
      <w:r w:rsidR="00FB7888">
        <w:rPr>
          <w:lang w:eastAsia="cs-CZ"/>
        </w:rPr>
        <w:t>4.21)</w:t>
      </w:r>
      <w:r w:rsidR="00895470">
        <w:rPr>
          <w:lang w:eastAsia="cs-CZ"/>
        </w:rPr>
        <w:t>.</w:t>
      </w:r>
    </w:p>
    <w:p w14:paraId="19CB5891" w14:textId="77777777" w:rsidR="009011BE" w:rsidRDefault="009011BE" w:rsidP="003F00EC">
      <w:pPr>
        <w:pStyle w:val="Odstavecseseznamem"/>
        <w:spacing w:after="0"/>
        <w:ind w:left="567"/>
        <w:rPr>
          <w:lang w:eastAsia="cs-CZ"/>
        </w:rPr>
      </w:pPr>
    </w:p>
    <w:p w14:paraId="566A4751" w14:textId="28EE3CA8" w:rsidR="00DA2363" w:rsidRDefault="00DA2363" w:rsidP="003F00EC">
      <w:pPr>
        <w:pStyle w:val="Odstavecseseznamem"/>
        <w:numPr>
          <w:ilvl w:val="0"/>
          <w:numId w:val="85"/>
        </w:numPr>
        <w:spacing w:after="0"/>
        <w:rPr>
          <w:lang w:eastAsia="cs-CZ"/>
        </w:rPr>
      </w:pPr>
      <w:r>
        <w:rPr>
          <w:lang w:eastAsia="cs-CZ"/>
        </w:rPr>
        <w:t>Při kontrole 6 vybraných příjemců podpory z</w:t>
      </w:r>
      <w:r w:rsidR="00293618">
        <w:rPr>
          <w:lang w:eastAsia="cs-CZ"/>
        </w:rPr>
        <w:t xml:space="preserve"> operačního programu </w:t>
      </w:r>
      <w:r w:rsidR="00293618" w:rsidRPr="004733C4">
        <w:rPr>
          <w:i/>
          <w:iCs/>
          <w:lang w:eastAsia="cs-CZ"/>
        </w:rPr>
        <w:t>Doprava 2014</w:t>
      </w:r>
      <w:r w:rsidR="00895470">
        <w:rPr>
          <w:rFonts w:cstheme="minorHAnsi"/>
          <w:i/>
          <w:iCs/>
          <w:lang w:eastAsia="cs-CZ"/>
        </w:rPr>
        <w:t>–</w:t>
      </w:r>
      <w:r w:rsidR="00293618" w:rsidRPr="004733C4">
        <w:rPr>
          <w:i/>
          <w:iCs/>
          <w:lang w:eastAsia="cs-CZ"/>
        </w:rPr>
        <w:t>2020</w:t>
      </w:r>
      <w:r w:rsidR="00293618">
        <w:rPr>
          <w:lang w:eastAsia="cs-CZ"/>
        </w:rPr>
        <w:t xml:space="preserve"> </w:t>
      </w:r>
      <w:r w:rsidR="00F73D88">
        <w:rPr>
          <w:lang w:eastAsia="cs-CZ"/>
        </w:rPr>
        <w:t>zjistil NKÚ v</w:t>
      </w:r>
      <w:r w:rsidR="00B53FBE">
        <w:rPr>
          <w:lang w:eastAsia="cs-CZ"/>
        </w:rPr>
        <w:t xml:space="preserve"> </w:t>
      </w:r>
      <w:r w:rsidR="00F73D88">
        <w:rPr>
          <w:lang w:eastAsia="cs-CZ"/>
        </w:rPr>
        <w:t xml:space="preserve">jednom případě, že MD proplatilo příjemci nezpůsobilé výdaje ve výši 358 531 Kč. Příjemce tyto prostředky </w:t>
      </w:r>
      <w:r w:rsidR="003F00EC">
        <w:rPr>
          <w:lang w:eastAsia="cs-CZ"/>
        </w:rPr>
        <w:t xml:space="preserve">v průběhu kontroly </w:t>
      </w:r>
      <w:r w:rsidR="00F73D88">
        <w:rPr>
          <w:lang w:eastAsia="cs-CZ"/>
        </w:rPr>
        <w:t>vrátil</w:t>
      </w:r>
      <w:r w:rsidR="00FB7888">
        <w:rPr>
          <w:lang w:eastAsia="cs-CZ"/>
        </w:rPr>
        <w:t xml:space="preserve"> (viz odstavec 4.24)</w:t>
      </w:r>
      <w:r w:rsidR="003F00EC">
        <w:rPr>
          <w:lang w:eastAsia="cs-CZ"/>
        </w:rPr>
        <w:t>.</w:t>
      </w:r>
    </w:p>
    <w:p w14:paraId="2A6A614D" w14:textId="77777777" w:rsidR="00AF7B68" w:rsidRDefault="00AF7B68" w:rsidP="003F00EC">
      <w:pPr>
        <w:pStyle w:val="Odstavecseseznamem"/>
        <w:spacing w:after="0"/>
        <w:ind w:left="567"/>
        <w:rPr>
          <w:lang w:eastAsia="cs-CZ"/>
        </w:rPr>
      </w:pPr>
    </w:p>
    <w:p w14:paraId="0A87A1CD" w14:textId="77777777" w:rsidR="00960EA7" w:rsidRDefault="00960EA7" w:rsidP="003F00EC">
      <w:pPr>
        <w:pStyle w:val="Odstavecseseznamem"/>
        <w:spacing w:after="0"/>
        <w:ind w:left="567"/>
        <w:rPr>
          <w:lang w:eastAsia="cs-CZ"/>
        </w:rPr>
      </w:pPr>
    </w:p>
    <w:p w14:paraId="70C648DC" w14:textId="77777777" w:rsidR="00960EA7" w:rsidRDefault="00960EA7" w:rsidP="003F00EC">
      <w:pPr>
        <w:pStyle w:val="Odstavecseseznamem"/>
        <w:spacing w:after="0"/>
        <w:ind w:left="567"/>
        <w:rPr>
          <w:lang w:eastAsia="cs-CZ"/>
        </w:rPr>
      </w:pPr>
    </w:p>
    <w:p w14:paraId="3886DF38" w14:textId="77777777" w:rsidR="00960EA7" w:rsidRPr="00046B8C" w:rsidRDefault="00960EA7" w:rsidP="003F00EC">
      <w:pPr>
        <w:pStyle w:val="Odstavecseseznamem"/>
        <w:spacing w:after="0"/>
        <w:ind w:left="567"/>
        <w:rPr>
          <w:lang w:eastAsia="cs-CZ"/>
        </w:rPr>
      </w:pPr>
    </w:p>
    <w:p w14:paraId="6EDB4EA7" w14:textId="0C646D13" w:rsidR="004A2415" w:rsidRDefault="00A81C7D" w:rsidP="003F00EC">
      <w:pPr>
        <w:pStyle w:val="Nadpis1"/>
        <w:spacing w:before="0" w:after="0" w:line="256" w:lineRule="auto"/>
        <w:ind w:left="284"/>
        <w:rPr>
          <w:sz w:val="28"/>
          <w:szCs w:val="28"/>
        </w:rPr>
      </w:pPr>
      <w:bookmarkStart w:id="2" w:name="_Toc179807882"/>
      <w:r w:rsidRPr="00E1736E">
        <w:rPr>
          <w:sz w:val="28"/>
          <w:szCs w:val="28"/>
        </w:rPr>
        <w:t>II</w:t>
      </w:r>
      <w:r w:rsidR="00E376E8" w:rsidRPr="00E1736E">
        <w:rPr>
          <w:sz w:val="28"/>
          <w:szCs w:val="28"/>
        </w:rPr>
        <w:t>.</w:t>
      </w:r>
      <w:r w:rsidRPr="00E1736E">
        <w:rPr>
          <w:sz w:val="28"/>
          <w:szCs w:val="28"/>
        </w:rPr>
        <w:t xml:space="preserve"> </w:t>
      </w:r>
      <w:r w:rsidR="004A2415" w:rsidRPr="00E1736E">
        <w:rPr>
          <w:sz w:val="28"/>
          <w:szCs w:val="28"/>
        </w:rPr>
        <w:t>Informace o kontrolované oblasti</w:t>
      </w:r>
      <w:bookmarkEnd w:id="2"/>
    </w:p>
    <w:p w14:paraId="434F25EA" w14:textId="77777777" w:rsidR="00AD55E2" w:rsidRPr="00AD55E2" w:rsidRDefault="00AD55E2" w:rsidP="003F00EC">
      <w:pPr>
        <w:spacing w:after="0"/>
      </w:pPr>
    </w:p>
    <w:p w14:paraId="4B3385CD" w14:textId="64589C69" w:rsidR="005F0BE7" w:rsidRDefault="005F0BE7" w:rsidP="003F00EC">
      <w:pPr>
        <w:pStyle w:val="Nadpis2"/>
        <w:widowControl/>
        <w:spacing w:before="0" w:line="256" w:lineRule="auto"/>
      </w:pPr>
      <w:bookmarkStart w:id="3" w:name="_Hlk180509839"/>
      <w:r w:rsidRPr="00735B9F">
        <w:rPr>
          <w:b/>
          <w:bCs/>
        </w:rPr>
        <w:t>Čistá mobilita</w:t>
      </w:r>
      <w:r w:rsidRPr="005F0BE7">
        <w:t xml:space="preserve"> představuje soubor opatření a nástrojů směřujících k rozvoji dopravy s</w:t>
      </w:r>
      <w:r w:rsidR="00BB1C94">
        <w:t> </w:t>
      </w:r>
      <w:r w:rsidRPr="005F0BE7">
        <w:t>nízkými emisemi a k omezení negativních dopadů</w:t>
      </w:r>
      <w:r w:rsidR="003F00EC">
        <w:t xml:space="preserve"> emisí z dopravy</w:t>
      </w:r>
      <w:r w:rsidRPr="005F0BE7">
        <w:t xml:space="preserve"> na životní prostředí a zdraví obyvatel. Zahrnuje jak podporu nízkoemisních druhů dopravy a související infrastruktury, tak rozvoj technologických řešení a inovací v oblasti vozidel a</w:t>
      </w:r>
      <w:r w:rsidR="00BB1C94">
        <w:t> </w:t>
      </w:r>
      <w:r w:rsidRPr="005F0BE7">
        <w:t>energetických systémů</w:t>
      </w:r>
      <w:r>
        <w:t>.</w:t>
      </w:r>
    </w:p>
    <w:p w14:paraId="65081DAC" w14:textId="77777777" w:rsidR="005F0BE7" w:rsidRPr="005F0BE7" w:rsidRDefault="005F0BE7" w:rsidP="003F00EC">
      <w:pPr>
        <w:spacing w:after="0"/>
        <w:rPr>
          <w:lang w:eastAsia="cs-CZ"/>
        </w:rPr>
      </w:pPr>
    </w:p>
    <w:p w14:paraId="3AA7EE95" w14:textId="71A467EB" w:rsidR="005020D5" w:rsidRDefault="005020D5" w:rsidP="003F00EC">
      <w:pPr>
        <w:pStyle w:val="Nadpis2"/>
        <w:widowControl/>
        <w:spacing w:before="0" w:line="256" w:lineRule="auto"/>
      </w:pPr>
      <w:r>
        <w:lastRenderedPageBreak/>
        <w:t>Směrnice Evropského parlamentu a Rady 2014/94/EU</w:t>
      </w:r>
      <w:r>
        <w:rPr>
          <w:rStyle w:val="Znakapoznpodarou"/>
        </w:rPr>
        <w:footnoteReference w:id="6"/>
      </w:r>
      <w:r>
        <w:t xml:space="preserve"> (dále také „směrnice </w:t>
      </w:r>
      <w:r w:rsidRPr="005020D5">
        <w:rPr>
          <w:b/>
          <w:bCs/>
        </w:rPr>
        <w:t>AFID</w:t>
      </w:r>
      <w:r>
        <w:t xml:space="preserve">“) </w:t>
      </w:r>
      <w:r w:rsidR="002468F6">
        <w:t xml:space="preserve">ze dne 22. října 2014 </w:t>
      </w:r>
      <w:r w:rsidR="00DC7B02">
        <w:t>měla za cíl</w:t>
      </w:r>
      <w:r w:rsidR="009B1CBA">
        <w:t xml:space="preserve"> vytvoř</w:t>
      </w:r>
      <w:r w:rsidR="00DC7B02">
        <w:t>it</w:t>
      </w:r>
      <w:r w:rsidR="00AD55E2">
        <w:t xml:space="preserve"> v členských státech EU</w:t>
      </w:r>
      <w:r w:rsidR="009B1CBA">
        <w:t xml:space="preserve"> dostatečn</w:t>
      </w:r>
      <w:r w:rsidR="00DC7B02">
        <w:t>ě</w:t>
      </w:r>
      <w:r w:rsidR="009B1CBA">
        <w:t xml:space="preserve"> příznivé prostředí pro širší uplatnění alternativních paliv.</w:t>
      </w:r>
    </w:p>
    <w:p w14:paraId="0DCBAF23" w14:textId="77777777" w:rsidR="00175A6C" w:rsidRPr="00175A6C" w:rsidRDefault="00175A6C" w:rsidP="003F00EC">
      <w:pPr>
        <w:spacing w:after="0"/>
        <w:rPr>
          <w:lang w:eastAsia="cs-CZ"/>
        </w:rPr>
      </w:pPr>
    </w:p>
    <w:p w14:paraId="0F9857F1" w14:textId="615847BC" w:rsidR="00016FFC" w:rsidRDefault="00AC6925" w:rsidP="003F00EC">
      <w:pPr>
        <w:pStyle w:val="Nadpis2"/>
        <w:widowControl/>
        <w:spacing w:before="0" w:line="256" w:lineRule="auto"/>
      </w:pPr>
      <w:r>
        <w:t>Nařízení Evropského parlamentu a Rady (EU) 2023/1804</w:t>
      </w:r>
      <w:r w:rsidR="002468F6">
        <w:rPr>
          <w:rStyle w:val="Znakapoznpodarou"/>
        </w:rPr>
        <w:footnoteReference w:id="7"/>
      </w:r>
      <w:r>
        <w:t xml:space="preserve"> (nařízení </w:t>
      </w:r>
      <w:r w:rsidRPr="00AC6925">
        <w:rPr>
          <w:b/>
          <w:bCs/>
        </w:rPr>
        <w:t>AFIR</w:t>
      </w:r>
      <w:r>
        <w:t xml:space="preserve">) ze dne 13. září 2023 </w:t>
      </w:r>
      <w:r w:rsidR="002468F6">
        <w:t>nahradilo směrnici AFID.</w:t>
      </w:r>
      <w:r>
        <w:t xml:space="preserve"> </w:t>
      </w:r>
      <w:r w:rsidR="00FF4BFE">
        <w:t xml:space="preserve">Nařízení AFIR zavazuje členské státy </w:t>
      </w:r>
      <w:r w:rsidR="00DC7B02">
        <w:t xml:space="preserve">mimo jiné </w:t>
      </w:r>
      <w:r w:rsidR="00FF4BFE">
        <w:t>k povinné výstavbě infrastruktury dobíjecích stanic a vodíkových pln</w:t>
      </w:r>
      <w:r w:rsidR="00445159">
        <w:t>i</w:t>
      </w:r>
      <w:r w:rsidR="00FF4BFE">
        <w:t>cích stanic podél sítě TEN-T</w:t>
      </w:r>
      <w:r w:rsidR="00016FFC">
        <w:t xml:space="preserve"> </w:t>
      </w:r>
      <w:r w:rsidR="00FF4BFE">
        <w:t>a</w:t>
      </w:r>
      <w:r w:rsidR="00BB1C94">
        <w:t> </w:t>
      </w:r>
      <w:r w:rsidR="00FF4BFE">
        <w:t>v oblastech městských</w:t>
      </w:r>
      <w:r w:rsidR="002B5FF9">
        <w:t xml:space="preserve"> uzlů.</w:t>
      </w:r>
    </w:p>
    <w:p w14:paraId="067C73DC" w14:textId="77777777" w:rsidR="00175A6C" w:rsidRPr="00175A6C" w:rsidRDefault="00175A6C" w:rsidP="003F00EC">
      <w:pPr>
        <w:spacing w:after="0"/>
        <w:rPr>
          <w:lang w:eastAsia="cs-CZ"/>
        </w:rPr>
      </w:pPr>
    </w:p>
    <w:p w14:paraId="7AE22CF6" w14:textId="2C049E1A" w:rsidR="00016FFC" w:rsidRDefault="00C33260" w:rsidP="003F00EC">
      <w:pPr>
        <w:pStyle w:val="Nadpis2"/>
        <w:widowControl/>
        <w:spacing w:before="0" w:line="256" w:lineRule="auto"/>
      </w:pPr>
      <w:r w:rsidRPr="004733C4">
        <w:rPr>
          <w:b/>
          <w:bCs/>
          <w:i/>
          <w:iCs/>
        </w:rPr>
        <w:t>Národní akční plán čisté mobility</w:t>
      </w:r>
      <w:r>
        <w:t xml:space="preserve"> je </w:t>
      </w:r>
      <w:r w:rsidR="000B1ADC">
        <w:t xml:space="preserve">vládní </w:t>
      </w:r>
      <w:r>
        <w:t>strategický dokument</w:t>
      </w:r>
      <w:r w:rsidR="00F7662F">
        <w:t>, který</w:t>
      </w:r>
      <w:r w:rsidR="000B1ADC">
        <w:t xml:space="preserve"> se zabývá rozvojem alternativních paliv v odvětví dopravy a příslušné infrastruktury. NAP CM schválila vláda usnesením ze dne 20. listopadu 2015 č. 941</w:t>
      </w:r>
      <w:r w:rsidR="000B1ADC">
        <w:rPr>
          <w:rStyle w:val="Znakapoznpodarou"/>
        </w:rPr>
        <w:footnoteReference w:id="8"/>
      </w:r>
      <w:r w:rsidR="002054E0">
        <w:t xml:space="preserve">. Vznikl na základě požadavku směrnice </w:t>
      </w:r>
      <w:r w:rsidR="00C40404">
        <w:t>AFID</w:t>
      </w:r>
      <w:r w:rsidR="003F7BE7">
        <w:t>.</w:t>
      </w:r>
      <w:r w:rsidR="00AC6925">
        <w:t xml:space="preserve"> </w:t>
      </w:r>
      <w:r w:rsidR="00C40404">
        <w:t>NAP CM byl do doby ukončení kontroly NKÚ dvakrát aktualizován. První aktualizaci NAP CM schválila vláda svým usnesením ze dne 27. dubna 2020 č. 469</w:t>
      </w:r>
      <w:r w:rsidR="00C40404">
        <w:rPr>
          <w:rStyle w:val="Znakapoznpodarou"/>
        </w:rPr>
        <w:footnoteReference w:id="9"/>
      </w:r>
      <w:r w:rsidR="00C40404">
        <w:t>, důvodem pro aktualizaci byla potřeba zohlednit vývoj v oblasti alternativních paliv a</w:t>
      </w:r>
      <w:r w:rsidR="00BB1C94">
        <w:t> </w:t>
      </w:r>
      <w:r w:rsidR="00C40404">
        <w:t>pokračující důraz na postupnou dekarbonizaci</w:t>
      </w:r>
      <w:r w:rsidR="003F00EC">
        <w:t>.</w:t>
      </w:r>
      <w:r w:rsidR="00C40404">
        <w:rPr>
          <w:rStyle w:val="Znakapoznpodarou"/>
        </w:rPr>
        <w:footnoteReference w:id="10"/>
      </w:r>
      <w:r w:rsidR="00D51361">
        <w:t xml:space="preserve"> Druh</w:t>
      </w:r>
      <w:r w:rsidR="00B75952">
        <w:t>á</w:t>
      </w:r>
      <w:r w:rsidR="00D51361">
        <w:t xml:space="preserve"> aktualizac</w:t>
      </w:r>
      <w:r w:rsidR="00B75952">
        <w:t xml:space="preserve">e </w:t>
      </w:r>
      <w:r w:rsidR="00C40404">
        <w:t>NAP CM</w:t>
      </w:r>
      <w:r w:rsidR="00B75952">
        <w:t xml:space="preserve"> proběhla s ohledem na nově definované cíle a požadavky nařízení AFIR,</w:t>
      </w:r>
      <w:r w:rsidR="00D51361">
        <w:t xml:space="preserve"> </w:t>
      </w:r>
      <w:r w:rsidR="00C40404">
        <w:t>vláda</w:t>
      </w:r>
      <w:r w:rsidR="00B75952">
        <w:t xml:space="preserve"> ji schválila</w:t>
      </w:r>
      <w:r w:rsidR="00D51361">
        <w:t xml:space="preserve"> svý</w:t>
      </w:r>
      <w:r w:rsidR="00C40404">
        <w:t>m</w:t>
      </w:r>
      <w:r w:rsidR="00D51361">
        <w:t xml:space="preserve"> usnesením </w:t>
      </w:r>
      <w:r w:rsidR="00C40404">
        <w:t xml:space="preserve">ze </w:t>
      </w:r>
      <w:r w:rsidR="00D51361">
        <w:t>dne 28. srpna 2024 č. 590</w:t>
      </w:r>
      <w:r w:rsidR="00D51361">
        <w:rPr>
          <w:rStyle w:val="Znakapoznpodarou"/>
        </w:rPr>
        <w:footnoteReference w:id="11"/>
      </w:r>
      <w:r w:rsidR="00D51361">
        <w:t>.</w:t>
      </w:r>
      <w:r w:rsidR="00C40404">
        <w:t xml:space="preserve"> </w:t>
      </w:r>
    </w:p>
    <w:p w14:paraId="209A62EB" w14:textId="77777777" w:rsidR="00175A6C" w:rsidRPr="00175A6C" w:rsidRDefault="00175A6C" w:rsidP="003F00EC">
      <w:pPr>
        <w:spacing w:after="0"/>
        <w:rPr>
          <w:lang w:eastAsia="cs-CZ"/>
        </w:rPr>
      </w:pPr>
    </w:p>
    <w:p w14:paraId="78ABBEAD" w14:textId="360717EB" w:rsidR="00175A6C" w:rsidRDefault="003E26EF" w:rsidP="003F00EC">
      <w:pPr>
        <w:pStyle w:val="Nadpis2"/>
        <w:widowControl/>
        <w:spacing w:before="0" w:line="256" w:lineRule="auto"/>
      </w:pPr>
      <w:r w:rsidRPr="00175A6C">
        <w:rPr>
          <w:b/>
          <w:bCs/>
        </w:rPr>
        <w:t xml:space="preserve">Operační program </w:t>
      </w:r>
      <w:r w:rsidR="00735B9F" w:rsidRPr="004733C4">
        <w:rPr>
          <w:b/>
          <w:bCs/>
          <w:i/>
          <w:iCs/>
        </w:rPr>
        <w:t>P</w:t>
      </w:r>
      <w:r w:rsidRPr="004733C4">
        <w:rPr>
          <w:b/>
          <w:bCs/>
          <w:i/>
          <w:iCs/>
        </w:rPr>
        <w:t>odnikání a inovace pro konkurenceschopnost 2014</w:t>
      </w:r>
      <w:r w:rsidR="003F00EC" w:rsidRPr="004733C4">
        <w:rPr>
          <w:rFonts w:cstheme="minorHAnsi"/>
          <w:b/>
          <w:bCs/>
          <w:i/>
          <w:iCs/>
        </w:rPr>
        <w:t>–</w:t>
      </w:r>
      <w:r w:rsidRPr="004733C4">
        <w:rPr>
          <w:b/>
          <w:bCs/>
          <w:i/>
          <w:iCs/>
        </w:rPr>
        <w:t>2020</w:t>
      </w:r>
      <w:r w:rsidR="007F69C9">
        <w:t xml:space="preserve"> </w:t>
      </w:r>
      <w:r w:rsidR="00126C10">
        <w:t>schválila vláda ČR usnesením ze dne 14. července 2014 č.</w:t>
      </w:r>
      <w:r w:rsidR="00685D72">
        <w:t xml:space="preserve"> </w:t>
      </w:r>
      <w:r w:rsidR="00126C10">
        <w:t>581</w:t>
      </w:r>
      <w:r w:rsidR="00126C10">
        <w:rPr>
          <w:rStyle w:val="Znakapoznpodarou"/>
        </w:rPr>
        <w:footnoteReference w:id="12"/>
      </w:r>
      <w:r w:rsidR="00126C10">
        <w:t>. Programový dokument OP PIK schvál</w:t>
      </w:r>
      <w:r w:rsidR="003F00EC">
        <w:t>ila</w:t>
      </w:r>
      <w:r w:rsidR="00126C10">
        <w:t xml:space="preserve"> Evropsk</w:t>
      </w:r>
      <w:r w:rsidR="003F00EC">
        <w:t>á</w:t>
      </w:r>
      <w:r w:rsidR="00126C10">
        <w:t xml:space="preserve"> komis</w:t>
      </w:r>
      <w:r w:rsidR="003F00EC">
        <w:t>e</w:t>
      </w:r>
      <w:r w:rsidR="00126C10">
        <w:t xml:space="preserve"> rozhodnutím </w:t>
      </w:r>
      <w:proofErr w:type="gramStart"/>
      <w:r w:rsidR="00126C10">
        <w:t>C(</w:t>
      </w:r>
      <w:proofErr w:type="gramEnd"/>
      <w:r w:rsidR="00126C10">
        <w:t>2015) 3039 ze dne 29. dubna 2015. Podpora OP PIK pro čistou mobilitu byla realizována v prioritní ose 3, v rámci specifického cíle 3.4</w:t>
      </w:r>
      <w:r w:rsidR="00B53FBE">
        <w:t> </w:t>
      </w:r>
      <w:r w:rsidR="00126C10" w:rsidRPr="00175A6C">
        <w:rPr>
          <w:i/>
          <w:iCs/>
        </w:rPr>
        <w:t>Uplatnit inovativní nízkouhlíkové technologie v oblasti nakládání energií a při využívání druhotných surovin</w:t>
      </w:r>
      <w:r w:rsidR="00126C10">
        <w:t xml:space="preserve"> prostřednictvím programu podpory </w:t>
      </w:r>
      <w:r w:rsidR="00126C10" w:rsidRPr="004733C4">
        <w:rPr>
          <w:i/>
          <w:iCs/>
        </w:rPr>
        <w:t>Nízkouhlíkové technologie</w:t>
      </w:r>
      <w:r w:rsidR="00126C10">
        <w:t xml:space="preserve">. </w:t>
      </w:r>
      <w:r w:rsidR="007F69C9">
        <w:t xml:space="preserve">V období </w:t>
      </w:r>
      <w:r w:rsidR="000115DC">
        <w:t xml:space="preserve">let </w:t>
      </w:r>
      <w:r w:rsidR="007F69C9">
        <w:t>2016 až 2019 byla p</w:t>
      </w:r>
      <w:r w:rsidR="00126C10">
        <w:t>odpora</w:t>
      </w:r>
      <w:r w:rsidR="007F69C9">
        <w:t xml:space="preserve"> v rámci pěti výzev</w:t>
      </w:r>
      <w:r w:rsidR="00126C10">
        <w:t xml:space="preserve"> poskytována malým, středním a velkým podnikům na pořízení elektromobilů a pořízení nabíjecích neveřejných stanic pro elektromobily v rámci podnikatelského areálu pro vlastní potřebu.</w:t>
      </w:r>
      <w:r w:rsidR="007F69C9">
        <w:t xml:space="preserve"> </w:t>
      </w:r>
      <w:r w:rsidR="002C71E5">
        <w:t xml:space="preserve">MPO </w:t>
      </w:r>
      <w:r w:rsidR="000115DC">
        <w:t>bylo</w:t>
      </w:r>
      <w:r w:rsidR="002C71E5">
        <w:t xml:space="preserve"> říd</w:t>
      </w:r>
      <w:r w:rsidR="00445159">
        <w:t>i</w:t>
      </w:r>
      <w:r w:rsidR="002C71E5">
        <w:t>cím orgánem</w:t>
      </w:r>
      <w:r w:rsidR="000115DC">
        <w:t xml:space="preserve"> OP</w:t>
      </w:r>
      <w:r w:rsidR="00445159">
        <w:t xml:space="preserve"> </w:t>
      </w:r>
      <w:r w:rsidR="000115DC">
        <w:t>PIK</w:t>
      </w:r>
      <w:r w:rsidR="002C71E5">
        <w:t xml:space="preserve"> </w:t>
      </w:r>
      <w:r w:rsidR="003F00EC">
        <w:t>a činnosti s ním související</w:t>
      </w:r>
      <w:r w:rsidR="002C71E5">
        <w:t xml:space="preserve"> zabezpeč</w:t>
      </w:r>
      <w:r w:rsidR="003F00EC">
        <w:t>ovalo</w:t>
      </w:r>
      <w:r w:rsidR="002C71E5">
        <w:t xml:space="preserve"> podle obecného nařízení Evropského parlamentu a Rady (EU) č. 1303/2013</w:t>
      </w:r>
      <w:r w:rsidR="002C71E5">
        <w:rPr>
          <w:rStyle w:val="Znakapoznpodarou"/>
        </w:rPr>
        <w:footnoteReference w:id="13"/>
      </w:r>
      <w:r w:rsidR="000115DC">
        <w:t>. Č</w:t>
      </w:r>
      <w:r w:rsidR="002C71E5">
        <w:t>ást těchto činnost</w:t>
      </w:r>
      <w:r w:rsidR="00445159">
        <w:t>í</w:t>
      </w:r>
      <w:r w:rsidR="002C71E5">
        <w:t xml:space="preserve"> delegovalo na zprostředkující subjekt, kterým je od </w:t>
      </w:r>
      <w:r w:rsidR="00AA4DF1">
        <w:t xml:space="preserve">června </w:t>
      </w:r>
      <w:r w:rsidR="002C71E5">
        <w:t xml:space="preserve">2016 </w:t>
      </w:r>
      <w:r w:rsidR="002C71E5">
        <w:lastRenderedPageBreak/>
        <w:t>Agentura pro podnikání a</w:t>
      </w:r>
      <w:r w:rsidR="003F00EC">
        <w:t> </w:t>
      </w:r>
      <w:r w:rsidR="002C71E5">
        <w:t xml:space="preserve">inovace, která je státní příspěvkovou organizací a </w:t>
      </w:r>
      <w:r w:rsidR="004A3484">
        <w:t xml:space="preserve">je </w:t>
      </w:r>
      <w:r w:rsidR="002C71E5">
        <w:t>podřízen</w:t>
      </w:r>
      <w:r w:rsidR="004A3484">
        <w:t>a</w:t>
      </w:r>
      <w:r w:rsidR="002C71E5">
        <w:t xml:space="preserve"> MPO.</w:t>
      </w:r>
      <w:r w:rsidR="00BE608E">
        <w:t xml:space="preserve"> V programovém období 2014 až 2020 </w:t>
      </w:r>
      <w:r w:rsidR="000115DC">
        <w:t xml:space="preserve">podpořilo </w:t>
      </w:r>
      <w:r w:rsidR="00BE608E">
        <w:t>MPO</w:t>
      </w:r>
      <w:r w:rsidR="000115DC">
        <w:t xml:space="preserve"> celkem </w:t>
      </w:r>
      <w:r w:rsidR="00E90DD0">
        <w:t xml:space="preserve">557 </w:t>
      </w:r>
      <w:r w:rsidR="000115DC">
        <w:t>projektů</w:t>
      </w:r>
      <w:r w:rsidR="00AA4DF1">
        <w:t>, podpora dosáhla celkové výše</w:t>
      </w:r>
      <w:r w:rsidR="000115DC">
        <w:t xml:space="preserve"> </w:t>
      </w:r>
      <w:r w:rsidR="00BE4836">
        <w:t>272,775</w:t>
      </w:r>
      <w:r w:rsidR="00AA4DF1">
        <w:t> </w:t>
      </w:r>
      <w:r w:rsidR="00BE608E">
        <w:t>mil.</w:t>
      </w:r>
      <w:r w:rsidR="00AA4DF1">
        <w:t> </w:t>
      </w:r>
      <w:r w:rsidR="00BE608E">
        <w:t>Kč</w:t>
      </w:r>
      <w:r w:rsidR="000115DC">
        <w:t>.</w:t>
      </w:r>
    </w:p>
    <w:p w14:paraId="0CB57D81" w14:textId="77777777" w:rsidR="00175A6C" w:rsidRPr="00175A6C" w:rsidRDefault="00175A6C" w:rsidP="003F00EC">
      <w:pPr>
        <w:spacing w:after="0"/>
        <w:rPr>
          <w:lang w:eastAsia="cs-CZ"/>
        </w:rPr>
      </w:pPr>
    </w:p>
    <w:p w14:paraId="6A192E37" w14:textId="492D53C9" w:rsidR="00480616" w:rsidRDefault="00180C20" w:rsidP="003F00EC">
      <w:pPr>
        <w:pStyle w:val="Nadpis2"/>
        <w:widowControl/>
        <w:spacing w:before="0" w:line="256" w:lineRule="auto"/>
      </w:pPr>
      <w:r w:rsidRPr="00175A6C">
        <w:rPr>
          <w:b/>
          <w:bCs/>
        </w:rPr>
        <w:t xml:space="preserve">Operační program </w:t>
      </w:r>
      <w:r w:rsidRPr="004733C4">
        <w:rPr>
          <w:b/>
          <w:bCs/>
          <w:i/>
          <w:iCs/>
        </w:rPr>
        <w:t>Doprava 2014</w:t>
      </w:r>
      <w:r w:rsidR="00AA4DF1" w:rsidRPr="004733C4">
        <w:rPr>
          <w:rFonts w:cstheme="minorHAnsi"/>
          <w:b/>
          <w:bCs/>
          <w:i/>
          <w:iCs/>
        </w:rPr>
        <w:t>–</w:t>
      </w:r>
      <w:r w:rsidRPr="004733C4">
        <w:rPr>
          <w:b/>
          <w:bCs/>
          <w:i/>
          <w:iCs/>
        </w:rPr>
        <w:t>2020</w:t>
      </w:r>
      <w:r>
        <w:t xml:space="preserve"> schválila Evropská komise dne 11. května 2015. Podpora rozvoje alternativních paliv byla realizována v prioritní ose 2 </w:t>
      </w:r>
      <w:r w:rsidRPr="00175A6C">
        <w:rPr>
          <w:i/>
          <w:iCs/>
        </w:rPr>
        <w:t>Silniční infrastruktura na síti TEN-T, veřejná infrastruktura pro čistou mobilitu a řízení silničního provozu</w:t>
      </w:r>
      <w:r>
        <w:t>.</w:t>
      </w:r>
      <w:r w:rsidR="006F4213">
        <w:t xml:space="preserve"> Řídicím a zprostředkujícím orgánem pro oblast alternativních paliv bylo MD.</w:t>
      </w:r>
      <w:r>
        <w:t xml:space="preserve"> Rozvoj alternativních paliv</w:t>
      </w:r>
      <w:r w:rsidR="003D50EC">
        <w:t xml:space="preserve"> byl podporován prostřednictvím specifického cíle 2.2, jehož cílem bylo zajistit vytvoření podmínek pro širší využití vozidel na alternativní pohon na silniční síti, a to zejména ve městech a na hlavní síti TEN-T.</w:t>
      </w:r>
      <w:r>
        <w:t xml:space="preserve"> </w:t>
      </w:r>
      <w:r w:rsidR="00557382">
        <w:t>Podporovanými aktivitami bylo vybudování páteřní sítě rychlodobíjecích</w:t>
      </w:r>
      <w:r w:rsidR="00CA0B5C">
        <w:t xml:space="preserve"> stanic</w:t>
      </w:r>
      <w:r w:rsidR="00557382">
        <w:t xml:space="preserve">, výstavba běžných dobíjecích stanic, </w:t>
      </w:r>
      <w:r w:rsidR="003D50EC">
        <w:t xml:space="preserve">výstavba </w:t>
      </w:r>
      <w:r w:rsidR="00557382">
        <w:t>pln</w:t>
      </w:r>
      <w:r w:rsidR="003D50EC">
        <w:t>i</w:t>
      </w:r>
      <w:r w:rsidR="00557382">
        <w:t>cích stanic na CNG, LNG a vodík.</w:t>
      </w:r>
      <w:r w:rsidR="00EF754F">
        <w:t xml:space="preserve"> Podmínkou podpory byla veřejná dostupnost dobíjecích a plnicích stanic.</w:t>
      </w:r>
      <w:r w:rsidR="00557382">
        <w:t xml:space="preserve"> Formou podpory byla dotace</w:t>
      </w:r>
      <w:r w:rsidR="003D50EC">
        <w:t>. C</w:t>
      </w:r>
      <w:r w:rsidR="00557382">
        <w:t xml:space="preserve">elková alokace </w:t>
      </w:r>
      <w:r w:rsidR="00477A93">
        <w:t xml:space="preserve">specifického cíle 2.2 </w:t>
      </w:r>
      <w:r w:rsidR="00557382">
        <w:t xml:space="preserve">byla </w:t>
      </w:r>
      <w:r w:rsidR="003D50EC">
        <w:t xml:space="preserve">ve výši </w:t>
      </w:r>
      <w:r w:rsidR="00557382">
        <w:t>1,2 mld. Kč</w:t>
      </w:r>
      <w:r w:rsidR="00BE608E">
        <w:t>.</w:t>
      </w:r>
      <w:r w:rsidR="001C4900">
        <w:t xml:space="preserve"> </w:t>
      </w:r>
      <w:r w:rsidR="003D50EC">
        <w:t>P</w:t>
      </w:r>
      <w:r w:rsidR="001C4900">
        <w:t>odpořeno</w:t>
      </w:r>
      <w:r w:rsidR="003D50EC">
        <w:t xml:space="preserve"> bylo</w:t>
      </w:r>
      <w:r w:rsidR="001C4900">
        <w:t xml:space="preserve"> 24 projektů z 49 podaných žádostí o podporu. Z příspěvku Unie bylo proplaceno 473,5 mil. Kč a vybudováno bylo 1</w:t>
      </w:r>
      <w:r w:rsidR="00735B9F">
        <w:t> </w:t>
      </w:r>
      <w:r w:rsidR="001C4900">
        <w:t xml:space="preserve">325 dobíjecích </w:t>
      </w:r>
      <w:r w:rsidR="00B75952">
        <w:t xml:space="preserve">a </w:t>
      </w:r>
      <w:r w:rsidR="005F6731">
        <w:t>plnicích</w:t>
      </w:r>
      <w:r w:rsidR="001C4900">
        <w:t xml:space="preserve"> stanic.</w:t>
      </w:r>
    </w:p>
    <w:p w14:paraId="41B927C2" w14:textId="77777777" w:rsidR="00175A6C" w:rsidRPr="00175A6C" w:rsidRDefault="00175A6C" w:rsidP="003F00EC">
      <w:pPr>
        <w:spacing w:after="0"/>
        <w:rPr>
          <w:lang w:eastAsia="cs-CZ"/>
        </w:rPr>
      </w:pPr>
    </w:p>
    <w:p w14:paraId="5FCA4B00" w14:textId="401C175E" w:rsidR="00B87F12" w:rsidRDefault="007163DE" w:rsidP="003F00EC">
      <w:pPr>
        <w:pStyle w:val="Nadpis2"/>
        <w:widowControl/>
        <w:spacing w:before="0" w:line="256" w:lineRule="auto"/>
      </w:pPr>
      <w:r w:rsidRPr="00A50782">
        <w:rPr>
          <w:b/>
          <w:bCs/>
        </w:rPr>
        <w:t xml:space="preserve">Operační program </w:t>
      </w:r>
      <w:r w:rsidRPr="004733C4">
        <w:rPr>
          <w:b/>
          <w:bCs/>
          <w:i/>
          <w:iCs/>
        </w:rPr>
        <w:t>Doprava 2021</w:t>
      </w:r>
      <w:r w:rsidR="00AA4DF1" w:rsidRPr="004733C4">
        <w:rPr>
          <w:rFonts w:cstheme="minorHAnsi"/>
          <w:b/>
          <w:bCs/>
          <w:i/>
          <w:iCs/>
        </w:rPr>
        <w:t>–</w:t>
      </w:r>
      <w:r w:rsidRPr="004733C4">
        <w:rPr>
          <w:b/>
          <w:bCs/>
          <w:i/>
          <w:iCs/>
        </w:rPr>
        <w:t>2027</w:t>
      </w:r>
      <w:r>
        <w:t xml:space="preserve"> </w:t>
      </w:r>
      <w:r w:rsidR="00A50782">
        <w:t xml:space="preserve">schválila Evropská komise dne 8. července 2022. Podpora čisté mobility je součástí priority 3 </w:t>
      </w:r>
      <w:r w:rsidR="00A50782" w:rsidRPr="00916A5F">
        <w:rPr>
          <w:i/>
          <w:iCs/>
        </w:rPr>
        <w:t>Udržitelná a městská mobilita (a alternativní paliva)</w:t>
      </w:r>
      <w:r w:rsidR="00A50782">
        <w:t xml:space="preserve">, specifického cíle č. RSO2.8 </w:t>
      </w:r>
      <w:r w:rsidR="00A50782" w:rsidRPr="00916A5F">
        <w:rPr>
          <w:i/>
          <w:iCs/>
        </w:rPr>
        <w:t>Podpora udržitelné multimodální městské mobility v</w:t>
      </w:r>
      <w:r w:rsidR="00B4612B" w:rsidRPr="00916A5F">
        <w:rPr>
          <w:i/>
          <w:iCs/>
        </w:rPr>
        <w:t> </w:t>
      </w:r>
      <w:r w:rsidR="00A50782" w:rsidRPr="00916A5F">
        <w:rPr>
          <w:i/>
          <w:iCs/>
        </w:rPr>
        <w:t>rámci</w:t>
      </w:r>
      <w:r w:rsidR="00B4612B" w:rsidRPr="00916A5F">
        <w:rPr>
          <w:i/>
          <w:iCs/>
        </w:rPr>
        <w:t xml:space="preserve"> přechodu na uhlíkově neutrální hospodářství</w:t>
      </w:r>
      <w:r w:rsidR="00B4612B">
        <w:t>.</w:t>
      </w:r>
      <w:r w:rsidR="006F4213">
        <w:t xml:space="preserve"> Řídicím a zprostředkujícím orgánem v oblasti alternativních paliv je MD.</w:t>
      </w:r>
      <w:r w:rsidR="00B4612B">
        <w:t xml:space="preserve"> Podpora je zaměřená na rozvoj infrastruktury pro elektromobilitu a jiná alternativní paliva (vodík, LNG), konkrétně mají být podporovány veřejně přístupné dobíjecí a pln</w:t>
      </w:r>
      <w:r w:rsidR="00477A93">
        <w:t>i</w:t>
      </w:r>
      <w:r w:rsidR="00B4612B">
        <w:t xml:space="preserve">cí stanice. </w:t>
      </w:r>
      <w:r w:rsidR="00B4306E">
        <w:t>Na rozvoj infrastruktury pro alternativní paliva je alokováno v</w:t>
      </w:r>
      <w:r w:rsidR="00293618">
        <w:t xml:space="preserve"> operačním programu </w:t>
      </w:r>
      <w:r w:rsidR="00293618" w:rsidRPr="004733C4">
        <w:rPr>
          <w:i/>
          <w:iCs/>
        </w:rPr>
        <w:t>Doprava 2021</w:t>
      </w:r>
      <w:r w:rsidR="00AA4DF1" w:rsidRPr="00AA4DF1">
        <w:rPr>
          <w:rFonts w:cstheme="minorHAnsi"/>
          <w:i/>
          <w:iCs/>
        </w:rPr>
        <w:t>–</w:t>
      </w:r>
      <w:r w:rsidR="00293618" w:rsidRPr="004733C4">
        <w:rPr>
          <w:i/>
          <w:iCs/>
        </w:rPr>
        <w:t>2027</w:t>
      </w:r>
      <w:r w:rsidR="00293618">
        <w:t xml:space="preserve"> </w:t>
      </w:r>
      <w:r w:rsidR="00B4306E">
        <w:t xml:space="preserve">celkem 6 mld. Kč. </w:t>
      </w:r>
      <w:r w:rsidR="00BE608E">
        <w:t>V době ukončení kontroly bylo</w:t>
      </w:r>
      <w:r w:rsidR="00F364D8">
        <w:t xml:space="preserve"> zaregistrováno</w:t>
      </w:r>
      <w:r w:rsidR="00BE608E">
        <w:t xml:space="preserve"> </w:t>
      </w:r>
      <w:r w:rsidR="00F364D8">
        <w:t>116</w:t>
      </w:r>
      <w:r w:rsidR="00BE608E">
        <w:t xml:space="preserve"> žádostí o podporu, z toho </w:t>
      </w:r>
      <w:r w:rsidR="00F364D8">
        <w:t>56 projektů prošlo hodnocením a bylo jim</w:t>
      </w:r>
      <w:r w:rsidR="00BE608E">
        <w:t xml:space="preserve"> </w:t>
      </w:r>
      <w:r w:rsidR="00B4306E">
        <w:t>vyd</w:t>
      </w:r>
      <w:r w:rsidR="00F364D8">
        <w:t>áno</w:t>
      </w:r>
      <w:r w:rsidR="00B4306E">
        <w:t xml:space="preserve"> </w:t>
      </w:r>
      <w:r w:rsidR="00BE608E">
        <w:t>rozhodnutí o poskytnutí dotace</w:t>
      </w:r>
      <w:r w:rsidR="00AA4DF1">
        <w:t>,</w:t>
      </w:r>
      <w:r w:rsidR="00BE608E">
        <w:t xml:space="preserve"> </w:t>
      </w:r>
      <w:r w:rsidR="00F364D8">
        <w:t>z</w:t>
      </w:r>
      <w:r w:rsidR="00BB1C94">
        <w:t> </w:t>
      </w:r>
      <w:r w:rsidR="00F364D8">
        <w:t>toho</w:t>
      </w:r>
      <w:r w:rsidR="00BE608E">
        <w:t xml:space="preserve"> 16 projektů </w:t>
      </w:r>
      <w:r w:rsidR="00B4306E">
        <w:t xml:space="preserve">bylo </w:t>
      </w:r>
      <w:r w:rsidR="00F364D8">
        <w:t xml:space="preserve">již </w:t>
      </w:r>
      <w:r w:rsidR="00B4306E">
        <w:t>v</w:t>
      </w:r>
      <w:r w:rsidR="00BE608E">
        <w:t xml:space="preserve"> realiz</w:t>
      </w:r>
      <w:r w:rsidR="00B4306E">
        <w:t>aci</w:t>
      </w:r>
      <w:r w:rsidR="00BE608E">
        <w:t>.</w:t>
      </w:r>
      <w:r w:rsidR="00465FCA">
        <w:t xml:space="preserve"> </w:t>
      </w:r>
    </w:p>
    <w:p w14:paraId="4BBBFFAC" w14:textId="77777777" w:rsidR="00175A6C" w:rsidRPr="00175A6C" w:rsidRDefault="00175A6C" w:rsidP="003F00EC">
      <w:pPr>
        <w:spacing w:after="0"/>
        <w:rPr>
          <w:lang w:eastAsia="cs-CZ"/>
        </w:rPr>
      </w:pPr>
    </w:p>
    <w:p w14:paraId="70DA78F4" w14:textId="526B7E24" w:rsidR="00810B8A" w:rsidRDefault="00D63D38" w:rsidP="003F00EC">
      <w:pPr>
        <w:pStyle w:val="Nadpis2"/>
        <w:widowControl/>
        <w:spacing w:before="0" w:line="256" w:lineRule="auto"/>
      </w:pPr>
      <w:r w:rsidRPr="004733C4">
        <w:rPr>
          <w:b/>
          <w:bCs/>
          <w:i/>
          <w:iCs/>
        </w:rPr>
        <w:t>Národní plán obnovy</w:t>
      </w:r>
      <w:r w:rsidR="007E3D43">
        <w:rPr>
          <w:b/>
          <w:bCs/>
        </w:rPr>
        <w:t xml:space="preserve"> </w:t>
      </w:r>
      <w:r w:rsidR="007E3D43">
        <w:t xml:space="preserve">je strategický dokument, </w:t>
      </w:r>
      <w:r w:rsidR="00F364D8">
        <w:t xml:space="preserve">na </w:t>
      </w:r>
      <w:proofErr w:type="gramStart"/>
      <w:r w:rsidR="00F364D8">
        <w:t>základě</w:t>
      </w:r>
      <w:proofErr w:type="gramEnd"/>
      <w:r w:rsidR="00F364D8">
        <w:t xml:space="preserve"> kterého čerpá ČR prostředky z </w:t>
      </w:r>
      <w:r w:rsidR="00F364D8" w:rsidRPr="004733C4">
        <w:rPr>
          <w:i/>
          <w:iCs/>
        </w:rPr>
        <w:t>Nástroje pro oživení a odolnost</w:t>
      </w:r>
      <w:r w:rsidR="00F364D8">
        <w:t xml:space="preserve">, který byl zřízen </w:t>
      </w:r>
      <w:r w:rsidR="00AA4DF1">
        <w:t>n</w:t>
      </w:r>
      <w:r w:rsidR="00F364D8">
        <w:t xml:space="preserve">ařízením </w:t>
      </w:r>
      <w:r w:rsidR="007E3D43">
        <w:t>Evropského parlamentu a</w:t>
      </w:r>
      <w:r w:rsidR="00BB1C94">
        <w:t> </w:t>
      </w:r>
      <w:r w:rsidR="007E3D43">
        <w:t>Rady (EU) 2021/241 ze dne 12.</w:t>
      </w:r>
      <w:r w:rsidR="00765335">
        <w:t xml:space="preserve"> </w:t>
      </w:r>
      <w:r w:rsidR="007E3D43">
        <w:t>února 2021</w:t>
      </w:r>
      <w:r w:rsidR="007E3D43">
        <w:rPr>
          <w:rStyle w:val="Znakapoznpodarou"/>
        </w:rPr>
        <w:footnoteReference w:id="14"/>
      </w:r>
      <w:r w:rsidR="00810B8A">
        <w:t>.</w:t>
      </w:r>
      <w:r w:rsidR="007E3D43">
        <w:t xml:space="preserve"> Vláda ČR schválila </w:t>
      </w:r>
      <w:r w:rsidR="00AA4DF1">
        <w:t xml:space="preserve">NPO </w:t>
      </w:r>
      <w:r w:rsidR="007E3D43">
        <w:t>dne 17. května 2021 usnesením č. 467</w:t>
      </w:r>
      <w:r w:rsidR="007E3D43">
        <w:rPr>
          <w:rStyle w:val="Znakapoznpodarou"/>
        </w:rPr>
        <w:footnoteReference w:id="15"/>
      </w:r>
      <w:r w:rsidR="00765335">
        <w:t>.</w:t>
      </w:r>
      <w:r w:rsidR="007E3D43">
        <w:t xml:space="preserve"> </w:t>
      </w:r>
      <w:r w:rsidR="00916A5F">
        <w:t>Do 31. října 2025 byl NPO třikrát aktualizován.</w:t>
      </w:r>
      <w:r w:rsidR="007E3D43">
        <w:t xml:space="preserve"> </w:t>
      </w:r>
      <w:r w:rsidR="007E3D43" w:rsidRPr="00D63D38">
        <w:t xml:space="preserve">Podpora </w:t>
      </w:r>
      <w:r w:rsidR="00916A5F">
        <w:t>rozvoje</w:t>
      </w:r>
      <w:r w:rsidR="007E3D43">
        <w:rPr>
          <w:b/>
          <w:bCs/>
        </w:rPr>
        <w:t xml:space="preserve"> </w:t>
      </w:r>
      <w:r w:rsidR="007E3D43">
        <w:t xml:space="preserve">čisté mobility </w:t>
      </w:r>
      <w:r w:rsidR="00916A5F">
        <w:t xml:space="preserve">v oblasti silniční dopravy </w:t>
      </w:r>
      <w:r w:rsidR="007E3D43">
        <w:t>je</w:t>
      </w:r>
      <w:r w:rsidR="00916A5F">
        <w:t xml:space="preserve"> součástí pilíře 2 </w:t>
      </w:r>
      <w:r w:rsidR="00916A5F" w:rsidRPr="00916A5F">
        <w:rPr>
          <w:i/>
          <w:iCs/>
        </w:rPr>
        <w:t>Fyzická infrastruktura a zelená tranzice</w:t>
      </w:r>
      <w:r w:rsidR="007E3D43">
        <w:t xml:space="preserve"> </w:t>
      </w:r>
      <w:r w:rsidR="001E62DD">
        <w:t>a</w:t>
      </w:r>
      <w:r w:rsidR="007E3D43">
        <w:t xml:space="preserve"> komponenty 2.4 </w:t>
      </w:r>
      <w:r w:rsidR="007E3D43" w:rsidRPr="004733C4">
        <w:rPr>
          <w:i/>
          <w:iCs/>
        </w:rPr>
        <w:t xml:space="preserve">Čistá </w:t>
      </w:r>
      <w:r w:rsidR="00C152BB" w:rsidRPr="004733C4">
        <w:rPr>
          <w:i/>
          <w:iCs/>
        </w:rPr>
        <w:t>mobilita</w:t>
      </w:r>
      <w:r w:rsidR="00C152BB">
        <w:t xml:space="preserve"> a</w:t>
      </w:r>
      <w:r w:rsidR="001E62DD">
        <w:t xml:space="preserve"> od roku 2023 na základě aktualizace NPO rovněž součástí pilíře 7 v komponentě 7.5 </w:t>
      </w:r>
      <w:r w:rsidR="001E62DD" w:rsidRPr="004733C4">
        <w:rPr>
          <w:i/>
          <w:iCs/>
        </w:rPr>
        <w:t>Dekarbonizace silniční dopravy</w:t>
      </w:r>
      <w:r w:rsidR="001E62DD">
        <w:t xml:space="preserve"> (</w:t>
      </w:r>
      <w:proofErr w:type="spellStart"/>
      <w:r w:rsidR="001E62DD">
        <w:t>REP</w:t>
      </w:r>
      <w:r w:rsidR="004D0FB5">
        <w:t>ower</w:t>
      </w:r>
      <w:r w:rsidR="001E62DD">
        <w:t>EU</w:t>
      </w:r>
      <w:proofErr w:type="spellEnd"/>
      <w:r w:rsidR="001E62DD">
        <w:t xml:space="preserve">). </w:t>
      </w:r>
      <w:r w:rsidR="00810B8A">
        <w:t>Podpora byla v</w:t>
      </w:r>
      <w:r w:rsidR="001157CD">
        <w:t> </w:t>
      </w:r>
      <w:r w:rsidR="00810B8A">
        <w:t>obou</w:t>
      </w:r>
      <w:r w:rsidR="001157CD">
        <w:t xml:space="preserve"> těchto</w:t>
      </w:r>
      <w:r w:rsidR="00810B8A">
        <w:t xml:space="preserve"> komponentách poskytována prostřednictvím finančního nástroje</w:t>
      </w:r>
      <w:r w:rsidR="001157CD">
        <w:t xml:space="preserve"> s dotační složkou.</w:t>
      </w:r>
    </w:p>
    <w:p w14:paraId="38B08AFF" w14:textId="77777777" w:rsidR="00337B9C" w:rsidRDefault="00337B9C" w:rsidP="003F00EC">
      <w:pPr>
        <w:spacing w:after="0"/>
        <w:rPr>
          <w:lang w:eastAsia="cs-CZ"/>
        </w:rPr>
      </w:pPr>
    </w:p>
    <w:p w14:paraId="5F0BC9AE" w14:textId="2F0EA6DA" w:rsidR="00337B9C" w:rsidRDefault="00337B9C" w:rsidP="004733C4">
      <w:pPr>
        <w:pStyle w:val="Nadpis2"/>
        <w:widowControl/>
        <w:spacing w:before="0" w:after="240"/>
      </w:pPr>
      <w:r>
        <w:lastRenderedPageBreak/>
        <w:t xml:space="preserve">V tabulce č. </w:t>
      </w:r>
      <w:r w:rsidR="00F234AB">
        <w:t>1</w:t>
      </w:r>
      <w:r>
        <w:t xml:space="preserve"> jsou uvedeny statistické údaje o veřejně přístupn</w:t>
      </w:r>
      <w:r w:rsidR="00CA0B5C">
        <w:t>é</w:t>
      </w:r>
      <w:r>
        <w:t xml:space="preserve"> dobíjecí a plnicí infrastruktuře v ČR k 30. září 2025.</w:t>
      </w:r>
    </w:p>
    <w:p w14:paraId="25C2A4AE" w14:textId="0A706BED" w:rsidR="00337B9C" w:rsidRPr="00F234AB" w:rsidRDefault="00337B9C" w:rsidP="004733C4">
      <w:pPr>
        <w:spacing w:after="0"/>
        <w:ind w:left="1871" w:hanging="1304"/>
        <w:rPr>
          <w:b/>
          <w:bCs/>
          <w:lang w:eastAsia="cs-CZ"/>
        </w:rPr>
      </w:pPr>
      <w:r w:rsidRPr="00F234AB">
        <w:rPr>
          <w:b/>
          <w:bCs/>
          <w:lang w:eastAsia="cs-CZ"/>
        </w:rPr>
        <w:t xml:space="preserve">Tabulka č. </w:t>
      </w:r>
      <w:r w:rsidR="00F234AB" w:rsidRPr="00F234AB">
        <w:rPr>
          <w:b/>
          <w:bCs/>
          <w:lang w:eastAsia="cs-CZ"/>
        </w:rPr>
        <w:t>1</w:t>
      </w:r>
      <w:r w:rsidRPr="00F234AB">
        <w:rPr>
          <w:b/>
          <w:bCs/>
          <w:lang w:eastAsia="cs-CZ"/>
        </w:rPr>
        <w:t xml:space="preserve">: </w:t>
      </w:r>
      <w:r w:rsidR="007404F0">
        <w:rPr>
          <w:b/>
          <w:bCs/>
          <w:lang w:eastAsia="cs-CZ"/>
        </w:rPr>
        <w:tab/>
      </w:r>
      <w:r w:rsidRPr="00F234AB">
        <w:rPr>
          <w:b/>
          <w:bCs/>
          <w:lang w:eastAsia="cs-CZ"/>
        </w:rPr>
        <w:t>Statistické údaje veřejně přístupné dobíjecí a plnicí infrastruktury v ČR k 30. září 2025</w:t>
      </w:r>
    </w:p>
    <w:tbl>
      <w:tblPr>
        <w:tblStyle w:val="Mkatabulky"/>
        <w:tblW w:w="8503" w:type="dxa"/>
        <w:tblInd w:w="562" w:type="dxa"/>
        <w:tblLook w:val="04A0" w:firstRow="1" w:lastRow="0" w:firstColumn="1" w:lastColumn="0" w:noHBand="0" w:noVBand="1"/>
      </w:tblPr>
      <w:tblGrid>
        <w:gridCol w:w="5882"/>
        <w:gridCol w:w="2621"/>
      </w:tblGrid>
      <w:tr w:rsidR="00337B9C" w:rsidRPr="00CC7112" w14:paraId="5FA70543" w14:textId="77777777" w:rsidTr="00EF25FD">
        <w:tc>
          <w:tcPr>
            <w:tcW w:w="5882" w:type="dxa"/>
            <w:shd w:val="clear" w:color="auto" w:fill="E2F1EE"/>
          </w:tcPr>
          <w:p w14:paraId="093B89CE" w14:textId="6E3A3E25" w:rsidR="00337B9C" w:rsidRPr="00327C1E" w:rsidRDefault="004D0FB5" w:rsidP="003F00EC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I</w:t>
            </w:r>
            <w:r w:rsidR="00337B9C" w:rsidRPr="00327C1E">
              <w:rPr>
                <w:rFonts w:cs="Calibri"/>
                <w:b/>
                <w:bCs/>
                <w:sz w:val="20"/>
              </w:rPr>
              <w:t>nformace</w:t>
            </w:r>
          </w:p>
        </w:tc>
        <w:tc>
          <w:tcPr>
            <w:tcW w:w="2621" w:type="dxa"/>
            <w:shd w:val="clear" w:color="auto" w:fill="E2F1EE"/>
          </w:tcPr>
          <w:p w14:paraId="4C226C71" w14:textId="4B6EFD30" w:rsidR="00337B9C" w:rsidRPr="00327C1E" w:rsidRDefault="004D0FB5" w:rsidP="003F00EC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P</w:t>
            </w:r>
            <w:r w:rsidR="00337B9C" w:rsidRPr="00327C1E">
              <w:rPr>
                <w:rFonts w:cs="Calibri"/>
                <w:b/>
                <w:bCs/>
                <w:sz w:val="20"/>
              </w:rPr>
              <w:t>očet</w:t>
            </w:r>
          </w:p>
        </w:tc>
      </w:tr>
      <w:tr w:rsidR="00337B9C" w:rsidRPr="00CC7112" w14:paraId="78AC0510" w14:textId="77777777" w:rsidTr="00EF25FD">
        <w:tc>
          <w:tcPr>
            <w:tcW w:w="5882" w:type="dxa"/>
          </w:tcPr>
          <w:p w14:paraId="2581CFDB" w14:textId="7BF3FC11" w:rsidR="00337B9C" w:rsidRPr="00CC7112" w:rsidRDefault="004D0FB5" w:rsidP="003F00EC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D</w:t>
            </w:r>
            <w:r w:rsidR="00337B9C" w:rsidRPr="00CC7112">
              <w:rPr>
                <w:rFonts w:cs="Calibri"/>
                <w:sz w:val="20"/>
              </w:rPr>
              <w:t>obíjecí stanic</w:t>
            </w:r>
            <w:r w:rsidR="00337B9C">
              <w:rPr>
                <w:rFonts w:cs="Calibri"/>
                <w:sz w:val="20"/>
              </w:rPr>
              <w:t>e</w:t>
            </w:r>
            <w:r w:rsidR="00337B9C" w:rsidRPr="00CC7112">
              <w:rPr>
                <w:rFonts w:cs="Calibri"/>
                <w:sz w:val="20"/>
              </w:rPr>
              <w:t xml:space="preserve"> s výkonem </w:t>
            </w:r>
            <w:proofErr w:type="gramStart"/>
            <w:r w:rsidR="00337B9C">
              <w:rPr>
                <w:rFonts w:cs="Calibri"/>
                <w:sz w:val="20"/>
              </w:rPr>
              <w:t>&lt;</w:t>
            </w:r>
            <w:r w:rsidR="00E07296">
              <w:rPr>
                <w:rFonts w:cs="Calibri"/>
                <w:sz w:val="20"/>
              </w:rPr>
              <w:t xml:space="preserve"> </w:t>
            </w:r>
            <w:r w:rsidR="00337B9C" w:rsidRPr="00CC7112">
              <w:rPr>
                <w:rFonts w:cs="Calibri"/>
                <w:sz w:val="20"/>
              </w:rPr>
              <w:t>50</w:t>
            </w:r>
            <w:proofErr w:type="gramEnd"/>
            <w:r w:rsidR="00337B9C" w:rsidRPr="00CC7112">
              <w:rPr>
                <w:rFonts w:cs="Calibri"/>
                <w:sz w:val="20"/>
              </w:rPr>
              <w:t xml:space="preserve"> kW</w:t>
            </w:r>
          </w:p>
        </w:tc>
        <w:tc>
          <w:tcPr>
            <w:tcW w:w="2621" w:type="dxa"/>
          </w:tcPr>
          <w:p w14:paraId="000FC959" w14:textId="77777777" w:rsidR="00337B9C" w:rsidRPr="00CC7112" w:rsidRDefault="00337B9C" w:rsidP="003F00EC">
            <w:pPr>
              <w:jc w:val="righ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1 700</w:t>
            </w:r>
          </w:p>
        </w:tc>
      </w:tr>
      <w:tr w:rsidR="00337B9C" w:rsidRPr="00CC7112" w14:paraId="5B086B90" w14:textId="77777777" w:rsidTr="00EF25FD">
        <w:tc>
          <w:tcPr>
            <w:tcW w:w="5882" w:type="dxa"/>
          </w:tcPr>
          <w:p w14:paraId="7A4B3DAE" w14:textId="5A1A0C03" w:rsidR="00337B9C" w:rsidRPr="00CC7112" w:rsidRDefault="004D0FB5" w:rsidP="003F00EC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P</w:t>
            </w:r>
            <w:r w:rsidR="00337B9C" w:rsidRPr="00CC7112">
              <w:rPr>
                <w:rFonts w:cs="Calibri"/>
                <w:sz w:val="20"/>
              </w:rPr>
              <w:t xml:space="preserve">očet dobíjecích stanic s výkonem </w:t>
            </w:r>
            <w:r w:rsidR="00337B9C">
              <w:rPr>
                <w:rFonts w:cs="Calibri"/>
                <w:sz w:val="20"/>
              </w:rPr>
              <w:t>≥</w:t>
            </w:r>
            <w:r w:rsidR="00337B9C" w:rsidRPr="00CC7112">
              <w:rPr>
                <w:rFonts w:cs="Calibri"/>
                <w:sz w:val="20"/>
              </w:rPr>
              <w:t xml:space="preserve"> 50 kW </w:t>
            </w:r>
            <w:r w:rsidR="00337B9C">
              <w:rPr>
                <w:rFonts w:cs="Calibri"/>
                <w:sz w:val="20"/>
              </w:rPr>
              <w:t xml:space="preserve">a </w:t>
            </w:r>
            <w:proofErr w:type="gramStart"/>
            <w:r w:rsidR="00337B9C">
              <w:rPr>
                <w:rFonts w:cs="Calibri"/>
                <w:sz w:val="20"/>
              </w:rPr>
              <w:t>&lt;</w:t>
            </w:r>
            <w:r w:rsidR="00E07296">
              <w:rPr>
                <w:rFonts w:cs="Calibri"/>
                <w:sz w:val="20"/>
              </w:rPr>
              <w:t xml:space="preserve"> </w:t>
            </w:r>
            <w:r w:rsidR="00337B9C" w:rsidRPr="00CC7112">
              <w:rPr>
                <w:rFonts w:cs="Calibri"/>
                <w:sz w:val="20"/>
              </w:rPr>
              <w:t>150</w:t>
            </w:r>
            <w:proofErr w:type="gramEnd"/>
            <w:r w:rsidR="00337B9C" w:rsidRPr="00CC7112">
              <w:rPr>
                <w:rFonts w:cs="Calibri"/>
                <w:sz w:val="20"/>
              </w:rPr>
              <w:t xml:space="preserve"> KW</w:t>
            </w:r>
          </w:p>
        </w:tc>
        <w:tc>
          <w:tcPr>
            <w:tcW w:w="2621" w:type="dxa"/>
          </w:tcPr>
          <w:p w14:paraId="338A4867" w14:textId="77777777" w:rsidR="00337B9C" w:rsidRPr="00CC7112" w:rsidRDefault="00337B9C" w:rsidP="003F00EC">
            <w:pPr>
              <w:jc w:val="righ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1 074</w:t>
            </w:r>
          </w:p>
        </w:tc>
      </w:tr>
      <w:tr w:rsidR="00337B9C" w:rsidRPr="00CC7112" w14:paraId="2C91328E" w14:textId="77777777" w:rsidTr="00EF25FD">
        <w:tc>
          <w:tcPr>
            <w:tcW w:w="5882" w:type="dxa"/>
          </w:tcPr>
          <w:p w14:paraId="6D134C7A" w14:textId="344BC866" w:rsidR="00337B9C" w:rsidRPr="00CC7112" w:rsidRDefault="004D0FB5" w:rsidP="003F00EC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P</w:t>
            </w:r>
            <w:r w:rsidR="00337B9C" w:rsidRPr="00CC7112">
              <w:rPr>
                <w:rFonts w:cs="Calibri"/>
                <w:sz w:val="20"/>
              </w:rPr>
              <w:t xml:space="preserve">očet dobíjecích stanic s výkonem </w:t>
            </w:r>
            <w:r w:rsidR="00337B9C">
              <w:rPr>
                <w:rFonts w:cs="Calibri"/>
                <w:sz w:val="20"/>
              </w:rPr>
              <w:t>≥ 150 kW</w:t>
            </w:r>
          </w:p>
        </w:tc>
        <w:tc>
          <w:tcPr>
            <w:tcW w:w="2621" w:type="dxa"/>
          </w:tcPr>
          <w:p w14:paraId="1869C402" w14:textId="77777777" w:rsidR="00337B9C" w:rsidRPr="00CC7112" w:rsidRDefault="00337B9C" w:rsidP="003F00EC">
            <w:pPr>
              <w:jc w:val="righ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484</w:t>
            </w:r>
          </w:p>
        </w:tc>
      </w:tr>
      <w:tr w:rsidR="00337B9C" w:rsidRPr="00CC7112" w14:paraId="5418FC27" w14:textId="77777777" w:rsidTr="00EF25FD">
        <w:tc>
          <w:tcPr>
            <w:tcW w:w="5882" w:type="dxa"/>
          </w:tcPr>
          <w:p w14:paraId="594D4368" w14:textId="77777777" w:rsidR="00337B9C" w:rsidRPr="00CC7112" w:rsidRDefault="00337B9C" w:rsidP="003F00EC">
            <w:pPr>
              <w:jc w:val="righ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z toho: </w:t>
            </w:r>
            <w:r w:rsidRPr="00CC7112">
              <w:rPr>
                <w:rFonts w:cs="Calibri"/>
                <w:sz w:val="20"/>
              </w:rPr>
              <w:t xml:space="preserve">počet dobíjecích stanic s výkonem </w:t>
            </w:r>
            <w:r>
              <w:rPr>
                <w:rFonts w:cs="Calibri"/>
                <w:sz w:val="20"/>
              </w:rPr>
              <w:t>≥ 350 kW</w:t>
            </w:r>
          </w:p>
        </w:tc>
        <w:tc>
          <w:tcPr>
            <w:tcW w:w="2621" w:type="dxa"/>
          </w:tcPr>
          <w:p w14:paraId="041FD41D" w14:textId="77777777" w:rsidR="00337B9C" w:rsidRPr="00CC7112" w:rsidRDefault="00337B9C" w:rsidP="003F00EC">
            <w:pPr>
              <w:jc w:val="righ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81</w:t>
            </w:r>
          </w:p>
        </w:tc>
      </w:tr>
      <w:tr w:rsidR="00337B9C" w:rsidRPr="00CC7112" w14:paraId="52AA0B4F" w14:textId="77777777" w:rsidTr="00EF25FD">
        <w:tc>
          <w:tcPr>
            <w:tcW w:w="5882" w:type="dxa"/>
          </w:tcPr>
          <w:p w14:paraId="4A0318D0" w14:textId="5A53CDD1" w:rsidR="00337B9C" w:rsidRDefault="004D0FB5" w:rsidP="003F00EC">
            <w:pPr>
              <w:jc w:val="lef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P</w:t>
            </w:r>
            <w:r w:rsidR="00337B9C">
              <w:rPr>
                <w:rFonts w:cs="Calibri"/>
                <w:sz w:val="20"/>
              </w:rPr>
              <w:t>lnicí stanice CNG</w:t>
            </w:r>
          </w:p>
        </w:tc>
        <w:tc>
          <w:tcPr>
            <w:tcW w:w="2621" w:type="dxa"/>
          </w:tcPr>
          <w:p w14:paraId="73DBCF3B" w14:textId="3E01C3C0" w:rsidR="00337B9C" w:rsidRDefault="00337B9C" w:rsidP="003F00EC">
            <w:pPr>
              <w:jc w:val="righ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237</w:t>
            </w:r>
          </w:p>
        </w:tc>
      </w:tr>
      <w:tr w:rsidR="00337B9C" w:rsidRPr="00CC7112" w14:paraId="209834FD" w14:textId="77777777" w:rsidTr="00EF25FD">
        <w:tc>
          <w:tcPr>
            <w:tcW w:w="5882" w:type="dxa"/>
          </w:tcPr>
          <w:p w14:paraId="462B742F" w14:textId="5C0B9FD1" w:rsidR="00337B9C" w:rsidRDefault="004D0FB5" w:rsidP="003F00EC">
            <w:pPr>
              <w:jc w:val="lef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P</w:t>
            </w:r>
            <w:r w:rsidR="00337B9C">
              <w:rPr>
                <w:rFonts w:cs="Calibri"/>
                <w:sz w:val="20"/>
              </w:rPr>
              <w:t>lnicí stanice LNG</w:t>
            </w:r>
          </w:p>
        </w:tc>
        <w:tc>
          <w:tcPr>
            <w:tcW w:w="2621" w:type="dxa"/>
          </w:tcPr>
          <w:p w14:paraId="0C151A22" w14:textId="64BF66A1" w:rsidR="00337B9C" w:rsidRDefault="00337B9C" w:rsidP="003F00EC">
            <w:pPr>
              <w:jc w:val="righ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9</w:t>
            </w:r>
          </w:p>
        </w:tc>
      </w:tr>
      <w:tr w:rsidR="00337B9C" w:rsidRPr="00CC7112" w14:paraId="3CA77C99" w14:textId="77777777" w:rsidTr="00EF25FD">
        <w:tc>
          <w:tcPr>
            <w:tcW w:w="5882" w:type="dxa"/>
          </w:tcPr>
          <w:p w14:paraId="3118088C" w14:textId="44FF0D69" w:rsidR="00337B9C" w:rsidRDefault="004D0FB5" w:rsidP="003F00EC">
            <w:pPr>
              <w:jc w:val="lef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V</w:t>
            </w:r>
            <w:r w:rsidR="00337B9C">
              <w:rPr>
                <w:rFonts w:cs="Calibri"/>
                <w:sz w:val="20"/>
              </w:rPr>
              <w:t>odíková plnicí stanice</w:t>
            </w:r>
          </w:p>
        </w:tc>
        <w:tc>
          <w:tcPr>
            <w:tcW w:w="2621" w:type="dxa"/>
          </w:tcPr>
          <w:p w14:paraId="020CB5CF" w14:textId="216EEE21" w:rsidR="00337B9C" w:rsidRDefault="00337B9C" w:rsidP="003F00EC">
            <w:pPr>
              <w:jc w:val="righ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3</w:t>
            </w:r>
          </w:p>
        </w:tc>
      </w:tr>
    </w:tbl>
    <w:p w14:paraId="0A28CBB6" w14:textId="623586BA" w:rsidR="007404F0" w:rsidRPr="00EF25FD" w:rsidRDefault="007404F0" w:rsidP="003F00EC">
      <w:pPr>
        <w:spacing w:after="0"/>
        <w:ind w:left="1134" w:hanging="567"/>
        <w:rPr>
          <w:sz w:val="20"/>
          <w:szCs w:val="20"/>
          <w:lang w:eastAsia="cs-CZ"/>
        </w:rPr>
      </w:pPr>
      <w:r w:rsidRPr="00EF25FD">
        <w:rPr>
          <w:b/>
          <w:bCs/>
          <w:sz w:val="20"/>
          <w:szCs w:val="20"/>
          <w:lang w:eastAsia="cs-CZ"/>
        </w:rPr>
        <w:t>Zdroj:</w:t>
      </w:r>
      <w:r w:rsidRPr="00EF25FD">
        <w:rPr>
          <w:sz w:val="20"/>
          <w:szCs w:val="20"/>
          <w:lang w:eastAsia="cs-CZ"/>
        </w:rPr>
        <w:t xml:space="preserve"> </w:t>
      </w:r>
      <w:r>
        <w:rPr>
          <w:sz w:val="20"/>
          <w:szCs w:val="20"/>
          <w:lang w:eastAsia="cs-CZ"/>
        </w:rPr>
        <w:tab/>
      </w:r>
      <w:r w:rsidR="004D0FB5">
        <w:rPr>
          <w:sz w:val="20"/>
          <w:szCs w:val="20"/>
          <w:lang w:eastAsia="cs-CZ"/>
        </w:rPr>
        <w:t>e</w:t>
      </w:r>
      <w:r w:rsidRPr="00EF25FD">
        <w:rPr>
          <w:sz w:val="20"/>
          <w:szCs w:val="20"/>
        </w:rPr>
        <w:t>vidence MPO podle zákona č. 311/2006 Sb., o pohonných hmotách a čerpacích stanicích pohonných hmot a o změně některých souvisejících zákonů (zákon o pohonných hmotách</w:t>
      </w:r>
      <w:r>
        <w:rPr>
          <w:sz w:val="20"/>
          <w:szCs w:val="20"/>
        </w:rPr>
        <w:t>).</w:t>
      </w:r>
    </w:p>
    <w:p w14:paraId="01D79A50" w14:textId="37FE2EA2" w:rsidR="000861B5" w:rsidRDefault="00BB1C94" w:rsidP="004733C4">
      <w:pPr>
        <w:spacing w:after="0"/>
        <w:ind w:left="1134" w:hanging="567"/>
        <w:rPr>
          <w:b/>
          <w:bCs/>
          <w:sz w:val="20"/>
          <w:szCs w:val="20"/>
          <w:lang w:eastAsia="cs-CZ"/>
        </w:rPr>
      </w:pPr>
      <w:r>
        <w:rPr>
          <w:b/>
          <w:bCs/>
          <w:sz w:val="20"/>
          <w:szCs w:val="20"/>
          <w:lang w:eastAsia="cs-CZ"/>
        </w:rPr>
        <w:t>P</w:t>
      </w:r>
      <w:r w:rsidR="000861B5" w:rsidRPr="004733C4">
        <w:rPr>
          <w:b/>
          <w:bCs/>
          <w:sz w:val="20"/>
          <w:szCs w:val="20"/>
          <w:lang w:eastAsia="cs-CZ"/>
        </w:rPr>
        <w:t>ozn.:</w:t>
      </w:r>
      <w:r w:rsidR="000861B5" w:rsidRPr="000861B5">
        <w:rPr>
          <w:sz w:val="20"/>
          <w:szCs w:val="20"/>
          <w:lang w:eastAsia="cs-CZ"/>
        </w:rPr>
        <w:t xml:space="preserve"> </w:t>
      </w:r>
      <w:r>
        <w:rPr>
          <w:sz w:val="20"/>
          <w:szCs w:val="20"/>
          <w:lang w:eastAsia="cs-CZ"/>
        </w:rPr>
        <w:tab/>
      </w:r>
      <w:r w:rsidR="004D0FB5">
        <w:rPr>
          <w:sz w:val="20"/>
          <w:szCs w:val="20"/>
          <w:lang w:eastAsia="cs-CZ"/>
        </w:rPr>
        <w:t>Kvůli</w:t>
      </w:r>
      <w:r w:rsidR="000861B5" w:rsidRPr="000861B5">
        <w:rPr>
          <w:sz w:val="20"/>
          <w:szCs w:val="20"/>
          <w:lang w:eastAsia="cs-CZ"/>
        </w:rPr>
        <w:t xml:space="preserve"> </w:t>
      </w:r>
      <w:r w:rsidR="000861B5">
        <w:rPr>
          <w:sz w:val="20"/>
          <w:szCs w:val="20"/>
          <w:lang w:eastAsia="cs-CZ"/>
        </w:rPr>
        <w:t xml:space="preserve">porovnatelnosti údajů, jejich různým termínům zveřejňování a </w:t>
      </w:r>
      <w:r w:rsidR="004D0FB5">
        <w:rPr>
          <w:sz w:val="20"/>
          <w:szCs w:val="20"/>
          <w:lang w:eastAsia="cs-CZ"/>
        </w:rPr>
        <w:t xml:space="preserve">rozdílné </w:t>
      </w:r>
      <w:r w:rsidR="000861B5">
        <w:rPr>
          <w:sz w:val="20"/>
          <w:szCs w:val="20"/>
          <w:lang w:eastAsia="cs-CZ"/>
        </w:rPr>
        <w:t xml:space="preserve">periodicitě bylo zvoleno datum 30. září 2025 jako poslední společné pro všechny </w:t>
      </w:r>
      <w:r w:rsidR="004D0FB5">
        <w:rPr>
          <w:sz w:val="20"/>
          <w:szCs w:val="20"/>
          <w:lang w:eastAsia="cs-CZ"/>
        </w:rPr>
        <w:t xml:space="preserve">údaje </w:t>
      </w:r>
      <w:r w:rsidR="000861B5">
        <w:rPr>
          <w:sz w:val="20"/>
          <w:szCs w:val="20"/>
          <w:lang w:eastAsia="cs-CZ"/>
        </w:rPr>
        <w:t>uváděné v</w:t>
      </w:r>
      <w:r w:rsidR="004D0FB5">
        <w:rPr>
          <w:sz w:val="20"/>
          <w:szCs w:val="20"/>
          <w:lang w:eastAsia="cs-CZ"/>
        </w:rPr>
        <w:t xml:space="preserve"> tomto </w:t>
      </w:r>
      <w:r w:rsidR="000861B5">
        <w:rPr>
          <w:sz w:val="20"/>
          <w:szCs w:val="20"/>
          <w:lang w:eastAsia="cs-CZ"/>
        </w:rPr>
        <w:t>kontrolním závěru.</w:t>
      </w:r>
    </w:p>
    <w:p w14:paraId="440C4017" w14:textId="77777777" w:rsidR="00445159" w:rsidRDefault="00445159" w:rsidP="003F00EC">
      <w:pPr>
        <w:pStyle w:val="Nadpis1"/>
        <w:numPr>
          <w:ilvl w:val="0"/>
          <w:numId w:val="0"/>
        </w:numPr>
        <w:spacing w:before="0" w:after="0" w:line="256" w:lineRule="auto"/>
        <w:ind w:left="284"/>
        <w:jc w:val="both"/>
        <w:rPr>
          <w:sz w:val="28"/>
          <w:szCs w:val="28"/>
        </w:rPr>
      </w:pPr>
      <w:bookmarkStart w:id="5" w:name="_Toc179807883"/>
      <w:bookmarkEnd w:id="3"/>
    </w:p>
    <w:p w14:paraId="48F69E75" w14:textId="7E880A9E" w:rsidR="00D3340B" w:rsidRDefault="00A81C7D" w:rsidP="003F00EC">
      <w:pPr>
        <w:pStyle w:val="Nadpis1"/>
        <w:spacing w:before="0" w:after="0" w:line="256" w:lineRule="auto"/>
        <w:ind w:left="284"/>
        <w:rPr>
          <w:sz w:val="28"/>
          <w:szCs w:val="28"/>
        </w:rPr>
      </w:pPr>
      <w:r w:rsidRPr="00BF1D1E">
        <w:rPr>
          <w:sz w:val="28"/>
          <w:szCs w:val="28"/>
        </w:rPr>
        <w:t>III</w:t>
      </w:r>
      <w:r w:rsidR="00E376E8" w:rsidRPr="00BF1D1E">
        <w:rPr>
          <w:sz w:val="28"/>
          <w:szCs w:val="28"/>
        </w:rPr>
        <w:t>.</w:t>
      </w:r>
      <w:r w:rsidRPr="00BF1D1E">
        <w:rPr>
          <w:sz w:val="28"/>
          <w:szCs w:val="28"/>
        </w:rPr>
        <w:t xml:space="preserve"> </w:t>
      </w:r>
      <w:r w:rsidR="00D3340B" w:rsidRPr="00BF1D1E">
        <w:rPr>
          <w:sz w:val="28"/>
          <w:szCs w:val="28"/>
        </w:rPr>
        <w:t>Rozsah kontroly</w:t>
      </w:r>
      <w:bookmarkEnd w:id="5"/>
    </w:p>
    <w:p w14:paraId="3F51E732" w14:textId="77777777" w:rsidR="00445159" w:rsidRPr="00445159" w:rsidRDefault="00445159" w:rsidP="003F00EC">
      <w:pPr>
        <w:spacing w:after="0"/>
      </w:pPr>
    </w:p>
    <w:p w14:paraId="75C4555A" w14:textId="77777777" w:rsidR="00175A6C" w:rsidRDefault="00176146" w:rsidP="003F00EC">
      <w:pPr>
        <w:pStyle w:val="Nadpis2"/>
        <w:widowControl/>
        <w:spacing w:before="0" w:line="256" w:lineRule="auto"/>
      </w:pPr>
      <w:r>
        <w:t>Cílem kontroly bylo prověřit, zda peněžní prostředky poskytované Ministerstvem průmyslu a obchodu a Ministerstvem dopravy na rozvoj čisté mobility byly vynakládány účelně, hospodárně a v souladu s právními předpisy.</w:t>
      </w:r>
    </w:p>
    <w:p w14:paraId="37D04A49" w14:textId="77777777" w:rsidR="00175A6C" w:rsidRPr="00175A6C" w:rsidRDefault="00175A6C" w:rsidP="003F00EC">
      <w:pPr>
        <w:spacing w:after="0"/>
        <w:rPr>
          <w:lang w:eastAsia="cs-CZ"/>
        </w:rPr>
      </w:pPr>
    </w:p>
    <w:p w14:paraId="0B04F4D6" w14:textId="784F06F6" w:rsidR="001157CD" w:rsidRDefault="001157CD" w:rsidP="003F00EC">
      <w:pPr>
        <w:pStyle w:val="Nadpis2"/>
        <w:widowControl/>
        <w:spacing w:before="0" w:line="256" w:lineRule="auto"/>
      </w:pPr>
      <w:r>
        <w:t xml:space="preserve">U </w:t>
      </w:r>
      <w:r w:rsidRPr="00175A6C">
        <w:rPr>
          <w:b/>
          <w:bCs/>
        </w:rPr>
        <w:t>MD</w:t>
      </w:r>
      <w:r>
        <w:t xml:space="preserve"> byl kontrole podroben postup MD jako řídicího a zároveň zprostředkujícího orgánu při přípravě a poskytování podpory v oblasti alternativních paliv z</w:t>
      </w:r>
      <w:r w:rsidR="00293618">
        <w:t xml:space="preserve"> operačního programu </w:t>
      </w:r>
      <w:r w:rsidR="00293618" w:rsidRPr="004733C4">
        <w:rPr>
          <w:i/>
          <w:iCs/>
        </w:rPr>
        <w:t>Doprava 2014</w:t>
      </w:r>
      <w:r w:rsidR="00E07296">
        <w:rPr>
          <w:rFonts w:cstheme="minorHAnsi"/>
          <w:i/>
          <w:iCs/>
        </w:rPr>
        <w:t>–</w:t>
      </w:r>
      <w:r w:rsidR="00293618" w:rsidRPr="004733C4">
        <w:rPr>
          <w:i/>
          <w:iCs/>
        </w:rPr>
        <w:t>2020</w:t>
      </w:r>
      <w:r w:rsidR="00293618">
        <w:t xml:space="preserve"> </w:t>
      </w:r>
      <w:r>
        <w:t xml:space="preserve">a </w:t>
      </w:r>
      <w:r w:rsidR="00293618">
        <w:t xml:space="preserve">operačního programu </w:t>
      </w:r>
      <w:r w:rsidR="00293618" w:rsidRPr="004733C4">
        <w:rPr>
          <w:i/>
          <w:iCs/>
        </w:rPr>
        <w:t>Doprava 2021</w:t>
      </w:r>
      <w:r w:rsidR="00E07296">
        <w:rPr>
          <w:rFonts w:cstheme="minorHAnsi"/>
          <w:i/>
          <w:iCs/>
        </w:rPr>
        <w:t>–</w:t>
      </w:r>
      <w:r w:rsidR="00293618" w:rsidRPr="004733C4">
        <w:rPr>
          <w:i/>
          <w:iCs/>
        </w:rPr>
        <w:t>2027</w:t>
      </w:r>
      <w:r>
        <w:t>. Dále byl kontrole podroben postup MD při implementaci opatření NAP CM v jeho působnosti.</w:t>
      </w:r>
    </w:p>
    <w:p w14:paraId="7BFF66F5" w14:textId="77777777" w:rsidR="00175A6C" w:rsidRPr="00175A6C" w:rsidRDefault="00175A6C" w:rsidP="003F00EC">
      <w:pPr>
        <w:spacing w:after="0"/>
        <w:rPr>
          <w:lang w:eastAsia="cs-CZ"/>
        </w:rPr>
      </w:pPr>
    </w:p>
    <w:p w14:paraId="58316313" w14:textId="1805FDA9" w:rsidR="001157CD" w:rsidRDefault="001157CD" w:rsidP="003F00EC">
      <w:pPr>
        <w:pStyle w:val="Nadpis2"/>
        <w:widowControl/>
        <w:spacing w:before="0" w:line="256" w:lineRule="auto"/>
      </w:pPr>
      <w:r>
        <w:t>Celkový kontrolovaný objem na úrovni systému u MD</w:t>
      </w:r>
      <w:r w:rsidR="00477A93">
        <w:t xml:space="preserve"> činil</w:t>
      </w:r>
      <w:r>
        <w:t xml:space="preserve"> 3 095 mi</w:t>
      </w:r>
      <w:r w:rsidR="00135D7B">
        <w:t>l</w:t>
      </w:r>
      <w:r>
        <w:t>. Kč. Zahrnoval výši proplacené podpory z</w:t>
      </w:r>
      <w:r w:rsidR="00293618">
        <w:t xml:space="preserve"> operačního programu </w:t>
      </w:r>
      <w:r w:rsidR="00293618" w:rsidRPr="004733C4">
        <w:rPr>
          <w:i/>
          <w:iCs/>
        </w:rPr>
        <w:t>Doprava 2014</w:t>
      </w:r>
      <w:r w:rsidR="00834C26">
        <w:rPr>
          <w:rFonts w:cstheme="minorHAnsi"/>
          <w:i/>
          <w:iCs/>
        </w:rPr>
        <w:t>–</w:t>
      </w:r>
      <w:r w:rsidR="00293618" w:rsidRPr="004733C4">
        <w:rPr>
          <w:i/>
          <w:iCs/>
        </w:rPr>
        <w:t>2020</w:t>
      </w:r>
      <w:r>
        <w:t xml:space="preserve"> ve specifickém cíli 2.2</w:t>
      </w:r>
      <w:r w:rsidR="00135D7B">
        <w:t xml:space="preserve"> </w:t>
      </w:r>
      <w:r w:rsidR="006975AD">
        <w:t>v částce</w:t>
      </w:r>
      <w:r w:rsidR="00135D7B">
        <w:t xml:space="preserve"> 473</w:t>
      </w:r>
      <w:r w:rsidR="00AD0C44">
        <w:t>,</w:t>
      </w:r>
      <w:r w:rsidR="00135D7B">
        <w:t>564 </w:t>
      </w:r>
      <w:r w:rsidR="00AD0C44">
        <w:t>mil.</w:t>
      </w:r>
      <w:r w:rsidR="00135D7B">
        <w:t xml:space="preserve"> Kč</w:t>
      </w:r>
      <w:r>
        <w:t xml:space="preserve"> a objem peněžních prostředků z</w:t>
      </w:r>
      <w:r w:rsidR="00293618">
        <w:t xml:space="preserve"> operačního programu </w:t>
      </w:r>
      <w:r w:rsidR="00293618" w:rsidRPr="004733C4">
        <w:rPr>
          <w:i/>
          <w:iCs/>
        </w:rPr>
        <w:t>Doprava 2021</w:t>
      </w:r>
      <w:r w:rsidR="00E07296" w:rsidRPr="00E07296">
        <w:rPr>
          <w:rFonts w:cstheme="minorHAnsi"/>
          <w:i/>
          <w:iCs/>
        </w:rPr>
        <w:t>–</w:t>
      </w:r>
      <w:r w:rsidR="00293618" w:rsidRPr="004733C4">
        <w:rPr>
          <w:i/>
          <w:iCs/>
        </w:rPr>
        <w:t>2027</w:t>
      </w:r>
      <w:r>
        <w:t xml:space="preserve"> u projektů s</w:t>
      </w:r>
      <w:r w:rsidR="00D02467">
        <w:t> </w:t>
      </w:r>
      <w:proofErr w:type="spellStart"/>
      <w:r w:rsidR="00735B9F">
        <w:t>RoPD</w:t>
      </w:r>
      <w:proofErr w:type="spellEnd"/>
      <w:r w:rsidR="00135D7B">
        <w:t xml:space="preserve"> v</w:t>
      </w:r>
      <w:r w:rsidR="00477A93">
        <w:t>e</w:t>
      </w:r>
      <w:r w:rsidR="00E07296">
        <w:t xml:space="preserve"> </w:t>
      </w:r>
      <w:r w:rsidR="00135D7B">
        <w:t>výši 2</w:t>
      </w:r>
      <w:r w:rsidR="00AD0C44">
        <w:t> </w:t>
      </w:r>
      <w:r w:rsidR="00135D7B">
        <w:t>621</w:t>
      </w:r>
      <w:r w:rsidR="00AD0C44">
        <w:t>,</w:t>
      </w:r>
      <w:r w:rsidR="00135D7B">
        <w:t>547 </w:t>
      </w:r>
      <w:r w:rsidR="00AD0C44">
        <w:t>mil.</w:t>
      </w:r>
      <w:r w:rsidR="00135D7B">
        <w:t xml:space="preserve"> Kč.</w:t>
      </w:r>
    </w:p>
    <w:p w14:paraId="12F30836" w14:textId="77777777" w:rsidR="00175A6C" w:rsidRPr="00175A6C" w:rsidRDefault="00175A6C" w:rsidP="003F00EC">
      <w:pPr>
        <w:spacing w:after="0"/>
        <w:rPr>
          <w:lang w:eastAsia="cs-CZ"/>
        </w:rPr>
      </w:pPr>
    </w:p>
    <w:p w14:paraId="31A2EA93" w14:textId="38E109F2" w:rsidR="00B87F12" w:rsidRDefault="009333E5" w:rsidP="003F00EC">
      <w:pPr>
        <w:pStyle w:val="Nadpis2"/>
        <w:widowControl/>
        <w:spacing w:before="0" w:line="256" w:lineRule="auto"/>
      </w:pPr>
      <w:r w:rsidRPr="00C1660F">
        <w:t xml:space="preserve">U </w:t>
      </w:r>
      <w:r w:rsidRPr="00C1660F">
        <w:rPr>
          <w:b/>
          <w:bCs/>
        </w:rPr>
        <w:t>MPO</w:t>
      </w:r>
      <w:r>
        <w:t xml:space="preserve"> byl kontrole podroben postup MPO jako řídicího orgánu OP PIK a jako spoluvlastníka komponent NPO při přípravě a poskytování podpory na rozvoj čisté mobility v oblasti silniční dopravy prostřednictvím pilíře 2 </w:t>
      </w:r>
      <w:r w:rsidRPr="00A2081E">
        <w:rPr>
          <w:i/>
          <w:iCs/>
        </w:rPr>
        <w:t>Fyzická infrastruktura a zelená tranzice</w:t>
      </w:r>
      <w:r>
        <w:t xml:space="preserve"> </w:t>
      </w:r>
      <w:r w:rsidR="001157CD">
        <w:t>(</w:t>
      </w:r>
      <w:r>
        <w:t>komponent</w:t>
      </w:r>
      <w:r w:rsidR="001157CD">
        <w:t>a</w:t>
      </w:r>
      <w:r>
        <w:t xml:space="preserve"> 2.4 </w:t>
      </w:r>
      <w:r w:rsidRPr="004733C4">
        <w:rPr>
          <w:i/>
          <w:iCs/>
        </w:rPr>
        <w:t>Čistá mobilita</w:t>
      </w:r>
      <w:r w:rsidR="001157CD">
        <w:t>)</w:t>
      </w:r>
      <w:r>
        <w:t xml:space="preserve"> a také pilíře 7 </w:t>
      </w:r>
      <w:proofErr w:type="spellStart"/>
      <w:r w:rsidRPr="004733C4">
        <w:rPr>
          <w:i/>
          <w:iCs/>
        </w:rPr>
        <w:t>REPowe</w:t>
      </w:r>
      <w:r w:rsidR="00477A93" w:rsidRPr="004733C4">
        <w:rPr>
          <w:i/>
          <w:iCs/>
        </w:rPr>
        <w:t>r</w:t>
      </w:r>
      <w:r w:rsidRPr="004733C4">
        <w:rPr>
          <w:i/>
          <w:iCs/>
        </w:rPr>
        <w:t>EU</w:t>
      </w:r>
      <w:proofErr w:type="spellEnd"/>
      <w:r>
        <w:t xml:space="preserve"> </w:t>
      </w:r>
      <w:r w:rsidR="001157CD">
        <w:t>(</w:t>
      </w:r>
      <w:r>
        <w:t>komponent</w:t>
      </w:r>
      <w:r w:rsidR="001157CD">
        <w:t>a</w:t>
      </w:r>
      <w:r>
        <w:t xml:space="preserve"> 7.5</w:t>
      </w:r>
      <w:r w:rsidR="00BB1C94">
        <w:t> </w:t>
      </w:r>
      <w:r w:rsidRPr="004733C4">
        <w:rPr>
          <w:i/>
          <w:iCs/>
        </w:rPr>
        <w:t>Dekarbonizace silniční dopra</w:t>
      </w:r>
      <w:r w:rsidR="001157CD" w:rsidRPr="004733C4">
        <w:rPr>
          <w:i/>
          <w:iCs/>
        </w:rPr>
        <w:t>vy</w:t>
      </w:r>
      <w:r w:rsidR="001157CD">
        <w:t>)</w:t>
      </w:r>
      <w:r>
        <w:t xml:space="preserve">. </w:t>
      </w:r>
      <w:r w:rsidR="006975AD">
        <w:t>B</w:t>
      </w:r>
      <w:r>
        <w:t>udování infrast</w:t>
      </w:r>
      <w:r w:rsidR="003C536A">
        <w:t>r</w:t>
      </w:r>
      <w:r>
        <w:t>uk</w:t>
      </w:r>
      <w:r w:rsidR="003C536A">
        <w:t>t</w:t>
      </w:r>
      <w:r>
        <w:t>u</w:t>
      </w:r>
      <w:r w:rsidR="003C536A">
        <w:t>r</w:t>
      </w:r>
      <w:r>
        <w:t xml:space="preserve">y pro dobíjení elektromobilů bylo možné okrajově podpořit i v rámci komponenty 2.2 </w:t>
      </w:r>
      <w:r w:rsidRPr="004733C4">
        <w:rPr>
          <w:i/>
          <w:iCs/>
        </w:rPr>
        <w:t>Snižování spotřeby energie ve veřejném sektoru</w:t>
      </w:r>
      <w:r>
        <w:t>.</w:t>
      </w:r>
      <w:r w:rsidR="001157CD">
        <w:t xml:space="preserve"> Dále byl kontrole podroben postup MPO při řízení a koordinaci realizace opatření NAP CM a implementace opatření NAP CM, </w:t>
      </w:r>
      <w:r w:rsidR="00E07296">
        <w:t>jež</w:t>
      </w:r>
      <w:r w:rsidR="001157CD">
        <w:t xml:space="preserve"> měl</w:t>
      </w:r>
      <w:r w:rsidR="00135D7B">
        <w:t>o MPO ve své působnosti.</w:t>
      </w:r>
      <w:r w:rsidR="001157CD">
        <w:t xml:space="preserve"> </w:t>
      </w:r>
    </w:p>
    <w:p w14:paraId="09F39552" w14:textId="77777777" w:rsidR="00175A6C" w:rsidRPr="00175A6C" w:rsidRDefault="00175A6C" w:rsidP="003F00EC">
      <w:pPr>
        <w:spacing w:after="0"/>
        <w:rPr>
          <w:lang w:eastAsia="cs-CZ"/>
        </w:rPr>
      </w:pPr>
    </w:p>
    <w:p w14:paraId="520DDEBF" w14:textId="44A84976" w:rsidR="00B87F12" w:rsidRDefault="003C536A" w:rsidP="003F00EC">
      <w:pPr>
        <w:pStyle w:val="Nadpis2"/>
        <w:widowControl/>
        <w:spacing w:before="0" w:line="256" w:lineRule="auto"/>
      </w:pPr>
      <w:r>
        <w:lastRenderedPageBreak/>
        <w:t>Celkový kontrolovaný objem na úrovni sy</w:t>
      </w:r>
      <w:r w:rsidR="00765335">
        <w:t>s</w:t>
      </w:r>
      <w:r>
        <w:t xml:space="preserve">tému činil u </w:t>
      </w:r>
      <w:r w:rsidR="00B10A91">
        <w:t xml:space="preserve">MPO </w:t>
      </w:r>
      <w:r w:rsidR="009368A1">
        <w:t>2 222,775</w:t>
      </w:r>
      <w:r>
        <w:t xml:space="preserve"> mil. Kč</w:t>
      </w:r>
      <w:r w:rsidR="00B10A91">
        <w:t xml:space="preserve">. Zahrnoval výši proplacených peněžních prostředků </w:t>
      </w:r>
      <w:r w:rsidR="00E07296">
        <w:t xml:space="preserve">ze </w:t>
      </w:r>
      <w:r w:rsidR="00B10A91">
        <w:t>SC 3.4</w:t>
      </w:r>
      <w:r w:rsidR="006975AD">
        <w:t xml:space="preserve"> </w:t>
      </w:r>
      <w:r w:rsidR="00E07296">
        <w:t xml:space="preserve">OP PIK </w:t>
      </w:r>
      <w:r w:rsidR="006975AD">
        <w:t xml:space="preserve">v částce 272,775 mil. </w:t>
      </w:r>
      <w:r w:rsidR="00520495">
        <w:t>K</w:t>
      </w:r>
      <w:r w:rsidR="006975AD">
        <w:t>č</w:t>
      </w:r>
      <w:r w:rsidR="00B10A91">
        <w:t xml:space="preserve"> a výši </w:t>
      </w:r>
      <w:r w:rsidR="00520495">
        <w:t>alokace</w:t>
      </w:r>
      <w:r w:rsidR="00B10A91">
        <w:t xml:space="preserve"> peněžních prostředků z NPO v komponentách 2.4 a 7.5</w:t>
      </w:r>
      <w:r w:rsidR="006975AD">
        <w:t xml:space="preserve"> v</w:t>
      </w:r>
      <w:r w:rsidR="00520495">
        <w:t> </w:t>
      </w:r>
      <w:r w:rsidR="006975AD">
        <w:t>částce</w:t>
      </w:r>
      <w:r w:rsidR="00520495">
        <w:t xml:space="preserve"> 1 950 mil. Kč</w:t>
      </w:r>
      <w:r w:rsidR="00B10A91">
        <w:t>.</w:t>
      </w:r>
    </w:p>
    <w:p w14:paraId="2CBF2B01" w14:textId="77777777" w:rsidR="00175A6C" w:rsidRPr="00175A6C" w:rsidRDefault="00175A6C" w:rsidP="003F00EC">
      <w:pPr>
        <w:spacing w:after="0"/>
        <w:rPr>
          <w:lang w:eastAsia="cs-CZ"/>
        </w:rPr>
      </w:pPr>
    </w:p>
    <w:p w14:paraId="15E596B4" w14:textId="0717180D" w:rsidR="00032456" w:rsidRDefault="00C1660F" w:rsidP="003F00EC">
      <w:pPr>
        <w:pStyle w:val="Nadpis2"/>
        <w:widowControl/>
        <w:spacing w:before="0" w:line="256" w:lineRule="auto"/>
      </w:pPr>
      <w:r>
        <w:t xml:space="preserve">U </w:t>
      </w:r>
      <w:r w:rsidRPr="00C1660F">
        <w:rPr>
          <w:b/>
          <w:bCs/>
        </w:rPr>
        <w:t>API</w:t>
      </w:r>
      <w:r>
        <w:t xml:space="preserve"> byl kontrole podroben</w:t>
      </w:r>
      <w:r w:rsidR="00373BBD">
        <w:t xml:space="preserve"> </w:t>
      </w:r>
      <w:r w:rsidR="00297C0F">
        <w:t>postup API jako zprostředkujícího subjektu</w:t>
      </w:r>
      <w:r w:rsidR="00CA4E48">
        <w:t xml:space="preserve"> OP PIK, který zajišťoval prvotní hodnocení projektů, kontrolu žádostí o platbu, monitoring projektů v rámci realizace a doby udržitelnosti a dodržování stanovených podmínek příjemci podpory.</w:t>
      </w:r>
      <w:r w:rsidR="007150D5">
        <w:t xml:space="preserve"> </w:t>
      </w:r>
      <w:r w:rsidR="00BE4836">
        <w:t>Kontrolovaný objem na úrovni systému činil 279</w:t>
      </w:r>
      <w:r w:rsidR="00D26D9F">
        <w:t>,3</w:t>
      </w:r>
      <w:r w:rsidR="00BE4836">
        <w:t xml:space="preserve"> mil. Kč</w:t>
      </w:r>
      <w:r w:rsidR="00E07296">
        <w:t>.</w:t>
      </w:r>
    </w:p>
    <w:p w14:paraId="48CB80F5" w14:textId="77777777" w:rsidR="00175A6C" w:rsidRPr="00175A6C" w:rsidRDefault="00175A6C" w:rsidP="003F00EC">
      <w:pPr>
        <w:spacing w:after="0"/>
        <w:rPr>
          <w:lang w:eastAsia="cs-CZ"/>
        </w:rPr>
      </w:pPr>
    </w:p>
    <w:p w14:paraId="430F80CE" w14:textId="390F6F49" w:rsidR="00765335" w:rsidRDefault="00032456" w:rsidP="003F00EC">
      <w:pPr>
        <w:pStyle w:val="Nadpis2"/>
        <w:widowControl/>
        <w:spacing w:before="0" w:line="256" w:lineRule="auto"/>
      </w:pPr>
      <w:r w:rsidRPr="00032456">
        <w:rPr>
          <w:b/>
          <w:bCs/>
        </w:rPr>
        <w:t>U šesti vybraných příjemců podpory</w:t>
      </w:r>
      <w:r>
        <w:t xml:space="preserve"> (8 projektů) z</w:t>
      </w:r>
      <w:r w:rsidR="00752786">
        <w:t xml:space="preserve"> </w:t>
      </w:r>
      <w:r w:rsidR="00293618">
        <w:t xml:space="preserve">operačního programu </w:t>
      </w:r>
      <w:r w:rsidR="00BB1C94">
        <w:br/>
      </w:r>
      <w:r w:rsidR="00293618" w:rsidRPr="004733C4">
        <w:rPr>
          <w:i/>
          <w:iCs/>
        </w:rPr>
        <w:t>Doprava 2014</w:t>
      </w:r>
      <w:r w:rsidR="00834C26">
        <w:rPr>
          <w:rFonts w:cstheme="minorHAnsi"/>
          <w:i/>
          <w:iCs/>
        </w:rPr>
        <w:t>–</w:t>
      </w:r>
      <w:r w:rsidR="00293618" w:rsidRPr="004733C4">
        <w:rPr>
          <w:i/>
          <w:iCs/>
        </w:rPr>
        <w:t>2020</w:t>
      </w:r>
      <w:r>
        <w:t xml:space="preserve"> </w:t>
      </w:r>
      <w:r w:rsidR="0006167B">
        <w:t xml:space="preserve">bylo </w:t>
      </w:r>
      <w:r>
        <w:t>prověř</w:t>
      </w:r>
      <w:r w:rsidR="0006167B">
        <w:t>eno</w:t>
      </w:r>
      <w:r>
        <w:t>, zda příjemci realizovali projekty v souladu s </w:t>
      </w:r>
      <w:proofErr w:type="spellStart"/>
      <w:r>
        <w:t>RoPD</w:t>
      </w:r>
      <w:proofErr w:type="spellEnd"/>
      <w:r>
        <w:t xml:space="preserve"> a</w:t>
      </w:r>
      <w:r w:rsidR="00BB1C94">
        <w:t> </w:t>
      </w:r>
      <w:r>
        <w:t>jeho případnými změnami, zda příjemci po ukončení realizace projektu dosáhli očekávaných přínosů projektu a zda plní podmínky udržitelnosti stanovené</w:t>
      </w:r>
      <w:r w:rsidR="0006167B">
        <w:t xml:space="preserve"> v</w:t>
      </w:r>
      <w:r>
        <w:t xml:space="preserve"> </w:t>
      </w:r>
      <w:proofErr w:type="spellStart"/>
      <w:r>
        <w:t>RoPD</w:t>
      </w:r>
      <w:proofErr w:type="spellEnd"/>
      <w:r>
        <w:t xml:space="preserve">. NKÚ při výběru projektů zohlednil stav realizace projektů, typ podpořených alternativních paliv a výši podpory </w:t>
      </w:r>
      <w:r w:rsidR="0006167B">
        <w:t>(</w:t>
      </w:r>
      <w:r>
        <w:t>nejméně 10 mil. Kč</w:t>
      </w:r>
      <w:r w:rsidR="0006167B">
        <w:t>)</w:t>
      </w:r>
      <w:r>
        <w:t xml:space="preserve">. Celková výše proplacených peněžních prostředků činila </w:t>
      </w:r>
      <w:r w:rsidR="00EE3578">
        <w:t>254,7</w:t>
      </w:r>
      <w:r w:rsidR="009737CE">
        <w:t xml:space="preserve"> mil. Kč.</w:t>
      </w:r>
    </w:p>
    <w:p w14:paraId="417DF33E" w14:textId="77777777" w:rsidR="00271329" w:rsidRDefault="00271329" w:rsidP="003F00EC">
      <w:pPr>
        <w:spacing w:after="0"/>
        <w:rPr>
          <w:lang w:eastAsia="cs-CZ"/>
        </w:rPr>
      </w:pPr>
    </w:p>
    <w:p w14:paraId="1D397959" w14:textId="4C6F043C" w:rsidR="00271329" w:rsidRDefault="00596806" w:rsidP="004733C4">
      <w:pPr>
        <w:pStyle w:val="Nadpis2"/>
        <w:widowControl/>
        <w:spacing w:before="0"/>
      </w:pPr>
      <w:r>
        <w:t xml:space="preserve">Účelnost je </w:t>
      </w:r>
      <w:r w:rsidRPr="00596806">
        <w:t>takové použití veřejných prostředků, které zajistí optimální míru dosažení cílů při plnění stanovených úkolů.</w:t>
      </w:r>
      <w:r>
        <w:rPr>
          <w:rStyle w:val="Znakapoznpodarou"/>
        </w:rPr>
        <w:footnoteReference w:id="16"/>
      </w:r>
      <w:r>
        <w:t xml:space="preserve"> </w:t>
      </w:r>
      <w:r w:rsidR="0006167B">
        <w:t>NKÚ p</w:t>
      </w:r>
      <w:r w:rsidR="006453A6">
        <w:t>ři kontrole účelnosti posuzoval,</w:t>
      </w:r>
      <w:r w:rsidR="00166774">
        <w:t xml:space="preserve"> jak poskytovatelé nastavili cíle a podmínky podpory</w:t>
      </w:r>
      <w:r w:rsidR="00193E7E">
        <w:t>,</w:t>
      </w:r>
      <w:r w:rsidR="00166774">
        <w:t xml:space="preserve"> jak zajistili naplnění cílů a přínosů podpory</w:t>
      </w:r>
      <w:r w:rsidR="00193E7E">
        <w:t xml:space="preserve"> a jak plnění těchto cílů ověřovali</w:t>
      </w:r>
      <w:r w:rsidR="00166774">
        <w:t>.</w:t>
      </w:r>
      <w:r w:rsidR="006453A6">
        <w:t xml:space="preserve"> </w:t>
      </w:r>
      <w:r w:rsidR="00166774">
        <w:t xml:space="preserve">U příjemců podpory NKÚ posuzoval, zda </w:t>
      </w:r>
      <w:r w:rsidR="006453A6">
        <w:t>pořídili majetek a služby nezbytné pro naplnění</w:t>
      </w:r>
      <w:r w:rsidR="00166774">
        <w:t xml:space="preserve"> stanovených </w:t>
      </w:r>
      <w:r w:rsidR="006453A6">
        <w:t>cílů realizovaných projektů.</w:t>
      </w:r>
    </w:p>
    <w:p w14:paraId="26A682F9" w14:textId="77777777" w:rsidR="00271329" w:rsidRPr="00271329" w:rsidRDefault="00271329" w:rsidP="003F00EC">
      <w:pPr>
        <w:spacing w:after="0"/>
        <w:rPr>
          <w:lang w:eastAsia="cs-CZ"/>
        </w:rPr>
      </w:pPr>
    </w:p>
    <w:p w14:paraId="0C5C9D45" w14:textId="5E74B935" w:rsidR="00271329" w:rsidRDefault="00596806" w:rsidP="004733C4">
      <w:pPr>
        <w:pStyle w:val="Nadpis2"/>
        <w:widowControl/>
        <w:spacing w:before="0"/>
      </w:pPr>
      <w:r>
        <w:t xml:space="preserve">Hospodárnost je </w:t>
      </w:r>
      <w:r w:rsidRPr="00596806">
        <w:t>použití veřejných prostředků k zajištění stanovených úkolů s co nejnižším vynaložením těchto prostředků, a to při dodržení odpovídající kvality plněných úkolů</w:t>
      </w:r>
      <w:r>
        <w:t>.</w:t>
      </w:r>
      <w:r>
        <w:rPr>
          <w:rStyle w:val="Znakapoznpodarou"/>
        </w:rPr>
        <w:footnoteReference w:id="17"/>
      </w:r>
      <w:r>
        <w:t xml:space="preserve"> </w:t>
      </w:r>
      <w:r w:rsidR="0006167B">
        <w:t>NKÚ p</w:t>
      </w:r>
      <w:r w:rsidR="006453A6">
        <w:t>ři kontrole hospodárnosti prověřoval</w:t>
      </w:r>
      <w:r w:rsidR="00791ABF">
        <w:t xml:space="preserve">, </w:t>
      </w:r>
      <w:r w:rsidR="00193E7E">
        <w:t>jak poskytovatelé zajistili a</w:t>
      </w:r>
      <w:r w:rsidR="00BB1C94">
        <w:t> </w:t>
      </w:r>
      <w:r w:rsidR="00193E7E">
        <w:t>kontrolovali hospodárné nakládání s</w:t>
      </w:r>
      <w:r w:rsidR="0006167B">
        <w:t xml:space="preserve"> </w:t>
      </w:r>
      <w:r w:rsidR="00193E7E">
        <w:t xml:space="preserve">peněžními prostředky. U příjemců podpory </w:t>
      </w:r>
      <w:r w:rsidR="0006167B">
        <w:t>kontrola zjišťovala</w:t>
      </w:r>
      <w:r w:rsidR="00193E7E">
        <w:t xml:space="preserve">, </w:t>
      </w:r>
      <w:r w:rsidR="00791ABF">
        <w:t xml:space="preserve">zda </w:t>
      </w:r>
      <w:r w:rsidR="00166774">
        <w:t>ne</w:t>
      </w:r>
      <w:r w:rsidR="006453A6">
        <w:t>pořídili majetek a služby</w:t>
      </w:r>
      <w:r w:rsidR="00166774">
        <w:t xml:space="preserve"> za cenu vyšší než v místě a čase obvyklou nebo za cenu vyšší než vzešlou z výběrového řízení, zda př</w:t>
      </w:r>
      <w:r w:rsidR="0006167B">
        <w:t>i</w:t>
      </w:r>
      <w:r w:rsidR="00166774">
        <w:t xml:space="preserve"> pořízení majetku a</w:t>
      </w:r>
      <w:r w:rsidR="0006167B">
        <w:t> </w:t>
      </w:r>
      <w:r w:rsidR="00166774">
        <w:t>služeb postupovali příjemci podle</w:t>
      </w:r>
      <w:r w:rsidR="006453A6">
        <w:t xml:space="preserve"> stanovených pravidel pro výběrová řízení a </w:t>
      </w:r>
      <w:r w:rsidR="00166774">
        <w:t>zda pořízený majetek využívali</w:t>
      </w:r>
      <w:r w:rsidR="006453A6">
        <w:t xml:space="preserve">. </w:t>
      </w:r>
    </w:p>
    <w:p w14:paraId="113F1FD5" w14:textId="77777777" w:rsidR="00B82A51" w:rsidRPr="00B82A51" w:rsidRDefault="00B82A51" w:rsidP="003F00EC">
      <w:pPr>
        <w:rPr>
          <w:lang w:eastAsia="cs-CZ"/>
        </w:rPr>
      </w:pPr>
    </w:p>
    <w:p w14:paraId="21FAB9D4" w14:textId="236E1842" w:rsidR="0006167B" w:rsidRPr="004733C4" w:rsidRDefault="00B82A51" w:rsidP="004733C4">
      <w:pPr>
        <w:spacing w:after="0" w:line="240" w:lineRule="auto"/>
        <w:ind w:left="567" w:hanging="567"/>
        <w:rPr>
          <w:rFonts w:ascii="Calibri" w:eastAsiaTheme="majorEastAsia" w:hAnsi="Calibri" w:cstheme="minorHAnsi"/>
          <w:bCs/>
          <w:sz w:val="20"/>
          <w:szCs w:val="20"/>
        </w:rPr>
      </w:pPr>
      <w:bookmarkStart w:id="6" w:name="_Hlk177396515"/>
      <w:r w:rsidRPr="0006167B">
        <w:rPr>
          <w:rFonts w:cstheme="minorHAnsi"/>
          <w:b/>
          <w:sz w:val="20"/>
          <w:szCs w:val="20"/>
        </w:rPr>
        <w:t>Pozn.:</w:t>
      </w:r>
      <w:r w:rsidRPr="0006167B">
        <w:rPr>
          <w:rFonts w:cstheme="minorHAnsi"/>
          <w:sz w:val="20"/>
          <w:szCs w:val="20"/>
        </w:rPr>
        <w:tab/>
        <w:t>Právní předpisy uvedené v tomto kontrolním závěru jsou aplikovány ve znění účinném pro kontrolované období.</w:t>
      </w:r>
      <w:bookmarkStart w:id="7" w:name="_Toc179807884"/>
      <w:bookmarkEnd w:id="6"/>
      <w:r w:rsidR="0006167B" w:rsidRPr="004733C4">
        <w:rPr>
          <w:sz w:val="20"/>
          <w:szCs w:val="20"/>
        </w:rPr>
        <w:br w:type="page"/>
      </w:r>
    </w:p>
    <w:p w14:paraId="75F21DA0" w14:textId="3785C59C" w:rsidR="00F31534" w:rsidRDefault="003F49E6" w:rsidP="004733C4">
      <w:pPr>
        <w:pStyle w:val="Nadpis1"/>
        <w:spacing w:before="0" w:after="0" w:line="25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="00AF737A" w:rsidRPr="0084452E">
        <w:rPr>
          <w:sz w:val="28"/>
          <w:szCs w:val="28"/>
        </w:rPr>
        <w:t>V</w:t>
      </w:r>
      <w:r w:rsidR="00E376E8" w:rsidRPr="0084452E">
        <w:rPr>
          <w:sz w:val="28"/>
          <w:szCs w:val="28"/>
        </w:rPr>
        <w:t>.</w:t>
      </w:r>
      <w:r w:rsidR="00AF737A" w:rsidRPr="0084452E">
        <w:rPr>
          <w:sz w:val="28"/>
          <w:szCs w:val="28"/>
        </w:rPr>
        <w:t xml:space="preserve"> </w:t>
      </w:r>
      <w:r w:rsidR="007A74E5" w:rsidRPr="0084452E">
        <w:rPr>
          <w:sz w:val="28"/>
          <w:szCs w:val="28"/>
        </w:rPr>
        <w:t>P</w:t>
      </w:r>
      <w:r w:rsidR="00D3340B" w:rsidRPr="0084452E">
        <w:rPr>
          <w:sz w:val="28"/>
          <w:szCs w:val="28"/>
        </w:rPr>
        <w:t xml:space="preserve">odrobné skutečnosti zjištěné </w:t>
      </w:r>
      <w:r w:rsidR="00D3340B" w:rsidRPr="00266CF8">
        <w:rPr>
          <w:sz w:val="28"/>
          <w:szCs w:val="28"/>
        </w:rPr>
        <w:t>kontrolou</w:t>
      </w:r>
      <w:bookmarkEnd w:id="7"/>
    </w:p>
    <w:p w14:paraId="1DDB206E" w14:textId="77777777" w:rsidR="006F1A49" w:rsidRDefault="006F1A49" w:rsidP="003F00EC">
      <w:pPr>
        <w:pStyle w:val="Nadpis2"/>
        <w:widowControl/>
        <w:numPr>
          <w:ilvl w:val="0"/>
          <w:numId w:val="0"/>
        </w:numPr>
        <w:spacing w:before="0" w:line="256" w:lineRule="auto"/>
        <w:ind w:left="567"/>
        <w:rPr>
          <w:b/>
          <w:bCs/>
        </w:rPr>
      </w:pPr>
      <w:bookmarkStart w:id="8" w:name="_Toc179807887"/>
    </w:p>
    <w:p w14:paraId="791DBB27" w14:textId="4B5FBEC8" w:rsidR="00AE7056" w:rsidRDefault="00477A93" w:rsidP="003F00EC">
      <w:pPr>
        <w:pStyle w:val="Nadpis2"/>
        <w:widowControl/>
        <w:numPr>
          <w:ilvl w:val="0"/>
          <w:numId w:val="0"/>
        </w:numPr>
        <w:spacing w:before="0" w:line="256" w:lineRule="auto"/>
        <w:rPr>
          <w:b/>
          <w:bCs/>
        </w:rPr>
      </w:pPr>
      <w:r>
        <w:rPr>
          <w:b/>
          <w:bCs/>
        </w:rPr>
        <w:t>Po</w:t>
      </w:r>
      <w:r w:rsidR="0006167B">
        <w:rPr>
          <w:b/>
          <w:bCs/>
        </w:rPr>
        <w:t>čet</w:t>
      </w:r>
      <w:r w:rsidRPr="00AE7056">
        <w:rPr>
          <w:b/>
          <w:bCs/>
        </w:rPr>
        <w:t xml:space="preserve"> </w:t>
      </w:r>
      <w:r w:rsidR="00AE7056" w:rsidRPr="00AE7056">
        <w:rPr>
          <w:b/>
          <w:bCs/>
        </w:rPr>
        <w:t>vozidel na alternativní paliva</w:t>
      </w:r>
      <w:r w:rsidR="005F6731">
        <w:rPr>
          <w:b/>
          <w:bCs/>
        </w:rPr>
        <w:t xml:space="preserve"> v ČR </w:t>
      </w:r>
      <w:r w:rsidR="00AE7056" w:rsidRPr="00AE7056">
        <w:rPr>
          <w:b/>
          <w:bCs/>
        </w:rPr>
        <w:t>je</w:t>
      </w:r>
      <w:r w:rsidR="005F6731">
        <w:rPr>
          <w:b/>
          <w:bCs/>
        </w:rPr>
        <w:t xml:space="preserve"> </w:t>
      </w:r>
      <w:r w:rsidR="0006167B">
        <w:rPr>
          <w:b/>
          <w:bCs/>
        </w:rPr>
        <w:t>v přepočtu na</w:t>
      </w:r>
      <w:r w:rsidR="005F6731">
        <w:rPr>
          <w:b/>
          <w:bCs/>
        </w:rPr>
        <w:t xml:space="preserve"> obyvatel</w:t>
      </w:r>
      <w:r w:rsidR="0006167B">
        <w:rPr>
          <w:b/>
          <w:bCs/>
        </w:rPr>
        <w:t>e</w:t>
      </w:r>
      <w:r w:rsidR="00AE7056" w:rsidRPr="00AE7056">
        <w:rPr>
          <w:b/>
          <w:bCs/>
        </w:rPr>
        <w:t xml:space="preserve"> pod evropským průměrem</w:t>
      </w:r>
    </w:p>
    <w:p w14:paraId="64A247B9" w14:textId="77777777" w:rsidR="006F1A49" w:rsidRPr="006F1A49" w:rsidRDefault="006F1A49" w:rsidP="003F00EC">
      <w:pPr>
        <w:spacing w:after="0"/>
        <w:rPr>
          <w:lang w:eastAsia="cs-CZ"/>
        </w:rPr>
      </w:pPr>
    </w:p>
    <w:p w14:paraId="129FD20C" w14:textId="3326D666" w:rsidR="00B87F12" w:rsidRDefault="00A14282" w:rsidP="003F00EC">
      <w:pPr>
        <w:pStyle w:val="Nadpis2"/>
        <w:widowControl/>
        <w:spacing w:before="0" w:line="256" w:lineRule="auto"/>
      </w:pPr>
      <w:r w:rsidRPr="004733C4">
        <w:rPr>
          <w:i/>
          <w:iCs/>
        </w:rPr>
        <w:t>Národní akční plán čisté mobility</w:t>
      </w:r>
      <w:r>
        <w:t xml:space="preserve"> </w:t>
      </w:r>
      <w:r w:rsidR="002940C8">
        <w:t xml:space="preserve">stanovil </w:t>
      </w:r>
      <w:r w:rsidR="00604769">
        <w:t xml:space="preserve">strategické </w:t>
      </w:r>
      <w:r w:rsidR="002940C8">
        <w:t xml:space="preserve">cíle </w:t>
      </w:r>
      <w:r w:rsidR="0056201C">
        <w:t>a opatření, kterých má být dosaženo mj. v oblasti silniční dopravy</w:t>
      </w:r>
      <w:r w:rsidR="00D004CC">
        <w:t xml:space="preserve"> pro rozvoj a dostupnost vozidel na alternativní paliv</w:t>
      </w:r>
      <w:r w:rsidR="00477A93">
        <w:t>a</w:t>
      </w:r>
      <w:r w:rsidR="00D004CC">
        <w:t xml:space="preserve"> v ČR. Pro tyto potřeby jsou součástí NAP CM cílové počty vozidel na alternativní paliva </w:t>
      </w:r>
      <w:r w:rsidR="00160A87">
        <w:t xml:space="preserve">pro roky 2025, 2030 a 2035 v rozlišení dle druhu alternativního paliva </w:t>
      </w:r>
      <w:r w:rsidR="00477A93">
        <w:t>a</w:t>
      </w:r>
      <w:r w:rsidR="00E740D5">
        <w:t> </w:t>
      </w:r>
      <w:r w:rsidR="00160A87">
        <w:t xml:space="preserve">jednotlivých kategorií vozidel (tabulka č. </w:t>
      </w:r>
      <w:r w:rsidR="00F234AB">
        <w:t>2</w:t>
      </w:r>
      <w:r w:rsidR="00160A87">
        <w:t>).</w:t>
      </w:r>
    </w:p>
    <w:p w14:paraId="20EFBC03" w14:textId="77777777" w:rsidR="006F1A49" w:rsidRDefault="006F1A49" w:rsidP="003F00EC">
      <w:pPr>
        <w:spacing w:after="0"/>
        <w:rPr>
          <w:b/>
          <w:bCs/>
          <w:lang w:eastAsia="cs-CZ"/>
        </w:rPr>
      </w:pPr>
    </w:p>
    <w:p w14:paraId="246B4B1C" w14:textId="73FBD56D" w:rsidR="00160A87" w:rsidRPr="00160A87" w:rsidRDefault="00160A87" w:rsidP="004733C4">
      <w:pPr>
        <w:spacing w:after="0"/>
        <w:ind w:left="1304" w:hanging="1304"/>
        <w:jc w:val="left"/>
        <w:rPr>
          <w:b/>
          <w:bCs/>
          <w:lang w:eastAsia="cs-CZ"/>
        </w:rPr>
      </w:pPr>
      <w:r w:rsidRPr="00160A87">
        <w:rPr>
          <w:b/>
          <w:bCs/>
          <w:lang w:eastAsia="cs-CZ"/>
        </w:rPr>
        <w:t xml:space="preserve">Tabulka č. </w:t>
      </w:r>
      <w:r w:rsidR="00F234AB">
        <w:rPr>
          <w:b/>
          <w:bCs/>
          <w:lang w:eastAsia="cs-CZ"/>
        </w:rPr>
        <w:t>2</w:t>
      </w:r>
      <w:r w:rsidRPr="00160A87">
        <w:rPr>
          <w:b/>
          <w:bCs/>
          <w:lang w:eastAsia="cs-CZ"/>
        </w:rPr>
        <w:t xml:space="preserve">: </w:t>
      </w:r>
      <w:r w:rsidR="00E740D5">
        <w:rPr>
          <w:b/>
          <w:bCs/>
          <w:lang w:eastAsia="cs-CZ"/>
        </w:rPr>
        <w:tab/>
      </w:r>
      <w:r w:rsidRPr="00160A87">
        <w:rPr>
          <w:b/>
          <w:bCs/>
          <w:lang w:eastAsia="cs-CZ"/>
        </w:rPr>
        <w:t>Minimální vnitrostátní cíle počtu vozidel</w:t>
      </w:r>
      <w:r>
        <w:rPr>
          <w:b/>
          <w:bCs/>
          <w:lang w:eastAsia="cs-CZ"/>
        </w:rPr>
        <w:t xml:space="preserve"> na alternativní paliva</w:t>
      </w:r>
      <w:r w:rsidRPr="00160A87">
        <w:rPr>
          <w:b/>
          <w:bCs/>
          <w:lang w:eastAsia="cs-CZ"/>
        </w:rPr>
        <w:t xml:space="preserve"> dle 2.</w:t>
      </w:r>
      <w:r w:rsidR="00E740D5">
        <w:rPr>
          <w:b/>
          <w:bCs/>
          <w:lang w:eastAsia="cs-CZ"/>
        </w:rPr>
        <w:t> </w:t>
      </w:r>
      <w:r w:rsidRPr="00160A87">
        <w:rPr>
          <w:b/>
          <w:bCs/>
          <w:lang w:eastAsia="cs-CZ"/>
        </w:rPr>
        <w:t>aktualizace NAP CM</w:t>
      </w:r>
    </w:p>
    <w:tbl>
      <w:tblPr>
        <w:tblStyle w:val="Mkatabulky"/>
        <w:tblW w:w="9646" w:type="dxa"/>
        <w:tblLook w:val="04A0" w:firstRow="1" w:lastRow="0" w:firstColumn="1" w:lastColumn="0" w:noHBand="0" w:noVBand="1"/>
      </w:tblPr>
      <w:tblGrid>
        <w:gridCol w:w="3397"/>
        <w:gridCol w:w="964"/>
        <w:gridCol w:w="1561"/>
        <w:gridCol w:w="1570"/>
        <w:gridCol w:w="1077"/>
        <w:gridCol w:w="1077"/>
      </w:tblGrid>
      <w:tr w:rsidR="00160A87" w:rsidRPr="00C40195" w14:paraId="22E39B06" w14:textId="77777777" w:rsidTr="004733C4">
        <w:tc>
          <w:tcPr>
            <w:tcW w:w="3397" w:type="dxa"/>
            <w:shd w:val="clear" w:color="auto" w:fill="E2F1EE"/>
            <w:vAlign w:val="center"/>
          </w:tcPr>
          <w:p w14:paraId="0219E168" w14:textId="77777777" w:rsidR="00160A87" w:rsidRPr="00C40195" w:rsidRDefault="00160A87" w:rsidP="003F00EC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Vozidla</w:t>
            </w:r>
          </w:p>
        </w:tc>
        <w:tc>
          <w:tcPr>
            <w:tcW w:w="964" w:type="dxa"/>
            <w:shd w:val="clear" w:color="auto" w:fill="E2F1EE"/>
            <w:vAlign w:val="center"/>
          </w:tcPr>
          <w:p w14:paraId="35E8F181" w14:textId="2586A98B" w:rsidR="00160A87" w:rsidRPr="00C40195" w:rsidRDefault="002A3EFE" w:rsidP="003F00EC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</w:t>
            </w:r>
            <w:r w:rsidR="00160A87">
              <w:rPr>
                <w:rFonts w:cs="Calibri"/>
                <w:b/>
                <w:bCs/>
                <w:sz w:val="20"/>
              </w:rPr>
              <w:t xml:space="preserve">íl </w:t>
            </w:r>
            <w:r w:rsidR="00160A87" w:rsidRPr="00C40195">
              <w:rPr>
                <w:rFonts w:cs="Calibri"/>
                <w:b/>
                <w:bCs/>
                <w:sz w:val="20"/>
              </w:rPr>
              <w:t>2025</w:t>
            </w:r>
          </w:p>
        </w:tc>
        <w:tc>
          <w:tcPr>
            <w:tcW w:w="1561" w:type="dxa"/>
            <w:shd w:val="clear" w:color="auto" w:fill="E2F1EE"/>
            <w:vAlign w:val="center"/>
          </w:tcPr>
          <w:p w14:paraId="4C8D230A" w14:textId="1F37B6A7" w:rsidR="00160A87" w:rsidRPr="00C40195" w:rsidRDefault="00160A87" w:rsidP="003F00EC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 xml:space="preserve">Počty registrovaných vozidel </w:t>
            </w:r>
            <w:r>
              <w:rPr>
                <w:rFonts w:cs="Calibri"/>
                <w:b/>
                <w:bCs/>
                <w:sz w:val="20"/>
              </w:rPr>
              <w:t>k 30.</w:t>
            </w:r>
            <w:r w:rsidR="0006167B">
              <w:rPr>
                <w:rFonts w:cs="Calibri"/>
                <w:b/>
                <w:bCs/>
                <w:sz w:val="20"/>
              </w:rPr>
              <w:t> </w:t>
            </w:r>
            <w:r>
              <w:rPr>
                <w:rFonts w:cs="Calibri"/>
                <w:b/>
                <w:bCs/>
                <w:sz w:val="20"/>
              </w:rPr>
              <w:t>září 2025</w:t>
            </w:r>
          </w:p>
        </w:tc>
        <w:tc>
          <w:tcPr>
            <w:tcW w:w="1570" w:type="dxa"/>
            <w:shd w:val="clear" w:color="auto" w:fill="E2F1EE"/>
            <w:vAlign w:val="center"/>
          </w:tcPr>
          <w:p w14:paraId="5D861E42" w14:textId="3766E87B" w:rsidR="00160A87" w:rsidRPr="00C40195" w:rsidRDefault="00160A87" w:rsidP="003F00EC">
            <w:pPr>
              <w:jc w:val="center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 xml:space="preserve">Míra naplnění </w:t>
            </w:r>
            <w:r w:rsidR="006C7E09">
              <w:rPr>
                <w:rFonts w:cs="Calibri"/>
                <w:b/>
                <w:bCs/>
                <w:sz w:val="20"/>
              </w:rPr>
              <w:t>cíle 2025</w:t>
            </w:r>
            <w:r w:rsidR="006C7E09" w:rsidRPr="00C40195">
              <w:rPr>
                <w:rFonts w:cs="Calibri"/>
                <w:b/>
                <w:bCs/>
                <w:sz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</w:rPr>
              <w:t>k 30.</w:t>
            </w:r>
            <w:r w:rsidR="0006167B">
              <w:rPr>
                <w:rFonts w:cs="Calibri"/>
                <w:b/>
                <w:bCs/>
                <w:sz w:val="20"/>
              </w:rPr>
              <w:t> </w:t>
            </w:r>
            <w:r>
              <w:rPr>
                <w:rFonts w:cs="Calibri"/>
                <w:b/>
                <w:bCs/>
                <w:sz w:val="20"/>
              </w:rPr>
              <w:t>září 2025</w:t>
            </w:r>
          </w:p>
        </w:tc>
        <w:tc>
          <w:tcPr>
            <w:tcW w:w="1077" w:type="dxa"/>
            <w:shd w:val="clear" w:color="auto" w:fill="E2F1EE"/>
            <w:vAlign w:val="center"/>
          </w:tcPr>
          <w:p w14:paraId="4485A779" w14:textId="01F178ED" w:rsidR="00160A87" w:rsidRPr="00C40195" w:rsidRDefault="007404F0" w:rsidP="003F00EC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</w:t>
            </w:r>
            <w:r w:rsidR="000C56AB">
              <w:rPr>
                <w:rFonts w:cs="Calibri"/>
                <w:b/>
                <w:bCs/>
                <w:sz w:val="20"/>
              </w:rPr>
              <w:t xml:space="preserve">íl </w:t>
            </w:r>
            <w:r w:rsidR="00160A87" w:rsidRPr="00C40195">
              <w:rPr>
                <w:rFonts w:cs="Calibri"/>
                <w:b/>
                <w:bCs/>
                <w:sz w:val="20"/>
              </w:rPr>
              <w:t>2030</w:t>
            </w:r>
          </w:p>
        </w:tc>
        <w:tc>
          <w:tcPr>
            <w:tcW w:w="1077" w:type="dxa"/>
            <w:shd w:val="clear" w:color="auto" w:fill="E2F1EE"/>
            <w:vAlign w:val="center"/>
          </w:tcPr>
          <w:p w14:paraId="5676B3FB" w14:textId="27B8BF17" w:rsidR="00160A87" w:rsidRPr="00C40195" w:rsidRDefault="007404F0" w:rsidP="003F00EC">
            <w:pPr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C</w:t>
            </w:r>
            <w:r w:rsidR="000C56AB">
              <w:rPr>
                <w:rFonts w:cs="Calibri"/>
                <w:b/>
                <w:bCs/>
                <w:sz w:val="20"/>
              </w:rPr>
              <w:t xml:space="preserve">íl </w:t>
            </w:r>
            <w:r w:rsidR="00160A87" w:rsidRPr="00C40195">
              <w:rPr>
                <w:rFonts w:cs="Calibri"/>
                <w:b/>
                <w:bCs/>
                <w:sz w:val="20"/>
              </w:rPr>
              <w:t>2035</w:t>
            </w:r>
          </w:p>
        </w:tc>
      </w:tr>
      <w:tr w:rsidR="00160A87" w:rsidRPr="00C40195" w14:paraId="5B2F2D5A" w14:textId="77777777" w:rsidTr="004733C4">
        <w:tc>
          <w:tcPr>
            <w:tcW w:w="3397" w:type="dxa"/>
          </w:tcPr>
          <w:p w14:paraId="10BEEBCE" w14:textId="7587A886" w:rsidR="00160A87" w:rsidRPr="00C40195" w:rsidRDefault="00F17C97" w:rsidP="0006167B">
            <w:pPr>
              <w:jc w:val="lef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B</w:t>
            </w:r>
            <w:r w:rsidR="001C685A">
              <w:rPr>
                <w:rFonts w:cs="Calibri"/>
                <w:sz w:val="20"/>
              </w:rPr>
              <w:t xml:space="preserve">ateriové </w:t>
            </w:r>
            <w:r w:rsidR="00160A87" w:rsidRPr="00C40195">
              <w:rPr>
                <w:rFonts w:cs="Calibri"/>
                <w:sz w:val="20"/>
              </w:rPr>
              <w:t>osobní automobily</w:t>
            </w:r>
            <w:r w:rsidR="00160A87">
              <w:rPr>
                <w:rFonts w:cs="Calibri"/>
                <w:sz w:val="20"/>
              </w:rPr>
              <w:t xml:space="preserve"> (M1)</w:t>
            </w:r>
          </w:p>
        </w:tc>
        <w:tc>
          <w:tcPr>
            <w:tcW w:w="964" w:type="dxa"/>
            <w:vAlign w:val="center"/>
          </w:tcPr>
          <w:p w14:paraId="07690146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50 000</w:t>
            </w:r>
          </w:p>
        </w:tc>
        <w:tc>
          <w:tcPr>
            <w:tcW w:w="1561" w:type="dxa"/>
            <w:vAlign w:val="center"/>
          </w:tcPr>
          <w:p w14:paraId="2823ECC3" w14:textId="57CE5175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51 903</w:t>
            </w:r>
          </w:p>
        </w:tc>
        <w:tc>
          <w:tcPr>
            <w:tcW w:w="1570" w:type="dxa"/>
            <w:vAlign w:val="center"/>
          </w:tcPr>
          <w:p w14:paraId="053EBB5A" w14:textId="2117DAA9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103,8 %</w:t>
            </w:r>
          </w:p>
        </w:tc>
        <w:tc>
          <w:tcPr>
            <w:tcW w:w="1077" w:type="dxa"/>
            <w:vAlign w:val="center"/>
          </w:tcPr>
          <w:p w14:paraId="6262A030" w14:textId="7D43ABD4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250 000</w:t>
            </w:r>
          </w:p>
        </w:tc>
        <w:tc>
          <w:tcPr>
            <w:tcW w:w="1077" w:type="dxa"/>
            <w:vAlign w:val="center"/>
          </w:tcPr>
          <w:p w14:paraId="7CA82F65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1 000 000</w:t>
            </w:r>
          </w:p>
        </w:tc>
      </w:tr>
      <w:tr w:rsidR="00160A87" w:rsidRPr="00C40195" w14:paraId="0362120C" w14:textId="77777777" w:rsidTr="004733C4">
        <w:tc>
          <w:tcPr>
            <w:tcW w:w="3397" w:type="dxa"/>
          </w:tcPr>
          <w:p w14:paraId="3BEBB2AF" w14:textId="70592559" w:rsidR="00160A87" w:rsidRPr="00C40195" w:rsidRDefault="00F17C97" w:rsidP="0006167B">
            <w:pPr>
              <w:jc w:val="lef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B</w:t>
            </w:r>
            <w:r w:rsidR="001C685A">
              <w:rPr>
                <w:rFonts w:cs="Calibri"/>
                <w:sz w:val="20"/>
              </w:rPr>
              <w:t>ateriová</w:t>
            </w:r>
            <w:r w:rsidR="00160A87" w:rsidRPr="00C40195">
              <w:rPr>
                <w:rFonts w:cs="Calibri"/>
                <w:sz w:val="20"/>
              </w:rPr>
              <w:t xml:space="preserve"> lehká užitková vozidla (N1)</w:t>
            </w:r>
          </w:p>
        </w:tc>
        <w:tc>
          <w:tcPr>
            <w:tcW w:w="964" w:type="dxa"/>
            <w:vAlign w:val="center"/>
          </w:tcPr>
          <w:p w14:paraId="5C32A702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4 000</w:t>
            </w:r>
          </w:p>
        </w:tc>
        <w:tc>
          <w:tcPr>
            <w:tcW w:w="1561" w:type="dxa"/>
            <w:vAlign w:val="center"/>
          </w:tcPr>
          <w:p w14:paraId="499691B3" w14:textId="2B2C411D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2 961</w:t>
            </w:r>
          </w:p>
        </w:tc>
        <w:tc>
          <w:tcPr>
            <w:tcW w:w="1570" w:type="dxa"/>
            <w:vAlign w:val="center"/>
          </w:tcPr>
          <w:p w14:paraId="306060B0" w14:textId="5BCAC675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74,0 %</w:t>
            </w:r>
          </w:p>
        </w:tc>
        <w:tc>
          <w:tcPr>
            <w:tcW w:w="1077" w:type="dxa"/>
            <w:vAlign w:val="center"/>
          </w:tcPr>
          <w:p w14:paraId="1E3DE3DA" w14:textId="52A61C3F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20 000</w:t>
            </w:r>
          </w:p>
        </w:tc>
        <w:tc>
          <w:tcPr>
            <w:tcW w:w="1077" w:type="dxa"/>
            <w:vAlign w:val="center"/>
          </w:tcPr>
          <w:p w14:paraId="475AD9CB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60 000</w:t>
            </w:r>
          </w:p>
        </w:tc>
      </w:tr>
      <w:tr w:rsidR="00160A87" w:rsidRPr="00C40195" w14:paraId="751EEE89" w14:textId="77777777" w:rsidTr="004733C4">
        <w:tc>
          <w:tcPr>
            <w:tcW w:w="3397" w:type="dxa"/>
          </w:tcPr>
          <w:p w14:paraId="645B0CE8" w14:textId="26FAAD29" w:rsidR="00160A87" w:rsidRPr="00C40195" w:rsidRDefault="00F17C97" w:rsidP="0006167B">
            <w:pPr>
              <w:jc w:val="lef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B</w:t>
            </w:r>
            <w:r w:rsidR="001C685A">
              <w:rPr>
                <w:rFonts w:cs="Calibri"/>
                <w:sz w:val="20"/>
              </w:rPr>
              <w:t>ateriová</w:t>
            </w:r>
            <w:r w:rsidR="00FF61E7">
              <w:rPr>
                <w:rFonts w:cs="Calibri"/>
                <w:sz w:val="20"/>
              </w:rPr>
              <w:t xml:space="preserve"> střední a</w:t>
            </w:r>
            <w:r w:rsidR="00160A87" w:rsidRPr="00C40195">
              <w:rPr>
                <w:rFonts w:cs="Calibri"/>
                <w:sz w:val="20"/>
              </w:rPr>
              <w:t xml:space="preserve"> těžká nákladní vozidla (N2, N3)</w:t>
            </w:r>
          </w:p>
        </w:tc>
        <w:tc>
          <w:tcPr>
            <w:tcW w:w="964" w:type="dxa"/>
            <w:vAlign w:val="center"/>
          </w:tcPr>
          <w:p w14:paraId="140B031D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150</w:t>
            </w:r>
          </w:p>
        </w:tc>
        <w:tc>
          <w:tcPr>
            <w:tcW w:w="1561" w:type="dxa"/>
            <w:vAlign w:val="center"/>
          </w:tcPr>
          <w:p w14:paraId="097DA63C" w14:textId="0D2C56F1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143</w:t>
            </w:r>
          </w:p>
        </w:tc>
        <w:tc>
          <w:tcPr>
            <w:tcW w:w="1570" w:type="dxa"/>
            <w:vAlign w:val="center"/>
          </w:tcPr>
          <w:p w14:paraId="345EEF64" w14:textId="79100642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95,3 %</w:t>
            </w:r>
          </w:p>
        </w:tc>
        <w:tc>
          <w:tcPr>
            <w:tcW w:w="1077" w:type="dxa"/>
            <w:vAlign w:val="center"/>
          </w:tcPr>
          <w:p w14:paraId="0583396B" w14:textId="7C69FF8C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6 000</w:t>
            </w:r>
          </w:p>
        </w:tc>
        <w:tc>
          <w:tcPr>
            <w:tcW w:w="1077" w:type="dxa"/>
            <w:vAlign w:val="center"/>
          </w:tcPr>
          <w:p w14:paraId="163E7519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25 000</w:t>
            </w:r>
          </w:p>
        </w:tc>
      </w:tr>
      <w:tr w:rsidR="00160A87" w:rsidRPr="00C40195" w14:paraId="709B41DC" w14:textId="77777777" w:rsidTr="004733C4">
        <w:tc>
          <w:tcPr>
            <w:tcW w:w="3397" w:type="dxa"/>
          </w:tcPr>
          <w:p w14:paraId="3EB1EF49" w14:textId="79D1D209" w:rsidR="00160A87" w:rsidRPr="00C40195" w:rsidRDefault="00F17C97" w:rsidP="0006167B">
            <w:pPr>
              <w:jc w:val="lef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B</w:t>
            </w:r>
            <w:r w:rsidR="001C685A">
              <w:rPr>
                <w:rFonts w:cs="Calibri"/>
                <w:sz w:val="20"/>
              </w:rPr>
              <w:t>ateriové</w:t>
            </w:r>
            <w:r w:rsidR="00160A87" w:rsidRPr="00C40195">
              <w:rPr>
                <w:rFonts w:cs="Calibri"/>
                <w:sz w:val="20"/>
              </w:rPr>
              <w:t xml:space="preserve"> autobusy</w:t>
            </w:r>
          </w:p>
        </w:tc>
        <w:tc>
          <w:tcPr>
            <w:tcW w:w="964" w:type="dxa"/>
            <w:vAlign w:val="center"/>
          </w:tcPr>
          <w:p w14:paraId="4B35A48D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400</w:t>
            </w:r>
          </w:p>
        </w:tc>
        <w:tc>
          <w:tcPr>
            <w:tcW w:w="1561" w:type="dxa"/>
            <w:vAlign w:val="center"/>
          </w:tcPr>
          <w:p w14:paraId="17CBF804" w14:textId="76CD0058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229</w:t>
            </w:r>
          </w:p>
        </w:tc>
        <w:tc>
          <w:tcPr>
            <w:tcW w:w="1570" w:type="dxa"/>
            <w:vAlign w:val="center"/>
          </w:tcPr>
          <w:p w14:paraId="06F67CFC" w14:textId="31931F3D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57,3 %</w:t>
            </w:r>
          </w:p>
        </w:tc>
        <w:tc>
          <w:tcPr>
            <w:tcW w:w="1077" w:type="dxa"/>
            <w:vAlign w:val="center"/>
          </w:tcPr>
          <w:p w14:paraId="63F697AD" w14:textId="39128D85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1 200</w:t>
            </w:r>
          </w:p>
        </w:tc>
        <w:tc>
          <w:tcPr>
            <w:tcW w:w="1077" w:type="dxa"/>
            <w:vAlign w:val="center"/>
          </w:tcPr>
          <w:p w14:paraId="0625BB9E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4 200</w:t>
            </w:r>
          </w:p>
        </w:tc>
      </w:tr>
      <w:tr w:rsidR="00160A87" w:rsidRPr="00C40195" w14:paraId="76A6D813" w14:textId="77777777" w:rsidTr="004733C4">
        <w:tc>
          <w:tcPr>
            <w:tcW w:w="3397" w:type="dxa"/>
          </w:tcPr>
          <w:p w14:paraId="0F3A8E3C" w14:textId="25F29C22" w:rsidR="00160A87" w:rsidRPr="00C40195" w:rsidRDefault="00160A87" w:rsidP="0006167B">
            <w:pPr>
              <w:jc w:val="lef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CNG/</w:t>
            </w:r>
            <w:proofErr w:type="spellStart"/>
            <w:r w:rsidRPr="00C40195">
              <w:rPr>
                <w:rFonts w:cs="Calibri"/>
                <w:sz w:val="20"/>
              </w:rPr>
              <w:t>bioCNG</w:t>
            </w:r>
            <w:proofErr w:type="spellEnd"/>
            <w:r w:rsidRPr="00C40195">
              <w:rPr>
                <w:rFonts w:cs="Calibri"/>
                <w:sz w:val="20"/>
              </w:rPr>
              <w:t xml:space="preserve"> osobní automobily</w:t>
            </w:r>
            <w:r>
              <w:rPr>
                <w:rFonts w:cs="Calibri"/>
                <w:sz w:val="20"/>
              </w:rPr>
              <w:t xml:space="preserve"> (M1)</w:t>
            </w:r>
          </w:p>
        </w:tc>
        <w:tc>
          <w:tcPr>
            <w:tcW w:w="964" w:type="dxa"/>
            <w:vAlign w:val="center"/>
          </w:tcPr>
          <w:p w14:paraId="546F4A45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22 900</w:t>
            </w:r>
          </w:p>
        </w:tc>
        <w:tc>
          <w:tcPr>
            <w:tcW w:w="1561" w:type="dxa"/>
            <w:vAlign w:val="center"/>
          </w:tcPr>
          <w:p w14:paraId="6FAA48A4" w14:textId="742236F5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22 916</w:t>
            </w:r>
          </w:p>
        </w:tc>
        <w:tc>
          <w:tcPr>
            <w:tcW w:w="1570" w:type="dxa"/>
            <w:vAlign w:val="center"/>
          </w:tcPr>
          <w:p w14:paraId="72B1B555" w14:textId="5FA34000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100,1 %</w:t>
            </w:r>
          </w:p>
        </w:tc>
        <w:tc>
          <w:tcPr>
            <w:tcW w:w="1077" w:type="dxa"/>
            <w:vAlign w:val="center"/>
          </w:tcPr>
          <w:p w14:paraId="4C8114EE" w14:textId="3925869F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24 500</w:t>
            </w:r>
          </w:p>
        </w:tc>
        <w:tc>
          <w:tcPr>
            <w:tcW w:w="1077" w:type="dxa"/>
            <w:vAlign w:val="center"/>
          </w:tcPr>
          <w:p w14:paraId="0F0CBC77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18 700</w:t>
            </w:r>
          </w:p>
        </w:tc>
      </w:tr>
      <w:tr w:rsidR="00160A87" w:rsidRPr="00C40195" w14:paraId="6D964974" w14:textId="77777777" w:rsidTr="004733C4">
        <w:tc>
          <w:tcPr>
            <w:tcW w:w="3397" w:type="dxa"/>
          </w:tcPr>
          <w:p w14:paraId="79BC4F9A" w14:textId="77777777" w:rsidR="00160A87" w:rsidRPr="00C40195" w:rsidRDefault="00160A87" w:rsidP="0006167B">
            <w:pPr>
              <w:jc w:val="lef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CNG/</w:t>
            </w:r>
            <w:proofErr w:type="spellStart"/>
            <w:r w:rsidRPr="00C40195">
              <w:rPr>
                <w:rFonts w:cs="Calibri"/>
                <w:sz w:val="20"/>
              </w:rPr>
              <w:t>bioCNG</w:t>
            </w:r>
            <w:proofErr w:type="spellEnd"/>
            <w:r w:rsidRPr="00C40195">
              <w:rPr>
                <w:rFonts w:cs="Calibri"/>
                <w:sz w:val="20"/>
              </w:rPr>
              <w:t xml:space="preserve"> lehká užitková vozidla (N1)</w:t>
            </w:r>
          </w:p>
        </w:tc>
        <w:tc>
          <w:tcPr>
            <w:tcW w:w="964" w:type="dxa"/>
            <w:vAlign w:val="center"/>
          </w:tcPr>
          <w:p w14:paraId="4846CD24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5 100</w:t>
            </w:r>
          </w:p>
        </w:tc>
        <w:tc>
          <w:tcPr>
            <w:tcW w:w="1561" w:type="dxa"/>
            <w:vAlign w:val="center"/>
          </w:tcPr>
          <w:p w14:paraId="1196F242" w14:textId="14DB288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4 919</w:t>
            </w:r>
          </w:p>
        </w:tc>
        <w:tc>
          <w:tcPr>
            <w:tcW w:w="1570" w:type="dxa"/>
            <w:vAlign w:val="center"/>
          </w:tcPr>
          <w:p w14:paraId="66D87ED4" w14:textId="36AE856E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96,5 %</w:t>
            </w:r>
          </w:p>
        </w:tc>
        <w:tc>
          <w:tcPr>
            <w:tcW w:w="1077" w:type="dxa"/>
            <w:vAlign w:val="center"/>
          </w:tcPr>
          <w:p w14:paraId="5F38C434" w14:textId="2686848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7 700</w:t>
            </w:r>
          </w:p>
        </w:tc>
        <w:tc>
          <w:tcPr>
            <w:tcW w:w="1077" w:type="dxa"/>
            <w:vAlign w:val="center"/>
          </w:tcPr>
          <w:p w14:paraId="1FCBEED6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2 100</w:t>
            </w:r>
          </w:p>
        </w:tc>
      </w:tr>
      <w:tr w:rsidR="00160A87" w:rsidRPr="00C40195" w14:paraId="58E39012" w14:textId="77777777" w:rsidTr="004733C4">
        <w:tc>
          <w:tcPr>
            <w:tcW w:w="3397" w:type="dxa"/>
          </w:tcPr>
          <w:p w14:paraId="398CCC72" w14:textId="5A9AC50E" w:rsidR="00160A87" w:rsidRPr="00C40195" w:rsidRDefault="00160A87" w:rsidP="0006167B">
            <w:pPr>
              <w:jc w:val="lef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CNG/</w:t>
            </w:r>
            <w:proofErr w:type="spellStart"/>
            <w:r w:rsidRPr="00C40195">
              <w:rPr>
                <w:rFonts w:cs="Calibri"/>
                <w:sz w:val="20"/>
              </w:rPr>
              <w:t>bioCNG</w:t>
            </w:r>
            <w:proofErr w:type="spellEnd"/>
            <w:r w:rsidRPr="00C40195">
              <w:rPr>
                <w:rFonts w:cs="Calibri"/>
                <w:sz w:val="20"/>
              </w:rPr>
              <w:t xml:space="preserve"> </w:t>
            </w:r>
            <w:r w:rsidR="00FF61E7">
              <w:rPr>
                <w:rFonts w:cs="Calibri"/>
                <w:sz w:val="20"/>
              </w:rPr>
              <w:t xml:space="preserve">střední a </w:t>
            </w:r>
            <w:r w:rsidRPr="00C40195">
              <w:rPr>
                <w:rFonts w:cs="Calibri"/>
                <w:sz w:val="20"/>
              </w:rPr>
              <w:t>těžká nákladní vozidla (N2, N3)</w:t>
            </w:r>
          </w:p>
        </w:tc>
        <w:tc>
          <w:tcPr>
            <w:tcW w:w="964" w:type="dxa"/>
            <w:vAlign w:val="center"/>
          </w:tcPr>
          <w:p w14:paraId="698BFB11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400</w:t>
            </w:r>
          </w:p>
        </w:tc>
        <w:tc>
          <w:tcPr>
            <w:tcW w:w="1561" w:type="dxa"/>
            <w:vAlign w:val="center"/>
          </w:tcPr>
          <w:p w14:paraId="33505AC8" w14:textId="6041A440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344</w:t>
            </w:r>
          </w:p>
        </w:tc>
        <w:tc>
          <w:tcPr>
            <w:tcW w:w="1570" w:type="dxa"/>
            <w:vAlign w:val="center"/>
          </w:tcPr>
          <w:p w14:paraId="2CB76BC5" w14:textId="51471C8A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86,0 %</w:t>
            </w:r>
          </w:p>
        </w:tc>
        <w:tc>
          <w:tcPr>
            <w:tcW w:w="1077" w:type="dxa"/>
            <w:vAlign w:val="center"/>
          </w:tcPr>
          <w:p w14:paraId="3A2BAA38" w14:textId="1A86755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520</w:t>
            </w:r>
          </w:p>
        </w:tc>
        <w:tc>
          <w:tcPr>
            <w:tcW w:w="1077" w:type="dxa"/>
            <w:vAlign w:val="center"/>
          </w:tcPr>
          <w:p w14:paraId="382E0787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600</w:t>
            </w:r>
          </w:p>
        </w:tc>
      </w:tr>
      <w:tr w:rsidR="00160A87" w:rsidRPr="00C40195" w14:paraId="32D6ABD8" w14:textId="77777777" w:rsidTr="004733C4">
        <w:tc>
          <w:tcPr>
            <w:tcW w:w="3397" w:type="dxa"/>
          </w:tcPr>
          <w:p w14:paraId="2D1AEE10" w14:textId="77777777" w:rsidR="00160A87" w:rsidRPr="00C40195" w:rsidRDefault="00160A87" w:rsidP="0006167B">
            <w:pPr>
              <w:jc w:val="lef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CNG/</w:t>
            </w:r>
            <w:proofErr w:type="spellStart"/>
            <w:r w:rsidRPr="00C40195">
              <w:rPr>
                <w:rFonts w:cs="Calibri"/>
                <w:sz w:val="20"/>
              </w:rPr>
              <w:t>bioCNG</w:t>
            </w:r>
            <w:proofErr w:type="spellEnd"/>
            <w:r w:rsidRPr="00C40195">
              <w:rPr>
                <w:rFonts w:cs="Calibri"/>
                <w:sz w:val="20"/>
              </w:rPr>
              <w:t xml:space="preserve"> autobusy</w:t>
            </w:r>
          </w:p>
        </w:tc>
        <w:tc>
          <w:tcPr>
            <w:tcW w:w="964" w:type="dxa"/>
            <w:vAlign w:val="center"/>
          </w:tcPr>
          <w:p w14:paraId="7D2BA863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2 000</w:t>
            </w:r>
          </w:p>
        </w:tc>
        <w:tc>
          <w:tcPr>
            <w:tcW w:w="1561" w:type="dxa"/>
            <w:vAlign w:val="center"/>
          </w:tcPr>
          <w:p w14:paraId="1DB9D7AC" w14:textId="301ECC8D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1 905</w:t>
            </w:r>
          </w:p>
        </w:tc>
        <w:tc>
          <w:tcPr>
            <w:tcW w:w="1570" w:type="dxa"/>
            <w:vAlign w:val="center"/>
          </w:tcPr>
          <w:p w14:paraId="7D93A72A" w14:textId="2899FEB6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95,3 %</w:t>
            </w:r>
          </w:p>
        </w:tc>
        <w:tc>
          <w:tcPr>
            <w:tcW w:w="1077" w:type="dxa"/>
            <w:vAlign w:val="center"/>
          </w:tcPr>
          <w:p w14:paraId="0EE7D03C" w14:textId="13AE387D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2 530</w:t>
            </w:r>
          </w:p>
        </w:tc>
        <w:tc>
          <w:tcPr>
            <w:tcW w:w="1077" w:type="dxa"/>
            <w:vAlign w:val="center"/>
          </w:tcPr>
          <w:p w14:paraId="6E2C416C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2 500</w:t>
            </w:r>
          </w:p>
        </w:tc>
      </w:tr>
      <w:tr w:rsidR="00160A87" w:rsidRPr="00C40195" w14:paraId="67429C2B" w14:textId="77777777" w:rsidTr="004733C4">
        <w:tc>
          <w:tcPr>
            <w:tcW w:w="3397" w:type="dxa"/>
          </w:tcPr>
          <w:p w14:paraId="708B4E9D" w14:textId="6B7F5EBE" w:rsidR="00160A87" w:rsidRPr="00C40195" w:rsidRDefault="00160A87" w:rsidP="0006167B">
            <w:pPr>
              <w:jc w:val="lef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LNG/</w:t>
            </w:r>
            <w:proofErr w:type="spellStart"/>
            <w:r w:rsidRPr="00C40195">
              <w:rPr>
                <w:rFonts w:cs="Calibri"/>
                <w:sz w:val="20"/>
              </w:rPr>
              <w:t>bioLNG</w:t>
            </w:r>
            <w:proofErr w:type="spellEnd"/>
            <w:r w:rsidRPr="00C40195">
              <w:rPr>
                <w:rFonts w:cs="Calibri"/>
                <w:sz w:val="20"/>
              </w:rPr>
              <w:t xml:space="preserve"> </w:t>
            </w:r>
            <w:r w:rsidR="00FF61E7">
              <w:rPr>
                <w:rFonts w:cs="Calibri"/>
                <w:sz w:val="20"/>
              </w:rPr>
              <w:t xml:space="preserve">střední a </w:t>
            </w:r>
            <w:r w:rsidRPr="00C40195">
              <w:rPr>
                <w:rFonts w:cs="Calibri"/>
                <w:sz w:val="20"/>
              </w:rPr>
              <w:t>těžká nákladní vozidla (N2, N3)</w:t>
            </w:r>
          </w:p>
        </w:tc>
        <w:tc>
          <w:tcPr>
            <w:tcW w:w="964" w:type="dxa"/>
            <w:vAlign w:val="center"/>
          </w:tcPr>
          <w:p w14:paraId="2B53D260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1 000</w:t>
            </w:r>
          </w:p>
        </w:tc>
        <w:tc>
          <w:tcPr>
            <w:tcW w:w="1561" w:type="dxa"/>
            <w:vAlign w:val="center"/>
          </w:tcPr>
          <w:p w14:paraId="020EA388" w14:textId="36CD5C84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110</w:t>
            </w:r>
          </w:p>
        </w:tc>
        <w:tc>
          <w:tcPr>
            <w:tcW w:w="1570" w:type="dxa"/>
            <w:vAlign w:val="center"/>
          </w:tcPr>
          <w:p w14:paraId="06A4558D" w14:textId="7F6309F8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11,0 %</w:t>
            </w:r>
          </w:p>
        </w:tc>
        <w:tc>
          <w:tcPr>
            <w:tcW w:w="1077" w:type="dxa"/>
            <w:vAlign w:val="center"/>
          </w:tcPr>
          <w:p w14:paraId="49BA71BC" w14:textId="2480F39D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4 000</w:t>
            </w:r>
          </w:p>
        </w:tc>
        <w:tc>
          <w:tcPr>
            <w:tcW w:w="1077" w:type="dxa"/>
            <w:vAlign w:val="center"/>
          </w:tcPr>
          <w:p w14:paraId="10AA105E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9 000</w:t>
            </w:r>
          </w:p>
        </w:tc>
      </w:tr>
      <w:tr w:rsidR="00160A87" w:rsidRPr="00C40195" w14:paraId="08E53D1C" w14:textId="77777777" w:rsidTr="004733C4">
        <w:tc>
          <w:tcPr>
            <w:tcW w:w="3397" w:type="dxa"/>
          </w:tcPr>
          <w:p w14:paraId="016E1C67" w14:textId="6C9F4F58" w:rsidR="00160A87" w:rsidRPr="00C40195" w:rsidRDefault="00160A87" w:rsidP="0006167B">
            <w:pPr>
              <w:tabs>
                <w:tab w:val="left" w:pos="1853"/>
              </w:tabs>
              <w:jc w:val="lef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H</w:t>
            </w:r>
            <w:r w:rsidRPr="004733C4">
              <w:rPr>
                <w:rFonts w:cs="Calibri"/>
                <w:sz w:val="20"/>
                <w:vertAlign w:val="subscript"/>
              </w:rPr>
              <w:t>2</w:t>
            </w:r>
            <w:r w:rsidRPr="00C40195">
              <w:rPr>
                <w:rFonts w:cs="Calibri"/>
                <w:sz w:val="20"/>
              </w:rPr>
              <w:t xml:space="preserve"> osobní vozidl</w:t>
            </w:r>
            <w:r>
              <w:rPr>
                <w:rFonts w:cs="Calibri"/>
                <w:sz w:val="20"/>
              </w:rPr>
              <w:t>a (M1)</w:t>
            </w:r>
          </w:p>
        </w:tc>
        <w:tc>
          <w:tcPr>
            <w:tcW w:w="964" w:type="dxa"/>
            <w:vAlign w:val="center"/>
          </w:tcPr>
          <w:p w14:paraId="78445BC7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200</w:t>
            </w:r>
          </w:p>
        </w:tc>
        <w:tc>
          <w:tcPr>
            <w:tcW w:w="1561" w:type="dxa"/>
            <w:vAlign w:val="center"/>
          </w:tcPr>
          <w:p w14:paraId="71F36E35" w14:textId="15825D04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35</w:t>
            </w:r>
          </w:p>
        </w:tc>
        <w:tc>
          <w:tcPr>
            <w:tcW w:w="1570" w:type="dxa"/>
            <w:vAlign w:val="center"/>
          </w:tcPr>
          <w:p w14:paraId="22D7CD75" w14:textId="453727E9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17,5 %</w:t>
            </w:r>
          </w:p>
        </w:tc>
        <w:tc>
          <w:tcPr>
            <w:tcW w:w="1077" w:type="dxa"/>
            <w:vAlign w:val="center"/>
          </w:tcPr>
          <w:p w14:paraId="7181E29E" w14:textId="6972BE1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3 000</w:t>
            </w:r>
          </w:p>
        </w:tc>
        <w:tc>
          <w:tcPr>
            <w:tcW w:w="1077" w:type="dxa"/>
            <w:vAlign w:val="center"/>
          </w:tcPr>
          <w:p w14:paraId="1EDFC069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8 000</w:t>
            </w:r>
          </w:p>
        </w:tc>
      </w:tr>
      <w:tr w:rsidR="00160A87" w:rsidRPr="00C40195" w14:paraId="0D7ADA5E" w14:textId="77777777" w:rsidTr="004733C4">
        <w:tc>
          <w:tcPr>
            <w:tcW w:w="3397" w:type="dxa"/>
          </w:tcPr>
          <w:p w14:paraId="5D662127" w14:textId="77777777" w:rsidR="00160A87" w:rsidRPr="00C40195" w:rsidRDefault="00160A87" w:rsidP="0006167B">
            <w:pPr>
              <w:jc w:val="lef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H</w:t>
            </w:r>
            <w:r w:rsidRPr="004733C4">
              <w:rPr>
                <w:rFonts w:cs="Calibri"/>
                <w:sz w:val="20"/>
                <w:vertAlign w:val="subscript"/>
              </w:rPr>
              <w:t>2</w:t>
            </w:r>
            <w:r w:rsidRPr="00C40195">
              <w:rPr>
                <w:rFonts w:cs="Calibri"/>
                <w:sz w:val="20"/>
              </w:rPr>
              <w:t xml:space="preserve"> lehká užitková vozidla (N1)</w:t>
            </w:r>
          </w:p>
        </w:tc>
        <w:tc>
          <w:tcPr>
            <w:tcW w:w="964" w:type="dxa"/>
            <w:vAlign w:val="center"/>
          </w:tcPr>
          <w:p w14:paraId="3212C809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50</w:t>
            </w:r>
          </w:p>
        </w:tc>
        <w:tc>
          <w:tcPr>
            <w:tcW w:w="1561" w:type="dxa"/>
            <w:vAlign w:val="center"/>
          </w:tcPr>
          <w:p w14:paraId="171420AE" w14:textId="7002FE18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0</w:t>
            </w:r>
          </w:p>
        </w:tc>
        <w:tc>
          <w:tcPr>
            <w:tcW w:w="1570" w:type="dxa"/>
            <w:vAlign w:val="center"/>
          </w:tcPr>
          <w:p w14:paraId="7A367286" w14:textId="3DDAC080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0,0 %</w:t>
            </w:r>
          </w:p>
        </w:tc>
        <w:tc>
          <w:tcPr>
            <w:tcW w:w="1077" w:type="dxa"/>
            <w:vAlign w:val="center"/>
          </w:tcPr>
          <w:p w14:paraId="1590C635" w14:textId="4BF1D20D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800</w:t>
            </w:r>
          </w:p>
        </w:tc>
        <w:tc>
          <w:tcPr>
            <w:tcW w:w="1077" w:type="dxa"/>
            <w:vAlign w:val="center"/>
          </w:tcPr>
          <w:p w14:paraId="6E1096EC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3 500</w:t>
            </w:r>
          </w:p>
        </w:tc>
      </w:tr>
      <w:tr w:rsidR="00160A87" w:rsidRPr="00C40195" w14:paraId="1B9C03E6" w14:textId="77777777" w:rsidTr="004733C4">
        <w:tc>
          <w:tcPr>
            <w:tcW w:w="3397" w:type="dxa"/>
          </w:tcPr>
          <w:p w14:paraId="3D17FABA" w14:textId="160C8A27" w:rsidR="00160A87" w:rsidRPr="00C40195" w:rsidRDefault="00160A87" w:rsidP="0006167B">
            <w:pPr>
              <w:jc w:val="lef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H</w:t>
            </w:r>
            <w:r w:rsidRPr="004733C4">
              <w:rPr>
                <w:rFonts w:cs="Calibri"/>
                <w:sz w:val="20"/>
                <w:vertAlign w:val="subscript"/>
              </w:rPr>
              <w:t>2</w:t>
            </w:r>
            <w:r w:rsidRPr="00C40195">
              <w:rPr>
                <w:rFonts w:cs="Calibri"/>
                <w:sz w:val="20"/>
              </w:rPr>
              <w:t xml:space="preserve"> </w:t>
            </w:r>
            <w:r w:rsidR="00FF61E7">
              <w:rPr>
                <w:rFonts w:cs="Calibri"/>
                <w:sz w:val="20"/>
              </w:rPr>
              <w:t xml:space="preserve">střední a </w:t>
            </w:r>
            <w:r w:rsidRPr="00C40195">
              <w:rPr>
                <w:rFonts w:cs="Calibri"/>
                <w:sz w:val="20"/>
              </w:rPr>
              <w:t xml:space="preserve">těžká nákladní vozidla </w:t>
            </w:r>
            <w:r w:rsidR="00F17C97">
              <w:rPr>
                <w:rFonts w:cs="Calibri"/>
                <w:sz w:val="20"/>
              </w:rPr>
              <w:br/>
            </w:r>
            <w:r w:rsidRPr="00C40195">
              <w:rPr>
                <w:rFonts w:cs="Calibri"/>
                <w:sz w:val="20"/>
              </w:rPr>
              <w:t>(N2, N3)</w:t>
            </w:r>
          </w:p>
        </w:tc>
        <w:tc>
          <w:tcPr>
            <w:tcW w:w="964" w:type="dxa"/>
            <w:vAlign w:val="center"/>
          </w:tcPr>
          <w:p w14:paraId="5BFA7C59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10</w:t>
            </w:r>
          </w:p>
        </w:tc>
        <w:tc>
          <w:tcPr>
            <w:tcW w:w="1561" w:type="dxa"/>
            <w:vAlign w:val="center"/>
          </w:tcPr>
          <w:p w14:paraId="112077CA" w14:textId="0C17C9FE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0</w:t>
            </w:r>
          </w:p>
        </w:tc>
        <w:tc>
          <w:tcPr>
            <w:tcW w:w="1570" w:type="dxa"/>
            <w:vAlign w:val="center"/>
          </w:tcPr>
          <w:p w14:paraId="25A03D14" w14:textId="07ACC070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0,0 %</w:t>
            </w:r>
          </w:p>
        </w:tc>
        <w:tc>
          <w:tcPr>
            <w:tcW w:w="1077" w:type="dxa"/>
            <w:vAlign w:val="center"/>
          </w:tcPr>
          <w:p w14:paraId="338146D0" w14:textId="15D46B2E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380</w:t>
            </w:r>
          </w:p>
        </w:tc>
        <w:tc>
          <w:tcPr>
            <w:tcW w:w="1077" w:type="dxa"/>
            <w:vAlign w:val="center"/>
          </w:tcPr>
          <w:p w14:paraId="0186634C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1 500</w:t>
            </w:r>
          </w:p>
        </w:tc>
      </w:tr>
      <w:tr w:rsidR="00160A87" w:rsidRPr="00C40195" w14:paraId="2B32E82B" w14:textId="77777777" w:rsidTr="004733C4">
        <w:tc>
          <w:tcPr>
            <w:tcW w:w="3397" w:type="dxa"/>
          </w:tcPr>
          <w:p w14:paraId="4B4E4541" w14:textId="77777777" w:rsidR="00160A87" w:rsidRPr="00C40195" w:rsidRDefault="00160A87" w:rsidP="0006167B">
            <w:pPr>
              <w:jc w:val="lef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H</w:t>
            </w:r>
            <w:r w:rsidRPr="004733C4">
              <w:rPr>
                <w:rFonts w:cs="Calibri"/>
                <w:sz w:val="20"/>
                <w:vertAlign w:val="subscript"/>
              </w:rPr>
              <w:t>2</w:t>
            </w:r>
            <w:r w:rsidRPr="00C40195">
              <w:rPr>
                <w:rFonts w:cs="Calibri"/>
                <w:sz w:val="20"/>
              </w:rPr>
              <w:t xml:space="preserve"> autobusy</w:t>
            </w:r>
          </w:p>
        </w:tc>
        <w:tc>
          <w:tcPr>
            <w:tcW w:w="964" w:type="dxa"/>
            <w:vAlign w:val="center"/>
          </w:tcPr>
          <w:p w14:paraId="14C3A486" w14:textId="77777777" w:rsidR="00160A87" w:rsidRPr="00C40195" w:rsidRDefault="00160A87" w:rsidP="003F00EC">
            <w:pPr>
              <w:jc w:val="right"/>
              <w:rPr>
                <w:rFonts w:cs="Calibri"/>
                <w:b/>
                <w:bCs/>
                <w:sz w:val="20"/>
              </w:rPr>
            </w:pPr>
            <w:r w:rsidRPr="00C40195">
              <w:rPr>
                <w:rFonts w:cs="Calibri"/>
                <w:b/>
                <w:bCs/>
                <w:sz w:val="20"/>
              </w:rPr>
              <w:t>10</w:t>
            </w:r>
          </w:p>
        </w:tc>
        <w:tc>
          <w:tcPr>
            <w:tcW w:w="1561" w:type="dxa"/>
            <w:vAlign w:val="center"/>
          </w:tcPr>
          <w:p w14:paraId="1FDF9129" w14:textId="095F2DC8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0</w:t>
            </w:r>
          </w:p>
        </w:tc>
        <w:tc>
          <w:tcPr>
            <w:tcW w:w="1570" w:type="dxa"/>
            <w:vAlign w:val="center"/>
          </w:tcPr>
          <w:p w14:paraId="5ED0A7D6" w14:textId="236C01C3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0,0 %</w:t>
            </w:r>
          </w:p>
        </w:tc>
        <w:tc>
          <w:tcPr>
            <w:tcW w:w="1077" w:type="dxa"/>
            <w:vAlign w:val="center"/>
          </w:tcPr>
          <w:p w14:paraId="308B52A4" w14:textId="0F53E0B1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200</w:t>
            </w:r>
          </w:p>
        </w:tc>
        <w:tc>
          <w:tcPr>
            <w:tcW w:w="1077" w:type="dxa"/>
            <w:vAlign w:val="center"/>
          </w:tcPr>
          <w:p w14:paraId="6BEE2CA0" w14:textId="77777777" w:rsidR="00160A87" w:rsidRPr="00C40195" w:rsidRDefault="00160A87" w:rsidP="003F00EC">
            <w:pPr>
              <w:jc w:val="right"/>
              <w:rPr>
                <w:rFonts w:cs="Calibri"/>
                <w:sz w:val="20"/>
              </w:rPr>
            </w:pPr>
            <w:r w:rsidRPr="00C40195">
              <w:rPr>
                <w:rFonts w:cs="Calibri"/>
                <w:sz w:val="20"/>
              </w:rPr>
              <w:t>350</w:t>
            </w:r>
          </w:p>
        </w:tc>
      </w:tr>
    </w:tbl>
    <w:p w14:paraId="74B27B54" w14:textId="661F2E2D" w:rsidR="00E740D5" w:rsidRDefault="00E740D5" w:rsidP="004733C4">
      <w:pPr>
        <w:spacing w:after="0"/>
        <w:ind w:left="567" w:hanging="567"/>
        <w:rPr>
          <w:sz w:val="20"/>
          <w:szCs w:val="20"/>
        </w:rPr>
      </w:pPr>
      <w:r w:rsidRPr="00671DEC">
        <w:rPr>
          <w:b/>
          <w:bCs/>
          <w:sz w:val="20"/>
          <w:szCs w:val="18"/>
        </w:rPr>
        <w:t>Zdroj:</w:t>
      </w:r>
      <w:r w:rsidRPr="00160A87">
        <w:rPr>
          <w:sz w:val="20"/>
          <w:szCs w:val="18"/>
        </w:rPr>
        <w:t xml:space="preserve"> </w:t>
      </w:r>
      <w:r w:rsidR="007404F0">
        <w:rPr>
          <w:sz w:val="20"/>
          <w:szCs w:val="18"/>
        </w:rPr>
        <w:tab/>
      </w:r>
      <w:r w:rsidRPr="00160A87">
        <w:rPr>
          <w:sz w:val="20"/>
          <w:szCs w:val="18"/>
        </w:rPr>
        <w:t xml:space="preserve">2. aktualizace NAP CM, </w:t>
      </w:r>
      <w:hyperlink r:id="rId20" w:history="1">
        <w:r>
          <w:rPr>
            <w:rStyle w:val="Hypertextovodkaz"/>
            <w:rFonts w:cs="Calibri"/>
            <w:sz w:val="20"/>
            <w:szCs w:val="20"/>
          </w:rPr>
          <w:t xml:space="preserve">Registrace všech čistých vozidel v ČR dle NAP </w:t>
        </w:r>
        <w:r w:rsidR="00F17C97">
          <w:rPr>
            <w:rStyle w:val="Hypertextovodkaz"/>
            <w:rFonts w:cs="Calibri"/>
            <w:sz w:val="20"/>
            <w:szCs w:val="20"/>
          </w:rPr>
          <w:t>C</w:t>
        </w:r>
        <w:r>
          <w:rPr>
            <w:rStyle w:val="Hypertextovodkaz"/>
            <w:rFonts w:cs="Calibri"/>
            <w:sz w:val="20"/>
            <w:szCs w:val="20"/>
          </w:rPr>
          <w:t>M | Centrum dopravního výzkumu,</w:t>
        </w:r>
        <w:r w:rsidR="00F17C97">
          <w:rPr>
            <w:rStyle w:val="Hypertextovodkaz"/>
            <w:rFonts w:cs="Calibri"/>
            <w:sz w:val="20"/>
            <w:szCs w:val="20"/>
          </w:rPr>
          <w:t> </w:t>
        </w:r>
        <w:r>
          <w:rPr>
            <w:rStyle w:val="Hypertextovodkaz"/>
            <w:rFonts w:cs="Calibri"/>
            <w:sz w:val="20"/>
            <w:szCs w:val="20"/>
          </w:rPr>
          <w:t>v. v. i.</w:t>
        </w:r>
      </w:hyperlink>
      <w:r w:rsidRPr="00160A87">
        <w:rPr>
          <w:sz w:val="20"/>
          <w:szCs w:val="20"/>
        </w:rPr>
        <w:t xml:space="preserve"> </w:t>
      </w:r>
    </w:p>
    <w:p w14:paraId="2EA154C1" w14:textId="1BFE71B6" w:rsidR="007400AF" w:rsidRDefault="00E740D5" w:rsidP="004733C4">
      <w:pPr>
        <w:spacing w:after="0"/>
        <w:ind w:left="567" w:hanging="567"/>
        <w:rPr>
          <w:sz w:val="20"/>
          <w:szCs w:val="18"/>
        </w:rPr>
      </w:pPr>
      <w:r w:rsidRPr="004733C4">
        <w:rPr>
          <w:b/>
          <w:bCs/>
          <w:sz w:val="20"/>
          <w:szCs w:val="18"/>
        </w:rPr>
        <w:t>P</w:t>
      </w:r>
      <w:r w:rsidR="007400AF" w:rsidRPr="004733C4">
        <w:rPr>
          <w:b/>
          <w:bCs/>
          <w:sz w:val="20"/>
          <w:szCs w:val="18"/>
        </w:rPr>
        <w:t>ozn.:</w:t>
      </w:r>
      <w:r w:rsidR="007400AF">
        <w:rPr>
          <w:sz w:val="20"/>
          <w:szCs w:val="18"/>
        </w:rPr>
        <w:t xml:space="preserve"> </w:t>
      </w:r>
      <w:r w:rsidR="007404F0">
        <w:rPr>
          <w:sz w:val="20"/>
          <w:szCs w:val="18"/>
        </w:rPr>
        <w:tab/>
      </w:r>
      <w:r w:rsidR="007400AF">
        <w:rPr>
          <w:sz w:val="20"/>
          <w:szCs w:val="18"/>
        </w:rPr>
        <w:t xml:space="preserve">Podle Centra dopravního výzkumu bylo od 1. </w:t>
      </w:r>
      <w:r w:rsidR="00AB4BCB">
        <w:rPr>
          <w:sz w:val="20"/>
          <w:szCs w:val="18"/>
        </w:rPr>
        <w:t>ř</w:t>
      </w:r>
      <w:r w:rsidR="007400AF">
        <w:rPr>
          <w:sz w:val="20"/>
          <w:szCs w:val="18"/>
        </w:rPr>
        <w:t>íjna 2025 do</w:t>
      </w:r>
      <w:r>
        <w:rPr>
          <w:sz w:val="20"/>
          <w:szCs w:val="18"/>
        </w:rPr>
        <w:t xml:space="preserve"> </w:t>
      </w:r>
      <w:r w:rsidR="007400AF">
        <w:rPr>
          <w:sz w:val="20"/>
          <w:szCs w:val="18"/>
        </w:rPr>
        <w:t>31. prosinc</w:t>
      </w:r>
      <w:r>
        <w:rPr>
          <w:sz w:val="20"/>
          <w:szCs w:val="18"/>
        </w:rPr>
        <w:t>e</w:t>
      </w:r>
      <w:r w:rsidR="007400AF">
        <w:rPr>
          <w:sz w:val="20"/>
          <w:szCs w:val="18"/>
        </w:rPr>
        <w:t xml:space="preserve"> 2025 registrováno v</w:t>
      </w:r>
      <w:r w:rsidR="00F17C97">
        <w:rPr>
          <w:sz w:val="20"/>
          <w:szCs w:val="18"/>
        </w:rPr>
        <w:t xml:space="preserve"> </w:t>
      </w:r>
      <w:r w:rsidR="007400AF">
        <w:rPr>
          <w:sz w:val="20"/>
          <w:szCs w:val="18"/>
        </w:rPr>
        <w:t>ČR 10</w:t>
      </w:r>
      <w:r>
        <w:rPr>
          <w:sz w:val="20"/>
          <w:szCs w:val="18"/>
        </w:rPr>
        <w:t> </w:t>
      </w:r>
      <w:r w:rsidR="007400AF">
        <w:rPr>
          <w:sz w:val="20"/>
          <w:szCs w:val="18"/>
        </w:rPr>
        <w:t>vodíkových autobusů.</w:t>
      </w:r>
    </w:p>
    <w:p w14:paraId="721E1683" w14:textId="060BFDFB" w:rsidR="00E740D5" w:rsidRDefault="00E740D5" w:rsidP="004733C4">
      <w:pPr>
        <w:spacing w:after="0"/>
        <w:ind w:left="567"/>
        <w:rPr>
          <w:sz w:val="20"/>
          <w:szCs w:val="18"/>
        </w:rPr>
      </w:pPr>
      <w:r w:rsidRPr="0035085B">
        <w:rPr>
          <w:sz w:val="20"/>
          <w:szCs w:val="20"/>
        </w:rPr>
        <w:t>CNG – stlačený zemní plyn, LNG – zkapalněný zemní plyn</w:t>
      </w:r>
      <w:r>
        <w:rPr>
          <w:sz w:val="20"/>
          <w:szCs w:val="18"/>
        </w:rPr>
        <w:t>, H</w:t>
      </w:r>
      <w:r w:rsidRPr="004733C4">
        <w:rPr>
          <w:sz w:val="20"/>
          <w:szCs w:val="18"/>
          <w:vertAlign w:val="subscript"/>
        </w:rPr>
        <w:t>2</w:t>
      </w:r>
      <w:r>
        <w:rPr>
          <w:sz w:val="20"/>
          <w:szCs w:val="18"/>
        </w:rPr>
        <w:t xml:space="preserve"> – vodík</w:t>
      </w:r>
      <w:r w:rsidR="00F17C97">
        <w:rPr>
          <w:sz w:val="20"/>
          <w:szCs w:val="18"/>
        </w:rPr>
        <w:t>;</w:t>
      </w:r>
      <w:r>
        <w:rPr>
          <w:sz w:val="20"/>
          <w:szCs w:val="18"/>
        </w:rPr>
        <w:t xml:space="preserve"> ostatní zkratky jsou vysvětleny v příloze č. 1 kontrolního závěru.</w:t>
      </w:r>
    </w:p>
    <w:p w14:paraId="6A283F8F" w14:textId="77777777" w:rsidR="000C56AB" w:rsidRPr="000C56AB" w:rsidRDefault="000C56AB" w:rsidP="004733C4">
      <w:pPr>
        <w:pStyle w:val="Nadpis2"/>
        <w:widowControl/>
        <w:numPr>
          <w:ilvl w:val="0"/>
          <w:numId w:val="0"/>
        </w:numPr>
        <w:spacing w:before="0"/>
        <w:ind w:left="567" w:hanging="567"/>
        <w:rPr>
          <w:lang w:eastAsia="en-US"/>
        </w:rPr>
      </w:pPr>
    </w:p>
    <w:p w14:paraId="60B8165F" w14:textId="1913CEE7" w:rsidR="00F234AB" w:rsidRDefault="00160A87" w:rsidP="003F00EC">
      <w:pPr>
        <w:pStyle w:val="Nadpis2"/>
        <w:widowControl/>
        <w:spacing w:before="0" w:line="256" w:lineRule="auto"/>
      </w:pPr>
      <w:r>
        <w:t xml:space="preserve">Z tabulky č. </w:t>
      </w:r>
      <w:r w:rsidR="00F234AB">
        <w:t>2</w:t>
      </w:r>
      <w:r>
        <w:t xml:space="preserve"> vyplývá, že </w:t>
      </w:r>
      <w:r w:rsidR="000C56AB">
        <w:t xml:space="preserve">cílového počtu </w:t>
      </w:r>
      <w:r w:rsidR="001C685A">
        <w:t xml:space="preserve">bateriových </w:t>
      </w:r>
      <w:r w:rsidR="000C56AB">
        <w:t xml:space="preserve">osobních </w:t>
      </w:r>
      <w:r w:rsidR="001C685A">
        <w:t>vozidel</w:t>
      </w:r>
      <w:r w:rsidR="000C56AB">
        <w:t xml:space="preserve"> bylo dosaženo, naopak počtu lehkých</w:t>
      </w:r>
      <w:r w:rsidR="001C685A">
        <w:t xml:space="preserve"> bateriových </w:t>
      </w:r>
      <w:r w:rsidR="000C56AB">
        <w:t>užitkových</w:t>
      </w:r>
      <w:r w:rsidR="001C685A">
        <w:t xml:space="preserve"> vozidel</w:t>
      </w:r>
      <w:r w:rsidR="000C56AB">
        <w:t xml:space="preserve"> a </w:t>
      </w:r>
      <w:r w:rsidR="001C685A">
        <w:t>bateriových</w:t>
      </w:r>
      <w:r w:rsidR="000C56AB">
        <w:t xml:space="preserve"> autobusů nebylo dosaženo</w:t>
      </w:r>
      <w:r w:rsidR="007964FC">
        <w:t>.</w:t>
      </w:r>
      <w:r w:rsidR="00AB4BCB">
        <w:t xml:space="preserve"> </w:t>
      </w:r>
      <w:r w:rsidR="00193E7E">
        <w:t>Počet vodíkových vozidel výrazně zaostává za plánovanými cíli, do 30. září 2025 nebylo v ČR registrováno žádné lehké užitkové vozidlo, těžké nákladní vozidlo nebo autobus využívající k pohonu vodíkovou technologii</w:t>
      </w:r>
      <w:r w:rsidR="007964FC">
        <w:t>. NKÚ porovnal počty osobních a</w:t>
      </w:r>
      <w:r w:rsidR="00E740D5">
        <w:t> </w:t>
      </w:r>
      <w:r w:rsidR="007964FC">
        <w:t xml:space="preserve">lehkých užitkových </w:t>
      </w:r>
      <w:r w:rsidR="001C685A">
        <w:t>bateriových vozidel</w:t>
      </w:r>
      <w:r w:rsidR="007964FC">
        <w:t xml:space="preserve"> mezi jednotlivými evropskými státy. </w:t>
      </w:r>
      <w:r w:rsidR="0051483C">
        <w:t xml:space="preserve">V ČR bylo </w:t>
      </w:r>
      <w:r w:rsidR="00193E7E">
        <w:t>k</w:t>
      </w:r>
      <w:r w:rsidR="00E740D5">
        <w:t> </w:t>
      </w:r>
      <w:r w:rsidR="00193E7E">
        <w:t>30. září 2025 registrováno</w:t>
      </w:r>
      <w:r w:rsidR="0051483C">
        <w:t xml:space="preserve"> 54 864 </w:t>
      </w:r>
      <w:r w:rsidR="001C685A">
        <w:t>bateriových vozidel</w:t>
      </w:r>
      <w:r w:rsidR="0051483C">
        <w:t xml:space="preserve"> (kat. M1</w:t>
      </w:r>
      <w:r w:rsidR="00F17C97">
        <w:t xml:space="preserve"> </w:t>
      </w:r>
      <w:r w:rsidR="0051483C">
        <w:t>+</w:t>
      </w:r>
      <w:r w:rsidR="00F17C97">
        <w:t xml:space="preserve"> </w:t>
      </w:r>
      <w:r w:rsidR="0051483C">
        <w:t xml:space="preserve">N1), což </w:t>
      </w:r>
      <w:r w:rsidR="006B2922">
        <w:t xml:space="preserve">se </w:t>
      </w:r>
      <w:r w:rsidR="0051483C">
        <w:t>v</w:t>
      </w:r>
      <w:r w:rsidR="007964FC">
        <w:t xml:space="preserve"> přepočtu </w:t>
      </w:r>
      <w:r w:rsidR="007964FC">
        <w:lastRenderedPageBreak/>
        <w:t xml:space="preserve">na 100 tis. obyvatel </w:t>
      </w:r>
      <w:r w:rsidR="0051483C">
        <w:t>řadí pod evropský průměr na</w:t>
      </w:r>
      <w:r w:rsidR="007964FC">
        <w:t xml:space="preserve"> </w:t>
      </w:r>
      <w:r w:rsidR="00F234AB">
        <w:t>2</w:t>
      </w:r>
      <w:r w:rsidR="00D12E21">
        <w:t>4</w:t>
      </w:r>
      <w:r w:rsidR="007964FC">
        <w:t>. místo.</w:t>
      </w:r>
      <w:r w:rsidR="0051483C">
        <w:t xml:space="preserve"> </w:t>
      </w:r>
      <w:r w:rsidR="007964FC">
        <w:t xml:space="preserve">Porovnání s evropskými státy v oblasti </w:t>
      </w:r>
      <w:r w:rsidR="001C685A">
        <w:t>bateriových</w:t>
      </w:r>
      <w:r w:rsidR="007964FC">
        <w:t xml:space="preserve"> vozidel a dobíjecích stanic j</w:t>
      </w:r>
      <w:r w:rsidR="00F17C97">
        <w:t>e</w:t>
      </w:r>
      <w:r w:rsidR="007964FC">
        <w:t xml:space="preserve"> dostupné v datové příloze </w:t>
      </w:r>
      <w:r w:rsidR="00E740D5">
        <w:t>tohoto kontrolního závěru</w:t>
      </w:r>
      <w:r w:rsidR="007964FC">
        <w:t xml:space="preserve"> </w:t>
      </w:r>
      <w:r w:rsidR="00E740D5">
        <w:t>(viz</w:t>
      </w:r>
      <w:r w:rsidR="007964FC">
        <w:t xml:space="preserve"> </w:t>
      </w:r>
      <w:hyperlink r:id="rId21" w:history="1">
        <w:r w:rsidR="007D6105">
          <w:rPr>
            <w:rStyle w:val="Hypertextovodkaz"/>
          </w:rPr>
          <w:t>Mezinárodní srovnání</w:t>
        </w:r>
      </w:hyperlink>
      <w:r w:rsidR="00E740D5" w:rsidRPr="004733C4">
        <w:rPr>
          <w:rStyle w:val="Hypertextovodkaz"/>
          <w:color w:val="auto"/>
          <w:u w:val="none"/>
        </w:rPr>
        <w:t>,</w:t>
      </w:r>
    </w:p>
    <w:p w14:paraId="40554030" w14:textId="1062A2AF" w:rsidR="007964FC" w:rsidRDefault="001028C2" w:rsidP="004733C4">
      <w:pPr>
        <w:pStyle w:val="Nadpis2"/>
        <w:widowControl/>
        <w:numPr>
          <w:ilvl w:val="0"/>
          <w:numId w:val="0"/>
        </w:numPr>
        <w:spacing w:before="0" w:line="257" w:lineRule="auto"/>
        <w:ind w:left="567"/>
        <w:mirrorIndents w:val="0"/>
        <w:jc w:val="left"/>
      </w:pPr>
      <w:hyperlink r:id="rId22" w:history="1">
        <w:r w:rsidRPr="001028C2">
          <w:rPr>
            <w:rStyle w:val="Hypertextovodkaz"/>
          </w:rPr>
          <w:t>https://nku.gov.cz/scripts/detail.php?id=15555</w:t>
        </w:r>
      </w:hyperlink>
      <w:r w:rsidR="00F234AB" w:rsidRPr="004733C4">
        <w:t>)</w:t>
      </w:r>
      <w:r w:rsidR="00E740D5" w:rsidRPr="00E740D5">
        <w:t>.</w:t>
      </w:r>
    </w:p>
    <w:p w14:paraId="02DB7C19" w14:textId="77777777" w:rsidR="006F1A49" w:rsidRPr="006F1A49" w:rsidRDefault="006F1A49" w:rsidP="003F00EC">
      <w:pPr>
        <w:spacing w:after="0"/>
        <w:rPr>
          <w:lang w:eastAsia="cs-CZ"/>
        </w:rPr>
      </w:pPr>
    </w:p>
    <w:p w14:paraId="1849DD52" w14:textId="54251E01" w:rsidR="00B87F12" w:rsidRDefault="00F234AB" w:rsidP="003F00EC">
      <w:pPr>
        <w:pStyle w:val="Nadpis2"/>
        <w:widowControl/>
        <w:spacing w:before="0" w:line="256" w:lineRule="auto"/>
        <w:rPr>
          <w:rFonts w:ascii="Calibri" w:hAnsi="Calibri" w:cs="Calibri"/>
          <w:color w:val="000000"/>
          <w:szCs w:val="24"/>
        </w:rPr>
      </w:pPr>
      <w:r>
        <w:t>Ke s</w:t>
      </w:r>
      <w:r w:rsidR="007964FC">
        <w:t>plnění počt</w:t>
      </w:r>
      <w:r w:rsidR="00834C26">
        <w:t>ů</w:t>
      </w:r>
      <w:r w:rsidR="007964FC">
        <w:t xml:space="preserve"> vozidel uvedených v tabulce č. </w:t>
      </w:r>
      <w:r>
        <w:t>2</w:t>
      </w:r>
      <w:r w:rsidR="007964FC">
        <w:t xml:space="preserve"> měl</w:t>
      </w:r>
      <w:r w:rsidR="00834C26">
        <w:t>a</w:t>
      </w:r>
      <w:r w:rsidR="007964FC">
        <w:t xml:space="preserve"> přispět mimo jiné opatření NAP</w:t>
      </w:r>
      <w:r w:rsidR="00834C26">
        <w:t> </w:t>
      </w:r>
      <w:r w:rsidR="007964FC">
        <w:t xml:space="preserve">CM k rozvoji čisté mobility. </w:t>
      </w:r>
      <w:r w:rsidR="00F865FA">
        <w:t>Tato opatření jsou definována na tzv. kartách opatření, za jejich realizaci m</w:t>
      </w:r>
      <w:r w:rsidR="00AB4BCB">
        <w:t>ají</w:t>
      </w:r>
      <w:r w:rsidR="00F865FA">
        <w:t xml:space="preserve"> odpovědnost konkrétní ministerstv</w:t>
      </w:r>
      <w:r w:rsidR="005E14A5">
        <w:t>a</w:t>
      </w:r>
      <w:r w:rsidR="00F865FA">
        <w:t xml:space="preserve"> </w:t>
      </w:r>
      <w:r w:rsidR="005E14A5">
        <w:t>a</w:t>
      </w:r>
      <w:r w:rsidR="00F865FA">
        <w:t xml:space="preserve"> jin</w:t>
      </w:r>
      <w:r w:rsidR="005E14A5">
        <w:t>é</w:t>
      </w:r>
      <w:r w:rsidR="00F865FA">
        <w:t xml:space="preserve"> subjekt</w:t>
      </w:r>
      <w:r w:rsidR="005E14A5">
        <w:t>y</w:t>
      </w:r>
      <w:r w:rsidR="00F865FA">
        <w:t xml:space="preserve">. Opatření vytyčená NAP CM na podporu rozvoje infrastruktury pro alternativní paliva jsou různorodá, zahrnují např. legislativní opatření, přímou finanční podporu na budování infrastruktury pro alternativní paliva (kap. </w:t>
      </w:r>
      <w:r>
        <w:t>4.1</w:t>
      </w:r>
      <w:r w:rsidR="008339AB">
        <w:t>7</w:t>
      </w:r>
      <w:r w:rsidR="00834C26">
        <w:rPr>
          <w:rFonts w:cstheme="minorHAnsi"/>
        </w:rPr>
        <w:t>–</w:t>
      </w:r>
      <w:r>
        <w:t>4.2</w:t>
      </w:r>
      <w:r w:rsidR="008339AB">
        <w:t>1</w:t>
      </w:r>
      <w:r w:rsidR="00F865FA">
        <w:t xml:space="preserve">), podporu nákupu vozidel na alternativní paliva (kap. </w:t>
      </w:r>
      <w:r>
        <w:t>4.1</w:t>
      </w:r>
      <w:r w:rsidR="008339AB">
        <w:t>2</w:t>
      </w:r>
      <w:r w:rsidR="00834C26">
        <w:rPr>
          <w:rFonts w:cstheme="minorHAnsi"/>
        </w:rPr>
        <w:t>–</w:t>
      </w:r>
      <w:r>
        <w:t>4.1</w:t>
      </w:r>
      <w:r w:rsidR="008339AB">
        <w:t>6</w:t>
      </w:r>
      <w:r w:rsidR="00F865FA">
        <w:t xml:space="preserve">), podporu vědy a výzkumu, </w:t>
      </w:r>
      <w:r w:rsidR="00F865FA" w:rsidRPr="00C40195">
        <w:rPr>
          <w:rFonts w:ascii="Calibri" w:hAnsi="Calibri" w:cs="Calibri"/>
          <w:color w:val="000000"/>
          <w:szCs w:val="24"/>
        </w:rPr>
        <w:t>opatření směřující k</w:t>
      </w:r>
      <w:r w:rsidR="00E740D5">
        <w:rPr>
          <w:rFonts w:ascii="Calibri" w:hAnsi="Calibri" w:cs="Calibri"/>
          <w:color w:val="000000"/>
          <w:szCs w:val="24"/>
        </w:rPr>
        <w:t> </w:t>
      </w:r>
      <w:r w:rsidR="00F865FA" w:rsidRPr="00C40195">
        <w:rPr>
          <w:rFonts w:ascii="Calibri" w:hAnsi="Calibri" w:cs="Calibri"/>
          <w:color w:val="000000"/>
          <w:szCs w:val="24"/>
        </w:rPr>
        <w:t xml:space="preserve">odstraňování překážek a vytváření pobídek pro rozvoj </w:t>
      </w:r>
      <w:r w:rsidR="00F865FA">
        <w:rPr>
          <w:rFonts w:ascii="Calibri" w:hAnsi="Calibri" w:cs="Calibri"/>
          <w:color w:val="000000"/>
          <w:szCs w:val="24"/>
        </w:rPr>
        <w:t xml:space="preserve">trhu vozidel a příslušné </w:t>
      </w:r>
      <w:r w:rsidR="00F865FA" w:rsidRPr="00C40195">
        <w:rPr>
          <w:rFonts w:ascii="Calibri" w:hAnsi="Calibri" w:cs="Calibri"/>
          <w:color w:val="000000"/>
          <w:szCs w:val="24"/>
        </w:rPr>
        <w:t xml:space="preserve">infrastruktury </w:t>
      </w:r>
      <w:r w:rsidR="00834C26">
        <w:rPr>
          <w:rFonts w:ascii="Calibri" w:hAnsi="Calibri" w:cs="Calibri"/>
          <w:color w:val="000000"/>
          <w:szCs w:val="24"/>
        </w:rPr>
        <w:t>(</w:t>
      </w:r>
      <w:r w:rsidR="00F865FA" w:rsidRPr="00C40195">
        <w:rPr>
          <w:rFonts w:ascii="Calibri" w:hAnsi="Calibri" w:cs="Calibri"/>
          <w:color w:val="000000"/>
          <w:szCs w:val="24"/>
        </w:rPr>
        <w:t>např. formou osvobození od poplatku za užití dálnice</w:t>
      </w:r>
      <w:r w:rsidR="00834C26">
        <w:rPr>
          <w:rFonts w:ascii="Calibri" w:hAnsi="Calibri" w:cs="Calibri"/>
          <w:color w:val="000000"/>
          <w:szCs w:val="24"/>
        </w:rPr>
        <w:t>)</w:t>
      </w:r>
      <w:r w:rsidR="00F865FA" w:rsidRPr="00C40195">
        <w:rPr>
          <w:rFonts w:ascii="Calibri" w:hAnsi="Calibri" w:cs="Calibri"/>
          <w:color w:val="000000"/>
          <w:szCs w:val="24"/>
        </w:rPr>
        <w:t>, zrychlené daňové odepisování bezemisních vozidel, povinnost instalace dobíjecí stanice a</w:t>
      </w:r>
      <w:r w:rsidR="00F865FA">
        <w:rPr>
          <w:rFonts w:ascii="Calibri" w:hAnsi="Calibri" w:cs="Calibri"/>
          <w:color w:val="000000"/>
          <w:szCs w:val="24"/>
        </w:rPr>
        <w:t> </w:t>
      </w:r>
      <w:proofErr w:type="spellStart"/>
      <w:r w:rsidR="00F865FA" w:rsidRPr="00C40195">
        <w:rPr>
          <w:rFonts w:ascii="Calibri" w:hAnsi="Calibri" w:cs="Calibri"/>
          <w:color w:val="000000"/>
          <w:szCs w:val="24"/>
        </w:rPr>
        <w:t>kabelovodů</w:t>
      </w:r>
      <w:proofErr w:type="spellEnd"/>
      <w:r w:rsidR="00F865FA" w:rsidRPr="00C40195">
        <w:rPr>
          <w:rFonts w:ascii="Calibri" w:hAnsi="Calibri" w:cs="Calibri"/>
          <w:color w:val="000000"/>
          <w:szCs w:val="24"/>
        </w:rPr>
        <w:t xml:space="preserve"> v nově postavených budovách a</w:t>
      </w:r>
      <w:r w:rsidR="00F865FA">
        <w:rPr>
          <w:rFonts w:ascii="Calibri" w:hAnsi="Calibri" w:cs="Calibri"/>
          <w:color w:val="000000"/>
          <w:szCs w:val="24"/>
        </w:rPr>
        <w:t> </w:t>
      </w:r>
      <w:r w:rsidR="00F865FA" w:rsidRPr="00C40195">
        <w:rPr>
          <w:rFonts w:ascii="Calibri" w:hAnsi="Calibri" w:cs="Calibri"/>
          <w:color w:val="000000"/>
          <w:szCs w:val="24"/>
        </w:rPr>
        <w:t>další</w:t>
      </w:r>
      <w:r w:rsidR="00F865FA">
        <w:rPr>
          <w:rFonts w:ascii="Calibri" w:hAnsi="Calibri" w:cs="Calibri"/>
          <w:color w:val="000000"/>
          <w:szCs w:val="24"/>
        </w:rPr>
        <w:t>.</w:t>
      </w:r>
      <w:r w:rsidR="004B7D30">
        <w:rPr>
          <w:rFonts w:ascii="Calibri" w:hAnsi="Calibri" w:cs="Calibri"/>
          <w:color w:val="000000"/>
          <w:szCs w:val="24"/>
        </w:rPr>
        <w:t xml:space="preserve"> Přímá podpora nákupu vozidel na alternativní paliva</w:t>
      </w:r>
      <w:r w:rsidR="00704B09">
        <w:rPr>
          <w:rFonts w:ascii="Calibri" w:hAnsi="Calibri" w:cs="Calibri"/>
          <w:color w:val="000000"/>
          <w:szCs w:val="24"/>
        </w:rPr>
        <w:t xml:space="preserve"> </w:t>
      </w:r>
      <w:r w:rsidR="003A1E30">
        <w:rPr>
          <w:rFonts w:ascii="Calibri" w:hAnsi="Calibri" w:cs="Calibri"/>
          <w:color w:val="000000"/>
          <w:szCs w:val="24"/>
        </w:rPr>
        <w:t>byla nastavena pouze pro</w:t>
      </w:r>
      <w:r w:rsidR="004B7D30">
        <w:rPr>
          <w:rFonts w:ascii="Calibri" w:hAnsi="Calibri" w:cs="Calibri"/>
          <w:color w:val="000000"/>
          <w:szCs w:val="24"/>
        </w:rPr>
        <w:t xml:space="preserve"> podnikatelské subjekty.</w:t>
      </w:r>
    </w:p>
    <w:p w14:paraId="5B6D453D" w14:textId="77777777" w:rsidR="006F1A49" w:rsidRDefault="006F1A49" w:rsidP="003F00EC">
      <w:pPr>
        <w:spacing w:after="0"/>
        <w:rPr>
          <w:lang w:eastAsia="cs-CZ"/>
        </w:rPr>
      </w:pPr>
    </w:p>
    <w:p w14:paraId="78791852" w14:textId="69410978" w:rsidR="006F1A49" w:rsidRPr="00C936AA" w:rsidRDefault="00C936AA" w:rsidP="003F00EC">
      <w:pPr>
        <w:spacing w:after="0"/>
        <w:rPr>
          <w:b/>
          <w:bCs/>
          <w:lang w:eastAsia="cs-CZ"/>
        </w:rPr>
      </w:pPr>
      <w:bookmarkStart w:id="9" w:name="_Hlk179444908"/>
      <w:r w:rsidRPr="00C936AA">
        <w:rPr>
          <w:b/>
          <w:bCs/>
          <w:lang w:eastAsia="cs-CZ"/>
        </w:rPr>
        <w:t xml:space="preserve">Nejsou splněny cíle pokrytí </w:t>
      </w:r>
      <w:r w:rsidR="008339AB">
        <w:rPr>
          <w:b/>
          <w:bCs/>
          <w:lang w:eastAsia="cs-CZ"/>
        </w:rPr>
        <w:t xml:space="preserve">hlavní </w:t>
      </w:r>
      <w:r w:rsidRPr="00C936AA">
        <w:rPr>
          <w:b/>
          <w:bCs/>
          <w:lang w:eastAsia="cs-CZ"/>
        </w:rPr>
        <w:t xml:space="preserve">silniční sítě TEN-T </w:t>
      </w:r>
      <w:r>
        <w:rPr>
          <w:b/>
          <w:bCs/>
          <w:lang w:eastAsia="cs-CZ"/>
        </w:rPr>
        <w:t xml:space="preserve">dobíjecími stanicemi </w:t>
      </w:r>
      <w:r w:rsidRPr="00C936AA">
        <w:rPr>
          <w:b/>
          <w:bCs/>
          <w:lang w:eastAsia="cs-CZ"/>
        </w:rPr>
        <w:t xml:space="preserve">dle nařízení AFIR </w:t>
      </w:r>
    </w:p>
    <w:p w14:paraId="5ABE0A79" w14:textId="77777777" w:rsidR="00C936AA" w:rsidRPr="00C936AA" w:rsidRDefault="00C936AA" w:rsidP="004733C4">
      <w:pPr>
        <w:pStyle w:val="Nadpis2"/>
        <w:widowControl/>
        <w:numPr>
          <w:ilvl w:val="0"/>
          <w:numId w:val="0"/>
        </w:numPr>
        <w:spacing w:before="0"/>
        <w:ind w:left="567"/>
      </w:pPr>
    </w:p>
    <w:bookmarkEnd w:id="9"/>
    <w:p w14:paraId="58CE691C" w14:textId="48C7475F" w:rsidR="00B87F12" w:rsidRDefault="00457142" w:rsidP="003F00EC">
      <w:pPr>
        <w:pStyle w:val="Nadpis2"/>
        <w:widowControl/>
        <w:spacing w:before="0" w:line="256" w:lineRule="auto"/>
      </w:pPr>
      <w:r>
        <w:t xml:space="preserve">Druhá aktualizace NAP CM vychází z nařízení AFIR, které zavedlo pro členské státy EU cíle, kterých mají v oblasti rozvoje alternativních paliv dosáhnout. </w:t>
      </w:r>
      <w:r w:rsidR="00E94CBA">
        <w:t xml:space="preserve">Cíle jsou stanoveny pro oblast elektromobility, vodíkové infrastruktury a pro infrastrukturu LNG. </w:t>
      </w:r>
      <w:r w:rsidR="00630678">
        <w:t>P</w:t>
      </w:r>
      <w:r w:rsidR="00E94CBA">
        <w:t>ro ostatní plynná paliva (LPG, CNG) nejsou v nařízení AFIR stanoveny žádné cíle.</w:t>
      </w:r>
    </w:p>
    <w:p w14:paraId="16F0A275" w14:textId="77777777" w:rsidR="006F1A49" w:rsidRPr="006F1A49" w:rsidRDefault="006F1A49" w:rsidP="003F00EC">
      <w:pPr>
        <w:spacing w:after="0"/>
        <w:rPr>
          <w:lang w:eastAsia="cs-CZ"/>
        </w:rPr>
      </w:pPr>
    </w:p>
    <w:p w14:paraId="4FD7DE60" w14:textId="38C04CB8" w:rsidR="007E51DD" w:rsidRDefault="00E94CBA" w:rsidP="003F00EC">
      <w:pPr>
        <w:pStyle w:val="Nadpis2"/>
        <w:widowControl/>
        <w:spacing w:before="0" w:line="256" w:lineRule="auto"/>
      </w:pPr>
      <w:r>
        <w:t xml:space="preserve">ČR splnila cíl zajistit dostatečný výstupní výkon </w:t>
      </w:r>
      <w:r w:rsidR="00E53A2B">
        <w:t xml:space="preserve">veřejné </w:t>
      </w:r>
      <w:r>
        <w:t>dobíjecí infrastruktury pro lehká elektrická vozidla</w:t>
      </w:r>
      <w:r w:rsidR="007E51DD">
        <w:rPr>
          <w:rStyle w:val="Znakapoznpodarou"/>
        </w:rPr>
        <w:footnoteReference w:id="18"/>
      </w:r>
      <w:r>
        <w:t>.</w:t>
      </w:r>
      <w:r w:rsidR="007E51DD">
        <w:t xml:space="preserve"> Dostatečnost výstupního dobíjecího výkonu je vymezena jako minimální výstupní výkon 1,3 kW na jedno registrované lehké </w:t>
      </w:r>
      <w:r w:rsidR="001C685A">
        <w:t>bateriové vozidlo</w:t>
      </w:r>
      <w:r w:rsidR="007E51DD">
        <w:t xml:space="preserve"> a</w:t>
      </w:r>
      <w:r w:rsidR="00730241">
        <w:t> </w:t>
      </w:r>
      <w:r w:rsidR="007E51DD">
        <w:t xml:space="preserve">minimální výstupní výkon 0,8 kW na jedno registrované lehké </w:t>
      </w:r>
      <w:r w:rsidR="00541464">
        <w:t>plug-in hybridní vozidlo.</w:t>
      </w:r>
      <w:r w:rsidR="007E51DD">
        <w:t xml:space="preserve"> Dle zprávy, kterou </w:t>
      </w:r>
      <w:r w:rsidR="00834C26">
        <w:t xml:space="preserve">MPO </w:t>
      </w:r>
      <w:r w:rsidR="007E51DD">
        <w:t xml:space="preserve">předložilo Evropské komisi </w:t>
      </w:r>
      <w:r w:rsidR="00834C26">
        <w:t xml:space="preserve">a která pojednává </w:t>
      </w:r>
      <w:r w:rsidR="00E53A2B">
        <w:t>o stavu veřejné dobíjecí infrastruktury</w:t>
      </w:r>
      <w:r w:rsidR="00834C26">
        <w:t xml:space="preserve"> v ČR</w:t>
      </w:r>
      <w:r w:rsidR="007E51DD">
        <w:t xml:space="preserve"> k 31. prosinci 2024, byla podmínka splněna. K 30. září 2025 bylo v ČR registrováno celkem 54 864 lehkých </w:t>
      </w:r>
      <w:r w:rsidR="001C685A">
        <w:t>bateriových vozidel</w:t>
      </w:r>
      <w:r w:rsidR="007E51DD">
        <w:t xml:space="preserve"> a 32 163 </w:t>
      </w:r>
      <w:r w:rsidR="00541464">
        <w:t>plug-in hybridních vozidel</w:t>
      </w:r>
      <w:r w:rsidR="007E51DD">
        <w:t xml:space="preserve">, což dle požadavku nařízení AFIR představuje výkon </w:t>
      </w:r>
      <w:r w:rsidR="00E53A2B">
        <w:t xml:space="preserve">veřejné </w:t>
      </w:r>
      <w:r w:rsidR="007E51DD">
        <w:t xml:space="preserve">dobíjecí infrastruktury nejméně 97,05 MW. </w:t>
      </w:r>
      <w:r w:rsidR="00541464">
        <w:t>K</w:t>
      </w:r>
      <w:r w:rsidR="007E51DD">
        <w:t>e stejnému datu byl dostupný dobíjecí výkon v ČR 251,09 MW, lze tedy předpokládat, že tato podmínka bude splněna i pro rok 2025.</w:t>
      </w:r>
    </w:p>
    <w:p w14:paraId="7DF147E4" w14:textId="77777777" w:rsidR="006F1A49" w:rsidRPr="006F1A49" w:rsidRDefault="006F1A49" w:rsidP="003F00EC">
      <w:pPr>
        <w:spacing w:after="0"/>
        <w:rPr>
          <w:lang w:eastAsia="cs-CZ"/>
        </w:rPr>
      </w:pPr>
    </w:p>
    <w:p w14:paraId="0AA8F7F7" w14:textId="77777777" w:rsidR="00834C26" w:rsidRDefault="00834C26">
      <w:pPr>
        <w:jc w:val="left"/>
        <w:rPr>
          <w:rFonts w:eastAsiaTheme="majorEastAsia" w:cstheme="majorBidi"/>
          <w:szCs w:val="26"/>
          <w:lang w:eastAsia="cs-CZ"/>
        </w:rPr>
      </w:pPr>
      <w:r>
        <w:br w:type="page"/>
      </w:r>
    </w:p>
    <w:p w14:paraId="702E28A2" w14:textId="7675614B" w:rsidR="00B87F12" w:rsidRDefault="008639AB" w:rsidP="003F00EC">
      <w:pPr>
        <w:pStyle w:val="Nadpis2"/>
        <w:widowControl/>
        <w:spacing w:before="0" w:line="256" w:lineRule="auto"/>
      </w:pPr>
      <w:r>
        <w:lastRenderedPageBreak/>
        <w:t>Nařízení AFIR dále obsahuje tři cíle, které měl</w:t>
      </w:r>
      <w:r w:rsidR="00733442">
        <w:t>y</w:t>
      </w:r>
      <w:r>
        <w:t xml:space="preserve"> </w:t>
      </w:r>
      <w:r w:rsidR="00834C26">
        <w:t xml:space="preserve">být </w:t>
      </w:r>
      <w:r>
        <w:t>člensk</w:t>
      </w:r>
      <w:r w:rsidR="00834C26">
        <w:t>ými</w:t>
      </w:r>
      <w:r>
        <w:t xml:space="preserve"> státy spln</w:t>
      </w:r>
      <w:r w:rsidR="00834C26">
        <w:t>ěny</w:t>
      </w:r>
      <w:r>
        <w:t xml:space="preserve"> do </w:t>
      </w:r>
      <w:r w:rsidR="005C7A20">
        <w:br/>
      </w:r>
      <w:r>
        <w:t>31.</w:t>
      </w:r>
      <w:r w:rsidR="005C7A20">
        <w:t xml:space="preserve"> </w:t>
      </w:r>
      <w:r>
        <w:t xml:space="preserve">prosince 2025 </w:t>
      </w:r>
      <w:r w:rsidR="00834C26">
        <w:t xml:space="preserve">a </w:t>
      </w:r>
      <w:r>
        <w:t xml:space="preserve">měly </w:t>
      </w:r>
      <w:r w:rsidR="003B0584">
        <w:t xml:space="preserve">zajistit dostatečné pokrytí veřejně </w:t>
      </w:r>
      <w:r w:rsidR="00E53A2B">
        <w:t xml:space="preserve">přístupnou </w:t>
      </w:r>
      <w:r w:rsidR="003B0584">
        <w:t xml:space="preserve">dobíjecí infrastrukturou: </w:t>
      </w:r>
    </w:p>
    <w:p w14:paraId="1C8181F2" w14:textId="0AACFE21" w:rsidR="003B0584" w:rsidRDefault="002455B8" w:rsidP="004733C4">
      <w:pPr>
        <w:pStyle w:val="Nadpis2"/>
        <w:widowControl/>
        <w:numPr>
          <w:ilvl w:val="2"/>
          <w:numId w:val="61"/>
        </w:numPr>
        <w:spacing w:before="0"/>
      </w:pPr>
      <w:bookmarkStart w:id="10" w:name="_Hlk172711501"/>
      <w:r>
        <w:t xml:space="preserve">podél hlavní silniční sítě TEN-T </w:t>
      </w:r>
      <w:r w:rsidR="003B0584" w:rsidRPr="003B0584">
        <w:t xml:space="preserve">v každém směru jízdy v maximální vzdálenosti 60 km </w:t>
      </w:r>
      <w:r w:rsidR="00B56689">
        <w:t>zavést</w:t>
      </w:r>
      <w:r w:rsidR="003B0584" w:rsidRPr="003B0584">
        <w:t xml:space="preserve"> veřejně </w:t>
      </w:r>
      <w:r w:rsidR="00E53A2B">
        <w:t>přístupné</w:t>
      </w:r>
      <w:r w:rsidR="00E53A2B" w:rsidRPr="003B0584">
        <w:t xml:space="preserve"> </w:t>
      </w:r>
      <w:r w:rsidR="003B0584" w:rsidRPr="003B0584">
        <w:t xml:space="preserve">dobíjecí parky pro lehká </w:t>
      </w:r>
      <w:r w:rsidR="001C685A">
        <w:t>bateriová vozidla</w:t>
      </w:r>
      <w:r w:rsidR="003B0584" w:rsidRPr="003B0584">
        <w:t xml:space="preserve"> s</w:t>
      </w:r>
      <w:r w:rsidR="0040149B">
        <w:t xml:space="preserve"> </w:t>
      </w:r>
      <w:r w:rsidR="003B0584" w:rsidRPr="003B0584">
        <w:t>celkovým</w:t>
      </w:r>
      <w:r w:rsidR="001305FE">
        <w:t xml:space="preserve"> výstupním</w:t>
      </w:r>
      <w:r w:rsidR="003B0584" w:rsidRPr="003B0584">
        <w:t xml:space="preserve"> výkonem </w:t>
      </w:r>
      <w:r w:rsidR="00587049">
        <w:t>nejméně</w:t>
      </w:r>
      <w:r w:rsidR="003B0584" w:rsidRPr="003B0584">
        <w:t xml:space="preserve"> 400 kW a alespoň jedním dobíjecím bodem</w:t>
      </w:r>
      <w:r w:rsidR="003B0584">
        <w:t xml:space="preserve"> o výstupním výkonu </w:t>
      </w:r>
      <w:r w:rsidR="00587049">
        <w:t xml:space="preserve">nejméně </w:t>
      </w:r>
      <w:r w:rsidR="003B0584">
        <w:t>150 kW</w:t>
      </w:r>
      <w:r w:rsidR="003B0584">
        <w:rPr>
          <w:rStyle w:val="Znakapoznpodarou"/>
        </w:rPr>
        <w:footnoteReference w:id="19"/>
      </w:r>
      <w:r w:rsidR="003B0584">
        <w:t>,</w:t>
      </w:r>
    </w:p>
    <w:p w14:paraId="7EEC34C0" w14:textId="299DF4D5" w:rsidR="00B87F12" w:rsidRPr="00B87F12" w:rsidRDefault="00B56689" w:rsidP="003F00EC">
      <w:pPr>
        <w:pStyle w:val="Nadpis2"/>
        <w:widowControl/>
        <w:numPr>
          <w:ilvl w:val="2"/>
          <w:numId w:val="61"/>
        </w:numPr>
        <w:spacing w:before="0" w:line="256" w:lineRule="auto"/>
      </w:pPr>
      <w:r>
        <w:t xml:space="preserve">podél </w:t>
      </w:r>
      <w:r w:rsidR="003B0584">
        <w:t>alespoň 15 % délky silniční sítě TEN-T</w:t>
      </w:r>
      <w:r w:rsidR="00587049">
        <w:t xml:space="preserve"> </w:t>
      </w:r>
      <w:r>
        <w:t>zavést</w:t>
      </w:r>
      <w:r w:rsidR="00587049">
        <w:t xml:space="preserve"> veřejně </w:t>
      </w:r>
      <w:r w:rsidR="00E53A2B">
        <w:t xml:space="preserve">přístupné </w:t>
      </w:r>
      <w:r w:rsidR="00587049">
        <w:t xml:space="preserve">dobíjecí parky pro těžká elektrická vozidla v každém směru jízdy s celkovým </w:t>
      </w:r>
      <w:r w:rsidR="001305FE">
        <w:t xml:space="preserve">výstupním </w:t>
      </w:r>
      <w:r w:rsidR="00587049">
        <w:t>výkonem nejméně 1 400 kW a alespoň</w:t>
      </w:r>
      <w:r w:rsidR="0040149B">
        <w:t xml:space="preserve"> </w:t>
      </w:r>
      <w:r w:rsidR="00587049">
        <w:t>jedním dobíjecím bodem o výstupním výkonu nejméně 350 kW</w:t>
      </w:r>
      <w:r w:rsidR="00587049">
        <w:rPr>
          <w:rStyle w:val="Znakapoznpodarou"/>
        </w:rPr>
        <w:footnoteReference w:id="20"/>
      </w:r>
      <w:r w:rsidR="00587049">
        <w:t>,</w:t>
      </w:r>
    </w:p>
    <w:p w14:paraId="46B09A71" w14:textId="01765010" w:rsidR="00B87F12" w:rsidRDefault="00587049" w:rsidP="003F00EC">
      <w:pPr>
        <w:pStyle w:val="Nadpis2"/>
        <w:widowControl/>
        <w:numPr>
          <w:ilvl w:val="2"/>
          <w:numId w:val="61"/>
        </w:numPr>
        <w:spacing w:before="0" w:line="256" w:lineRule="auto"/>
      </w:pPr>
      <w:r>
        <w:t xml:space="preserve">v každém městském uzlu </w:t>
      </w:r>
      <w:r w:rsidR="00B56689">
        <w:t>zavést</w:t>
      </w:r>
      <w:r>
        <w:t xml:space="preserve"> veřejně </w:t>
      </w:r>
      <w:r w:rsidR="00E53A2B">
        <w:t xml:space="preserve">přístupné </w:t>
      </w:r>
      <w:r>
        <w:t xml:space="preserve">dobíjecí body pro těžká elektrická vozidla s celkovým výstupním výkonem nejméně 900 kW, který </w:t>
      </w:r>
      <w:r w:rsidR="00B56689">
        <w:t>je</w:t>
      </w:r>
      <w:r>
        <w:t xml:space="preserve"> poskytován dobíjecími stanicemi s</w:t>
      </w:r>
      <w:r w:rsidR="001305FE">
        <w:t> </w:t>
      </w:r>
      <w:r>
        <w:t>individuálním</w:t>
      </w:r>
      <w:r w:rsidR="001305FE">
        <w:t xml:space="preserve"> výstupním</w:t>
      </w:r>
      <w:r>
        <w:t xml:space="preserve"> výkonem nejméně 150 kW</w:t>
      </w:r>
      <w:r>
        <w:rPr>
          <w:rStyle w:val="Znakapoznpodarou"/>
        </w:rPr>
        <w:footnoteReference w:id="21"/>
      </w:r>
      <w:r>
        <w:t>.</w:t>
      </w:r>
    </w:p>
    <w:p w14:paraId="64EABA73" w14:textId="77777777" w:rsidR="006F1A49" w:rsidRPr="006F1A49" w:rsidRDefault="006F1A49" w:rsidP="003F00EC">
      <w:pPr>
        <w:spacing w:after="0"/>
        <w:rPr>
          <w:lang w:eastAsia="cs-CZ"/>
        </w:rPr>
      </w:pPr>
    </w:p>
    <w:p w14:paraId="7014B0FD" w14:textId="72D3FCA3" w:rsidR="006F1A49" w:rsidRDefault="00587049" w:rsidP="003F00EC">
      <w:pPr>
        <w:pStyle w:val="Nadpis2"/>
        <w:widowControl/>
        <w:spacing w:before="0" w:line="256" w:lineRule="auto"/>
      </w:pPr>
      <w:r>
        <w:t>Evidenci dobíjecích stanic</w:t>
      </w:r>
      <w:r w:rsidR="00AB7A8D">
        <w:rPr>
          <w:rStyle w:val="Znakapoznpodarou"/>
        </w:rPr>
        <w:footnoteReference w:id="22"/>
      </w:r>
      <w:r>
        <w:t xml:space="preserve"> vede MPO podle </w:t>
      </w:r>
      <w:r w:rsidR="00B56689">
        <w:t xml:space="preserve">ustanovení </w:t>
      </w:r>
      <w:r>
        <w:t xml:space="preserve">§ 6 odst. </w:t>
      </w:r>
      <w:r w:rsidR="00B56689">
        <w:t xml:space="preserve">1 a </w:t>
      </w:r>
      <w:r>
        <w:t>5 zákona č.</w:t>
      </w:r>
      <w:r w:rsidR="00730241">
        <w:t> </w:t>
      </w:r>
      <w:r>
        <w:t>311/2006 Sb.</w:t>
      </w:r>
      <w:r>
        <w:rPr>
          <w:rStyle w:val="Znakapoznpodarou"/>
        </w:rPr>
        <w:footnoteReference w:id="23"/>
      </w:r>
      <w:r w:rsidR="00730241">
        <w:t>,</w:t>
      </w:r>
      <w:r>
        <w:t xml:space="preserve"> a to včetně informací o konkrétní lokalitě, počtu dobíjecích bodů, výkonu a </w:t>
      </w:r>
      <w:r w:rsidR="00834C26">
        <w:t xml:space="preserve">údajů o tom, </w:t>
      </w:r>
      <w:r w:rsidR="008639AB">
        <w:t xml:space="preserve">zda je dobíjecí stanice veřejně přístupná. Tuto evidenci zveřejňuje </w:t>
      </w:r>
      <w:r w:rsidR="00834C26">
        <w:t xml:space="preserve">MPO </w:t>
      </w:r>
      <w:r w:rsidR="008639AB">
        <w:t>také na svých webových stránkách.</w:t>
      </w:r>
    </w:p>
    <w:p w14:paraId="220A15D1" w14:textId="77777777" w:rsidR="006F1A49" w:rsidRPr="006F1A49" w:rsidRDefault="006F1A49" w:rsidP="003F00EC">
      <w:pPr>
        <w:spacing w:after="0"/>
        <w:rPr>
          <w:lang w:eastAsia="cs-CZ"/>
        </w:rPr>
      </w:pPr>
    </w:p>
    <w:p w14:paraId="680D69F9" w14:textId="33657A28" w:rsidR="006F1A49" w:rsidRDefault="008639AB" w:rsidP="003F00EC">
      <w:pPr>
        <w:pStyle w:val="Nadpis2"/>
        <w:widowControl/>
        <w:spacing w:before="0" w:line="256" w:lineRule="auto"/>
      </w:pPr>
      <w:r>
        <w:t>NKÚ na základě analýzy této</w:t>
      </w:r>
      <w:r w:rsidR="00F0298E">
        <w:t xml:space="preserve"> evidence</w:t>
      </w:r>
      <w:r>
        <w:t xml:space="preserve"> </w:t>
      </w:r>
      <w:r w:rsidR="00F0298E">
        <w:t xml:space="preserve">(stav </w:t>
      </w:r>
      <w:r>
        <w:t>k 30. září 2025</w:t>
      </w:r>
      <w:r w:rsidR="00F0298E">
        <w:t>)</w:t>
      </w:r>
      <w:r>
        <w:t xml:space="preserve"> zjistil, že </w:t>
      </w:r>
      <w:r w:rsidR="002455B8">
        <w:t xml:space="preserve">tři výše uvedené cíle </w:t>
      </w:r>
      <w:r w:rsidR="00132A52">
        <w:t>ČR ne</w:t>
      </w:r>
      <w:r w:rsidR="002455B8">
        <w:t>spln</w:t>
      </w:r>
      <w:r w:rsidR="00132A52">
        <w:t>ila</w:t>
      </w:r>
      <w:r w:rsidR="002455B8">
        <w:t>. Vzhledem k tomu, že nebudou dokončeny projekty na rozvoj sítě veřejně dostupných dobíjecích stanic a nejsou realizovány</w:t>
      </w:r>
      <w:r w:rsidR="00293618">
        <w:t xml:space="preserve"> </w:t>
      </w:r>
      <w:r w:rsidR="002455B8">
        <w:t xml:space="preserve">žádné projekty na rozvoj </w:t>
      </w:r>
      <w:r w:rsidR="00F0298E">
        <w:t xml:space="preserve">veřejných </w:t>
      </w:r>
      <w:r w:rsidR="002455B8">
        <w:t>dobíjecích stanic pro těžká elektrická vozidla z</w:t>
      </w:r>
      <w:r w:rsidR="00293618">
        <w:t xml:space="preserve"> operačního programu </w:t>
      </w:r>
      <w:r w:rsidR="00293618" w:rsidRPr="004733C4">
        <w:rPr>
          <w:i/>
          <w:iCs/>
        </w:rPr>
        <w:t>Doprava 2021</w:t>
      </w:r>
      <w:r w:rsidR="00834C26" w:rsidRPr="004733C4">
        <w:rPr>
          <w:rFonts w:cstheme="minorHAnsi"/>
          <w:i/>
          <w:iCs/>
        </w:rPr>
        <w:t>–</w:t>
      </w:r>
      <w:r w:rsidR="00293618" w:rsidRPr="004733C4">
        <w:rPr>
          <w:i/>
          <w:iCs/>
        </w:rPr>
        <w:t>2027</w:t>
      </w:r>
      <w:r w:rsidR="002455B8">
        <w:t xml:space="preserve">, </w:t>
      </w:r>
      <w:r w:rsidR="00CA0B5C">
        <w:t xml:space="preserve">lze konstatovat, že </w:t>
      </w:r>
      <w:r w:rsidR="002455B8">
        <w:t>cíle</w:t>
      </w:r>
      <w:r w:rsidR="00CA0B5C">
        <w:t xml:space="preserve"> nebyly </w:t>
      </w:r>
      <w:r w:rsidR="002455B8">
        <w:t xml:space="preserve">splněny </w:t>
      </w:r>
      <w:r w:rsidR="00CA0B5C">
        <w:t xml:space="preserve">ani </w:t>
      </w:r>
      <w:r w:rsidR="002455B8">
        <w:t>do</w:t>
      </w:r>
      <w:r w:rsidR="00CA0B5C">
        <w:t xml:space="preserve"> stanoveného termínu</w:t>
      </w:r>
      <w:r w:rsidR="002455B8">
        <w:t xml:space="preserve"> 31.</w:t>
      </w:r>
      <w:r w:rsidR="00730241">
        <w:t> </w:t>
      </w:r>
      <w:r w:rsidR="002455B8">
        <w:t>prosince 2025.</w:t>
      </w:r>
      <w:r w:rsidR="00741400">
        <w:t xml:space="preserve"> </w:t>
      </w:r>
      <w:r w:rsidR="00DE323B">
        <w:t>Cíl uvedený v bodě 4.</w:t>
      </w:r>
      <w:r w:rsidR="00F818D0">
        <w:t>6</w:t>
      </w:r>
      <w:r w:rsidR="00DE323B">
        <w:t xml:space="preserve">.1 není splněn na </w:t>
      </w:r>
      <w:r w:rsidR="0040149B">
        <w:t xml:space="preserve">86 km dlouhém </w:t>
      </w:r>
      <w:r w:rsidR="00DE323B">
        <w:t>úseku dálnice D5 mezi státní hranicí a Plzní a na 110 km dlouhé dálnici D11 mezi Prahou a</w:t>
      </w:r>
      <w:r w:rsidR="00730241">
        <w:t> </w:t>
      </w:r>
      <w:r w:rsidR="00DE323B">
        <w:t>Jaroměří. Dobíjecí stanice s výkonem nad 350 kW nejsou na 15 % délky silniční sítě TEN-T (cíl uvedený v bodě 4.</w:t>
      </w:r>
      <w:r w:rsidR="00F818D0">
        <w:t>6</w:t>
      </w:r>
      <w:r w:rsidR="00DE323B">
        <w:t>.2). Dostatečný výkon dobíjecích stanic pro těžká elektrická vozidla není v městském uzlu Ústí nad Labem (cíl uvedený v bodě 4.</w:t>
      </w:r>
      <w:r w:rsidR="00F818D0">
        <w:t>6</w:t>
      </w:r>
      <w:r w:rsidR="00DE323B">
        <w:t xml:space="preserve">.3). </w:t>
      </w:r>
      <w:r w:rsidR="00741400">
        <w:t xml:space="preserve">NKÚ </w:t>
      </w:r>
      <w:r w:rsidR="00DE323B">
        <w:t>ilustrativně</w:t>
      </w:r>
      <w:r w:rsidR="00741400">
        <w:t xml:space="preserve"> </w:t>
      </w:r>
      <w:r w:rsidR="0040149B">
        <w:t>zakreslil</w:t>
      </w:r>
      <w:r w:rsidR="00741400">
        <w:t xml:space="preserve"> výsledky analýzy do obr. č. </w:t>
      </w:r>
      <w:r w:rsidR="003B2B14">
        <w:t>1,</w:t>
      </w:r>
      <w:r w:rsidR="00741400">
        <w:t xml:space="preserve"> ve kterém jsou zobrazeny </w:t>
      </w:r>
      <w:r w:rsidR="00541464">
        <w:t xml:space="preserve">veřejně dostupné </w:t>
      </w:r>
      <w:r w:rsidR="00741400">
        <w:t>dobíjecí stanice s</w:t>
      </w:r>
      <w:r w:rsidR="001305FE">
        <w:t> </w:t>
      </w:r>
      <w:r w:rsidR="00741400">
        <w:t>výkonem 150 kW a vyšší</w:t>
      </w:r>
      <w:r w:rsidR="007404F0">
        <w:t>m</w:t>
      </w:r>
      <w:r w:rsidR="00741400">
        <w:t xml:space="preserve">. </w:t>
      </w:r>
    </w:p>
    <w:p w14:paraId="714AB427" w14:textId="77777777" w:rsidR="00EC1389" w:rsidRDefault="00EC1389" w:rsidP="003F00EC">
      <w:pPr>
        <w:spacing w:after="0"/>
        <w:rPr>
          <w:lang w:eastAsia="cs-CZ"/>
        </w:rPr>
      </w:pPr>
    </w:p>
    <w:p w14:paraId="36008DE4" w14:textId="77777777" w:rsidR="0040149B" w:rsidRDefault="0040149B">
      <w:pPr>
        <w:jc w:val="left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br w:type="page"/>
      </w:r>
    </w:p>
    <w:p w14:paraId="3A12E68D" w14:textId="15523497" w:rsidR="002455B8" w:rsidRPr="004733C4" w:rsidRDefault="002455B8" w:rsidP="004733C4">
      <w:pPr>
        <w:spacing w:after="0" w:line="240" w:lineRule="auto"/>
        <w:ind w:left="993" w:hanging="993"/>
        <w:rPr>
          <w:rFonts w:cs="Calibri"/>
          <w:b/>
          <w:bCs/>
          <w:szCs w:val="24"/>
        </w:rPr>
      </w:pPr>
      <w:r w:rsidRPr="004733C4">
        <w:rPr>
          <w:rFonts w:cs="Calibri"/>
          <w:b/>
          <w:bCs/>
          <w:szCs w:val="24"/>
        </w:rPr>
        <w:lastRenderedPageBreak/>
        <w:t>Obr. č.</w:t>
      </w:r>
      <w:r w:rsidR="00685D72" w:rsidRPr="004733C4">
        <w:rPr>
          <w:rFonts w:cs="Calibri"/>
          <w:b/>
          <w:bCs/>
          <w:szCs w:val="24"/>
        </w:rPr>
        <w:t xml:space="preserve"> </w:t>
      </w:r>
      <w:r w:rsidR="003B2B14" w:rsidRPr="004733C4">
        <w:rPr>
          <w:rFonts w:cs="Calibri"/>
          <w:b/>
          <w:bCs/>
          <w:szCs w:val="24"/>
        </w:rPr>
        <w:t>1</w:t>
      </w:r>
      <w:r w:rsidRPr="004733C4">
        <w:rPr>
          <w:rFonts w:cs="Calibri"/>
          <w:b/>
          <w:bCs/>
          <w:szCs w:val="24"/>
        </w:rPr>
        <w:t xml:space="preserve">: </w:t>
      </w:r>
      <w:r w:rsidR="00730241" w:rsidRPr="004733C4">
        <w:rPr>
          <w:rFonts w:cs="Calibri"/>
          <w:b/>
          <w:bCs/>
          <w:szCs w:val="24"/>
        </w:rPr>
        <w:tab/>
      </w:r>
      <w:r w:rsidRPr="004733C4">
        <w:rPr>
          <w:rFonts w:cs="Calibri"/>
          <w:b/>
          <w:bCs/>
          <w:szCs w:val="24"/>
        </w:rPr>
        <w:t>Přehled veřejně přístupných dobíjecích stanic v ČR s</w:t>
      </w:r>
      <w:r w:rsidR="003972DB" w:rsidRPr="004733C4">
        <w:rPr>
          <w:rFonts w:cs="Calibri"/>
          <w:b/>
          <w:bCs/>
          <w:szCs w:val="24"/>
        </w:rPr>
        <w:t xml:space="preserve"> nominálním </w:t>
      </w:r>
      <w:r w:rsidRPr="004733C4">
        <w:rPr>
          <w:rFonts w:cs="Calibri"/>
          <w:b/>
          <w:bCs/>
          <w:szCs w:val="24"/>
        </w:rPr>
        <w:t>výkonem 150 kW</w:t>
      </w:r>
      <w:r w:rsidR="00F0298E" w:rsidRPr="004733C4">
        <w:rPr>
          <w:rFonts w:cs="Calibri"/>
          <w:b/>
          <w:bCs/>
          <w:szCs w:val="24"/>
        </w:rPr>
        <w:t xml:space="preserve"> a vyšším</w:t>
      </w:r>
      <w:r w:rsidRPr="004733C4">
        <w:rPr>
          <w:rFonts w:cs="Calibri"/>
          <w:b/>
          <w:bCs/>
          <w:szCs w:val="24"/>
        </w:rPr>
        <w:t xml:space="preserve"> </w:t>
      </w:r>
      <w:r w:rsidR="0040149B">
        <w:rPr>
          <w:rFonts w:cs="Calibri"/>
          <w:b/>
          <w:bCs/>
          <w:szCs w:val="24"/>
        </w:rPr>
        <w:t>(</w:t>
      </w:r>
      <w:r w:rsidRPr="004733C4">
        <w:rPr>
          <w:rFonts w:cs="Calibri"/>
          <w:b/>
          <w:bCs/>
          <w:szCs w:val="24"/>
        </w:rPr>
        <w:t>k 30.</w:t>
      </w:r>
      <w:r w:rsidR="00730241" w:rsidRPr="004733C4">
        <w:rPr>
          <w:rFonts w:cs="Calibri"/>
          <w:b/>
          <w:bCs/>
          <w:szCs w:val="24"/>
        </w:rPr>
        <w:t> </w:t>
      </w:r>
      <w:r w:rsidRPr="004733C4">
        <w:rPr>
          <w:rFonts w:cs="Calibri"/>
          <w:b/>
          <w:bCs/>
          <w:szCs w:val="24"/>
        </w:rPr>
        <w:t>září 2025</w:t>
      </w:r>
      <w:r w:rsidR="0040149B">
        <w:rPr>
          <w:rFonts w:cs="Calibri"/>
          <w:b/>
          <w:bCs/>
          <w:szCs w:val="24"/>
        </w:rPr>
        <w:t>)</w:t>
      </w:r>
    </w:p>
    <w:p w14:paraId="02237F66" w14:textId="6C2CC823" w:rsidR="002455B8" w:rsidRDefault="00985F11" w:rsidP="003F00EC">
      <w:pPr>
        <w:spacing w:after="0"/>
        <w:rPr>
          <w:rFonts w:cs="Calibri"/>
        </w:rPr>
      </w:pPr>
      <w:r>
        <w:rPr>
          <w:rFonts w:cs="Calibri"/>
          <w:noProof/>
        </w:rPr>
        <w:drawing>
          <wp:inline distT="0" distB="0" distL="0" distR="0" wp14:anchorId="0D06D5D6" wp14:editId="3B9D2A83">
            <wp:extent cx="5760720" cy="3412490"/>
            <wp:effectExtent l="0" t="0" r="0" b="0"/>
            <wp:docPr id="581784842" name="Obrázek 7" descr="Obsah obrázku mapa, atlas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784842" name="Obrázek 7" descr="Obsah obrázku mapa, atlas, text&#10;&#10;Obsah generovaný pomocí AI může být nesprávný."/>
                    <pic:cNvPicPr/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11C03" w14:textId="435E117F" w:rsidR="00730241" w:rsidRDefault="00730241" w:rsidP="003F00EC">
      <w:pPr>
        <w:spacing w:after="0"/>
        <w:rPr>
          <w:sz w:val="20"/>
          <w:szCs w:val="20"/>
        </w:rPr>
      </w:pPr>
      <w:r w:rsidRPr="004733C4">
        <w:rPr>
          <w:rFonts w:cs="Calibri"/>
          <w:b/>
          <w:bCs/>
          <w:sz w:val="20"/>
          <w:szCs w:val="20"/>
        </w:rPr>
        <w:t>Zdroj:</w:t>
      </w:r>
      <w:r w:rsidRPr="00730241">
        <w:rPr>
          <w:rFonts w:cs="Calibri"/>
          <w:sz w:val="20"/>
          <w:szCs w:val="20"/>
        </w:rPr>
        <w:t xml:space="preserve"> </w:t>
      </w:r>
      <w:r w:rsidRPr="004733C4">
        <w:rPr>
          <w:rFonts w:cs="Calibri"/>
          <w:sz w:val="20"/>
          <w:szCs w:val="20"/>
        </w:rPr>
        <w:t>e</w:t>
      </w:r>
      <w:r w:rsidRPr="00730241">
        <w:rPr>
          <w:sz w:val="20"/>
          <w:szCs w:val="20"/>
        </w:rPr>
        <w:t>vidence</w:t>
      </w:r>
      <w:r w:rsidRPr="0041289B">
        <w:rPr>
          <w:sz w:val="20"/>
          <w:szCs w:val="20"/>
        </w:rPr>
        <w:t xml:space="preserve"> veřejně přístupných dobíjecích stanic</w:t>
      </w:r>
      <w:r>
        <w:rPr>
          <w:sz w:val="20"/>
          <w:szCs w:val="20"/>
        </w:rPr>
        <w:t xml:space="preserve"> vedená podle</w:t>
      </w:r>
      <w:r w:rsidRPr="00277D11">
        <w:rPr>
          <w:sz w:val="20"/>
          <w:szCs w:val="20"/>
        </w:rPr>
        <w:t xml:space="preserve"> § 6 odst. 5 zákona č. 311/2006 Sb.</w:t>
      </w:r>
    </w:p>
    <w:p w14:paraId="26DB2D2B" w14:textId="0DB853E9" w:rsidR="002455B8" w:rsidRPr="004733C4" w:rsidRDefault="00730241" w:rsidP="003F00EC">
      <w:pPr>
        <w:spacing w:after="0"/>
        <w:rPr>
          <w:rFonts w:cs="Calibri"/>
          <w:sz w:val="20"/>
          <w:szCs w:val="20"/>
        </w:rPr>
      </w:pPr>
      <w:r w:rsidRPr="004733C4">
        <w:rPr>
          <w:rFonts w:cs="Calibri"/>
          <w:b/>
          <w:bCs/>
          <w:sz w:val="20"/>
          <w:szCs w:val="20"/>
        </w:rPr>
        <w:t>P</w:t>
      </w:r>
      <w:r w:rsidR="002455B8" w:rsidRPr="004733C4">
        <w:rPr>
          <w:rFonts w:cs="Calibri"/>
          <w:b/>
          <w:bCs/>
          <w:sz w:val="20"/>
          <w:szCs w:val="20"/>
        </w:rPr>
        <w:t>ozn.:</w:t>
      </w:r>
      <w:r w:rsidR="002455B8" w:rsidRPr="004733C4">
        <w:rPr>
          <w:rFonts w:cs="Calibri"/>
          <w:sz w:val="20"/>
          <w:szCs w:val="20"/>
        </w:rPr>
        <w:t xml:space="preserve"> Čárkovaně jsou zobrazeny plánované nebo budované části silniční sítě TEN-T.</w:t>
      </w:r>
    </w:p>
    <w:p w14:paraId="6CDAB2C6" w14:textId="77777777" w:rsidR="006F1A49" w:rsidRPr="006F1A49" w:rsidRDefault="006F1A49" w:rsidP="004733C4">
      <w:pPr>
        <w:pStyle w:val="Nadpis2"/>
        <w:widowControl/>
        <w:numPr>
          <w:ilvl w:val="0"/>
          <w:numId w:val="0"/>
        </w:numPr>
        <w:spacing w:before="0"/>
        <w:ind w:left="567"/>
        <w:rPr>
          <w:lang w:eastAsia="en-US"/>
        </w:rPr>
      </w:pPr>
    </w:p>
    <w:p w14:paraId="276223E8" w14:textId="672E8D4F" w:rsidR="00B87F12" w:rsidRDefault="004B06F1" w:rsidP="003F00EC">
      <w:pPr>
        <w:pStyle w:val="Nadpis2"/>
        <w:widowControl/>
        <w:spacing w:before="0" w:line="256" w:lineRule="auto"/>
      </w:pPr>
      <w:r>
        <w:t xml:space="preserve">Nařízení AFIR </w:t>
      </w:r>
      <w:r w:rsidR="0040149B">
        <w:t xml:space="preserve">stanovilo </w:t>
      </w:r>
      <w:r>
        <w:t xml:space="preserve">cíle </w:t>
      </w:r>
      <w:r w:rsidR="0040149B">
        <w:t>v oblasti</w:t>
      </w:r>
      <w:r>
        <w:t xml:space="preserve"> rozvoj</w:t>
      </w:r>
      <w:r w:rsidR="0040149B">
        <w:t>e</w:t>
      </w:r>
      <w:r>
        <w:t xml:space="preserve"> vodíkové infrastruktury </w:t>
      </w:r>
      <w:r w:rsidR="0041042C">
        <w:t>až pro rok 2030. Do 31.</w:t>
      </w:r>
      <w:r w:rsidR="00730241">
        <w:t> </w:t>
      </w:r>
      <w:r w:rsidR="0041042C">
        <w:t xml:space="preserve">prosince 2024 nařízení AFIR stanovilo cíl </w:t>
      </w:r>
      <w:r w:rsidR="00B56689">
        <w:t xml:space="preserve">v oblasti </w:t>
      </w:r>
      <w:r w:rsidR="0041042C">
        <w:t>infrastruktur</w:t>
      </w:r>
      <w:r w:rsidR="0040149B">
        <w:t>y</w:t>
      </w:r>
      <w:r w:rsidR="0041042C">
        <w:t xml:space="preserve"> pro zkapalněný metan (LNG) pro silniční vozidla tak, aby byl vybudován přiměřený počet veřejně dostupných výdejních stojanů pro LNG alespoň podél </w:t>
      </w:r>
      <w:r w:rsidR="00B56689">
        <w:t xml:space="preserve">hlavní </w:t>
      </w:r>
      <w:r w:rsidR="0041042C">
        <w:t xml:space="preserve">sítě TEN-T pro těžká motorová vozidla. </w:t>
      </w:r>
      <w:r w:rsidR="00B56689">
        <w:t>Cílem bylo umožnit provoz těžkých motorových vozidel na zkapalněný metan v celé Unii. Podle nařízení AFIR bylo jeho naplnění odvozeno od skutečné poptávky po tomto druhu paliva a toho, zda s tím spojené náklady nebudou nepřiměřené očekávaným přínosům.</w:t>
      </w:r>
      <w:r w:rsidR="0041042C">
        <w:rPr>
          <w:rStyle w:val="Znakapoznpodarou"/>
        </w:rPr>
        <w:footnoteReference w:id="24"/>
      </w:r>
      <w:r w:rsidR="0041042C">
        <w:t xml:space="preserve"> K</w:t>
      </w:r>
      <w:r w:rsidR="00082CB6">
        <w:t xml:space="preserve"> </w:t>
      </w:r>
      <w:r w:rsidR="0041042C">
        <w:t>31. prosinci 2024 bylo v</w:t>
      </w:r>
      <w:r w:rsidR="00082CB6">
        <w:t xml:space="preserve"> </w:t>
      </w:r>
      <w:r w:rsidR="0041042C">
        <w:t>ČR registrováno 104</w:t>
      </w:r>
      <w:r w:rsidR="00082CB6">
        <w:t> </w:t>
      </w:r>
      <w:r w:rsidR="006F7120">
        <w:t xml:space="preserve">středních a </w:t>
      </w:r>
      <w:r w:rsidR="0041042C">
        <w:t xml:space="preserve">těžkých nákladních vozidel </w:t>
      </w:r>
      <w:r w:rsidR="0040149B">
        <w:t xml:space="preserve">na </w:t>
      </w:r>
      <w:r w:rsidR="00F671D3">
        <w:t xml:space="preserve">LNG </w:t>
      </w:r>
      <w:r w:rsidR="0040149B">
        <w:t>(</w:t>
      </w:r>
      <w:r w:rsidR="0041042C">
        <w:t>kategorie</w:t>
      </w:r>
      <w:r w:rsidR="006F7120">
        <w:t xml:space="preserve"> N2</w:t>
      </w:r>
      <w:r w:rsidR="0041042C">
        <w:t xml:space="preserve"> </w:t>
      </w:r>
      <w:r w:rsidR="0040149B">
        <w:t xml:space="preserve">a </w:t>
      </w:r>
      <w:r w:rsidR="0041042C">
        <w:t>N3), k 30. září 2025 pak bylo těchto vozidel registrováno 110. Veřejných čerpacích stanic na LNG bylo k 31.</w:t>
      </w:r>
      <w:r w:rsidR="0040149B">
        <w:t> </w:t>
      </w:r>
      <w:r w:rsidR="0041042C">
        <w:t xml:space="preserve">prosinci 2024 i k 30. září 2025 celkem devět, osm z nich je umístěno v Čechách, jedna na Moravě. </w:t>
      </w:r>
      <w:r w:rsidR="00B56689">
        <w:t>Cíle v oblasti infrastruktury pro LNG bylo dosaženo</w:t>
      </w:r>
      <w:r w:rsidR="0041042C">
        <w:t>.</w:t>
      </w:r>
    </w:p>
    <w:p w14:paraId="65D9619F" w14:textId="77777777" w:rsidR="009011BE" w:rsidRPr="009011BE" w:rsidRDefault="009011BE" w:rsidP="003F00EC">
      <w:pPr>
        <w:spacing w:after="0"/>
        <w:rPr>
          <w:lang w:eastAsia="cs-CZ"/>
        </w:rPr>
      </w:pPr>
    </w:p>
    <w:p w14:paraId="4C0F94FD" w14:textId="77777777" w:rsidR="009011BE" w:rsidRDefault="009011BE" w:rsidP="004733C4">
      <w:pPr>
        <w:pStyle w:val="Nadpis2"/>
        <w:widowControl/>
        <w:numPr>
          <w:ilvl w:val="0"/>
          <w:numId w:val="0"/>
        </w:numPr>
        <w:spacing w:before="0"/>
        <w:ind w:left="567"/>
        <w:rPr>
          <w:b/>
          <w:bCs/>
        </w:rPr>
      </w:pPr>
      <w:r w:rsidRPr="00C936AA">
        <w:rPr>
          <w:b/>
          <w:bCs/>
        </w:rPr>
        <w:t>Pravidla pro bezpečné dobíjení v budovách a pro parkování vozidel na plynná paliva nejsou dokončena</w:t>
      </w:r>
    </w:p>
    <w:p w14:paraId="0CD39324" w14:textId="77777777" w:rsidR="009011BE" w:rsidRPr="00704B09" w:rsidRDefault="009011BE" w:rsidP="003F00EC">
      <w:pPr>
        <w:spacing w:after="0"/>
        <w:rPr>
          <w:lang w:eastAsia="cs-CZ"/>
        </w:rPr>
      </w:pPr>
    </w:p>
    <w:p w14:paraId="2BC08EC4" w14:textId="6A34CEC3" w:rsidR="009011BE" w:rsidRDefault="009011BE" w:rsidP="003F00EC">
      <w:pPr>
        <w:pStyle w:val="Nadpis2"/>
        <w:widowControl/>
        <w:spacing w:before="0" w:line="256" w:lineRule="auto"/>
      </w:pPr>
      <w:r>
        <w:t xml:space="preserve">NKÚ zkontroloval plnění celkem 60 opatření z první a druhé aktualizace NAP CM, </w:t>
      </w:r>
      <w:r w:rsidR="0040149B">
        <w:t>jež</w:t>
      </w:r>
      <w:r>
        <w:t xml:space="preserve"> měly realizovat nebo na jejichž realizaci se měly </w:t>
      </w:r>
      <w:r w:rsidR="000437D5">
        <w:t xml:space="preserve">podílet </w:t>
      </w:r>
      <w:r>
        <w:t xml:space="preserve">MPO a MD. Tato opatření souvisela přímo s rozvojem veřejné infrastruktury pro alternativní paliva a mají být realizována nejpozději do konce roku 2027. Opatření zaměřená na dostupnost informací o veřejných dobíjecích a plnicích stanicích, zavedení regulačního rámce a technických </w:t>
      </w:r>
      <w:r>
        <w:lastRenderedPageBreak/>
        <w:t>norem v oblasti alternativních paliv, mýtného, odpisů majetku, podpory pořizování vozidel a související infrastruktury a bezpečnost v oblasti alternativních paliv byla MD a</w:t>
      </w:r>
      <w:r w:rsidR="00730241">
        <w:t> </w:t>
      </w:r>
      <w:r>
        <w:t>MPO splněna, v jednotkách případů s mírným zpožděním.</w:t>
      </w:r>
    </w:p>
    <w:p w14:paraId="1531C202" w14:textId="77777777" w:rsidR="009011BE" w:rsidRPr="006F1A49" w:rsidRDefault="009011BE" w:rsidP="003F00EC">
      <w:pPr>
        <w:spacing w:after="0"/>
        <w:rPr>
          <w:lang w:eastAsia="cs-CZ"/>
        </w:rPr>
      </w:pPr>
    </w:p>
    <w:p w14:paraId="7C244288" w14:textId="13171E41" w:rsidR="009011BE" w:rsidRDefault="009011BE" w:rsidP="003F00EC">
      <w:pPr>
        <w:pStyle w:val="Nadpis2"/>
        <w:widowControl/>
        <w:spacing w:before="0" w:line="256" w:lineRule="auto"/>
        <w:rPr>
          <w:rFonts w:ascii="Calibri" w:hAnsi="Calibri" w:cs="Calibri"/>
        </w:rPr>
      </w:pPr>
      <w:r>
        <w:t>Dvě opatření, ve kterých je MD a MPO spolupracující subjekt, však do doby ukončení kontroly splněna nebyla. Na základě těchto opatření má dojít ke stanovení legislativních a bezpečnostních pravidel dobíjení elektrických vozidel ve vnitřních prostorách objektů (např. v</w:t>
      </w:r>
      <w:r w:rsidR="005C7A20">
        <w:t xml:space="preserve"> </w:t>
      </w:r>
      <w:r>
        <w:t xml:space="preserve">hromadných garážích) a k odstranění překážek pro parkování vozidel na </w:t>
      </w:r>
      <w:r w:rsidR="004E0598">
        <w:br/>
      </w:r>
      <w:r>
        <w:t>plynná paliva v</w:t>
      </w:r>
      <w:r w:rsidR="004E0598">
        <w:t xml:space="preserve"> </w:t>
      </w:r>
      <w:r>
        <w:t xml:space="preserve">nově budovaných a rekonstruovaných garážích. Opatření měla být </w:t>
      </w:r>
      <w:r w:rsidR="004E0598">
        <w:br/>
      </w:r>
      <w:r>
        <w:t>realizována formou vyhlášky. Opatření k dobíjení elektrických vozidel měl</w:t>
      </w:r>
      <w:r w:rsidR="00082CB6">
        <w:t>o</w:t>
      </w:r>
      <w:r>
        <w:t xml:space="preserve"> být připraven</w:t>
      </w:r>
      <w:r w:rsidR="00082CB6">
        <w:t>o</w:t>
      </w:r>
      <w:r>
        <w:t xml:space="preserve"> do konce roku 2025, opatření pro parkování vozidel na plynná paliva měl</w:t>
      </w:r>
      <w:r w:rsidR="00082CB6">
        <w:t>o</w:t>
      </w:r>
      <w:r>
        <w:t xml:space="preserve"> být hotov</w:t>
      </w:r>
      <w:r w:rsidR="00082CB6">
        <w:t>o</w:t>
      </w:r>
      <w:r>
        <w:t xml:space="preserve"> do konce roku 2021. </w:t>
      </w:r>
      <w:r>
        <w:rPr>
          <w:rFonts w:ascii="Calibri" w:hAnsi="Calibri" w:cs="Calibri"/>
        </w:rPr>
        <w:t xml:space="preserve">Odpovědnost za přípravu těchto opatření nese Ministerstvo vnitra – generální ředitelství </w:t>
      </w:r>
      <w:r w:rsidR="00082CB6">
        <w:rPr>
          <w:rFonts w:ascii="Calibri" w:hAnsi="Calibri" w:cs="Calibri"/>
        </w:rPr>
        <w:t>H</w:t>
      </w:r>
      <w:r>
        <w:rPr>
          <w:rFonts w:ascii="Calibri" w:hAnsi="Calibri" w:cs="Calibri"/>
        </w:rPr>
        <w:t>asičského záchranného sboru</w:t>
      </w:r>
      <w:r w:rsidR="004E0598">
        <w:rPr>
          <w:rFonts w:ascii="Calibri" w:hAnsi="Calibri" w:cs="Calibri"/>
        </w:rPr>
        <w:t xml:space="preserve"> ČR</w:t>
      </w:r>
      <w:r>
        <w:rPr>
          <w:rFonts w:ascii="Calibri" w:hAnsi="Calibri" w:cs="Calibri"/>
        </w:rPr>
        <w:t>, Ministerstvo zdravotnictví, Ministerstvo pro místní rozvoj</w:t>
      </w:r>
      <w:r w:rsidR="00673890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MD</w:t>
      </w:r>
      <w:r w:rsidR="0067389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MPO</w:t>
      </w:r>
      <w:r w:rsidR="00673890">
        <w:rPr>
          <w:rFonts w:ascii="Calibri" w:hAnsi="Calibri" w:cs="Calibri"/>
        </w:rPr>
        <w:t xml:space="preserve"> má při přípravě těchto opatření koordinační roli</w:t>
      </w:r>
      <w:r>
        <w:rPr>
          <w:rFonts w:ascii="Calibri" w:hAnsi="Calibri" w:cs="Calibri"/>
        </w:rPr>
        <w:t>. Do doby ukončení kontroly NKÚ nedošlo mezi uvedenými subjekty ke shodě na takových opatřeních, která by neznevýhodňovala elektromobilitu a provoz vozidel na alternativní paliva při zachování bezpečnostních standardů platných v jiných zemích EU.</w:t>
      </w:r>
    </w:p>
    <w:p w14:paraId="1E5BE061" w14:textId="77777777" w:rsidR="00673890" w:rsidRPr="00673890" w:rsidRDefault="00673890" w:rsidP="003F00EC">
      <w:pPr>
        <w:spacing w:after="0"/>
        <w:rPr>
          <w:lang w:eastAsia="cs-CZ"/>
        </w:rPr>
      </w:pPr>
    </w:p>
    <w:p w14:paraId="7C7D097B" w14:textId="0661F602" w:rsidR="006F1A49" w:rsidRPr="00DA55F1" w:rsidRDefault="003B2B14" w:rsidP="003F00EC">
      <w:pPr>
        <w:spacing w:after="0"/>
        <w:rPr>
          <w:b/>
          <w:bCs/>
          <w:lang w:eastAsia="cs-CZ"/>
        </w:rPr>
      </w:pPr>
      <w:r w:rsidRPr="00DA55F1">
        <w:rPr>
          <w:b/>
          <w:bCs/>
          <w:lang w:eastAsia="cs-CZ"/>
        </w:rPr>
        <w:t xml:space="preserve">MPO </w:t>
      </w:r>
      <w:r w:rsidR="005F6731">
        <w:rPr>
          <w:b/>
          <w:bCs/>
          <w:lang w:eastAsia="cs-CZ"/>
        </w:rPr>
        <w:t xml:space="preserve">nemá přesné informace o počtu </w:t>
      </w:r>
      <w:r w:rsidRPr="00DA55F1">
        <w:rPr>
          <w:b/>
          <w:bCs/>
          <w:lang w:eastAsia="cs-CZ"/>
        </w:rPr>
        <w:t>elektromobilů a dobíjecích stanic pořízen</w:t>
      </w:r>
      <w:r w:rsidR="005F6731">
        <w:rPr>
          <w:b/>
          <w:bCs/>
          <w:lang w:eastAsia="cs-CZ"/>
        </w:rPr>
        <w:t>ých</w:t>
      </w:r>
      <w:r w:rsidRPr="00DA55F1">
        <w:rPr>
          <w:b/>
          <w:bCs/>
          <w:lang w:eastAsia="cs-CZ"/>
        </w:rPr>
        <w:t xml:space="preserve"> prostřednictvím podpory z</w:t>
      </w:r>
      <w:r w:rsidR="00360214">
        <w:rPr>
          <w:b/>
          <w:bCs/>
          <w:lang w:eastAsia="cs-CZ"/>
        </w:rPr>
        <w:t> </w:t>
      </w:r>
      <w:r w:rsidRPr="00DA55F1">
        <w:rPr>
          <w:b/>
          <w:bCs/>
          <w:lang w:eastAsia="cs-CZ"/>
        </w:rPr>
        <w:t>OP</w:t>
      </w:r>
      <w:r w:rsidR="00360214">
        <w:rPr>
          <w:b/>
          <w:bCs/>
          <w:lang w:eastAsia="cs-CZ"/>
        </w:rPr>
        <w:t xml:space="preserve"> </w:t>
      </w:r>
      <w:r w:rsidRPr="00DA55F1">
        <w:rPr>
          <w:b/>
          <w:bCs/>
          <w:lang w:eastAsia="cs-CZ"/>
        </w:rPr>
        <w:t>PIK</w:t>
      </w:r>
    </w:p>
    <w:p w14:paraId="3E8A8158" w14:textId="77777777" w:rsidR="003B2B14" w:rsidRPr="003B2B14" w:rsidRDefault="003B2B14" w:rsidP="004733C4">
      <w:pPr>
        <w:pStyle w:val="Nadpis2"/>
        <w:widowControl/>
        <w:numPr>
          <w:ilvl w:val="0"/>
          <w:numId w:val="0"/>
        </w:numPr>
        <w:spacing w:before="0"/>
        <w:ind w:left="567"/>
      </w:pPr>
    </w:p>
    <w:p w14:paraId="07BB5AD7" w14:textId="740E7EEB" w:rsidR="006F1A49" w:rsidRDefault="00742AF4" w:rsidP="003F00EC">
      <w:pPr>
        <w:pStyle w:val="Nadpis2"/>
        <w:widowControl/>
        <w:spacing w:before="0" w:line="256" w:lineRule="auto"/>
      </w:pPr>
      <w:r>
        <w:t xml:space="preserve">V programu podpory </w:t>
      </w:r>
      <w:r w:rsidRPr="004733C4">
        <w:rPr>
          <w:i/>
          <w:iCs/>
        </w:rPr>
        <w:t>Nízkouhlíkové technologie</w:t>
      </w:r>
      <w:r>
        <w:t xml:space="preserve"> OP PIK podporovalo MPO rozvoj inovativních technologi</w:t>
      </w:r>
      <w:r w:rsidR="002E5FB2">
        <w:t>í v různých oborech</w:t>
      </w:r>
      <w:r>
        <w:t xml:space="preserve">. V pěti výzvách byla podpora zaměřena na nákup </w:t>
      </w:r>
      <w:r w:rsidR="00E73B05">
        <w:t xml:space="preserve">bateriových elektrických vozidel a elektrických vozidel s prodlouženým dojezdem </w:t>
      </w:r>
      <w:r>
        <w:t>a neveřejných dobíjecích stanic pro malé, střední a velké podniky.</w:t>
      </w:r>
      <w:r w:rsidR="00E73B05">
        <w:t xml:space="preserve"> MPO poskytovalo </w:t>
      </w:r>
      <w:r w:rsidR="00730241">
        <w:br/>
      </w:r>
      <w:r w:rsidR="00E73B05">
        <w:t xml:space="preserve">tuto podporu v letech 2016–2020 a celkem podpořilo 557 projektů na nákup vozidel </w:t>
      </w:r>
      <w:r w:rsidR="00730241">
        <w:br/>
      </w:r>
      <w:r w:rsidR="00E73B05">
        <w:t xml:space="preserve">na alternativní paliva a vybudování neveřejných dobíjecích stanic za celkem </w:t>
      </w:r>
      <w:r w:rsidR="00730241">
        <w:br/>
      </w:r>
      <w:r w:rsidR="00022A0B">
        <w:t>272,775</w:t>
      </w:r>
      <w:r w:rsidR="00E73B05">
        <w:t xml:space="preserve"> mil. Kč.</w:t>
      </w:r>
    </w:p>
    <w:p w14:paraId="7E245078" w14:textId="77777777" w:rsidR="00DA55F1" w:rsidRPr="00DA55F1" w:rsidRDefault="00DA55F1" w:rsidP="003F00EC">
      <w:pPr>
        <w:spacing w:after="0"/>
        <w:rPr>
          <w:lang w:eastAsia="cs-CZ"/>
        </w:rPr>
      </w:pPr>
    </w:p>
    <w:p w14:paraId="144AAED7" w14:textId="5F4FC99D" w:rsidR="00B4710C" w:rsidRDefault="004E0598" w:rsidP="003F00EC">
      <w:pPr>
        <w:pStyle w:val="Nadpis2"/>
        <w:widowControl/>
        <w:spacing w:before="0" w:line="256" w:lineRule="auto"/>
      </w:pPr>
      <w:r>
        <w:t xml:space="preserve">U </w:t>
      </w:r>
      <w:r w:rsidR="0096661B">
        <w:t xml:space="preserve">programu podpory </w:t>
      </w:r>
      <w:r w:rsidR="0096661B" w:rsidRPr="004733C4">
        <w:rPr>
          <w:i/>
          <w:iCs/>
        </w:rPr>
        <w:t>Nízkouhlíkové technologie</w:t>
      </w:r>
      <w:r w:rsidR="0096661B">
        <w:t xml:space="preserve"> </w:t>
      </w:r>
      <w:r w:rsidR="00B4710C">
        <w:t xml:space="preserve">nastavilo </w:t>
      </w:r>
      <w:r>
        <w:t xml:space="preserve">MPO </w:t>
      </w:r>
      <w:r w:rsidR="00B4710C">
        <w:t>sledování přínosů podpory tak, že</w:t>
      </w:r>
      <w:r w:rsidR="0096661B">
        <w:t xml:space="preserve"> v každém projektu mohl</w:t>
      </w:r>
      <w:r w:rsidR="00F671D3">
        <w:t>o</w:t>
      </w:r>
      <w:r w:rsidR="0096661B">
        <w:t xml:space="preserve"> být </w:t>
      </w:r>
      <w:r w:rsidR="00B4710C">
        <w:t xml:space="preserve">vykázáno </w:t>
      </w:r>
      <w:r w:rsidR="0096661B">
        <w:t>pořízen</w:t>
      </w:r>
      <w:r w:rsidR="00B4710C">
        <w:t>í</w:t>
      </w:r>
      <w:r w:rsidR="0096661B">
        <w:t xml:space="preserve"> pouze </w:t>
      </w:r>
      <w:r>
        <w:t>jedné</w:t>
      </w:r>
      <w:r w:rsidR="0096661B">
        <w:t xml:space="preserve"> inovativní technologie</w:t>
      </w:r>
      <w:r w:rsidR="00B4710C">
        <w:t>, bez ohledu na skutečný počet pořízených vozidel či dobíjecích stanic. MPO přesné počty pořízených vozidel a dobíjecí infrastruktury nesledovalo</w:t>
      </w:r>
      <w:r w:rsidR="005840C3">
        <w:t>.</w:t>
      </w:r>
      <w:r w:rsidR="00B4710C">
        <w:t xml:space="preserve"> </w:t>
      </w:r>
      <w:r w:rsidR="005840C3">
        <w:t>Z</w:t>
      </w:r>
      <w:r>
        <w:t xml:space="preserve"> dokladů </w:t>
      </w:r>
      <w:r w:rsidR="00B4710C">
        <w:t xml:space="preserve">předložených </w:t>
      </w:r>
      <w:r w:rsidR="00F671D3">
        <w:t xml:space="preserve">ke kontrole </w:t>
      </w:r>
      <w:r w:rsidR="00B4710C">
        <w:t xml:space="preserve">NKÚ </w:t>
      </w:r>
      <w:r w:rsidR="00F671D3">
        <w:t>vyplynulo,</w:t>
      </w:r>
      <w:r w:rsidR="00B4710C">
        <w:t xml:space="preserve"> že bylo pořízeno </w:t>
      </w:r>
      <w:r w:rsidR="00F671D3">
        <w:t>orientačně</w:t>
      </w:r>
      <w:r w:rsidR="00B4710C">
        <w:t xml:space="preserve"> 886 elektromobilů </w:t>
      </w:r>
      <w:r w:rsidR="005C7A20">
        <w:br/>
      </w:r>
      <w:r w:rsidR="00B4710C">
        <w:t>a</w:t>
      </w:r>
      <w:r w:rsidR="005C7A20">
        <w:t xml:space="preserve"> </w:t>
      </w:r>
      <w:r w:rsidR="00022A0B">
        <w:t>384</w:t>
      </w:r>
      <w:r w:rsidR="00B4710C">
        <w:t xml:space="preserve"> neveřejných dobíjecích stanic.</w:t>
      </w:r>
      <w:r w:rsidR="00C85E61">
        <w:t xml:space="preserve"> MPO tak nemohlo pomocí tohoto indikátoru </w:t>
      </w:r>
      <w:r w:rsidR="000947FE">
        <w:t xml:space="preserve">monitorovat a </w:t>
      </w:r>
      <w:r w:rsidR="00C85E61">
        <w:t>vyhodnotit přínos poskytnuté podpory k rozvoji čisté mobility.</w:t>
      </w:r>
    </w:p>
    <w:p w14:paraId="1AA03766" w14:textId="77777777" w:rsidR="00DA55F1" w:rsidRPr="00DA55F1" w:rsidRDefault="00DA55F1" w:rsidP="003F00EC">
      <w:pPr>
        <w:spacing w:after="0"/>
        <w:rPr>
          <w:lang w:eastAsia="cs-CZ"/>
        </w:rPr>
      </w:pPr>
    </w:p>
    <w:p w14:paraId="3635B021" w14:textId="265B1E17" w:rsidR="006F1A49" w:rsidRDefault="00DA55F1" w:rsidP="003F00EC">
      <w:pPr>
        <w:spacing w:after="0"/>
        <w:rPr>
          <w:b/>
          <w:bCs/>
          <w:lang w:eastAsia="cs-CZ"/>
        </w:rPr>
      </w:pPr>
      <w:r w:rsidRPr="00DA55F1">
        <w:rPr>
          <w:b/>
          <w:bCs/>
          <w:lang w:eastAsia="cs-CZ"/>
        </w:rPr>
        <w:t>Podpora z NPO prostřednictvím finančního nástroje splnila stanovené cíle</w:t>
      </w:r>
    </w:p>
    <w:p w14:paraId="438F7656" w14:textId="77777777" w:rsidR="00DA55F1" w:rsidRPr="00DA55F1" w:rsidRDefault="00DA55F1" w:rsidP="004733C4">
      <w:pPr>
        <w:pStyle w:val="Nadpis2"/>
        <w:widowControl/>
        <w:numPr>
          <w:ilvl w:val="0"/>
          <w:numId w:val="0"/>
        </w:numPr>
        <w:spacing w:before="0"/>
        <w:ind w:left="567"/>
      </w:pPr>
    </w:p>
    <w:p w14:paraId="513DD4F9" w14:textId="3A19545F" w:rsidR="00B95858" w:rsidRDefault="00B4710C" w:rsidP="003F00EC">
      <w:pPr>
        <w:pStyle w:val="Nadpis2"/>
        <w:widowControl/>
        <w:spacing w:before="0" w:line="256" w:lineRule="auto"/>
        <w:rPr>
          <w:rFonts w:ascii="Calibri" w:hAnsi="Calibri" w:cs="Calibri"/>
        </w:rPr>
      </w:pPr>
      <w:r>
        <w:t xml:space="preserve">V letech </w:t>
      </w:r>
      <w:r w:rsidR="005840C3">
        <w:t>2024–2025</w:t>
      </w:r>
      <w:r>
        <w:t xml:space="preserve"> podpořilo MPO nákup vozidel na alternativní pohon</w:t>
      </w:r>
      <w:r w:rsidR="00BB34EF">
        <w:t xml:space="preserve"> (kategorie M1 a N1)</w:t>
      </w:r>
      <w:r>
        <w:t xml:space="preserve"> a vybudování neveřejných dobíjecích stanic pro malé, střední a velké podniky formou finančního nástroje s dotační složkou</w:t>
      </w:r>
      <w:r w:rsidR="00DA55F1">
        <w:t>.</w:t>
      </w:r>
      <w:r>
        <w:t xml:space="preserve"> Finanční nástroj byl poskytován </w:t>
      </w:r>
      <w:r w:rsidR="00AA017B">
        <w:t>v</w:t>
      </w:r>
      <w:r w:rsidR="00730241">
        <w:t> </w:t>
      </w:r>
      <w:r w:rsidR="00AA017B">
        <w:t>rámci</w:t>
      </w:r>
      <w:r w:rsidR="00730241">
        <w:t xml:space="preserve"> </w:t>
      </w:r>
      <w:r w:rsidR="00AA017B" w:rsidRPr="004733C4">
        <w:rPr>
          <w:i/>
          <w:iCs/>
        </w:rPr>
        <w:t>N</w:t>
      </w:r>
      <w:r w:rsidRPr="004733C4">
        <w:rPr>
          <w:i/>
          <w:iCs/>
        </w:rPr>
        <w:t>árodního plánu obnovy</w:t>
      </w:r>
      <w:r w:rsidR="00B95858">
        <w:t xml:space="preserve"> </w:t>
      </w:r>
      <w:r w:rsidR="004E0598">
        <w:t xml:space="preserve">z </w:t>
      </w:r>
      <w:r w:rsidR="00B95858" w:rsidRPr="00873C57">
        <w:t>komponent 2.4</w:t>
      </w:r>
      <w:r w:rsidR="007E20DA">
        <w:t xml:space="preserve"> (</w:t>
      </w:r>
      <w:r w:rsidR="007E20DA" w:rsidRPr="004733C4">
        <w:rPr>
          <w:i/>
          <w:iCs/>
        </w:rPr>
        <w:t>Čistá mobilita</w:t>
      </w:r>
      <w:r w:rsidR="007E20DA">
        <w:t>)</w:t>
      </w:r>
      <w:r w:rsidR="00B95858" w:rsidRPr="00873C57">
        <w:t xml:space="preserve"> a 7.5</w:t>
      </w:r>
      <w:r w:rsidR="007E20DA">
        <w:t xml:space="preserve"> (</w:t>
      </w:r>
      <w:r w:rsidR="007E20DA" w:rsidRPr="004733C4">
        <w:rPr>
          <w:i/>
          <w:iCs/>
        </w:rPr>
        <w:t xml:space="preserve">Dekarbonizace silniční </w:t>
      </w:r>
      <w:r w:rsidR="007E20DA" w:rsidRPr="004733C4">
        <w:rPr>
          <w:i/>
          <w:iCs/>
        </w:rPr>
        <w:lastRenderedPageBreak/>
        <w:t>dopravy</w:t>
      </w:r>
      <w:r w:rsidR="007E20DA">
        <w:t>)</w:t>
      </w:r>
      <w:r w:rsidR="00B95858" w:rsidRPr="00873C57">
        <w:t>,</w:t>
      </w:r>
      <w:r w:rsidRPr="00873C57">
        <w:t xml:space="preserve"> jeho</w:t>
      </w:r>
      <w:r>
        <w:t xml:space="preserve"> realizací byla na základě smlouvy </w:t>
      </w:r>
      <w:r w:rsidR="00AA017B">
        <w:t>s MPO pověřena Národní rozvojová banka</w:t>
      </w:r>
      <w:r w:rsidR="00E86008">
        <w:t>, a.s.</w:t>
      </w:r>
      <w:r w:rsidR="00873C57">
        <w:rPr>
          <w:rStyle w:val="Znakapoznpodarou"/>
        </w:rPr>
        <w:footnoteReference w:id="25"/>
      </w:r>
      <w:r w:rsidR="00AA017B">
        <w:t xml:space="preserve"> Finanční nástroj byl poskytován ve formě bankovní záruky za komerční úvěr</w:t>
      </w:r>
      <w:r w:rsidR="004366A8">
        <w:t xml:space="preserve"> poskytovaný bankou nebo leasingovou společností</w:t>
      </w:r>
      <w:r w:rsidR="004E0598">
        <w:t>.</w:t>
      </w:r>
      <w:r w:rsidR="00873C57">
        <w:rPr>
          <w:rStyle w:val="Znakapoznpodarou"/>
        </w:rPr>
        <w:footnoteReference w:id="26"/>
      </w:r>
      <w:r w:rsidR="004366A8">
        <w:t xml:space="preserve"> Čerpání dotační složky bylo podmíněno čerpáním zaručeného úvěru</w:t>
      </w:r>
      <w:r w:rsidR="00AA2687">
        <w:t xml:space="preserve">. Při </w:t>
      </w:r>
      <w:r w:rsidR="00AA2687">
        <w:rPr>
          <w:rFonts w:ascii="Calibri" w:hAnsi="Calibri" w:cs="Calibri"/>
        </w:rPr>
        <w:t>kombinaci finančního nástroje a dotační složky</w:t>
      </w:r>
      <w:r w:rsidR="00AA2687" w:rsidRPr="00013CD7">
        <w:rPr>
          <w:rFonts w:ascii="Calibri" w:hAnsi="Calibri" w:cs="Calibri"/>
        </w:rPr>
        <w:t xml:space="preserve"> je návratnost alokovaných zdrojů na podporu a jejich následné znovupoužití pro poskytování podpory v následném období oproti finančním nástrojům, které nejsou s dotací kombinovány, výrazně nižší</w:t>
      </w:r>
      <w:r w:rsidR="00AA2687">
        <w:rPr>
          <w:rFonts w:ascii="Calibri" w:hAnsi="Calibri" w:cs="Calibri"/>
        </w:rPr>
        <w:t>.</w:t>
      </w:r>
    </w:p>
    <w:p w14:paraId="78D84775" w14:textId="77777777" w:rsidR="006F1A49" w:rsidRPr="006F1A49" w:rsidRDefault="006F1A49" w:rsidP="003F00EC">
      <w:pPr>
        <w:spacing w:after="0"/>
        <w:rPr>
          <w:lang w:eastAsia="cs-CZ"/>
        </w:rPr>
      </w:pPr>
    </w:p>
    <w:p w14:paraId="69D42AA2" w14:textId="7295A8F9" w:rsidR="006F1A49" w:rsidRDefault="00B95858" w:rsidP="003F00EC">
      <w:pPr>
        <w:pStyle w:val="Nadpis2"/>
        <w:widowControl/>
        <w:spacing w:before="0" w:line="256" w:lineRule="auto"/>
      </w:pPr>
      <w:r>
        <w:t>Celková alokace obou komponent byla 1 950 mil. Kč.</w:t>
      </w:r>
      <w:r w:rsidR="007C251E">
        <w:t xml:space="preserve"> </w:t>
      </w:r>
      <w:r w:rsidR="00AA2687">
        <w:t>Cílem podpory bylo</w:t>
      </w:r>
      <w:r w:rsidR="007C251E">
        <w:t xml:space="preserve"> do konce roku 2025 </w:t>
      </w:r>
      <w:r w:rsidR="00AA2687">
        <w:t>pořídit</w:t>
      </w:r>
      <w:r w:rsidR="007C251E">
        <w:t xml:space="preserve"> celkem</w:t>
      </w:r>
      <w:r w:rsidR="00AA2687">
        <w:t xml:space="preserve"> 2</w:t>
      </w:r>
      <w:r w:rsidR="007C251E">
        <w:t> </w:t>
      </w:r>
      <w:r w:rsidR="00AA2687">
        <w:t>500</w:t>
      </w:r>
      <w:r w:rsidR="007C251E">
        <w:t xml:space="preserve"> neveřejných dobíjecích stanic a 5 800 vozidel na alternativní pohon. K 31. říjnu 2025 byly oba cíle splněny a překročeny, když bylo prostřednictvím 5 574 dokončených projektů vybudováno celkem 2 534 neveřejných dobíjecích stanic a</w:t>
      </w:r>
      <w:r w:rsidR="00730241">
        <w:t> </w:t>
      </w:r>
      <w:r w:rsidR="007C251E">
        <w:t xml:space="preserve">pořízeno 6 137 </w:t>
      </w:r>
      <w:r w:rsidR="001C685A">
        <w:t>bateriových vozidel</w:t>
      </w:r>
      <w:r w:rsidR="004E0598">
        <w:t>.</w:t>
      </w:r>
      <w:r w:rsidR="008D6B3E">
        <w:rPr>
          <w:rStyle w:val="Znakapoznpodarou"/>
        </w:rPr>
        <w:footnoteReference w:id="27"/>
      </w:r>
      <w:r w:rsidR="007C251E">
        <w:t xml:space="preserve"> O </w:t>
      </w:r>
      <w:r w:rsidR="00C053D3">
        <w:t>vozidla na vodíkový pohon</w:t>
      </w:r>
      <w:r w:rsidR="007C251E">
        <w:t xml:space="preserve"> nebyl zájem. </w:t>
      </w:r>
    </w:p>
    <w:p w14:paraId="178CD4D1" w14:textId="77777777" w:rsidR="00A61951" w:rsidRPr="00A61951" w:rsidRDefault="00A61951" w:rsidP="003F00EC">
      <w:pPr>
        <w:spacing w:after="0"/>
        <w:rPr>
          <w:lang w:eastAsia="cs-CZ"/>
        </w:rPr>
      </w:pPr>
    </w:p>
    <w:p w14:paraId="051A42E5" w14:textId="3F382FC4" w:rsidR="0006127C" w:rsidRPr="0006127C" w:rsidRDefault="00623C34" w:rsidP="003F00EC">
      <w:pPr>
        <w:pStyle w:val="Nadpis2"/>
        <w:widowControl/>
        <w:spacing w:before="0" w:line="256" w:lineRule="auto"/>
        <w:rPr>
          <w:b/>
          <w:bCs/>
        </w:rPr>
      </w:pPr>
      <w:r>
        <w:t>V době poskytování podpory z </w:t>
      </w:r>
      <w:r w:rsidRPr="004733C4">
        <w:rPr>
          <w:i/>
          <w:iCs/>
        </w:rPr>
        <w:t>Národního plánu obnovy</w:t>
      </w:r>
      <w:r>
        <w:t xml:space="preserve"> prostřednictvím finančního nástroje</w:t>
      </w:r>
      <w:r w:rsidR="00E86008">
        <w:t>,</w:t>
      </w:r>
      <w:r>
        <w:t xml:space="preserve"> </w:t>
      </w:r>
      <w:r w:rsidR="004E0598">
        <w:t xml:space="preserve">tj. </w:t>
      </w:r>
      <w:r w:rsidR="00BB34EF">
        <w:t xml:space="preserve">od 18. března 2024, kdy byla vypsána I. výzva, do 31. října 2025, bylo podle údajů o registracích nových vozidel </w:t>
      </w:r>
      <w:r w:rsidR="004E0598">
        <w:t xml:space="preserve">registrováno </w:t>
      </w:r>
      <w:r w:rsidR="00BB34EF">
        <w:t>v ČR</w:t>
      </w:r>
      <w:r w:rsidR="00BB34EF">
        <w:rPr>
          <w:rStyle w:val="Znakapoznpodarou"/>
        </w:rPr>
        <w:footnoteReference w:id="28"/>
      </w:r>
      <w:r w:rsidR="00BB34EF">
        <w:t xml:space="preserve"> celkem 23 055 </w:t>
      </w:r>
      <w:r w:rsidR="001C685A">
        <w:t>bateriových vozidel</w:t>
      </w:r>
      <w:r w:rsidR="00BB34EF">
        <w:t xml:space="preserve"> kategorie M1 a N1. </w:t>
      </w:r>
      <w:r w:rsidR="001C685A">
        <w:t>Bateriová vozidla</w:t>
      </w:r>
      <w:r w:rsidR="00BB34EF">
        <w:t xml:space="preserve"> pořízen</w:t>
      </w:r>
      <w:r w:rsidR="001C685A">
        <w:t>á</w:t>
      </w:r>
      <w:r w:rsidR="00BB34EF">
        <w:t xml:space="preserve"> prostřednictvím finančního nástroje tak tvoří 26,6 % nově registrovaných </w:t>
      </w:r>
      <w:r w:rsidR="001C685A">
        <w:t>bateriových vozidel</w:t>
      </w:r>
      <w:r w:rsidR="00BB34EF">
        <w:t xml:space="preserve">. </w:t>
      </w:r>
    </w:p>
    <w:p w14:paraId="16996760" w14:textId="77777777" w:rsidR="00E86008" w:rsidRDefault="00E86008" w:rsidP="003F00EC">
      <w:pPr>
        <w:pStyle w:val="Nadpis2"/>
        <w:widowControl/>
        <w:numPr>
          <w:ilvl w:val="0"/>
          <w:numId w:val="0"/>
        </w:numPr>
        <w:spacing w:before="0" w:line="256" w:lineRule="auto"/>
        <w:ind w:left="567"/>
        <w:rPr>
          <w:b/>
          <w:bCs/>
        </w:rPr>
      </w:pPr>
    </w:p>
    <w:p w14:paraId="164BF50A" w14:textId="1B8FAA82" w:rsidR="006F1A49" w:rsidRPr="0006127C" w:rsidRDefault="00083171" w:rsidP="003F00EC">
      <w:pPr>
        <w:pStyle w:val="Nadpis2"/>
        <w:widowControl/>
        <w:numPr>
          <w:ilvl w:val="0"/>
          <w:numId w:val="0"/>
        </w:numPr>
        <w:spacing w:before="0" w:line="256" w:lineRule="auto"/>
        <w:ind w:left="567"/>
        <w:rPr>
          <w:b/>
          <w:bCs/>
        </w:rPr>
      </w:pPr>
      <w:r>
        <w:rPr>
          <w:b/>
          <w:bCs/>
        </w:rPr>
        <w:t>S pomocí p</w:t>
      </w:r>
      <w:r w:rsidR="00DA55F1" w:rsidRPr="0006127C">
        <w:rPr>
          <w:b/>
          <w:bCs/>
        </w:rPr>
        <w:t>odpor</w:t>
      </w:r>
      <w:r>
        <w:rPr>
          <w:b/>
          <w:bCs/>
        </w:rPr>
        <w:t>y</w:t>
      </w:r>
      <w:r w:rsidR="00DA55F1" w:rsidRPr="0006127C">
        <w:rPr>
          <w:b/>
          <w:bCs/>
        </w:rPr>
        <w:t xml:space="preserve"> z</w:t>
      </w:r>
      <w:r w:rsidR="00293618" w:rsidRPr="0006127C">
        <w:rPr>
          <w:b/>
          <w:bCs/>
        </w:rPr>
        <w:t xml:space="preserve"> operačního programu </w:t>
      </w:r>
      <w:r w:rsidR="00293618" w:rsidRPr="004733C4">
        <w:rPr>
          <w:b/>
          <w:bCs/>
          <w:i/>
          <w:iCs/>
        </w:rPr>
        <w:t>Doprava 2014</w:t>
      </w:r>
      <w:r w:rsidR="004E0598" w:rsidRPr="004733C4">
        <w:rPr>
          <w:rFonts w:cstheme="minorHAnsi"/>
          <w:b/>
          <w:bCs/>
          <w:i/>
          <w:iCs/>
        </w:rPr>
        <w:t>–</w:t>
      </w:r>
      <w:r w:rsidR="00293618" w:rsidRPr="004733C4">
        <w:rPr>
          <w:b/>
          <w:bCs/>
          <w:i/>
          <w:iCs/>
        </w:rPr>
        <w:t>2020</w:t>
      </w:r>
      <w:r w:rsidR="00DA55F1" w:rsidRPr="0006127C">
        <w:rPr>
          <w:b/>
          <w:bCs/>
        </w:rPr>
        <w:t xml:space="preserve"> bylo vybudován</w:t>
      </w:r>
      <w:r w:rsidR="00487F88">
        <w:rPr>
          <w:b/>
          <w:bCs/>
        </w:rPr>
        <w:t>o</w:t>
      </w:r>
      <w:r w:rsidR="00DA55F1" w:rsidRPr="0006127C">
        <w:rPr>
          <w:b/>
          <w:bCs/>
        </w:rPr>
        <w:t xml:space="preserve"> 41</w:t>
      </w:r>
      <w:r>
        <w:rPr>
          <w:b/>
          <w:bCs/>
        </w:rPr>
        <w:t> </w:t>
      </w:r>
      <w:r w:rsidR="00DA55F1" w:rsidRPr="0006127C">
        <w:rPr>
          <w:b/>
          <w:bCs/>
        </w:rPr>
        <w:t>% všech veřejně přístupných dobíjecích stanic</w:t>
      </w:r>
    </w:p>
    <w:p w14:paraId="39120DB9" w14:textId="77777777" w:rsidR="00DA55F1" w:rsidRPr="00DA55F1" w:rsidRDefault="00DA55F1" w:rsidP="004733C4">
      <w:pPr>
        <w:pStyle w:val="Nadpis2"/>
        <w:widowControl/>
        <w:numPr>
          <w:ilvl w:val="0"/>
          <w:numId w:val="0"/>
        </w:numPr>
        <w:spacing w:before="0"/>
        <w:ind w:left="567"/>
      </w:pPr>
    </w:p>
    <w:p w14:paraId="7F0EE345" w14:textId="49FD5867" w:rsidR="00BB34EF" w:rsidRDefault="00860277" w:rsidP="003F00EC">
      <w:pPr>
        <w:pStyle w:val="Nadpis2"/>
        <w:widowControl/>
        <w:spacing w:before="0" w:line="256" w:lineRule="auto"/>
      </w:pPr>
      <w:r>
        <w:t>Na podporu rozvoje páteřní sítě dobíjecích stanic, doplňkové sítě dobíjecích stanic</w:t>
      </w:r>
      <w:r w:rsidR="000E014E">
        <w:t xml:space="preserve"> a</w:t>
      </w:r>
      <w:r w:rsidR="00730241">
        <w:t> </w:t>
      </w:r>
      <w:r w:rsidR="000E014E">
        <w:t>podporu rozvoje infrastruktury CNG, LNG a vodíkových plnicích stanic alokovalo MD z</w:t>
      </w:r>
      <w:r w:rsidR="00293618">
        <w:t xml:space="preserve"> operačního programu </w:t>
      </w:r>
      <w:r w:rsidR="00293618" w:rsidRPr="004733C4">
        <w:rPr>
          <w:i/>
          <w:iCs/>
        </w:rPr>
        <w:t>Doprava 2014</w:t>
      </w:r>
      <w:r w:rsidR="00083171" w:rsidRPr="004733C4">
        <w:rPr>
          <w:rFonts w:cstheme="minorHAnsi"/>
          <w:i/>
          <w:iCs/>
        </w:rPr>
        <w:t>–</w:t>
      </w:r>
      <w:r w:rsidR="00293618" w:rsidRPr="004733C4">
        <w:rPr>
          <w:i/>
          <w:iCs/>
        </w:rPr>
        <w:t>2020</w:t>
      </w:r>
      <w:r w:rsidR="000E014E">
        <w:t xml:space="preserve"> celkem 1 200 mil. Kč. Tuto podporu MD realizovalo prostřednictvím programu </w:t>
      </w:r>
      <w:r w:rsidR="000E014E" w:rsidRPr="00A73359">
        <w:rPr>
          <w:i/>
          <w:iCs/>
        </w:rPr>
        <w:t>Podpora infrastruktury pro alternativní paliva</w:t>
      </w:r>
      <w:r w:rsidR="000E014E">
        <w:t xml:space="preserve">. </w:t>
      </w:r>
      <w:r w:rsidR="0005500F">
        <w:t xml:space="preserve">Cílem bylo vybudovat 1 000 dobíjecích stanic s výkonem </w:t>
      </w:r>
      <w:r w:rsidR="00E86008">
        <w:t xml:space="preserve">dobíjení </w:t>
      </w:r>
      <w:r w:rsidR="0005500F">
        <w:t>16,3 MW. MD v</w:t>
      </w:r>
      <w:r w:rsidR="000E014E">
        <w:t>ypsalo celkem 16 výzev, z toho bylo devět výzev zaměřeno na podporu dobíjecí infrastruktury, tři na podporu pln</w:t>
      </w:r>
      <w:r w:rsidR="00477A93">
        <w:t>i</w:t>
      </w:r>
      <w:r w:rsidR="000E014E">
        <w:t xml:space="preserve">cích vodíkových stanic, dvě na CNG a dvě na LNG. </w:t>
      </w:r>
      <w:r w:rsidR="00F947A8">
        <w:t xml:space="preserve">Z 49 zaregistrovaných projektů bylo na základě kladného posouzení v hodnotícím procesu </w:t>
      </w:r>
      <w:r w:rsidR="000E014E">
        <w:t xml:space="preserve">realizováno </w:t>
      </w:r>
      <w:r w:rsidR="00F947A8">
        <w:t xml:space="preserve">celkem </w:t>
      </w:r>
      <w:r w:rsidR="000E014E">
        <w:t>24 projektů</w:t>
      </w:r>
      <w:r w:rsidR="00F947A8">
        <w:t xml:space="preserve"> s objemem dotační podpory 470 mil. Kč.</w:t>
      </w:r>
    </w:p>
    <w:p w14:paraId="329C8356" w14:textId="77777777" w:rsidR="006F1A49" w:rsidRPr="006F1A49" w:rsidRDefault="006F1A49" w:rsidP="003F00EC">
      <w:pPr>
        <w:spacing w:after="0"/>
        <w:rPr>
          <w:lang w:eastAsia="cs-CZ"/>
        </w:rPr>
      </w:pPr>
    </w:p>
    <w:p w14:paraId="4D6137A7" w14:textId="1735490D" w:rsidR="00F947A8" w:rsidRDefault="00F947A8" w:rsidP="003F00EC">
      <w:pPr>
        <w:pStyle w:val="Nadpis2"/>
        <w:widowControl/>
        <w:spacing w:before="0" w:line="256" w:lineRule="auto"/>
      </w:pPr>
      <w:r>
        <w:t>S podporou z</w:t>
      </w:r>
      <w:r w:rsidR="00293618">
        <w:t xml:space="preserve"> operačního programu </w:t>
      </w:r>
      <w:r w:rsidR="00293618" w:rsidRPr="004733C4">
        <w:rPr>
          <w:i/>
          <w:iCs/>
        </w:rPr>
        <w:t>Doprava 2014</w:t>
      </w:r>
      <w:r w:rsidR="00083171" w:rsidRPr="004733C4">
        <w:rPr>
          <w:rFonts w:cstheme="minorHAnsi"/>
          <w:i/>
          <w:iCs/>
        </w:rPr>
        <w:t>–</w:t>
      </w:r>
      <w:r w:rsidR="00293618" w:rsidRPr="004733C4">
        <w:rPr>
          <w:i/>
          <w:iCs/>
        </w:rPr>
        <w:t>2020</w:t>
      </w:r>
      <w:r>
        <w:t xml:space="preserve"> byly vybudovány dvě plnicí vodíkové stanice, pět plnicích stanic na LNG a 1 318 dobíjecích stanic</w:t>
      </w:r>
      <w:r w:rsidR="0005500F">
        <w:t xml:space="preserve"> o výkonu 62 MW</w:t>
      </w:r>
      <w:r>
        <w:t>.</w:t>
      </w:r>
      <w:r w:rsidR="0005500F">
        <w:t xml:space="preserve"> Cíl</w:t>
      </w:r>
      <w:r w:rsidR="00293618">
        <w:t>e</w:t>
      </w:r>
      <w:r w:rsidR="0005500F">
        <w:t xml:space="preserve"> pro dobíjecí stanice tak byl</w:t>
      </w:r>
      <w:r w:rsidR="00293618">
        <w:t>y</w:t>
      </w:r>
      <w:r w:rsidR="0005500F">
        <w:t xml:space="preserve"> splněn</w:t>
      </w:r>
      <w:r w:rsidR="00293618">
        <w:t>y</w:t>
      </w:r>
      <w:r w:rsidR="0005500F">
        <w:t>.</w:t>
      </w:r>
      <w:r>
        <w:t xml:space="preserve"> K 30. září 2025 bylo v ČR celkem 3 258 veřejně </w:t>
      </w:r>
      <w:r>
        <w:lastRenderedPageBreak/>
        <w:t xml:space="preserve">přístupných dobíjecích stanic, podpořené dobíjecí stanice tak tvoří </w:t>
      </w:r>
      <w:r w:rsidR="00E86008">
        <w:t xml:space="preserve">téměř </w:t>
      </w:r>
      <w:r>
        <w:t>41 % z celkového počtu veřejně přístupných dobíjecích stanic</w:t>
      </w:r>
      <w:r w:rsidR="004C01F5">
        <w:t>.</w:t>
      </w:r>
    </w:p>
    <w:p w14:paraId="362164D0" w14:textId="77777777" w:rsidR="00BD622B" w:rsidRDefault="00BD622B" w:rsidP="003F00EC">
      <w:pPr>
        <w:spacing w:after="0"/>
        <w:rPr>
          <w:b/>
          <w:bCs/>
          <w:lang w:eastAsia="cs-CZ"/>
        </w:rPr>
      </w:pPr>
    </w:p>
    <w:p w14:paraId="5D1F2234" w14:textId="081E9BF1" w:rsidR="006F1A49" w:rsidRDefault="004C01F5" w:rsidP="003F00EC">
      <w:pPr>
        <w:spacing w:after="0"/>
        <w:rPr>
          <w:b/>
          <w:bCs/>
          <w:lang w:eastAsia="cs-CZ"/>
        </w:rPr>
      </w:pPr>
      <w:r w:rsidRPr="004C01F5">
        <w:rPr>
          <w:b/>
          <w:bCs/>
          <w:lang w:eastAsia="cs-CZ"/>
        </w:rPr>
        <w:t>Žádný projekt z</w:t>
      </w:r>
      <w:r w:rsidR="00293618">
        <w:rPr>
          <w:b/>
          <w:bCs/>
          <w:lang w:eastAsia="cs-CZ"/>
        </w:rPr>
        <w:t xml:space="preserve"> operačního programu </w:t>
      </w:r>
      <w:r w:rsidR="00293618" w:rsidRPr="004733C4">
        <w:rPr>
          <w:b/>
          <w:bCs/>
          <w:i/>
          <w:iCs/>
          <w:lang w:eastAsia="cs-CZ"/>
        </w:rPr>
        <w:t>Doprava 2021</w:t>
      </w:r>
      <w:r w:rsidR="00083171" w:rsidRPr="004733C4">
        <w:rPr>
          <w:rFonts w:cstheme="minorHAnsi"/>
          <w:b/>
          <w:bCs/>
          <w:i/>
          <w:iCs/>
        </w:rPr>
        <w:t>–</w:t>
      </w:r>
      <w:r w:rsidR="00293618" w:rsidRPr="004733C4">
        <w:rPr>
          <w:b/>
          <w:bCs/>
          <w:i/>
          <w:iCs/>
          <w:lang w:eastAsia="cs-CZ"/>
        </w:rPr>
        <w:t>2027</w:t>
      </w:r>
      <w:r w:rsidRPr="004C01F5">
        <w:rPr>
          <w:b/>
          <w:bCs/>
          <w:lang w:eastAsia="cs-CZ"/>
        </w:rPr>
        <w:t xml:space="preserve"> zatím nebyl dokončen</w:t>
      </w:r>
    </w:p>
    <w:p w14:paraId="6567BA60" w14:textId="77777777" w:rsidR="004C01F5" w:rsidRPr="004C01F5" w:rsidRDefault="004C01F5" w:rsidP="004733C4">
      <w:pPr>
        <w:pStyle w:val="Nadpis2"/>
        <w:widowControl/>
        <w:numPr>
          <w:ilvl w:val="0"/>
          <w:numId w:val="0"/>
        </w:numPr>
        <w:spacing w:before="0"/>
        <w:ind w:left="567"/>
      </w:pPr>
    </w:p>
    <w:p w14:paraId="7678DD6F" w14:textId="46B8EC7B" w:rsidR="002E6625" w:rsidRDefault="0005500F" w:rsidP="003F00EC">
      <w:pPr>
        <w:pStyle w:val="Nadpis2"/>
        <w:widowControl/>
        <w:spacing w:before="0" w:line="256" w:lineRule="auto"/>
      </w:pPr>
      <w:r>
        <w:t xml:space="preserve">V rámci prioritní osy 3 </w:t>
      </w:r>
      <w:r w:rsidRPr="0005500F">
        <w:rPr>
          <w:i/>
          <w:iCs/>
        </w:rPr>
        <w:t>Udržitelná městská mobilita (a alternativní paliva</w:t>
      </w:r>
      <w:r>
        <w:t>)</w:t>
      </w:r>
      <w:r w:rsidR="002D3530">
        <w:t xml:space="preserve"> </w:t>
      </w:r>
      <w:r w:rsidR="00293618">
        <w:t xml:space="preserve">operačního programu </w:t>
      </w:r>
      <w:r w:rsidR="00293618" w:rsidRPr="004733C4">
        <w:rPr>
          <w:i/>
          <w:iCs/>
        </w:rPr>
        <w:t>Doprava 2021</w:t>
      </w:r>
      <w:r w:rsidR="00083171" w:rsidRPr="004733C4">
        <w:rPr>
          <w:rFonts w:cstheme="minorHAnsi"/>
          <w:i/>
          <w:iCs/>
        </w:rPr>
        <w:t>–</w:t>
      </w:r>
      <w:r w:rsidR="00293618" w:rsidRPr="004733C4">
        <w:rPr>
          <w:i/>
          <w:iCs/>
        </w:rPr>
        <w:t>2027</w:t>
      </w:r>
      <w:r w:rsidR="002D3530">
        <w:t xml:space="preserve"> je v programu </w:t>
      </w:r>
      <w:r w:rsidR="00E86008" w:rsidRPr="004733C4">
        <w:rPr>
          <w:i/>
          <w:iCs/>
        </w:rPr>
        <w:t>P</w:t>
      </w:r>
      <w:r w:rsidR="002D3530" w:rsidRPr="004733C4">
        <w:rPr>
          <w:i/>
          <w:iCs/>
        </w:rPr>
        <w:t>odpor</w:t>
      </w:r>
      <w:r w:rsidR="00E86008" w:rsidRPr="004733C4">
        <w:rPr>
          <w:i/>
          <w:iCs/>
        </w:rPr>
        <w:t>a</w:t>
      </w:r>
      <w:r w:rsidR="002D3530" w:rsidRPr="004733C4">
        <w:rPr>
          <w:i/>
          <w:iCs/>
        </w:rPr>
        <w:t xml:space="preserve"> infastruktury pro alternativní paliva</w:t>
      </w:r>
      <w:r w:rsidR="002D3530">
        <w:t xml:space="preserve"> podporován rozvoj veřejně dostupné infrastruktury pro dobíjení elektrických vozidel a plnicí vodíkové stanice.</w:t>
      </w:r>
      <w:r w:rsidR="002E6625">
        <w:t xml:space="preserve"> Na podporu je alokováno 6 mld. Kč.</w:t>
      </w:r>
      <w:r w:rsidR="002D3530">
        <w:t xml:space="preserve"> Podporou má být </w:t>
      </w:r>
      <w:r w:rsidR="00340BF7">
        <w:t>k 31. prosinci 2029</w:t>
      </w:r>
      <w:r w:rsidR="00E86008">
        <w:t xml:space="preserve"> dosaženo</w:t>
      </w:r>
      <w:r w:rsidR="002D3530">
        <w:t xml:space="preserve"> instalování 17 000 dobíjecích a plnicích stanic</w:t>
      </w:r>
      <w:r w:rsidR="002D3530">
        <w:rPr>
          <w:rStyle w:val="Znakapoznpodarou"/>
        </w:rPr>
        <w:footnoteReference w:id="29"/>
      </w:r>
      <w:r w:rsidR="002D3530">
        <w:t xml:space="preserve"> s výkonem dobíjecích stanic 140 MW a</w:t>
      </w:r>
      <w:r w:rsidR="002E6625">
        <w:t xml:space="preserve"> </w:t>
      </w:r>
      <w:r w:rsidR="002D3530">
        <w:t xml:space="preserve">výkonem plnicích stanic 720 kg/hod. </w:t>
      </w:r>
      <w:r w:rsidR="002E6625">
        <w:t>Pro podporu byl stanoven milník</w:t>
      </w:r>
      <w:r w:rsidR="00083171">
        <w:t>:</w:t>
      </w:r>
      <w:r w:rsidR="002E6625">
        <w:t xml:space="preserve"> k 31. prosinci 2024 </w:t>
      </w:r>
      <w:r w:rsidR="00E86008">
        <w:t>mělo být vybudováno</w:t>
      </w:r>
      <w:r w:rsidR="002E6625">
        <w:t xml:space="preserve"> 500 </w:t>
      </w:r>
      <w:r w:rsidR="006B23F8">
        <w:t xml:space="preserve">provozuschopných </w:t>
      </w:r>
      <w:r w:rsidR="002E6625">
        <w:t>dobíjecích stanic.</w:t>
      </w:r>
    </w:p>
    <w:p w14:paraId="011F5FE1" w14:textId="77777777" w:rsidR="006F1A49" w:rsidRPr="006F1A49" w:rsidRDefault="006F1A49" w:rsidP="003F00EC">
      <w:pPr>
        <w:spacing w:after="0"/>
        <w:rPr>
          <w:lang w:eastAsia="cs-CZ"/>
        </w:rPr>
      </w:pPr>
    </w:p>
    <w:p w14:paraId="3C93F3FB" w14:textId="3DE83697" w:rsidR="002E6625" w:rsidRDefault="002E6625" w:rsidP="003F00EC">
      <w:pPr>
        <w:pStyle w:val="Nadpis2"/>
        <w:widowControl/>
        <w:spacing w:before="0" w:line="256" w:lineRule="auto"/>
      </w:pPr>
      <w:r>
        <w:t xml:space="preserve">MD do doby ukončení kontroly NKÚ vypsalo celkem 22 výzev, z toho sedm výzev na vodíkové plnicí stanice, šest výzev na rychlodobíjecí stanice pro osobní automobily, tři výzvy na dobíjecí stanice, tři výzvy na rychlodobíjecí stanice pro nákladní vozidla a tři výzvy na dobíjecí stanice s bateriovým úložištěm. V těchto výzvách bylo do doby ukončení kontroly NKÚ zaregistrováno celkem 116 projektů s celkovým objemem podpory 5,5 mld. Kč, z toho 56 projektů mělo vydáno rozhodnutí o poskytnutí dotace s celkovým objemem podpory 2,6 mld. Kč. Dva podpořené projekty </w:t>
      </w:r>
      <w:r w:rsidR="00083171">
        <w:t xml:space="preserve">jsou zaměřeny na </w:t>
      </w:r>
      <w:r>
        <w:t>vybudování celkem dvou plnicích stanic na vodík, zbývající projekty mají podpořit vybudování celkem 3 916 dobíjecích stanic s</w:t>
      </w:r>
      <w:r w:rsidR="00323785">
        <w:t xml:space="preserve"> </w:t>
      </w:r>
      <w:r>
        <w:t xml:space="preserve">plánovaným výkonem 399 MW. </w:t>
      </w:r>
      <w:r w:rsidR="00323785">
        <w:br/>
      </w:r>
      <w:r>
        <w:t>16 projektů je v realizaci.</w:t>
      </w:r>
    </w:p>
    <w:p w14:paraId="4CC645B0" w14:textId="77777777" w:rsidR="006F1A49" w:rsidRPr="006F1A49" w:rsidRDefault="006F1A49" w:rsidP="003F00EC">
      <w:pPr>
        <w:spacing w:after="0"/>
        <w:rPr>
          <w:lang w:eastAsia="cs-CZ"/>
        </w:rPr>
      </w:pPr>
    </w:p>
    <w:p w14:paraId="55076EA6" w14:textId="11D58524" w:rsidR="006F1A49" w:rsidRDefault="002E6625" w:rsidP="003F00EC">
      <w:pPr>
        <w:pStyle w:val="Nadpis2"/>
        <w:widowControl/>
        <w:spacing w:before="0" w:line="256" w:lineRule="auto"/>
      </w:pPr>
      <w:r>
        <w:t xml:space="preserve">Do doby ukončení kontroly NKÚ nebyl dokončen ani jeden </w:t>
      </w:r>
      <w:r w:rsidR="00323785">
        <w:t xml:space="preserve">z těchto </w:t>
      </w:r>
      <w:r>
        <w:t>projekt</w:t>
      </w:r>
      <w:r w:rsidR="00323785">
        <w:t>ů</w:t>
      </w:r>
      <w:r>
        <w:t xml:space="preserve"> a nebyly proplaceny žádné peněžní prostředky. MD nesplnilo milník k</w:t>
      </w:r>
      <w:r w:rsidR="00323785">
        <w:t xml:space="preserve"> </w:t>
      </w:r>
      <w:r>
        <w:t>31. prosinci 2024 vybudovat 500 dobíjecích stanic.</w:t>
      </w:r>
      <w:r w:rsidR="00042C39">
        <w:t xml:space="preserve"> Důvodem nesplnění milníku byla náročnost přípravy jednotlivých projektů a jejich pomalá realizace. </w:t>
      </w:r>
      <w:r w:rsidR="007C040B">
        <w:t>Riziko nesplnění cílů pro rok 2029 je</w:t>
      </w:r>
      <w:r w:rsidR="008D6B3E">
        <w:t xml:space="preserve"> podle NKÚ</w:t>
      </w:r>
      <w:r w:rsidR="007C040B">
        <w:t xml:space="preserve"> nízké, zaregistrované projekty dosahují 91 % plánované alokace</w:t>
      </w:r>
      <w:r w:rsidR="00742F75">
        <w:t>.</w:t>
      </w:r>
      <w:r w:rsidR="007C040B">
        <w:t xml:space="preserve"> </w:t>
      </w:r>
      <w:r w:rsidR="00742F75">
        <w:t>P</w:t>
      </w:r>
      <w:r w:rsidR="007C040B">
        <w:t>rojekty s platným rozhodnutím o poskytnutí dotace v případě výkonu dobíjecích stanic téměř trojnásobně přesahují stanovený cíl pro rok 2029.</w:t>
      </w:r>
    </w:p>
    <w:p w14:paraId="1AE59264" w14:textId="77777777" w:rsidR="004C01F5" w:rsidRPr="004C01F5" w:rsidRDefault="004C01F5" w:rsidP="003F00EC">
      <w:pPr>
        <w:spacing w:after="0"/>
        <w:rPr>
          <w:lang w:eastAsia="cs-CZ"/>
        </w:rPr>
      </w:pPr>
    </w:p>
    <w:p w14:paraId="30BCD0ED" w14:textId="29987E70" w:rsidR="006F1A49" w:rsidRDefault="004C01F5" w:rsidP="003F00EC">
      <w:pPr>
        <w:spacing w:after="0"/>
        <w:rPr>
          <w:b/>
          <w:bCs/>
          <w:lang w:eastAsia="cs-CZ"/>
        </w:rPr>
      </w:pPr>
      <w:r w:rsidRPr="004C01F5">
        <w:rPr>
          <w:b/>
          <w:bCs/>
          <w:lang w:eastAsia="cs-CZ"/>
        </w:rPr>
        <w:t>Nezpůsobilé výdaje příjemce podpory v průběhu kontroly vrátil</w:t>
      </w:r>
    </w:p>
    <w:p w14:paraId="6C3C7815" w14:textId="77777777" w:rsidR="004C01F5" w:rsidRPr="004C01F5" w:rsidRDefault="004C01F5" w:rsidP="004733C4">
      <w:pPr>
        <w:pStyle w:val="Nadpis2"/>
        <w:widowControl/>
        <w:numPr>
          <w:ilvl w:val="0"/>
          <w:numId w:val="0"/>
        </w:numPr>
        <w:spacing w:before="0"/>
        <w:ind w:left="567"/>
      </w:pPr>
    </w:p>
    <w:p w14:paraId="016BB85E" w14:textId="47615E17" w:rsidR="006F1A49" w:rsidRDefault="006F1A49" w:rsidP="004733C4">
      <w:pPr>
        <w:pStyle w:val="Nadpis2"/>
        <w:widowControl/>
        <w:spacing w:before="0"/>
      </w:pPr>
      <w:r>
        <w:t>NKÚ prověřil realizaci a přínosy osmi vybraných projektů, které realizovalo celkem šest příjemců</w:t>
      </w:r>
      <w:r w:rsidR="00070253">
        <w:t xml:space="preserve"> podpory</w:t>
      </w:r>
      <w:r>
        <w:t xml:space="preserve"> v rámci programu </w:t>
      </w:r>
      <w:r w:rsidRPr="00A73359">
        <w:rPr>
          <w:i/>
          <w:iCs/>
        </w:rPr>
        <w:t>Podpora infrastruktury pro alternativní paliva</w:t>
      </w:r>
      <w:r>
        <w:t xml:space="preserve"> z</w:t>
      </w:r>
      <w:r w:rsidR="00293618">
        <w:t xml:space="preserve"> operačního programu </w:t>
      </w:r>
      <w:r w:rsidR="00293618" w:rsidRPr="004733C4">
        <w:rPr>
          <w:i/>
          <w:iCs/>
        </w:rPr>
        <w:t>Doprava 2014</w:t>
      </w:r>
      <w:r w:rsidR="00323785" w:rsidRPr="004733C4">
        <w:rPr>
          <w:rFonts w:cstheme="minorHAnsi"/>
          <w:i/>
          <w:iCs/>
        </w:rPr>
        <w:t>–</w:t>
      </w:r>
      <w:r w:rsidR="00293618" w:rsidRPr="004733C4">
        <w:rPr>
          <w:i/>
          <w:iCs/>
        </w:rPr>
        <w:t>2020</w:t>
      </w:r>
      <w:r>
        <w:t xml:space="preserve">. </w:t>
      </w:r>
      <w:r w:rsidR="00070253">
        <w:t xml:space="preserve">Ve dvou projektech byly postaveny celkem dvě plnicí vodíkové stanice, v dalších dvou projektech bylo postaveno pět plnicích LNG stanic a ve zbývajících čtyřech projektech bylo na 337 lokalitách vybudováno celkem 504 dobíjecích stanic. </w:t>
      </w:r>
      <w:r w:rsidR="002D0486">
        <w:t xml:space="preserve">Seznam kontrolovaných projektů je uveden v příloze č. </w:t>
      </w:r>
      <w:r w:rsidR="002627E0">
        <w:t>2</w:t>
      </w:r>
      <w:r w:rsidR="005822E0">
        <w:t>.</w:t>
      </w:r>
    </w:p>
    <w:p w14:paraId="01613BF7" w14:textId="77777777" w:rsidR="00600F6A" w:rsidRDefault="00600F6A" w:rsidP="003F00EC">
      <w:pPr>
        <w:spacing w:after="0"/>
        <w:rPr>
          <w:lang w:eastAsia="cs-CZ"/>
        </w:rPr>
      </w:pPr>
    </w:p>
    <w:p w14:paraId="4D4D6A69" w14:textId="6D315504" w:rsidR="005822E0" w:rsidRDefault="005822E0" w:rsidP="004733C4">
      <w:pPr>
        <w:pStyle w:val="Nadpis2"/>
        <w:widowControl/>
        <w:spacing w:before="0"/>
      </w:pPr>
      <w:r>
        <w:lastRenderedPageBreak/>
        <w:t xml:space="preserve">U projektů na vybudování dobíjecích stanic ověřil </w:t>
      </w:r>
      <w:r w:rsidR="00323785">
        <w:t xml:space="preserve">NKÚ </w:t>
      </w:r>
      <w:r>
        <w:t xml:space="preserve">jejich využití. </w:t>
      </w:r>
      <w:r w:rsidR="00BB0CE1">
        <w:t xml:space="preserve">Z dat uvedených v příloze č. </w:t>
      </w:r>
      <w:r w:rsidR="002627E0">
        <w:t>3</w:t>
      </w:r>
      <w:r w:rsidR="00BB0CE1">
        <w:t xml:space="preserve"> vyplývá, že vytížení dobíjecích stanic na jednotlivých lokalitách se od roku 2022 do srpna 2025 postupně zvyšovalo. </w:t>
      </w:r>
      <w:r w:rsidR="004C01F5">
        <w:t>Nárůst</w:t>
      </w:r>
      <w:r w:rsidR="00BB0CE1">
        <w:t xml:space="preserve"> využívání dobíjecích stanic u některých projektů mezi lety 2023 a 2024 je dán tím, že v průběhu roku 2023 byly tři ze čtyř projektů teprve dokončeny a od roku 2024 již byly v provozu všechny dobíjecí stanice.</w:t>
      </w:r>
    </w:p>
    <w:p w14:paraId="1AFA1030" w14:textId="77777777" w:rsidR="004C01F5" w:rsidRPr="004C01F5" w:rsidRDefault="004C01F5" w:rsidP="003F00EC">
      <w:pPr>
        <w:spacing w:after="0"/>
        <w:rPr>
          <w:lang w:eastAsia="cs-CZ"/>
        </w:rPr>
      </w:pPr>
    </w:p>
    <w:p w14:paraId="3E09C9E3" w14:textId="229CD354" w:rsidR="00600F6A" w:rsidRDefault="00323785" w:rsidP="004733C4">
      <w:pPr>
        <w:pStyle w:val="Nadpis2"/>
        <w:widowControl/>
        <w:spacing w:before="0"/>
      </w:pPr>
      <w:r>
        <w:t>NKÚ u</w:t>
      </w:r>
      <w:r w:rsidR="00600F6A">
        <w:t xml:space="preserve"> jednoho projektu dobíjecích stanic zjistil, že příjemce podpory uzavřel se svým dodavatelem smlouvu s</w:t>
      </w:r>
      <w:r w:rsidR="00796363">
        <w:t xml:space="preserve"> </w:t>
      </w:r>
      <w:r w:rsidR="00600F6A">
        <w:t xml:space="preserve">vyšší kupní cenou za dobíjecí stanici, než jaká vzešla z výběrového řízení. Příjemce podpory </w:t>
      </w:r>
      <w:r>
        <w:t xml:space="preserve">zahrnul </w:t>
      </w:r>
      <w:r w:rsidR="00600F6A">
        <w:t xml:space="preserve">do ceny dobíjecí stanice také cenu její pravidelné údržby, kterou však měl podle pravidel uvádět odděleně, neboť byla nezpůsobilým výdajem. Takto chybně uvedenou cenu následně příjemce podpory uplatnil v žádostech o platbu v plné výši jako způsobilý výdaj. MD v rámci své kontrolní činnosti tuto chybu neodhalilo a </w:t>
      </w:r>
      <w:r>
        <w:t>pro</w:t>
      </w:r>
      <w:r w:rsidR="00600F6A">
        <w:t xml:space="preserve">platilo příjemci podpory nezpůsobilé výdaje v celkové výši 358 531 Kč. NKÚ v průběhu kontroly na tuto chybu upozornil příjemce podpory i MD a příjemce podpory do doby ukončení kontroly NKÚ </w:t>
      </w:r>
      <w:r w:rsidR="0018228C">
        <w:t xml:space="preserve">neoprávněně vyplacenou </w:t>
      </w:r>
      <w:r w:rsidR="00600F6A">
        <w:t xml:space="preserve">částku </w:t>
      </w:r>
      <w:r>
        <w:t>Ministerstvu dopravy</w:t>
      </w:r>
      <w:r w:rsidR="00600F6A">
        <w:t xml:space="preserve"> vrátil.</w:t>
      </w:r>
    </w:p>
    <w:p w14:paraId="31A2D7CD" w14:textId="77777777" w:rsidR="0018228C" w:rsidRPr="005F0BE7" w:rsidRDefault="0018228C" w:rsidP="003F00EC">
      <w:pPr>
        <w:rPr>
          <w:lang w:eastAsia="cs-CZ"/>
        </w:rPr>
      </w:pPr>
    </w:p>
    <w:p w14:paraId="208951D2" w14:textId="63533322" w:rsidR="006F1A49" w:rsidRPr="006F1A49" w:rsidRDefault="006F1A49" w:rsidP="003F00EC">
      <w:pPr>
        <w:pStyle w:val="Nadpis2"/>
        <w:widowControl/>
        <w:spacing w:before="0" w:line="256" w:lineRule="auto"/>
      </w:pPr>
      <w:r w:rsidRPr="006F1A49">
        <w:t xml:space="preserve">U API byly zjištěny případy, kdy při </w:t>
      </w:r>
      <w:r w:rsidR="0018228C">
        <w:t>administraci</w:t>
      </w:r>
      <w:r w:rsidR="0018228C" w:rsidRPr="006F1A49">
        <w:t xml:space="preserve"> </w:t>
      </w:r>
      <w:r w:rsidRPr="006F1A49">
        <w:t>OP</w:t>
      </w:r>
      <w:r w:rsidR="00360214">
        <w:t xml:space="preserve"> </w:t>
      </w:r>
      <w:r w:rsidRPr="006F1A49">
        <w:t>PIK nedodržela stanovené termíny pro hodnocení žádostí o podporu, pro kontrolu žádostí o platbu a termíny pro kontrolu schvalování zpráv o průběhu</w:t>
      </w:r>
      <w:r w:rsidR="0018228C">
        <w:t xml:space="preserve"> realizace</w:t>
      </w:r>
      <w:r w:rsidRPr="006F1A49">
        <w:t xml:space="preserve"> projektů. Zjištěny byly i chyby u provádění ekonomického hodnocení projektů, u kontroly statusu malého a středního podniku a</w:t>
      </w:r>
      <w:r w:rsidR="00730241">
        <w:t> </w:t>
      </w:r>
      <w:r w:rsidRPr="006F1A49">
        <w:t xml:space="preserve">kontroly úplnosti dokladů </w:t>
      </w:r>
      <w:r w:rsidR="0018228C">
        <w:t xml:space="preserve">předkládaných ke zprávám příjemců. </w:t>
      </w:r>
      <w:r w:rsidRPr="006F1A49">
        <w:t>Pochybení neměla vliv na vynaložené peněžní prostředky. Některé nedostatky API odstranila v průběhu kontroly</w:t>
      </w:r>
      <w:r w:rsidR="00C053D3">
        <w:t xml:space="preserve"> NKÚ</w:t>
      </w:r>
      <w:r w:rsidRPr="006F1A49">
        <w:t>.</w:t>
      </w:r>
    </w:p>
    <w:p w14:paraId="0EA16E0C" w14:textId="77777777" w:rsidR="004C01F5" w:rsidRDefault="004C01F5" w:rsidP="003F00EC">
      <w:pPr>
        <w:pStyle w:val="Nadpis2"/>
        <w:widowControl/>
        <w:numPr>
          <w:ilvl w:val="0"/>
          <w:numId w:val="0"/>
        </w:numPr>
        <w:spacing w:before="0" w:line="256" w:lineRule="auto"/>
        <w:ind w:left="567"/>
      </w:pPr>
    </w:p>
    <w:p w14:paraId="1CAC76B4" w14:textId="77777777" w:rsidR="00960EA7" w:rsidRDefault="00960EA7" w:rsidP="003F00EC">
      <w:pPr>
        <w:rPr>
          <w:lang w:eastAsia="cs-CZ"/>
        </w:rPr>
      </w:pPr>
    </w:p>
    <w:p w14:paraId="4129C455" w14:textId="77777777" w:rsidR="00960EA7" w:rsidRPr="00960EA7" w:rsidRDefault="00960EA7" w:rsidP="004733C4">
      <w:pPr>
        <w:pStyle w:val="Nadpis2"/>
        <w:widowControl/>
        <w:numPr>
          <w:ilvl w:val="0"/>
          <w:numId w:val="0"/>
        </w:numPr>
        <w:ind w:left="567"/>
      </w:pPr>
    </w:p>
    <w:bookmarkEnd w:id="8"/>
    <w:bookmarkEnd w:id="10"/>
    <w:p w14:paraId="5482FFD7" w14:textId="77777777" w:rsidR="00082CB6" w:rsidRDefault="00082CB6">
      <w:pPr>
        <w:jc w:val="left"/>
        <w:rPr>
          <w:rFonts w:eastAsiaTheme="majorEastAsia" w:cstheme="majorBidi"/>
          <w:b/>
          <w:szCs w:val="26"/>
          <w:lang w:eastAsia="cs-CZ"/>
        </w:rPr>
      </w:pPr>
      <w:r>
        <w:rPr>
          <w:b/>
        </w:rPr>
        <w:br w:type="page"/>
      </w:r>
    </w:p>
    <w:p w14:paraId="59DCD91C" w14:textId="7C2FE577" w:rsidR="00C4198F" w:rsidRPr="00F33F89" w:rsidRDefault="0086173D">
      <w:pPr>
        <w:pStyle w:val="Nadpis2"/>
        <w:widowControl/>
        <w:numPr>
          <w:ilvl w:val="0"/>
          <w:numId w:val="0"/>
        </w:numPr>
        <w:spacing w:before="0"/>
        <w:rPr>
          <w:b/>
        </w:rPr>
      </w:pPr>
      <w:r>
        <w:rPr>
          <w:b/>
        </w:rPr>
        <w:lastRenderedPageBreak/>
        <w:t>S</w:t>
      </w:r>
      <w:r w:rsidR="00C4198F" w:rsidRPr="00F33F89">
        <w:rPr>
          <w:b/>
        </w:rPr>
        <w:t>eznam zkratek</w:t>
      </w:r>
    </w:p>
    <w:p w14:paraId="104D854E" w14:textId="77777777" w:rsidR="00D46E0F" w:rsidRDefault="00D46E0F" w:rsidP="003F00EC">
      <w:pPr>
        <w:spacing w:after="0"/>
        <w:jc w:val="left"/>
      </w:pPr>
    </w:p>
    <w:p w14:paraId="7AD4C42F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API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Agentura pro podnikání a inovace</w:t>
      </w:r>
    </w:p>
    <w:p w14:paraId="4F773D8D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bioCNG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biologický stlačený zemní plyn (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biological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 xml:space="preserve"> 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Compressed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 xml:space="preserve"> Natural 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Gas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>)</w:t>
      </w:r>
    </w:p>
    <w:p w14:paraId="2C813B71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bioLNG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biologický zkapalněný ropný plyn (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biological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 xml:space="preserve"> 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Liquified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 xml:space="preserve"> Natural 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Gas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>)</w:t>
      </w:r>
    </w:p>
    <w:p w14:paraId="74D22322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CNG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stlačený zemní plyn (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Compressed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 xml:space="preserve"> Natural 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Gas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>)</w:t>
      </w:r>
    </w:p>
    <w:p w14:paraId="3652FEC0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ČR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Česká republika</w:t>
      </w:r>
    </w:p>
    <w:p w14:paraId="7B08BBD8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DS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dobíjecí stanice</w:t>
      </w:r>
    </w:p>
    <w:p w14:paraId="094E8AC3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EU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Evropská unie</w:t>
      </w:r>
    </w:p>
    <w:p w14:paraId="252E0C85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H</w:t>
      </w:r>
      <w:r w:rsidRPr="00F00691">
        <w:rPr>
          <w:rFonts w:ascii="Calibri" w:eastAsia="Aptos" w:hAnsi="Calibri" w:cs="Times New Roman"/>
          <w:kern w:val="2"/>
          <w:vertAlign w:val="subscript"/>
          <w14:ligatures w14:val="standardContextual"/>
        </w:rPr>
        <w:t>2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vodík</w:t>
      </w:r>
    </w:p>
    <w:p w14:paraId="6239EA27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IČ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identifikační číslo</w:t>
      </w:r>
    </w:p>
    <w:p w14:paraId="7464AA18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kW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kilowatt</w:t>
      </w:r>
    </w:p>
    <w:p w14:paraId="54DE4664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LNG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zkapalněný zemní plyn (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Liquified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 xml:space="preserve"> Natural 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Gas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>)</w:t>
      </w:r>
    </w:p>
    <w:p w14:paraId="6E3F44EA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LPG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zkapalněný ropný plyn (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Liquified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 xml:space="preserve"> 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Petroleum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 xml:space="preserve"> 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Gas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>)</w:t>
      </w:r>
    </w:p>
    <w:p w14:paraId="0C43B601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MD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Ministerstvo dopravy</w:t>
      </w:r>
    </w:p>
    <w:p w14:paraId="1CA9F48B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MPO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Ministerstvo průmyslu a obchodu</w:t>
      </w:r>
    </w:p>
    <w:p w14:paraId="7B90AC7D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MW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megawatt</w:t>
      </w:r>
    </w:p>
    <w:p w14:paraId="783641E0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NAP CM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</w:r>
      <w:r w:rsidRPr="004733C4">
        <w:rPr>
          <w:rFonts w:ascii="Calibri" w:eastAsia="Aptos" w:hAnsi="Calibri" w:cs="Times New Roman"/>
          <w:i/>
          <w:iCs/>
          <w:kern w:val="2"/>
          <w14:ligatures w14:val="standardContextual"/>
        </w:rPr>
        <w:t>Národní akční plán čisté mobility</w:t>
      </w:r>
    </w:p>
    <w:p w14:paraId="548A21FD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nařízení AFIR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nařízení Evropského parlamentu a Rady (EU) č. 2023/1804 ze dne 13. září 2023, o zavádění infrastruktury pro alternativní paliva a o zrušení směrnice 2014/94/EU</w:t>
      </w:r>
    </w:p>
    <w:p w14:paraId="5246CB3D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NKÚ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Nejvyšší kontrolní úřad</w:t>
      </w:r>
    </w:p>
    <w:p w14:paraId="00EFC552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NPO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</w:r>
      <w:r w:rsidRPr="004733C4">
        <w:rPr>
          <w:rFonts w:ascii="Calibri" w:eastAsia="Aptos" w:hAnsi="Calibri" w:cs="Times New Roman"/>
          <w:i/>
          <w:iCs/>
          <w:kern w:val="2"/>
          <w14:ligatures w14:val="standardContextual"/>
        </w:rPr>
        <w:t>Národní plán obnovy</w:t>
      </w:r>
    </w:p>
    <w:p w14:paraId="09718C52" w14:textId="0D10B35F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OP PIK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</w:r>
      <w:r>
        <w:rPr>
          <w:rFonts w:ascii="Calibri" w:eastAsia="Aptos" w:hAnsi="Calibri" w:cs="Times New Roman"/>
          <w:kern w:val="2"/>
          <w14:ligatures w14:val="standardContextual"/>
        </w:rPr>
        <w:t>o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 xml:space="preserve">perační program </w:t>
      </w:r>
      <w:r w:rsidRPr="004733C4">
        <w:rPr>
          <w:rFonts w:ascii="Calibri" w:eastAsia="Aptos" w:hAnsi="Calibri" w:cs="Times New Roman"/>
          <w:i/>
          <w:iCs/>
          <w:kern w:val="2"/>
          <w14:ligatures w14:val="standardContextual"/>
        </w:rPr>
        <w:t>Podnikání a inovace pro konkurenceschopnost 2014</w:t>
      </w:r>
      <w:r>
        <w:rPr>
          <w:rFonts w:ascii="Calibri" w:eastAsia="Aptos" w:hAnsi="Calibri" w:cs="Calibri"/>
          <w:i/>
          <w:iCs/>
          <w:kern w:val="2"/>
          <w14:ligatures w14:val="standardContextual"/>
        </w:rPr>
        <w:t>–</w:t>
      </w:r>
      <w:r w:rsidRPr="004733C4">
        <w:rPr>
          <w:rFonts w:ascii="Calibri" w:eastAsia="Aptos" w:hAnsi="Calibri" w:cs="Times New Roman"/>
          <w:i/>
          <w:iCs/>
          <w:kern w:val="2"/>
          <w14:ligatures w14:val="standardContextual"/>
        </w:rPr>
        <w:t>2020</w:t>
      </w:r>
    </w:p>
    <w:p w14:paraId="6420DBBD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RoPD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rozhodnutí o poskytnutí dotace</w:t>
      </w:r>
    </w:p>
    <w:p w14:paraId="5B9ABE9B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ŘO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řídicí orgán</w:t>
      </w:r>
    </w:p>
    <w:p w14:paraId="5A8F39D7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SC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specifický cíl</w:t>
      </w:r>
    </w:p>
    <w:p w14:paraId="43AADEC6" w14:textId="6FC6B092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směrnice AFID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směrnice Evropského parlamentu a Rady 2014/94/EU ze dne 22. října 2014</w:t>
      </w:r>
      <w:r>
        <w:rPr>
          <w:rFonts w:ascii="Calibri" w:eastAsia="Aptos" w:hAnsi="Calibri" w:cs="Times New Roman"/>
          <w:kern w:val="2"/>
          <w14:ligatures w14:val="standardContextual"/>
        </w:rPr>
        <w:t>,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 xml:space="preserve"> o zavádění infrastruktury pro alternativní paliva</w:t>
      </w:r>
    </w:p>
    <w:p w14:paraId="0D311A77" w14:textId="77777777" w:rsidR="00F00691" w:rsidRPr="00F00691" w:rsidRDefault="00F00691" w:rsidP="00F00691">
      <w:pPr>
        <w:spacing w:after="8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TEN-T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transevropská dopravní síť (Trans-</w:t>
      </w:r>
      <w:proofErr w:type="spellStart"/>
      <w:r w:rsidRPr="00F00691">
        <w:rPr>
          <w:rFonts w:ascii="Calibri" w:eastAsia="Aptos" w:hAnsi="Calibri" w:cs="Times New Roman"/>
          <w:kern w:val="2"/>
          <w14:ligatures w14:val="standardContextual"/>
        </w:rPr>
        <w:t>European</w:t>
      </w:r>
      <w:proofErr w:type="spellEnd"/>
      <w:r w:rsidRPr="00F00691">
        <w:rPr>
          <w:rFonts w:ascii="Calibri" w:eastAsia="Aptos" w:hAnsi="Calibri" w:cs="Times New Roman"/>
          <w:kern w:val="2"/>
          <w14:ligatures w14:val="standardContextual"/>
        </w:rPr>
        <w:t xml:space="preserve"> Transport Network)</w:t>
      </w:r>
    </w:p>
    <w:p w14:paraId="6821DEA2" w14:textId="77777777" w:rsidR="00F00691" w:rsidRDefault="00F00691" w:rsidP="00F00691">
      <w:pPr>
        <w:spacing w:after="0"/>
        <w:ind w:left="2268" w:hanging="2268"/>
        <w:jc w:val="left"/>
        <w:rPr>
          <w:rFonts w:ascii="Calibri" w:eastAsia="Aptos" w:hAnsi="Calibri" w:cs="Times New Roman"/>
          <w:kern w:val="2"/>
          <w14:ligatures w14:val="standardContextual"/>
        </w:rPr>
      </w:pPr>
      <w:r w:rsidRPr="00F00691">
        <w:rPr>
          <w:rFonts w:ascii="Calibri" w:eastAsia="Aptos" w:hAnsi="Calibri" w:cs="Times New Roman"/>
          <w:kern w:val="2"/>
          <w14:ligatures w14:val="standardContextual"/>
        </w:rPr>
        <w:t>Unie</w:t>
      </w:r>
      <w:r w:rsidRPr="00F00691">
        <w:rPr>
          <w:rFonts w:ascii="Calibri" w:eastAsia="Aptos" w:hAnsi="Calibri" w:cs="Times New Roman"/>
          <w:kern w:val="2"/>
          <w14:ligatures w14:val="standardContextual"/>
        </w:rPr>
        <w:tab/>
        <w:t>Evropská unie</w:t>
      </w:r>
    </w:p>
    <w:p w14:paraId="08FFC05B" w14:textId="590DD504" w:rsidR="00D46E0F" w:rsidRDefault="00D46E0F" w:rsidP="00F00691">
      <w:pPr>
        <w:spacing w:after="0"/>
        <w:jc w:val="left"/>
        <w:rPr>
          <w:rFonts w:eastAsiaTheme="minorEastAsia"/>
          <w:b/>
          <w:sz w:val="22"/>
          <w:lang w:eastAsia="cs-CZ"/>
        </w:rPr>
      </w:pPr>
      <w:r>
        <w:rPr>
          <w:b/>
        </w:rPr>
        <w:br w:type="page"/>
      </w:r>
    </w:p>
    <w:p w14:paraId="2FC2DCCA" w14:textId="77777777" w:rsidR="00B217F7" w:rsidRDefault="00B217F7" w:rsidP="003F00EC">
      <w:pPr>
        <w:spacing w:after="0"/>
        <w:rPr>
          <w:b/>
          <w:bCs/>
        </w:rPr>
      </w:pPr>
    </w:p>
    <w:p w14:paraId="57972A1E" w14:textId="04AB03F1" w:rsidR="00D46E0F" w:rsidRDefault="00836D22" w:rsidP="003F00EC">
      <w:pPr>
        <w:spacing w:after="0"/>
        <w:rPr>
          <w:b/>
          <w:bCs/>
        </w:rPr>
      </w:pPr>
      <w:r w:rsidRPr="002627E0">
        <w:rPr>
          <w:b/>
          <w:bCs/>
        </w:rPr>
        <w:t xml:space="preserve">Příloha č. </w:t>
      </w:r>
      <w:r w:rsidR="002627E0">
        <w:rPr>
          <w:b/>
          <w:bCs/>
        </w:rPr>
        <w:t>1</w:t>
      </w:r>
      <w:r w:rsidRPr="002627E0">
        <w:rPr>
          <w:b/>
          <w:bCs/>
        </w:rPr>
        <w:t xml:space="preserve">: </w:t>
      </w:r>
      <w:r w:rsidR="002627E0" w:rsidRPr="002627E0">
        <w:rPr>
          <w:b/>
          <w:bCs/>
        </w:rPr>
        <w:t>Základní pojmy v oblasti čisté mobility</w:t>
      </w:r>
    </w:p>
    <w:p w14:paraId="06EDB48E" w14:textId="77777777" w:rsidR="002627E0" w:rsidRPr="002627E0" w:rsidRDefault="002627E0" w:rsidP="004733C4">
      <w:pPr>
        <w:pStyle w:val="Nadpis2"/>
        <w:widowControl/>
        <w:numPr>
          <w:ilvl w:val="0"/>
          <w:numId w:val="0"/>
        </w:numPr>
        <w:spacing w:before="0"/>
        <w:ind w:left="567"/>
        <w:rPr>
          <w:lang w:eastAsia="en-US"/>
        </w:rPr>
      </w:pPr>
    </w:p>
    <w:p w14:paraId="61FFDAF8" w14:textId="1F594F4D" w:rsidR="002627E0" w:rsidRDefault="002627E0" w:rsidP="003F00EC">
      <w:pPr>
        <w:spacing w:after="0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Alternativními palivy</w:t>
      </w:r>
      <w:r w:rsidRPr="0035389C">
        <w:rPr>
          <w:rFonts w:ascii="Calibri" w:hAnsi="Calibri" w:cs="Calibri"/>
        </w:rPr>
        <w:t xml:space="preserve"> se dle nařízení AFIR </w:t>
      </w:r>
      <w:r w:rsidR="00F83699" w:rsidRPr="0035389C">
        <w:rPr>
          <w:rFonts w:ascii="Calibri" w:hAnsi="Calibri" w:cs="Calibri"/>
        </w:rPr>
        <w:t xml:space="preserve">rozumí </w:t>
      </w:r>
      <w:r w:rsidRPr="0035389C">
        <w:rPr>
          <w:rFonts w:ascii="Calibri" w:hAnsi="Calibri" w:cs="Calibri"/>
        </w:rPr>
        <w:t xml:space="preserve">paliva nebo zdroje energie, které v rámci energie používané v dopravě slouží alespoň zčásti jako náhrada zdrojů fosilní ropy a které mají potenciál přispět k dekarbonizaci </w:t>
      </w:r>
      <w:r w:rsidR="00F83699">
        <w:rPr>
          <w:rFonts w:ascii="Calibri" w:hAnsi="Calibri" w:cs="Calibri"/>
        </w:rPr>
        <w:t xml:space="preserve">dopravy </w:t>
      </w:r>
      <w:r w:rsidRPr="0035389C">
        <w:rPr>
          <w:rFonts w:ascii="Calibri" w:hAnsi="Calibri" w:cs="Calibri"/>
        </w:rPr>
        <w:t>a zvýšit environmentální výkonnost odvětví dopravy. Dle nařízení AFIR</w:t>
      </w:r>
      <w:r w:rsidR="00F83699">
        <w:rPr>
          <w:rFonts w:ascii="Calibri" w:hAnsi="Calibri" w:cs="Calibri"/>
        </w:rPr>
        <w:t xml:space="preserve"> sem</w:t>
      </w:r>
      <w:r w:rsidRPr="0035389C">
        <w:rPr>
          <w:rFonts w:ascii="Calibri" w:hAnsi="Calibri" w:cs="Calibri"/>
        </w:rPr>
        <w:t xml:space="preserve"> patří alternativní paliva s nulovými emisemi (elektřina, vodík </w:t>
      </w:r>
      <w:r w:rsidR="003532C1">
        <w:rPr>
          <w:rFonts w:ascii="Calibri" w:hAnsi="Calibri" w:cs="Calibri"/>
        </w:rPr>
        <w:br/>
      </w:r>
      <w:r w:rsidRPr="0035389C">
        <w:rPr>
          <w:rFonts w:ascii="Calibri" w:hAnsi="Calibri" w:cs="Calibri"/>
        </w:rPr>
        <w:t>a</w:t>
      </w:r>
      <w:r w:rsidR="003532C1">
        <w:rPr>
          <w:rFonts w:ascii="Calibri" w:hAnsi="Calibri" w:cs="Calibri"/>
        </w:rPr>
        <w:t xml:space="preserve"> </w:t>
      </w:r>
      <w:r w:rsidRPr="0035389C">
        <w:rPr>
          <w:rFonts w:ascii="Calibri" w:hAnsi="Calibri" w:cs="Calibri"/>
        </w:rPr>
        <w:t>amoniak), obnovitelná paliva (např. paliva z</w:t>
      </w:r>
      <w:r w:rsidR="003532C1">
        <w:rPr>
          <w:rFonts w:ascii="Calibri" w:hAnsi="Calibri" w:cs="Calibri"/>
        </w:rPr>
        <w:t xml:space="preserve"> </w:t>
      </w:r>
      <w:r w:rsidRPr="0035389C">
        <w:rPr>
          <w:rFonts w:ascii="Calibri" w:hAnsi="Calibri" w:cs="Calibri"/>
        </w:rPr>
        <w:t>biomasy, včetně bioplynu, syntetická a</w:t>
      </w:r>
      <w:r>
        <w:rPr>
          <w:rFonts w:ascii="Calibri" w:hAnsi="Calibri" w:cs="Calibri"/>
        </w:rPr>
        <w:t> </w:t>
      </w:r>
      <w:proofErr w:type="spellStart"/>
      <w:r w:rsidRPr="0035389C">
        <w:rPr>
          <w:rFonts w:ascii="Calibri" w:hAnsi="Calibri" w:cs="Calibri"/>
        </w:rPr>
        <w:t>parafinická</w:t>
      </w:r>
      <w:proofErr w:type="spellEnd"/>
      <w:r w:rsidRPr="0035389C">
        <w:rPr>
          <w:rFonts w:ascii="Calibri" w:hAnsi="Calibri" w:cs="Calibri"/>
        </w:rPr>
        <w:t xml:space="preserve"> paliva a</w:t>
      </w:r>
      <w:r w:rsidR="00730241">
        <w:rPr>
          <w:rFonts w:ascii="Calibri" w:hAnsi="Calibri" w:cs="Calibri"/>
        </w:rPr>
        <w:t> </w:t>
      </w:r>
      <w:r w:rsidRPr="0035389C">
        <w:rPr>
          <w:rFonts w:ascii="Calibri" w:hAnsi="Calibri" w:cs="Calibri"/>
        </w:rPr>
        <w:t xml:space="preserve">další) </w:t>
      </w:r>
      <w:r w:rsidR="00F83699">
        <w:rPr>
          <w:rFonts w:ascii="Calibri" w:hAnsi="Calibri" w:cs="Calibri"/>
        </w:rPr>
        <w:t xml:space="preserve">a </w:t>
      </w:r>
      <w:r w:rsidRPr="0035389C">
        <w:rPr>
          <w:rFonts w:ascii="Calibri" w:hAnsi="Calibri" w:cs="Calibri"/>
        </w:rPr>
        <w:t xml:space="preserve">neobnovitelná alternativní paliva (např. zemní plyn, zkapalněný ropný plyn). </w:t>
      </w:r>
    </w:p>
    <w:p w14:paraId="2F80539B" w14:textId="77777777" w:rsidR="002627E0" w:rsidRDefault="002627E0" w:rsidP="003F00EC">
      <w:pPr>
        <w:spacing w:after="0"/>
        <w:rPr>
          <w:rFonts w:ascii="Calibri" w:hAnsi="Calibri" w:cs="Calibri"/>
        </w:rPr>
      </w:pPr>
    </w:p>
    <w:p w14:paraId="69143048" w14:textId="77777777" w:rsidR="002627E0" w:rsidRDefault="002627E0" w:rsidP="003F00EC">
      <w:pPr>
        <w:spacing w:after="0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Bateriové elektrické vozidlo</w:t>
      </w:r>
      <w:r>
        <w:rPr>
          <w:rFonts w:ascii="Calibri" w:hAnsi="Calibri" w:cs="Calibri"/>
          <w:b/>
          <w:bCs/>
        </w:rPr>
        <w:t xml:space="preserve"> (BEV)</w:t>
      </w:r>
      <w:r w:rsidRPr="0035389C">
        <w:rPr>
          <w:rFonts w:ascii="Calibri" w:hAnsi="Calibri" w:cs="Calibri"/>
        </w:rPr>
        <w:t xml:space="preserve"> je elektrické vozidlo, které je poháněno výhradně elektrickým motorem a nemá další zdroj pohonu.</w:t>
      </w:r>
    </w:p>
    <w:p w14:paraId="468D253B" w14:textId="77777777" w:rsidR="002627E0" w:rsidRPr="0035389C" w:rsidRDefault="002627E0" w:rsidP="003F00EC">
      <w:pPr>
        <w:spacing w:after="0"/>
        <w:rPr>
          <w:rFonts w:ascii="Calibri" w:hAnsi="Calibri" w:cs="Calibri"/>
        </w:rPr>
      </w:pPr>
    </w:p>
    <w:p w14:paraId="2FDA1191" w14:textId="457C09A3" w:rsidR="002627E0" w:rsidRPr="003B6FF8" w:rsidRDefault="002627E0" w:rsidP="003F00EC">
      <w:pPr>
        <w:spacing w:after="0"/>
        <w:rPr>
          <w:rFonts w:ascii="Calibri" w:hAnsi="Calibri" w:cs="Calibri"/>
          <w:vertAlign w:val="subscript"/>
        </w:rPr>
      </w:pPr>
      <w:r w:rsidRPr="003B6FF8">
        <w:rPr>
          <w:rFonts w:ascii="Calibri" w:hAnsi="Calibri" w:cs="Calibri"/>
          <w:b/>
          <w:bCs/>
        </w:rPr>
        <w:t xml:space="preserve">Bezemisní vozidlo </w:t>
      </w:r>
      <w:r w:rsidRPr="003B6FF8">
        <w:rPr>
          <w:rFonts w:ascii="Calibri" w:hAnsi="Calibri" w:cs="Calibri"/>
        </w:rPr>
        <w:t>– motorové vozidlo, které během svého provozu neprodukuje žádné emise CO</w:t>
      </w:r>
      <w:r w:rsidRPr="003B6FF8">
        <w:rPr>
          <w:rFonts w:ascii="Calibri" w:hAnsi="Calibri" w:cs="Calibri"/>
          <w:vertAlign w:val="subscript"/>
        </w:rPr>
        <w:t>2</w:t>
      </w:r>
      <w:r w:rsidRPr="003B6FF8">
        <w:rPr>
          <w:rFonts w:ascii="Calibri" w:hAnsi="Calibri" w:cs="Calibri"/>
        </w:rPr>
        <w:t xml:space="preserve"> a pro daňové účely se považuje za vo</w:t>
      </w:r>
      <w:r w:rsidR="008B326C">
        <w:rPr>
          <w:rFonts w:ascii="Calibri" w:hAnsi="Calibri" w:cs="Calibri"/>
        </w:rPr>
        <w:t>z</w:t>
      </w:r>
      <w:r w:rsidRPr="003B6FF8">
        <w:rPr>
          <w:rFonts w:ascii="Calibri" w:hAnsi="Calibri" w:cs="Calibri"/>
        </w:rPr>
        <w:t>idlo, které používá výhradně elektrickou energii nebo vodík, nebo jakékoliv jiné vozidlo s nulovými provozními emisemi CO</w:t>
      </w:r>
      <w:r w:rsidRPr="003B6FF8">
        <w:rPr>
          <w:rFonts w:ascii="Calibri" w:hAnsi="Calibri" w:cs="Calibri"/>
          <w:vertAlign w:val="subscript"/>
        </w:rPr>
        <w:t>2</w:t>
      </w:r>
      <w:r w:rsidRPr="004733C4">
        <w:rPr>
          <w:rFonts w:ascii="Calibri" w:hAnsi="Calibri" w:cs="Calibri"/>
        </w:rPr>
        <w:t>.</w:t>
      </w:r>
    </w:p>
    <w:p w14:paraId="5BE0A5F1" w14:textId="77777777" w:rsidR="002627E0" w:rsidRDefault="002627E0" w:rsidP="003F00EC">
      <w:pPr>
        <w:spacing w:after="0"/>
        <w:rPr>
          <w:rFonts w:ascii="Calibri" w:hAnsi="Calibri" w:cs="Calibri"/>
          <w:b/>
          <w:bCs/>
        </w:rPr>
      </w:pPr>
    </w:p>
    <w:p w14:paraId="544AE637" w14:textId="632382C9" w:rsidR="002627E0" w:rsidRDefault="002627E0" w:rsidP="003F00EC">
      <w:pPr>
        <w:spacing w:after="0"/>
        <w:rPr>
          <w:rFonts w:ascii="Calibri" w:hAnsi="Calibri" w:cs="Calibri"/>
          <w:b/>
          <w:bCs/>
        </w:rPr>
      </w:pPr>
      <w:r w:rsidRPr="0035389C">
        <w:rPr>
          <w:rFonts w:ascii="Calibri" w:hAnsi="Calibri" w:cs="Calibri"/>
          <w:b/>
          <w:bCs/>
        </w:rPr>
        <w:t>Dobíjecím bodem</w:t>
      </w:r>
      <w:r w:rsidRPr="0035389C">
        <w:rPr>
          <w:rFonts w:ascii="Calibri" w:hAnsi="Calibri" w:cs="Calibri"/>
        </w:rPr>
        <w:t xml:space="preserve"> se dle zákona č. 311/2006 Sb. </w:t>
      </w:r>
      <w:r w:rsidR="00F83699" w:rsidRPr="0035389C">
        <w:rPr>
          <w:rFonts w:ascii="Calibri" w:hAnsi="Calibri" w:cs="Calibri"/>
        </w:rPr>
        <w:t xml:space="preserve">rozumí </w:t>
      </w:r>
      <w:r w:rsidRPr="0035389C">
        <w:rPr>
          <w:rFonts w:ascii="Calibri" w:hAnsi="Calibri" w:cs="Calibri"/>
        </w:rPr>
        <w:t>„</w:t>
      </w:r>
      <w:r w:rsidRPr="0035389C">
        <w:rPr>
          <w:rFonts w:ascii="Calibri" w:hAnsi="Calibri" w:cs="Calibri"/>
          <w:i/>
          <w:iCs/>
        </w:rPr>
        <w:t>zařízení, které umožňuje dobíjet v</w:t>
      </w:r>
      <w:r>
        <w:rPr>
          <w:rFonts w:ascii="Calibri" w:hAnsi="Calibri" w:cs="Calibri"/>
          <w:i/>
          <w:iCs/>
        </w:rPr>
        <w:t> </w:t>
      </w:r>
      <w:r w:rsidRPr="0035389C">
        <w:rPr>
          <w:rFonts w:ascii="Calibri" w:hAnsi="Calibri" w:cs="Calibri"/>
          <w:i/>
          <w:iCs/>
        </w:rPr>
        <w:t>určitém okamžiku jedno elektrické vozidlo nebo u něhož je v určitém okamžiku možno provést výměnu baterie u jednoho elektrického vozidla, a jehož hlavním účelem je dobíjení elektrického vozidla</w:t>
      </w:r>
      <w:r w:rsidRPr="004733C4">
        <w:rPr>
          <w:rFonts w:ascii="Calibri" w:hAnsi="Calibri" w:cs="Calibri"/>
        </w:rPr>
        <w:t>“.</w:t>
      </w:r>
      <w:r w:rsidRPr="0035389C">
        <w:rPr>
          <w:rFonts w:ascii="Calibri" w:hAnsi="Calibri" w:cs="Calibri"/>
        </w:rPr>
        <w:t xml:space="preserve"> </w:t>
      </w:r>
      <w:r w:rsidR="00A2687F">
        <w:rPr>
          <w:rFonts w:ascii="Calibri" w:hAnsi="Calibri" w:cs="Calibri"/>
        </w:rPr>
        <w:t>Dobíjecí bod má</w:t>
      </w:r>
      <w:r w:rsidRPr="0035389C">
        <w:rPr>
          <w:rFonts w:ascii="Calibri" w:hAnsi="Calibri" w:cs="Calibri"/>
        </w:rPr>
        <w:t xml:space="preserve"> jeden nebo více konektorů, v jednom okamžiku je však schopen dobíjet pouze jedno vozidlo.</w:t>
      </w:r>
      <w:r w:rsidRPr="0035389C">
        <w:rPr>
          <w:rFonts w:ascii="Calibri" w:hAnsi="Calibri" w:cs="Calibri"/>
          <w:b/>
          <w:bCs/>
        </w:rPr>
        <w:t xml:space="preserve"> </w:t>
      </w:r>
    </w:p>
    <w:p w14:paraId="586EB9C0" w14:textId="77777777" w:rsidR="002627E0" w:rsidRPr="0035389C" w:rsidRDefault="002627E0" w:rsidP="003F00EC">
      <w:pPr>
        <w:spacing w:after="0"/>
        <w:rPr>
          <w:rFonts w:ascii="Calibri" w:hAnsi="Calibri" w:cs="Calibri"/>
          <w:b/>
          <w:bCs/>
        </w:rPr>
      </w:pPr>
    </w:p>
    <w:p w14:paraId="2AD8D890" w14:textId="77777777" w:rsidR="002627E0" w:rsidRPr="003B6FF8" w:rsidRDefault="002627E0" w:rsidP="003F00EC">
      <w:pPr>
        <w:spacing w:after="0"/>
        <w:rPr>
          <w:rFonts w:ascii="Calibri" w:hAnsi="Calibri" w:cs="Calibri"/>
        </w:rPr>
      </w:pPr>
      <w:r w:rsidRPr="003B6FF8">
        <w:rPr>
          <w:rFonts w:ascii="Calibri" w:hAnsi="Calibri" w:cs="Calibri"/>
          <w:b/>
          <w:bCs/>
        </w:rPr>
        <w:t xml:space="preserve">Dobíjecí infrastruktura </w:t>
      </w:r>
      <w:r w:rsidRPr="004733C4">
        <w:rPr>
          <w:rFonts w:ascii="Calibri" w:hAnsi="Calibri" w:cs="Calibri"/>
        </w:rPr>
        <w:t xml:space="preserve">– </w:t>
      </w:r>
      <w:r w:rsidRPr="003B6FF8">
        <w:rPr>
          <w:rFonts w:ascii="Calibri" w:hAnsi="Calibri" w:cs="Calibri"/>
        </w:rPr>
        <w:t>celkový systém a možnosti pro zásobování elektrických vozidel elekt</w:t>
      </w:r>
      <w:r>
        <w:rPr>
          <w:rFonts w:ascii="Calibri" w:hAnsi="Calibri" w:cs="Calibri"/>
        </w:rPr>
        <w:t>řinou.</w:t>
      </w:r>
    </w:p>
    <w:p w14:paraId="5BF8CFAC" w14:textId="77777777" w:rsidR="002627E0" w:rsidRDefault="002627E0" w:rsidP="003F00EC">
      <w:pPr>
        <w:spacing w:after="0"/>
        <w:rPr>
          <w:rFonts w:ascii="Calibri" w:hAnsi="Calibri" w:cs="Calibri"/>
          <w:b/>
          <w:bCs/>
        </w:rPr>
      </w:pPr>
    </w:p>
    <w:p w14:paraId="7343DEA2" w14:textId="3D16505A" w:rsidR="002627E0" w:rsidRPr="003B6FF8" w:rsidRDefault="002627E0" w:rsidP="003F00EC">
      <w:pPr>
        <w:spacing w:after="0"/>
        <w:rPr>
          <w:rFonts w:ascii="Calibri" w:hAnsi="Calibri" w:cs="Calibri"/>
        </w:rPr>
      </w:pPr>
      <w:r w:rsidRPr="003B6FF8">
        <w:rPr>
          <w:rFonts w:ascii="Calibri" w:hAnsi="Calibri" w:cs="Calibri"/>
          <w:b/>
          <w:bCs/>
        </w:rPr>
        <w:t xml:space="preserve">Dobíjecí lokalita </w:t>
      </w:r>
      <w:r w:rsidRPr="004733C4">
        <w:rPr>
          <w:rFonts w:ascii="Calibri" w:hAnsi="Calibri" w:cs="Calibri"/>
        </w:rPr>
        <w:t xml:space="preserve">– </w:t>
      </w:r>
      <w:r w:rsidRPr="003B6FF8">
        <w:rPr>
          <w:rFonts w:ascii="Calibri" w:hAnsi="Calibri" w:cs="Calibri"/>
        </w:rPr>
        <w:t>místo, kde se nachází jedna nebo více dobíjecích stanic</w:t>
      </w:r>
      <w:r>
        <w:rPr>
          <w:rFonts w:ascii="Calibri" w:hAnsi="Calibri" w:cs="Calibri"/>
        </w:rPr>
        <w:t>.</w:t>
      </w:r>
      <w:r w:rsidR="00A2687F">
        <w:rPr>
          <w:rFonts w:ascii="Calibri" w:hAnsi="Calibri" w:cs="Calibri"/>
        </w:rPr>
        <w:t xml:space="preserve"> Dobíjecí stanice je zde doplňkem dalších služeb (typicky parkování).</w:t>
      </w:r>
    </w:p>
    <w:p w14:paraId="0DC0F54D" w14:textId="77777777" w:rsidR="002627E0" w:rsidRDefault="002627E0" w:rsidP="003F00EC">
      <w:pPr>
        <w:spacing w:after="0"/>
        <w:rPr>
          <w:rFonts w:ascii="Calibri" w:hAnsi="Calibri" w:cs="Calibri"/>
          <w:b/>
          <w:bCs/>
        </w:rPr>
      </w:pPr>
    </w:p>
    <w:p w14:paraId="3E8F359B" w14:textId="03C8788D" w:rsidR="002627E0" w:rsidRPr="003B6FF8" w:rsidRDefault="002627E0" w:rsidP="003F00EC">
      <w:pPr>
        <w:spacing w:after="0"/>
        <w:rPr>
          <w:rFonts w:ascii="Calibri" w:hAnsi="Calibri" w:cs="Calibri"/>
        </w:rPr>
      </w:pPr>
      <w:r w:rsidRPr="003B6FF8">
        <w:rPr>
          <w:rFonts w:ascii="Calibri" w:hAnsi="Calibri" w:cs="Calibri"/>
          <w:b/>
          <w:bCs/>
        </w:rPr>
        <w:t xml:space="preserve">Dobíjecí park </w:t>
      </w:r>
      <w:r w:rsidRPr="004733C4">
        <w:rPr>
          <w:rFonts w:ascii="Calibri" w:hAnsi="Calibri" w:cs="Calibri"/>
        </w:rPr>
        <w:t xml:space="preserve">– </w:t>
      </w:r>
      <w:r w:rsidRPr="003B6FF8">
        <w:rPr>
          <w:rFonts w:ascii="Calibri" w:hAnsi="Calibri" w:cs="Calibri"/>
        </w:rPr>
        <w:t>jedn</w:t>
      </w:r>
      <w:r w:rsidR="00A2687F">
        <w:rPr>
          <w:rFonts w:ascii="Calibri" w:hAnsi="Calibri" w:cs="Calibri"/>
        </w:rPr>
        <w:t>a</w:t>
      </w:r>
      <w:r w:rsidRPr="003B6FF8">
        <w:rPr>
          <w:rFonts w:ascii="Calibri" w:hAnsi="Calibri" w:cs="Calibri"/>
        </w:rPr>
        <w:t xml:space="preserve"> nebo více dobíjecích stanic na jednom určitém místě</w:t>
      </w:r>
      <w:r>
        <w:rPr>
          <w:rFonts w:ascii="Calibri" w:hAnsi="Calibri" w:cs="Calibri"/>
        </w:rPr>
        <w:t>.</w:t>
      </w:r>
      <w:r w:rsidR="00A2687F">
        <w:rPr>
          <w:rFonts w:ascii="Calibri" w:hAnsi="Calibri" w:cs="Calibri"/>
        </w:rPr>
        <w:t xml:space="preserve"> Jedná se o místo určené primárně k dobíjení.</w:t>
      </w:r>
    </w:p>
    <w:p w14:paraId="170862B6" w14:textId="77777777" w:rsidR="002627E0" w:rsidRDefault="002627E0" w:rsidP="003F00EC">
      <w:pPr>
        <w:spacing w:after="0"/>
        <w:rPr>
          <w:rFonts w:ascii="Calibri" w:hAnsi="Calibri" w:cs="Calibri"/>
          <w:b/>
          <w:bCs/>
        </w:rPr>
      </w:pPr>
    </w:p>
    <w:p w14:paraId="37BFAD12" w14:textId="2D9CA649" w:rsidR="002627E0" w:rsidRDefault="002627E0" w:rsidP="003F00EC">
      <w:pPr>
        <w:spacing w:after="0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Dobíjecí stanicí</w:t>
      </w:r>
      <w:r w:rsidRPr="0035389C">
        <w:rPr>
          <w:rFonts w:ascii="Calibri" w:hAnsi="Calibri" w:cs="Calibri"/>
        </w:rPr>
        <w:t xml:space="preserve"> se dle zákona č. 311/2006 Sb. </w:t>
      </w:r>
      <w:r w:rsidR="00F83699" w:rsidRPr="0035389C">
        <w:rPr>
          <w:rFonts w:ascii="Calibri" w:hAnsi="Calibri" w:cs="Calibri"/>
        </w:rPr>
        <w:t xml:space="preserve">rozumí </w:t>
      </w:r>
      <w:r w:rsidRPr="0035389C">
        <w:rPr>
          <w:rFonts w:ascii="Calibri" w:hAnsi="Calibri" w:cs="Calibri"/>
        </w:rPr>
        <w:t>„</w:t>
      </w:r>
      <w:r w:rsidRPr="0035389C">
        <w:rPr>
          <w:rFonts w:ascii="Calibri" w:hAnsi="Calibri" w:cs="Calibri"/>
          <w:i/>
          <w:iCs/>
        </w:rPr>
        <w:t>kompaktní zařízení vybavené jedním nebo více dobíjecími body, které mají stejného vlastníka jako toto zařízení</w:t>
      </w:r>
      <w:r w:rsidRPr="0035389C">
        <w:rPr>
          <w:rFonts w:ascii="Calibri" w:hAnsi="Calibri" w:cs="Calibri"/>
        </w:rPr>
        <w:t xml:space="preserve">“. </w:t>
      </w:r>
    </w:p>
    <w:p w14:paraId="0A50E9E8" w14:textId="77777777" w:rsidR="00626B7E" w:rsidRPr="00626B7E" w:rsidRDefault="00626B7E" w:rsidP="00272254">
      <w:pPr>
        <w:pStyle w:val="Nadpis2"/>
        <w:widowControl/>
        <w:numPr>
          <w:ilvl w:val="0"/>
          <w:numId w:val="0"/>
        </w:numPr>
        <w:spacing w:before="0"/>
        <w:ind w:left="567" w:hanging="567"/>
        <w:rPr>
          <w:lang w:eastAsia="en-US"/>
        </w:rPr>
      </w:pPr>
    </w:p>
    <w:p w14:paraId="7630FBD8" w14:textId="4D817BEA" w:rsidR="005F0830" w:rsidRPr="005F0BE7" w:rsidRDefault="005F0830" w:rsidP="00272254">
      <w:pPr>
        <w:pStyle w:val="Nadpis2"/>
        <w:widowControl/>
        <w:numPr>
          <w:ilvl w:val="0"/>
          <w:numId w:val="0"/>
        </w:numPr>
        <w:spacing w:before="0"/>
        <w:ind w:left="567" w:hanging="567"/>
        <w:rPr>
          <w:lang w:eastAsia="en-US"/>
        </w:rPr>
      </w:pPr>
      <w:r w:rsidRPr="005F0BE7">
        <w:rPr>
          <w:b/>
          <w:bCs/>
          <w:lang w:eastAsia="en-US"/>
        </w:rPr>
        <w:t>Elektromobil</w:t>
      </w:r>
      <w:r>
        <w:rPr>
          <w:lang w:eastAsia="en-US"/>
        </w:rPr>
        <w:t xml:space="preserve"> je motorové vozidlo na elektrický pohon. </w:t>
      </w:r>
    </w:p>
    <w:p w14:paraId="0AFB269C" w14:textId="77777777" w:rsidR="002627E0" w:rsidRDefault="002627E0" w:rsidP="003F00EC">
      <w:pPr>
        <w:spacing w:after="0"/>
        <w:rPr>
          <w:rFonts w:ascii="Calibri" w:hAnsi="Calibri" w:cs="Calibri"/>
        </w:rPr>
      </w:pPr>
    </w:p>
    <w:p w14:paraId="06B0A263" w14:textId="77777777" w:rsidR="00B217F7" w:rsidRDefault="00B217F7">
      <w:p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004DABA" w14:textId="1616D37F" w:rsidR="002627E0" w:rsidRPr="0035389C" w:rsidRDefault="002627E0" w:rsidP="003F00EC">
      <w:pPr>
        <w:spacing w:after="0"/>
        <w:rPr>
          <w:rFonts w:ascii="Calibri" w:hAnsi="Calibri" w:cs="Calibri"/>
        </w:rPr>
      </w:pPr>
      <w:r w:rsidRPr="00272254">
        <w:rPr>
          <w:rFonts w:ascii="Calibri" w:hAnsi="Calibri" w:cs="Calibri"/>
          <w:b/>
          <w:bCs/>
        </w:rPr>
        <w:lastRenderedPageBreak/>
        <w:t>Kategorie silničních vozidel</w:t>
      </w:r>
      <w:r>
        <w:rPr>
          <w:rFonts w:ascii="Calibri" w:hAnsi="Calibri" w:cs="Calibri"/>
        </w:rPr>
        <w:t xml:space="preserve"> jsou definovány v čl. 4 </w:t>
      </w:r>
      <w:r w:rsidR="00F83699">
        <w:rPr>
          <w:rFonts w:ascii="Calibri" w:hAnsi="Calibri" w:cs="Calibri"/>
        </w:rPr>
        <w:t>n</w:t>
      </w:r>
      <w:r w:rsidRPr="0035389C">
        <w:rPr>
          <w:rFonts w:ascii="Calibri" w:hAnsi="Calibri" w:cs="Calibri"/>
        </w:rPr>
        <w:t>ařízení (EU) 2018/858</w:t>
      </w:r>
      <w:r>
        <w:rPr>
          <w:rStyle w:val="Znakapoznpodarou"/>
          <w:rFonts w:ascii="Calibri" w:hAnsi="Calibri" w:cs="Calibri"/>
        </w:rPr>
        <w:footnoteReference w:id="30"/>
      </w:r>
      <w:r w:rsidRPr="0035389C">
        <w:rPr>
          <w:rFonts w:ascii="Calibri" w:hAnsi="Calibri" w:cs="Calibri"/>
        </w:rPr>
        <w:t>:</w:t>
      </w:r>
    </w:p>
    <w:p w14:paraId="35480A48" w14:textId="04BC7220" w:rsidR="002627E0" w:rsidRPr="0035389C" w:rsidRDefault="002627E0" w:rsidP="003F00EC">
      <w:pPr>
        <w:pStyle w:val="Odstavecseseznamem"/>
        <w:numPr>
          <w:ilvl w:val="0"/>
          <w:numId w:val="87"/>
        </w:numPr>
        <w:spacing w:after="0" w:line="240" w:lineRule="auto"/>
        <w:ind w:left="284" w:hanging="284"/>
        <w:rPr>
          <w:rFonts w:ascii="Calibri" w:hAnsi="Calibri" w:cs="Calibri"/>
        </w:rPr>
      </w:pPr>
      <w:r w:rsidRPr="0035389C">
        <w:rPr>
          <w:rFonts w:ascii="Calibri" w:hAnsi="Calibri" w:cs="Calibri"/>
        </w:rPr>
        <w:t>kategorie M: vozidla vyrobená především pro přepravu osob a jejich zavazadel</w:t>
      </w:r>
      <w:r w:rsidR="00F83699">
        <w:rPr>
          <w:rFonts w:ascii="Calibri" w:hAnsi="Calibri" w:cs="Calibri"/>
        </w:rPr>
        <w:t>:</w:t>
      </w:r>
    </w:p>
    <w:p w14:paraId="27BF3789" w14:textId="77777777" w:rsidR="002627E0" w:rsidRPr="0035389C" w:rsidRDefault="002627E0" w:rsidP="003F00EC">
      <w:pPr>
        <w:pStyle w:val="Odstavecseseznamem"/>
        <w:numPr>
          <w:ilvl w:val="0"/>
          <w:numId w:val="87"/>
        </w:numPr>
        <w:spacing w:after="0" w:line="240" w:lineRule="auto"/>
        <w:ind w:left="567" w:hanging="283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kategorie M1</w:t>
      </w:r>
      <w:r w:rsidRPr="00272254">
        <w:rPr>
          <w:rFonts w:ascii="Calibri" w:hAnsi="Calibri" w:cs="Calibri"/>
          <w:b/>
          <w:bCs/>
        </w:rPr>
        <w:t>:</w:t>
      </w:r>
      <w:r w:rsidRPr="0035389C">
        <w:rPr>
          <w:rFonts w:ascii="Calibri" w:hAnsi="Calibri" w:cs="Calibri"/>
        </w:rPr>
        <w:t xml:space="preserve"> motorová vozidla s nejvýše osmi místy k sezení kromě místa k sezení řidiče a bez prostoru pro stojící cestující, </w:t>
      </w:r>
    </w:p>
    <w:p w14:paraId="6DC25244" w14:textId="77777777" w:rsidR="002627E0" w:rsidRPr="0035389C" w:rsidRDefault="002627E0" w:rsidP="003F00EC">
      <w:pPr>
        <w:pStyle w:val="Odstavecseseznamem"/>
        <w:numPr>
          <w:ilvl w:val="0"/>
          <w:numId w:val="87"/>
        </w:numPr>
        <w:spacing w:after="0" w:line="240" w:lineRule="auto"/>
        <w:ind w:left="567" w:hanging="283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kategorie M2</w:t>
      </w:r>
      <w:r w:rsidRPr="00272254">
        <w:rPr>
          <w:rFonts w:ascii="Calibri" w:hAnsi="Calibri" w:cs="Calibri"/>
          <w:b/>
          <w:bCs/>
        </w:rPr>
        <w:t>:</w:t>
      </w:r>
      <w:r w:rsidRPr="0035389C">
        <w:rPr>
          <w:rFonts w:ascii="Calibri" w:hAnsi="Calibri" w:cs="Calibri"/>
        </w:rPr>
        <w:t xml:space="preserve"> motorová vozidla s více než osmi místy k sezení kromě místa k sezení řidiče a s maximální hmotností nepřevyšující 5 tun, </w:t>
      </w:r>
    </w:p>
    <w:p w14:paraId="52DAF031" w14:textId="4C72F7F0" w:rsidR="002627E0" w:rsidRPr="0035389C" w:rsidRDefault="002627E0" w:rsidP="003F00EC">
      <w:pPr>
        <w:pStyle w:val="Odstavecseseznamem"/>
        <w:numPr>
          <w:ilvl w:val="0"/>
          <w:numId w:val="87"/>
        </w:numPr>
        <w:spacing w:after="0" w:line="240" w:lineRule="auto"/>
        <w:ind w:left="567" w:hanging="283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kategorie M3</w:t>
      </w:r>
      <w:r w:rsidRPr="00272254">
        <w:rPr>
          <w:rFonts w:ascii="Calibri" w:hAnsi="Calibri" w:cs="Calibri"/>
          <w:b/>
          <w:bCs/>
        </w:rPr>
        <w:t>:</w:t>
      </w:r>
      <w:r w:rsidRPr="0035389C">
        <w:rPr>
          <w:rFonts w:ascii="Calibri" w:hAnsi="Calibri" w:cs="Calibri"/>
        </w:rPr>
        <w:t xml:space="preserve"> motorová vozidla s více než osmi místy k sezení kromě místa k sezení řidiče a s maximální hmotností převyšující 5 tun</w:t>
      </w:r>
      <w:r w:rsidR="00F83699">
        <w:rPr>
          <w:rFonts w:ascii="Calibri" w:hAnsi="Calibri" w:cs="Calibri"/>
        </w:rPr>
        <w:t>;</w:t>
      </w:r>
      <w:r w:rsidRPr="0035389C">
        <w:rPr>
          <w:rFonts w:ascii="Calibri" w:hAnsi="Calibri" w:cs="Calibri"/>
        </w:rPr>
        <w:t xml:space="preserve"> </w:t>
      </w:r>
    </w:p>
    <w:p w14:paraId="343D5A73" w14:textId="719E8282" w:rsidR="002627E0" w:rsidRPr="0035389C" w:rsidRDefault="002627E0" w:rsidP="003F00EC">
      <w:pPr>
        <w:pStyle w:val="Odstavecseseznamem"/>
        <w:numPr>
          <w:ilvl w:val="0"/>
          <w:numId w:val="87"/>
        </w:numPr>
        <w:spacing w:after="0" w:line="240" w:lineRule="auto"/>
        <w:ind w:left="284" w:hanging="284"/>
        <w:rPr>
          <w:rFonts w:ascii="Calibri" w:hAnsi="Calibri" w:cs="Calibri"/>
        </w:rPr>
      </w:pPr>
      <w:r w:rsidRPr="0035389C">
        <w:rPr>
          <w:rFonts w:ascii="Calibri" w:hAnsi="Calibri" w:cs="Calibri"/>
        </w:rPr>
        <w:t>kategorie N: motorová vozidla konstruovaná a vyrobená především pro přepravu zboží</w:t>
      </w:r>
      <w:r w:rsidR="00F83699">
        <w:rPr>
          <w:rFonts w:ascii="Calibri" w:hAnsi="Calibri" w:cs="Calibri"/>
        </w:rPr>
        <w:t>:</w:t>
      </w:r>
    </w:p>
    <w:p w14:paraId="30C3AEAB" w14:textId="77777777" w:rsidR="002627E0" w:rsidRPr="0035389C" w:rsidRDefault="002627E0" w:rsidP="003F00EC">
      <w:pPr>
        <w:pStyle w:val="Odstavecseseznamem"/>
        <w:numPr>
          <w:ilvl w:val="0"/>
          <w:numId w:val="87"/>
        </w:numPr>
        <w:spacing w:after="0" w:line="240" w:lineRule="auto"/>
        <w:ind w:left="567" w:hanging="283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kategorie N1</w:t>
      </w:r>
      <w:r w:rsidRPr="00272254">
        <w:rPr>
          <w:rFonts w:ascii="Calibri" w:hAnsi="Calibri" w:cs="Calibri"/>
          <w:b/>
          <w:bCs/>
        </w:rPr>
        <w:t>:</w:t>
      </w:r>
      <w:r w:rsidRPr="0035389C">
        <w:rPr>
          <w:rFonts w:ascii="Calibri" w:hAnsi="Calibri" w:cs="Calibri"/>
        </w:rPr>
        <w:t xml:space="preserve"> motorová vozidla s maximální hmotností nepřevyšující 3,5 tuny, </w:t>
      </w:r>
    </w:p>
    <w:p w14:paraId="5E109522" w14:textId="77777777" w:rsidR="002627E0" w:rsidRPr="0035389C" w:rsidRDefault="002627E0" w:rsidP="003F00EC">
      <w:pPr>
        <w:pStyle w:val="Odstavecseseznamem"/>
        <w:numPr>
          <w:ilvl w:val="0"/>
          <w:numId w:val="87"/>
        </w:numPr>
        <w:spacing w:after="0" w:line="240" w:lineRule="auto"/>
        <w:ind w:left="567" w:hanging="283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kategorie</w:t>
      </w:r>
      <w:r>
        <w:rPr>
          <w:rFonts w:ascii="Calibri" w:hAnsi="Calibri" w:cs="Calibri"/>
          <w:b/>
          <w:bCs/>
        </w:rPr>
        <w:t> </w:t>
      </w:r>
      <w:r w:rsidRPr="0035389C">
        <w:rPr>
          <w:rFonts w:ascii="Calibri" w:hAnsi="Calibri" w:cs="Calibri"/>
          <w:b/>
          <w:bCs/>
        </w:rPr>
        <w:t>N2</w:t>
      </w:r>
      <w:r w:rsidRPr="00272254">
        <w:rPr>
          <w:rFonts w:ascii="Calibri" w:hAnsi="Calibri" w:cs="Calibri"/>
          <w:b/>
          <w:bCs/>
        </w:rPr>
        <w:t>:</w:t>
      </w:r>
      <w:r w:rsidRPr="0035389C">
        <w:rPr>
          <w:rFonts w:ascii="Calibri" w:hAnsi="Calibri" w:cs="Calibri"/>
        </w:rPr>
        <w:t xml:space="preserve"> motorová vozidla s maximální hmotností převyšující 3,5 tuny, ale nepřevyšující 12 tun, </w:t>
      </w:r>
    </w:p>
    <w:p w14:paraId="3D363057" w14:textId="77777777" w:rsidR="002627E0" w:rsidRPr="006E5B6F" w:rsidRDefault="002627E0" w:rsidP="003F00EC">
      <w:pPr>
        <w:pStyle w:val="Odstavecseseznamem"/>
        <w:numPr>
          <w:ilvl w:val="0"/>
          <w:numId w:val="87"/>
        </w:numPr>
        <w:spacing w:after="0" w:line="240" w:lineRule="auto"/>
        <w:ind w:left="567" w:hanging="283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kategorie N3</w:t>
      </w:r>
      <w:r w:rsidRPr="00272254">
        <w:rPr>
          <w:rFonts w:ascii="Calibri" w:hAnsi="Calibri" w:cs="Calibri"/>
          <w:b/>
          <w:bCs/>
        </w:rPr>
        <w:t>:</w:t>
      </w:r>
      <w:r w:rsidRPr="0035389C">
        <w:rPr>
          <w:rFonts w:ascii="Calibri" w:hAnsi="Calibri" w:cs="Calibri"/>
        </w:rPr>
        <w:t xml:space="preserve"> motorová vozidla s maximální hmotností převyšující 12 tun.</w:t>
      </w:r>
    </w:p>
    <w:p w14:paraId="62E93E2A" w14:textId="77777777" w:rsidR="002627E0" w:rsidRPr="0002393D" w:rsidRDefault="002627E0" w:rsidP="003F00EC">
      <w:pPr>
        <w:spacing w:after="0"/>
        <w:rPr>
          <w:rFonts w:ascii="Calibri" w:hAnsi="Calibri" w:cs="Calibri"/>
        </w:rPr>
      </w:pPr>
    </w:p>
    <w:p w14:paraId="2902B2D1" w14:textId="77777777" w:rsidR="002627E0" w:rsidRDefault="002627E0" w:rsidP="003F00EC">
      <w:pPr>
        <w:spacing w:after="0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Lehkým vozidlem</w:t>
      </w:r>
      <w:r w:rsidRPr="0035389C">
        <w:rPr>
          <w:rFonts w:ascii="Calibri" w:hAnsi="Calibri" w:cs="Calibri"/>
        </w:rPr>
        <w:t xml:space="preserve"> se dle nařízení AF</w:t>
      </w:r>
      <w:r>
        <w:rPr>
          <w:rFonts w:ascii="Calibri" w:hAnsi="Calibri" w:cs="Calibri"/>
        </w:rPr>
        <w:t>I</w:t>
      </w:r>
      <w:r w:rsidRPr="0035389C">
        <w:rPr>
          <w:rFonts w:ascii="Calibri" w:hAnsi="Calibri" w:cs="Calibri"/>
        </w:rPr>
        <w:t xml:space="preserve">R rozumí motorové vozidlo kategorie </w:t>
      </w:r>
      <w:r>
        <w:rPr>
          <w:rFonts w:ascii="Calibri" w:hAnsi="Calibri" w:cs="Calibri"/>
        </w:rPr>
        <w:t xml:space="preserve">M1 </w:t>
      </w:r>
      <w:r w:rsidRPr="0035389C">
        <w:rPr>
          <w:rFonts w:ascii="Calibri" w:hAnsi="Calibri" w:cs="Calibri"/>
        </w:rPr>
        <w:t>nebo kategorie N1.</w:t>
      </w:r>
    </w:p>
    <w:p w14:paraId="6792C26E" w14:textId="77777777" w:rsidR="002627E0" w:rsidRPr="0035389C" w:rsidRDefault="002627E0" w:rsidP="003F00EC">
      <w:pPr>
        <w:spacing w:after="0"/>
        <w:rPr>
          <w:rFonts w:ascii="Calibri" w:hAnsi="Calibri" w:cs="Calibri"/>
        </w:rPr>
      </w:pPr>
    </w:p>
    <w:p w14:paraId="0439F33F" w14:textId="7DF70396" w:rsidR="002627E0" w:rsidRPr="0035389C" w:rsidRDefault="002627E0" w:rsidP="003F00EC">
      <w:pPr>
        <w:spacing w:after="0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Městské uzly</w:t>
      </w:r>
      <w:r w:rsidRPr="0035389C">
        <w:rPr>
          <w:rFonts w:ascii="Calibri" w:hAnsi="Calibri" w:cs="Calibri"/>
        </w:rPr>
        <w:t>: Brno, České Budějovice, Hradec Králové, Liberec, Olomouc, Ostrava, Pardubice, Plzeň, Praha a Ústí nad Labem.</w:t>
      </w:r>
      <w:r>
        <w:rPr>
          <w:rFonts w:ascii="Calibri" w:hAnsi="Calibri" w:cs="Calibri"/>
        </w:rPr>
        <w:t xml:space="preserve"> Městské uzly byly taxativně vymezeny </w:t>
      </w:r>
      <w:r w:rsidR="00A57089">
        <w:rPr>
          <w:rFonts w:ascii="Calibri" w:hAnsi="Calibri" w:cs="Calibri"/>
        </w:rPr>
        <w:t>n</w:t>
      </w:r>
      <w:r w:rsidRPr="006E5B6F">
        <w:rPr>
          <w:rFonts w:ascii="Calibri" w:hAnsi="Calibri" w:cs="Calibri"/>
        </w:rPr>
        <w:t>ařízením Evropského parlamentu a Rady (EU) č. 1315/2013 ze dne 11. prosince 2013</w:t>
      </w:r>
      <w:r w:rsidR="00A57089">
        <w:rPr>
          <w:rFonts w:ascii="Calibri" w:hAnsi="Calibri" w:cs="Calibri"/>
        </w:rPr>
        <w:t>,</w:t>
      </w:r>
      <w:r w:rsidR="00804D1A">
        <w:rPr>
          <w:rFonts w:ascii="Calibri" w:hAnsi="Calibri" w:cs="Calibri"/>
        </w:rPr>
        <w:t xml:space="preserve"> o</w:t>
      </w:r>
      <w:r w:rsidRPr="006E5B6F">
        <w:rPr>
          <w:rFonts w:ascii="Calibri" w:hAnsi="Calibri" w:cs="Calibri"/>
        </w:rPr>
        <w:t xml:space="preserve"> hlavních směrech Unie pro rozvoj transevropské dopravní sítě a o zrušení rozhodnutí č. 661/2010/EU</w:t>
      </w:r>
      <w:r w:rsidR="00A5708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</w:t>
      </w:r>
      <w:r w:rsidRPr="0035389C">
        <w:rPr>
          <w:rFonts w:ascii="Calibri" w:hAnsi="Calibri" w:cs="Calibri"/>
        </w:rPr>
        <w:t>následně</w:t>
      </w:r>
      <w:r>
        <w:rPr>
          <w:rFonts w:ascii="Calibri" w:hAnsi="Calibri" w:cs="Calibri"/>
        </w:rPr>
        <w:t xml:space="preserve"> </w:t>
      </w:r>
      <w:r w:rsidR="00A57089">
        <w:rPr>
          <w:rFonts w:ascii="Calibri" w:hAnsi="Calibri" w:cs="Calibri"/>
        </w:rPr>
        <w:t>byly</w:t>
      </w:r>
      <w:r>
        <w:rPr>
          <w:rFonts w:ascii="Calibri" w:hAnsi="Calibri" w:cs="Calibri"/>
        </w:rPr>
        <w:t xml:space="preserve"> vymezeny </w:t>
      </w:r>
      <w:r w:rsidR="00A57089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>v</w:t>
      </w:r>
      <w:r w:rsidRPr="0035389C">
        <w:rPr>
          <w:rFonts w:ascii="Calibri" w:hAnsi="Calibri" w:cs="Calibri"/>
        </w:rPr>
        <w:t xml:space="preserve"> </w:t>
      </w:r>
      <w:r w:rsidR="00A57089">
        <w:rPr>
          <w:rFonts w:ascii="Calibri" w:hAnsi="Calibri" w:cs="Calibri"/>
        </w:rPr>
        <w:t>n</w:t>
      </w:r>
      <w:r w:rsidRPr="0035389C">
        <w:rPr>
          <w:rFonts w:ascii="Calibri" w:hAnsi="Calibri" w:cs="Calibri"/>
        </w:rPr>
        <w:t>ařízení Evropského parlamentu a Rady (EU) 2024/1679 ze dne 13. června 2024</w:t>
      </w:r>
      <w:r w:rsidR="00A57089">
        <w:rPr>
          <w:rFonts w:ascii="Calibri" w:hAnsi="Calibri" w:cs="Calibri"/>
        </w:rPr>
        <w:t>,</w:t>
      </w:r>
      <w:r w:rsidRPr="0035389C">
        <w:rPr>
          <w:rFonts w:ascii="Calibri" w:hAnsi="Calibri" w:cs="Calibri"/>
        </w:rPr>
        <w:t xml:space="preserve"> o hlavních směrech Unie pro rozvoj transevropské dopravní sítě, o změně nařízení (EU)</w:t>
      </w:r>
      <w:r w:rsidR="00B217F7">
        <w:rPr>
          <w:rFonts w:ascii="Calibri" w:hAnsi="Calibri" w:cs="Calibri"/>
        </w:rPr>
        <w:t> </w:t>
      </w:r>
      <w:r w:rsidRPr="0035389C">
        <w:rPr>
          <w:rFonts w:ascii="Calibri" w:hAnsi="Calibri" w:cs="Calibri"/>
        </w:rPr>
        <w:t>2021/1153 a (EU) č. 913/2010 a o zrušení nařízení (EU) č.</w:t>
      </w:r>
      <w:r>
        <w:rPr>
          <w:rFonts w:ascii="Calibri" w:hAnsi="Calibri" w:cs="Calibri"/>
        </w:rPr>
        <w:t> </w:t>
      </w:r>
      <w:r w:rsidRPr="0035389C">
        <w:rPr>
          <w:rFonts w:ascii="Calibri" w:hAnsi="Calibri" w:cs="Calibri"/>
        </w:rPr>
        <w:t>1315/2013</w:t>
      </w:r>
      <w:r>
        <w:rPr>
          <w:rFonts w:ascii="Calibri" w:hAnsi="Calibri" w:cs="Calibri"/>
        </w:rPr>
        <w:t>.</w:t>
      </w:r>
    </w:p>
    <w:p w14:paraId="0F9DA284" w14:textId="77777777" w:rsidR="002627E0" w:rsidRDefault="002627E0" w:rsidP="003F00EC">
      <w:pPr>
        <w:spacing w:after="0"/>
        <w:rPr>
          <w:rFonts w:ascii="Calibri" w:hAnsi="Calibri" w:cs="Calibri"/>
          <w:b/>
          <w:bCs/>
        </w:rPr>
      </w:pPr>
    </w:p>
    <w:p w14:paraId="2D705D99" w14:textId="664970D5" w:rsidR="002627E0" w:rsidRPr="0035389C" w:rsidRDefault="002627E0" w:rsidP="003F00EC">
      <w:pPr>
        <w:spacing w:after="0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Plug-in hybridní vozidlo</w:t>
      </w:r>
      <w:r w:rsidR="00541464">
        <w:rPr>
          <w:rFonts w:ascii="Calibri" w:hAnsi="Calibri" w:cs="Calibri"/>
          <w:b/>
          <w:bCs/>
        </w:rPr>
        <w:t xml:space="preserve"> (PHEV)</w:t>
      </w:r>
      <w:r w:rsidRPr="0035389C">
        <w:rPr>
          <w:rFonts w:ascii="Calibri" w:hAnsi="Calibri" w:cs="Calibri"/>
        </w:rPr>
        <w:t xml:space="preserve"> je elektrické vozidlo s konvenčním spalovacím motorem kombinovaným s elektrickým pohonným systémem, které lze nabíjet z vnějšího zdroje elektrické energie.</w:t>
      </w:r>
    </w:p>
    <w:p w14:paraId="4AC38089" w14:textId="77777777" w:rsidR="002627E0" w:rsidRDefault="002627E0" w:rsidP="003F00EC">
      <w:pPr>
        <w:spacing w:after="0"/>
        <w:rPr>
          <w:rFonts w:ascii="Calibri" w:hAnsi="Calibri" w:cs="Calibri"/>
          <w:b/>
          <w:bCs/>
        </w:rPr>
      </w:pPr>
    </w:p>
    <w:p w14:paraId="7544FCD9" w14:textId="568540CF" w:rsidR="002627E0" w:rsidRPr="00737E85" w:rsidRDefault="002627E0" w:rsidP="003F00EC">
      <w:pPr>
        <w:spacing w:after="0"/>
        <w:rPr>
          <w:rFonts w:ascii="Calibri" w:hAnsi="Calibri" w:cs="Calibri"/>
        </w:rPr>
      </w:pPr>
      <w:r w:rsidRPr="003B6FF8">
        <w:rPr>
          <w:rFonts w:ascii="Calibri" w:hAnsi="Calibri" w:cs="Calibri"/>
          <w:b/>
          <w:bCs/>
        </w:rPr>
        <w:t>Pln</w:t>
      </w:r>
      <w:r w:rsidR="00477A93">
        <w:rPr>
          <w:rFonts w:ascii="Calibri" w:hAnsi="Calibri" w:cs="Calibri"/>
          <w:b/>
          <w:bCs/>
        </w:rPr>
        <w:t>i</w:t>
      </w:r>
      <w:r w:rsidRPr="003B6FF8">
        <w:rPr>
          <w:rFonts w:ascii="Calibri" w:hAnsi="Calibri" w:cs="Calibri"/>
          <w:b/>
          <w:bCs/>
        </w:rPr>
        <w:t xml:space="preserve">cí stanice </w:t>
      </w:r>
      <w:r w:rsidRPr="003B6FF8">
        <w:rPr>
          <w:rFonts w:ascii="Calibri" w:hAnsi="Calibri" w:cs="Calibri"/>
        </w:rPr>
        <w:t>– pln</w:t>
      </w:r>
      <w:r w:rsidR="00477A93">
        <w:rPr>
          <w:rFonts w:ascii="Calibri" w:hAnsi="Calibri" w:cs="Calibri"/>
        </w:rPr>
        <w:t>i</w:t>
      </w:r>
      <w:r w:rsidRPr="003B6FF8">
        <w:rPr>
          <w:rFonts w:ascii="Calibri" w:hAnsi="Calibri" w:cs="Calibri"/>
        </w:rPr>
        <w:t xml:space="preserve">cí zařízení pro </w:t>
      </w:r>
      <w:r>
        <w:rPr>
          <w:rFonts w:ascii="Calibri" w:hAnsi="Calibri" w:cs="Calibri"/>
        </w:rPr>
        <w:t>různé druhy alternativních paliv (H</w:t>
      </w:r>
      <w:r>
        <w:rPr>
          <w:rFonts w:ascii="Calibri" w:hAnsi="Calibri" w:cs="Calibri"/>
          <w:vertAlign w:val="subscript"/>
        </w:rPr>
        <w:t>2</w:t>
      </w:r>
      <w:r>
        <w:rPr>
          <w:rFonts w:ascii="Calibri" w:hAnsi="Calibri" w:cs="Calibri"/>
        </w:rPr>
        <w:t>, CNG, LNG, LPG)</w:t>
      </w:r>
      <w:r w:rsidR="00A57089">
        <w:rPr>
          <w:rFonts w:ascii="Calibri" w:hAnsi="Calibri" w:cs="Calibri"/>
        </w:rPr>
        <w:t>.</w:t>
      </w:r>
    </w:p>
    <w:p w14:paraId="6B36BD1C" w14:textId="77777777" w:rsidR="002627E0" w:rsidRDefault="002627E0" w:rsidP="003F00EC">
      <w:pPr>
        <w:spacing w:after="0"/>
        <w:rPr>
          <w:rFonts w:ascii="Calibri" w:hAnsi="Calibri" w:cs="Calibri"/>
          <w:b/>
          <w:bCs/>
        </w:rPr>
      </w:pPr>
    </w:p>
    <w:p w14:paraId="72A502B8" w14:textId="265D1F10" w:rsidR="002627E0" w:rsidRPr="0035389C" w:rsidRDefault="002627E0" w:rsidP="003F00EC">
      <w:pPr>
        <w:spacing w:after="0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Síť TEN-T</w:t>
      </w:r>
      <w:r w:rsidRPr="0035389C">
        <w:rPr>
          <w:rFonts w:ascii="Calibri" w:hAnsi="Calibri" w:cs="Calibri"/>
        </w:rPr>
        <w:t xml:space="preserve"> (transevropská dopravní síť) je tvořena infrastrukturou pro silniční, železniční, vnitrozemskou vodní, námořní, leteckou, multimodální dopravu a dopravu v městských uzlech. </w:t>
      </w:r>
      <w:r>
        <w:rPr>
          <w:rFonts w:ascii="Calibri" w:hAnsi="Calibri" w:cs="Calibri"/>
        </w:rPr>
        <w:t>D</w:t>
      </w:r>
      <w:r w:rsidRPr="0035389C">
        <w:rPr>
          <w:rFonts w:ascii="Calibri" w:hAnsi="Calibri" w:cs="Calibri"/>
        </w:rPr>
        <w:t xml:space="preserve">ělí </w:t>
      </w:r>
      <w:r>
        <w:rPr>
          <w:rFonts w:ascii="Calibri" w:hAnsi="Calibri" w:cs="Calibri"/>
        </w:rPr>
        <w:t xml:space="preserve">se </w:t>
      </w:r>
      <w:r w:rsidRPr="0035389C">
        <w:rPr>
          <w:rFonts w:ascii="Calibri" w:hAnsi="Calibri" w:cs="Calibri"/>
        </w:rPr>
        <w:t>na globální a hlavní síť TEN-T. Hlavní síť spojuje městské a další uzly jako přístavy, letiště, hraniční přechody.</w:t>
      </w:r>
      <w:r>
        <w:rPr>
          <w:rFonts w:ascii="Calibri" w:hAnsi="Calibri" w:cs="Calibri"/>
        </w:rPr>
        <w:t xml:space="preserve"> J</w:t>
      </w:r>
      <w:r w:rsidRPr="0035389C">
        <w:rPr>
          <w:rFonts w:ascii="Calibri" w:hAnsi="Calibri" w:cs="Calibri"/>
        </w:rPr>
        <w:t xml:space="preserve">e vymezena prostřednictvím mapových podkladů obsažených </w:t>
      </w:r>
      <w:r w:rsidR="00A57089">
        <w:rPr>
          <w:rFonts w:ascii="Calibri" w:hAnsi="Calibri" w:cs="Calibri"/>
        </w:rPr>
        <w:t xml:space="preserve">původně </w:t>
      </w:r>
      <w:r w:rsidRPr="0035389C">
        <w:rPr>
          <w:rFonts w:ascii="Calibri" w:hAnsi="Calibri" w:cs="Calibri"/>
        </w:rPr>
        <w:t xml:space="preserve">v přílohách </w:t>
      </w:r>
      <w:r w:rsidR="00A57089">
        <w:rPr>
          <w:rFonts w:ascii="Calibri" w:hAnsi="Calibri" w:cs="Calibri"/>
        </w:rPr>
        <w:t>n</w:t>
      </w:r>
      <w:r w:rsidRPr="0035389C">
        <w:rPr>
          <w:rFonts w:ascii="Calibri" w:hAnsi="Calibri" w:cs="Calibri"/>
        </w:rPr>
        <w:t>ařízení Evropského parlamentu a Rady (EU) 1315/2013 ze dne 11.</w:t>
      </w:r>
      <w:r w:rsidR="00A57089">
        <w:rPr>
          <w:rFonts w:ascii="Calibri" w:hAnsi="Calibri" w:cs="Calibri"/>
        </w:rPr>
        <w:t xml:space="preserve"> </w:t>
      </w:r>
      <w:r w:rsidRPr="0035389C">
        <w:rPr>
          <w:rFonts w:ascii="Calibri" w:hAnsi="Calibri" w:cs="Calibri"/>
        </w:rPr>
        <w:t>prosince 2013</w:t>
      </w:r>
      <w:r w:rsidR="00A57089">
        <w:rPr>
          <w:rFonts w:ascii="Calibri" w:hAnsi="Calibri" w:cs="Calibri"/>
        </w:rPr>
        <w:t>,</w:t>
      </w:r>
      <w:r w:rsidRPr="0035389C">
        <w:rPr>
          <w:rFonts w:ascii="Calibri" w:hAnsi="Calibri" w:cs="Calibri"/>
        </w:rPr>
        <w:t xml:space="preserve"> o</w:t>
      </w:r>
      <w:r w:rsidR="00A57089">
        <w:rPr>
          <w:rFonts w:ascii="Calibri" w:hAnsi="Calibri" w:cs="Calibri"/>
        </w:rPr>
        <w:t xml:space="preserve"> </w:t>
      </w:r>
      <w:r w:rsidRPr="0035389C">
        <w:rPr>
          <w:rFonts w:ascii="Calibri" w:hAnsi="Calibri" w:cs="Calibri"/>
        </w:rPr>
        <w:t>hlavních směrech Unie pro rozvoj transevropské dopravní sítě a o</w:t>
      </w:r>
      <w:r w:rsidR="00730241">
        <w:rPr>
          <w:rFonts w:ascii="Calibri" w:hAnsi="Calibri" w:cs="Calibri"/>
        </w:rPr>
        <w:t> </w:t>
      </w:r>
      <w:r w:rsidRPr="0035389C">
        <w:rPr>
          <w:rFonts w:ascii="Calibri" w:hAnsi="Calibri" w:cs="Calibri"/>
        </w:rPr>
        <w:t>zrušení rozhodnutí č. 661/2010/EU</w:t>
      </w:r>
      <w:r w:rsidR="00A57089">
        <w:rPr>
          <w:rFonts w:ascii="Calibri" w:hAnsi="Calibri" w:cs="Calibri"/>
        </w:rPr>
        <w:t>,</w:t>
      </w:r>
      <w:r w:rsidRPr="0035389C">
        <w:rPr>
          <w:rFonts w:ascii="Calibri" w:hAnsi="Calibri" w:cs="Calibri"/>
        </w:rPr>
        <w:t xml:space="preserve"> a následně </w:t>
      </w:r>
      <w:r w:rsidR="00804D1A">
        <w:rPr>
          <w:rFonts w:ascii="Calibri" w:hAnsi="Calibri" w:cs="Calibri"/>
        </w:rPr>
        <w:t>v</w:t>
      </w:r>
      <w:r w:rsidR="00A57089">
        <w:rPr>
          <w:rFonts w:ascii="Calibri" w:hAnsi="Calibri" w:cs="Calibri"/>
        </w:rPr>
        <w:t xml:space="preserve"> přílohách n</w:t>
      </w:r>
      <w:r w:rsidRPr="0035389C">
        <w:rPr>
          <w:rFonts w:ascii="Calibri" w:hAnsi="Calibri" w:cs="Calibri"/>
        </w:rPr>
        <w:t>ařízení Evropského parlamentu a Rady (EU) 2024/1679 ze dne 13. června 2024</w:t>
      </w:r>
      <w:r w:rsidR="00A57089">
        <w:rPr>
          <w:rFonts w:ascii="Calibri" w:hAnsi="Calibri" w:cs="Calibri"/>
        </w:rPr>
        <w:t>,</w:t>
      </w:r>
      <w:r w:rsidRPr="0035389C">
        <w:rPr>
          <w:rFonts w:ascii="Calibri" w:hAnsi="Calibri" w:cs="Calibri"/>
        </w:rPr>
        <w:t xml:space="preserve"> o hlavních směrech Unie pro rozvoj transevropské dopravní sítě, o změně nařízení (EU) 2021/1153 a (EU) č. 913/2010 a</w:t>
      </w:r>
      <w:r w:rsidR="00A57089">
        <w:rPr>
          <w:rFonts w:ascii="Calibri" w:hAnsi="Calibri" w:cs="Calibri"/>
        </w:rPr>
        <w:t> </w:t>
      </w:r>
      <w:r w:rsidRPr="0035389C">
        <w:rPr>
          <w:rFonts w:ascii="Calibri" w:hAnsi="Calibri" w:cs="Calibri"/>
        </w:rPr>
        <w:t>o</w:t>
      </w:r>
      <w:r w:rsidR="00A57089">
        <w:rPr>
          <w:rFonts w:ascii="Calibri" w:hAnsi="Calibri" w:cs="Calibri"/>
        </w:rPr>
        <w:t> </w:t>
      </w:r>
      <w:r w:rsidRPr="0035389C">
        <w:rPr>
          <w:rFonts w:ascii="Calibri" w:hAnsi="Calibri" w:cs="Calibri"/>
        </w:rPr>
        <w:t>zrušení nařízení (EU) č.</w:t>
      </w:r>
      <w:r>
        <w:rPr>
          <w:rFonts w:ascii="Calibri" w:hAnsi="Calibri" w:cs="Calibri"/>
        </w:rPr>
        <w:t> </w:t>
      </w:r>
      <w:r w:rsidRPr="0035389C">
        <w:rPr>
          <w:rFonts w:ascii="Calibri" w:hAnsi="Calibri" w:cs="Calibri"/>
        </w:rPr>
        <w:t>1315/2013</w:t>
      </w:r>
      <w:r>
        <w:rPr>
          <w:rFonts w:ascii="Calibri" w:hAnsi="Calibri" w:cs="Calibri"/>
        </w:rPr>
        <w:t>.</w:t>
      </w:r>
    </w:p>
    <w:p w14:paraId="3F6650A5" w14:textId="77777777" w:rsidR="002627E0" w:rsidRPr="00737E85" w:rsidRDefault="002627E0" w:rsidP="003F00EC">
      <w:pPr>
        <w:spacing w:after="0"/>
        <w:rPr>
          <w:rFonts w:ascii="Calibri" w:hAnsi="Calibri" w:cs="Calibri"/>
        </w:rPr>
      </w:pPr>
    </w:p>
    <w:p w14:paraId="533090E6" w14:textId="44EA1201" w:rsidR="002627E0" w:rsidRPr="0035389C" w:rsidRDefault="002627E0" w:rsidP="003F00EC">
      <w:pPr>
        <w:spacing w:after="0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Těžkým vozidlem</w:t>
      </w:r>
      <w:r w:rsidRPr="0035389C">
        <w:rPr>
          <w:rFonts w:ascii="Calibri" w:hAnsi="Calibri" w:cs="Calibri"/>
        </w:rPr>
        <w:t xml:space="preserve"> se dle nařízení AF</w:t>
      </w:r>
      <w:r>
        <w:rPr>
          <w:rFonts w:ascii="Calibri" w:hAnsi="Calibri" w:cs="Calibri"/>
        </w:rPr>
        <w:t>I</w:t>
      </w:r>
      <w:r w:rsidRPr="0035389C">
        <w:rPr>
          <w:rFonts w:ascii="Calibri" w:hAnsi="Calibri" w:cs="Calibri"/>
        </w:rPr>
        <w:t>R rozumí motorové vozidlo kategorie M2, kategorie M3</w:t>
      </w:r>
      <w:r w:rsidR="00A57089">
        <w:rPr>
          <w:rFonts w:ascii="Calibri" w:hAnsi="Calibri" w:cs="Calibri"/>
        </w:rPr>
        <w:t>,</w:t>
      </w:r>
      <w:r w:rsidRPr="0035389C">
        <w:rPr>
          <w:rFonts w:ascii="Calibri" w:hAnsi="Calibri" w:cs="Calibri"/>
        </w:rPr>
        <w:t xml:space="preserve"> kategorie N2 nebo kategorie N3</w:t>
      </w:r>
      <w:r w:rsidR="00A57089">
        <w:rPr>
          <w:rFonts w:ascii="Calibri" w:hAnsi="Calibri" w:cs="Calibri"/>
        </w:rPr>
        <w:t>.</w:t>
      </w:r>
      <w:r w:rsidRPr="0035389C">
        <w:rPr>
          <w:rFonts w:ascii="Calibri" w:hAnsi="Calibri" w:cs="Calibri"/>
        </w:rPr>
        <w:t xml:space="preserve"> </w:t>
      </w:r>
    </w:p>
    <w:p w14:paraId="6EF098BC" w14:textId="77777777" w:rsidR="002627E0" w:rsidRDefault="002627E0" w:rsidP="003F00EC">
      <w:pPr>
        <w:spacing w:after="0"/>
        <w:rPr>
          <w:rFonts w:ascii="Calibri" w:hAnsi="Calibri" w:cs="Calibri"/>
          <w:b/>
          <w:bCs/>
        </w:rPr>
      </w:pPr>
    </w:p>
    <w:p w14:paraId="1F205FDB" w14:textId="6A1740B9" w:rsidR="002627E0" w:rsidRPr="00272254" w:rsidRDefault="002627E0" w:rsidP="003F00EC">
      <w:pPr>
        <w:spacing w:after="0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Veřejně přístupnou dobíjecí stanicí</w:t>
      </w:r>
      <w:r w:rsidRPr="0035389C">
        <w:rPr>
          <w:rFonts w:ascii="Calibri" w:hAnsi="Calibri" w:cs="Calibri"/>
          <w:i/>
          <w:iCs/>
        </w:rPr>
        <w:t xml:space="preserve"> </w:t>
      </w:r>
      <w:r w:rsidRPr="0035389C">
        <w:rPr>
          <w:rFonts w:ascii="Calibri" w:hAnsi="Calibri" w:cs="Calibri"/>
        </w:rPr>
        <w:t>se dle zákona č. 311/2006 Sb.</w:t>
      </w:r>
      <w:r w:rsidRPr="0035389C">
        <w:rPr>
          <w:rFonts w:ascii="Calibri" w:hAnsi="Calibri" w:cs="Calibri"/>
          <w:i/>
          <w:iCs/>
        </w:rPr>
        <w:t xml:space="preserve"> </w:t>
      </w:r>
      <w:r w:rsidR="00A57089" w:rsidRPr="0035389C">
        <w:rPr>
          <w:rFonts w:ascii="Calibri" w:hAnsi="Calibri" w:cs="Calibri"/>
        </w:rPr>
        <w:t xml:space="preserve">rozumí </w:t>
      </w:r>
      <w:r w:rsidRPr="00272254">
        <w:rPr>
          <w:rFonts w:ascii="Calibri" w:hAnsi="Calibri" w:cs="Calibri"/>
        </w:rPr>
        <w:t>„</w:t>
      </w:r>
      <w:r w:rsidRPr="0035389C">
        <w:rPr>
          <w:rFonts w:ascii="Calibri" w:hAnsi="Calibri" w:cs="Calibri"/>
          <w:i/>
          <w:iCs/>
        </w:rPr>
        <w:t>dobíjecí stanice na dodávku elektřiny, jejíž provozovatel uživatelům z Evropské unie poskytuje nediskriminační přístup, přičemž nediskriminační přístup může zahrnovat různé podmínky ověření, použití a</w:t>
      </w:r>
      <w:r>
        <w:rPr>
          <w:rFonts w:ascii="Calibri" w:hAnsi="Calibri" w:cs="Calibri"/>
          <w:i/>
          <w:iCs/>
        </w:rPr>
        <w:t> </w:t>
      </w:r>
      <w:r w:rsidRPr="0035389C">
        <w:rPr>
          <w:rFonts w:ascii="Calibri" w:hAnsi="Calibri" w:cs="Calibri"/>
          <w:i/>
          <w:iCs/>
        </w:rPr>
        <w:t>platby</w:t>
      </w:r>
      <w:r w:rsidRPr="00A57089">
        <w:rPr>
          <w:rFonts w:ascii="Calibri" w:hAnsi="Calibri" w:cs="Calibri"/>
          <w:i/>
          <w:iCs/>
        </w:rPr>
        <w:t>.</w:t>
      </w:r>
      <w:r w:rsidRPr="00272254">
        <w:rPr>
          <w:rFonts w:ascii="Calibri" w:hAnsi="Calibri" w:cs="Calibri"/>
        </w:rPr>
        <w:t>“</w:t>
      </w:r>
    </w:p>
    <w:p w14:paraId="380A1C44" w14:textId="77777777" w:rsidR="002627E0" w:rsidRDefault="002627E0" w:rsidP="003F00EC">
      <w:pPr>
        <w:spacing w:after="0"/>
        <w:rPr>
          <w:rFonts w:ascii="Calibri" w:hAnsi="Calibri" w:cs="Calibri"/>
          <w:b/>
          <w:bCs/>
        </w:rPr>
      </w:pPr>
    </w:p>
    <w:p w14:paraId="76EB3005" w14:textId="6DAB630D" w:rsidR="002627E0" w:rsidRDefault="002627E0" w:rsidP="003F00EC">
      <w:pPr>
        <w:spacing w:after="0"/>
        <w:rPr>
          <w:rFonts w:ascii="Calibri" w:hAnsi="Calibri" w:cs="Calibri"/>
        </w:rPr>
      </w:pPr>
      <w:r w:rsidRPr="0035389C">
        <w:rPr>
          <w:rFonts w:ascii="Calibri" w:hAnsi="Calibri" w:cs="Calibri"/>
          <w:b/>
          <w:bCs/>
        </w:rPr>
        <w:t>Vysoce výkonným dobíjecím bodem</w:t>
      </w:r>
      <w:r w:rsidRPr="0035389C">
        <w:rPr>
          <w:rFonts w:ascii="Calibri" w:hAnsi="Calibri" w:cs="Calibri"/>
        </w:rPr>
        <w:t xml:space="preserve"> se dle zákona č. 311/2006 Sb. </w:t>
      </w:r>
      <w:r w:rsidR="00A57089" w:rsidRPr="0035389C">
        <w:rPr>
          <w:rFonts w:ascii="Calibri" w:hAnsi="Calibri" w:cs="Calibri"/>
        </w:rPr>
        <w:t xml:space="preserve">rozumí </w:t>
      </w:r>
      <w:r w:rsidRPr="0035389C">
        <w:rPr>
          <w:rFonts w:ascii="Calibri" w:hAnsi="Calibri" w:cs="Calibri"/>
        </w:rPr>
        <w:t>„</w:t>
      </w:r>
      <w:r w:rsidRPr="0035389C">
        <w:rPr>
          <w:rFonts w:ascii="Calibri" w:hAnsi="Calibri" w:cs="Calibri"/>
          <w:i/>
          <w:iCs/>
        </w:rPr>
        <w:t>dobíjecí bod, který umožňuje přenos elektřiny do elektrického vozidla s výkonem vyšším než 22 kW.</w:t>
      </w:r>
      <w:r w:rsidRPr="00272254">
        <w:rPr>
          <w:rFonts w:ascii="Calibri" w:hAnsi="Calibri" w:cs="Calibri"/>
        </w:rPr>
        <w:t>“</w:t>
      </w:r>
    </w:p>
    <w:p w14:paraId="379E2F6C" w14:textId="77777777" w:rsidR="002627E0" w:rsidRDefault="002627E0" w:rsidP="003F00EC">
      <w:pPr>
        <w:pStyle w:val="Textpoznpodarou"/>
        <w:rPr>
          <w:rFonts w:ascii="Calibri" w:hAnsi="Calibri" w:cs="Calibri"/>
          <w:b/>
          <w:bCs/>
          <w:sz w:val="24"/>
          <w:szCs w:val="24"/>
        </w:rPr>
      </w:pPr>
    </w:p>
    <w:p w14:paraId="4A8E0299" w14:textId="2C34E0A9" w:rsidR="002627E0" w:rsidRPr="0035389C" w:rsidRDefault="002627E0" w:rsidP="003F00EC">
      <w:pPr>
        <w:pStyle w:val="Textpoznpodarou"/>
        <w:rPr>
          <w:rFonts w:ascii="Calibri" w:hAnsi="Calibri" w:cs="Calibri"/>
          <w:color w:val="000000"/>
          <w:sz w:val="24"/>
          <w:szCs w:val="24"/>
        </w:rPr>
      </w:pPr>
      <w:r w:rsidRPr="009E687F">
        <w:rPr>
          <w:rFonts w:ascii="Calibri" w:hAnsi="Calibri" w:cs="Calibri"/>
          <w:b/>
          <w:bCs/>
          <w:sz w:val="24"/>
          <w:szCs w:val="24"/>
        </w:rPr>
        <w:t xml:space="preserve">Web </w:t>
      </w:r>
      <w:hyperlink r:id="rId25" w:history="1">
        <w:r w:rsidRPr="009E687F">
          <w:rPr>
            <w:rStyle w:val="Hypertextovodkaz"/>
            <w:rFonts w:ascii="Calibri" w:hAnsi="Calibri" w:cs="Calibri"/>
            <w:b/>
            <w:bCs/>
            <w:sz w:val="24"/>
            <w:szCs w:val="24"/>
          </w:rPr>
          <w:t>www.cistadoprava.cz</w:t>
        </w:r>
      </w:hyperlink>
      <w:r w:rsidRPr="0035389C">
        <w:rPr>
          <w:rFonts w:ascii="Calibri" w:hAnsi="Calibri" w:cs="Calibri"/>
          <w:sz w:val="24"/>
          <w:szCs w:val="24"/>
        </w:rPr>
        <w:t xml:space="preserve"> provozuje </w:t>
      </w:r>
      <w:r w:rsidRPr="0035389C">
        <w:rPr>
          <w:rFonts w:ascii="Calibri" w:hAnsi="Calibri" w:cs="Calibri"/>
          <w:color w:val="000000"/>
          <w:sz w:val="24"/>
          <w:szCs w:val="24"/>
        </w:rPr>
        <w:t>Centrum dopravního výzkumu, v.</w:t>
      </w:r>
      <w:r w:rsidR="00685D7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5389C">
        <w:rPr>
          <w:rFonts w:ascii="Calibri" w:hAnsi="Calibri" w:cs="Calibri"/>
          <w:color w:val="000000"/>
          <w:sz w:val="24"/>
          <w:szCs w:val="24"/>
        </w:rPr>
        <w:t>v.</w:t>
      </w:r>
      <w:r w:rsidR="00685D7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5389C">
        <w:rPr>
          <w:rFonts w:ascii="Calibri" w:hAnsi="Calibri" w:cs="Calibri"/>
          <w:color w:val="000000"/>
          <w:sz w:val="24"/>
          <w:szCs w:val="24"/>
        </w:rPr>
        <w:t xml:space="preserve">i., které je veřejnou výzkumnou institucí v působnosti Ministerstva dopravy a které bylo Ministerstvem dopravy pověřeno k zveřejňování </w:t>
      </w:r>
      <w:r w:rsidR="00A57089">
        <w:rPr>
          <w:rFonts w:ascii="Calibri" w:hAnsi="Calibri" w:cs="Calibri"/>
          <w:color w:val="000000"/>
          <w:sz w:val="24"/>
          <w:szCs w:val="24"/>
        </w:rPr>
        <w:t xml:space="preserve">dat o </w:t>
      </w:r>
      <w:r w:rsidRPr="0035389C">
        <w:rPr>
          <w:rFonts w:ascii="Calibri" w:hAnsi="Calibri" w:cs="Calibri"/>
          <w:color w:val="000000"/>
          <w:sz w:val="24"/>
          <w:szCs w:val="24"/>
        </w:rPr>
        <w:t>vývoj</w:t>
      </w:r>
      <w:r w:rsidR="00A57089">
        <w:rPr>
          <w:rFonts w:ascii="Calibri" w:hAnsi="Calibri" w:cs="Calibri"/>
          <w:color w:val="000000"/>
          <w:sz w:val="24"/>
          <w:szCs w:val="24"/>
        </w:rPr>
        <w:t>i</w:t>
      </w:r>
      <w:r w:rsidRPr="0035389C">
        <w:rPr>
          <w:rFonts w:ascii="Calibri" w:hAnsi="Calibri" w:cs="Calibri"/>
          <w:color w:val="000000"/>
          <w:sz w:val="24"/>
          <w:szCs w:val="24"/>
        </w:rPr>
        <w:t xml:space="preserve"> vozového parku na alternativní paliva v České republice. Aktualizované údaje zveřejňuje čtvrtletně na webu, přičemž data přejímá z </w:t>
      </w:r>
      <w:r w:rsidR="00A57089">
        <w:rPr>
          <w:rFonts w:ascii="Calibri" w:hAnsi="Calibri" w:cs="Calibri"/>
          <w:color w:val="000000"/>
          <w:sz w:val="24"/>
          <w:szCs w:val="24"/>
        </w:rPr>
        <w:t>r</w:t>
      </w:r>
      <w:r w:rsidRPr="0035389C">
        <w:rPr>
          <w:rFonts w:ascii="Calibri" w:hAnsi="Calibri" w:cs="Calibri"/>
          <w:color w:val="000000"/>
          <w:sz w:val="24"/>
          <w:szCs w:val="24"/>
        </w:rPr>
        <w:t xml:space="preserve">egistru </w:t>
      </w:r>
      <w:r w:rsidR="00804D1A">
        <w:rPr>
          <w:rFonts w:ascii="Calibri" w:hAnsi="Calibri" w:cs="Calibri"/>
          <w:color w:val="000000"/>
          <w:sz w:val="24"/>
          <w:szCs w:val="24"/>
        </w:rPr>
        <w:t xml:space="preserve">silničních </w:t>
      </w:r>
      <w:r w:rsidRPr="0035389C">
        <w:rPr>
          <w:rFonts w:ascii="Calibri" w:hAnsi="Calibri" w:cs="Calibri"/>
          <w:color w:val="000000"/>
          <w:sz w:val="24"/>
          <w:szCs w:val="24"/>
        </w:rPr>
        <w:t>vozidel</w:t>
      </w:r>
      <w:r>
        <w:rPr>
          <w:rFonts w:ascii="Calibri" w:hAnsi="Calibri" w:cs="Calibri"/>
          <w:color w:val="000000"/>
          <w:sz w:val="24"/>
          <w:szCs w:val="24"/>
        </w:rPr>
        <w:t xml:space="preserve">, popř. z </w:t>
      </w:r>
      <w:r w:rsidRPr="00543F8B">
        <w:rPr>
          <w:rFonts w:ascii="Calibri" w:hAnsi="Calibri" w:cs="Calibri"/>
          <w:color w:val="000000"/>
          <w:sz w:val="24"/>
          <w:szCs w:val="24"/>
        </w:rPr>
        <w:t>evidence Svazu dovozců automobilů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63A989A6" w14:textId="77777777" w:rsidR="002627E0" w:rsidRDefault="002627E0" w:rsidP="00272254">
      <w:pPr>
        <w:pStyle w:val="Nadpis2"/>
        <w:widowControl/>
        <w:numPr>
          <w:ilvl w:val="0"/>
          <w:numId w:val="0"/>
        </w:numPr>
        <w:spacing w:before="0"/>
        <w:ind w:left="567"/>
        <w:rPr>
          <w:lang w:eastAsia="en-US"/>
        </w:rPr>
      </w:pPr>
    </w:p>
    <w:p w14:paraId="231A858D" w14:textId="77777777" w:rsidR="001B2CA4" w:rsidRDefault="001B2CA4" w:rsidP="003F00EC">
      <w:pPr>
        <w:jc w:val="left"/>
        <w:rPr>
          <w:rFonts w:eastAsiaTheme="majorEastAsia" w:cstheme="majorBidi"/>
          <w:szCs w:val="26"/>
        </w:rPr>
        <w:sectPr w:rsidR="001B2CA4" w:rsidSect="00070253">
          <w:footerReference w:type="even" r:id="rId26"/>
          <w:footerReference w:type="default" r:id="rId27"/>
          <w:footerReference w:type="first" r:id="rId28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D4708B9" w14:textId="40240885" w:rsidR="00626B7E" w:rsidRDefault="00626B7E" w:rsidP="003F00EC">
      <w:pPr>
        <w:jc w:val="left"/>
        <w:rPr>
          <w:rFonts w:eastAsiaTheme="majorEastAsia" w:cstheme="majorBidi"/>
          <w:szCs w:val="26"/>
        </w:rPr>
      </w:pPr>
    </w:p>
    <w:p w14:paraId="339F38AA" w14:textId="22B4EDF2" w:rsidR="00D46E0F" w:rsidRPr="00272254" w:rsidRDefault="002D0486" w:rsidP="003532C1">
      <w:pPr>
        <w:spacing w:after="20"/>
        <w:rPr>
          <w:b/>
          <w:bCs/>
          <w:lang w:eastAsia="cs-CZ"/>
        </w:rPr>
      </w:pPr>
      <w:r w:rsidRPr="00272254">
        <w:rPr>
          <w:b/>
          <w:bCs/>
          <w:lang w:eastAsia="cs-CZ"/>
        </w:rPr>
        <w:t xml:space="preserve">Příloha č. </w:t>
      </w:r>
      <w:r w:rsidR="002627E0" w:rsidRPr="00272254">
        <w:rPr>
          <w:b/>
          <w:bCs/>
          <w:lang w:eastAsia="cs-CZ"/>
        </w:rPr>
        <w:t>2</w:t>
      </w:r>
      <w:r w:rsidRPr="00272254">
        <w:rPr>
          <w:b/>
          <w:bCs/>
          <w:lang w:eastAsia="cs-CZ"/>
        </w:rPr>
        <w:t>:</w:t>
      </w:r>
      <w:r w:rsidR="002627E0" w:rsidRPr="00272254">
        <w:rPr>
          <w:b/>
          <w:bCs/>
          <w:lang w:eastAsia="cs-CZ"/>
        </w:rPr>
        <w:t xml:space="preserve"> Seznam kontrolovaných </w:t>
      </w:r>
      <w:r w:rsidR="00487F88" w:rsidRPr="00272254">
        <w:rPr>
          <w:b/>
          <w:bCs/>
          <w:lang w:eastAsia="cs-CZ"/>
        </w:rPr>
        <w:t>projektů</w:t>
      </w:r>
    </w:p>
    <w:tbl>
      <w:tblPr>
        <w:tblW w:w="128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2721"/>
        <w:gridCol w:w="1701"/>
        <w:gridCol w:w="1304"/>
        <w:gridCol w:w="1928"/>
        <w:gridCol w:w="1928"/>
      </w:tblGrid>
      <w:tr w:rsidR="002D0486" w:rsidRPr="00070253" w14:paraId="7DECA9D9" w14:textId="77777777" w:rsidTr="003532C1">
        <w:trPr>
          <w:trHeight w:val="315"/>
        </w:trPr>
        <w:tc>
          <w:tcPr>
            <w:tcW w:w="3288" w:type="dxa"/>
            <w:shd w:val="clear" w:color="auto" w:fill="E2F1EE"/>
            <w:vAlign w:val="center"/>
            <w:hideMark/>
          </w:tcPr>
          <w:p w14:paraId="4D3544C5" w14:textId="5E2617D4" w:rsidR="002D0486" w:rsidRPr="00070253" w:rsidRDefault="002D0486" w:rsidP="003F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Registrační číslo </w:t>
            </w:r>
            <w:r w:rsidR="001B2CA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projektu</w:t>
            </w:r>
          </w:p>
        </w:tc>
        <w:tc>
          <w:tcPr>
            <w:tcW w:w="2721" w:type="dxa"/>
            <w:shd w:val="clear" w:color="auto" w:fill="E2F1EE"/>
            <w:vAlign w:val="center"/>
            <w:hideMark/>
          </w:tcPr>
          <w:p w14:paraId="0F9C26E4" w14:textId="287D92B5" w:rsidR="002D0486" w:rsidRPr="00070253" w:rsidRDefault="002D0486" w:rsidP="003F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1701" w:type="dxa"/>
            <w:shd w:val="clear" w:color="auto" w:fill="E2F1EE"/>
            <w:vAlign w:val="center"/>
            <w:hideMark/>
          </w:tcPr>
          <w:p w14:paraId="748CACD3" w14:textId="64E48E94" w:rsidR="002D0486" w:rsidRPr="00070253" w:rsidRDefault="002D0486" w:rsidP="003F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Příjemce podpory</w:t>
            </w:r>
          </w:p>
        </w:tc>
        <w:tc>
          <w:tcPr>
            <w:tcW w:w="1304" w:type="dxa"/>
            <w:shd w:val="clear" w:color="auto" w:fill="E2F1EE"/>
            <w:vAlign w:val="center"/>
            <w:hideMark/>
          </w:tcPr>
          <w:p w14:paraId="53CF1D1A" w14:textId="3B3C6CE5" w:rsidR="002D0486" w:rsidRPr="00070253" w:rsidRDefault="002D0486" w:rsidP="003F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928" w:type="dxa"/>
            <w:shd w:val="clear" w:color="auto" w:fill="E2F1EE"/>
            <w:vAlign w:val="center"/>
            <w:hideMark/>
          </w:tcPr>
          <w:p w14:paraId="3837B10C" w14:textId="58C1F177" w:rsidR="002D0486" w:rsidRPr="00070253" w:rsidRDefault="002D0486" w:rsidP="003F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702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</w:t>
            </w:r>
            <w:r w:rsidR="004203C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elkové způsobilé výdaje</w:t>
            </w:r>
            <w:r w:rsidR="00685D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702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projektu</w:t>
            </w:r>
          </w:p>
          <w:p w14:paraId="4B9C516D" w14:textId="471CD582" w:rsidR="002D0486" w:rsidRPr="00070253" w:rsidRDefault="002D0486" w:rsidP="003F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1928" w:type="dxa"/>
            <w:shd w:val="clear" w:color="auto" w:fill="E2F1EE"/>
            <w:vAlign w:val="center"/>
            <w:hideMark/>
          </w:tcPr>
          <w:p w14:paraId="46EC9A6A" w14:textId="766D0EC2" w:rsidR="002D0486" w:rsidRPr="00070253" w:rsidRDefault="005D7F16" w:rsidP="003F00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Proplacený </w:t>
            </w:r>
            <w:r w:rsidR="00033C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</w:t>
            </w:r>
            <w:r w:rsidR="002D0486" w:rsidRPr="000702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říspěvek EU </w:t>
            </w:r>
            <w:r w:rsidR="00033C9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</w:r>
            <w:r w:rsidR="002D0486" w:rsidRPr="000702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(v</w:t>
            </w:r>
            <w:r w:rsidR="007302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  <w:r w:rsidR="002D0486" w:rsidRPr="000702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</w:t>
            </w:r>
          </w:p>
        </w:tc>
      </w:tr>
      <w:tr w:rsidR="002D0486" w:rsidRPr="002D0486" w14:paraId="2568C781" w14:textId="77777777" w:rsidTr="003532C1">
        <w:trPr>
          <w:trHeight w:val="300"/>
        </w:trPr>
        <w:tc>
          <w:tcPr>
            <w:tcW w:w="3288" w:type="dxa"/>
            <w:noWrap/>
            <w:vAlign w:val="center"/>
            <w:hideMark/>
          </w:tcPr>
          <w:p w14:paraId="7B3CE5C3" w14:textId="2F6348E0" w:rsidR="002D0486" w:rsidRPr="002D0486" w:rsidRDefault="001B2CA4" w:rsidP="008F7A53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D0486"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16_038/0000250</w:t>
            </w:r>
          </w:p>
        </w:tc>
        <w:tc>
          <w:tcPr>
            <w:tcW w:w="2721" w:type="dxa"/>
            <w:noWrap/>
            <w:vAlign w:val="center"/>
            <w:hideMark/>
          </w:tcPr>
          <w:p w14:paraId="6A475476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Výstavba a instalace LNG stanic</w:t>
            </w:r>
          </w:p>
        </w:tc>
        <w:tc>
          <w:tcPr>
            <w:tcW w:w="1701" w:type="dxa"/>
            <w:noWrap/>
            <w:vAlign w:val="center"/>
            <w:hideMark/>
          </w:tcPr>
          <w:p w14:paraId="4D801EFD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GasNet</w:t>
            </w:r>
            <w:proofErr w:type="spellEnd"/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1304" w:type="dxa"/>
            <w:noWrap/>
            <w:vAlign w:val="center"/>
            <w:hideMark/>
          </w:tcPr>
          <w:p w14:paraId="4731ADDF" w14:textId="77777777" w:rsidR="002D0486" w:rsidRPr="002D0486" w:rsidRDefault="002D0486" w:rsidP="002722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27295567</w:t>
            </w:r>
          </w:p>
        </w:tc>
        <w:tc>
          <w:tcPr>
            <w:tcW w:w="1928" w:type="dxa"/>
            <w:noWrap/>
            <w:vAlign w:val="center"/>
            <w:hideMark/>
          </w:tcPr>
          <w:p w14:paraId="57E8154F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41 352 638,00</w:t>
            </w:r>
          </w:p>
        </w:tc>
        <w:tc>
          <w:tcPr>
            <w:tcW w:w="1928" w:type="dxa"/>
            <w:noWrap/>
            <w:vAlign w:val="center"/>
            <w:hideMark/>
          </w:tcPr>
          <w:p w14:paraId="7D86549B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14 473 423,30</w:t>
            </w:r>
          </w:p>
        </w:tc>
      </w:tr>
      <w:tr w:rsidR="002D0486" w:rsidRPr="002D0486" w14:paraId="288C5A49" w14:textId="77777777" w:rsidTr="003532C1">
        <w:trPr>
          <w:trHeight w:val="300"/>
        </w:trPr>
        <w:tc>
          <w:tcPr>
            <w:tcW w:w="3288" w:type="dxa"/>
            <w:noWrap/>
            <w:vAlign w:val="center"/>
            <w:hideMark/>
          </w:tcPr>
          <w:p w14:paraId="3FBA69D1" w14:textId="2FAD06F2" w:rsidR="002D0486" w:rsidRPr="002D0486" w:rsidRDefault="001B2CA4" w:rsidP="008F7A53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D0486"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16_038/0000244</w:t>
            </w:r>
          </w:p>
        </w:tc>
        <w:tc>
          <w:tcPr>
            <w:tcW w:w="2721" w:type="dxa"/>
            <w:noWrap/>
            <w:vAlign w:val="center"/>
            <w:hideMark/>
          </w:tcPr>
          <w:p w14:paraId="6D7A5B7A" w14:textId="66853613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Výstavba pln</w:t>
            </w:r>
            <w:r w:rsidR="00477A9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cích stanic LNG</w:t>
            </w:r>
          </w:p>
        </w:tc>
        <w:tc>
          <w:tcPr>
            <w:tcW w:w="1701" w:type="dxa"/>
            <w:noWrap/>
            <w:vAlign w:val="center"/>
            <w:hideMark/>
          </w:tcPr>
          <w:p w14:paraId="0A144E63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W.A.G. </w:t>
            </w:r>
            <w:proofErr w:type="spellStart"/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payment</w:t>
            </w:r>
            <w:proofErr w:type="spellEnd"/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solutions</w:t>
            </w:r>
            <w:proofErr w:type="spellEnd"/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a.s.</w:t>
            </w:r>
          </w:p>
        </w:tc>
        <w:tc>
          <w:tcPr>
            <w:tcW w:w="1304" w:type="dxa"/>
            <w:noWrap/>
            <w:vAlign w:val="center"/>
            <w:hideMark/>
          </w:tcPr>
          <w:p w14:paraId="480FD134" w14:textId="77777777" w:rsidR="002D0486" w:rsidRPr="002D0486" w:rsidRDefault="002D0486" w:rsidP="002722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26415623</w:t>
            </w:r>
          </w:p>
        </w:tc>
        <w:tc>
          <w:tcPr>
            <w:tcW w:w="1928" w:type="dxa"/>
            <w:noWrap/>
            <w:vAlign w:val="center"/>
            <w:hideMark/>
          </w:tcPr>
          <w:p w14:paraId="21D99C4C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48 191 336,00</w:t>
            </w:r>
          </w:p>
        </w:tc>
        <w:tc>
          <w:tcPr>
            <w:tcW w:w="1928" w:type="dxa"/>
            <w:noWrap/>
            <w:vAlign w:val="center"/>
            <w:hideMark/>
          </w:tcPr>
          <w:p w14:paraId="344DD25F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28 914 801,60</w:t>
            </w:r>
          </w:p>
        </w:tc>
      </w:tr>
      <w:tr w:rsidR="002D0486" w:rsidRPr="002D0486" w14:paraId="563A2404" w14:textId="77777777" w:rsidTr="003532C1">
        <w:trPr>
          <w:trHeight w:val="300"/>
        </w:trPr>
        <w:tc>
          <w:tcPr>
            <w:tcW w:w="3288" w:type="dxa"/>
            <w:noWrap/>
            <w:vAlign w:val="center"/>
            <w:hideMark/>
          </w:tcPr>
          <w:p w14:paraId="2B7058D8" w14:textId="5D7C882F" w:rsidR="002D0486" w:rsidRPr="002D0486" w:rsidRDefault="001B2CA4" w:rsidP="008F7A53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D0486"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16_039/0000317</w:t>
            </w:r>
          </w:p>
        </w:tc>
        <w:tc>
          <w:tcPr>
            <w:tcW w:w="2721" w:type="dxa"/>
            <w:noWrap/>
            <w:vAlign w:val="center"/>
            <w:hideMark/>
          </w:tcPr>
          <w:p w14:paraId="100D2466" w14:textId="1F786FFD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Výstavba vodíkových pln</w:t>
            </w:r>
            <w:r w:rsidR="00477A9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</w:t>
            </w: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cích stanic BENZINA</w:t>
            </w:r>
          </w:p>
        </w:tc>
        <w:tc>
          <w:tcPr>
            <w:tcW w:w="1701" w:type="dxa"/>
            <w:noWrap/>
            <w:vAlign w:val="center"/>
            <w:hideMark/>
          </w:tcPr>
          <w:p w14:paraId="633A0CEF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ORLEN Unipetrol RPA s.r.o.</w:t>
            </w:r>
          </w:p>
        </w:tc>
        <w:tc>
          <w:tcPr>
            <w:tcW w:w="1304" w:type="dxa"/>
            <w:noWrap/>
            <w:vAlign w:val="center"/>
            <w:hideMark/>
          </w:tcPr>
          <w:p w14:paraId="450F0949" w14:textId="77777777" w:rsidR="002D0486" w:rsidRPr="002D0486" w:rsidRDefault="002D0486" w:rsidP="002722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27597075</w:t>
            </w:r>
          </w:p>
        </w:tc>
        <w:tc>
          <w:tcPr>
            <w:tcW w:w="1928" w:type="dxa"/>
            <w:noWrap/>
            <w:vAlign w:val="center"/>
            <w:hideMark/>
          </w:tcPr>
          <w:p w14:paraId="6CE414E7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35 767 000,00</w:t>
            </w:r>
          </w:p>
        </w:tc>
        <w:tc>
          <w:tcPr>
            <w:tcW w:w="1928" w:type="dxa"/>
            <w:noWrap/>
            <w:vAlign w:val="center"/>
            <w:hideMark/>
          </w:tcPr>
          <w:p w14:paraId="0502C487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30 401 950,00</w:t>
            </w:r>
          </w:p>
        </w:tc>
      </w:tr>
      <w:tr w:rsidR="002D0486" w:rsidRPr="002D0486" w14:paraId="4A1B4F85" w14:textId="77777777" w:rsidTr="003532C1">
        <w:trPr>
          <w:trHeight w:val="300"/>
        </w:trPr>
        <w:tc>
          <w:tcPr>
            <w:tcW w:w="3288" w:type="dxa"/>
            <w:noWrap/>
            <w:vAlign w:val="center"/>
            <w:hideMark/>
          </w:tcPr>
          <w:p w14:paraId="0F849768" w14:textId="0CA46C77" w:rsidR="002D0486" w:rsidRPr="002D0486" w:rsidRDefault="001B2CA4" w:rsidP="008F7A53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D0486"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19_071/0000459</w:t>
            </w:r>
          </w:p>
        </w:tc>
        <w:tc>
          <w:tcPr>
            <w:tcW w:w="2721" w:type="dxa"/>
            <w:noWrap/>
            <w:vAlign w:val="center"/>
            <w:hideMark/>
          </w:tcPr>
          <w:p w14:paraId="6CB11E1C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Výstavba vodíkových plnicích stanic BENZINA - 2. fáze (Projekt 1)</w:t>
            </w:r>
          </w:p>
        </w:tc>
        <w:tc>
          <w:tcPr>
            <w:tcW w:w="1701" w:type="dxa"/>
            <w:noWrap/>
            <w:vAlign w:val="center"/>
            <w:hideMark/>
          </w:tcPr>
          <w:p w14:paraId="61DD1440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ORLEN Unipetrol RPA s.r.o.</w:t>
            </w:r>
          </w:p>
        </w:tc>
        <w:tc>
          <w:tcPr>
            <w:tcW w:w="1304" w:type="dxa"/>
            <w:noWrap/>
            <w:vAlign w:val="center"/>
            <w:hideMark/>
          </w:tcPr>
          <w:p w14:paraId="795ED3A8" w14:textId="77777777" w:rsidR="002D0486" w:rsidRPr="002D0486" w:rsidRDefault="002D0486" w:rsidP="002722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27597075</w:t>
            </w:r>
          </w:p>
        </w:tc>
        <w:tc>
          <w:tcPr>
            <w:tcW w:w="1928" w:type="dxa"/>
            <w:noWrap/>
            <w:vAlign w:val="center"/>
            <w:hideMark/>
          </w:tcPr>
          <w:p w14:paraId="45EAD043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44 510 000,00</w:t>
            </w:r>
          </w:p>
        </w:tc>
        <w:tc>
          <w:tcPr>
            <w:tcW w:w="1928" w:type="dxa"/>
            <w:noWrap/>
            <w:vAlign w:val="center"/>
            <w:hideMark/>
          </w:tcPr>
          <w:p w14:paraId="5C447A79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35 608 000,00</w:t>
            </w:r>
          </w:p>
        </w:tc>
      </w:tr>
      <w:tr w:rsidR="002D0486" w:rsidRPr="002D0486" w14:paraId="2B9AEC3E" w14:textId="77777777" w:rsidTr="003532C1">
        <w:trPr>
          <w:trHeight w:val="300"/>
        </w:trPr>
        <w:tc>
          <w:tcPr>
            <w:tcW w:w="3288" w:type="dxa"/>
            <w:noWrap/>
            <w:vAlign w:val="center"/>
            <w:hideMark/>
          </w:tcPr>
          <w:p w14:paraId="14C679CF" w14:textId="2675AE3C" w:rsidR="002D0486" w:rsidRPr="002D0486" w:rsidRDefault="001B2CA4" w:rsidP="008F7A53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D0486"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18_067/0000376</w:t>
            </w:r>
          </w:p>
        </w:tc>
        <w:tc>
          <w:tcPr>
            <w:tcW w:w="2721" w:type="dxa"/>
            <w:noWrap/>
            <w:vAlign w:val="center"/>
            <w:hideMark/>
          </w:tcPr>
          <w:p w14:paraId="1D3BC189" w14:textId="62A2997F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Doplňková síť dobíjecích </w:t>
            </w:r>
            <w:r w:rsidR="00033C9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</w: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stanic ČEZ a.s.</w:t>
            </w:r>
          </w:p>
        </w:tc>
        <w:tc>
          <w:tcPr>
            <w:tcW w:w="1701" w:type="dxa"/>
            <w:noWrap/>
            <w:vAlign w:val="center"/>
            <w:hideMark/>
          </w:tcPr>
          <w:p w14:paraId="187C5540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ČEZ, a. s.</w:t>
            </w:r>
          </w:p>
        </w:tc>
        <w:tc>
          <w:tcPr>
            <w:tcW w:w="1304" w:type="dxa"/>
            <w:noWrap/>
            <w:vAlign w:val="center"/>
            <w:hideMark/>
          </w:tcPr>
          <w:p w14:paraId="74DF3FBB" w14:textId="77777777" w:rsidR="002D0486" w:rsidRPr="002D0486" w:rsidRDefault="002D0486" w:rsidP="002722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45274649</w:t>
            </w:r>
          </w:p>
        </w:tc>
        <w:tc>
          <w:tcPr>
            <w:tcW w:w="1928" w:type="dxa"/>
            <w:noWrap/>
            <w:vAlign w:val="center"/>
            <w:hideMark/>
          </w:tcPr>
          <w:p w14:paraId="339CCDB7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40 974 850,00</w:t>
            </w:r>
          </w:p>
        </w:tc>
        <w:tc>
          <w:tcPr>
            <w:tcW w:w="1928" w:type="dxa"/>
            <w:noWrap/>
            <w:vAlign w:val="center"/>
            <w:hideMark/>
          </w:tcPr>
          <w:p w14:paraId="218CA4CC" w14:textId="0E22DD28" w:rsidR="002D0486" w:rsidRPr="002D0486" w:rsidRDefault="00EE3578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12 062 237,73</w:t>
            </w:r>
          </w:p>
        </w:tc>
      </w:tr>
      <w:tr w:rsidR="002D0486" w:rsidRPr="002D0486" w14:paraId="1A968182" w14:textId="77777777" w:rsidTr="003532C1">
        <w:trPr>
          <w:trHeight w:val="300"/>
        </w:trPr>
        <w:tc>
          <w:tcPr>
            <w:tcW w:w="3288" w:type="dxa"/>
            <w:noWrap/>
            <w:vAlign w:val="center"/>
            <w:hideMark/>
          </w:tcPr>
          <w:p w14:paraId="7165E0F6" w14:textId="05E6F509" w:rsidR="002D0486" w:rsidRPr="002D0486" w:rsidRDefault="001B2CA4" w:rsidP="008F7A53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D0486"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19_069/0000466</w:t>
            </w:r>
          </w:p>
        </w:tc>
        <w:tc>
          <w:tcPr>
            <w:tcW w:w="2721" w:type="dxa"/>
            <w:noWrap/>
            <w:vAlign w:val="center"/>
            <w:hideMark/>
          </w:tcPr>
          <w:p w14:paraId="6C74206C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Metropolitní síť II</w:t>
            </w:r>
          </w:p>
        </w:tc>
        <w:tc>
          <w:tcPr>
            <w:tcW w:w="1701" w:type="dxa"/>
            <w:noWrap/>
            <w:vAlign w:val="center"/>
            <w:hideMark/>
          </w:tcPr>
          <w:p w14:paraId="3E0CAE2B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Pražská energetika, a.s.</w:t>
            </w:r>
          </w:p>
        </w:tc>
        <w:tc>
          <w:tcPr>
            <w:tcW w:w="1304" w:type="dxa"/>
            <w:noWrap/>
            <w:vAlign w:val="center"/>
            <w:hideMark/>
          </w:tcPr>
          <w:p w14:paraId="078286DC" w14:textId="77777777" w:rsidR="002D0486" w:rsidRPr="002D0486" w:rsidRDefault="002D0486" w:rsidP="002722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60193913</w:t>
            </w:r>
          </w:p>
        </w:tc>
        <w:tc>
          <w:tcPr>
            <w:tcW w:w="1928" w:type="dxa"/>
            <w:noWrap/>
            <w:vAlign w:val="center"/>
            <w:hideMark/>
          </w:tcPr>
          <w:p w14:paraId="357C543B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72 981 000,00</w:t>
            </w:r>
          </w:p>
        </w:tc>
        <w:tc>
          <w:tcPr>
            <w:tcW w:w="1928" w:type="dxa"/>
            <w:noWrap/>
            <w:vAlign w:val="center"/>
            <w:hideMark/>
          </w:tcPr>
          <w:p w14:paraId="7DB818A6" w14:textId="6A8B05F2" w:rsidR="002D0486" w:rsidRPr="002D0486" w:rsidRDefault="00EE3578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34 129 212,82</w:t>
            </w:r>
          </w:p>
        </w:tc>
      </w:tr>
      <w:tr w:rsidR="002D0486" w:rsidRPr="002D0486" w14:paraId="13DABEE2" w14:textId="77777777" w:rsidTr="003532C1">
        <w:trPr>
          <w:trHeight w:val="300"/>
        </w:trPr>
        <w:tc>
          <w:tcPr>
            <w:tcW w:w="3288" w:type="dxa"/>
            <w:noWrap/>
            <w:vAlign w:val="center"/>
            <w:hideMark/>
          </w:tcPr>
          <w:p w14:paraId="1AF30C9B" w14:textId="2C15DBFE" w:rsidR="002D0486" w:rsidRPr="002D0486" w:rsidRDefault="001B2CA4" w:rsidP="008F7A53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D0486"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19_068/0000452</w:t>
            </w:r>
          </w:p>
        </w:tc>
        <w:tc>
          <w:tcPr>
            <w:tcW w:w="2721" w:type="dxa"/>
            <w:noWrap/>
            <w:vAlign w:val="center"/>
            <w:hideMark/>
          </w:tcPr>
          <w:p w14:paraId="79374882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Výstavba sítě rychlodobíjecích stanic E.ON</w:t>
            </w:r>
          </w:p>
        </w:tc>
        <w:tc>
          <w:tcPr>
            <w:tcW w:w="1701" w:type="dxa"/>
            <w:noWrap/>
            <w:vAlign w:val="center"/>
            <w:hideMark/>
          </w:tcPr>
          <w:p w14:paraId="58E597E4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E.ON Česká republika, s. r. o.</w:t>
            </w:r>
          </w:p>
        </w:tc>
        <w:tc>
          <w:tcPr>
            <w:tcW w:w="1304" w:type="dxa"/>
            <w:noWrap/>
            <w:vAlign w:val="center"/>
            <w:hideMark/>
          </w:tcPr>
          <w:p w14:paraId="7B00D89F" w14:textId="77777777" w:rsidR="002D0486" w:rsidRPr="002D0486" w:rsidRDefault="002D0486" w:rsidP="002722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25733591</w:t>
            </w:r>
          </w:p>
        </w:tc>
        <w:tc>
          <w:tcPr>
            <w:tcW w:w="1928" w:type="dxa"/>
            <w:noWrap/>
            <w:vAlign w:val="center"/>
            <w:hideMark/>
          </w:tcPr>
          <w:p w14:paraId="6A8340F3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138 065 200,00</w:t>
            </w:r>
          </w:p>
        </w:tc>
        <w:tc>
          <w:tcPr>
            <w:tcW w:w="1928" w:type="dxa"/>
            <w:noWrap/>
            <w:vAlign w:val="center"/>
            <w:hideMark/>
          </w:tcPr>
          <w:p w14:paraId="485F876A" w14:textId="726FFA84" w:rsidR="002D0486" w:rsidRPr="002D0486" w:rsidRDefault="00EE3578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88 407 085,93</w:t>
            </w:r>
          </w:p>
        </w:tc>
      </w:tr>
      <w:tr w:rsidR="002D0486" w:rsidRPr="002D0486" w14:paraId="49FBAA65" w14:textId="77777777" w:rsidTr="003532C1">
        <w:trPr>
          <w:trHeight w:val="300"/>
        </w:trPr>
        <w:tc>
          <w:tcPr>
            <w:tcW w:w="3288" w:type="dxa"/>
            <w:noWrap/>
            <w:vAlign w:val="center"/>
            <w:hideMark/>
          </w:tcPr>
          <w:p w14:paraId="49D9A19E" w14:textId="29F3F5EA" w:rsidR="002D0486" w:rsidRPr="002D0486" w:rsidRDefault="001B2CA4" w:rsidP="008F7A53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D0486"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20_084/0000526</w:t>
            </w:r>
          </w:p>
        </w:tc>
        <w:tc>
          <w:tcPr>
            <w:tcW w:w="2721" w:type="dxa"/>
            <w:noWrap/>
            <w:vAlign w:val="center"/>
            <w:hideMark/>
          </w:tcPr>
          <w:p w14:paraId="3D1A091C" w14:textId="7CE2483C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Doplňková síť dobíjecích </w:t>
            </w:r>
            <w:r w:rsidR="00033C9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</w: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stanic ČEZ II</w:t>
            </w:r>
          </w:p>
        </w:tc>
        <w:tc>
          <w:tcPr>
            <w:tcW w:w="1701" w:type="dxa"/>
            <w:noWrap/>
            <w:vAlign w:val="center"/>
            <w:hideMark/>
          </w:tcPr>
          <w:p w14:paraId="2ADC416D" w14:textId="77777777" w:rsidR="002D0486" w:rsidRPr="002D0486" w:rsidRDefault="002D0486" w:rsidP="00272254">
            <w:pPr>
              <w:spacing w:after="0"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ČEZ, a. s.</w:t>
            </w:r>
          </w:p>
        </w:tc>
        <w:tc>
          <w:tcPr>
            <w:tcW w:w="1304" w:type="dxa"/>
            <w:noWrap/>
            <w:vAlign w:val="center"/>
            <w:hideMark/>
          </w:tcPr>
          <w:p w14:paraId="5EC6CCA9" w14:textId="77777777" w:rsidR="002D0486" w:rsidRPr="002D0486" w:rsidRDefault="002D0486" w:rsidP="002722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45274649</w:t>
            </w:r>
          </w:p>
        </w:tc>
        <w:tc>
          <w:tcPr>
            <w:tcW w:w="1928" w:type="dxa"/>
            <w:noWrap/>
            <w:vAlign w:val="center"/>
            <w:hideMark/>
          </w:tcPr>
          <w:p w14:paraId="0BA655FA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15 300 000,00</w:t>
            </w:r>
          </w:p>
        </w:tc>
        <w:tc>
          <w:tcPr>
            <w:tcW w:w="1928" w:type="dxa"/>
            <w:noWrap/>
            <w:vAlign w:val="center"/>
            <w:hideMark/>
          </w:tcPr>
          <w:p w14:paraId="073CFE7D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10 710 000,00</w:t>
            </w:r>
          </w:p>
        </w:tc>
      </w:tr>
      <w:tr w:rsidR="002D0486" w:rsidRPr="002D0486" w14:paraId="2449928C" w14:textId="77777777" w:rsidTr="003532C1">
        <w:trPr>
          <w:trHeight w:val="300"/>
        </w:trPr>
        <w:tc>
          <w:tcPr>
            <w:tcW w:w="3288" w:type="dxa"/>
            <w:noWrap/>
            <w:vAlign w:val="center"/>
          </w:tcPr>
          <w:p w14:paraId="0938E1CF" w14:textId="1CC050FE" w:rsidR="002D0486" w:rsidRPr="002D0486" w:rsidRDefault="002D0486" w:rsidP="008F7A5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21" w:type="dxa"/>
            <w:noWrap/>
            <w:vAlign w:val="bottom"/>
          </w:tcPr>
          <w:p w14:paraId="663B6AF5" w14:textId="77777777" w:rsidR="002D0486" w:rsidRPr="002D0486" w:rsidRDefault="002D0486" w:rsidP="003F0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noWrap/>
            <w:vAlign w:val="bottom"/>
          </w:tcPr>
          <w:p w14:paraId="10833204" w14:textId="77777777" w:rsidR="002D0486" w:rsidRPr="002D0486" w:rsidRDefault="002D0486" w:rsidP="003F0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04" w:type="dxa"/>
            <w:noWrap/>
            <w:vAlign w:val="center"/>
          </w:tcPr>
          <w:p w14:paraId="14228458" w14:textId="77777777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28" w:type="dxa"/>
            <w:noWrap/>
            <w:vAlign w:val="center"/>
          </w:tcPr>
          <w:p w14:paraId="0B3BE2FD" w14:textId="68E8741B" w:rsidR="002D0486" w:rsidRPr="002D0486" w:rsidRDefault="002D0486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2D048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437 142 024,00</w:t>
            </w:r>
          </w:p>
        </w:tc>
        <w:tc>
          <w:tcPr>
            <w:tcW w:w="1928" w:type="dxa"/>
            <w:noWrap/>
            <w:vAlign w:val="center"/>
          </w:tcPr>
          <w:p w14:paraId="137FAE2C" w14:textId="4CEA7F7B" w:rsidR="002D0486" w:rsidRPr="002D0486" w:rsidRDefault="00EE3578" w:rsidP="008F7A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254 706 711,38</w:t>
            </w:r>
          </w:p>
        </w:tc>
      </w:tr>
    </w:tbl>
    <w:p w14:paraId="39A0143D" w14:textId="492BC36B" w:rsidR="00070253" w:rsidRDefault="00070253" w:rsidP="003F00EC">
      <w:pPr>
        <w:spacing w:after="0"/>
        <w:rPr>
          <w:lang w:eastAsia="cs-CZ"/>
        </w:rPr>
      </w:pPr>
    </w:p>
    <w:p w14:paraId="2EF4C5C6" w14:textId="77777777" w:rsidR="00070253" w:rsidRDefault="00070253" w:rsidP="00272254">
      <w:pPr>
        <w:pStyle w:val="Nadpis2"/>
        <w:widowControl/>
        <w:spacing w:before="0"/>
      </w:pPr>
      <w:r>
        <w:br w:type="page"/>
      </w:r>
    </w:p>
    <w:p w14:paraId="262D115D" w14:textId="77777777" w:rsidR="00070253" w:rsidRDefault="00070253" w:rsidP="003F00EC">
      <w:pPr>
        <w:spacing w:after="0"/>
        <w:rPr>
          <w:lang w:eastAsia="cs-CZ"/>
        </w:rPr>
        <w:sectPr w:rsidR="00070253" w:rsidSect="001B2CA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EA1A395" w14:textId="3A392B5A" w:rsidR="00070253" w:rsidRPr="00272254" w:rsidRDefault="00070253" w:rsidP="003F00EC">
      <w:pPr>
        <w:spacing w:after="0"/>
        <w:rPr>
          <w:b/>
          <w:bCs/>
          <w:lang w:eastAsia="cs-CZ"/>
        </w:rPr>
      </w:pPr>
      <w:r w:rsidRPr="00272254">
        <w:rPr>
          <w:b/>
          <w:bCs/>
          <w:lang w:eastAsia="cs-CZ"/>
        </w:rPr>
        <w:lastRenderedPageBreak/>
        <w:t xml:space="preserve">Příloha č. </w:t>
      </w:r>
      <w:r w:rsidR="005E10B0" w:rsidRPr="00272254">
        <w:rPr>
          <w:b/>
          <w:bCs/>
          <w:lang w:eastAsia="cs-CZ"/>
        </w:rPr>
        <w:t>3</w:t>
      </w:r>
      <w:r w:rsidRPr="00272254">
        <w:rPr>
          <w:b/>
          <w:bCs/>
          <w:lang w:eastAsia="cs-CZ"/>
        </w:rPr>
        <w:t>:</w:t>
      </w:r>
      <w:r w:rsidR="000A094A" w:rsidRPr="00272254">
        <w:rPr>
          <w:b/>
          <w:bCs/>
          <w:lang w:eastAsia="cs-CZ"/>
        </w:rPr>
        <w:t xml:space="preserve"> Vytížení dobíjecích stanic</w:t>
      </w:r>
      <w:r w:rsidR="00952663" w:rsidRPr="00272254">
        <w:rPr>
          <w:b/>
          <w:bCs/>
          <w:lang w:eastAsia="cs-CZ"/>
        </w:rPr>
        <w:t xml:space="preserve"> u</w:t>
      </w:r>
      <w:r w:rsidR="000A094A" w:rsidRPr="00272254">
        <w:rPr>
          <w:b/>
          <w:bCs/>
          <w:lang w:eastAsia="cs-CZ"/>
        </w:rPr>
        <w:t xml:space="preserve"> vybraných projektů</w:t>
      </w:r>
    </w:p>
    <w:p w14:paraId="0CF6143C" w14:textId="77777777" w:rsidR="00070253" w:rsidRDefault="00070253" w:rsidP="00272254">
      <w:pPr>
        <w:pStyle w:val="Nadpis2"/>
        <w:widowControl/>
        <w:numPr>
          <w:ilvl w:val="0"/>
          <w:numId w:val="0"/>
        </w:numPr>
        <w:spacing w:before="0"/>
        <w:ind w:left="567" w:hanging="567"/>
      </w:pP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1"/>
        <w:gridCol w:w="2551"/>
        <w:gridCol w:w="1587"/>
        <w:gridCol w:w="1587"/>
      </w:tblGrid>
      <w:tr w:rsidR="002A3EFE" w:rsidRPr="00070253" w14:paraId="3D585238" w14:textId="4BE3BC5C" w:rsidTr="00033C95">
        <w:trPr>
          <w:trHeight w:val="567"/>
        </w:trPr>
        <w:tc>
          <w:tcPr>
            <w:tcW w:w="3231" w:type="dxa"/>
            <w:shd w:val="clear" w:color="auto" w:fill="E2F1EE"/>
            <w:vAlign w:val="center"/>
            <w:hideMark/>
          </w:tcPr>
          <w:p w14:paraId="22F4D1CB" w14:textId="50DC1426" w:rsidR="002A3EFE" w:rsidRPr="00070253" w:rsidRDefault="002A3EFE" w:rsidP="008F7A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Registrační číslo </w:t>
            </w:r>
            <w:r w:rsidR="008F7A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projektu</w:t>
            </w:r>
          </w:p>
        </w:tc>
        <w:tc>
          <w:tcPr>
            <w:tcW w:w="2551" w:type="dxa"/>
            <w:shd w:val="clear" w:color="auto" w:fill="E2F1EE"/>
            <w:vAlign w:val="center"/>
            <w:hideMark/>
          </w:tcPr>
          <w:p w14:paraId="25212D6B" w14:textId="58F64480" w:rsidR="002A3EFE" w:rsidRPr="00070253" w:rsidRDefault="002A3EFE" w:rsidP="008F7A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  <w:r w:rsidRPr="000702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atum dokončení projektu</w:t>
            </w:r>
          </w:p>
        </w:tc>
        <w:tc>
          <w:tcPr>
            <w:tcW w:w="1587" w:type="dxa"/>
            <w:shd w:val="clear" w:color="auto" w:fill="E2F1EE"/>
            <w:vAlign w:val="center"/>
            <w:hideMark/>
          </w:tcPr>
          <w:p w14:paraId="04D81F17" w14:textId="77777777" w:rsidR="002A3EFE" w:rsidRPr="00070253" w:rsidRDefault="002A3EFE" w:rsidP="008F7A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 lokalit DS</w:t>
            </w:r>
          </w:p>
        </w:tc>
        <w:tc>
          <w:tcPr>
            <w:tcW w:w="1587" w:type="dxa"/>
            <w:shd w:val="clear" w:color="auto" w:fill="E2F1EE"/>
            <w:vAlign w:val="center"/>
            <w:hideMark/>
          </w:tcPr>
          <w:p w14:paraId="722D7830" w14:textId="77777777" w:rsidR="002A3EFE" w:rsidRPr="00070253" w:rsidRDefault="002A3EFE" w:rsidP="008F7A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 DS</w:t>
            </w:r>
          </w:p>
        </w:tc>
      </w:tr>
      <w:tr w:rsidR="002A3EFE" w:rsidRPr="00070253" w14:paraId="4A394C21" w14:textId="77777777" w:rsidTr="008F7A53">
        <w:trPr>
          <w:trHeight w:val="315"/>
        </w:trPr>
        <w:tc>
          <w:tcPr>
            <w:tcW w:w="3231" w:type="dxa"/>
            <w:shd w:val="clear" w:color="000000" w:fill="FFFFFF"/>
            <w:noWrap/>
            <w:vAlign w:val="center"/>
            <w:hideMark/>
          </w:tcPr>
          <w:p w14:paraId="2C0F733B" w14:textId="2E0FE638" w:rsidR="002A3EFE" w:rsidRPr="00070253" w:rsidRDefault="008F7A53" w:rsidP="008F7A53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A3EFE"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18_067/0000376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7C471FA" w14:textId="7B24B906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</w:t>
            </w:r>
            <w:r w:rsidR="008F7A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12.</w:t>
            </w:r>
            <w:r w:rsidR="008F7A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14:paraId="765571F6" w14:textId="77777777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587" w:type="dxa"/>
            <w:shd w:val="clear" w:color="000000" w:fill="FFFFFF"/>
            <w:noWrap/>
            <w:vAlign w:val="center"/>
            <w:hideMark/>
          </w:tcPr>
          <w:p w14:paraId="4701EB05" w14:textId="77777777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63</w:t>
            </w:r>
          </w:p>
        </w:tc>
      </w:tr>
      <w:tr w:rsidR="002A3EFE" w:rsidRPr="00070253" w14:paraId="0162B694" w14:textId="77777777" w:rsidTr="008F7A53">
        <w:trPr>
          <w:trHeight w:val="315"/>
        </w:trPr>
        <w:tc>
          <w:tcPr>
            <w:tcW w:w="3231" w:type="dxa"/>
            <w:noWrap/>
            <w:vAlign w:val="center"/>
            <w:hideMark/>
          </w:tcPr>
          <w:p w14:paraId="132A61FC" w14:textId="312A954C" w:rsidR="002A3EFE" w:rsidRPr="00070253" w:rsidRDefault="008F7A53" w:rsidP="008F7A53">
            <w:pPr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A3EFE" w:rsidRPr="00070253">
              <w:rPr>
                <w:rFonts w:eastAsia="Times New Roman" w:cstheme="minorHAnsi"/>
                <w:sz w:val="20"/>
                <w:szCs w:val="20"/>
                <w:lang w:eastAsia="cs-CZ"/>
              </w:rPr>
              <w:t>20_084/0000526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BFDCBC6" w14:textId="25FDD065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</w:t>
            </w:r>
            <w:r w:rsidR="008F7A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3.</w:t>
            </w:r>
            <w:r w:rsidR="008F7A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587" w:type="dxa"/>
            <w:noWrap/>
            <w:vAlign w:val="center"/>
            <w:hideMark/>
          </w:tcPr>
          <w:p w14:paraId="327F52DB" w14:textId="77777777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587" w:type="dxa"/>
            <w:noWrap/>
            <w:vAlign w:val="center"/>
            <w:hideMark/>
          </w:tcPr>
          <w:p w14:paraId="599A72EC" w14:textId="77777777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sz w:val="20"/>
                <w:szCs w:val="20"/>
                <w:lang w:eastAsia="cs-CZ"/>
              </w:rPr>
              <w:t>51</w:t>
            </w:r>
          </w:p>
        </w:tc>
      </w:tr>
      <w:tr w:rsidR="002A3EFE" w:rsidRPr="00070253" w14:paraId="79678D11" w14:textId="77777777" w:rsidTr="008F7A53">
        <w:trPr>
          <w:trHeight w:val="315"/>
        </w:trPr>
        <w:tc>
          <w:tcPr>
            <w:tcW w:w="3231" w:type="dxa"/>
            <w:noWrap/>
            <w:vAlign w:val="center"/>
            <w:hideMark/>
          </w:tcPr>
          <w:p w14:paraId="43030F34" w14:textId="05261C29" w:rsidR="002A3EFE" w:rsidRPr="00070253" w:rsidRDefault="008F7A53" w:rsidP="008F7A53">
            <w:pPr>
              <w:spacing w:after="0" w:line="240" w:lineRule="auto"/>
              <w:jc w:val="lef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A3EFE" w:rsidRPr="00070253">
              <w:rPr>
                <w:rFonts w:eastAsia="Times New Roman" w:cstheme="minorHAnsi"/>
                <w:sz w:val="20"/>
                <w:szCs w:val="20"/>
                <w:lang w:eastAsia="cs-CZ"/>
              </w:rPr>
              <w:t>19_068/0000452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676B03A6" w14:textId="15307D53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31.</w:t>
            </w:r>
            <w:r w:rsidR="008F7A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8.</w:t>
            </w:r>
            <w:r w:rsidR="008F7A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587" w:type="dxa"/>
            <w:noWrap/>
            <w:vAlign w:val="center"/>
            <w:hideMark/>
          </w:tcPr>
          <w:p w14:paraId="0F77E0BB" w14:textId="77777777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587" w:type="dxa"/>
            <w:noWrap/>
            <w:vAlign w:val="center"/>
            <w:hideMark/>
          </w:tcPr>
          <w:p w14:paraId="04F52F38" w14:textId="77777777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sz w:val="20"/>
                <w:szCs w:val="20"/>
                <w:lang w:eastAsia="cs-CZ"/>
              </w:rPr>
              <w:t>125</w:t>
            </w:r>
          </w:p>
        </w:tc>
      </w:tr>
      <w:tr w:rsidR="002A3EFE" w:rsidRPr="00070253" w14:paraId="688C6055" w14:textId="77777777" w:rsidTr="008F7A53">
        <w:trPr>
          <w:trHeight w:val="315"/>
        </w:trPr>
        <w:tc>
          <w:tcPr>
            <w:tcW w:w="3231" w:type="dxa"/>
            <w:vAlign w:val="center"/>
            <w:hideMark/>
          </w:tcPr>
          <w:p w14:paraId="149BC921" w14:textId="402A06C2" w:rsidR="002A3EFE" w:rsidRPr="00070253" w:rsidRDefault="008F7A53" w:rsidP="008F7A53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1B2CA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CZ.04.2.40/0.0/0.0/</w:t>
            </w:r>
            <w:r w:rsidR="002A3EFE"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19_069/0000466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77FA585" w14:textId="00448956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30.</w:t>
            </w:r>
            <w:r w:rsidR="008F7A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6.</w:t>
            </w:r>
            <w:r w:rsidR="008F7A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587" w:type="dxa"/>
            <w:vAlign w:val="center"/>
            <w:hideMark/>
          </w:tcPr>
          <w:p w14:paraId="36FDB170" w14:textId="77777777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1587" w:type="dxa"/>
            <w:noWrap/>
            <w:vAlign w:val="center"/>
            <w:hideMark/>
          </w:tcPr>
          <w:p w14:paraId="3D8CF286" w14:textId="77777777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265</w:t>
            </w:r>
          </w:p>
        </w:tc>
      </w:tr>
      <w:tr w:rsidR="002A3EFE" w:rsidRPr="00070253" w14:paraId="38C81571" w14:textId="77777777" w:rsidTr="008F7A53">
        <w:trPr>
          <w:trHeight w:val="315"/>
        </w:trPr>
        <w:tc>
          <w:tcPr>
            <w:tcW w:w="3231" w:type="dxa"/>
            <w:noWrap/>
            <w:vAlign w:val="center"/>
            <w:hideMark/>
          </w:tcPr>
          <w:p w14:paraId="6C588D1E" w14:textId="605553D9" w:rsidR="002A3EFE" w:rsidRPr="00070253" w:rsidRDefault="00730241" w:rsidP="008F7A53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  <w:r w:rsidR="002A3EFE" w:rsidRPr="000702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elkem</w:t>
            </w:r>
          </w:p>
        </w:tc>
        <w:tc>
          <w:tcPr>
            <w:tcW w:w="2551" w:type="dxa"/>
            <w:noWrap/>
            <w:vAlign w:val="center"/>
            <w:hideMark/>
          </w:tcPr>
          <w:p w14:paraId="1C2ABBDA" w14:textId="77777777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7" w:type="dxa"/>
            <w:noWrap/>
            <w:vAlign w:val="center"/>
            <w:hideMark/>
          </w:tcPr>
          <w:p w14:paraId="2E7548BA" w14:textId="77777777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1587" w:type="dxa"/>
            <w:noWrap/>
            <w:vAlign w:val="center"/>
            <w:hideMark/>
          </w:tcPr>
          <w:p w14:paraId="6473D9B1" w14:textId="77777777" w:rsidR="002A3EFE" w:rsidRPr="00070253" w:rsidRDefault="002A3EFE" w:rsidP="008F7A53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025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504</w:t>
            </w:r>
          </w:p>
        </w:tc>
      </w:tr>
    </w:tbl>
    <w:p w14:paraId="71F2FC2F" w14:textId="77777777" w:rsidR="00070253" w:rsidRDefault="00070253" w:rsidP="003F00EC">
      <w:pPr>
        <w:spacing w:after="0"/>
        <w:rPr>
          <w:lang w:eastAsia="cs-CZ"/>
        </w:rPr>
      </w:pPr>
    </w:p>
    <w:p w14:paraId="54777188" w14:textId="77777777" w:rsidR="000A094A" w:rsidRDefault="000A094A" w:rsidP="00272254">
      <w:pPr>
        <w:pStyle w:val="Nadpis2"/>
        <w:widowControl/>
        <w:numPr>
          <w:ilvl w:val="0"/>
          <w:numId w:val="0"/>
        </w:numPr>
        <w:spacing w:before="0"/>
        <w:ind w:left="567" w:hanging="567"/>
      </w:pPr>
    </w:p>
    <w:tbl>
      <w:tblPr>
        <w:tblW w:w="14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800"/>
        <w:gridCol w:w="1170"/>
        <w:gridCol w:w="879"/>
        <w:gridCol w:w="827"/>
        <w:gridCol w:w="1170"/>
        <w:gridCol w:w="864"/>
        <w:gridCol w:w="883"/>
        <w:gridCol w:w="1170"/>
        <w:gridCol w:w="815"/>
        <w:gridCol w:w="861"/>
        <w:gridCol w:w="1170"/>
        <w:gridCol w:w="815"/>
      </w:tblGrid>
      <w:tr w:rsidR="008F7A53" w:rsidRPr="008F7A53" w14:paraId="245C08EF" w14:textId="4CA1491E" w:rsidTr="00272254">
        <w:trPr>
          <w:trHeight w:val="331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  <w:hideMark/>
          </w:tcPr>
          <w:p w14:paraId="143B606A" w14:textId="48F70835" w:rsidR="00F26CD6" w:rsidRPr="00272254" w:rsidRDefault="00F26CD6" w:rsidP="008F7A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Registrační číslo </w:t>
            </w:r>
            <w:r w:rsidR="008F7A53" w:rsidRPr="002722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projektu</w:t>
            </w:r>
            <w:r w:rsidRPr="002722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6081B3EC" w14:textId="4802C813" w:rsidR="00F26CD6" w:rsidRPr="00272254" w:rsidRDefault="00730241" w:rsidP="003F00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R</w:t>
            </w:r>
            <w:r w:rsidR="00F26CD6" w:rsidRPr="002722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ok 2022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2F0D66C3" w14:textId="2DC24D2E" w:rsidR="00F26CD6" w:rsidRPr="00272254" w:rsidDel="007D095B" w:rsidRDefault="00730241" w:rsidP="003F00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R</w:t>
            </w:r>
            <w:r w:rsidR="00F26CD6" w:rsidRPr="002722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ok 2023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38B6779D" w14:textId="1217B41B" w:rsidR="00F26CD6" w:rsidRPr="00272254" w:rsidRDefault="00730241" w:rsidP="003F00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R</w:t>
            </w:r>
            <w:r w:rsidR="00F26CD6" w:rsidRPr="002722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ok 2024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55BF9DB4" w14:textId="326533D8" w:rsidR="00F26CD6" w:rsidRPr="00272254" w:rsidRDefault="00730241" w:rsidP="003F00E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L</w:t>
            </w:r>
            <w:r w:rsidR="00F26CD6" w:rsidRPr="0027225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  <w:t>eden–srpen 2025</w:t>
            </w:r>
          </w:p>
        </w:tc>
      </w:tr>
      <w:tr w:rsidR="008F7A53" w:rsidRPr="008F7A53" w14:paraId="7E2E9081" w14:textId="752706D5" w:rsidTr="008F7A53">
        <w:trPr>
          <w:trHeight w:val="1260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7031" w14:textId="77777777" w:rsidR="00F26CD6" w:rsidRPr="00272254" w:rsidRDefault="00F26CD6" w:rsidP="003F00EC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753E14EF" w14:textId="6F82BC9C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033C95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za rok</w:t>
            </w:r>
            <w:r w:rsidR="00033C95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69B619D2" w14:textId="058A9008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lokalita/den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0A097704" w14:textId="2FC430FD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DS/den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6160E67A" w14:textId="14982896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033C95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za rok</w:t>
            </w:r>
            <w:r w:rsidR="00033C95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5D76C4C3" w14:textId="2C59D1B1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lokalita/den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26257973" w14:textId="0CCE4CEB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DS/den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2827933F" w14:textId="61699023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033C95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za rok</w:t>
            </w:r>
            <w:r w:rsidR="00033C95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1148939C" w14:textId="29CB7478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lokalita/den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2853723C" w14:textId="7D3FECB1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DS/den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245221DE" w14:textId="18683EFC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033C95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za rok</w:t>
            </w:r>
            <w:r w:rsidR="00033C95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7DEA12B8" w14:textId="7245069C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lokalita/den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1EE"/>
            <w:vAlign w:val="center"/>
          </w:tcPr>
          <w:p w14:paraId="17DD0B37" w14:textId="5D1B904C" w:rsidR="00F26CD6" w:rsidRPr="00272254" w:rsidRDefault="00730241" w:rsidP="002722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P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 xml:space="preserve">očet dobíjení 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(</w:t>
            </w:r>
            <w:r w:rsidR="00F26CD6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DS/den</w:t>
            </w:r>
            <w:r w:rsidR="008F7A53" w:rsidRPr="00272254"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  <w:t>)</w:t>
            </w:r>
          </w:p>
        </w:tc>
      </w:tr>
      <w:tr w:rsidR="008F7A53" w:rsidRPr="008F7A53" w14:paraId="0B22A459" w14:textId="33CCEFE1" w:rsidTr="008F7A53">
        <w:trPr>
          <w:trHeight w:val="31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904F" w14:textId="7E0FC18F" w:rsidR="00F26CD6" w:rsidRPr="00272254" w:rsidRDefault="008F7A53" w:rsidP="00272254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CZ.04.2.40/0.0/0.0/</w:t>
            </w:r>
            <w:r w:rsidR="00F26CD6"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18_067/0000376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B4CC0" w14:textId="73E4F348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3 495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C3C91" w14:textId="3155F3FD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C3FD9" w14:textId="497DFADD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5071" w14:textId="433239CE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5 546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FD74" w14:textId="78E05EE9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FEC2" w14:textId="52A610FF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0,13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A3203" w14:textId="7DE84097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12 354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D7030" w14:textId="5202D7C4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1,13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5A5C7" w14:textId="521C5E3B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0,20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56995" w14:textId="513B00C7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6 211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04C00" w14:textId="5F99A670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0,85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071CC" w14:textId="2492EFDB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0,21</w:t>
            </w:r>
          </w:p>
        </w:tc>
      </w:tr>
      <w:tr w:rsidR="008F7A53" w:rsidRPr="008F7A53" w14:paraId="0902F212" w14:textId="03C0964E" w:rsidTr="00272254">
        <w:trPr>
          <w:trHeight w:val="31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92A5" w14:textId="5ADF2B64" w:rsidR="00F26CD6" w:rsidRPr="00272254" w:rsidRDefault="008F7A53" w:rsidP="00272254">
            <w:pPr>
              <w:spacing w:after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134A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CZ.04.2.40/0.0/0.0/</w:t>
            </w:r>
            <w:r w:rsidR="00F26CD6"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20_084/0000526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D41A" w14:textId="42289772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5 334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B1E7" w14:textId="2A46D99D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1,18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B731" w14:textId="7B1736C5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0,38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2202" w14:textId="47E6E652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17 496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6B83" w14:textId="001EAFE9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1,89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FF7" w14:textId="344F2223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0,49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CF8E" w14:textId="2557EA15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26 983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6510" w14:textId="38BBE9A4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2,73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CE90" w14:textId="1BFF1365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0,73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232E" w14:textId="34085DE1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23 276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96BF" w14:textId="400658DB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3,55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AC1" w14:textId="4E8B9469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0,95</w:t>
            </w:r>
          </w:p>
        </w:tc>
      </w:tr>
      <w:tr w:rsidR="008F7A53" w:rsidRPr="008F7A53" w14:paraId="55B5C929" w14:textId="1370CAD6" w:rsidTr="00272254">
        <w:trPr>
          <w:trHeight w:val="31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496C" w14:textId="572B2185" w:rsidR="00F26CD6" w:rsidRPr="00272254" w:rsidRDefault="008F7A53" w:rsidP="00272254">
            <w:pPr>
              <w:spacing w:after="0" w:line="240" w:lineRule="auto"/>
              <w:jc w:val="lef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134A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CZ.04.2.40/0.0/0.0/</w:t>
            </w:r>
            <w:r w:rsidR="00F26CD6"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19_068/0000452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1D40" w14:textId="4DD9FE07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9 638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1237" w14:textId="3EF33992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0,94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AC63" w14:textId="13F46684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0,83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D6CC" w14:textId="5ADD5DCD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30 097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34E0" w14:textId="79645577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1,06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26E9" w14:textId="192FA7D3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0,82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14BA" w14:textId="2397C2DD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57 983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F758" w14:textId="101B6278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1,46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A14C" w14:textId="059D4254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1,10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882C" w14:textId="5BC96B97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43 034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D63B" w14:textId="59316BD3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1,63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4B89" w14:textId="5802740A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sz w:val="18"/>
                <w:szCs w:val="18"/>
                <w:lang w:eastAsia="cs-CZ"/>
              </w:rPr>
              <w:t>1,23</w:t>
            </w:r>
          </w:p>
        </w:tc>
      </w:tr>
      <w:tr w:rsidR="008F7A53" w:rsidRPr="008F7A53" w14:paraId="173AF2EC" w14:textId="202405D6" w:rsidTr="00272254">
        <w:trPr>
          <w:trHeight w:val="31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0622" w14:textId="79A16CE4" w:rsidR="00F26CD6" w:rsidRPr="00272254" w:rsidRDefault="008F7A53" w:rsidP="00272254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134A3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CZ.04.2.40/0.0/0.0/</w:t>
            </w:r>
            <w:r w:rsidR="00F26CD6"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19_069/0000466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B697" w14:textId="2DB20BA9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8 758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7C26" w14:textId="227619E1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879B" w14:textId="27CB8B28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0,26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DBAF" w14:textId="54460B37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53 230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BE5" w14:textId="1E291459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0,99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79EB" w14:textId="28FE6C3B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0,45</w:t>
            </w: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4249" w14:textId="7D0654D9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89 875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E9D3" w14:textId="76F1FBD8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1,44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0E81" w14:textId="3C5786C7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0,66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5650" w14:textId="712A7D2B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73 323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00AB" w14:textId="0610DD26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1,76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9682" w14:textId="5000BE77" w:rsidR="00F26CD6" w:rsidRPr="00272254" w:rsidRDefault="00F26CD6" w:rsidP="003F00E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272254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0,80</w:t>
            </w:r>
          </w:p>
        </w:tc>
      </w:tr>
    </w:tbl>
    <w:p w14:paraId="34C6230F" w14:textId="057B96BE" w:rsidR="000A094A" w:rsidRPr="005822E0" w:rsidRDefault="00730241" w:rsidP="003F00EC">
      <w:pPr>
        <w:spacing w:after="0"/>
        <w:rPr>
          <w:sz w:val="20"/>
          <w:szCs w:val="18"/>
          <w:lang w:eastAsia="cs-CZ"/>
        </w:rPr>
      </w:pPr>
      <w:r w:rsidRPr="00272254">
        <w:rPr>
          <w:b/>
          <w:bCs/>
          <w:sz w:val="20"/>
          <w:szCs w:val="18"/>
          <w:lang w:eastAsia="cs-CZ"/>
        </w:rPr>
        <w:t>P</w:t>
      </w:r>
      <w:r w:rsidR="005822E0" w:rsidRPr="00272254">
        <w:rPr>
          <w:b/>
          <w:bCs/>
          <w:sz w:val="20"/>
          <w:szCs w:val="18"/>
          <w:lang w:eastAsia="cs-CZ"/>
        </w:rPr>
        <w:t xml:space="preserve">ozn.: </w:t>
      </w:r>
      <w:r w:rsidR="005822E0" w:rsidRPr="005822E0">
        <w:rPr>
          <w:sz w:val="20"/>
          <w:szCs w:val="18"/>
          <w:lang w:eastAsia="cs-CZ"/>
        </w:rPr>
        <w:t>DS = dobíjecí stanice</w:t>
      </w:r>
      <w:r>
        <w:rPr>
          <w:sz w:val="20"/>
          <w:szCs w:val="18"/>
          <w:lang w:eastAsia="cs-CZ"/>
        </w:rPr>
        <w:t>.</w:t>
      </w:r>
    </w:p>
    <w:sectPr w:rsidR="000A094A" w:rsidRPr="005822E0" w:rsidSect="003A279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9D8D" w14:textId="77777777" w:rsidR="00EE014C" w:rsidRDefault="00EE014C" w:rsidP="004A2415">
      <w:pPr>
        <w:spacing w:after="0" w:line="240" w:lineRule="auto"/>
      </w:pPr>
      <w:r>
        <w:separator/>
      </w:r>
    </w:p>
  </w:endnote>
  <w:endnote w:type="continuationSeparator" w:id="0">
    <w:p w14:paraId="5F9381FC" w14:textId="77777777" w:rsidR="00EE014C" w:rsidRDefault="00EE014C" w:rsidP="004A2415">
      <w:pPr>
        <w:spacing w:after="0" w:line="240" w:lineRule="auto"/>
      </w:pPr>
      <w:r>
        <w:continuationSeparator/>
      </w:r>
    </w:p>
  </w:endnote>
  <w:endnote w:type="continuationNotice" w:id="1">
    <w:p w14:paraId="33C24CA2" w14:textId="77777777" w:rsidR="00EE014C" w:rsidRDefault="00EE0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7319" w14:textId="035FD5E0" w:rsidR="005A1AC0" w:rsidRDefault="0028011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9C9D89" wp14:editId="54A517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497125079" name="Textové pole 11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2CD2D" w14:textId="7D660259" w:rsidR="00280113" w:rsidRPr="00280113" w:rsidRDefault="00280113" w:rsidP="002801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</w:pPr>
                          <w:r w:rsidRPr="00280113"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C9D8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0" type="#_x0000_t202" alt="TLP:CLEAR" style="position:absolute;left:0;text-align:left;margin-left:0;margin-top:0;width:77.4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462CD2D" w14:textId="7D660259" w:rsidR="00280113" w:rsidRPr="00280113" w:rsidRDefault="00280113" w:rsidP="002801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</w:pPr>
                    <w:r w:rsidRPr="00280113"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3FF3" w14:textId="5B9257A4" w:rsidR="005A1AC0" w:rsidRDefault="00280113" w:rsidP="00E4660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3912FC" wp14:editId="7B6C6BBC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581119248" name="Textové pole 12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07A79" w14:textId="23172A48" w:rsidR="00280113" w:rsidRPr="00280113" w:rsidRDefault="00280113" w:rsidP="002801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</w:pPr>
                          <w:r w:rsidRPr="00280113"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12F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1" type="#_x0000_t202" alt="TLP:CLEAR" style="position:absolute;left:0;text-align:left;margin-left:0;margin-top:0;width:77.4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1707A79" w14:textId="23172A48" w:rsidR="00280113" w:rsidRPr="00280113" w:rsidRDefault="00280113" w:rsidP="002801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</w:pPr>
                    <w:r w:rsidRPr="00280113"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59879284"/>
        <w:docPartObj>
          <w:docPartGallery w:val="Page Numbers (Bottom of Page)"/>
          <w:docPartUnique/>
        </w:docPartObj>
      </w:sdtPr>
      <w:sdtEndPr/>
      <w:sdtContent>
        <w:r w:rsidR="00E4660D">
          <w:fldChar w:fldCharType="begin"/>
        </w:r>
        <w:r w:rsidR="00E4660D">
          <w:instrText>PAGE   \* MERGEFORMAT</w:instrText>
        </w:r>
        <w:r w:rsidR="00E4660D">
          <w:fldChar w:fldCharType="separate"/>
        </w:r>
        <w:r w:rsidR="00E4660D">
          <w:t>2</w:t>
        </w:r>
        <w:r w:rsidR="00E4660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8D03" w14:textId="749BD75E" w:rsidR="005A1AC0" w:rsidRDefault="0028011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A2206C" wp14:editId="02C04010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2079669203" name="Textové pole 10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6CF33" w14:textId="4D57D1BC" w:rsidR="00280113" w:rsidRPr="00280113" w:rsidRDefault="00280113" w:rsidP="002801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</w:pPr>
                          <w:r w:rsidRPr="00280113"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2206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alt="TLP:CLEAR" style="position:absolute;left:0;text-align:left;margin-left:0;margin-top:0;width:77.4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kJFAIAACE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056CF33" w14:textId="4D57D1BC" w:rsidR="00280113" w:rsidRPr="00280113" w:rsidRDefault="00280113" w:rsidP="002801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</w:pPr>
                    <w:r w:rsidRPr="00280113"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C599" w14:textId="2B84B547" w:rsidR="00882DB2" w:rsidRDefault="0028011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2B398A" wp14:editId="74601C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92247593" name="Textové pole 1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4B6FB" w14:textId="695C69DD" w:rsidR="00280113" w:rsidRPr="00280113" w:rsidRDefault="00280113" w:rsidP="002801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</w:pPr>
                          <w:r w:rsidRPr="00280113"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B398A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3" type="#_x0000_t202" alt="TLP:CLEAR" style="position:absolute;left:0;text-align:left;margin-left:0;margin-top:0;width:77.45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iBEwIAACE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834B6FB" w14:textId="695C69DD" w:rsidR="00280113" w:rsidRPr="00280113" w:rsidRDefault="00280113" w:rsidP="002801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</w:pPr>
                    <w:r w:rsidRPr="00280113"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D4A3" w14:textId="071281A7" w:rsidR="007B5389" w:rsidRDefault="00280113" w:rsidP="002D0DAF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C0496C4" wp14:editId="0E9DE0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1604798783" name="Textové pole 1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D662E" w14:textId="6525CBF3" w:rsidR="00280113" w:rsidRPr="00280113" w:rsidRDefault="00280113" w:rsidP="002801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</w:pPr>
                          <w:r w:rsidRPr="00280113"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496C4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4" type="#_x0000_t202" alt="TLP:CLEAR" style="position:absolute;left:0;text-align:left;margin-left:0;margin-top:0;width:77.45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75D662E" w14:textId="6525CBF3" w:rsidR="00280113" w:rsidRPr="00280113" w:rsidRDefault="00280113" w:rsidP="002801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</w:pPr>
                    <w:r w:rsidRPr="00280113"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4028238"/>
        <w:docPartObj>
          <w:docPartGallery w:val="Page Numbers (Bottom of Page)"/>
          <w:docPartUnique/>
        </w:docPartObj>
      </w:sdtPr>
      <w:sdtEndPr/>
      <w:sdtContent>
        <w:r w:rsidR="007B5389">
          <w:fldChar w:fldCharType="begin"/>
        </w:r>
        <w:r w:rsidR="007B5389">
          <w:instrText>PAGE   \* MERGEFORMAT</w:instrText>
        </w:r>
        <w:r w:rsidR="007B5389">
          <w:fldChar w:fldCharType="separate"/>
        </w:r>
        <w:r w:rsidR="007B5389">
          <w:t>2</w:t>
        </w:r>
        <w:r w:rsidR="007B5389"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C424" w14:textId="5A830449" w:rsidR="001B2CA4" w:rsidRDefault="00280113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485DC0" wp14:editId="5ACD1F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391160"/>
              <wp:effectExtent l="0" t="0" r="6985" b="0"/>
              <wp:wrapNone/>
              <wp:docPr id="2018806752" name="Textové pole 1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ABF5F" w14:textId="0F0C783B" w:rsidR="00280113" w:rsidRPr="00280113" w:rsidRDefault="00280113" w:rsidP="002801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</w:pPr>
                          <w:r w:rsidRPr="00280113">
                            <w:rPr>
                              <w:rFonts w:ascii="Aptos" w:eastAsia="Aptos" w:hAnsi="Aptos" w:cs="Aptos"/>
                              <w:noProof/>
                              <w:color w:val="828282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85DC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5" type="#_x0000_t202" alt="TLP:CLEAR" style="position:absolute;left:0;text-align:left;margin-left:0;margin-top:0;width:77.45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B7ABF5F" w14:textId="0F0C783B" w:rsidR="00280113" w:rsidRPr="00280113" w:rsidRDefault="00280113" w:rsidP="002801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</w:pPr>
                    <w:r w:rsidRPr="00280113">
                      <w:rPr>
                        <w:rFonts w:ascii="Aptos" w:eastAsia="Aptos" w:hAnsi="Aptos" w:cs="Aptos"/>
                        <w:noProof/>
                        <w:color w:val="828282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483504626"/>
      <w:docPartObj>
        <w:docPartGallery w:val="Page Numbers (Bottom of Page)"/>
        <w:docPartUnique/>
      </w:docPartObj>
    </w:sdtPr>
    <w:sdtEndPr/>
    <w:sdtContent>
      <w:p w14:paraId="5CA8C424" w14:textId="5A830449" w:rsidR="001B2CA4" w:rsidRDefault="001B2C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8741E" w14:textId="6DF149CA" w:rsidR="00882DB2" w:rsidRDefault="00882D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AFC3" w14:textId="77777777" w:rsidR="00EE014C" w:rsidRDefault="00EE014C" w:rsidP="004A2415">
      <w:pPr>
        <w:spacing w:after="0" w:line="240" w:lineRule="auto"/>
      </w:pPr>
      <w:r>
        <w:separator/>
      </w:r>
    </w:p>
  </w:footnote>
  <w:footnote w:type="continuationSeparator" w:id="0">
    <w:p w14:paraId="2779B2CF" w14:textId="77777777" w:rsidR="00EE014C" w:rsidRDefault="00EE014C" w:rsidP="004A2415">
      <w:pPr>
        <w:spacing w:after="0" w:line="240" w:lineRule="auto"/>
      </w:pPr>
      <w:r>
        <w:continuationSeparator/>
      </w:r>
    </w:p>
  </w:footnote>
  <w:footnote w:type="continuationNotice" w:id="1">
    <w:p w14:paraId="210C61F2" w14:textId="77777777" w:rsidR="00EE014C" w:rsidRDefault="00EE014C">
      <w:pPr>
        <w:spacing w:after="0" w:line="240" w:lineRule="auto"/>
      </w:pPr>
    </w:p>
  </w:footnote>
  <w:footnote w:id="2">
    <w:p w14:paraId="3DCA336D" w14:textId="4E117521" w:rsidR="009B40A7" w:rsidRPr="003A2794" w:rsidRDefault="009B40A7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t>Nařízení Evropského parlamentu a Rady (EU) 2023/1804 ze dne 13. září 2023</w:t>
      </w:r>
      <w:r w:rsidR="00A57A62">
        <w:t>,</w:t>
      </w:r>
      <w:r w:rsidRPr="003A2794">
        <w:t xml:space="preserve"> o zavádění infrastruktury pro alternativní paliva a o zrušení směrnice 2014/94/EU.</w:t>
      </w:r>
    </w:p>
  </w:footnote>
  <w:footnote w:id="3">
    <w:p w14:paraId="45C67781" w14:textId="67A65CAB" w:rsidR="00976AD3" w:rsidRPr="003A2794" w:rsidRDefault="00976AD3" w:rsidP="004733C4">
      <w:pPr>
        <w:pStyle w:val="Textpoznpodarou"/>
        <w:ind w:left="284" w:hanging="284"/>
        <w:jc w:val="left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="00F234AB" w:rsidRPr="003A2794">
        <w:t>M</w:t>
      </w:r>
      <w:r w:rsidRPr="003A2794">
        <w:t xml:space="preserve">ezinárodní srovnání zpracované NKÚ je dostupné na </w:t>
      </w:r>
      <w:hyperlink r:id="rId1" w:history="1">
        <w:r w:rsidR="007D6105" w:rsidRPr="003A2794">
          <w:rPr>
            <w:rStyle w:val="Hypertextovodkaz"/>
          </w:rPr>
          <w:t>Mezinárodní srovnání</w:t>
        </w:r>
      </w:hyperlink>
      <w:r w:rsidRPr="003A2794">
        <w:t xml:space="preserve"> (</w:t>
      </w:r>
      <w:hyperlink r:id="rId2" w:history="1">
        <w:r w:rsidR="001028C2" w:rsidRPr="001028C2">
          <w:rPr>
            <w:rStyle w:val="Hypertextovodkaz"/>
          </w:rPr>
          <w:t>https://nku.gov.cz/scripts/detail.php?id=15555</w:t>
        </w:r>
      </w:hyperlink>
      <w:r w:rsidR="001028C2">
        <w:t>)</w:t>
      </w:r>
      <w:r w:rsidR="00C25976">
        <w:t>.</w:t>
      </w:r>
    </w:p>
  </w:footnote>
  <w:footnote w:id="4">
    <w:p w14:paraId="3517542F" w14:textId="3D8B2D63" w:rsidR="007D65A7" w:rsidRPr="003A2794" w:rsidRDefault="007D65A7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t>Nařízení Evropského parlamentu a Rady (EU) 2023/1804 ze dne 13. září 2023</w:t>
      </w:r>
      <w:r w:rsidR="00DB4CBE">
        <w:t>,</w:t>
      </w:r>
      <w:r w:rsidRPr="003A2794">
        <w:t xml:space="preserve"> o zavádění infrastruktury pro alternativní paliva a o zrušení směrnice 2014/94/EU.</w:t>
      </w:r>
    </w:p>
  </w:footnote>
  <w:footnote w:id="5">
    <w:p w14:paraId="75CC6D7D" w14:textId="1A39859C" w:rsidR="00B47B29" w:rsidRPr="003A2794" w:rsidRDefault="00B47B29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rPr>
          <w:rFonts w:ascii="Calibri" w:hAnsi="Calibri" w:cs="Calibri"/>
        </w:rPr>
        <w:t xml:space="preserve">Podle </w:t>
      </w:r>
      <w:r w:rsidR="003F00EC">
        <w:rPr>
          <w:rFonts w:ascii="Calibri" w:hAnsi="Calibri" w:cs="Calibri"/>
        </w:rPr>
        <w:t>n</w:t>
      </w:r>
      <w:r w:rsidRPr="003A2794">
        <w:rPr>
          <w:rFonts w:ascii="Calibri" w:hAnsi="Calibri" w:cs="Calibri"/>
        </w:rPr>
        <w:t>ařízení Evropského parlamentu a Rady (EU) 2024/1679 ze dne 13. června 2024</w:t>
      </w:r>
      <w:r w:rsidR="003F00EC">
        <w:rPr>
          <w:rFonts w:ascii="Calibri" w:hAnsi="Calibri" w:cs="Calibri"/>
        </w:rPr>
        <w:t>,</w:t>
      </w:r>
      <w:r w:rsidRPr="003A2794">
        <w:rPr>
          <w:rFonts w:ascii="Calibri" w:hAnsi="Calibri" w:cs="Calibri"/>
        </w:rPr>
        <w:t xml:space="preserve"> o hlavních směrech Unie pro rozvoj transevropské dopravní sítě, o změně nařízení (EU) 2021/1153 a (EU) č. 913/2010 a o zrušení nařízení (EU) č. 1315/2013 (Text s významem pro EHP)</w:t>
      </w:r>
      <w:r w:rsidR="003F00EC">
        <w:rPr>
          <w:rFonts w:ascii="Calibri" w:hAnsi="Calibri" w:cs="Calibri"/>
        </w:rPr>
        <w:t>,</w:t>
      </w:r>
      <w:r w:rsidRPr="003A2794">
        <w:rPr>
          <w:rFonts w:ascii="Calibri" w:hAnsi="Calibri" w:cs="Calibri"/>
        </w:rPr>
        <w:t xml:space="preserve"> jsou městskými uzly v ČR Brno, České Budějovice, Hradec Králové, Liberec, Olomouc, Ostrava, Pardubice, Plzeň, Praha a Ústí nad Labem.</w:t>
      </w:r>
    </w:p>
  </w:footnote>
  <w:footnote w:id="6">
    <w:p w14:paraId="2CAEFE34" w14:textId="77D2B4C9" w:rsidR="005020D5" w:rsidRPr="003A2794" w:rsidRDefault="005020D5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t>Směrnice Evropského parlamentu a Rady 2014/94/EU ze dne 22. října 2014</w:t>
      </w:r>
      <w:r w:rsidR="000864C2">
        <w:t>,</w:t>
      </w:r>
      <w:r w:rsidRPr="003A2794">
        <w:t xml:space="preserve"> o zavádění infrastruktury pro alternativní paliva.</w:t>
      </w:r>
    </w:p>
  </w:footnote>
  <w:footnote w:id="7">
    <w:p w14:paraId="53A69368" w14:textId="05332822" w:rsidR="002468F6" w:rsidRPr="003A2794" w:rsidRDefault="002468F6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bookmarkStart w:id="4" w:name="_Hlk214613743"/>
      <w:r w:rsidR="003A2794">
        <w:tab/>
      </w:r>
      <w:r w:rsidRPr="003A2794">
        <w:t>Nařízení Evropského parlamentu a Rady (EU) 2023/1804 ze dne 13. září 2023</w:t>
      </w:r>
      <w:r w:rsidR="000864C2">
        <w:t>,</w:t>
      </w:r>
      <w:r w:rsidRPr="003A2794">
        <w:t xml:space="preserve"> o zavádění infrastruktury pro alternativní paliva a o zrušení směrnice 2014/94/EU</w:t>
      </w:r>
      <w:bookmarkEnd w:id="4"/>
      <w:r w:rsidRPr="003A2794">
        <w:t>.</w:t>
      </w:r>
    </w:p>
  </w:footnote>
  <w:footnote w:id="8">
    <w:p w14:paraId="1B9E9A0D" w14:textId="0CC5D240" w:rsidR="000B1ADC" w:rsidRPr="003A2794" w:rsidRDefault="000B1ADC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t>Usnesení vlády ČR ze dne 20. listopadu 2015 č. 941</w:t>
      </w:r>
      <w:r w:rsidR="007C0DD9" w:rsidRPr="003A2794">
        <w:t>,</w:t>
      </w:r>
      <w:r w:rsidRPr="003A2794">
        <w:t xml:space="preserve"> o Národním akčním plánu čisté mobility.</w:t>
      </w:r>
    </w:p>
  </w:footnote>
  <w:footnote w:id="9">
    <w:p w14:paraId="7E1B7D74" w14:textId="218756D1" w:rsidR="00C40404" w:rsidRPr="003A2794" w:rsidRDefault="00C40404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rPr>
          <w:rFonts w:ascii="Calibri" w:hAnsi="Calibri" w:cs="Calibri"/>
        </w:rPr>
        <w:t>Usnesení vlády Č</w:t>
      </w:r>
      <w:r w:rsidR="000864C2">
        <w:rPr>
          <w:rFonts w:ascii="Calibri" w:hAnsi="Calibri" w:cs="Calibri"/>
        </w:rPr>
        <w:t>R</w:t>
      </w:r>
      <w:r w:rsidRPr="003A2794">
        <w:rPr>
          <w:rFonts w:ascii="Calibri" w:hAnsi="Calibri" w:cs="Calibri"/>
        </w:rPr>
        <w:t xml:space="preserve"> ze dne 27. dubna 2020 č. 469</w:t>
      </w:r>
      <w:r w:rsidR="007C0DD9" w:rsidRPr="003A2794">
        <w:rPr>
          <w:rFonts w:ascii="Calibri" w:hAnsi="Calibri" w:cs="Calibri"/>
        </w:rPr>
        <w:t>,</w:t>
      </w:r>
      <w:r w:rsidRPr="003A2794">
        <w:rPr>
          <w:rFonts w:ascii="Calibri" w:hAnsi="Calibri" w:cs="Calibri"/>
        </w:rPr>
        <w:t xml:space="preserve"> o aktualizaci Národního akčního plánu čisté mobility.</w:t>
      </w:r>
    </w:p>
  </w:footnote>
  <w:footnote w:id="10">
    <w:p w14:paraId="6B0FEBA3" w14:textId="601A5947" w:rsidR="00C40404" w:rsidRPr="003A2794" w:rsidRDefault="00C40404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rPr>
          <w:rFonts w:ascii="Calibri" w:hAnsi="Calibri" w:cs="Calibri"/>
        </w:rPr>
        <w:t xml:space="preserve">Aktualizace NAP CM reflektuje zvyšování ambicí v oblasti snižování emisí skleníkových plynů a reaguje na změnu </w:t>
      </w:r>
      <w:r w:rsidR="000864C2">
        <w:rPr>
          <w:rFonts w:ascii="Calibri" w:hAnsi="Calibri" w:cs="Calibri"/>
        </w:rPr>
        <w:t>unijní</w:t>
      </w:r>
      <w:r w:rsidRPr="003A2794">
        <w:rPr>
          <w:rFonts w:ascii="Calibri" w:hAnsi="Calibri" w:cs="Calibri"/>
        </w:rPr>
        <w:t xml:space="preserve"> legislativy</w:t>
      </w:r>
      <w:r w:rsidR="00445159" w:rsidRPr="003A2794">
        <w:rPr>
          <w:rFonts w:ascii="Calibri" w:hAnsi="Calibri" w:cs="Calibri"/>
        </w:rPr>
        <w:t>.</w:t>
      </w:r>
      <w:r w:rsidRPr="003A2794">
        <w:rPr>
          <w:rFonts w:ascii="Calibri" w:hAnsi="Calibri" w:cs="Calibri"/>
        </w:rPr>
        <w:t xml:space="preserve"> </w:t>
      </w:r>
    </w:p>
  </w:footnote>
  <w:footnote w:id="11">
    <w:p w14:paraId="41C1075A" w14:textId="4AC3DD68" w:rsidR="00D51361" w:rsidRPr="003A2794" w:rsidRDefault="00D51361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t xml:space="preserve">Usnesení vlády </w:t>
      </w:r>
      <w:r w:rsidR="000864C2">
        <w:t xml:space="preserve">ČR </w:t>
      </w:r>
      <w:r w:rsidRPr="003A2794">
        <w:t>ze dne 28. srpna 2024 č. 590</w:t>
      </w:r>
      <w:r w:rsidR="007C0DD9" w:rsidRPr="003A2794">
        <w:t>,</w:t>
      </w:r>
      <w:r w:rsidRPr="003A2794">
        <w:t xml:space="preserve"> o 2.</w:t>
      </w:r>
      <w:r w:rsidR="00685D72" w:rsidRPr="003A2794">
        <w:t xml:space="preserve"> </w:t>
      </w:r>
      <w:r w:rsidRPr="003A2794">
        <w:t>aktualizaci Národního akčního plánu čisté mobility.</w:t>
      </w:r>
    </w:p>
  </w:footnote>
  <w:footnote w:id="12">
    <w:p w14:paraId="3D2022AB" w14:textId="6DDFF253" w:rsidR="00126C10" w:rsidRPr="003A2794" w:rsidRDefault="00126C10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t>Usnesení vlády ČR ze dne 14. července 2014 č. 581</w:t>
      </w:r>
      <w:r w:rsidR="007C0DD9" w:rsidRPr="003A2794">
        <w:t>,</w:t>
      </w:r>
      <w:r w:rsidRPr="003A2794">
        <w:t xml:space="preserve"> k Operačnímu programu Podnikání a inovace pro konkurenceschopnost 2014</w:t>
      </w:r>
      <w:r w:rsidR="000864C2">
        <w:t>–</w:t>
      </w:r>
      <w:r w:rsidRPr="003A2794">
        <w:t>2020.</w:t>
      </w:r>
    </w:p>
  </w:footnote>
  <w:footnote w:id="13">
    <w:p w14:paraId="04868421" w14:textId="43604BD2" w:rsidR="002C71E5" w:rsidRPr="00F364D8" w:rsidRDefault="002C71E5" w:rsidP="003A2794">
      <w:pPr>
        <w:pStyle w:val="Textpoznpodarou"/>
        <w:tabs>
          <w:tab w:val="left" w:pos="0"/>
        </w:tabs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rPr>
          <w:rFonts w:ascii="Calibri" w:hAnsi="Calibri" w:cs="Calibri"/>
        </w:rPr>
        <w:t>N</w:t>
      </w:r>
      <w:r w:rsidR="000864C2" w:rsidRPr="003A2794">
        <w:rPr>
          <w:rFonts w:ascii="Calibri" w:hAnsi="Calibri" w:cs="Calibri"/>
        </w:rPr>
        <w:t>ařízení</w:t>
      </w:r>
      <w:r w:rsidRPr="003A2794">
        <w:rPr>
          <w:rFonts w:ascii="Calibri" w:hAnsi="Calibri" w:cs="Calibri"/>
        </w:rPr>
        <w:t xml:space="preserve"> E</w:t>
      </w:r>
      <w:r w:rsidR="000864C2" w:rsidRPr="003A2794">
        <w:rPr>
          <w:rFonts w:ascii="Calibri" w:hAnsi="Calibri" w:cs="Calibri"/>
        </w:rPr>
        <w:t>vropského</w:t>
      </w:r>
      <w:r w:rsidRPr="003A2794">
        <w:rPr>
          <w:rFonts w:ascii="Calibri" w:hAnsi="Calibri" w:cs="Calibri"/>
        </w:rPr>
        <w:t xml:space="preserve"> </w:t>
      </w:r>
      <w:r w:rsidR="000864C2" w:rsidRPr="003A2794">
        <w:rPr>
          <w:rFonts w:ascii="Calibri" w:hAnsi="Calibri" w:cs="Calibri"/>
        </w:rPr>
        <w:t xml:space="preserve">parlamentu a </w:t>
      </w:r>
      <w:r w:rsidRPr="003A2794">
        <w:rPr>
          <w:rFonts w:ascii="Calibri" w:hAnsi="Calibri" w:cs="Calibri"/>
        </w:rPr>
        <w:t>R</w:t>
      </w:r>
      <w:r w:rsidR="000864C2" w:rsidRPr="003A2794">
        <w:rPr>
          <w:rFonts w:ascii="Calibri" w:hAnsi="Calibri" w:cs="Calibri"/>
        </w:rPr>
        <w:t>ady</w:t>
      </w:r>
      <w:r w:rsidRPr="003A2794">
        <w:rPr>
          <w:rFonts w:ascii="Calibri" w:hAnsi="Calibri" w:cs="Calibri"/>
        </w:rPr>
        <w:t xml:space="preserve"> (EU) č. 1303/2013 ze dne 17. prosince 2013</w:t>
      </w:r>
      <w:r w:rsidR="000864C2">
        <w:rPr>
          <w:rFonts w:ascii="Calibri" w:hAnsi="Calibri" w:cs="Calibri"/>
        </w:rPr>
        <w:t>,</w:t>
      </w:r>
      <w:r w:rsidRPr="003A2794">
        <w:rPr>
          <w:rFonts w:ascii="Calibri" w:hAnsi="Calibri" w:cs="Calibri"/>
        </w:rPr>
        <w:t xml:space="preserve"> o</w:t>
      </w:r>
      <w:r w:rsidR="000864C2">
        <w:rPr>
          <w:rFonts w:ascii="Calibri" w:hAnsi="Calibri" w:cs="Calibri"/>
        </w:rPr>
        <w:t xml:space="preserve"> </w:t>
      </w:r>
      <w:r w:rsidRPr="003A2794">
        <w:rPr>
          <w:rFonts w:ascii="Calibri" w:hAnsi="Calibri" w:cs="Calibri"/>
        </w:rPr>
        <w:t>společných</w:t>
      </w:r>
      <w:r w:rsidR="00596806" w:rsidRPr="003A2794">
        <w:rPr>
          <w:rFonts w:ascii="Calibri" w:hAnsi="Calibri" w:cs="Calibri"/>
        </w:rPr>
        <w:t xml:space="preserve"> </w:t>
      </w:r>
      <w:r w:rsidRPr="003A2794">
        <w:rPr>
          <w:rFonts w:ascii="Calibri" w:hAnsi="Calibri" w:cs="Calibri"/>
        </w:rPr>
        <w:t>ustanoveních o Evropském fondu pro regionální rozvoj, Evropském sociálním fondu, Fondu soudržnosti, Evropském zemědělském fondu pro rozvoj venkova a Evropském námořním a rybářském fondu, o obecných</w:t>
      </w:r>
      <w:r w:rsidRPr="00F364D8">
        <w:rPr>
          <w:rFonts w:ascii="Calibri" w:hAnsi="Calibri" w:cs="Calibri"/>
        </w:rPr>
        <w:t xml:space="preserve"> ustanoveních o Evropském fondu pro regionální rozvoj, Evropském sociálním fondu, Fondu soudržnosti a Evropském námořním a rybářském fondu a o zrušení nařízení Rady (ES) č. 1083/2006.</w:t>
      </w:r>
    </w:p>
  </w:footnote>
  <w:footnote w:id="14">
    <w:p w14:paraId="64E5A3D7" w14:textId="3BDE0EDC" w:rsidR="007E3D43" w:rsidRPr="00F364D8" w:rsidRDefault="007E3D43" w:rsidP="003A2794">
      <w:pPr>
        <w:pStyle w:val="Textpoznpodarou"/>
        <w:ind w:left="284" w:hanging="284"/>
      </w:pPr>
      <w:r w:rsidRPr="00F364D8">
        <w:rPr>
          <w:rStyle w:val="Znakapoznpodarou"/>
          <w:sz w:val="20"/>
        </w:rPr>
        <w:footnoteRef/>
      </w:r>
      <w:r w:rsidRPr="00F364D8">
        <w:t xml:space="preserve"> </w:t>
      </w:r>
      <w:r w:rsidR="003A2794">
        <w:tab/>
      </w:r>
      <w:r w:rsidRPr="00F364D8">
        <w:t xml:space="preserve">Nařízení Evropského parlamentu a Rady (EU) </w:t>
      </w:r>
      <w:r w:rsidR="00477A93">
        <w:t xml:space="preserve">2021/241 </w:t>
      </w:r>
      <w:r w:rsidRPr="00F364D8">
        <w:t>ze dne 12. února 2021, kterým se zřizuje Nástroj pro oživení a odolnost.</w:t>
      </w:r>
    </w:p>
  </w:footnote>
  <w:footnote w:id="15">
    <w:p w14:paraId="289A0BC9" w14:textId="60F9366E" w:rsidR="007E3D43" w:rsidRDefault="007E3D43" w:rsidP="003A2794">
      <w:pPr>
        <w:pStyle w:val="Textpoznpodarou"/>
        <w:ind w:left="284" w:hanging="284"/>
      </w:pPr>
      <w:r w:rsidRPr="00F364D8">
        <w:rPr>
          <w:rStyle w:val="Znakapoznpodarou"/>
          <w:sz w:val="20"/>
        </w:rPr>
        <w:footnoteRef/>
      </w:r>
      <w:r w:rsidRPr="00F364D8">
        <w:t xml:space="preserve"> </w:t>
      </w:r>
      <w:r w:rsidR="003A2794">
        <w:tab/>
      </w:r>
      <w:r w:rsidRPr="00F364D8">
        <w:t>Usnesení vlády Č</w:t>
      </w:r>
      <w:r w:rsidR="00AA4DF1">
        <w:t>R</w:t>
      </w:r>
      <w:r w:rsidRPr="00F364D8">
        <w:t xml:space="preserve"> ze dne 17. května 2021 č. 467</w:t>
      </w:r>
      <w:r w:rsidR="007C0DD9">
        <w:t>,</w:t>
      </w:r>
      <w:r w:rsidRPr="00F364D8">
        <w:t xml:space="preserve"> k materiálu Národní plán obnovy.</w:t>
      </w:r>
    </w:p>
  </w:footnote>
  <w:footnote w:id="16">
    <w:p w14:paraId="63592BFF" w14:textId="680AB266" w:rsidR="00596806" w:rsidRPr="003A2794" w:rsidRDefault="00596806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="0006167B">
        <w:t xml:space="preserve">Ustanovení </w:t>
      </w:r>
      <w:r w:rsidRPr="003A2794">
        <w:t>§ 2 písm. o) zákona č. 320/2001 Sb.</w:t>
      </w:r>
      <w:r w:rsidR="0006167B">
        <w:t>,</w:t>
      </w:r>
      <w:r w:rsidRPr="003A2794">
        <w:t xml:space="preserve"> o finanční kontrole ve veřejné správě a o změně některých zákonů</w:t>
      </w:r>
      <w:r w:rsidR="00BB1C94">
        <w:t xml:space="preserve"> </w:t>
      </w:r>
      <w:r w:rsidRPr="003A2794">
        <w:t>(zákon</w:t>
      </w:r>
      <w:r w:rsidR="00BB1C94">
        <w:t> </w:t>
      </w:r>
      <w:r w:rsidRPr="003A2794">
        <w:t>o finanční kontrole)</w:t>
      </w:r>
      <w:r w:rsidR="0006167B">
        <w:t>.</w:t>
      </w:r>
    </w:p>
  </w:footnote>
  <w:footnote w:id="17">
    <w:p w14:paraId="5CECC356" w14:textId="62233808" w:rsidR="00596806" w:rsidRPr="003A2794" w:rsidRDefault="00596806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="0006167B">
        <w:t xml:space="preserve">Ustanovení </w:t>
      </w:r>
      <w:r w:rsidRPr="003A2794">
        <w:t>§ 2 písm. m) zákona č. 320/2001 Sb.</w:t>
      </w:r>
    </w:p>
  </w:footnote>
  <w:footnote w:id="18">
    <w:p w14:paraId="68C1ABCE" w14:textId="4D71A893" w:rsidR="007E51DD" w:rsidRPr="00587049" w:rsidRDefault="007E51DD" w:rsidP="003A2794">
      <w:pPr>
        <w:pStyle w:val="Textpoznpodarou"/>
        <w:ind w:left="284" w:hanging="284"/>
      </w:pPr>
      <w:r w:rsidRPr="00587049">
        <w:rPr>
          <w:rStyle w:val="Znakapoznpodarou"/>
          <w:sz w:val="20"/>
        </w:rPr>
        <w:footnoteRef/>
      </w:r>
      <w:r w:rsidR="003B0584" w:rsidRPr="00587049">
        <w:t xml:space="preserve"> </w:t>
      </w:r>
      <w:r w:rsidR="003A2794">
        <w:tab/>
      </w:r>
      <w:r w:rsidR="00834C26">
        <w:t>Článek</w:t>
      </w:r>
      <w:r w:rsidRPr="00587049">
        <w:t xml:space="preserve"> 3 </w:t>
      </w:r>
      <w:r w:rsidR="00587049" w:rsidRPr="00587049">
        <w:t xml:space="preserve">bod </w:t>
      </w:r>
      <w:r w:rsidRPr="00587049">
        <w:t>1 nařízení AFIR</w:t>
      </w:r>
      <w:r w:rsidR="00587049">
        <w:t>.</w:t>
      </w:r>
    </w:p>
  </w:footnote>
  <w:footnote w:id="19">
    <w:p w14:paraId="0E44EAE6" w14:textId="6C098AAB" w:rsidR="003B0584" w:rsidRPr="003A2794" w:rsidRDefault="003B0584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="0040149B">
        <w:t>Článek</w:t>
      </w:r>
      <w:r w:rsidRPr="003A2794">
        <w:t xml:space="preserve"> 3 bod 4 písm. a) nařízení AFIR</w:t>
      </w:r>
      <w:r w:rsidR="002455B8" w:rsidRPr="003A2794">
        <w:t xml:space="preserve">; </w:t>
      </w:r>
      <w:r w:rsidR="00B56689" w:rsidRPr="003A2794">
        <w:t>za splnění tohoto cíle se považuje umístění veřejně přístupné dobíjecí stanice u silnic sítě TEN-T nebo v dojezdové vzdálenosti 3 km od nejbližšího výjezdu ze silnice sítě TEN-T.</w:t>
      </w:r>
    </w:p>
  </w:footnote>
  <w:footnote w:id="20">
    <w:p w14:paraId="41179039" w14:textId="4519AF97" w:rsidR="00587049" w:rsidRPr="003A2794" w:rsidRDefault="00587049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="0040149B">
        <w:t>Článek</w:t>
      </w:r>
      <w:r w:rsidRPr="003A2794">
        <w:t xml:space="preserve"> 4 bod 1 písm. a) nařízení AFIR.</w:t>
      </w:r>
    </w:p>
  </w:footnote>
  <w:footnote w:id="21">
    <w:p w14:paraId="0B19B81F" w14:textId="05721C3C" w:rsidR="00587049" w:rsidRPr="003A2794" w:rsidRDefault="00587049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="0040149B">
        <w:t>Článek</w:t>
      </w:r>
      <w:r w:rsidRPr="003A2794">
        <w:t xml:space="preserve"> 4 bod 1 písm. g) nařízení AFIR.</w:t>
      </w:r>
    </w:p>
  </w:footnote>
  <w:footnote w:id="22">
    <w:p w14:paraId="41A584D4" w14:textId="202D0B01" w:rsidR="00AB7A8D" w:rsidRPr="003A2794" w:rsidRDefault="00AB7A8D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="00A13AA3" w:rsidRPr="003A2794">
        <w:t>Dobíjecí stanice s výkony nad 22 kW dobíjejí vždy stejnosměrným proudem. Tyto d</w:t>
      </w:r>
      <w:r w:rsidRPr="003A2794">
        <w:t xml:space="preserve">obíjecí stanice </w:t>
      </w:r>
      <w:r w:rsidR="00752786">
        <w:br/>
      </w:r>
      <w:r w:rsidR="0040149B">
        <w:t>(</w:t>
      </w:r>
      <w:r w:rsidR="0040149B" w:rsidRPr="003A2794">
        <w:t xml:space="preserve">např. </w:t>
      </w:r>
      <w:r w:rsidRPr="003A2794">
        <w:t>s nominálním výstupním výkonem 150 kW)</w:t>
      </w:r>
      <w:r w:rsidR="00A13AA3" w:rsidRPr="003A2794">
        <w:t xml:space="preserve"> </w:t>
      </w:r>
      <w:r w:rsidRPr="003A2794">
        <w:t>disponuj</w:t>
      </w:r>
      <w:r w:rsidR="00A13AA3" w:rsidRPr="003A2794">
        <w:t>í</w:t>
      </w:r>
      <w:r w:rsidRPr="003A2794">
        <w:t xml:space="preserve"> vždy alespoň jedním dobíjecím bodem o stejném výstupním výkonu jako celá dobíjecí stanice (</w:t>
      </w:r>
      <w:r w:rsidR="0040149B">
        <w:t>v našem případě tedy</w:t>
      </w:r>
      <w:r w:rsidRPr="003A2794">
        <w:t xml:space="preserve"> 150 kW).</w:t>
      </w:r>
    </w:p>
  </w:footnote>
  <w:footnote w:id="23">
    <w:p w14:paraId="651FC9E7" w14:textId="1E2C5E98" w:rsidR="00587049" w:rsidRPr="003A2794" w:rsidRDefault="00587049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t>Zákon č. 311/2006 Sb.</w:t>
      </w:r>
      <w:r w:rsidR="00B56689" w:rsidRPr="003A2794">
        <w:t>,</w:t>
      </w:r>
      <w:r w:rsidRPr="003A2794">
        <w:t xml:space="preserve"> o pohonných hmotách a čerpacích stanicích pohonných hmot a o změně některých souvisejících zákonů (zákon o pohonných hmotách).</w:t>
      </w:r>
    </w:p>
  </w:footnote>
  <w:footnote w:id="24">
    <w:p w14:paraId="4310677D" w14:textId="66FC5287" w:rsidR="0041042C" w:rsidRPr="003A2794" w:rsidRDefault="0041042C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="0040149B">
        <w:t>Článek</w:t>
      </w:r>
      <w:r w:rsidRPr="003A2794">
        <w:t xml:space="preserve"> 8 nařízení AFIR</w:t>
      </w:r>
      <w:r w:rsidR="00B56689" w:rsidRPr="003A2794">
        <w:t>.</w:t>
      </w:r>
    </w:p>
  </w:footnote>
  <w:footnote w:id="25">
    <w:p w14:paraId="7551421C" w14:textId="0C16D2A0" w:rsidR="00873C57" w:rsidRPr="003A2794" w:rsidRDefault="00873C57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="003A2794" w:rsidRPr="003A2794">
        <w:t xml:space="preserve"> </w:t>
      </w:r>
      <w:r w:rsidR="003A2794">
        <w:tab/>
      </w:r>
      <w:r w:rsidRPr="004733C4">
        <w:rPr>
          <w:i/>
          <w:iCs/>
        </w:rPr>
        <w:t>Dohoda o vytvoření a správě Záručního fondu „EM 2.4/2023“</w:t>
      </w:r>
      <w:r w:rsidRPr="003A2794">
        <w:t xml:space="preserve"> ze dne 2. ledna 2024</w:t>
      </w:r>
      <w:r w:rsidR="00083171">
        <w:t>;</w:t>
      </w:r>
      <w:r w:rsidRPr="003A2794">
        <w:t xml:space="preserve"> Národní rozvojová banka</w:t>
      </w:r>
      <w:r w:rsidR="00E86008" w:rsidRPr="003A2794">
        <w:t>,</w:t>
      </w:r>
      <w:r w:rsidR="00083171">
        <w:t> </w:t>
      </w:r>
      <w:r w:rsidR="00E86008" w:rsidRPr="003A2794">
        <w:t>a.s.</w:t>
      </w:r>
      <w:r w:rsidR="00083171">
        <w:t>,</w:t>
      </w:r>
      <w:r w:rsidRPr="003A2794">
        <w:t xml:space="preserve"> je správcem záručního fondu a poskytovatelem podpory z prostředků záručního fondu.</w:t>
      </w:r>
    </w:p>
  </w:footnote>
  <w:footnote w:id="26">
    <w:p w14:paraId="62D74491" w14:textId="381AAA5D" w:rsidR="00873C57" w:rsidRPr="003A2794" w:rsidRDefault="00873C57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="00AA2687" w:rsidRPr="003A2794">
        <w:t xml:space="preserve">Přenesení finanční výhody ze záruky na podnikatele spočívalo zejména </w:t>
      </w:r>
      <w:r w:rsidR="00E86008" w:rsidRPr="003A2794">
        <w:t xml:space="preserve">ve </w:t>
      </w:r>
      <w:r w:rsidR="00AA2687" w:rsidRPr="003A2794">
        <w:t>snížení úrokové sazby nebo</w:t>
      </w:r>
      <w:r w:rsidR="00596806" w:rsidRPr="003A2794">
        <w:t xml:space="preserve"> v tom, že</w:t>
      </w:r>
      <w:r w:rsidR="00AA2687" w:rsidRPr="003A2794">
        <w:t xml:space="preserve"> nebyl</w:t>
      </w:r>
      <w:r w:rsidR="00E86008" w:rsidRPr="003A2794">
        <w:t>a</w:t>
      </w:r>
      <w:r w:rsidR="00AA2687" w:rsidRPr="003A2794">
        <w:t xml:space="preserve"> ze strany úvěrující instituce vyžadována další forma záruky, jako je např. směnka nebo dočasné převedení vlastnického práva na úvěrující instituci za účelem zajištění pohledávky.</w:t>
      </w:r>
    </w:p>
  </w:footnote>
  <w:footnote w:id="27">
    <w:p w14:paraId="6ED835E9" w14:textId="720675E4" w:rsidR="008D6B3E" w:rsidRPr="003A2794" w:rsidRDefault="008D6B3E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t>Průměrná výše zaručeného úvěru na jeden projekt dosáhla 0,6 mil. Kč.</w:t>
      </w:r>
    </w:p>
  </w:footnote>
  <w:footnote w:id="28">
    <w:p w14:paraId="7B994F07" w14:textId="1BAAED00" w:rsidR="00BB34EF" w:rsidRPr="003A2794" w:rsidRDefault="00BB34EF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hyperlink r:id="rId3" w:history="1">
        <w:r w:rsidR="00E86008" w:rsidRPr="003A2794">
          <w:rPr>
            <w:rStyle w:val="Hypertextovodkaz"/>
            <w:rFonts w:ascii="Calibri" w:eastAsiaTheme="majorEastAsia" w:hAnsi="Calibri" w:cs="Calibri"/>
          </w:rPr>
          <w:t>Registrace nových vozidel v ČR | Centrum dopravního výzkumu, v.</w:t>
        </w:r>
        <w:r w:rsidR="003A2794">
          <w:rPr>
            <w:rStyle w:val="Hypertextovodkaz"/>
            <w:rFonts w:ascii="Calibri" w:eastAsiaTheme="majorEastAsia" w:hAnsi="Calibri" w:cs="Calibri"/>
          </w:rPr>
          <w:t xml:space="preserve"> </w:t>
        </w:r>
        <w:r w:rsidR="00E86008" w:rsidRPr="003A2794">
          <w:rPr>
            <w:rStyle w:val="Hypertextovodkaz"/>
            <w:rFonts w:ascii="Calibri" w:eastAsiaTheme="majorEastAsia" w:hAnsi="Calibri" w:cs="Calibri"/>
          </w:rPr>
          <w:t>v.</w:t>
        </w:r>
        <w:r w:rsidR="003A2794">
          <w:rPr>
            <w:rStyle w:val="Hypertextovodkaz"/>
            <w:rFonts w:ascii="Calibri" w:eastAsiaTheme="majorEastAsia" w:hAnsi="Calibri" w:cs="Calibri"/>
          </w:rPr>
          <w:t xml:space="preserve"> </w:t>
        </w:r>
        <w:r w:rsidR="00E86008" w:rsidRPr="003A2794">
          <w:rPr>
            <w:rStyle w:val="Hypertextovodkaz"/>
            <w:rFonts w:ascii="Calibri" w:eastAsiaTheme="majorEastAsia" w:hAnsi="Calibri" w:cs="Calibri"/>
          </w:rPr>
          <w:t>i.</w:t>
        </w:r>
      </w:hyperlink>
      <w:r w:rsidRPr="003A2794">
        <w:t xml:space="preserve"> </w:t>
      </w:r>
      <w:r w:rsidRPr="003A2794">
        <w:rPr>
          <w:rFonts w:ascii="Calibri" w:hAnsi="Calibri" w:cs="Calibri"/>
        </w:rPr>
        <w:t xml:space="preserve">(údaje k 31. říjnu 2025), dostupné na </w:t>
      </w:r>
      <w:hyperlink r:id="rId4" w:history="1">
        <w:r w:rsidR="00083171" w:rsidRPr="001C24AE">
          <w:rPr>
            <w:rStyle w:val="Hypertextovodkaz"/>
            <w:rFonts w:ascii="Calibri" w:hAnsi="Calibri" w:cs="Calibri"/>
          </w:rPr>
          <w:t>https://www.cistadoprava.cz/registrace-novych-osobnich-vozidel-v-cr/</w:t>
        </w:r>
      </w:hyperlink>
      <w:r w:rsidR="00E86008" w:rsidRPr="003A2794">
        <w:rPr>
          <w:rFonts w:ascii="Calibri" w:hAnsi="Calibri" w:cs="Calibri"/>
        </w:rPr>
        <w:t>.</w:t>
      </w:r>
    </w:p>
  </w:footnote>
  <w:footnote w:id="29">
    <w:p w14:paraId="4DA7C8C7" w14:textId="7EC71E44" w:rsidR="002D3530" w:rsidRPr="003A2794" w:rsidRDefault="002D3530" w:rsidP="003A2794">
      <w:pPr>
        <w:pStyle w:val="Textpoznpodarou"/>
        <w:ind w:left="284" w:hanging="284"/>
      </w:pPr>
      <w:r w:rsidRPr="003A2794">
        <w:rPr>
          <w:rStyle w:val="Znakapoznpodarou"/>
          <w:sz w:val="20"/>
        </w:rPr>
        <w:footnoteRef/>
      </w:r>
      <w:r w:rsidRPr="003A2794">
        <w:t xml:space="preserve"> </w:t>
      </w:r>
      <w:r w:rsidR="003A2794">
        <w:tab/>
      </w:r>
      <w:r w:rsidRPr="003A2794">
        <w:t xml:space="preserve">Indikátor 753011 </w:t>
      </w:r>
      <w:r w:rsidRPr="004733C4">
        <w:rPr>
          <w:i/>
          <w:iCs/>
          <w:lang w:eastAsia="cs-CZ"/>
        </w:rPr>
        <w:t>Počet nově pořízených či zmodernizovaných zařízení technické infrastruktury pro ekologická vozidla</w:t>
      </w:r>
      <w:r w:rsidRPr="003A2794">
        <w:rPr>
          <w:lang w:eastAsia="cs-CZ"/>
        </w:rPr>
        <w:t>.</w:t>
      </w:r>
    </w:p>
  </w:footnote>
  <w:footnote w:id="30">
    <w:p w14:paraId="4506828C" w14:textId="448FB3AC" w:rsidR="002627E0" w:rsidRPr="003A2794" w:rsidRDefault="002627E0" w:rsidP="002627E0">
      <w:pPr>
        <w:pStyle w:val="Textpoznpodarou"/>
        <w:ind w:left="284" w:hanging="284"/>
        <w:rPr>
          <w:rFonts w:ascii="Calibri" w:hAnsi="Calibri" w:cs="Calibri"/>
        </w:rPr>
      </w:pPr>
      <w:r w:rsidRPr="003A2794">
        <w:rPr>
          <w:rStyle w:val="Znakapoznpodarou"/>
          <w:rFonts w:ascii="Calibri" w:hAnsi="Calibri" w:cs="Calibri"/>
          <w:sz w:val="20"/>
        </w:rPr>
        <w:footnoteRef/>
      </w:r>
      <w:r w:rsidRPr="003A2794">
        <w:rPr>
          <w:rFonts w:ascii="Calibri" w:hAnsi="Calibri" w:cs="Calibri"/>
        </w:rPr>
        <w:t xml:space="preserve"> </w:t>
      </w:r>
      <w:r w:rsidRPr="003A2794">
        <w:rPr>
          <w:rFonts w:ascii="Calibri" w:hAnsi="Calibri" w:cs="Calibri"/>
        </w:rPr>
        <w:tab/>
        <w:t>Nařízení Evropského parlamentu a Rady (EU) 2018/858 ze dne 30. května 2018</w:t>
      </w:r>
      <w:r w:rsidR="00F83699">
        <w:rPr>
          <w:rFonts w:ascii="Calibri" w:hAnsi="Calibri" w:cs="Calibri"/>
        </w:rPr>
        <w:t>,</w:t>
      </w:r>
      <w:r w:rsidRPr="003A2794">
        <w:rPr>
          <w:rFonts w:ascii="Calibri" w:hAnsi="Calibri" w:cs="Calibri"/>
        </w:rPr>
        <w:t xml:space="preserve"> o schvalování motorových vozidel a jejich přípojných vozidel, jakož i systémů, konstrukčních částí a samostatných technických celků určených pro tato vozidla a o dozoru nad trhem s nimi, o změně nařízení (ES) č. 715/2007 a č. 595/2009 a o zrušení směrnice 2007/46/ES.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CFD"/>
    <w:multiLevelType w:val="hybridMultilevel"/>
    <w:tmpl w:val="B2C0F998"/>
    <w:lvl w:ilvl="0" w:tplc="D75EBDF8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0287198C"/>
    <w:multiLevelType w:val="hybridMultilevel"/>
    <w:tmpl w:val="916204F4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161A"/>
    <w:multiLevelType w:val="hybridMultilevel"/>
    <w:tmpl w:val="B0B6DB38"/>
    <w:lvl w:ilvl="0" w:tplc="15C6A3BA">
      <w:start w:val="7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93B1F"/>
    <w:multiLevelType w:val="hybridMultilevel"/>
    <w:tmpl w:val="99FE25CE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E6E"/>
    <w:multiLevelType w:val="hybridMultilevel"/>
    <w:tmpl w:val="2760F024"/>
    <w:lvl w:ilvl="0" w:tplc="262269CC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C0AD0"/>
    <w:multiLevelType w:val="hybridMultilevel"/>
    <w:tmpl w:val="657CD9C0"/>
    <w:lvl w:ilvl="0" w:tplc="EFECD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57BC4"/>
    <w:multiLevelType w:val="hybridMultilevel"/>
    <w:tmpl w:val="C11A9CA8"/>
    <w:lvl w:ilvl="0" w:tplc="D75EBD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0335D4"/>
    <w:multiLevelType w:val="hybridMultilevel"/>
    <w:tmpl w:val="64406804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B30FC"/>
    <w:multiLevelType w:val="hybridMultilevel"/>
    <w:tmpl w:val="EC90D07C"/>
    <w:lvl w:ilvl="0" w:tplc="0B12FC14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D75EBDF8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0C891897"/>
    <w:multiLevelType w:val="hybridMultilevel"/>
    <w:tmpl w:val="FED28428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CA70E37"/>
    <w:multiLevelType w:val="multilevel"/>
    <w:tmpl w:val="E27C365C"/>
    <w:lvl w:ilvl="0">
      <w:start w:val="1"/>
      <w:numFmt w:val="upperRoman"/>
      <w:lvlText w:val="%1."/>
      <w:lvlJc w:val="left"/>
      <w:pPr>
        <w:ind w:left="18" w:hanging="432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57" w:hanging="471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0" w:hanging="1584"/>
      </w:pPr>
      <w:rPr>
        <w:rFonts w:hint="default"/>
      </w:rPr>
    </w:lvl>
  </w:abstractNum>
  <w:abstractNum w:abstractNumId="11" w15:restartNumberingAfterBreak="0">
    <w:nsid w:val="0CAC566B"/>
    <w:multiLevelType w:val="hybridMultilevel"/>
    <w:tmpl w:val="5378BA1C"/>
    <w:lvl w:ilvl="0" w:tplc="D75EBDF8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0F863ECA"/>
    <w:multiLevelType w:val="hybridMultilevel"/>
    <w:tmpl w:val="0EF080D4"/>
    <w:lvl w:ilvl="0" w:tplc="D75EBDF8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1037510A"/>
    <w:multiLevelType w:val="hybridMultilevel"/>
    <w:tmpl w:val="80C45BB6"/>
    <w:lvl w:ilvl="0" w:tplc="D75EB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0B7144"/>
    <w:multiLevelType w:val="hybridMultilevel"/>
    <w:tmpl w:val="0AC44AA6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0730E1"/>
    <w:multiLevelType w:val="hybridMultilevel"/>
    <w:tmpl w:val="E6B402BA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D1035A"/>
    <w:multiLevelType w:val="hybridMultilevel"/>
    <w:tmpl w:val="AA86534C"/>
    <w:lvl w:ilvl="0" w:tplc="C3D0B0A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104D1"/>
    <w:multiLevelType w:val="hybridMultilevel"/>
    <w:tmpl w:val="E444A3A6"/>
    <w:lvl w:ilvl="0" w:tplc="1A34AA3C">
      <w:numFmt w:val="bullet"/>
      <w:lvlText w:val="–"/>
      <w:lvlJc w:val="left"/>
      <w:pPr>
        <w:ind w:left="3192" w:hanging="360"/>
      </w:pPr>
      <w:rPr>
        <w:rFonts w:asciiTheme="minorHAnsi" w:eastAsia="Times New Roman" w:hAnsiTheme="minorHAns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1ABF34BE"/>
    <w:multiLevelType w:val="hybridMultilevel"/>
    <w:tmpl w:val="5254F1C2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1B6E0180"/>
    <w:multiLevelType w:val="hybridMultilevel"/>
    <w:tmpl w:val="864487B6"/>
    <w:lvl w:ilvl="0" w:tplc="D75EBDF8">
      <w:start w:val="1"/>
      <w:numFmt w:val="bullet"/>
      <w:lvlText w:val=""/>
      <w:lvlJc w:val="left"/>
      <w:pPr>
        <w:ind w:left="5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0" w15:restartNumberingAfterBreak="0">
    <w:nsid w:val="1FA70893"/>
    <w:multiLevelType w:val="hybridMultilevel"/>
    <w:tmpl w:val="600AF684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22390E4E"/>
    <w:multiLevelType w:val="hybridMultilevel"/>
    <w:tmpl w:val="677A4C0A"/>
    <w:lvl w:ilvl="0" w:tplc="2E328F20">
      <w:start w:val="13"/>
      <w:numFmt w:val="bullet"/>
      <w:lvlText w:val="–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5277CA6"/>
    <w:multiLevelType w:val="hybridMultilevel"/>
    <w:tmpl w:val="80280FA0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F73B82"/>
    <w:multiLevelType w:val="hybridMultilevel"/>
    <w:tmpl w:val="440CF222"/>
    <w:lvl w:ilvl="0" w:tplc="1A34AA3C">
      <w:numFmt w:val="bullet"/>
      <w:lvlText w:val="–"/>
      <w:lvlJc w:val="left"/>
      <w:pPr>
        <w:ind w:left="1068" w:hanging="360"/>
      </w:pPr>
      <w:rPr>
        <w:rFonts w:asciiTheme="minorHAnsi" w:eastAsia="Times New Roman" w:hAnsiTheme="minorHAns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6DC6ED0"/>
    <w:multiLevelType w:val="hybridMultilevel"/>
    <w:tmpl w:val="AF748966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2A1947D0"/>
    <w:multiLevelType w:val="hybridMultilevel"/>
    <w:tmpl w:val="5DEA46CE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2BBD1A46"/>
    <w:multiLevelType w:val="hybridMultilevel"/>
    <w:tmpl w:val="4F886864"/>
    <w:lvl w:ilvl="0" w:tplc="D75EBDF8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 w15:restartNumberingAfterBreak="0">
    <w:nsid w:val="2C9056F3"/>
    <w:multiLevelType w:val="hybridMultilevel"/>
    <w:tmpl w:val="13E0FF2A"/>
    <w:lvl w:ilvl="0" w:tplc="C5A6F974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47503512">
      <w:start w:val="1"/>
      <w:numFmt w:val="upperRoman"/>
      <w:suff w:val="space"/>
      <w:lvlText w:val="%2."/>
      <w:lvlJc w:val="right"/>
      <w:pPr>
        <w:ind w:left="1077" w:firstLine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BE77AB"/>
    <w:multiLevelType w:val="hybridMultilevel"/>
    <w:tmpl w:val="6906AA0C"/>
    <w:lvl w:ilvl="0" w:tplc="1A34AA3C">
      <w:numFmt w:val="bullet"/>
      <w:lvlText w:val="–"/>
      <w:lvlJc w:val="left"/>
      <w:pPr>
        <w:ind w:left="938" w:hanging="360"/>
      </w:pPr>
      <w:rPr>
        <w:rFonts w:asciiTheme="minorHAnsi" w:eastAsia="Times New Roman" w:hAnsiTheme="minorHAns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9" w15:restartNumberingAfterBreak="0">
    <w:nsid w:val="374D541D"/>
    <w:multiLevelType w:val="hybridMultilevel"/>
    <w:tmpl w:val="DF901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2340B"/>
    <w:multiLevelType w:val="hybridMultilevel"/>
    <w:tmpl w:val="A0428CF8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D8423E8"/>
    <w:multiLevelType w:val="hybridMultilevel"/>
    <w:tmpl w:val="5A468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1F3339"/>
    <w:multiLevelType w:val="multilevel"/>
    <w:tmpl w:val="EBD62CB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22E2E7A"/>
    <w:multiLevelType w:val="hybridMultilevel"/>
    <w:tmpl w:val="8D1A9976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8022B5"/>
    <w:multiLevelType w:val="hybridMultilevel"/>
    <w:tmpl w:val="29D4F1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882A3C"/>
    <w:multiLevelType w:val="hybridMultilevel"/>
    <w:tmpl w:val="10D06360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4A876469"/>
    <w:multiLevelType w:val="hybridMultilevel"/>
    <w:tmpl w:val="B48A9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557712"/>
    <w:multiLevelType w:val="hybridMultilevel"/>
    <w:tmpl w:val="7A5A53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506E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6974BB"/>
    <w:multiLevelType w:val="hybridMultilevel"/>
    <w:tmpl w:val="254C411E"/>
    <w:lvl w:ilvl="0" w:tplc="97AE6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567EAF"/>
    <w:multiLevelType w:val="hybridMultilevel"/>
    <w:tmpl w:val="8892E7A4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C70035"/>
    <w:multiLevelType w:val="hybridMultilevel"/>
    <w:tmpl w:val="38DE04EE"/>
    <w:lvl w:ilvl="0" w:tplc="04050017">
      <w:start w:val="1"/>
      <w:numFmt w:val="lowerLetter"/>
      <w:lvlText w:val="%1)"/>
      <w:lvlJc w:val="left"/>
      <w:pPr>
        <w:ind w:left="936" w:hanging="360"/>
      </w:p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2" w15:restartNumberingAfterBreak="0">
    <w:nsid w:val="5195059F"/>
    <w:multiLevelType w:val="hybridMultilevel"/>
    <w:tmpl w:val="F93AE122"/>
    <w:lvl w:ilvl="0" w:tplc="86B67870">
      <w:start w:val="49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7E5523"/>
    <w:multiLevelType w:val="hybridMultilevel"/>
    <w:tmpl w:val="EF369686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569F5C89"/>
    <w:multiLevelType w:val="hybridMultilevel"/>
    <w:tmpl w:val="7B26E580"/>
    <w:lvl w:ilvl="0" w:tplc="D75EBDF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583E0FFD"/>
    <w:multiLevelType w:val="hybridMultilevel"/>
    <w:tmpl w:val="D0BEA790"/>
    <w:lvl w:ilvl="0" w:tplc="A8BA55F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475C4E"/>
    <w:multiLevelType w:val="hybridMultilevel"/>
    <w:tmpl w:val="D5DA8556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F1081D"/>
    <w:multiLevelType w:val="hybridMultilevel"/>
    <w:tmpl w:val="8FF64DC2"/>
    <w:lvl w:ilvl="0" w:tplc="F8743D64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199" w:hanging="360"/>
      </w:pPr>
    </w:lvl>
    <w:lvl w:ilvl="2" w:tplc="F8743D64">
      <w:start w:val="1"/>
      <w:numFmt w:val="lowerLetter"/>
      <w:lvlText w:val="%3)"/>
      <w:lvlJc w:val="left"/>
      <w:pPr>
        <w:ind w:left="4919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5639" w:hanging="360"/>
      </w:pPr>
    </w:lvl>
    <w:lvl w:ilvl="4" w:tplc="04050019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8" w15:restartNumberingAfterBreak="0">
    <w:nsid w:val="5FF46DBD"/>
    <w:multiLevelType w:val="hybridMultilevel"/>
    <w:tmpl w:val="8E060CD0"/>
    <w:lvl w:ilvl="0" w:tplc="787EFCBE">
      <w:numFmt w:val="bullet"/>
      <w:lvlText w:val="-"/>
      <w:lvlJc w:val="left"/>
      <w:pPr>
        <w:ind w:left="351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49" w15:restartNumberingAfterBreak="0">
    <w:nsid w:val="602D7440"/>
    <w:multiLevelType w:val="hybridMultilevel"/>
    <w:tmpl w:val="3C5261B4"/>
    <w:lvl w:ilvl="0" w:tplc="D75EBD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3660F1D"/>
    <w:multiLevelType w:val="hybridMultilevel"/>
    <w:tmpl w:val="088AD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2940D7"/>
    <w:multiLevelType w:val="hybridMultilevel"/>
    <w:tmpl w:val="E55C856C"/>
    <w:lvl w:ilvl="0" w:tplc="850A75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8B42CD"/>
    <w:multiLevelType w:val="hybridMultilevel"/>
    <w:tmpl w:val="1D407322"/>
    <w:lvl w:ilvl="0" w:tplc="98AA3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DC6D6A"/>
    <w:multiLevelType w:val="hybridMultilevel"/>
    <w:tmpl w:val="E034AB48"/>
    <w:lvl w:ilvl="0" w:tplc="C64AB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E8431D"/>
    <w:multiLevelType w:val="hybridMultilevel"/>
    <w:tmpl w:val="EDB60CAA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4107EB"/>
    <w:multiLevelType w:val="hybridMultilevel"/>
    <w:tmpl w:val="CD6E9468"/>
    <w:lvl w:ilvl="0" w:tplc="D75EC212">
      <w:start w:val="1"/>
      <w:numFmt w:val="decimal"/>
      <w:pStyle w:val="Styl1-1"/>
      <w:lvlText w:val="%1."/>
      <w:lvlJc w:val="left"/>
      <w:pPr>
        <w:ind w:left="943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</w:lvl>
    <w:lvl w:ilvl="3" w:tplc="0405000F" w:tentative="1">
      <w:start w:val="1"/>
      <w:numFmt w:val="decimal"/>
      <w:lvlText w:val="%4."/>
      <w:lvlJc w:val="left"/>
      <w:pPr>
        <w:ind w:left="10601" w:hanging="360"/>
      </w:p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</w:lvl>
    <w:lvl w:ilvl="6" w:tplc="0405000F" w:tentative="1">
      <w:start w:val="1"/>
      <w:numFmt w:val="decimal"/>
      <w:lvlText w:val="%7."/>
      <w:lvlJc w:val="left"/>
      <w:pPr>
        <w:ind w:left="12761" w:hanging="360"/>
      </w:p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56" w15:restartNumberingAfterBreak="0">
    <w:nsid w:val="676B3B5A"/>
    <w:multiLevelType w:val="hybridMultilevel"/>
    <w:tmpl w:val="4E544D78"/>
    <w:lvl w:ilvl="0" w:tplc="1A34AA3C">
      <w:numFmt w:val="bullet"/>
      <w:lvlText w:val="–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B83877"/>
    <w:multiLevelType w:val="hybridMultilevel"/>
    <w:tmpl w:val="D5663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2C1DAF"/>
    <w:multiLevelType w:val="multilevel"/>
    <w:tmpl w:val="12DA93EE"/>
    <w:lvl w:ilvl="0">
      <w:start w:val="1"/>
      <w:numFmt w:val="decimal"/>
      <w:pStyle w:val="Styl1-kapitol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-podkapitola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69535111"/>
    <w:multiLevelType w:val="hybridMultilevel"/>
    <w:tmpl w:val="88B28FBE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866DA0"/>
    <w:multiLevelType w:val="hybridMultilevel"/>
    <w:tmpl w:val="E728AC18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A037CA"/>
    <w:multiLevelType w:val="multilevel"/>
    <w:tmpl w:val="6FDCCC18"/>
    <w:lvl w:ilvl="0">
      <w:start w:val="4"/>
      <w:numFmt w:val="upperRoman"/>
      <w:suff w:val="space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KP-normlntext"/>
      <w:isLgl/>
      <w:lvlText w:val="%1.%2"/>
      <w:lvlJc w:val="left"/>
      <w:pPr>
        <w:ind w:left="5180" w:hanging="360"/>
      </w:pPr>
      <w:rPr>
        <w:rFonts w:asciiTheme="majorHAnsi" w:hAnsiTheme="majorHAnsi" w:cstheme="majorHAnsi" w:hint="default"/>
        <w:b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C82057F"/>
    <w:multiLevelType w:val="hybridMultilevel"/>
    <w:tmpl w:val="011E3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674444"/>
    <w:multiLevelType w:val="hybridMultilevel"/>
    <w:tmpl w:val="6598F04A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E6316C"/>
    <w:multiLevelType w:val="hybridMultilevel"/>
    <w:tmpl w:val="530A3B80"/>
    <w:lvl w:ilvl="0" w:tplc="22FED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24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68F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E4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34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21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1E8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76B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881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 w15:restartNumberingAfterBreak="0">
    <w:nsid w:val="750B6849"/>
    <w:multiLevelType w:val="hybridMultilevel"/>
    <w:tmpl w:val="146853EC"/>
    <w:lvl w:ilvl="0" w:tplc="1F788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0A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BEC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18C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49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687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6C6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9A8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206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6" w15:restartNumberingAfterBreak="0">
    <w:nsid w:val="759C374A"/>
    <w:multiLevelType w:val="multilevel"/>
    <w:tmpl w:val="348C4ECE"/>
    <w:lvl w:ilvl="0">
      <w:start w:val="1"/>
      <w:numFmt w:val="decimal"/>
      <w:pStyle w:val="Nadpis1"/>
      <w:lvlText w:val="%1"/>
      <w:lvlJc w:val="left"/>
      <w:pPr>
        <w:ind w:left="3621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7C87969"/>
    <w:multiLevelType w:val="hybridMultilevel"/>
    <w:tmpl w:val="C2E2060E"/>
    <w:lvl w:ilvl="0" w:tplc="5BCAB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1C07C7"/>
    <w:multiLevelType w:val="hybridMultilevel"/>
    <w:tmpl w:val="CA1AF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C768DC"/>
    <w:multiLevelType w:val="hybridMultilevel"/>
    <w:tmpl w:val="F668B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0A60BA"/>
    <w:multiLevelType w:val="hybridMultilevel"/>
    <w:tmpl w:val="2C449828"/>
    <w:lvl w:ilvl="0" w:tplc="624455C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CA17AA0"/>
    <w:multiLevelType w:val="hybridMultilevel"/>
    <w:tmpl w:val="60AE7FF2"/>
    <w:lvl w:ilvl="0" w:tplc="491C12C2">
      <w:start w:val="1"/>
      <w:numFmt w:val="bullet"/>
      <w:pStyle w:val="Odrkypunt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2A1569"/>
    <w:multiLevelType w:val="hybridMultilevel"/>
    <w:tmpl w:val="467C532A"/>
    <w:lvl w:ilvl="0" w:tplc="D75E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7C56D5"/>
    <w:multiLevelType w:val="hybridMultilevel"/>
    <w:tmpl w:val="CD608EA2"/>
    <w:lvl w:ilvl="0" w:tplc="3E7689D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6F3FC2"/>
    <w:multiLevelType w:val="hybridMultilevel"/>
    <w:tmpl w:val="711E15B8"/>
    <w:lvl w:ilvl="0" w:tplc="D75EBDF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 w16cid:durableId="1289774412">
    <w:abstractNumId w:val="41"/>
  </w:num>
  <w:num w:numId="2" w16cid:durableId="1882201979">
    <w:abstractNumId w:val="7"/>
  </w:num>
  <w:num w:numId="3" w16cid:durableId="171729847">
    <w:abstractNumId w:val="61"/>
  </w:num>
  <w:num w:numId="4" w16cid:durableId="1754858791">
    <w:abstractNumId w:val="53"/>
  </w:num>
  <w:num w:numId="5" w16cid:durableId="269356771">
    <w:abstractNumId w:val="73"/>
  </w:num>
  <w:num w:numId="6" w16cid:durableId="1966348089">
    <w:abstractNumId w:val="63"/>
  </w:num>
  <w:num w:numId="7" w16cid:durableId="369107333">
    <w:abstractNumId w:val="71"/>
  </w:num>
  <w:num w:numId="8" w16cid:durableId="972490530">
    <w:abstractNumId w:val="8"/>
  </w:num>
  <w:num w:numId="9" w16cid:durableId="1339234534">
    <w:abstractNumId w:val="24"/>
  </w:num>
  <w:num w:numId="10" w16cid:durableId="1599020485">
    <w:abstractNumId w:val="74"/>
  </w:num>
  <w:num w:numId="11" w16cid:durableId="1188175730">
    <w:abstractNumId w:val="33"/>
  </w:num>
  <w:num w:numId="12" w16cid:durableId="8989763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3411911">
    <w:abstractNumId w:val="26"/>
  </w:num>
  <w:num w:numId="14" w16cid:durableId="450439131">
    <w:abstractNumId w:val="12"/>
  </w:num>
  <w:num w:numId="15" w16cid:durableId="1025836018">
    <w:abstractNumId w:val="15"/>
  </w:num>
  <w:num w:numId="16" w16cid:durableId="1997805093">
    <w:abstractNumId w:val="22"/>
  </w:num>
  <w:num w:numId="17" w16cid:durableId="608319236">
    <w:abstractNumId w:val="11"/>
  </w:num>
  <w:num w:numId="18" w16cid:durableId="1299611373">
    <w:abstractNumId w:val="31"/>
  </w:num>
  <w:num w:numId="19" w16cid:durableId="42284415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2814180">
    <w:abstractNumId w:val="23"/>
  </w:num>
  <w:num w:numId="21" w16cid:durableId="1895965866">
    <w:abstractNumId w:val="56"/>
  </w:num>
  <w:num w:numId="22" w16cid:durableId="1095398291">
    <w:abstractNumId w:val="28"/>
  </w:num>
  <w:num w:numId="23" w16cid:durableId="849833915">
    <w:abstractNumId w:val="16"/>
  </w:num>
  <w:num w:numId="24" w16cid:durableId="774520512">
    <w:abstractNumId w:val="17"/>
  </w:num>
  <w:num w:numId="25" w16cid:durableId="1815829328">
    <w:abstractNumId w:val="10"/>
  </w:num>
  <w:num w:numId="26" w16cid:durableId="17002649">
    <w:abstractNumId w:val="57"/>
  </w:num>
  <w:num w:numId="27" w16cid:durableId="744767662">
    <w:abstractNumId w:val="1"/>
  </w:num>
  <w:num w:numId="28" w16cid:durableId="1564415182">
    <w:abstractNumId w:val="0"/>
  </w:num>
  <w:num w:numId="29" w16cid:durableId="1199899607">
    <w:abstractNumId w:val="9"/>
  </w:num>
  <w:num w:numId="30" w16cid:durableId="1833569342">
    <w:abstractNumId w:val="46"/>
  </w:num>
  <w:num w:numId="31" w16cid:durableId="1725136702">
    <w:abstractNumId w:val="3"/>
  </w:num>
  <w:num w:numId="32" w16cid:durableId="1957637809">
    <w:abstractNumId w:val="59"/>
  </w:num>
  <w:num w:numId="33" w16cid:durableId="2034382346">
    <w:abstractNumId w:val="72"/>
  </w:num>
  <w:num w:numId="34" w16cid:durableId="1282416365">
    <w:abstractNumId w:val="2"/>
  </w:num>
  <w:num w:numId="35" w16cid:durableId="1720087047">
    <w:abstractNumId w:val="34"/>
  </w:num>
  <w:num w:numId="36" w16cid:durableId="396828934">
    <w:abstractNumId w:val="6"/>
  </w:num>
  <w:num w:numId="37" w16cid:durableId="411003923">
    <w:abstractNumId w:val="30"/>
  </w:num>
  <w:num w:numId="38" w16cid:durableId="746076387">
    <w:abstractNumId w:val="14"/>
  </w:num>
  <w:num w:numId="39" w16cid:durableId="1955092143">
    <w:abstractNumId w:val="13"/>
  </w:num>
  <w:num w:numId="40" w16cid:durableId="662584157">
    <w:abstractNumId w:val="36"/>
  </w:num>
  <w:num w:numId="41" w16cid:durableId="1946889089">
    <w:abstractNumId w:val="20"/>
  </w:num>
  <w:num w:numId="42" w16cid:durableId="1737431991">
    <w:abstractNumId w:val="49"/>
  </w:num>
  <w:num w:numId="43" w16cid:durableId="1808745867">
    <w:abstractNumId w:val="19"/>
  </w:num>
  <w:num w:numId="44" w16cid:durableId="915437988">
    <w:abstractNumId w:val="33"/>
  </w:num>
  <w:num w:numId="45" w16cid:durableId="56440495">
    <w:abstractNumId w:val="33"/>
  </w:num>
  <w:num w:numId="46" w16cid:durableId="2052679750">
    <w:abstractNumId w:val="33"/>
  </w:num>
  <w:num w:numId="47" w16cid:durableId="849375315">
    <w:abstractNumId w:val="33"/>
  </w:num>
  <w:num w:numId="48" w16cid:durableId="1732072591">
    <w:abstractNumId w:val="50"/>
  </w:num>
  <w:num w:numId="49" w16cid:durableId="1824003654">
    <w:abstractNumId w:val="37"/>
  </w:num>
  <w:num w:numId="50" w16cid:durableId="19238279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0777906">
    <w:abstractNumId w:val="55"/>
  </w:num>
  <w:num w:numId="52" w16cid:durableId="847016817">
    <w:abstractNumId w:val="5"/>
  </w:num>
  <w:num w:numId="53" w16cid:durableId="842210783">
    <w:abstractNumId w:val="48"/>
  </w:num>
  <w:num w:numId="54" w16cid:durableId="2115048902">
    <w:abstractNumId w:val="39"/>
  </w:num>
  <w:num w:numId="55" w16cid:durableId="128130391">
    <w:abstractNumId w:val="32"/>
  </w:num>
  <w:num w:numId="56" w16cid:durableId="915479924">
    <w:abstractNumId w:val="62"/>
  </w:num>
  <w:num w:numId="57" w16cid:durableId="384840154">
    <w:abstractNumId w:val="54"/>
  </w:num>
  <w:num w:numId="58" w16cid:durableId="1066031500">
    <w:abstractNumId w:val="67"/>
  </w:num>
  <w:num w:numId="59" w16cid:durableId="175734036">
    <w:abstractNumId w:val="25"/>
  </w:num>
  <w:num w:numId="60" w16cid:durableId="619190580">
    <w:abstractNumId w:val="42"/>
  </w:num>
  <w:num w:numId="61" w16cid:durableId="1925451968">
    <w:abstractNumId w:val="66"/>
  </w:num>
  <w:num w:numId="62" w16cid:durableId="2054839226">
    <w:abstractNumId w:val="66"/>
  </w:num>
  <w:num w:numId="63" w16cid:durableId="1447193682">
    <w:abstractNumId w:val="66"/>
  </w:num>
  <w:num w:numId="64" w16cid:durableId="177236388">
    <w:abstractNumId w:val="66"/>
  </w:num>
  <w:num w:numId="65" w16cid:durableId="561135149">
    <w:abstractNumId w:val="66"/>
  </w:num>
  <w:num w:numId="66" w16cid:durableId="839319706">
    <w:abstractNumId w:val="66"/>
  </w:num>
  <w:num w:numId="67" w16cid:durableId="653415180">
    <w:abstractNumId w:val="66"/>
  </w:num>
  <w:num w:numId="68" w16cid:durableId="121776874">
    <w:abstractNumId w:val="47"/>
  </w:num>
  <w:num w:numId="69" w16cid:durableId="1167209633">
    <w:abstractNumId w:val="52"/>
  </w:num>
  <w:num w:numId="70" w16cid:durableId="1567304629">
    <w:abstractNumId w:val="51"/>
  </w:num>
  <w:num w:numId="71" w16cid:durableId="2138640338">
    <w:abstractNumId w:val="38"/>
  </w:num>
  <w:num w:numId="72" w16cid:durableId="595947392">
    <w:abstractNumId w:val="69"/>
  </w:num>
  <w:num w:numId="73" w16cid:durableId="1799100706">
    <w:abstractNumId w:val="35"/>
  </w:num>
  <w:num w:numId="74" w16cid:durableId="180507385">
    <w:abstractNumId w:val="64"/>
  </w:num>
  <w:num w:numId="75" w16cid:durableId="984241343">
    <w:abstractNumId w:val="65"/>
  </w:num>
  <w:num w:numId="76" w16cid:durableId="67308822">
    <w:abstractNumId w:val="40"/>
  </w:num>
  <w:num w:numId="77" w16cid:durableId="389425729">
    <w:abstractNumId w:val="18"/>
  </w:num>
  <w:num w:numId="78" w16cid:durableId="363483965">
    <w:abstractNumId w:val="44"/>
  </w:num>
  <w:num w:numId="79" w16cid:durableId="1270939792">
    <w:abstractNumId w:val="29"/>
  </w:num>
  <w:num w:numId="80" w16cid:durableId="2085102801">
    <w:abstractNumId w:val="68"/>
  </w:num>
  <w:num w:numId="81" w16cid:durableId="327054972">
    <w:abstractNumId w:val="45"/>
  </w:num>
  <w:num w:numId="82" w16cid:durableId="194513518">
    <w:abstractNumId w:val="21"/>
  </w:num>
  <w:num w:numId="83" w16cid:durableId="1569919758">
    <w:abstractNumId w:val="70"/>
  </w:num>
  <w:num w:numId="84" w16cid:durableId="871265439">
    <w:abstractNumId w:val="58"/>
  </w:num>
  <w:num w:numId="85" w16cid:durableId="1098988668">
    <w:abstractNumId w:val="27"/>
  </w:num>
  <w:num w:numId="86" w16cid:durableId="1834100493">
    <w:abstractNumId w:val="43"/>
  </w:num>
  <w:num w:numId="87" w16cid:durableId="1836649949">
    <w:abstractNumId w:val="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97"/>
    <w:rsid w:val="0000084D"/>
    <w:rsid w:val="00001BF9"/>
    <w:rsid w:val="0000202F"/>
    <w:rsid w:val="00002309"/>
    <w:rsid w:val="000025FA"/>
    <w:rsid w:val="00002895"/>
    <w:rsid w:val="00002CEC"/>
    <w:rsid w:val="0000334F"/>
    <w:rsid w:val="000034F2"/>
    <w:rsid w:val="0000370C"/>
    <w:rsid w:val="00003A05"/>
    <w:rsid w:val="00003FEE"/>
    <w:rsid w:val="0000424C"/>
    <w:rsid w:val="00005693"/>
    <w:rsid w:val="00005F50"/>
    <w:rsid w:val="00005FFE"/>
    <w:rsid w:val="00006666"/>
    <w:rsid w:val="0000738E"/>
    <w:rsid w:val="000074B2"/>
    <w:rsid w:val="00007BDD"/>
    <w:rsid w:val="00007CBC"/>
    <w:rsid w:val="000115DC"/>
    <w:rsid w:val="00011AD4"/>
    <w:rsid w:val="0001206F"/>
    <w:rsid w:val="000124D9"/>
    <w:rsid w:val="00012603"/>
    <w:rsid w:val="000129ED"/>
    <w:rsid w:val="00012BCD"/>
    <w:rsid w:val="00013038"/>
    <w:rsid w:val="00013D3F"/>
    <w:rsid w:val="00014F97"/>
    <w:rsid w:val="000151C6"/>
    <w:rsid w:val="00015428"/>
    <w:rsid w:val="000158CE"/>
    <w:rsid w:val="00015B0F"/>
    <w:rsid w:val="00015D6B"/>
    <w:rsid w:val="00016FFC"/>
    <w:rsid w:val="000172BD"/>
    <w:rsid w:val="000177DA"/>
    <w:rsid w:val="000202D7"/>
    <w:rsid w:val="00020340"/>
    <w:rsid w:val="000204BC"/>
    <w:rsid w:val="000206F4"/>
    <w:rsid w:val="00020B54"/>
    <w:rsid w:val="00021592"/>
    <w:rsid w:val="00021973"/>
    <w:rsid w:val="00021F21"/>
    <w:rsid w:val="00022336"/>
    <w:rsid w:val="0002233B"/>
    <w:rsid w:val="0002294E"/>
    <w:rsid w:val="00022A0B"/>
    <w:rsid w:val="00022BF9"/>
    <w:rsid w:val="0002305A"/>
    <w:rsid w:val="00024308"/>
    <w:rsid w:val="00024790"/>
    <w:rsid w:val="00024889"/>
    <w:rsid w:val="00024B31"/>
    <w:rsid w:val="00024B77"/>
    <w:rsid w:val="000255D1"/>
    <w:rsid w:val="000259B9"/>
    <w:rsid w:val="00025D74"/>
    <w:rsid w:val="000266E4"/>
    <w:rsid w:val="000267CD"/>
    <w:rsid w:val="000267FE"/>
    <w:rsid w:val="00026AE1"/>
    <w:rsid w:val="00026B38"/>
    <w:rsid w:val="00026C30"/>
    <w:rsid w:val="00026F3C"/>
    <w:rsid w:val="00027A3B"/>
    <w:rsid w:val="00030188"/>
    <w:rsid w:val="00030308"/>
    <w:rsid w:val="00030B65"/>
    <w:rsid w:val="00031290"/>
    <w:rsid w:val="00031948"/>
    <w:rsid w:val="00031CEC"/>
    <w:rsid w:val="00032456"/>
    <w:rsid w:val="000325A8"/>
    <w:rsid w:val="00032762"/>
    <w:rsid w:val="000335A6"/>
    <w:rsid w:val="00033AB0"/>
    <w:rsid w:val="00033C95"/>
    <w:rsid w:val="00034899"/>
    <w:rsid w:val="0003501D"/>
    <w:rsid w:val="00035818"/>
    <w:rsid w:val="00036B02"/>
    <w:rsid w:val="00036C5C"/>
    <w:rsid w:val="00037143"/>
    <w:rsid w:val="000378D8"/>
    <w:rsid w:val="00040043"/>
    <w:rsid w:val="00040DC4"/>
    <w:rsid w:val="00040EC2"/>
    <w:rsid w:val="00041C8E"/>
    <w:rsid w:val="00041D46"/>
    <w:rsid w:val="00042117"/>
    <w:rsid w:val="00042C39"/>
    <w:rsid w:val="00042E7E"/>
    <w:rsid w:val="0004354D"/>
    <w:rsid w:val="000437D5"/>
    <w:rsid w:val="00043893"/>
    <w:rsid w:val="000439A3"/>
    <w:rsid w:val="0004483F"/>
    <w:rsid w:val="00044E89"/>
    <w:rsid w:val="0004633F"/>
    <w:rsid w:val="00046436"/>
    <w:rsid w:val="00046B8C"/>
    <w:rsid w:val="00046FDD"/>
    <w:rsid w:val="000476BE"/>
    <w:rsid w:val="00050D4D"/>
    <w:rsid w:val="00050FAA"/>
    <w:rsid w:val="00050FFD"/>
    <w:rsid w:val="00051DDF"/>
    <w:rsid w:val="00052F8B"/>
    <w:rsid w:val="000532EE"/>
    <w:rsid w:val="00053EDD"/>
    <w:rsid w:val="0005497C"/>
    <w:rsid w:val="00054CAC"/>
    <w:rsid w:val="00054D30"/>
    <w:rsid w:val="0005500F"/>
    <w:rsid w:val="0005561A"/>
    <w:rsid w:val="0005674D"/>
    <w:rsid w:val="00057072"/>
    <w:rsid w:val="00057204"/>
    <w:rsid w:val="0006127C"/>
    <w:rsid w:val="0006167B"/>
    <w:rsid w:val="00061A0C"/>
    <w:rsid w:val="00063758"/>
    <w:rsid w:val="00063A8D"/>
    <w:rsid w:val="00063C25"/>
    <w:rsid w:val="00064282"/>
    <w:rsid w:val="0006458C"/>
    <w:rsid w:val="000645E4"/>
    <w:rsid w:val="00066628"/>
    <w:rsid w:val="0006676E"/>
    <w:rsid w:val="00067D43"/>
    <w:rsid w:val="00070253"/>
    <w:rsid w:val="00070637"/>
    <w:rsid w:val="00070BEF"/>
    <w:rsid w:val="00071863"/>
    <w:rsid w:val="000725A5"/>
    <w:rsid w:val="00072C20"/>
    <w:rsid w:val="00073097"/>
    <w:rsid w:val="000734B9"/>
    <w:rsid w:val="00073728"/>
    <w:rsid w:val="000749DB"/>
    <w:rsid w:val="000750CA"/>
    <w:rsid w:val="00076766"/>
    <w:rsid w:val="00076A06"/>
    <w:rsid w:val="00076B53"/>
    <w:rsid w:val="000772C0"/>
    <w:rsid w:val="000807A0"/>
    <w:rsid w:val="00080A69"/>
    <w:rsid w:val="00080F6B"/>
    <w:rsid w:val="0008116A"/>
    <w:rsid w:val="00081AA7"/>
    <w:rsid w:val="0008237E"/>
    <w:rsid w:val="00082B7B"/>
    <w:rsid w:val="00082CB6"/>
    <w:rsid w:val="00083171"/>
    <w:rsid w:val="00083A6D"/>
    <w:rsid w:val="0008468F"/>
    <w:rsid w:val="0008611A"/>
    <w:rsid w:val="000861B5"/>
    <w:rsid w:val="000864C2"/>
    <w:rsid w:val="00087034"/>
    <w:rsid w:val="000876FB"/>
    <w:rsid w:val="0008795F"/>
    <w:rsid w:val="00087D8E"/>
    <w:rsid w:val="00087E20"/>
    <w:rsid w:val="00087E81"/>
    <w:rsid w:val="00090A93"/>
    <w:rsid w:val="00090BCB"/>
    <w:rsid w:val="0009107B"/>
    <w:rsid w:val="00091A00"/>
    <w:rsid w:val="00091B04"/>
    <w:rsid w:val="00092506"/>
    <w:rsid w:val="00092AC3"/>
    <w:rsid w:val="0009341C"/>
    <w:rsid w:val="00093486"/>
    <w:rsid w:val="0009439F"/>
    <w:rsid w:val="000947FE"/>
    <w:rsid w:val="00094C16"/>
    <w:rsid w:val="00095199"/>
    <w:rsid w:val="000962DA"/>
    <w:rsid w:val="000963CE"/>
    <w:rsid w:val="00096DD3"/>
    <w:rsid w:val="000978B1"/>
    <w:rsid w:val="00097BF4"/>
    <w:rsid w:val="000A0325"/>
    <w:rsid w:val="000A094A"/>
    <w:rsid w:val="000A0E5D"/>
    <w:rsid w:val="000A138C"/>
    <w:rsid w:val="000A1B99"/>
    <w:rsid w:val="000A24F2"/>
    <w:rsid w:val="000A2A01"/>
    <w:rsid w:val="000A4062"/>
    <w:rsid w:val="000A4A77"/>
    <w:rsid w:val="000A53B3"/>
    <w:rsid w:val="000A5814"/>
    <w:rsid w:val="000A5B90"/>
    <w:rsid w:val="000A6EFA"/>
    <w:rsid w:val="000A739D"/>
    <w:rsid w:val="000B0C3A"/>
    <w:rsid w:val="000B1361"/>
    <w:rsid w:val="000B13C9"/>
    <w:rsid w:val="000B1724"/>
    <w:rsid w:val="000B1862"/>
    <w:rsid w:val="000B191D"/>
    <w:rsid w:val="000B1ADC"/>
    <w:rsid w:val="000B1DB2"/>
    <w:rsid w:val="000B27F9"/>
    <w:rsid w:val="000B2EB8"/>
    <w:rsid w:val="000B373E"/>
    <w:rsid w:val="000B3D65"/>
    <w:rsid w:val="000B4561"/>
    <w:rsid w:val="000B4792"/>
    <w:rsid w:val="000B4A59"/>
    <w:rsid w:val="000B557F"/>
    <w:rsid w:val="000B6288"/>
    <w:rsid w:val="000B66A7"/>
    <w:rsid w:val="000B720E"/>
    <w:rsid w:val="000B7230"/>
    <w:rsid w:val="000B7A09"/>
    <w:rsid w:val="000B7C25"/>
    <w:rsid w:val="000B7E8A"/>
    <w:rsid w:val="000C01EB"/>
    <w:rsid w:val="000C0290"/>
    <w:rsid w:val="000C084E"/>
    <w:rsid w:val="000C1E7F"/>
    <w:rsid w:val="000C2350"/>
    <w:rsid w:val="000C2C7E"/>
    <w:rsid w:val="000C2DE3"/>
    <w:rsid w:val="000C395F"/>
    <w:rsid w:val="000C39A1"/>
    <w:rsid w:val="000C3D0A"/>
    <w:rsid w:val="000C523A"/>
    <w:rsid w:val="000C56AB"/>
    <w:rsid w:val="000C618A"/>
    <w:rsid w:val="000C647E"/>
    <w:rsid w:val="000C64C3"/>
    <w:rsid w:val="000C6594"/>
    <w:rsid w:val="000C6DDA"/>
    <w:rsid w:val="000C7028"/>
    <w:rsid w:val="000C7BCE"/>
    <w:rsid w:val="000C7FF9"/>
    <w:rsid w:val="000D054B"/>
    <w:rsid w:val="000D0A41"/>
    <w:rsid w:val="000D0ADC"/>
    <w:rsid w:val="000D0B1E"/>
    <w:rsid w:val="000D1D9B"/>
    <w:rsid w:val="000D2090"/>
    <w:rsid w:val="000D257E"/>
    <w:rsid w:val="000D2991"/>
    <w:rsid w:val="000D2C3A"/>
    <w:rsid w:val="000D388B"/>
    <w:rsid w:val="000D4183"/>
    <w:rsid w:val="000D4DC2"/>
    <w:rsid w:val="000D51B8"/>
    <w:rsid w:val="000D5772"/>
    <w:rsid w:val="000D5850"/>
    <w:rsid w:val="000D59D7"/>
    <w:rsid w:val="000D61D4"/>
    <w:rsid w:val="000D6452"/>
    <w:rsid w:val="000D71A0"/>
    <w:rsid w:val="000D7C73"/>
    <w:rsid w:val="000E014E"/>
    <w:rsid w:val="000E08BB"/>
    <w:rsid w:val="000E1514"/>
    <w:rsid w:val="000E18BA"/>
    <w:rsid w:val="000E2BF2"/>
    <w:rsid w:val="000E3279"/>
    <w:rsid w:val="000E36ED"/>
    <w:rsid w:val="000E38C6"/>
    <w:rsid w:val="000E430A"/>
    <w:rsid w:val="000E4506"/>
    <w:rsid w:val="000E463C"/>
    <w:rsid w:val="000E46FA"/>
    <w:rsid w:val="000E5F4D"/>
    <w:rsid w:val="000E6814"/>
    <w:rsid w:val="000E742F"/>
    <w:rsid w:val="000E747C"/>
    <w:rsid w:val="000E758C"/>
    <w:rsid w:val="000E76AF"/>
    <w:rsid w:val="000E79CC"/>
    <w:rsid w:val="000E7B66"/>
    <w:rsid w:val="000E7BC1"/>
    <w:rsid w:val="000F1DB3"/>
    <w:rsid w:val="000F20A6"/>
    <w:rsid w:val="000F26BE"/>
    <w:rsid w:val="000F27BC"/>
    <w:rsid w:val="000F32CB"/>
    <w:rsid w:val="000F4139"/>
    <w:rsid w:val="000F492A"/>
    <w:rsid w:val="000F563F"/>
    <w:rsid w:val="000F594C"/>
    <w:rsid w:val="000F5C26"/>
    <w:rsid w:val="000F5EAA"/>
    <w:rsid w:val="000F69DB"/>
    <w:rsid w:val="000F6D76"/>
    <w:rsid w:val="000F715D"/>
    <w:rsid w:val="000F7225"/>
    <w:rsid w:val="000F7560"/>
    <w:rsid w:val="000F7EB0"/>
    <w:rsid w:val="001001E1"/>
    <w:rsid w:val="00100BD3"/>
    <w:rsid w:val="00100D61"/>
    <w:rsid w:val="00101211"/>
    <w:rsid w:val="00101DB8"/>
    <w:rsid w:val="00101FE3"/>
    <w:rsid w:val="001026F2"/>
    <w:rsid w:val="001028C2"/>
    <w:rsid w:val="00102C3B"/>
    <w:rsid w:val="001032B3"/>
    <w:rsid w:val="00104411"/>
    <w:rsid w:val="00104BD7"/>
    <w:rsid w:val="00105236"/>
    <w:rsid w:val="00106085"/>
    <w:rsid w:val="00106C43"/>
    <w:rsid w:val="0010778C"/>
    <w:rsid w:val="00110182"/>
    <w:rsid w:val="001108AA"/>
    <w:rsid w:val="001129B3"/>
    <w:rsid w:val="001133E2"/>
    <w:rsid w:val="00113536"/>
    <w:rsid w:val="0011382D"/>
    <w:rsid w:val="00113ED8"/>
    <w:rsid w:val="00113F8C"/>
    <w:rsid w:val="0011445D"/>
    <w:rsid w:val="00114D7E"/>
    <w:rsid w:val="001157CD"/>
    <w:rsid w:val="001165ED"/>
    <w:rsid w:val="0011745D"/>
    <w:rsid w:val="0011763B"/>
    <w:rsid w:val="00120004"/>
    <w:rsid w:val="001211B9"/>
    <w:rsid w:val="00121252"/>
    <w:rsid w:val="001216CA"/>
    <w:rsid w:val="001224DF"/>
    <w:rsid w:val="00122CF0"/>
    <w:rsid w:val="00122E19"/>
    <w:rsid w:val="00122FAE"/>
    <w:rsid w:val="0012359C"/>
    <w:rsid w:val="00123A8E"/>
    <w:rsid w:val="00123B11"/>
    <w:rsid w:val="00123CAA"/>
    <w:rsid w:val="00125DB7"/>
    <w:rsid w:val="00126679"/>
    <w:rsid w:val="00126C10"/>
    <w:rsid w:val="00126EA7"/>
    <w:rsid w:val="00127E86"/>
    <w:rsid w:val="001304C5"/>
    <w:rsid w:val="001305FE"/>
    <w:rsid w:val="001308B4"/>
    <w:rsid w:val="00130A7C"/>
    <w:rsid w:val="00130D48"/>
    <w:rsid w:val="00131535"/>
    <w:rsid w:val="001315DF"/>
    <w:rsid w:val="0013179A"/>
    <w:rsid w:val="00132210"/>
    <w:rsid w:val="00132A52"/>
    <w:rsid w:val="0013303D"/>
    <w:rsid w:val="001331C5"/>
    <w:rsid w:val="00133A98"/>
    <w:rsid w:val="00133AF1"/>
    <w:rsid w:val="001353B9"/>
    <w:rsid w:val="001354D2"/>
    <w:rsid w:val="00135811"/>
    <w:rsid w:val="00135D7B"/>
    <w:rsid w:val="0013609D"/>
    <w:rsid w:val="0013646E"/>
    <w:rsid w:val="0013675D"/>
    <w:rsid w:val="00137B93"/>
    <w:rsid w:val="001427CD"/>
    <w:rsid w:val="00143014"/>
    <w:rsid w:val="00143EBB"/>
    <w:rsid w:val="001441FE"/>
    <w:rsid w:val="00144482"/>
    <w:rsid w:val="001445F0"/>
    <w:rsid w:val="001448D6"/>
    <w:rsid w:val="00144D2C"/>
    <w:rsid w:val="00144F44"/>
    <w:rsid w:val="0014604C"/>
    <w:rsid w:val="00146A86"/>
    <w:rsid w:val="00146B20"/>
    <w:rsid w:val="00146B52"/>
    <w:rsid w:val="00147847"/>
    <w:rsid w:val="00147AA4"/>
    <w:rsid w:val="00150DE3"/>
    <w:rsid w:val="00150F80"/>
    <w:rsid w:val="0015103C"/>
    <w:rsid w:val="00151562"/>
    <w:rsid w:val="00151793"/>
    <w:rsid w:val="0015280E"/>
    <w:rsid w:val="00152F98"/>
    <w:rsid w:val="0015380D"/>
    <w:rsid w:val="00153DE9"/>
    <w:rsid w:val="001547A4"/>
    <w:rsid w:val="001547ED"/>
    <w:rsid w:val="00154C01"/>
    <w:rsid w:val="00154F39"/>
    <w:rsid w:val="00154FE4"/>
    <w:rsid w:val="0015523A"/>
    <w:rsid w:val="0015573F"/>
    <w:rsid w:val="001567E7"/>
    <w:rsid w:val="001572FC"/>
    <w:rsid w:val="00157EC5"/>
    <w:rsid w:val="00157FBC"/>
    <w:rsid w:val="00160729"/>
    <w:rsid w:val="00160908"/>
    <w:rsid w:val="00160A87"/>
    <w:rsid w:val="00160B02"/>
    <w:rsid w:val="001611B0"/>
    <w:rsid w:val="0016174D"/>
    <w:rsid w:val="001618BB"/>
    <w:rsid w:val="001622A9"/>
    <w:rsid w:val="001622C5"/>
    <w:rsid w:val="00162FBE"/>
    <w:rsid w:val="0016304E"/>
    <w:rsid w:val="00163542"/>
    <w:rsid w:val="00163A52"/>
    <w:rsid w:val="00163DAC"/>
    <w:rsid w:val="00165A46"/>
    <w:rsid w:val="00165D77"/>
    <w:rsid w:val="001662FF"/>
    <w:rsid w:val="001666C7"/>
    <w:rsid w:val="00166774"/>
    <w:rsid w:val="00166D68"/>
    <w:rsid w:val="00167149"/>
    <w:rsid w:val="00167D1D"/>
    <w:rsid w:val="00170167"/>
    <w:rsid w:val="00170223"/>
    <w:rsid w:val="00170464"/>
    <w:rsid w:val="001704E6"/>
    <w:rsid w:val="00170859"/>
    <w:rsid w:val="001710C1"/>
    <w:rsid w:val="001719A7"/>
    <w:rsid w:val="001720B5"/>
    <w:rsid w:val="00172469"/>
    <w:rsid w:val="001724CA"/>
    <w:rsid w:val="001726B5"/>
    <w:rsid w:val="00172AD1"/>
    <w:rsid w:val="00172B48"/>
    <w:rsid w:val="00173B24"/>
    <w:rsid w:val="001741B5"/>
    <w:rsid w:val="0017480C"/>
    <w:rsid w:val="00174842"/>
    <w:rsid w:val="00174951"/>
    <w:rsid w:val="00174D5C"/>
    <w:rsid w:val="00175A6C"/>
    <w:rsid w:val="0017602E"/>
    <w:rsid w:val="00176093"/>
    <w:rsid w:val="00176146"/>
    <w:rsid w:val="00176E8A"/>
    <w:rsid w:val="00177618"/>
    <w:rsid w:val="00177CB7"/>
    <w:rsid w:val="00177FBD"/>
    <w:rsid w:val="001802EF"/>
    <w:rsid w:val="00180C20"/>
    <w:rsid w:val="001810EA"/>
    <w:rsid w:val="001812E6"/>
    <w:rsid w:val="0018228C"/>
    <w:rsid w:val="001822D4"/>
    <w:rsid w:val="001827B5"/>
    <w:rsid w:val="00182C0F"/>
    <w:rsid w:val="001837FA"/>
    <w:rsid w:val="001838FC"/>
    <w:rsid w:val="00183A6F"/>
    <w:rsid w:val="00183C8E"/>
    <w:rsid w:val="001841E7"/>
    <w:rsid w:val="00184555"/>
    <w:rsid w:val="00185C52"/>
    <w:rsid w:val="00187337"/>
    <w:rsid w:val="00187A44"/>
    <w:rsid w:val="00187D0D"/>
    <w:rsid w:val="001901CF"/>
    <w:rsid w:val="0019040C"/>
    <w:rsid w:val="00190599"/>
    <w:rsid w:val="00190642"/>
    <w:rsid w:val="00190A95"/>
    <w:rsid w:val="00190F32"/>
    <w:rsid w:val="0019119A"/>
    <w:rsid w:val="00191CC3"/>
    <w:rsid w:val="00192B7A"/>
    <w:rsid w:val="00192C4C"/>
    <w:rsid w:val="00192F26"/>
    <w:rsid w:val="00193193"/>
    <w:rsid w:val="00193441"/>
    <w:rsid w:val="00193E7E"/>
    <w:rsid w:val="0019447A"/>
    <w:rsid w:val="00195A34"/>
    <w:rsid w:val="00195A3A"/>
    <w:rsid w:val="00195EBA"/>
    <w:rsid w:val="001961D9"/>
    <w:rsid w:val="00196B9F"/>
    <w:rsid w:val="0019707D"/>
    <w:rsid w:val="00197C88"/>
    <w:rsid w:val="00197EB6"/>
    <w:rsid w:val="001A225E"/>
    <w:rsid w:val="001A2BC7"/>
    <w:rsid w:val="001A2D52"/>
    <w:rsid w:val="001A2D89"/>
    <w:rsid w:val="001A314E"/>
    <w:rsid w:val="001A35AA"/>
    <w:rsid w:val="001A3631"/>
    <w:rsid w:val="001A3668"/>
    <w:rsid w:val="001A39F5"/>
    <w:rsid w:val="001A3B78"/>
    <w:rsid w:val="001A3E73"/>
    <w:rsid w:val="001A4AFE"/>
    <w:rsid w:val="001A4B7F"/>
    <w:rsid w:val="001A50BD"/>
    <w:rsid w:val="001A6AE6"/>
    <w:rsid w:val="001A6FCB"/>
    <w:rsid w:val="001A7040"/>
    <w:rsid w:val="001A7642"/>
    <w:rsid w:val="001A7BFC"/>
    <w:rsid w:val="001A7FC3"/>
    <w:rsid w:val="001B0611"/>
    <w:rsid w:val="001B0CB5"/>
    <w:rsid w:val="001B0CE1"/>
    <w:rsid w:val="001B1AD1"/>
    <w:rsid w:val="001B1E2D"/>
    <w:rsid w:val="001B1E37"/>
    <w:rsid w:val="001B2CA4"/>
    <w:rsid w:val="001B3F3C"/>
    <w:rsid w:val="001B4669"/>
    <w:rsid w:val="001B50A2"/>
    <w:rsid w:val="001B56CC"/>
    <w:rsid w:val="001B5946"/>
    <w:rsid w:val="001B5CAF"/>
    <w:rsid w:val="001B6BC1"/>
    <w:rsid w:val="001B6E2D"/>
    <w:rsid w:val="001B7723"/>
    <w:rsid w:val="001B7762"/>
    <w:rsid w:val="001B78C1"/>
    <w:rsid w:val="001B7DF2"/>
    <w:rsid w:val="001C03D2"/>
    <w:rsid w:val="001C057F"/>
    <w:rsid w:val="001C08B2"/>
    <w:rsid w:val="001C0B79"/>
    <w:rsid w:val="001C0C0B"/>
    <w:rsid w:val="001C26A8"/>
    <w:rsid w:val="001C330E"/>
    <w:rsid w:val="001C3C01"/>
    <w:rsid w:val="001C3FB9"/>
    <w:rsid w:val="001C4900"/>
    <w:rsid w:val="001C4D4C"/>
    <w:rsid w:val="001C555E"/>
    <w:rsid w:val="001C5E53"/>
    <w:rsid w:val="001C600F"/>
    <w:rsid w:val="001C62E8"/>
    <w:rsid w:val="001C685A"/>
    <w:rsid w:val="001D0298"/>
    <w:rsid w:val="001D02BC"/>
    <w:rsid w:val="001D0C8D"/>
    <w:rsid w:val="001D380E"/>
    <w:rsid w:val="001D391D"/>
    <w:rsid w:val="001D39D3"/>
    <w:rsid w:val="001D3D09"/>
    <w:rsid w:val="001D3D71"/>
    <w:rsid w:val="001D412D"/>
    <w:rsid w:val="001D51A7"/>
    <w:rsid w:val="001D5484"/>
    <w:rsid w:val="001D6917"/>
    <w:rsid w:val="001D73D9"/>
    <w:rsid w:val="001D7418"/>
    <w:rsid w:val="001D7D6D"/>
    <w:rsid w:val="001E0F74"/>
    <w:rsid w:val="001E1EDB"/>
    <w:rsid w:val="001E242C"/>
    <w:rsid w:val="001E2D6B"/>
    <w:rsid w:val="001E3525"/>
    <w:rsid w:val="001E413D"/>
    <w:rsid w:val="001E422B"/>
    <w:rsid w:val="001E4FB6"/>
    <w:rsid w:val="001E51BE"/>
    <w:rsid w:val="001E62DD"/>
    <w:rsid w:val="001E6565"/>
    <w:rsid w:val="001E662A"/>
    <w:rsid w:val="001E675C"/>
    <w:rsid w:val="001E6CB5"/>
    <w:rsid w:val="001F0519"/>
    <w:rsid w:val="001F0B79"/>
    <w:rsid w:val="001F13D9"/>
    <w:rsid w:val="001F1F8B"/>
    <w:rsid w:val="001F2767"/>
    <w:rsid w:val="001F2F21"/>
    <w:rsid w:val="001F32CA"/>
    <w:rsid w:val="001F3A19"/>
    <w:rsid w:val="001F42AC"/>
    <w:rsid w:val="001F42D9"/>
    <w:rsid w:val="001F478B"/>
    <w:rsid w:val="001F4BCD"/>
    <w:rsid w:val="001F5417"/>
    <w:rsid w:val="001F61EE"/>
    <w:rsid w:val="001F6825"/>
    <w:rsid w:val="001F69EB"/>
    <w:rsid w:val="001F75CF"/>
    <w:rsid w:val="00200301"/>
    <w:rsid w:val="00200AB3"/>
    <w:rsid w:val="00200E48"/>
    <w:rsid w:val="002013D3"/>
    <w:rsid w:val="002014DE"/>
    <w:rsid w:val="002026BC"/>
    <w:rsid w:val="0020270B"/>
    <w:rsid w:val="00203718"/>
    <w:rsid w:val="00203AFA"/>
    <w:rsid w:val="00203D3F"/>
    <w:rsid w:val="00203F74"/>
    <w:rsid w:val="00204131"/>
    <w:rsid w:val="002042DC"/>
    <w:rsid w:val="00205066"/>
    <w:rsid w:val="002053C4"/>
    <w:rsid w:val="002054E0"/>
    <w:rsid w:val="00207D58"/>
    <w:rsid w:val="002115FF"/>
    <w:rsid w:val="00211780"/>
    <w:rsid w:val="0021241D"/>
    <w:rsid w:val="00212725"/>
    <w:rsid w:val="00212850"/>
    <w:rsid w:val="00212A87"/>
    <w:rsid w:val="00212FB1"/>
    <w:rsid w:val="0021311F"/>
    <w:rsid w:val="00213DD9"/>
    <w:rsid w:val="00213E7B"/>
    <w:rsid w:val="0021435E"/>
    <w:rsid w:val="002144AF"/>
    <w:rsid w:val="002159D5"/>
    <w:rsid w:val="00216116"/>
    <w:rsid w:val="00216D87"/>
    <w:rsid w:val="002174D2"/>
    <w:rsid w:val="00217902"/>
    <w:rsid w:val="00217F39"/>
    <w:rsid w:val="0022136F"/>
    <w:rsid w:val="002214FC"/>
    <w:rsid w:val="00221CDB"/>
    <w:rsid w:val="0022280C"/>
    <w:rsid w:val="00222E98"/>
    <w:rsid w:val="00223202"/>
    <w:rsid w:val="00223423"/>
    <w:rsid w:val="00223706"/>
    <w:rsid w:val="00223FAB"/>
    <w:rsid w:val="0022423A"/>
    <w:rsid w:val="00224E23"/>
    <w:rsid w:val="0022552B"/>
    <w:rsid w:val="00225B62"/>
    <w:rsid w:val="00225C33"/>
    <w:rsid w:val="00226E24"/>
    <w:rsid w:val="00227845"/>
    <w:rsid w:val="00227D31"/>
    <w:rsid w:val="002329FC"/>
    <w:rsid w:val="00232D47"/>
    <w:rsid w:val="00232D84"/>
    <w:rsid w:val="0023383F"/>
    <w:rsid w:val="00234A01"/>
    <w:rsid w:val="00234CA9"/>
    <w:rsid w:val="00235E46"/>
    <w:rsid w:val="0023660F"/>
    <w:rsid w:val="002367D7"/>
    <w:rsid w:val="0023766D"/>
    <w:rsid w:val="00237693"/>
    <w:rsid w:val="002376D4"/>
    <w:rsid w:val="00237F7A"/>
    <w:rsid w:val="0024052A"/>
    <w:rsid w:val="00240B70"/>
    <w:rsid w:val="00241295"/>
    <w:rsid w:val="00242322"/>
    <w:rsid w:val="0024247F"/>
    <w:rsid w:val="00243406"/>
    <w:rsid w:val="00243837"/>
    <w:rsid w:val="00243F78"/>
    <w:rsid w:val="00244A26"/>
    <w:rsid w:val="00244DA5"/>
    <w:rsid w:val="00244F9D"/>
    <w:rsid w:val="002455B8"/>
    <w:rsid w:val="002468F6"/>
    <w:rsid w:val="00246AC5"/>
    <w:rsid w:val="002470FF"/>
    <w:rsid w:val="00247C4C"/>
    <w:rsid w:val="00250F75"/>
    <w:rsid w:val="0025164B"/>
    <w:rsid w:val="002523A3"/>
    <w:rsid w:val="0025243E"/>
    <w:rsid w:val="00253685"/>
    <w:rsid w:val="00254367"/>
    <w:rsid w:val="002548DE"/>
    <w:rsid w:val="0025533A"/>
    <w:rsid w:val="002555F1"/>
    <w:rsid w:val="00255805"/>
    <w:rsid w:val="0025713D"/>
    <w:rsid w:val="00257522"/>
    <w:rsid w:val="00257682"/>
    <w:rsid w:val="00257FB2"/>
    <w:rsid w:val="00260934"/>
    <w:rsid w:val="00261325"/>
    <w:rsid w:val="00261836"/>
    <w:rsid w:val="00261967"/>
    <w:rsid w:val="00262289"/>
    <w:rsid w:val="002623A7"/>
    <w:rsid w:val="002627E0"/>
    <w:rsid w:val="00262A10"/>
    <w:rsid w:val="00263281"/>
    <w:rsid w:val="0026357A"/>
    <w:rsid w:val="002636CA"/>
    <w:rsid w:val="00263DFF"/>
    <w:rsid w:val="00264441"/>
    <w:rsid w:val="00264DFC"/>
    <w:rsid w:val="00264F62"/>
    <w:rsid w:val="0026578F"/>
    <w:rsid w:val="00265C65"/>
    <w:rsid w:val="00266CF8"/>
    <w:rsid w:val="00267538"/>
    <w:rsid w:val="0027074D"/>
    <w:rsid w:val="002710FE"/>
    <w:rsid w:val="00271329"/>
    <w:rsid w:val="002713FC"/>
    <w:rsid w:val="00271D77"/>
    <w:rsid w:val="00271E61"/>
    <w:rsid w:val="00271F2D"/>
    <w:rsid w:val="00272254"/>
    <w:rsid w:val="00272553"/>
    <w:rsid w:val="002728C3"/>
    <w:rsid w:val="00272CFA"/>
    <w:rsid w:val="002731B7"/>
    <w:rsid w:val="00273EB2"/>
    <w:rsid w:val="0027403F"/>
    <w:rsid w:val="00274048"/>
    <w:rsid w:val="002740B8"/>
    <w:rsid w:val="0027474C"/>
    <w:rsid w:val="00274939"/>
    <w:rsid w:val="00274946"/>
    <w:rsid w:val="00275398"/>
    <w:rsid w:val="002757C7"/>
    <w:rsid w:val="0027599C"/>
    <w:rsid w:val="00275C2F"/>
    <w:rsid w:val="00275C61"/>
    <w:rsid w:val="00275FAD"/>
    <w:rsid w:val="00276401"/>
    <w:rsid w:val="00276BE8"/>
    <w:rsid w:val="00277378"/>
    <w:rsid w:val="00277582"/>
    <w:rsid w:val="00280113"/>
    <w:rsid w:val="002801CB"/>
    <w:rsid w:val="002806E5"/>
    <w:rsid w:val="002807F9"/>
    <w:rsid w:val="00280885"/>
    <w:rsid w:val="00280EF1"/>
    <w:rsid w:val="002812F4"/>
    <w:rsid w:val="00281430"/>
    <w:rsid w:val="00281CD6"/>
    <w:rsid w:val="002833E4"/>
    <w:rsid w:val="00283BA0"/>
    <w:rsid w:val="00283CF6"/>
    <w:rsid w:val="00284105"/>
    <w:rsid w:val="00284469"/>
    <w:rsid w:val="00284A2A"/>
    <w:rsid w:val="00284A6D"/>
    <w:rsid w:val="00284EEC"/>
    <w:rsid w:val="0028530F"/>
    <w:rsid w:val="00285DFC"/>
    <w:rsid w:val="00286483"/>
    <w:rsid w:val="00286A76"/>
    <w:rsid w:val="00286E58"/>
    <w:rsid w:val="002870B3"/>
    <w:rsid w:val="00287217"/>
    <w:rsid w:val="002876B0"/>
    <w:rsid w:val="002914DC"/>
    <w:rsid w:val="00291DD8"/>
    <w:rsid w:val="002922CA"/>
    <w:rsid w:val="00293618"/>
    <w:rsid w:val="0029377D"/>
    <w:rsid w:val="002940C8"/>
    <w:rsid w:val="002948C6"/>
    <w:rsid w:val="00294C15"/>
    <w:rsid w:val="00295953"/>
    <w:rsid w:val="00295D29"/>
    <w:rsid w:val="00296160"/>
    <w:rsid w:val="00297C0F"/>
    <w:rsid w:val="002A0E55"/>
    <w:rsid w:val="002A1218"/>
    <w:rsid w:val="002A199D"/>
    <w:rsid w:val="002A209D"/>
    <w:rsid w:val="002A25AB"/>
    <w:rsid w:val="002A3EFE"/>
    <w:rsid w:val="002A4143"/>
    <w:rsid w:val="002A43C1"/>
    <w:rsid w:val="002A4DB0"/>
    <w:rsid w:val="002A4E73"/>
    <w:rsid w:val="002A5062"/>
    <w:rsid w:val="002A51B2"/>
    <w:rsid w:val="002A5544"/>
    <w:rsid w:val="002A56BB"/>
    <w:rsid w:val="002A56F2"/>
    <w:rsid w:val="002A57D6"/>
    <w:rsid w:val="002A5B18"/>
    <w:rsid w:val="002A645A"/>
    <w:rsid w:val="002A64B0"/>
    <w:rsid w:val="002A6864"/>
    <w:rsid w:val="002A72BF"/>
    <w:rsid w:val="002A76B3"/>
    <w:rsid w:val="002A7D35"/>
    <w:rsid w:val="002B0172"/>
    <w:rsid w:val="002B1A0C"/>
    <w:rsid w:val="002B1CCA"/>
    <w:rsid w:val="002B1D37"/>
    <w:rsid w:val="002B1D5A"/>
    <w:rsid w:val="002B2F43"/>
    <w:rsid w:val="002B319C"/>
    <w:rsid w:val="002B3497"/>
    <w:rsid w:val="002B34F8"/>
    <w:rsid w:val="002B433A"/>
    <w:rsid w:val="002B4A81"/>
    <w:rsid w:val="002B52F2"/>
    <w:rsid w:val="002B5893"/>
    <w:rsid w:val="002B5FF9"/>
    <w:rsid w:val="002B69C0"/>
    <w:rsid w:val="002B6A1E"/>
    <w:rsid w:val="002B7529"/>
    <w:rsid w:val="002C052A"/>
    <w:rsid w:val="002C05B3"/>
    <w:rsid w:val="002C0A3B"/>
    <w:rsid w:val="002C10C3"/>
    <w:rsid w:val="002C13E0"/>
    <w:rsid w:val="002C1858"/>
    <w:rsid w:val="002C20EB"/>
    <w:rsid w:val="002C227F"/>
    <w:rsid w:val="002C22A9"/>
    <w:rsid w:val="002C289B"/>
    <w:rsid w:val="002C2BEC"/>
    <w:rsid w:val="002C2F90"/>
    <w:rsid w:val="002C3073"/>
    <w:rsid w:val="002C31CF"/>
    <w:rsid w:val="002C3398"/>
    <w:rsid w:val="002C3553"/>
    <w:rsid w:val="002C41A0"/>
    <w:rsid w:val="002C49EC"/>
    <w:rsid w:val="002C5961"/>
    <w:rsid w:val="002C5D75"/>
    <w:rsid w:val="002C6118"/>
    <w:rsid w:val="002C6421"/>
    <w:rsid w:val="002C66AF"/>
    <w:rsid w:val="002C680C"/>
    <w:rsid w:val="002C71E5"/>
    <w:rsid w:val="002D0486"/>
    <w:rsid w:val="002D0DAF"/>
    <w:rsid w:val="002D1094"/>
    <w:rsid w:val="002D18BA"/>
    <w:rsid w:val="002D23D5"/>
    <w:rsid w:val="002D2CEC"/>
    <w:rsid w:val="002D3530"/>
    <w:rsid w:val="002D38D4"/>
    <w:rsid w:val="002D3952"/>
    <w:rsid w:val="002D400D"/>
    <w:rsid w:val="002D7F41"/>
    <w:rsid w:val="002E084D"/>
    <w:rsid w:val="002E1A6C"/>
    <w:rsid w:val="002E1E92"/>
    <w:rsid w:val="002E208B"/>
    <w:rsid w:val="002E2A24"/>
    <w:rsid w:val="002E2DC2"/>
    <w:rsid w:val="002E32AD"/>
    <w:rsid w:val="002E367D"/>
    <w:rsid w:val="002E3749"/>
    <w:rsid w:val="002E4109"/>
    <w:rsid w:val="002E43D7"/>
    <w:rsid w:val="002E478C"/>
    <w:rsid w:val="002E48A9"/>
    <w:rsid w:val="002E5113"/>
    <w:rsid w:val="002E5FB2"/>
    <w:rsid w:val="002E6625"/>
    <w:rsid w:val="002E6857"/>
    <w:rsid w:val="002E6B61"/>
    <w:rsid w:val="002E700B"/>
    <w:rsid w:val="002E71A2"/>
    <w:rsid w:val="002E7470"/>
    <w:rsid w:val="002E7A01"/>
    <w:rsid w:val="002E7D28"/>
    <w:rsid w:val="002E7EF8"/>
    <w:rsid w:val="002F06BA"/>
    <w:rsid w:val="002F0DFF"/>
    <w:rsid w:val="002F0F45"/>
    <w:rsid w:val="002F15E6"/>
    <w:rsid w:val="002F1DEB"/>
    <w:rsid w:val="002F1F2A"/>
    <w:rsid w:val="002F2AF1"/>
    <w:rsid w:val="002F2DDC"/>
    <w:rsid w:val="002F32C1"/>
    <w:rsid w:val="002F420F"/>
    <w:rsid w:val="002F49BD"/>
    <w:rsid w:val="002F4CE9"/>
    <w:rsid w:val="002F4F7C"/>
    <w:rsid w:val="002F5983"/>
    <w:rsid w:val="002F7A0D"/>
    <w:rsid w:val="002F7F52"/>
    <w:rsid w:val="00301AE9"/>
    <w:rsid w:val="00302262"/>
    <w:rsid w:val="00302AF3"/>
    <w:rsid w:val="00302E77"/>
    <w:rsid w:val="00303681"/>
    <w:rsid w:val="003038DF"/>
    <w:rsid w:val="003050AC"/>
    <w:rsid w:val="00305BC5"/>
    <w:rsid w:val="00305C4B"/>
    <w:rsid w:val="00305EB7"/>
    <w:rsid w:val="00307C2C"/>
    <w:rsid w:val="00307D56"/>
    <w:rsid w:val="003103DB"/>
    <w:rsid w:val="00310933"/>
    <w:rsid w:val="0031161A"/>
    <w:rsid w:val="0031203E"/>
    <w:rsid w:val="00312260"/>
    <w:rsid w:val="00312271"/>
    <w:rsid w:val="00313795"/>
    <w:rsid w:val="003143E3"/>
    <w:rsid w:val="00314794"/>
    <w:rsid w:val="003148C2"/>
    <w:rsid w:val="00315DF0"/>
    <w:rsid w:val="00315FF1"/>
    <w:rsid w:val="003161BD"/>
    <w:rsid w:val="003172AB"/>
    <w:rsid w:val="00320127"/>
    <w:rsid w:val="003208F0"/>
    <w:rsid w:val="00320BB6"/>
    <w:rsid w:val="0032163D"/>
    <w:rsid w:val="0032184F"/>
    <w:rsid w:val="00322130"/>
    <w:rsid w:val="00322A9F"/>
    <w:rsid w:val="00322FE0"/>
    <w:rsid w:val="00323125"/>
    <w:rsid w:val="00323785"/>
    <w:rsid w:val="003244FD"/>
    <w:rsid w:val="0032480F"/>
    <w:rsid w:val="00327835"/>
    <w:rsid w:val="00327B73"/>
    <w:rsid w:val="00327BAE"/>
    <w:rsid w:val="00330437"/>
    <w:rsid w:val="0033065D"/>
    <w:rsid w:val="00330CAC"/>
    <w:rsid w:val="00330CDF"/>
    <w:rsid w:val="00331BF5"/>
    <w:rsid w:val="00331F11"/>
    <w:rsid w:val="0033262D"/>
    <w:rsid w:val="003327C3"/>
    <w:rsid w:val="0033311C"/>
    <w:rsid w:val="00333918"/>
    <w:rsid w:val="00333C86"/>
    <w:rsid w:val="00335176"/>
    <w:rsid w:val="00337B72"/>
    <w:rsid w:val="00337B9C"/>
    <w:rsid w:val="003402AB"/>
    <w:rsid w:val="0034039A"/>
    <w:rsid w:val="00340451"/>
    <w:rsid w:val="00340A36"/>
    <w:rsid w:val="00340BF7"/>
    <w:rsid w:val="00341586"/>
    <w:rsid w:val="00341AC8"/>
    <w:rsid w:val="00341D2E"/>
    <w:rsid w:val="00341F38"/>
    <w:rsid w:val="00342699"/>
    <w:rsid w:val="0034308B"/>
    <w:rsid w:val="00343262"/>
    <w:rsid w:val="003435A5"/>
    <w:rsid w:val="00343E40"/>
    <w:rsid w:val="003441E9"/>
    <w:rsid w:val="00344B47"/>
    <w:rsid w:val="003452C3"/>
    <w:rsid w:val="003459C7"/>
    <w:rsid w:val="00345B39"/>
    <w:rsid w:val="0034692B"/>
    <w:rsid w:val="00347555"/>
    <w:rsid w:val="003502D4"/>
    <w:rsid w:val="00350930"/>
    <w:rsid w:val="003516C1"/>
    <w:rsid w:val="0035287B"/>
    <w:rsid w:val="00352C72"/>
    <w:rsid w:val="00352D03"/>
    <w:rsid w:val="00352F84"/>
    <w:rsid w:val="00352F8E"/>
    <w:rsid w:val="003532C1"/>
    <w:rsid w:val="003534D5"/>
    <w:rsid w:val="00353C63"/>
    <w:rsid w:val="00354327"/>
    <w:rsid w:val="003544F0"/>
    <w:rsid w:val="00354BB6"/>
    <w:rsid w:val="00354BD4"/>
    <w:rsid w:val="00355BB6"/>
    <w:rsid w:val="00356916"/>
    <w:rsid w:val="0035708F"/>
    <w:rsid w:val="00357577"/>
    <w:rsid w:val="00360214"/>
    <w:rsid w:val="0036113C"/>
    <w:rsid w:val="003614C1"/>
    <w:rsid w:val="003615A7"/>
    <w:rsid w:val="00361682"/>
    <w:rsid w:val="00362377"/>
    <w:rsid w:val="00362E2F"/>
    <w:rsid w:val="00362FC0"/>
    <w:rsid w:val="00363A5D"/>
    <w:rsid w:val="00363E16"/>
    <w:rsid w:val="00364206"/>
    <w:rsid w:val="0036440F"/>
    <w:rsid w:val="003644CE"/>
    <w:rsid w:val="00364569"/>
    <w:rsid w:val="003648B4"/>
    <w:rsid w:val="00364F5C"/>
    <w:rsid w:val="003650AF"/>
    <w:rsid w:val="00365B4C"/>
    <w:rsid w:val="00366869"/>
    <w:rsid w:val="003669BC"/>
    <w:rsid w:val="00366C19"/>
    <w:rsid w:val="00367864"/>
    <w:rsid w:val="00367E71"/>
    <w:rsid w:val="00370BA0"/>
    <w:rsid w:val="00370D0D"/>
    <w:rsid w:val="003718EC"/>
    <w:rsid w:val="003718F2"/>
    <w:rsid w:val="00371F0C"/>
    <w:rsid w:val="0037213A"/>
    <w:rsid w:val="00372148"/>
    <w:rsid w:val="003722E8"/>
    <w:rsid w:val="003729FD"/>
    <w:rsid w:val="00373BBD"/>
    <w:rsid w:val="00373FC4"/>
    <w:rsid w:val="00375B80"/>
    <w:rsid w:val="003762C2"/>
    <w:rsid w:val="003765BA"/>
    <w:rsid w:val="003768DE"/>
    <w:rsid w:val="00376C37"/>
    <w:rsid w:val="00376DE4"/>
    <w:rsid w:val="00377288"/>
    <w:rsid w:val="00380E82"/>
    <w:rsid w:val="003817D4"/>
    <w:rsid w:val="00381902"/>
    <w:rsid w:val="00381AF1"/>
    <w:rsid w:val="00381C12"/>
    <w:rsid w:val="00381C6C"/>
    <w:rsid w:val="00383135"/>
    <w:rsid w:val="0038373D"/>
    <w:rsid w:val="00383A63"/>
    <w:rsid w:val="00383E9B"/>
    <w:rsid w:val="0038405C"/>
    <w:rsid w:val="00384065"/>
    <w:rsid w:val="003845AF"/>
    <w:rsid w:val="00384935"/>
    <w:rsid w:val="00384FBA"/>
    <w:rsid w:val="003857D8"/>
    <w:rsid w:val="003866CE"/>
    <w:rsid w:val="00386B06"/>
    <w:rsid w:val="0038713A"/>
    <w:rsid w:val="003871D0"/>
    <w:rsid w:val="003877D0"/>
    <w:rsid w:val="00387B7A"/>
    <w:rsid w:val="003901BD"/>
    <w:rsid w:val="003916DA"/>
    <w:rsid w:val="00391AFC"/>
    <w:rsid w:val="00392165"/>
    <w:rsid w:val="0039233F"/>
    <w:rsid w:val="003924DA"/>
    <w:rsid w:val="00393879"/>
    <w:rsid w:val="0039452C"/>
    <w:rsid w:val="00394D9A"/>
    <w:rsid w:val="0039510D"/>
    <w:rsid w:val="003951B9"/>
    <w:rsid w:val="003951C0"/>
    <w:rsid w:val="00395D89"/>
    <w:rsid w:val="003966BF"/>
    <w:rsid w:val="003968D2"/>
    <w:rsid w:val="003972DB"/>
    <w:rsid w:val="00397730"/>
    <w:rsid w:val="00397D41"/>
    <w:rsid w:val="003A0629"/>
    <w:rsid w:val="003A0C47"/>
    <w:rsid w:val="003A169E"/>
    <w:rsid w:val="003A16A3"/>
    <w:rsid w:val="003A1E30"/>
    <w:rsid w:val="003A1E3C"/>
    <w:rsid w:val="003A209F"/>
    <w:rsid w:val="003A20A3"/>
    <w:rsid w:val="003A20AA"/>
    <w:rsid w:val="003A2794"/>
    <w:rsid w:val="003A2DF8"/>
    <w:rsid w:val="003A340D"/>
    <w:rsid w:val="003A4184"/>
    <w:rsid w:val="003A41D2"/>
    <w:rsid w:val="003A475C"/>
    <w:rsid w:val="003A6396"/>
    <w:rsid w:val="003A6E55"/>
    <w:rsid w:val="003A7054"/>
    <w:rsid w:val="003A7257"/>
    <w:rsid w:val="003A735A"/>
    <w:rsid w:val="003A786C"/>
    <w:rsid w:val="003B0584"/>
    <w:rsid w:val="003B0C5F"/>
    <w:rsid w:val="003B0ED2"/>
    <w:rsid w:val="003B14E6"/>
    <w:rsid w:val="003B194F"/>
    <w:rsid w:val="003B1FBA"/>
    <w:rsid w:val="003B28D5"/>
    <w:rsid w:val="003B2964"/>
    <w:rsid w:val="003B2B14"/>
    <w:rsid w:val="003B3003"/>
    <w:rsid w:val="003B359D"/>
    <w:rsid w:val="003B3640"/>
    <w:rsid w:val="003B38CE"/>
    <w:rsid w:val="003B3A25"/>
    <w:rsid w:val="003B4312"/>
    <w:rsid w:val="003B515C"/>
    <w:rsid w:val="003B5C4C"/>
    <w:rsid w:val="003B6180"/>
    <w:rsid w:val="003B6BAF"/>
    <w:rsid w:val="003B6DBB"/>
    <w:rsid w:val="003B73E3"/>
    <w:rsid w:val="003B7F01"/>
    <w:rsid w:val="003C047C"/>
    <w:rsid w:val="003C07CA"/>
    <w:rsid w:val="003C09F9"/>
    <w:rsid w:val="003C0ABF"/>
    <w:rsid w:val="003C100E"/>
    <w:rsid w:val="003C1111"/>
    <w:rsid w:val="003C1323"/>
    <w:rsid w:val="003C1809"/>
    <w:rsid w:val="003C1F02"/>
    <w:rsid w:val="003C21F2"/>
    <w:rsid w:val="003C288B"/>
    <w:rsid w:val="003C2A1F"/>
    <w:rsid w:val="003C2A7A"/>
    <w:rsid w:val="003C3F72"/>
    <w:rsid w:val="003C466B"/>
    <w:rsid w:val="003C4750"/>
    <w:rsid w:val="003C4B8A"/>
    <w:rsid w:val="003C4CD4"/>
    <w:rsid w:val="003C536A"/>
    <w:rsid w:val="003C562D"/>
    <w:rsid w:val="003C56BB"/>
    <w:rsid w:val="003C5F62"/>
    <w:rsid w:val="003C63B1"/>
    <w:rsid w:val="003C6CDA"/>
    <w:rsid w:val="003C78F3"/>
    <w:rsid w:val="003D04D5"/>
    <w:rsid w:val="003D17B5"/>
    <w:rsid w:val="003D234F"/>
    <w:rsid w:val="003D2A48"/>
    <w:rsid w:val="003D2F46"/>
    <w:rsid w:val="003D336C"/>
    <w:rsid w:val="003D3382"/>
    <w:rsid w:val="003D449C"/>
    <w:rsid w:val="003D46FA"/>
    <w:rsid w:val="003D4837"/>
    <w:rsid w:val="003D50EC"/>
    <w:rsid w:val="003D518D"/>
    <w:rsid w:val="003D5CB2"/>
    <w:rsid w:val="003D5E1B"/>
    <w:rsid w:val="003D6290"/>
    <w:rsid w:val="003D62EC"/>
    <w:rsid w:val="003D6428"/>
    <w:rsid w:val="003D6618"/>
    <w:rsid w:val="003D687D"/>
    <w:rsid w:val="003D6B94"/>
    <w:rsid w:val="003D7113"/>
    <w:rsid w:val="003D7280"/>
    <w:rsid w:val="003D7634"/>
    <w:rsid w:val="003D7C80"/>
    <w:rsid w:val="003E007A"/>
    <w:rsid w:val="003E0590"/>
    <w:rsid w:val="003E0C4A"/>
    <w:rsid w:val="003E1167"/>
    <w:rsid w:val="003E1ABC"/>
    <w:rsid w:val="003E26EF"/>
    <w:rsid w:val="003E3D0F"/>
    <w:rsid w:val="003E41CE"/>
    <w:rsid w:val="003E4ADE"/>
    <w:rsid w:val="003E4EBC"/>
    <w:rsid w:val="003E60F9"/>
    <w:rsid w:val="003E638E"/>
    <w:rsid w:val="003E665D"/>
    <w:rsid w:val="003E6D4A"/>
    <w:rsid w:val="003E6F24"/>
    <w:rsid w:val="003E7B81"/>
    <w:rsid w:val="003E7F68"/>
    <w:rsid w:val="003F00EC"/>
    <w:rsid w:val="003F0296"/>
    <w:rsid w:val="003F0AA7"/>
    <w:rsid w:val="003F0C1B"/>
    <w:rsid w:val="003F0D4A"/>
    <w:rsid w:val="003F1101"/>
    <w:rsid w:val="003F13AE"/>
    <w:rsid w:val="003F1775"/>
    <w:rsid w:val="003F1F4A"/>
    <w:rsid w:val="003F3562"/>
    <w:rsid w:val="003F452D"/>
    <w:rsid w:val="003F49E6"/>
    <w:rsid w:val="003F607F"/>
    <w:rsid w:val="003F6440"/>
    <w:rsid w:val="003F6882"/>
    <w:rsid w:val="003F6D33"/>
    <w:rsid w:val="003F6D6A"/>
    <w:rsid w:val="003F7BE7"/>
    <w:rsid w:val="003F7C7C"/>
    <w:rsid w:val="003F7DCF"/>
    <w:rsid w:val="003F7F98"/>
    <w:rsid w:val="0040009C"/>
    <w:rsid w:val="004006AB"/>
    <w:rsid w:val="004011FB"/>
    <w:rsid w:val="0040140B"/>
    <w:rsid w:val="0040149B"/>
    <w:rsid w:val="004015F3"/>
    <w:rsid w:val="004018C8"/>
    <w:rsid w:val="00402A07"/>
    <w:rsid w:val="00402A50"/>
    <w:rsid w:val="00402BF8"/>
    <w:rsid w:val="00402D49"/>
    <w:rsid w:val="00403C4D"/>
    <w:rsid w:val="004047C6"/>
    <w:rsid w:val="004048B0"/>
    <w:rsid w:val="004049B9"/>
    <w:rsid w:val="00404B25"/>
    <w:rsid w:val="00405E5A"/>
    <w:rsid w:val="00406037"/>
    <w:rsid w:val="004063D8"/>
    <w:rsid w:val="00406413"/>
    <w:rsid w:val="00406861"/>
    <w:rsid w:val="00406B25"/>
    <w:rsid w:val="0040761F"/>
    <w:rsid w:val="0040767C"/>
    <w:rsid w:val="00407850"/>
    <w:rsid w:val="0041042C"/>
    <w:rsid w:val="0041088D"/>
    <w:rsid w:val="00410B11"/>
    <w:rsid w:val="00410C06"/>
    <w:rsid w:val="004113AF"/>
    <w:rsid w:val="004117E3"/>
    <w:rsid w:val="00411EE3"/>
    <w:rsid w:val="0041202A"/>
    <w:rsid w:val="0041287D"/>
    <w:rsid w:val="00412A48"/>
    <w:rsid w:val="00412A5A"/>
    <w:rsid w:val="00412A9B"/>
    <w:rsid w:val="00412B02"/>
    <w:rsid w:val="00412C3C"/>
    <w:rsid w:val="00412CB4"/>
    <w:rsid w:val="00413814"/>
    <w:rsid w:val="00415BC5"/>
    <w:rsid w:val="004160B1"/>
    <w:rsid w:val="004169F9"/>
    <w:rsid w:val="0041701B"/>
    <w:rsid w:val="00417C82"/>
    <w:rsid w:val="00417D6D"/>
    <w:rsid w:val="00417DBE"/>
    <w:rsid w:val="004203CD"/>
    <w:rsid w:val="00420B99"/>
    <w:rsid w:val="00420D72"/>
    <w:rsid w:val="00422A3C"/>
    <w:rsid w:val="00422F97"/>
    <w:rsid w:val="0042328A"/>
    <w:rsid w:val="004234FB"/>
    <w:rsid w:val="00423731"/>
    <w:rsid w:val="004237A9"/>
    <w:rsid w:val="004237D3"/>
    <w:rsid w:val="00423AC6"/>
    <w:rsid w:val="004254C8"/>
    <w:rsid w:val="00425503"/>
    <w:rsid w:val="0042659E"/>
    <w:rsid w:val="00426881"/>
    <w:rsid w:val="00427AFC"/>
    <w:rsid w:val="00430006"/>
    <w:rsid w:val="00430232"/>
    <w:rsid w:val="00430AA1"/>
    <w:rsid w:val="00430B05"/>
    <w:rsid w:val="00430DF5"/>
    <w:rsid w:val="0043182E"/>
    <w:rsid w:val="0043303A"/>
    <w:rsid w:val="00433540"/>
    <w:rsid w:val="00433EE4"/>
    <w:rsid w:val="00434B82"/>
    <w:rsid w:val="00434FD0"/>
    <w:rsid w:val="004357FB"/>
    <w:rsid w:val="004366A8"/>
    <w:rsid w:val="00437586"/>
    <w:rsid w:val="004379B6"/>
    <w:rsid w:val="00437EA4"/>
    <w:rsid w:val="0044083B"/>
    <w:rsid w:val="00440B76"/>
    <w:rsid w:val="00440D33"/>
    <w:rsid w:val="0044185D"/>
    <w:rsid w:val="0044231D"/>
    <w:rsid w:val="00443C33"/>
    <w:rsid w:val="00443E37"/>
    <w:rsid w:val="00443FE8"/>
    <w:rsid w:val="00444512"/>
    <w:rsid w:val="004445AB"/>
    <w:rsid w:val="00444EBB"/>
    <w:rsid w:val="00444FAC"/>
    <w:rsid w:val="00445061"/>
    <w:rsid w:val="00445159"/>
    <w:rsid w:val="0044563A"/>
    <w:rsid w:val="00445CDF"/>
    <w:rsid w:val="004468AB"/>
    <w:rsid w:val="0044734D"/>
    <w:rsid w:val="0044746A"/>
    <w:rsid w:val="004505A6"/>
    <w:rsid w:val="00451312"/>
    <w:rsid w:val="00451535"/>
    <w:rsid w:val="004516F5"/>
    <w:rsid w:val="00451978"/>
    <w:rsid w:val="004525F1"/>
    <w:rsid w:val="00452624"/>
    <w:rsid w:val="004526D4"/>
    <w:rsid w:val="004527BC"/>
    <w:rsid w:val="00452EDA"/>
    <w:rsid w:val="004530B4"/>
    <w:rsid w:val="004537EF"/>
    <w:rsid w:val="00454BBE"/>
    <w:rsid w:val="00457142"/>
    <w:rsid w:val="00457D24"/>
    <w:rsid w:val="00457D2D"/>
    <w:rsid w:val="004606C9"/>
    <w:rsid w:val="0046131C"/>
    <w:rsid w:val="00461786"/>
    <w:rsid w:val="00461B5F"/>
    <w:rsid w:val="00461B61"/>
    <w:rsid w:val="00461C51"/>
    <w:rsid w:val="004624F9"/>
    <w:rsid w:val="00464A41"/>
    <w:rsid w:val="00464F29"/>
    <w:rsid w:val="0046554D"/>
    <w:rsid w:val="0046583E"/>
    <w:rsid w:val="00465FCA"/>
    <w:rsid w:val="00466217"/>
    <w:rsid w:val="00466786"/>
    <w:rsid w:val="004668BB"/>
    <w:rsid w:val="004676DA"/>
    <w:rsid w:val="00470741"/>
    <w:rsid w:val="0047075B"/>
    <w:rsid w:val="004708FC"/>
    <w:rsid w:val="004729DE"/>
    <w:rsid w:val="004730BA"/>
    <w:rsid w:val="004731D3"/>
    <w:rsid w:val="004733C4"/>
    <w:rsid w:val="0047348D"/>
    <w:rsid w:val="00473FA2"/>
    <w:rsid w:val="004744AA"/>
    <w:rsid w:val="0047492C"/>
    <w:rsid w:val="00474CE9"/>
    <w:rsid w:val="004754FA"/>
    <w:rsid w:val="00476F26"/>
    <w:rsid w:val="004772A5"/>
    <w:rsid w:val="004773BF"/>
    <w:rsid w:val="00477A93"/>
    <w:rsid w:val="004801F0"/>
    <w:rsid w:val="00480616"/>
    <w:rsid w:val="00481DD7"/>
    <w:rsid w:val="00482ED7"/>
    <w:rsid w:val="00483A45"/>
    <w:rsid w:val="004846A0"/>
    <w:rsid w:val="0048503A"/>
    <w:rsid w:val="004855CD"/>
    <w:rsid w:val="004866EC"/>
    <w:rsid w:val="00486BCF"/>
    <w:rsid w:val="00486EE9"/>
    <w:rsid w:val="00487066"/>
    <w:rsid w:val="004877D0"/>
    <w:rsid w:val="00487EA9"/>
    <w:rsid w:val="00487F3D"/>
    <w:rsid w:val="00487F88"/>
    <w:rsid w:val="004908D5"/>
    <w:rsid w:val="004912AA"/>
    <w:rsid w:val="00491313"/>
    <w:rsid w:val="00491F84"/>
    <w:rsid w:val="00492050"/>
    <w:rsid w:val="004926B8"/>
    <w:rsid w:val="004927F1"/>
    <w:rsid w:val="0049299C"/>
    <w:rsid w:val="00492B08"/>
    <w:rsid w:val="00494322"/>
    <w:rsid w:val="00494829"/>
    <w:rsid w:val="00495172"/>
    <w:rsid w:val="00495779"/>
    <w:rsid w:val="00495FFF"/>
    <w:rsid w:val="00496805"/>
    <w:rsid w:val="004968E6"/>
    <w:rsid w:val="00496998"/>
    <w:rsid w:val="00497A0F"/>
    <w:rsid w:val="004A0614"/>
    <w:rsid w:val="004A067C"/>
    <w:rsid w:val="004A0729"/>
    <w:rsid w:val="004A0A82"/>
    <w:rsid w:val="004A0CB2"/>
    <w:rsid w:val="004A0ED2"/>
    <w:rsid w:val="004A1437"/>
    <w:rsid w:val="004A1A68"/>
    <w:rsid w:val="004A2011"/>
    <w:rsid w:val="004A2067"/>
    <w:rsid w:val="004A20D7"/>
    <w:rsid w:val="004A239F"/>
    <w:rsid w:val="004A2415"/>
    <w:rsid w:val="004A2BB7"/>
    <w:rsid w:val="004A31FF"/>
    <w:rsid w:val="004A32B1"/>
    <w:rsid w:val="004A3484"/>
    <w:rsid w:val="004A3515"/>
    <w:rsid w:val="004A3B1D"/>
    <w:rsid w:val="004A453B"/>
    <w:rsid w:val="004A4671"/>
    <w:rsid w:val="004A49BD"/>
    <w:rsid w:val="004A49DE"/>
    <w:rsid w:val="004A4C66"/>
    <w:rsid w:val="004A54D1"/>
    <w:rsid w:val="004A5C26"/>
    <w:rsid w:val="004A6905"/>
    <w:rsid w:val="004A7159"/>
    <w:rsid w:val="004A755F"/>
    <w:rsid w:val="004A7A51"/>
    <w:rsid w:val="004A7C28"/>
    <w:rsid w:val="004B06F1"/>
    <w:rsid w:val="004B06FB"/>
    <w:rsid w:val="004B25F0"/>
    <w:rsid w:val="004B2ED2"/>
    <w:rsid w:val="004B3420"/>
    <w:rsid w:val="004B3610"/>
    <w:rsid w:val="004B3D6D"/>
    <w:rsid w:val="004B46B2"/>
    <w:rsid w:val="004B4A12"/>
    <w:rsid w:val="004B53C1"/>
    <w:rsid w:val="004B5986"/>
    <w:rsid w:val="004B6127"/>
    <w:rsid w:val="004B648F"/>
    <w:rsid w:val="004B6A2F"/>
    <w:rsid w:val="004B6DF4"/>
    <w:rsid w:val="004B7170"/>
    <w:rsid w:val="004B7D30"/>
    <w:rsid w:val="004C01F5"/>
    <w:rsid w:val="004C045A"/>
    <w:rsid w:val="004C0B09"/>
    <w:rsid w:val="004C0D57"/>
    <w:rsid w:val="004C11E1"/>
    <w:rsid w:val="004C48E6"/>
    <w:rsid w:val="004C5233"/>
    <w:rsid w:val="004C5AB3"/>
    <w:rsid w:val="004C5C12"/>
    <w:rsid w:val="004C5E97"/>
    <w:rsid w:val="004C70B2"/>
    <w:rsid w:val="004C710D"/>
    <w:rsid w:val="004C7924"/>
    <w:rsid w:val="004C7EE3"/>
    <w:rsid w:val="004D0521"/>
    <w:rsid w:val="004D0694"/>
    <w:rsid w:val="004D0FB5"/>
    <w:rsid w:val="004D14D8"/>
    <w:rsid w:val="004D1777"/>
    <w:rsid w:val="004D1ADA"/>
    <w:rsid w:val="004D22BE"/>
    <w:rsid w:val="004D254C"/>
    <w:rsid w:val="004D278B"/>
    <w:rsid w:val="004D32F7"/>
    <w:rsid w:val="004D3843"/>
    <w:rsid w:val="004D463B"/>
    <w:rsid w:val="004D577F"/>
    <w:rsid w:val="004D57F1"/>
    <w:rsid w:val="004D6396"/>
    <w:rsid w:val="004D65F7"/>
    <w:rsid w:val="004D6B7A"/>
    <w:rsid w:val="004D7A4F"/>
    <w:rsid w:val="004E0598"/>
    <w:rsid w:val="004E0707"/>
    <w:rsid w:val="004E19F9"/>
    <w:rsid w:val="004E1A1D"/>
    <w:rsid w:val="004E21BF"/>
    <w:rsid w:val="004E2582"/>
    <w:rsid w:val="004E3672"/>
    <w:rsid w:val="004E3DAB"/>
    <w:rsid w:val="004E3E4B"/>
    <w:rsid w:val="004E3F63"/>
    <w:rsid w:val="004E47E6"/>
    <w:rsid w:val="004E4E5B"/>
    <w:rsid w:val="004E540A"/>
    <w:rsid w:val="004E5D74"/>
    <w:rsid w:val="004E639C"/>
    <w:rsid w:val="004E74B9"/>
    <w:rsid w:val="004E794F"/>
    <w:rsid w:val="004F03D5"/>
    <w:rsid w:val="004F0593"/>
    <w:rsid w:val="004F0FD6"/>
    <w:rsid w:val="004F178F"/>
    <w:rsid w:val="004F253B"/>
    <w:rsid w:val="004F27C6"/>
    <w:rsid w:val="004F2BC8"/>
    <w:rsid w:val="004F2F9F"/>
    <w:rsid w:val="004F3136"/>
    <w:rsid w:val="004F3C51"/>
    <w:rsid w:val="004F4421"/>
    <w:rsid w:val="004F4469"/>
    <w:rsid w:val="004F46C3"/>
    <w:rsid w:val="004F47FE"/>
    <w:rsid w:val="004F49D7"/>
    <w:rsid w:val="004F4B13"/>
    <w:rsid w:val="004F5963"/>
    <w:rsid w:val="004F61A7"/>
    <w:rsid w:val="004F61E9"/>
    <w:rsid w:val="004F71A0"/>
    <w:rsid w:val="004F724C"/>
    <w:rsid w:val="005003F0"/>
    <w:rsid w:val="0050144F"/>
    <w:rsid w:val="0050158B"/>
    <w:rsid w:val="00501BB4"/>
    <w:rsid w:val="00501CEB"/>
    <w:rsid w:val="005020D5"/>
    <w:rsid w:val="005034CE"/>
    <w:rsid w:val="00504FF9"/>
    <w:rsid w:val="00505BBF"/>
    <w:rsid w:val="00505E12"/>
    <w:rsid w:val="005065D1"/>
    <w:rsid w:val="005068A3"/>
    <w:rsid w:val="00506CD5"/>
    <w:rsid w:val="0050769D"/>
    <w:rsid w:val="005079C1"/>
    <w:rsid w:val="00507C4D"/>
    <w:rsid w:val="00507C94"/>
    <w:rsid w:val="00507E00"/>
    <w:rsid w:val="005107AC"/>
    <w:rsid w:val="00510B45"/>
    <w:rsid w:val="00511547"/>
    <w:rsid w:val="00512036"/>
    <w:rsid w:val="00513264"/>
    <w:rsid w:val="00513933"/>
    <w:rsid w:val="005141E8"/>
    <w:rsid w:val="005145B2"/>
    <w:rsid w:val="005145FD"/>
    <w:rsid w:val="005146B7"/>
    <w:rsid w:val="0051483C"/>
    <w:rsid w:val="005152D2"/>
    <w:rsid w:val="00515325"/>
    <w:rsid w:val="0051541E"/>
    <w:rsid w:val="00515801"/>
    <w:rsid w:val="00515E92"/>
    <w:rsid w:val="00516442"/>
    <w:rsid w:val="00517F7F"/>
    <w:rsid w:val="005201E8"/>
    <w:rsid w:val="00520495"/>
    <w:rsid w:val="0052090A"/>
    <w:rsid w:val="00520D88"/>
    <w:rsid w:val="0052170D"/>
    <w:rsid w:val="005219D0"/>
    <w:rsid w:val="00522220"/>
    <w:rsid w:val="00522BB8"/>
    <w:rsid w:val="00523F36"/>
    <w:rsid w:val="005246A9"/>
    <w:rsid w:val="00524BCB"/>
    <w:rsid w:val="00524CE5"/>
    <w:rsid w:val="005252F3"/>
    <w:rsid w:val="00525BEB"/>
    <w:rsid w:val="00526E18"/>
    <w:rsid w:val="00527492"/>
    <w:rsid w:val="005277A0"/>
    <w:rsid w:val="00527945"/>
    <w:rsid w:val="00527A17"/>
    <w:rsid w:val="005303BC"/>
    <w:rsid w:val="0053101D"/>
    <w:rsid w:val="00531A57"/>
    <w:rsid w:val="00532132"/>
    <w:rsid w:val="005337EB"/>
    <w:rsid w:val="00533D94"/>
    <w:rsid w:val="00534D6E"/>
    <w:rsid w:val="005353B1"/>
    <w:rsid w:val="00535473"/>
    <w:rsid w:val="00535A0B"/>
    <w:rsid w:val="00536295"/>
    <w:rsid w:val="0053686B"/>
    <w:rsid w:val="00536A13"/>
    <w:rsid w:val="00536AA3"/>
    <w:rsid w:val="00536BAC"/>
    <w:rsid w:val="00537134"/>
    <w:rsid w:val="00537248"/>
    <w:rsid w:val="00537452"/>
    <w:rsid w:val="00537914"/>
    <w:rsid w:val="00537C95"/>
    <w:rsid w:val="005402A5"/>
    <w:rsid w:val="005402F6"/>
    <w:rsid w:val="00541464"/>
    <w:rsid w:val="00541CAC"/>
    <w:rsid w:val="00542357"/>
    <w:rsid w:val="00542424"/>
    <w:rsid w:val="005424FE"/>
    <w:rsid w:val="00542C85"/>
    <w:rsid w:val="00543148"/>
    <w:rsid w:val="0054444B"/>
    <w:rsid w:val="00544925"/>
    <w:rsid w:val="00544AB3"/>
    <w:rsid w:val="00544F55"/>
    <w:rsid w:val="00545211"/>
    <w:rsid w:val="005452CA"/>
    <w:rsid w:val="00545369"/>
    <w:rsid w:val="0054677D"/>
    <w:rsid w:val="00546C8C"/>
    <w:rsid w:val="00546E16"/>
    <w:rsid w:val="00546F9B"/>
    <w:rsid w:val="00547196"/>
    <w:rsid w:val="00547785"/>
    <w:rsid w:val="00547A5D"/>
    <w:rsid w:val="00547AC3"/>
    <w:rsid w:val="00547DD5"/>
    <w:rsid w:val="00547EAD"/>
    <w:rsid w:val="00550B8D"/>
    <w:rsid w:val="00550CE0"/>
    <w:rsid w:val="005515B1"/>
    <w:rsid w:val="0055188B"/>
    <w:rsid w:val="005519BB"/>
    <w:rsid w:val="00551A4A"/>
    <w:rsid w:val="00551B2E"/>
    <w:rsid w:val="00551B4B"/>
    <w:rsid w:val="00552111"/>
    <w:rsid w:val="005523A2"/>
    <w:rsid w:val="005541D2"/>
    <w:rsid w:val="00554D4B"/>
    <w:rsid w:val="005554E4"/>
    <w:rsid w:val="005560A2"/>
    <w:rsid w:val="005561E2"/>
    <w:rsid w:val="00556689"/>
    <w:rsid w:val="00557382"/>
    <w:rsid w:val="00557855"/>
    <w:rsid w:val="0056022C"/>
    <w:rsid w:val="00561ACB"/>
    <w:rsid w:val="00561B71"/>
    <w:rsid w:val="00561F0E"/>
    <w:rsid w:val="0056201C"/>
    <w:rsid w:val="005627B5"/>
    <w:rsid w:val="00562917"/>
    <w:rsid w:val="00563297"/>
    <w:rsid w:val="0056392D"/>
    <w:rsid w:val="00563CEC"/>
    <w:rsid w:val="00564235"/>
    <w:rsid w:val="00564433"/>
    <w:rsid w:val="00565D0C"/>
    <w:rsid w:val="00565F01"/>
    <w:rsid w:val="0056631E"/>
    <w:rsid w:val="00566938"/>
    <w:rsid w:val="005670AB"/>
    <w:rsid w:val="00567392"/>
    <w:rsid w:val="0056742C"/>
    <w:rsid w:val="00567852"/>
    <w:rsid w:val="00570114"/>
    <w:rsid w:val="00570C1D"/>
    <w:rsid w:val="00571368"/>
    <w:rsid w:val="005714C0"/>
    <w:rsid w:val="0057260E"/>
    <w:rsid w:val="00572674"/>
    <w:rsid w:val="00573E93"/>
    <w:rsid w:val="00574202"/>
    <w:rsid w:val="00574290"/>
    <w:rsid w:val="005742D4"/>
    <w:rsid w:val="00574521"/>
    <w:rsid w:val="00574D42"/>
    <w:rsid w:val="00574EEB"/>
    <w:rsid w:val="005750AC"/>
    <w:rsid w:val="005755BB"/>
    <w:rsid w:val="00575E7C"/>
    <w:rsid w:val="00575F37"/>
    <w:rsid w:val="00576041"/>
    <w:rsid w:val="005768FB"/>
    <w:rsid w:val="00576911"/>
    <w:rsid w:val="00576CDE"/>
    <w:rsid w:val="00576E01"/>
    <w:rsid w:val="00576E74"/>
    <w:rsid w:val="00576FC4"/>
    <w:rsid w:val="00577647"/>
    <w:rsid w:val="00577737"/>
    <w:rsid w:val="005779D1"/>
    <w:rsid w:val="00577C7F"/>
    <w:rsid w:val="00577D31"/>
    <w:rsid w:val="00577FCC"/>
    <w:rsid w:val="00580D68"/>
    <w:rsid w:val="0058122F"/>
    <w:rsid w:val="00581257"/>
    <w:rsid w:val="005822E0"/>
    <w:rsid w:val="0058277B"/>
    <w:rsid w:val="00582A60"/>
    <w:rsid w:val="00582EED"/>
    <w:rsid w:val="00582F09"/>
    <w:rsid w:val="00583D12"/>
    <w:rsid w:val="00583FF5"/>
    <w:rsid w:val="005840C3"/>
    <w:rsid w:val="005842F3"/>
    <w:rsid w:val="00584380"/>
    <w:rsid w:val="005846C7"/>
    <w:rsid w:val="005848B7"/>
    <w:rsid w:val="00584ACF"/>
    <w:rsid w:val="00584FD8"/>
    <w:rsid w:val="0058516B"/>
    <w:rsid w:val="00585839"/>
    <w:rsid w:val="00587049"/>
    <w:rsid w:val="00587585"/>
    <w:rsid w:val="00587870"/>
    <w:rsid w:val="00587955"/>
    <w:rsid w:val="00590425"/>
    <w:rsid w:val="00590753"/>
    <w:rsid w:val="005918A2"/>
    <w:rsid w:val="005919C5"/>
    <w:rsid w:val="00592015"/>
    <w:rsid w:val="00592088"/>
    <w:rsid w:val="005925EC"/>
    <w:rsid w:val="005926FE"/>
    <w:rsid w:val="005939BC"/>
    <w:rsid w:val="00593CEE"/>
    <w:rsid w:val="005944C7"/>
    <w:rsid w:val="00594E7A"/>
    <w:rsid w:val="005950F0"/>
    <w:rsid w:val="00596806"/>
    <w:rsid w:val="005969D9"/>
    <w:rsid w:val="00596EA5"/>
    <w:rsid w:val="005976AD"/>
    <w:rsid w:val="005A009B"/>
    <w:rsid w:val="005A1AC0"/>
    <w:rsid w:val="005A1BD3"/>
    <w:rsid w:val="005A1CC2"/>
    <w:rsid w:val="005A23C7"/>
    <w:rsid w:val="005A281A"/>
    <w:rsid w:val="005A28F2"/>
    <w:rsid w:val="005A2CEE"/>
    <w:rsid w:val="005A2FAC"/>
    <w:rsid w:val="005A413D"/>
    <w:rsid w:val="005A4322"/>
    <w:rsid w:val="005A4389"/>
    <w:rsid w:val="005A4464"/>
    <w:rsid w:val="005A48AF"/>
    <w:rsid w:val="005A586A"/>
    <w:rsid w:val="005A5E60"/>
    <w:rsid w:val="005A71AB"/>
    <w:rsid w:val="005B034A"/>
    <w:rsid w:val="005B087B"/>
    <w:rsid w:val="005B0A12"/>
    <w:rsid w:val="005B27B7"/>
    <w:rsid w:val="005B2B28"/>
    <w:rsid w:val="005B2D0A"/>
    <w:rsid w:val="005B2EA7"/>
    <w:rsid w:val="005B3241"/>
    <w:rsid w:val="005B33EF"/>
    <w:rsid w:val="005B3ABB"/>
    <w:rsid w:val="005B3B1E"/>
    <w:rsid w:val="005B4BCA"/>
    <w:rsid w:val="005B5C55"/>
    <w:rsid w:val="005B6B9B"/>
    <w:rsid w:val="005B72C3"/>
    <w:rsid w:val="005B746D"/>
    <w:rsid w:val="005C0A11"/>
    <w:rsid w:val="005C0FE5"/>
    <w:rsid w:val="005C1238"/>
    <w:rsid w:val="005C18D7"/>
    <w:rsid w:val="005C1D91"/>
    <w:rsid w:val="005C26B5"/>
    <w:rsid w:val="005C2A27"/>
    <w:rsid w:val="005C4876"/>
    <w:rsid w:val="005C4D2C"/>
    <w:rsid w:val="005C5519"/>
    <w:rsid w:val="005C5882"/>
    <w:rsid w:val="005C59DB"/>
    <w:rsid w:val="005C5BC7"/>
    <w:rsid w:val="005C65A0"/>
    <w:rsid w:val="005C67BD"/>
    <w:rsid w:val="005C6C5D"/>
    <w:rsid w:val="005C71F6"/>
    <w:rsid w:val="005C7601"/>
    <w:rsid w:val="005C78ED"/>
    <w:rsid w:val="005C7A20"/>
    <w:rsid w:val="005D063E"/>
    <w:rsid w:val="005D06C2"/>
    <w:rsid w:val="005D0987"/>
    <w:rsid w:val="005D18E9"/>
    <w:rsid w:val="005D19A5"/>
    <w:rsid w:val="005D21E9"/>
    <w:rsid w:val="005D2652"/>
    <w:rsid w:val="005D2EE8"/>
    <w:rsid w:val="005D3025"/>
    <w:rsid w:val="005D31DF"/>
    <w:rsid w:val="005D6CE3"/>
    <w:rsid w:val="005D715B"/>
    <w:rsid w:val="005D781B"/>
    <w:rsid w:val="005D7F16"/>
    <w:rsid w:val="005E0FC8"/>
    <w:rsid w:val="005E10B0"/>
    <w:rsid w:val="005E148F"/>
    <w:rsid w:val="005E14A5"/>
    <w:rsid w:val="005E16E5"/>
    <w:rsid w:val="005E177F"/>
    <w:rsid w:val="005E1A40"/>
    <w:rsid w:val="005E1EF8"/>
    <w:rsid w:val="005E23B5"/>
    <w:rsid w:val="005E341F"/>
    <w:rsid w:val="005E3575"/>
    <w:rsid w:val="005E3C08"/>
    <w:rsid w:val="005E4AAA"/>
    <w:rsid w:val="005E4C99"/>
    <w:rsid w:val="005E4FD5"/>
    <w:rsid w:val="005E541D"/>
    <w:rsid w:val="005E5648"/>
    <w:rsid w:val="005E5748"/>
    <w:rsid w:val="005E58F1"/>
    <w:rsid w:val="005E5C63"/>
    <w:rsid w:val="005E6B62"/>
    <w:rsid w:val="005E6F59"/>
    <w:rsid w:val="005E73CF"/>
    <w:rsid w:val="005E7D07"/>
    <w:rsid w:val="005F00A1"/>
    <w:rsid w:val="005F0830"/>
    <w:rsid w:val="005F0BE7"/>
    <w:rsid w:val="005F0F40"/>
    <w:rsid w:val="005F1421"/>
    <w:rsid w:val="005F15FE"/>
    <w:rsid w:val="005F2458"/>
    <w:rsid w:val="005F2708"/>
    <w:rsid w:val="005F39F2"/>
    <w:rsid w:val="005F5E13"/>
    <w:rsid w:val="005F6731"/>
    <w:rsid w:val="005F7587"/>
    <w:rsid w:val="005F787C"/>
    <w:rsid w:val="005F7BAD"/>
    <w:rsid w:val="005F7E76"/>
    <w:rsid w:val="00600145"/>
    <w:rsid w:val="00600226"/>
    <w:rsid w:val="0060023B"/>
    <w:rsid w:val="006003BA"/>
    <w:rsid w:val="00600F6A"/>
    <w:rsid w:val="00601002"/>
    <w:rsid w:val="00601345"/>
    <w:rsid w:val="00601A58"/>
    <w:rsid w:val="006023C8"/>
    <w:rsid w:val="006031B7"/>
    <w:rsid w:val="006035D3"/>
    <w:rsid w:val="00603E0E"/>
    <w:rsid w:val="0060438E"/>
    <w:rsid w:val="00604769"/>
    <w:rsid w:val="00604CBC"/>
    <w:rsid w:val="0060550E"/>
    <w:rsid w:val="006056FD"/>
    <w:rsid w:val="00605B67"/>
    <w:rsid w:val="0061032F"/>
    <w:rsid w:val="0061075A"/>
    <w:rsid w:val="0061091F"/>
    <w:rsid w:val="00610992"/>
    <w:rsid w:val="006109EF"/>
    <w:rsid w:val="006110E1"/>
    <w:rsid w:val="00611739"/>
    <w:rsid w:val="00611C9D"/>
    <w:rsid w:val="00611F7E"/>
    <w:rsid w:val="00613270"/>
    <w:rsid w:val="006132AC"/>
    <w:rsid w:val="00613E0D"/>
    <w:rsid w:val="00614B2E"/>
    <w:rsid w:val="006163AD"/>
    <w:rsid w:val="00617099"/>
    <w:rsid w:val="00617EFD"/>
    <w:rsid w:val="00620757"/>
    <w:rsid w:val="00620ADE"/>
    <w:rsid w:val="00620F5F"/>
    <w:rsid w:val="00621A07"/>
    <w:rsid w:val="00621ECF"/>
    <w:rsid w:val="00622A02"/>
    <w:rsid w:val="00623759"/>
    <w:rsid w:val="006239C9"/>
    <w:rsid w:val="00623C34"/>
    <w:rsid w:val="00623D30"/>
    <w:rsid w:val="00624155"/>
    <w:rsid w:val="0062481B"/>
    <w:rsid w:val="00624C30"/>
    <w:rsid w:val="00625677"/>
    <w:rsid w:val="00625A83"/>
    <w:rsid w:val="00625F54"/>
    <w:rsid w:val="00626B7E"/>
    <w:rsid w:val="00627047"/>
    <w:rsid w:val="0062711C"/>
    <w:rsid w:val="0062721B"/>
    <w:rsid w:val="006272E0"/>
    <w:rsid w:val="00627996"/>
    <w:rsid w:val="006279E5"/>
    <w:rsid w:val="0063015E"/>
    <w:rsid w:val="00630678"/>
    <w:rsid w:val="00630DAE"/>
    <w:rsid w:val="006320DA"/>
    <w:rsid w:val="00632CFC"/>
    <w:rsid w:val="00632D1B"/>
    <w:rsid w:val="00633388"/>
    <w:rsid w:val="00635BDF"/>
    <w:rsid w:val="0063633C"/>
    <w:rsid w:val="006370E5"/>
    <w:rsid w:val="00637E70"/>
    <w:rsid w:val="00640897"/>
    <w:rsid w:val="00640A3D"/>
    <w:rsid w:val="006410BE"/>
    <w:rsid w:val="00642490"/>
    <w:rsid w:val="00642D35"/>
    <w:rsid w:val="0064377F"/>
    <w:rsid w:val="006437ED"/>
    <w:rsid w:val="0064388C"/>
    <w:rsid w:val="006443BA"/>
    <w:rsid w:val="00644648"/>
    <w:rsid w:val="0064531C"/>
    <w:rsid w:val="006453A6"/>
    <w:rsid w:val="006453F4"/>
    <w:rsid w:val="00645993"/>
    <w:rsid w:val="00645C93"/>
    <w:rsid w:val="0064617A"/>
    <w:rsid w:val="00646660"/>
    <w:rsid w:val="0064697A"/>
    <w:rsid w:val="0064774E"/>
    <w:rsid w:val="0064784B"/>
    <w:rsid w:val="00650A7E"/>
    <w:rsid w:val="00650CD3"/>
    <w:rsid w:val="00650CE5"/>
    <w:rsid w:val="00651C09"/>
    <w:rsid w:val="006526DC"/>
    <w:rsid w:val="00652E7D"/>
    <w:rsid w:val="0065306C"/>
    <w:rsid w:val="00654C14"/>
    <w:rsid w:val="00654D60"/>
    <w:rsid w:val="0065581F"/>
    <w:rsid w:val="00656515"/>
    <w:rsid w:val="0065674C"/>
    <w:rsid w:val="00660532"/>
    <w:rsid w:val="0066110A"/>
    <w:rsid w:val="00661B9F"/>
    <w:rsid w:val="00661CD7"/>
    <w:rsid w:val="0066213E"/>
    <w:rsid w:val="00662245"/>
    <w:rsid w:val="006638E8"/>
    <w:rsid w:val="00663A14"/>
    <w:rsid w:val="0066423B"/>
    <w:rsid w:val="0066454F"/>
    <w:rsid w:val="006647D0"/>
    <w:rsid w:val="00664E4E"/>
    <w:rsid w:val="00664EBA"/>
    <w:rsid w:val="00664F6E"/>
    <w:rsid w:val="00665567"/>
    <w:rsid w:val="00665A9B"/>
    <w:rsid w:val="00665DCC"/>
    <w:rsid w:val="006660E3"/>
    <w:rsid w:val="00666A57"/>
    <w:rsid w:val="00666BD7"/>
    <w:rsid w:val="00666C4B"/>
    <w:rsid w:val="00667F95"/>
    <w:rsid w:val="0067160B"/>
    <w:rsid w:val="00671E23"/>
    <w:rsid w:val="00673703"/>
    <w:rsid w:val="00673730"/>
    <w:rsid w:val="00673890"/>
    <w:rsid w:val="00674280"/>
    <w:rsid w:val="00674C76"/>
    <w:rsid w:val="0067665F"/>
    <w:rsid w:val="006770B2"/>
    <w:rsid w:val="0067727A"/>
    <w:rsid w:val="00680CA9"/>
    <w:rsid w:val="0068102B"/>
    <w:rsid w:val="00681288"/>
    <w:rsid w:val="00681522"/>
    <w:rsid w:val="00681D2E"/>
    <w:rsid w:val="00681D2F"/>
    <w:rsid w:val="00682745"/>
    <w:rsid w:val="0068304C"/>
    <w:rsid w:val="0068304F"/>
    <w:rsid w:val="006832A9"/>
    <w:rsid w:val="00684740"/>
    <w:rsid w:val="00684918"/>
    <w:rsid w:val="0068534A"/>
    <w:rsid w:val="00685BAE"/>
    <w:rsid w:val="00685D72"/>
    <w:rsid w:val="00686B4F"/>
    <w:rsid w:val="00691207"/>
    <w:rsid w:val="00691B33"/>
    <w:rsid w:val="00691C9C"/>
    <w:rsid w:val="00691E81"/>
    <w:rsid w:val="006923A9"/>
    <w:rsid w:val="00692401"/>
    <w:rsid w:val="0069335A"/>
    <w:rsid w:val="00694303"/>
    <w:rsid w:val="00694918"/>
    <w:rsid w:val="006959E7"/>
    <w:rsid w:val="00695D5C"/>
    <w:rsid w:val="00696942"/>
    <w:rsid w:val="006969FE"/>
    <w:rsid w:val="00696AD5"/>
    <w:rsid w:val="00696F3F"/>
    <w:rsid w:val="006975AD"/>
    <w:rsid w:val="006A028B"/>
    <w:rsid w:val="006A0533"/>
    <w:rsid w:val="006A243E"/>
    <w:rsid w:val="006A3F1F"/>
    <w:rsid w:val="006A3F8A"/>
    <w:rsid w:val="006A492D"/>
    <w:rsid w:val="006A49AD"/>
    <w:rsid w:val="006A49E9"/>
    <w:rsid w:val="006A5C3E"/>
    <w:rsid w:val="006A671D"/>
    <w:rsid w:val="006A6829"/>
    <w:rsid w:val="006A6FF5"/>
    <w:rsid w:val="006A722A"/>
    <w:rsid w:val="006A7B5A"/>
    <w:rsid w:val="006A7D6B"/>
    <w:rsid w:val="006A7F02"/>
    <w:rsid w:val="006B0006"/>
    <w:rsid w:val="006B0469"/>
    <w:rsid w:val="006B1A3B"/>
    <w:rsid w:val="006B1F4E"/>
    <w:rsid w:val="006B23F8"/>
    <w:rsid w:val="006B2922"/>
    <w:rsid w:val="006B2BCE"/>
    <w:rsid w:val="006B2FA7"/>
    <w:rsid w:val="006B3256"/>
    <w:rsid w:val="006B3411"/>
    <w:rsid w:val="006B3681"/>
    <w:rsid w:val="006B402D"/>
    <w:rsid w:val="006B41B2"/>
    <w:rsid w:val="006B42D6"/>
    <w:rsid w:val="006B4C8B"/>
    <w:rsid w:val="006B51D5"/>
    <w:rsid w:val="006B52CF"/>
    <w:rsid w:val="006B53B4"/>
    <w:rsid w:val="006B61C6"/>
    <w:rsid w:val="006B7564"/>
    <w:rsid w:val="006B7EE6"/>
    <w:rsid w:val="006C08E9"/>
    <w:rsid w:val="006C0A5C"/>
    <w:rsid w:val="006C15F8"/>
    <w:rsid w:val="006C2A8D"/>
    <w:rsid w:val="006C37F9"/>
    <w:rsid w:val="006C4621"/>
    <w:rsid w:val="006C4F54"/>
    <w:rsid w:val="006C5989"/>
    <w:rsid w:val="006C59DD"/>
    <w:rsid w:val="006C5E6F"/>
    <w:rsid w:val="006C6C4E"/>
    <w:rsid w:val="006C6F86"/>
    <w:rsid w:val="006C7173"/>
    <w:rsid w:val="006C75D8"/>
    <w:rsid w:val="006C7A6E"/>
    <w:rsid w:val="006C7B15"/>
    <w:rsid w:val="006C7E09"/>
    <w:rsid w:val="006D08B8"/>
    <w:rsid w:val="006D0A7E"/>
    <w:rsid w:val="006D1749"/>
    <w:rsid w:val="006D1EF8"/>
    <w:rsid w:val="006D33D5"/>
    <w:rsid w:val="006D4004"/>
    <w:rsid w:val="006D44B2"/>
    <w:rsid w:val="006D4B9C"/>
    <w:rsid w:val="006D4E36"/>
    <w:rsid w:val="006D5BEE"/>
    <w:rsid w:val="006D5CB0"/>
    <w:rsid w:val="006D61D9"/>
    <w:rsid w:val="006D628D"/>
    <w:rsid w:val="006D6E1F"/>
    <w:rsid w:val="006D6EED"/>
    <w:rsid w:val="006D70CD"/>
    <w:rsid w:val="006D73E7"/>
    <w:rsid w:val="006D75EE"/>
    <w:rsid w:val="006D7729"/>
    <w:rsid w:val="006E0635"/>
    <w:rsid w:val="006E0E13"/>
    <w:rsid w:val="006E15F3"/>
    <w:rsid w:val="006E1622"/>
    <w:rsid w:val="006E16DB"/>
    <w:rsid w:val="006E2ADE"/>
    <w:rsid w:val="006E3509"/>
    <w:rsid w:val="006E594F"/>
    <w:rsid w:val="006E5D49"/>
    <w:rsid w:val="006E5ED5"/>
    <w:rsid w:val="006E654B"/>
    <w:rsid w:val="006E6A8A"/>
    <w:rsid w:val="006E7822"/>
    <w:rsid w:val="006E7C1F"/>
    <w:rsid w:val="006F0218"/>
    <w:rsid w:val="006F14BE"/>
    <w:rsid w:val="006F1A49"/>
    <w:rsid w:val="006F21DB"/>
    <w:rsid w:val="006F4213"/>
    <w:rsid w:val="006F4FFD"/>
    <w:rsid w:val="006F50A7"/>
    <w:rsid w:val="006F57AD"/>
    <w:rsid w:val="006F680C"/>
    <w:rsid w:val="006F6A6C"/>
    <w:rsid w:val="006F7120"/>
    <w:rsid w:val="006F713C"/>
    <w:rsid w:val="006F72B8"/>
    <w:rsid w:val="006F747A"/>
    <w:rsid w:val="006F75E1"/>
    <w:rsid w:val="006F76DA"/>
    <w:rsid w:val="006F7AAE"/>
    <w:rsid w:val="00700254"/>
    <w:rsid w:val="00701186"/>
    <w:rsid w:val="007013BD"/>
    <w:rsid w:val="0070155B"/>
    <w:rsid w:val="00701A24"/>
    <w:rsid w:val="00701F90"/>
    <w:rsid w:val="0070335C"/>
    <w:rsid w:val="0070342E"/>
    <w:rsid w:val="00703C6C"/>
    <w:rsid w:val="00703CD5"/>
    <w:rsid w:val="00704114"/>
    <w:rsid w:val="0070438F"/>
    <w:rsid w:val="00704B09"/>
    <w:rsid w:val="00704CFA"/>
    <w:rsid w:val="007050EF"/>
    <w:rsid w:val="00705498"/>
    <w:rsid w:val="007063F6"/>
    <w:rsid w:val="00707090"/>
    <w:rsid w:val="007070B7"/>
    <w:rsid w:val="0070792C"/>
    <w:rsid w:val="0071005C"/>
    <w:rsid w:val="0071076C"/>
    <w:rsid w:val="007108C7"/>
    <w:rsid w:val="0071170A"/>
    <w:rsid w:val="00711907"/>
    <w:rsid w:val="00711914"/>
    <w:rsid w:val="00711FBB"/>
    <w:rsid w:val="00712203"/>
    <w:rsid w:val="007124FF"/>
    <w:rsid w:val="00712E1C"/>
    <w:rsid w:val="00713733"/>
    <w:rsid w:val="00713F49"/>
    <w:rsid w:val="00714C55"/>
    <w:rsid w:val="007150D5"/>
    <w:rsid w:val="007163DE"/>
    <w:rsid w:val="00716E9E"/>
    <w:rsid w:val="007171EB"/>
    <w:rsid w:val="00717242"/>
    <w:rsid w:val="007174B3"/>
    <w:rsid w:val="00717B10"/>
    <w:rsid w:val="00720222"/>
    <w:rsid w:val="007205DF"/>
    <w:rsid w:val="00720BE2"/>
    <w:rsid w:val="00720F5C"/>
    <w:rsid w:val="007220F9"/>
    <w:rsid w:val="007222FC"/>
    <w:rsid w:val="007223A0"/>
    <w:rsid w:val="007225B5"/>
    <w:rsid w:val="00722B07"/>
    <w:rsid w:val="00722EA4"/>
    <w:rsid w:val="0072316E"/>
    <w:rsid w:val="00723970"/>
    <w:rsid w:val="00723C1B"/>
    <w:rsid w:val="00723E29"/>
    <w:rsid w:val="007245B7"/>
    <w:rsid w:val="00724670"/>
    <w:rsid w:val="00725821"/>
    <w:rsid w:val="0072587A"/>
    <w:rsid w:val="00725FEE"/>
    <w:rsid w:val="0072761E"/>
    <w:rsid w:val="00727D6A"/>
    <w:rsid w:val="00730241"/>
    <w:rsid w:val="00730AD4"/>
    <w:rsid w:val="00730B32"/>
    <w:rsid w:val="00730C3B"/>
    <w:rsid w:val="00731630"/>
    <w:rsid w:val="007316CA"/>
    <w:rsid w:val="00731945"/>
    <w:rsid w:val="00731F3C"/>
    <w:rsid w:val="00732378"/>
    <w:rsid w:val="007323AE"/>
    <w:rsid w:val="00732CB1"/>
    <w:rsid w:val="0073327F"/>
    <w:rsid w:val="00733442"/>
    <w:rsid w:val="0073398E"/>
    <w:rsid w:val="00734509"/>
    <w:rsid w:val="007358B9"/>
    <w:rsid w:val="00735A9A"/>
    <w:rsid w:val="00735B9F"/>
    <w:rsid w:val="0073642D"/>
    <w:rsid w:val="00736517"/>
    <w:rsid w:val="00736912"/>
    <w:rsid w:val="007377DD"/>
    <w:rsid w:val="00737B00"/>
    <w:rsid w:val="007400AF"/>
    <w:rsid w:val="007404F0"/>
    <w:rsid w:val="007405E6"/>
    <w:rsid w:val="0074085E"/>
    <w:rsid w:val="00741400"/>
    <w:rsid w:val="00742674"/>
    <w:rsid w:val="007427AD"/>
    <w:rsid w:val="00742AF4"/>
    <w:rsid w:val="00742F75"/>
    <w:rsid w:val="00742FF9"/>
    <w:rsid w:val="0074368D"/>
    <w:rsid w:val="00743F89"/>
    <w:rsid w:val="00744DCE"/>
    <w:rsid w:val="00744FD7"/>
    <w:rsid w:val="007454ED"/>
    <w:rsid w:val="00745E95"/>
    <w:rsid w:val="00746195"/>
    <w:rsid w:val="007461EF"/>
    <w:rsid w:val="00746239"/>
    <w:rsid w:val="0075113D"/>
    <w:rsid w:val="007512FE"/>
    <w:rsid w:val="007520D6"/>
    <w:rsid w:val="00752786"/>
    <w:rsid w:val="00752E1F"/>
    <w:rsid w:val="007530A3"/>
    <w:rsid w:val="00753334"/>
    <w:rsid w:val="00753737"/>
    <w:rsid w:val="00753E8A"/>
    <w:rsid w:val="0075446E"/>
    <w:rsid w:val="007547C3"/>
    <w:rsid w:val="007550E1"/>
    <w:rsid w:val="00755EE9"/>
    <w:rsid w:val="007562D8"/>
    <w:rsid w:val="0075641E"/>
    <w:rsid w:val="00757D9F"/>
    <w:rsid w:val="00760D61"/>
    <w:rsid w:val="00760F7B"/>
    <w:rsid w:val="007613EA"/>
    <w:rsid w:val="007616F3"/>
    <w:rsid w:val="007623CD"/>
    <w:rsid w:val="00762885"/>
    <w:rsid w:val="00763357"/>
    <w:rsid w:val="00763E57"/>
    <w:rsid w:val="0076498A"/>
    <w:rsid w:val="00765176"/>
    <w:rsid w:val="00765335"/>
    <w:rsid w:val="00765F80"/>
    <w:rsid w:val="00766461"/>
    <w:rsid w:val="00767117"/>
    <w:rsid w:val="007674FA"/>
    <w:rsid w:val="00767982"/>
    <w:rsid w:val="00770BDF"/>
    <w:rsid w:val="00770F11"/>
    <w:rsid w:val="0077101C"/>
    <w:rsid w:val="0077156B"/>
    <w:rsid w:val="00771B0D"/>
    <w:rsid w:val="00771CA7"/>
    <w:rsid w:val="00771DA8"/>
    <w:rsid w:val="007726B5"/>
    <w:rsid w:val="00773820"/>
    <w:rsid w:val="00774690"/>
    <w:rsid w:val="00774CB0"/>
    <w:rsid w:val="00774D48"/>
    <w:rsid w:val="007752F9"/>
    <w:rsid w:val="007753E8"/>
    <w:rsid w:val="00775E44"/>
    <w:rsid w:val="007760E0"/>
    <w:rsid w:val="007763C9"/>
    <w:rsid w:val="007764F3"/>
    <w:rsid w:val="00776924"/>
    <w:rsid w:val="00776EB2"/>
    <w:rsid w:val="007772D1"/>
    <w:rsid w:val="00777DC1"/>
    <w:rsid w:val="007801D5"/>
    <w:rsid w:val="00780396"/>
    <w:rsid w:val="007805D7"/>
    <w:rsid w:val="00780859"/>
    <w:rsid w:val="00780CEC"/>
    <w:rsid w:val="00781DFD"/>
    <w:rsid w:val="00781E16"/>
    <w:rsid w:val="00782E9E"/>
    <w:rsid w:val="007834EC"/>
    <w:rsid w:val="00783F4F"/>
    <w:rsid w:val="007846B4"/>
    <w:rsid w:val="00784CEE"/>
    <w:rsid w:val="00784EB0"/>
    <w:rsid w:val="00784F6A"/>
    <w:rsid w:val="00785356"/>
    <w:rsid w:val="00785AE5"/>
    <w:rsid w:val="00785EB4"/>
    <w:rsid w:val="00786441"/>
    <w:rsid w:val="0078662A"/>
    <w:rsid w:val="00786B74"/>
    <w:rsid w:val="00787D51"/>
    <w:rsid w:val="00790622"/>
    <w:rsid w:val="00790872"/>
    <w:rsid w:val="007910EB"/>
    <w:rsid w:val="0079161E"/>
    <w:rsid w:val="0079186E"/>
    <w:rsid w:val="00791ABF"/>
    <w:rsid w:val="0079206A"/>
    <w:rsid w:val="0079305F"/>
    <w:rsid w:val="00793085"/>
    <w:rsid w:val="00793F25"/>
    <w:rsid w:val="00794131"/>
    <w:rsid w:val="0079574D"/>
    <w:rsid w:val="00795ADF"/>
    <w:rsid w:val="00796363"/>
    <w:rsid w:val="007963F9"/>
    <w:rsid w:val="007964FC"/>
    <w:rsid w:val="00797775"/>
    <w:rsid w:val="00797CF1"/>
    <w:rsid w:val="00797FD7"/>
    <w:rsid w:val="007A0B81"/>
    <w:rsid w:val="007A0DB8"/>
    <w:rsid w:val="007A0EEC"/>
    <w:rsid w:val="007A158D"/>
    <w:rsid w:val="007A1856"/>
    <w:rsid w:val="007A1B6D"/>
    <w:rsid w:val="007A1CF2"/>
    <w:rsid w:val="007A1F8C"/>
    <w:rsid w:val="007A3DF0"/>
    <w:rsid w:val="007A4FC4"/>
    <w:rsid w:val="007A57C0"/>
    <w:rsid w:val="007A67BB"/>
    <w:rsid w:val="007A6809"/>
    <w:rsid w:val="007A6823"/>
    <w:rsid w:val="007A707D"/>
    <w:rsid w:val="007A74E5"/>
    <w:rsid w:val="007A7A6F"/>
    <w:rsid w:val="007A7B83"/>
    <w:rsid w:val="007B0BCB"/>
    <w:rsid w:val="007B0C1C"/>
    <w:rsid w:val="007B0CC0"/>
    <w:rsid w:val="007B1483"/>
    <w:rsid w:val="007B1708"/>
    <w:rsid w:val="007B1EB0"/>
    <w:rsid w:val="007B2543"/>
    <w:rsid w:val="007B2755"/>
    <w:rsid w:val="007B349B"/>
    <w:rsid w:val="007B367F"/>
    <w:rsid w:val="007B39FB"/>
    <w:rsid w:val="007B3B3B"/>
    <w:rsid w:val="007B4490"/>
    <w:rsid w:val="007B478F"/>
    <w:rsid w:val="007B5387"/>
    <w:rsid w:val="007B5389"/>
    <w:rsid w:val="007B5CEC"/>
    <w:rsid w:val="007B5F7F"/>
    <w:rsid w:val="007B6210"/>
    <w:rsid w:val="007B625E"/>
    <w:rsid w:val="007B62DE"/>
    <w:rsid w:val="007B68DB"/>
    <w:rsid w:val="007B6B39"/>
    <w:rsid w:val="007C040B"/>
    <w:rsid w:val="007C0DD9"/>
    <w:rsid w:val="007C0EB7"/>
    <w:rsid w:val="007C1995"/>
    <w:rsid w:val="007C1DB9"/>
    <w:rsid w:val="007C1E04"/>
    <w:rsid w:val="007C251E"/>
    <w:rsid w:val="007C2611"/>
    <w:rsid w:val="007C31CF"/>
    <w:rsid w:val="007C372F"/>
    <w:rsid w:val="007C431B"/>
    <w:rsid w:val="007C5589"/>
    <w:rsid w:val="007C59FD"/>
    <w:rsid w:val="007C64EA"/>
    <w:rsid w:val="007C66D9"/>
    <w:rsid w:val="007C7C8F"/>
    <w:rsid w:val="007C7DCE"/>
    <w:rsid w:val="007D095B"/>
    <w:rsid w:val="007D096D"/>
    <w:rsid w:val="007D0A59"/>
    <w:rsid w:val="007D0DFC"/>
    <w:rsid w:val="007D17EE"/>
    <w:rsid w:val="007D2912"/>
    <w:rsid w:val="007D2938"/>
    <w:rsid w:val="007D3652"/>
    <w:rsid w:val="007D3D32"/>
    <w:rsid w:val="007D418E"/>
    <w:rsid w:val="007D55A8"/>
    <w:rsid w:val="007D55C5"/>
    <w:rsid w:val="007D55E4"/>
    <w:rsid w:val="007D6105"/>
    <w:rsid w:val="007D65A7"/>
    <w:rsid w:val="007D66C5"/>
    <w:rsid w:val="007D6703"/>
    <w:rsid w:val="007D6AA4"/>
    <w:rsid w:val="007D6BD2"/>
    <w:rsid w:val="007D6D51"/>
    <w:rsid w:val="007D77D9"/>
    <w:rsid w:val="007E08E8"/>
    <w:rsid w:val="007E16B8"/>
    <w:rsid w:val="007E2024"/>
    <w:rsid w:val="007E20DA"/>
    <w:rsid w:val="007E283F"/>
    <w:rsid w:val="007E376A"/>
    <w:rsid w:val="007E3D43"/>
    <w:rsid w:val="007E45C0"/>
    <w:rsid w:val="007E4A78"/>
    <w:rsid w:val="007E51DD"/>
    <w:rsid w:val="007E5EFC"/>
    <w:rsid w:val="007E6493"/>
    <w:rsid w:val="007E6C6D"/>
    <w:rsid w:val="007E6CD5"/>
    <w:rsid w:val="007E74DC"/>
    <w:rsid w:val="007E7E12"/>
    <w:rsid w:val="007F001D"/>
    <w:rsid w:val="007F011D"/>
    <w:rsid w:val="007F1117"/>
    <w:rsid w:val="007F1512"/>
    <w:rsid w:val="007F1A99"/>
    <w:rsid w:val="007F20A9"/>
    <w:rsid w:val="007F226A"/>
    <w:rsid w:val="007F2528"/>
    <w:rsid w:val="007F3882"/>
    <w:rsid w:val="007F3D3A"/>
    <w:rsid w:val="007F41F9"/>
    <w:rsid w:val="007F48D8"/>
    <w:rsid w:val="007F5442"/>
    <w:rsid w:val="007F68CD"/>
    <w:rsid w:val="007F69C9"/>
    <w:rsid w:val="007F6B95"/>
    <w:rsid w:val="007F6E3E"/>
    <w:rsid w:val="007F72DB"/>
    <w:rsid w:val="007F7E06"/>
    <w:rsid w:val="008003E7"/>
    <w:rsid w:val="00800451"/>
    <w:rsid w:val="00800522"/>
    <w:rsid w:val="00800CF7"/>
    <w:rsid w:val="008011FF"/>
    <w:rsid w:val="0080166C"/>
    <w:rsid w:val="00801AD2"/>
    <w:rsid w:val="00802721"/>
    <w:rsid w:val="00802DEF"/>
    <w:rsid w:val="00802F08"/>
    <w:rsid w:val="00803D0D"/>
    <w:rsid w:val="00803EEF"/>
    <w:rsid w:val="00804042"/>
    <w:rsid w:val="0080471B"/>
    <w:rsid w:val="00804D1A"/>
    <w:rsid w:val="00805613"/>
    <w:rsid w:val="0080574A"/>
    <w:rsid w:val="00805838"/>
    <w:rsid w:val="0080671D"/>
    <w:rsid w:val="00806948"/>
    <w:rsid w:val="008069B4"/>
    <w:rsid w:val="0080758D"/>
    <w:rsid w:val="0080789D"/>
    <w:rsid w:val="00807C71"/>
    <w:rsid w:val="00810B8A"/>
    <w:rsid w:val="00810F8B"/>
    <w:rsid w:val="008116ED"/>
    <w:rsid w:val="00811DEF"/>
    <w:rsid w:val="0081250A"/>
    <w:rsid w:val="0081314A"/>
    <w:rsid w:val="008138C2"/>
    <w:rsid w:val="00813DE3"/>
    <w:rsid w:val="00813E8C"/>
    <w:rsid w:val="00814932"/>
    <w:rsid w:val="00814BB0"/>
    <w:rsid w:val="00815557"/>
    <w:rsid w:val="00815A2B"/>
    <w:rsid w:val="00817401"/>
    <w:rsid w:val="00817BB4"/>
    <w:rsid w:val="00820DD6"/>
    <w:rsid w:val="008213C5"/>
    <w:rsid w:val="00823241"/>
    <w:rsid w:val="00823821"/>
    <w:rsid w:val="00824101"/>
    <w:rsid w:val="008250DE"/>
    <w:rsid w:val="00825205"/>
    <w:rsid w:val="008254C9"/>
    <w:rsid w:val="0082559A"/>
    <w:rsid w:val="00825FE8"/>
    <w:rsid w:val="0082611F"/>
    <w:rsid w:val="008267B5"/>
    <w:rsid w:val="0082742C"/>
    <w:rsid w:val="008276A3"/>
    <w:rsid w:val="00827BC4"/>
    <w:rsid w:val="00827EC0"/>
    <w:rsid w:val="00830144"/>
    <w:rsid w:val="00830723"/>
    <w:rsid w:val="00830895"/>
    <w:rsid w:val="008308FE"/>
    <w:rsid w:val="00830B5E"/>
    <w:rsid w:val="00831061"/>
    <w:rsid w:val="00831D4C"/>
    <w:rsid w:val="00831EDF"/>
    <w:rsid w:val="008323D5"/>
    <w:rsid w:val="00832849"/>
    <w:rsid w:val="00832F92"/>
    <w:rsid w:val="00833168"/>
    <w:rsid w:val="008339AB"/>
    <w:rsid w:val="008341EC"/>
    <w:rsid w:val="00834C26"/>
    <w:rsid w:val="00835353"/>
    <w:rsid w:val="00835470"/>
    <w:rsid w:val="0083560A"/>
    <w:rsid w:val="008357B4"/>
    <w:rsid w:val="00835AAE"/>
    <w:rsid w:val="00835D9F"/>
    <w:rsid w:val="00836D22"/>
    <w:rsid w:val="00837241"/>
    <w:rsid w:val="008374A3"/>
    <w:rsid w:val="00837F34"/>
    <w:rsid w:val="008409CD"/>
    <w:rsid w:val="00840E1E"/>
    <w:rsid w:val="00841E8A"/>
    <w:rsid w:val="0084255C"/>
    <w:rsid w:val="008427A8"/>
    <w:rsid w:val="00842969"/>
    <w:rsid w:val="00844489"/>
    <w:rsid w:val="0084452E"/>
    <w:rsid w:val="008447F0"/>
    <w:rsid w:val="00844A9E"/>
    <w:rsid w:val="00845192"/>
    <w:rsid w:val="00845593"/>
    <w:rsid w:val="008462B4"/>
    <w:rsid w:val="00846D4E"/>
    <w:rsid w:val="00846D5A"/>
    <w:rsid w:val="00847A6A"/>
    <w:rsid w:val="00847AA5"/>
    <w:rsid w:val="00847E6D"/>
    <w:rsid w:val="0085045E"/>
    <w:rsid w:val="008504F4"/>
    <w:rsid w:val="00850CB9"/>
    <w:rsid w:val="0085163C"/>
    <w:rsid w:val="00851868"/>
    <w:rsid w:val="00851FCC"/>
    <w:rsid w:val="0085212F"/>
    <w:rsid w:val="008523D3"/>
    <w:rsid w:val="00852633"/>
    <w:rsid w:val="00852994"/>
    <w:rsid w:val="00852AE1"/>
    <w:rsid w:val="00852B24"/>
    <w:rsid w:val="00853368"/>
    <w:rsid w:val="00853B51"/>
    <w:rsid w:val="00854AA3"/>
    <w:rsid w:val="00854DFE"/>
    <w:rsid w:val="0085606E"/>
    <w:rsid w:val="008567DC"/>
    <w:rsid w:val="00856A9D"/>
    <w:rsid w:val="00856BE9"/>
    <w:rsid w:val="00856C7A"/>
    <w:rsid w:val="00857866"/>
    <w:rsid w:val="00857C27"/>
    <w:rsid w:val="00857DC7"/>
    <w:rsid w:val="00860277"/>
    <w:rsid w:val="008609B2"/>
    <w:rsid w:val="00860FC5"/>
    <w:rsid w:val="008611DE"/>
    <w:rsid w:val="008614DB"/>
    <w:rsid w:val="0086173D"/>
    <w:rsid w:val="00861919"/>
    <w:rsid w:val="00861A08"/>
    <w:rsid w:val="00861A34"/>
    <w:rsid w:val="00861E24"/>
    <w:rsid w:val="00862348"/>
    <w:rsid w:val="0086253D"/>
    <w:rsid w:val="008625EB"/>
    <w:rsid w:val="0086283F"/>
    <w:rsid w:val="00862875"/>
    <w:rsid w:val="00862AFC"/>
    <w:rsid w:val="00862EE7"/>
    <w:rsid w:val="00863262"/>
    <w:rsid w:val="008639AB"/>
    <w:rsid w:val="00863DBB"/>
    <w:rsid w:val="00864727"/>
    <w:rsid w:val="00864880"/>
    <w:rsid w:val="00865117"/>
    <w:rsid w:val="00865A7E"/>
    <w:rsid w:val="00866804"/>
    <w:rsid w:val="008671B4"/>
    <w:rsid w:val="00867882"/>
    <w:rsid w:val="00867AD8"/>
    <w:rsid w:val="00867C91"/>
    <w:rsid w:val="008702B8"/>
    <w:rsid w:val="008702C1"/>
    <w:rsid w:val="00870668"/>
    <w:rsid w:val="00870AC5"/>
    <w:rsid w:val="00871131"/>
    <w:rsid w:val="00871938"/>
    <w:rsid w:val="0087193A"/>
    <w:rsid w:val="00872164"/>
    <w:rsid w:val="008722A6"/>
    <w:rsid w:val="00872DE9"/>
    <w:rsid w:val="008734F8"/>
    <w:rsid w:val="00873C57"/>
    <w:rsid w:val="00873DB5"/>
    <w:rsid w:val="00874502"/>
    <w:rsid w:val="0087476F"/>
    <w:rsid w:val="00874AAA"/>
    <w:rsid w:val="00874C6A"/>
    <w:rsid w:val="00874DDB"/>
    <w:rsid w:val="00874E4B"/>
    <w:rsid w:val="00876015"/>
    <w:rsid w:val="0087661C"/>
    <w:rsid w:val="00876863"/>
    <w:rsid w:val="00877BA3"/>
    <w:rsid w:val="008803E7"/>
    <w:rsid w:val="0088189C"/>
    <w:rsid w:val="0088201F"/>
    <w:rsid w:val="008820DD"/>
    <w:rsid w:val="008820FE"/>
    <w:rsid w:val="00882226"/>
    <w:rsid w:val="008822D7"/>
    <w:rsid w:val="0088251F"/>
    <w:rsid w:val="00882DB2"/>
    <w:rsid w:val="0088306D"/>
    <w:rsid w:val="00884707"/>
    <w:rsid w:val="00884D3E"/>
    <w:rsid w:val="00885780"/>
    <w:rsid w:val="008858C0"/>
    <w:rsid w:val="0088596F"/>
    <w:rsid w:val="00885B2B"/>
    <w:rsid w:val="008902EC"/>
    <w:rsid w:val="00890509"/>
    <w:rsid w:val="00890E0C"/>
    <w:rsid w:val="00891A54"/>
    <w:rsid w:val="00892C8B"/>
    <w:rsid w:val="00893871"/>
    <w:rsid w:val="00894553"/>
    <w:rsid w:val="008946C4"/>
    <w:rsid w:val="00894C53"/>
    <w:rsid w:val="0089526C"/>
    <w:rsid w:val="00895470"/>
    <w:rsid w:val="008956AB"/>
    <w:rsid w:val="00896A65"/>
    <w:rsid w:val="00896B2C"/>
    <w:rsid w:val="00897109"/>
    <w:rsid w:val="00897546"/>
    <w:rsid w:val="008A00BF"/>
    <w:rsid w:val="008A1329"/>
    <w:rsid w:val="008A1540"/>
    <w:rsid w:val="008A19C4"/>
    <w:rsid w:val="008A1D1A"/>
    <w:rsid w:val="008A20DC"/>
    <w:rsid w:val="008A21A4"/>
    <w:rsid w:val="008A2D0C"/>
    <w:rsid w:val="008A32F3"/>
    <w:rsid w:val="008A3652"/>
    <w:rsid w:val="008A41F9"/>
    <w:rsid w:val="008A461B"/>
    <w:rsid w:val="008A50DF"/>
    <w:rsid w:val="008A5398"/>
    <w:rsid w:val="008A627D"/>
    <w:rsid w:val="008A6506"/>
    <w:rsid w:val="008A6F7D"/>
    <w:rsid w:val="008A72EA"/>
    <w:rsid w:val="008A758B"/>
    <w:rsid w:val="008A7810"/>
    <w:rsid w:val="008A7CBD"/>
    <w:rsid w:val="008B0846"/>
    <w:rsid w:val="008B1785"/>
    <w:rsid w:val="008B1909"/>
    <w:rsid w:val="008B1B99"/>
    <w:rsid w:val="008B1F81"/>
    <w:rsid w:val="008B2169"/>
    <w:rsid w:val="008B2D38"/>
    <w:rsid w:val="008B326C"/>
    <w:rsid w:val="008B3B87"/>
    <w:rsid w:val="008B4549"/>
    <w:rsid w:val="008B5CA1"/>
    <w:rsid w:val="008B5D6A"/>
    <w:rsid w:val="008B7398"/>
    <w:rsid w:val="008B74AD"/>
    <w:rsid w:val="008B75BB"/>
    <w:rsid w:val="008C00F2"/>
    <w:rsid w:val="008C01DE"/>
    <w:rsid w:val="008C035E"/>
    <w:rsid w:val="008C05C5"/>
    <w:rsid w:val="008C0EC4"/>
    <w:rsid w:val="008C1260"/>
    <w:rsid w:val="008C151A"/>
    <w:rsid w:val="008C197A"/>
    <w:rsid w:val="008C2711"/>
    <w:rsid w:val="008C2A3F"/>
    <w:rsid w:val="008C2C26"/>
    <w:rsid w:val="008C2DF5"/>
    <w:rsid w:val="008C37D0"/>
    <w:rsid w:val="008C473D"/>
    <w:rsid w:val="008C49A5"/>
    <w:rsid w:val="008C5288"/>
    <w:rsid w:val="008C5A00"/>
    <w:rsid w:val="008C5A1F"/>
    <w:rsid w:val="008C699C"/>
    <w:rsid w:val="008C7F28"/>
    <w:rsid w:val="008D18AB"/>
    <w:rsid w:val="008D21BC"/>
    <w:rsid w:val="008D2D58"/>
    <w:rsid w:val="008D3022"/>
    <w:rsid w:val="008D30A0"/>
    <w:rsid w:val="008D4829"/>
    <w:rsid w:val="008D5AB8"/>
    <w:rsid w:val="008D5B0F"/>
    <w:rsid w:val="008D60F9"/>
    <w:rsid w:val="008D63AC"/>
    <w:rsid w:val="008D663B"/>
    <w:rsid w:val="008D6B3E"/>
    <w:rsid w:val="008D7601"/>
    <w:rsid w:val="008D7638"/>
    <w:rsid w:val="008E0672"/>
    <w:rsid w:val="008E0A70"/>
    <w:rsid w:val="008E120E"/>
    <w:rsid w:val="008E1350"/>
    <w:rsid w:val="008E13C9"/>
    <w:rsid w:val="008E15E1"/>
    <w:rsid w:val="008E224A"/>
    <w:rsid w:val="008E2963"/>
    <w:rsid w:val="008E447A"/>
    <w:rsid w:val="008E466D"/>
    <w:rsid w:val="008E51E0"/>
    <w:rsid w:val="008E5359"/>
    <w:rsid w:val="008E5469"/>
    <w:rsid w:val="008E6209"/>
    <w:rsid w:val="008E78FB"/>
    <w:rsid w:val="008E7A91"/>
    <w:rsid w:val="008F0EFC"/>
    <w:rsid w:val="008F1778"/>
    <w:rsid w:val="008F2491"/>
    <w:rsid w:val="008F2603"/>
    <w:rsid w:val="008F2B7D"/>
    <w:rsid w:val="008F3067"/>
    <w:rsid w:val="008F47F2"/>
    <w:rsid w:val="008F4E22"/>
    <w:rsid w:val="008F5273"/>
    <w:rsid w:val="008F54EE"/>
    <w:rsid w:val="008F5661"/>
    <w:rsid w:val="008F583F"/>
    <w:rsid w:val="008F67D3"/>
    <w:rsid w:val="008F6B3F"/>
    <w:rsid w:val="008F6C2E"/>
    <w:rsid w:val="008F76D7"/>
    <w:rsid w:val="008F78D9"/>
    <w:rsid w:val="008F79EC"/>
    <w:rsid w:val="008F7A53"/>
    <w:rsid w:val="0090111A"/>
    <w:rsid w:val="009011AB"/>
    <w:rsid w:val="009011BE"/>
    <w:rsid w:val="009012F9"/>
    <w:rsid w:val="00901F7D"/>
    <w:rsid w:val="00902962"/>
    <w:rsid w:val="00903C28"/>
    <w:rsid w:val="00905433"/>
    <w:rsid w:val="00905886"/>
    <w:rsid w:val="0090594B"/>
    <w:rsid w:val="00906782"/>
    <w:rsid w:val="00906A82"/>
    <w:rsid w:val="009070C9"/>
    <w:rsid w:val="0090761A"/>
    <w:rsid w:val="009103C2"/>
    <w:rsid w:val="0091121C"/>
    <w:rsid w:val="00911478"/>
    <w:rsid w:val="00912087"/>
    <w:rsid w:val="0091267B"/>
    <w:rsid w:val="0091317B"/>
    <w:rsid w:val="009138E4"/>
    <w:rsid w:val="00913CEB"/>
    <w:rsid w:val="00913CF2"/>
    <w:rsid w:val="00914223"/>
    <w:rsid w:val="00914327"/>
    <w:rsid w:val="0091454A"/>
    <w:rsid w:val="00915C42"/>
    <w:rsid w:val="00915D3C"/>
    <w:rsid w:val="009160F1"/>
    <w:rsid w:val="00916A5F"/>
    <w:rsid w:val="00916BB8"/>
    <w:rsid w:val="00917454"/>
    <w:rsid w:val="00917865"/>
    <w:rsid w:val="00917DCC"/>
    <w:rsid w:val="009200A5"/>
    <w:rsid w:val="0092029B"/>
    <w:rsid w:val="0092054D"/>
    <w:rsid w:val="0092123C"/>
    <w:rsid w:val="00922281"/>
    <w:rsid w:val="009228D5"/>
    <w:rsid w:val="0092383D"/>
    <w:rsid w:val="009238C3"/>
    <w:rsid w:val="00923D26"/>
    <w:rsid w:val="00923FD3"/>
    <w:rsid w:val="00924378"/>
    <w:rsid w:val="009243F2"/>
    <w:rsid w:val="009248EE"/>
    <w:rsid w:val="00925635"/>
    <w:rsid w:val="00925881"/>
    <w:rsid w:val="00925894"/>
    <w:rsid w:val="00925E24"/>
    <w:rsid w:val="009262C6"/>
    <w:rsid w:val="00926441"/>
    <w:rsid w:val="0092674A"/>
    <w:rsid w:val="0092707E"/>
    <w:rsid w:val="00927089"/>
    <w:rsid w:val="0092735D"/>
    <w:rsid w:val="00927835"/>
    <w:rsid w:val="009328ED"/>
    <w:rsid w:val="00933315"/>
    <w:rsid w:val="009333E5"/>
    <w:rsid w:val="009334B9"/>
    <w:rsid w:val="00934BF9"/>
    <w:rsid w:val="00934E77"/>
    <w:rsid w:val="00934F76"/>
    <w:rsid w:val="00935118"/>
    <w:rsid w:val="009358DC"/>
    <w:rsid w:val="00935B5F"/>
    <w:rsid w:val="009361AB"/>
    <w:rsid w:val="009368A1"/>
    <w:rsid w:val="009378B3"/>
    <w:rsid w:val="00937C93"/>
    <w:rsid w:val="00937D2B"/>
    <w:rsid w:val="00937E50"/>
    <w:rsid w:val="00940087"/>
    <w:rsid w:val="0094055E"/>
    <w:rsid w:val="00940BE9"/>
    <w:rsid w:val="009411A5"/>
    <w:rsid w:val="00941572"/>
    <w:rsid w:val="00941C35"/>
    <w:rsid w:val="00941FE4"/>
    <w:rsid w:val="00942A46"/>
    <w:rsid w:val="009432F6"/>
    <w:rsid w:val="009435FC"/>
    <w:rsid w:val="00944EC1"/>
    <w:rsid w:val="00945298"/>
    <w:rsid w:val="0094535B"/>
    <w:rsid w:val="0094540F"/>
    <w:rsid w:val="009454A7"/>
    <w:rsid w:val="00946924"/>
    <w:rsid w:val="00946A7D"/>
    <w:rsid w:val="00946C36"/>
    <w:rsid w:val="00946DE4"/>
    <w:rsid w:val="00947ACA"/>
    <w:rsid w:val="00947C57"/>
    <w:rsid w:val="00947CA9"/>
    <w:rsid w:val="009503A5"/>
    <w:rsid w:val="0095054F"/>
    <w:rsid w:val="009509E9"/>
    <w:rsid w:val="009509FC"/>
    <w:rsid w:val="00950C94"/>
    <w:rsid w:val="009517C2"/>
    <w:rsid w:val="00952663"/>
    <w:rsid w:val="009528E7"/>
    <w:rsid w:val="00952C79"/>
    <w:rsid w:val="00953148"/>
    <w:rsid w:val="009538EE"/>
    <w:rsid w:val="00953B61"/>
    <w:rsid w:val="00954162"/>
    <w:rsid w:val="0095438E"/>
    <w:rsid w:val="0095473B"/>
    <w:rsid w:val="00954F14"/>
    <w:rsid w:val="00955903"/>
    <w:rsid w:val="00956EDC"/>
    <w:rsid w:val="00957AAF"/>
    <w:rsid w:val="00960386"/>
    <w:rsid w:val="009609A8"/>
    <w:rsid w:val="00960E3D"/>
    <w:rsid w:val="00960EA7"/>
    <w:rsid w:val="009615B8"/>
    <w:rsid w:val="00961E71"/>
    <w:rsid w:val="00964646"/>
    <w:rsid w:val="00964857"/>
    <w:rsid w:val="00964CE6"/>
    <w:rsid w:val="00964ECE"/>
    <w:rsid w:val="009651A6"/>
    <w:rsid w:val="009654C6"/>
    <w:rsid w:val="00965691"/>
    <w:rsid w:val="009662A8"/>
    <w:rsid w:val="0096661B"/>
    <w:rsid w:val="00966C5A"/>
    <w:rsid w:val="0096715E"/>
    <w:rsid w:val="00967749"/>
    <w:rsid w:val="00967D1B"/>
    <w:rsid w:val="00967E38"/>
    <w:rsid w:val="0097034A"/>
    <w:rsid w:val="009708A2"/>
    <w:rsid w:val="00970D0A"/>
    <w:rsid w:val="009729D2"/>
    <w:rsid w:val="009737CE"/>
    <w:rsid w:val="00973C24"/>
    <w:rsid w:val="00973FD6"/>
    <w:rsid w:val="009746C9"/>
    <w:rsid w:val="00975665"/>
    <w:rsid w:val="009759B5"/>
    <w:rsid w:val="0097660F"/>
    <w:rsid w:val="00976AD3"/>
    <w:rsid w:val="00976BD1"/>
    <w:rsid w:val="009807BA"/>
    <w:rsid w:val="00980B21"/>
    <w:rsid w:val="00980DAF"/>
    <w:rsid w:val="00981276"/>
    <w:rsid w:val="00981283"/>
    <w:rsid w:val="009814B7"/>
    <w:rsid w:val="009819CF"/>
    <w:rsid w:val="00981BDA"/>
    <w:rsid w:val="009823A3"/>
    <w:rsid w:val="0098245E"/>
    <w:rsid w:val="00982483"/>
    <w:rsid w:val="00982EB7"/>
    <w:rsid w:val="0098306D"/>
    <w:rsid w:val="00983E6A"/>
    <w:rsid w:val="009846BF"/>
    <w:rsid w:val="00984EA2"/>
    <w:rsid w:val="00985EA1"/>
    <w:rsid w:val="00985F11"/>
    <w:rsid w:val="009862A2"/>
    <w:rsid w:val="009879FA"/>
    <w:rsid w:val="00987B95"/>
    <w:rsid w:val="00990355"/>
    <w:rsid w:val="009920FA"/>
    <w:rsid w:val="00992171"/>
    <w:rsid w:val="00992A24"/>
    <w:rsid w:val="00992C50"/>
    <w:rsid w:val="00993CED"/>
    <w:rsid w:val="0099446F"/>
    <w:rsid w:val="009950BD"/>
    <w:rsid w:val="009953D4"/>
    <w:rsid w:val="00995629"/>
    <w:rsid w:val="00995A0B"/>
    <w:rsid w:val="00995CA7"/>
    <w:rsid w:val="00995D73"/>
    <w:rsid w:val="00995E31"/>
    <w:rsid w:val="00996AE5"/>
    <w:rsid w:val="00997369"/>
    <w:rsid w:val="00997401"/>
    <w:rsid w:val="00997FA2"/>
    <w:rsid w:val="009A0165"/>
    <w:rsid w:val="009A07AD"/>
    <w:rsid w:val="009A1745"/>
    <w:rsid w:val="009A1A54"/>
    <w:rsid w:val="009A1AD0"/>
    <w:rsid w:val="009A2802"/>
    <w:rsid w:val="009A2E34"/>
    <w:rsid w:val="009A2E7B"/>
    <w:rsid w:val="009A33E5"/>
    <w:rsid w:val="009A3C99"/>
    <w:rsid w:val="009A3E75"/>
    <w:rsid w:val="009A43A9"/>
    <w:rsid w:val="009A4443"/>
    <w:rsid w:val="009A4F9C"/>
    <w:rsid w:val="009A581B"/>
    <w:rsid w:val="009A582D"/>
    <w:rsid w:val="009A5DE0"/>
    <w:rsid w:val="009A6082"/>
    <w:rsid w:val="009A6C17"/>
    <w:rsid w:val="009B13FC"/>
    <w:rsid w:val="009B1CBA"/>
    <w:rsid w:val="009B1EB6"/>
    <w:rsid w:val="009B21A8"/>
    <w:rsid w:val="009B2292"/>
    <w:rsid w:val="009B2338"/>
    <w:rsid w:val="009B32D1"/>
    <w:rsid w:val="009B3D40"/>
    <w:rsid w:val="009B40A7"/>
    <w:rsid w:val="009B421E"/>
    <w:rsid w:val="009B4397"/>
    <w:rsid w:val="009B5E3B"/>
    <w:rsid w:val="009B614D"/>
    <w:rsid w:val="009B67CB"/>
    <w:rsid w:val="009B6A44"/>
    <w:rsid w:val="009B6E54"/>
    <w:rsid w:val="009B7056"/>
    <w:rsid w:val="009B771C"/>
    <w:rsid w:val="009C274F"/>
    <w:rsid w:val="009C2BD3"/>
    <w:rsid w:val="009C2DC4"/>
    <w:rsid w:val="009C3C58"/>
    <w:rsid w:val="009C44AC"/>
    <w:rsid w:val="009C52FF"/>
    <w:rsid w:val="009C59A3"/>
    <w:rsid w:val="009C78A6"/>
    <w:rsid w:val="009D027C"/>
    <w:rsid w:val="009D037A"/>
    <w:rsid w:val="009D08D1"/>
    <w:rsid w:val="009D0BD8"/>
    <w:rsid w:val="009D1BD9"/>
    <w:rsid w:val="009D1C8F"/>
    <w:rsid w:val="009D1EFA"/>
    <w:rsid w:val="009D24CF"/>
    <w:rsid w:val="009D296B"/>
    <w:rsid w:val="009D315F"/>
    <w:rsid w:val="009D3F95"/>
    <w:rsid w:val="009D68B9"/>
    <w:rsid w:val="009D7136"/>
    <w:rsid w:val="009D73C0"/>
    <w:rsid w:val="009D75D4"/>
    <w:rsid w:val="009D762B"/>
    <w:rsid w:val="009E00BD"/>
    <w:rsid w:val="009E03E6"/>
    <w:rsid w:val="009E0456"/>
    <w:rsid w:val="009E06FF"/>
    <w:rsid w:val="009E0F71"/>
    <w:rsid w:val="009E172F"/>
    <w:rsid w:val="009E1B62"/>
    <w:rsid w:val="009E1D4A"/>
    <w:rsid w:val="009E2087"/>
    <w:rsid w:val="009E24E1"/>
    <w:rsid w:val="009E30C1"/>
    <w:rsid w:val="009E358E"/>
    <w:rsid w:val="009E3E03"/>
    <w:rsid w:val="009E4DB4"/>
    <w:rsid w:val="009E54A6"/>
    <w:rsid w:val="009E5C8A"/>
    <w:rsid w:val="009E69C4"/>
    <w:rsid w:val="009E6A27"/>
    <w:rsid w:val="009E6B67"/>
    <w:rsid w:val="009E6D59"/>
    <w:rsid w:val="009F0D0E"/>
    <w:rsid w:val="009F1368"/>
    <w:rsid w:val="009F2667"/>
    <w:rsid w:val="009F2DE7"/>
    <w:rsid w:val="009F410B"/>
    <w:rsid w:val="009F4983"/>
    <w:rsid w:val="009F658D"/>
    <w:rsid w:val="009F710A"/>
    <w:rsid w:val="009F777B"/>
    <w:rsid w:val="00A00008"/>
    <w:rsid w:val="00A003EE"/>
    <w:rsid w:val="00A0075B"/>
    <w:rsid w:val="00A00DE4"/>
    <w:rsid w:val="00A02EF8"/>
    <w:rsid w:val="00A03959"/>
    <w:rsid w:val="00A041BF"/>
    <w:rsid w:val="00A043B0"/>
    <w:rsid w:val="00A049C5"/>
    <w:rsid w:val="00A04E58"/>
    <w:rsid w:val="00A05771"/>
    <w:rsid w:val="00A0582D"/>
    <w:rsid w:val="00A06335"/>
    <w:rsid w:val="00A065B2"/>
    <w:rsid w:val="00A067F9"/>
    <w:rsid w:val="00A07323"/>
    <w:rsid w:val="00A075DA"/>
    <w:rsid w:val="00A076B1"/>
    <w:rsid w:val="00A07C0D"/>
    <w:rsid w:val="00A104DC"/>
    <w:rsid w:val="00A10AAE"/>
    <w:rsid w:val="00A10B30"/>
    <w:rsid w:val="00A10B65"/>
    <w:rsid w:val="00A10EE5"/>
    <w:rsid w:val="00A11754"/>
    <w:rsid w:val="00A126D7"/>
    <w:rsid w:val="00A139F3"/>
    <w:rsid w:val="00A13AA3"/>
    <w:rsid w:val="00A14073"/>
    <w:rsid w:val="00A14282"/>
    <w:rsid w:val="00A14EA7"/>
    <w:rsid w:val="00A1576C"/>
    <w:rsid w:val="00A1588E"/>
    <w:rsid w:val="00A17A50"/>
    <w:rsid w:val="00A17B56"/>
    <w:rsid w:val="00A202C8"/>
    <w:rsid w:val="00A2081E"/>
    <w:rsid w:val="00A20E41"/>
    <w:rsid w:val="00A22E17"/>
    <w:rsid w:val="00A23C9F"/>
    <w:rsid w:val="00A23FB1"/>
    <w:rsid w:val="00A2408A"/>
    <w:rsid w:val="00A24D2C"/>
    <w:rsid w:val="00A2518F"/>
    <w:rsid w:val="00A254B8"/>
    <w:rsid w:val="00A25D15"/>
    <w:rsid w:val="00A26086"/>
    <w:rsid w:val="00A2672B"/>
    <w:rsid w:val="00A2687F"/>
    <w:rsid w:val="00A26C46"/>
    <w:rsid w:val="00A27694"/>
    <w:rsid w:val="00A3256D"/>
    <w:rsid w:val="00A3283F"/>
    <w:rsid w:val="00A328CF"/>
    <w:rsid w:val="00A32FEB"/>
    <w:rsid w:val="00A33D23"/>
    <w:rsid w:val="00A35EBA"/>
    <w:rsid w:val="00A35FB1"/>
    <w:rsid w:val="00A36263"/>
    <w:rsid w:val="00A36728"/>
    <w:rsid w:val="00A36E35"/>
    <w:rsid w:val="00A37700"/>
    <w:rsid w:val="00A4059A"/>
    <w:rsid w:val="00A40690"/>
    <w:rsid w:val="00A41046"/>
    <w:rsid w:val="00A41DCD"/>
    <w:rsid w:val="00A42085"/>
    <w:rsid w:val="00A43533"/>
    <w:rsid w:val="00A45823"/>
    <w:rsid w:val="00A45B96"/>
    <w:rsid w:val="00A460CC"/>
    <w:rsid w:val="00A46B2C"/>
    <w:rsid w:val="00A506C5"/>
    <w:rsid w:val="00A50782"/>
    <w:rsid w:val="00A50A6A"/>
    <w:rsid w:val="00A50A86"/>
    <w:rsid w:val="00A51340"/>
    <w:rsid w:val="00A51E27"/>
    <w:rsid w:val="00A53164"/>
    <w:rsid w:val="00A5348C"/>
    <w:rsid w:val="00A53B6B"/>
    <w:rsid w:val="00A53F1D"/>
    <w:rsid w:val="00A56173"/>
    <w:rsid w:val="00A5619C"/>
    <w:rsid w:val="00A563A5"/>
    <w:rsid w:val="00A5647B"/>
    <w:rsid w:val="00A567C6"/>
    <w:rsid w:val="00A56CE2"/>
    <w:rsid w:val="00A57089"/>
    <w:rsid w:val="00A5728F"/>
    <w:rsid w:val="00A57482"/>
    <w:rsid w:val="00A5783F"/>
    <w:rsid w:val="00A57A62"/>
    <w:rsid w:val="00A60454"/>
    <w:rsid w:val="00A604E5"/>
    <w:rsid w:val="00A60AC5"/>
    <w:rsid w:val="00A60DF7"/>
    <w:rsid w:val="00A60E74"/>
    <w:rsid w:val="00A60E7D"/>
    <w:rsid w:val="00A618F7"/>
    <w:rsid w:val="00A61951"/>
    <w:rsid w:val="00A63282"/>
    <w:rsid w:val="00A638FB"/>
    <w:rsid w:val="00A64188"/>
    <w:rsid w:val="00A64556"/>
    <w:rsid w:val="00A65615"/>
    <w:rsid w:val="00A657E6"/>
    <w:rsid w:val="00A65ACB"/>
    <w:rsid w:val="00A65D7A"/>
    <w:rsid w:val="00A66086"/>
    <w:rsid w:val="00A66976"/>
    <w:rsid w:val="00A672D6"/>
    <w:rsid w:val="00A67877"/>
    <w:rsid w:val="00A67C0F"/>
    <w:rsid w:val="00A67CBD"/>
    <w:rsid w:val="00A703DE"/>
    <w:rsid w:val="00A705A2"/>
    <w:rsid w:val="00A71DB5"/>
    <w:rsid w:val="00A721EA"/>
    <w:rsid w:val="00A73359"/>
    <w:rsid w:val="00A73EA5"/>
    <w:rsid w:val="00A75099"/>
    <w:rsid w:val="00A75280"/>
    <w:rsid w:val="00A7537E"/>
    <w:rsid w:val="00A75972"/>
    <w:rsid w:val="00A75EAE"/>
    <w:rsid w:val="00A761B1"/>
    <w:rsid w:val="00A76795"/>
    <w:rsid w:val="00A76C24"/>
    <w:rsid w:val="00A776AC"/>
    <w:rsid w:val="00A80975"/>
    <w:rsid w:val="00A819E8"/>
    <w:rsid w:val="00A81C4F"/>
    <w:rsid w:val="00A81C7D"/>
    <w:rsid w:val="00A8297A"/>
    <w:rsid w:val="00A82CAF"/>
    <w:rsid w:val="00A830BB"/>
    <w:rsid w:val="00A83E61"/>
    <w:rsid w:val="00A84545"/>
    <w:rsid w:val="00A84BE8"/>
    <w:rsid w:val="00A84CC3"/>
    <w:rsid w:val="00A84EAA"/>
    <w:rsid w:val="00A85C9B"/>
    <w:rsid w:val="00A85DF4"/>
    <w:rsid w:val="00A85EDD"/>
    <w:rsid w:val="00A86201"/>
    <w:rsid w:val="00A86329"/>
    <w:rsid w:val="00A86C7A"/>
    <w:rsid w:val="00A8740E"/>
    <w:rsid w:val="00A90EEC"/>
    <w:rsid w:val="00A914D5"/>
    <w:rsid w:val="00A91867"/>
    <w:rsid w:val="00A932DA"/>
    <w:rsid w:val="00A94076"/>
    <w:rsid w:val="00A94417"/>
    <w:rsid w:val="00A945A5"/>
    <w:rsid w:val="00A951A2"/>
    <w:rsid w:val="00A95C19"/>
    <w:rsid w:val="00A95F74"/>
    <w:rsid w:val="00A96E59"/>
    <w:rsid w:val="00A97685"/>
    <w:rsid w:val="00A97CC1"/>
    <w:rsid w:val="00AA017B"/>
    <w:rsid w:val="00AA0489"/>
    <w:rsid w:val="00AA06DB"/>
    <w:rsid w:val="00AA1010"/>
    <w:rsid w:val="00AA130F"/>
    <w:rsid w:val="00AA146E"/>
    <w:rsid w:val="00AA1FE0"/>
    <w:rsid w:val="00AA2687"/>
    <w:rsid w:val="00AA3B37"/>
    <w:rsid w:val="00AA475D"/>
    <w:rsid w:val="00AA4DF1"/>
    <w:rsid w:val="00AA4E01"/>
    <w:rsid w:val="00AA5771"/>
    <w:rsid w:val="00AA5DE8"/>
    <w:rsid w:val="00AA7538"/>
    <w:rsid w:val="00AA753B"/>
    <w:rsid w:val="00AA7773"/>
    <w:rsid w:val="00AA7EB6"/>
    <w:rsid w:val="00AA7F07"/>
    <w:rsid w:val="00AB01E6"/>
    <w:rsid w:val="00AB0E89"/>
    <w:rsid w:val="00AB1D99"/>
    <w:rsid w:val="00AB1E01"/>
    <w:rsid w:val="00AB1ECB"/>
    <w:rsid w:val="00AB2422"/>
    <w:rsid w:val="00AB25BB"/>
    <w:rsid w:val="00AB2623"/>
    <w:rsid w:val="00AB26A8"/>
    <w:rsid w:val="00AB3274"/>
    <w:rsid w:val="00AB4BCB"/>
    <w:rsid w:val="00AB60CF"/>
    <w:rsid w:val="00AB64FB"/>
    <w:rsid w:val="00AB686D"/>
    <w:rsid w:val="00AB6D91"/>
    <w:rsid w:val="00AB726B"/>
    <w:rsid w:val="00AB7286"/>
    <w:rsid w:val="00AB79C4"/>
    <w:rsid w:val="00AB7A8D"/>
    <w:rsid w:val="00AB7D58"/>
    <w:rsid w:val="00AB7D5D"/>
    <w:rsid w:val="00AC052F"/>
    <w:rsid w:val="00AC0712"/>
    <w:rsid w:val="00AC1064"/>
    <w:rsid w:val="00AC14DD"/>
    <w:rsid w:val="00AC2005"/>
    <w:rsid w:val="00AC2ACB"/>
    <w:rsid w:val="00AC2F1F"/>
    <w:rsid w:val="00AC2FF7"/>
    <w:rsid w:val="00AC31CC"/>
    <w:rsid w:val="00AC385E"/>
    <w:rsid w:val="00AC4B7B"/>
    <w:rsid w:val="00AC4F71"/>
    <w:rsid w:val="00AC52B2"/>
    <w:rsid w:val="00AC5C65"/>
    <w:rsid w:val="00AC6925"/>
    <w:rsid w:val="00AC6D04"/>
    <w:rsid w:val="00AC72EE"/>
    <w:rsid w:val="00AC7624"/>
    <w:rsid w:val="00AD01B0"/>
    <w:rsid w:val="00AD0C44"/>
    <w:rsid w:val="00AD0CF5"/>
    <w:rsid w:val="00AD13AF"/>
    <w:rsid w:val="00AD1E80"/>
    <w:rsid w:val="00AD394A"/>
    <w:rsid w:val="00AD3A88"/>
    <w:rsid w:val="00AD3C12"/>
    <w:rsid w:val="00AD43BC"/>
    <w:rsid w:val="00AD43C3"/>
    <w:rsid w:val="00AD4496"/>
    <w:rsid w:val="00AD55E2"/>
    <w:rsid w:val="00AD5E9F"/>
    <w:rsid w:val="00AD652E"/>
    <w:rsid w:val="00AD7AFF"/>
    <w:rsid w:val="00AD7DD3"/>
    <w:rsid w:val="00AE05E6"/>
    <w:rsid w:val="00AE0617"/>
    <w:rsid w:val="00AE0A97"/>
    <w:rsid w:val="00AE0EF0"/>
    <w:rsid w:val="00AE1076"/>
    <w:rsid w:val="00AE1F04"/>
    <w:rsid w:val="00AE2F05"/>
    <w:rsid w:val="00AE301C"/>
    <w:rsid w:val="00AE3215"/>
    <w:rsid w:val="00AE3760"/>
    <w:rsid w:val="00AE5DAB"/>
    <w:rsid w:val="00AE6F4F"/>
    <w:rsid w:val="00AE7056"/>
    <w:rsid w:val="00AE7178"/>
    <w:rsid w:val="00AE72C2"/>
    <w:rsid w:val="00AE7C2F"/>
    <w:rsid w:val="00AF07F9"/>
    <w:rsid w:val="00AF112E"/>
    <w:rsid w:val="00AF2F2A"/>
    <w:rsid w:val="00AF3A3F"/>
    <w:rsid w:val="00AF3E83"/>
    <w:rsid w:val="00AF406F"/>
    <w:rsid w:val="00AF57F0"/>
    <w:rsid w:val="00AF5D67"/>
    <w:rsid w:val="00AF6087"/>
    <w:rsid w:val="00AF640A"/>
    <w:rsid w:val="00AF69AC"/>
    <w:rsid w:val="00AF6A2C"/>
    <w:rsid w:val="00AF737A"/>
    <w:rsid w:val="00AF7B68"/>
    <w:rsid w:val="00AF7CA0"/>
    <w:rsid w:val="00AF7F1F"/>
    <w:rsid w:val="00B00220"/>
    <w:rsid w:val="00B0072D"/>
    <w:rsid w:val="00B01AE0"/>
    <w:rsid w:val="00B02547"/>
    <w:rsid w:val="00B03047"/>
    <w:rsid w:val="00B04CF4"/>
    <w:rsid w:val="00B04DF0"/>
    <w:rsid w:val="00B0616D"/>
    <w:rsid w:val="00B062B5"/>
    <w:rsid w:val="00B0748E"/>
    <w:rsid w:val="00B07FA8"/>
    <w:rsid w:val="00B07FE3"/>
    <w:rsid w:val="00B1047E"/>
    <w:rsid w:val="00B10A91"/>
    <w:rsid w:val="00B117F5"/>
    <w:rsid w:val="00B12889"/>
    <w:rsid w:val="00B13662"/>
    <w:rsid w:val="00B138EB"/>
    <w:rsid w:val="00B13AE2"/>
    <w:rsid w:val="00B13AED"/>
    <w:rsid w:val="00B14E2A"/>
    <w:rsid w:val="00B152C7"/>
    <w:rsid w:val="00B155A8"/>
    <w:rsid w:val="00B15835"/>
    <w:rsid w:val="00B16966"/>
    <w:rsid w:val="00B16FFA"/>
    <w:rsid w:val="00B2035B"/>
    <w:rsid w:val="00B20460"/>
    <w:rsid w:val="00B20796"/>
    <w:rsid w:val="00B20C26"/>
    <w:rsid w:val="00B20FD6"/>
    <w:rsid w:val="00B217F7"/>
    <w:rsid w:val="00B21A3A"/>
    <w:rsid w:val="00B21DA9"/>
    <w:rsid w:val="00B2304E"/>
    <w:rsid w:val="00B2348A"/>
    <w:rsid w:val="00B23B38"/>
    <w:rsid w:val="00B23E4F"/>
    <w:rsid w:val="00B247B1"/>
    <w:rsid w:val="00B248B2"/>
    <w:rsid w:val="00B24A68"/>
    <w:rsid w:val="00B24E3B"/>
    <w:rsid w:val="00B2574A"/>
    <w:rsid w:val="00B26668"/>
    <w:rsid w:val="00B26779"/>
    <w:rsid w:val="00B3000B"/>
    <w:rsid w:val="00B302B7"/>
    <w:rsid w:val="00B3065C"/>
    <w:rsid w:val="00B3093D"/>
    <w:rsid w:val="00B30CEB"/>
    <w:rsid w:val="00B31143"/>
    <w:rsid w:val="00B325DD"/>
    <w:rsid w:val="00B32770"/>
    <w:rsid w:val="00B32F20"/>
    <w:rsid w:val="00B33CB3"/>
    <w:rsid w:val="00B34374"/>
    <w:rsid w:val="00B343A6"/>
    <w:rsid w:val="00B34441"/>
    <w:rsid w:val="00B348BA"/>
    <w:rsid w:val="00B34B11"/>
    <w:rsid w:val="00B36073"/>
    <w:rsid w:val="00B368EF"/>
    <w:rsid w:val="00B3756C"/>
    <w:rsid w:val="00B3771D"/>
    <w:rsid w:val="00B40246"/>
    <w:rsid w:val="00B406C7"/>
    <w:rsid w:val="00B4122E"/>
    <w:rsid w:val="00B41747"/>
    <w:rsid w:val="00B417B0"/>
    <w:rsid w:val="00B418D9"/>
    <w:rsid w:val="00B41AF4"/>
    <w:rsid w:val="00B42133"/>
    <w:rsid w:val="00B42A5A"/>
    <w:rsid w:val="00B4306E"/>
    <w:rsid w:val="00B434ED"/>
    <w:rsid w:val="00B43610"/>
    <w:rsid w:val="00B436E7"/>
    <w:rsid w:val="00B44817"/>
    <w:rsid w:val="00B4546A"/>
    <w:rsid w:val="00B4612B"/>
    <w:rsid w:val="00B46703"/>
    <w:rsid w:val="00B46A3A"/>
    <w:rsid w:val="00B46B26"/>
    <w:rsid w:val="00B4710C"/>
    <w:rsid w:val="00B4728C"/>
    <w:rsid w:val="00B47313"/>
    <w:rsid w:val="00B47741"/>
    <w:rsid w:val="00B47B29"/>
    <w:rsid w:val="00B50729"/>
    <w:rsid w:val="00B510D7"/>
    <w:rsid w:val="00B517DF"/>
    <w:rsid w:val="00B5187F"/>
    <w:rsid w:val="00B51D81"/>
    <w:rsid w:val="00B51FE7"/>
    <w:rsid w:val="00B52273"/>
    <w:rsid w:val="00B5259C"/>
    <w:rsid w:val="00B5284D"/>
    <w:rsid w:val="00B53077"/>
    <w:rsid w:val="00B53FBE"/>
    <w:rsid w:val="00B54025"/>
    <w:rsid w:val="00B54AD6"/>
    <w:rsid w:val="00B5582C"/>
    <w:rsid w:val="00B5615B"/>
    <w:rsid w:val="00B562A4"/>
    <w:rsid w:val="00B5648B"/>
    <w:rsid w:val="00B5657D"/>
    <w:rsid w:val="00B56689"/>
    <w:rsid w:val="00B578F0"/>
    <w:rsid w:val="00B57CAA"/>
    <w:rsid w:val="00B57EF0"/>
    <w:rsid w:val="00B60765"/>
    <w:rsid w:val="00B610F7"/>
    <w:rsid w:val="00B61543"/>
    <w:rsid w:val="00B61592"/>
    <w:rsid w:val="00B64A26"/>
    <w:rsid w:val="00B64E60"/>
    <w:rsid w:val="00B65196"/>
    <w:rsid w:val="00B65CC7"/>
    <w:rsid w:val="00B65CCC"/>
    <w:rsid w:val="00B66703"/>
    <w:rsid w:val="00B6748A"/>
    <w:rsid w:val="00B67806"/>
    <w:rsid w:val="00B67937"/>
    <w:rsid w:val="00B70224"/>
    <w:rsid w:val="00B70A88"/>
    <w:rsid w:val="00B71C04"/>
    <w:rsid w:val="00B71E95"/>
    <w:rsid w:val="00B71F2C"/>
    <w:rsid w:val="00B72EF5"/>
    <w:rsid w:val="00B7342B"/>
    <w:rsid w:val="00B73B0D"/>
    <w:rsid w:val="00B73BD3"/>
    <w:rsid w:val="00B75952"/>
    <w:rsid w:val="00B75B84"/>
    <w:rsid w:val="00B7707B"/>
    <w:rsid w:val="00B77207"/>
    <w:rsid w:val="00B775FA"/>
    <w:rsid w:val="00B77A02"/>
    <w:rsid w:val="00B81816"/>
    <w:rsid w:val="00B82A51"/>
    <w:rsid w:val="00B8338A"/>
    <w:rsid w:val="00B8388F"/>
    <w:rsid w:val="00B83ECA"/>
    <w:rsid w:val="00B852CC"/>
    <w:rsid w:val="00B857CF"/>
    <w:rsid w:val="00B85DA8"/>
    <w:rsid w:val="00B868BE"/>
    <w:rsid w:val="00B86C4C"/>
    <w:rsid w:val="00B86E25"/>
    <w:rsid w:val="00B87F12"/>
    <w:rsid w:val="00B90219"/>
    <w:rsid w:val="00B902D3"/>
    <w:rsid w:val="00B912F3"/>
    <w:rsid w:val="00B917FB"/>
    <w:rsid w:val="00B9246D"/>
    <w:rsid w:val="00B92CBE"/>
    <w:rsid w:val="00B93592"/>
    <w:rsid w:val="00B936FE"/>
    <w:rsid w:val="00B939AE"/>
    <w:rsid w:val="00B943F4"/>
    <w:rsid w:val="00B947B7"/>
    <w:rsid w:val="00B94FE5"/>
    <w:rsid w:val="00B95858"/>
    <w:rsid w:val="00B95B42"/>
    <w:rsid w:val="00B95C49"/>
    <w:rsid w:val="00B964AD"/>
    <w:rsid w:val="00B966E1"/>
    <w:rsid w:val="00B97624"/>
    <w:rsid w:val="00B97CB9"/>
    <w:rsid w:val="00B97F70"/>
    <w:rsid w:val="00BA06EA"/>
    <w:rsid w:val="00BA1733"/>
    <w:rsid w:val="00BA2427"/>
    <w:rsid w:val="00BA2562"/>
    <w:rsid w:val="00BA3407"/>
    <w:rsid w:val="00BA48D3"/>
    <w:rsid w:val="00BA52C2"/>
    <w:rsid w:val="00BA534A"/>
    <w:rsid w:val="00BA5628"/>
    <w:rsid w:val="00BA5728"/>
    <w:rsid w:val="00BA5F66"/>
    <w:rsid w:val="00BA680E"/>
    <w:rsid w:val="00BA6818"/>
    <w:rsid w:val="00BA68DA"/>
    <w:rsid w:val="00BA722E"/>
    <w:rsid w:val="00BA7AE9"/>
    <w:rsid w:val="00BB0851"/>
    <w:rsid w:val="00BB0CE1"/>
    <w:rsid w:val="00BB0EFE"/>
    <w:rsid w:val="00BB1C94"/>
    <w:rsid w:val="00BB2DAA"/>
    <w:rsid w:val="00BB2FBC"/>
    <w:rsid w:val="00BB32E6"/>
    <w:rsid w:val="00BB34EF"/>
    <w:rsid w:val="00BB38A8"/>
    <w:rsid w:val="00BB52BF"/>
    <w:rsid w:val="00BB56B0"/>
    <w:rsid w:val="00BB56EF"/>
    <w:rsid w:val="00BB62EB"/>
    <w:rsid w:val="00BB6B5E"/>
    <w:rsid w:val="00BB6CFE"/>
    <w:rsid w:val="00BB731A"/>
    <w:rsid w:val="00BC0004"/>
    <w:rsid w:val="00BC020B"/>
    <w:rsid w:val="00BC10B7"/>
    <w:rsid w:val="00BC167B"/>
    <w:rsid w:val="00BC1AA3"/>
    <w:rsid w:val="00BC1E8F"/>
    <w:rsid w:val="00BC23AC"/>
    <w:rsid w:val="00BC36E4"/>
    <w:rsid w:val="00BC3AE9"/>
    <w:rsid w:val="00BC46D0"/>
    <w:rsid w:val="00BC490A"/>
    <w:rsid w:val="00BC4F7E"/>
    <w:rsid w:val="00BC51AB"/>
    <w:rsid w:val="00BC54D1"/>
    <w:rsid w:val="00BC5C81"/>
    <w:rsid w:val="00BC62FE"/>
    <w:rsid w:val="00BC64CC"/>
    <w:rsid w:val="00BC6E5F"/>
    <w:rsid w:val="00BC7795"/>
    <w:rsid w:val="00BC77C0"/>
    <w:rsid w:val="00BC77CE"/>
    <w:rsid w:val="00BC7E35"/>
    <w:rsid w:val="00BD0AFA"/>
    <w:rsid w:val="00BD1270"/>
    <w:rsid w:val="00BD1563"/>
    <w:rsid w:val="00BD189F"/>
    <w:rsid w:val="00BD284A"/>
    <w:rsid w:val="00BD2AB0"/>
    <w:rsid w:val="00BD622B"/>
    <w:rsid w:val="00BD6A79"/>
    <w:rsid w:val="00BD7E1F"/>
    <w:rsid w:val="00BE09D6"/>
    <w:rsid w:val="00BE0D62"/>
    <w:rsid w:val="00BE0E51"/>
    <w:rsid w:val="00BE11BF"/>
    <w:rsid w:val="00BE11CD"/>
    <w:rsid w:val="00BE18AA"/>
    <w:rsid w:val="00BE2206"/>
    <w:rsid w:val="00BE305C"/>
    <w:rsid w:val="00BE322A"/>
    <w:rsid w:val="00BE45A5"/>
    <w:rsid w:val="00BE46C4"/>
    <w:rsid w:val="00BE4836"/>
    <w:rsid w:val="00BE4DDA"/>
    <w:rsid w:val="00BE50C5"/>
    <w:rsid w:val="00BE56B4"/>
    <w:rsid w:val="00BE576C"/>
    <w:rsid w:val="00BE59F6"/>
    <w:rsid w:val="00BE5D17"/>
    <w:rsid w:val="00BE608E"/>
    <w:rsid w:val="00BE6797"/>
    <w:rsid w:val="00BE6CE9"/>
    <w:rsid w:val="00BE7061"/>
    <w:rsid w:val="00BF1186"/>
    <w:rsid w:val="00BF1239"/>
    <w:rsid w:val="00BF1D1E"/>
    <w:rsid w:val="00BF1D53"/>
    <w:rsid w:val="00BF20CB"/>
    <w:rsid w:val="00BF29C5"/>
    <w:rsid w:val="00BF2F5D"/>
    <w:rsid w:val="00BF4551"/>
    <w:rsid w:val="00BF45D1"/>
    <w:rsid w:val="00BF4806"/>
    <w:rsid w:val="00BF4B70"/>
    <w:rsid w:val="00BF5A8A"/>
    <w:rsid w:val="00BF6136"/>
    <w:rsid w:val="00BF668D"/>
    <w:rsid w:val="00BF671C"/>
    <w:rsid w:val="00BF6859"/>
    <w:rsid w:val="00BF71ED"/>
    <w:rsid w:val="00BF746A"/>
    <w:rsid w:val="00BF74FC"/>
    <w:rsid w:val="00BF758C"/>
    <w:rsid w:val="00BF7BA5"/>
    <w:rsid w:val="00BF7E8D"/>
    <w:rsid w:val="00C0006F"/>
    <w:rsid w:val="00C01FC2"/>
    <w:rsid w:val="00C025EF"/>
    <w:rsid w:val="00C031C9"/>
    <w:rsid w:val="00C03D4E"/>
    <w:rsid w:val="00C03D51"/>
    <w:rsid w:val="00C0452C"/>
    <w:rsid w:val="00C04660"/>
    <w:rsid w:val="00C0484D"/>
    <w:rsid w:val="00C04C21"/>
    <w:rsid w:val="00C050E8"/>
    <w:rsid w:val="00C053D3"/>
    <w:rsid w:val="00C06153"/>
    <w:rsid w:val="00C06C21"/>
    <w:rsid w:val="00C104F9"/>
    <w:rsid w:val="00C112CD"/>
    <w:rsid w:val="00C114C8"/>
    <w:rsid w:val="00C118D1"/>
    <w:rsid w:val="00C11BC8"/>
    <w:rsid w:val="00C11BCF"/>
    <w:rsid w:val="00C1256E"/>
    <w:rsid w:val="00C126CC"/>
    <w:rsid w:val="00C12CB2"/>
    <w:rsid w:val="00C13210"/>
    <w:rsid w:val="00C133DF"/>
    <w:rsid w:val="00C13963"/>
    <w:rsid w:val="00C14F23"/>
    <w:rsid w:val="00C152BB"/>
    <w:rsid w:val="00C15794"/>
    <w:rsid w:val="00C1585E"/>
    <w:rsid w:val="00C15D82"/>
    <w:rsid w:val="00C16166"/>
    <w:rsid w:val="00C164CC"/>
    <w:rsid w:val="00C1660F"/>
    <w:rsid w:val="00C171F2"/>
    <w:rsid w:val="00C178F0"/>
    <w:rsid w:val="00C17B24"/>
    <w:rsid w:val="00C2043C"/>
    <w:rsid w:val="00C20B28"/>
    <w:rsid w:val="00C216BB"/>
    <w:rsid w:val="00C21D08"/>
    <w:rsid w:val="00C21F72"/>
    <w:rsid w:val="00C22E98"/>
    <w:rsid w:val="00C23155"/>
    <w:rsid w:val="00C23254"/>
    <w:rsid w:val="00C23E8C"/>
    <w:rsid w:val="00C249EA"/>
    <w:rsid w:val="00C249FC"/>
    <w:rsid w:val="00C24C2E"/>
    <w:rsid w:val="00C24DEA"/>
    <w:rsid w:val="00C25976"/>
    <w:rsid w:val="00C25EAC"/>
    <w:rsid w:val="00C2676F"/>
    <w:rsid w:val="00C2702F"/>
    <w:rsid w:val="00C2787F"/>
    <w:rsid w:val="00C30729"/>
    <w:rsid w:val="00C31E9F"/>
    <w:rsid w:val="00C32106"/>
    <w:rsid w:val="00C32182"/>
    <w:rsid w:val="00C32484"/>
    <w:rsid w:val="00C3320B"/>
    <w:rsid w:val="00C33260"/>
    <w:rsid w:val="00C33626"/>
    <w:rsid w:val="00C33726"/>
    <w:rsid w:val="00C34231"/>
    <w:rsid w:val="00C34AD4"/>
    <w:rsid w:val="00C34F98"/>
    <w:rsid w:val="00C35A79"/>
    <w:rsid w:val="00C3629E"/>
    <w:rsid w:val="00C3631C"/>
    <w:rsid w:val="00C3633B"/>
    <w:rsid w:val="00C36BDA"/>
    <w:rsid w:val="00C36CAF"/>
    <w:rsid w:val="00C37BF3"/>
    <w:rsid w:val="00C40064"/>
    <w:rsid w:val="00C4013F"/>
    <w:rsid w:val="00C40266"/>
    <w:rsid w:val="00C40404"/>
    <w:rsid w:val="00C40880"/>
    <w:rsid w:val="00C410F9"/>
    <w:rsid w:val="00C41631"/>
    <w:rsid w:val="00C418B9"/>
    <w:rsid w:val="00C4198F"/>
    <w:rsid w:val="00C41BBF"/>
    <w:rsid w:val="00C423DB"/>
    <w:rsid w:val="00C4294D"/>
    <w:rsid w:val="00C429A6"/>
    <w:rsid w:val="00C42CCF"/>
    <w:rsid w:val="00C436D0"/>
    <w:rsid w:val="00C43B8B"/>
    <w:rsid w:val="00C43F7D"/>
    <w:rsid w:val="00C440BF"/>
    <w:rsid w:val="00C44DBB"/>
    <w:rsid w:val="00C452E6"/>
    <w:rsid w:val="00C4641A"/>
    <w:rsid w:val="00C465C3"/>
    <w:rsid w:val="00C465CA"/>
    <w:rsid w:val="00C466C5"/>
    <w:rsid w:val="00C46984"/>
    <w:rsid w:val="00C47182"/>
    <w:rsid w:val="00C47581"/>
    <w:rsid w:val="00C47DC8"/>
    <w:rsid w:val="00C50D85"/>
    <w:rsid w:val="00C50FBA"/>
    <w:rsid w:val="00C512D3"/>
    <w:rsid w:val="00C51385"/>
    <w:rsid w:val="00C51569"/>
    <w:rsid w:val="00C51C78"/>
    <w:rsid w:val="00C546DC"/>
    <w:rsid w:val="00C547A7"/>
    <w:rsid w:val="00C547D9"/>
    <w:rsid w:val="00C555BF"/>
    <w:rsid w:val="00C55A98"/>
    <w:rsid w:val="00C56265"/>
    <w:rsid w:val="00C5735A"/>
    <w:rsid w:val="00C57A79"/>
    <w:rsid w:val="00C57D19"/>
    <w:rsid w:val="00C57E21"/>
    <w:rsid w:val="00C601DD"/>
    <w:rsid w:val="00C60BA7"/>
    <w:rsid w:val="00C61008"/>
    <w:rsid w:val="00C61894"/>
    <w:rsid w:val="00C6224A"/>
    <w:rsid w:val="00C627A1"/>
    <w:rsid w:val="00C62F36"/>
    <w:rsid w:val="00C6375C"/>
    <w:rsid w:val="00C63AF8"/>
    <w:rsid w:val="00C6421C"/>
    <w:rsid w:val="00C64504"/>
    <w:rsid w:val="00C65107"/>
    <w:rsid w:val="00C6543C"/>
    <w:rsid w:val="00C6695E"/>
    <w:rsid w:val="00C66E68"/>
    <w:rsid w:val="00C66FB4"/>
    <w:rsid w:val="00C672E0"/>
    <w:rsid w:val="00C6787A"/>
    <w:rsid w:val="00C67CC3"/>
    <w:rsid w:val="00C70888"/>
    <w:rsid w:val="00C70C9A"/>
    <w:rsid w:val="00C713F0"/>
    <w:rsid w:val="00C723CA"/>
    <w:rsid w:val="00C725EF"/>
    <w:rsid w:val="00C7278E"/>
    <w:rsid w:val="00C72911"/>
    <w:rsid w:val="00C731F8"/>
    <w:rsid w:val="00C73B5A"/>
    <w:rsid w:val="00C74307"/>
    <w:rsid w:val="00C7543D"/>
    <w:rsid w:val="00C7681D"/>
    <w:rsid w:val="00C770EE"/>
    <w:rsid w:val="00C80B4B"/>
    <w:rsid w:val="00C80C7A"/>
    <w:rsid w:val="00C80DBE"/>
    <w:rsid w:val="00C81625"/>
    <w:rsid w:val="00C81F53"/>
    <w:rsid w:val="00C823FD"/>
    <w:rsid w:val="00C82F2B"/>
    <w:rsid w:val="00C830B9"/>
    <w:rsid w:val="00C8363B"/>
    <w:rsid w:val="00C83A08"/>
    <w:rsid w:val="00C84FE2"/>
    <w:rsid w:val="00C858F7"/>
    <w:rsid w:val="00C85E61"/>
    <w:rsid w:val="00C86A5E"/>
    <w:rsid w:val="00C8718D"/>
    <w:rsid w:val="00C87306"/>
    <w:rsid w:val="00C87D29"/>
    <w:rsid w:val="00C87EDC"/>
    <w:rsid w:val="00C902C3"/>
    <w:rsid w:val="00C90DAB"/>
    <w:rsid w:val="00C917C4"/>
    <w:rsid w:val="00C92516"/>
    <w:rsid w:val="00C925E1"/>
    <w:rsid w:val="00C92CF2"/>
    <w:rsid w:val="00C930AE"/>
    <w:rsid w:val="00C936AA"/>
    <w:rsid w:val="00C938B3"/>
    <w:rsid w:val="00C9443A"/>
    <w:rsid w:val="00C950B5"/>
    <w:rsid w:val="00C95363"/>
    <w:rsid w:val="00C95A8E"/>
    <w:rsid w:val="00C95ADA"/>
    <w:rsid w:val="00C95DE8"/>
    <w:rsid w:val="00C964F2"/>
    <w:rsid w:val="00C967A2"/>
    <w:rsid w:val="00C97B92"/>
    <w:rsid w:val="00CA0B5C"/>
    <w:rsid w:val="00CA0D66"/>
    <w:rsid w:val="00CA1332"/>
    <w:rsid w:val="00CA18E4"/>
    <w:rsid w:val="00CA1DC7"/>
    <w:rsid w:val="00CA2744"/>
    <w:rsid w:val="00CA359F"/>
    <w:rsid w:val="00CA3641"/>
    <w:rsid w:val="00CA3694"/>
    <w:rsid w:val="00CA3F01"/>
    <w:rsid w:val="00CA4104"/>
    <w:rsid w:val="00CA42FF"/>
    <w:rsid w:val="00CA4E48"/>
    <w:rsid w:val="00CA4ECB"/>
    <w:rsid w:val="00CA5260"/>
    <w:rsid w:val="00CA5904"/>
    <w:rsid w:val="00CA5B69"/>
    <w:rsid w:val="00CA6CFD"/>
    <w:rsid w:val="00CA7D7F"/>
    <w:rsid w:val="00CB084D"/>
    <w:rsid w:val="00CB1D28"/>
    <w:rsid w:val="00CB2658"/>
    <w:rsid w:val="00CB3068"/>
    <w:rsid w:val="00CB4173"/>
    <w:rsid w:val="00CB4620"/>
    <w:rsid w:val="00CB4797"/>
    <w:rsid w:val="00CB4940"/>
    <w:rsid w:val="00CB4EA0"/>
    <w:rsid w:val="00CB505D"/>
    <w:rsid w:val="00CB521A"/>
    <w:rsid w:val="00CB5546"/>
    <w:rsid w:val="00CB60BB"/>
    <w:rsid w:val="00CB66E1"/>
    <w:rsid w:val="00CC07F8"/>
    <w:rsid w:val="00CC1153"/>
    <w:rsid w:val="00CC1975"/>
    <w:rsid w:val="00CC1AEC"/>
    <w:rsid w:val="00CC23FC"/>
    <w:rsid w:val="00CC2772"/>
    <w:rsid w:val="00CC2B19"/>
    <w:rsid w:val="00CC3368"/>
    <w:rsid w:val="00CC382F"/>
    <w:rsid w:val="00CC4286"/>
    <w:rsid w:val="00CC4E19"/>
    <w:rsid w:val="00CC505E"/>
    <w:rsid w:val="00CC5557"/>
    <w:rsid w:val="00CC563C"/>
    <w:rsid w:val="00CC59A5"/>
    <w:rsid w:val="00CC5B48"/>
    <w:rsid w:val="00CC5B57"/>
    <w:rsid w:val="00CC66FD"/>
    <w:rsid w:val="00CC6887"/>
    <w:rsid w:val="00CC6999"/>
    <w:rsid w:val="00CC7129"/>
    <w:rsid w:val="00CC7294"/>
    <w:rsid w:val="00CC7A37"/>
    <w:rsid w:val="00CC7C41"/>
    <w:rsid w:val="00CD0B46"/>
    <w:rsid w:val="00CD0CD7"/>
    <w:rsid w:val="00CD1D20"/>
    <w:rsid w:val="00CD291C"/>
    <w:rsid w:val="00CD2979"/>
    <w:rsid w:val="00CD2A6F"/>
    <w:rsid w:val="00CD34F1"/>
    <w:rsid w:val="00CD3FEB"/>
    <w:rsid w:val="00CD4428"/>
    <w:rsid w:val="00CD47F7"/>
    <w:rsid w:val="00CD48A3"/>
    <w:rsid w:val="00CD48F7"/>
    <w:rsid w:val="00CD5045"/>
    <w:rsid w:val="00CD5280"/>
    <w:rsid w:val="00CD550D"/>
    <w:rsid w:val="00CD57C1"/>
    <w:rsid w:val="00CD59B4"/>
    <w:rsid w:val="00CD5FFC"/>
    <w:rsid w:val="00CD6552"/>
    <w:rsid w:val="00CD69CF"/>
    <w:rsid w:val="00CD6DC5"/>
    <w:rsid w:val="00CD6F38"/>
    <w:rsid w:val="00CD6FB8"/>
    <w:rsid w:val="00CE0B14"/>
    <w:rsid w:val="00CE0CB9"/>
    <w:rsid w:val="00CE0F99"/>
    <w:rsid w:val="00CE1523"/>
    <w:rsid w:val="00CE1B82"/>
    <w:rsid w:val="00CE25AF"/>
    <w:rsid w:val="00CE29E9"/>
    <w:rsid w:val="00CE3478"/>
    <w:rsid w:val="00CE350E"/>
    <w:rsid w:val="00CE3FD9"/>
    <w:rsid w:val="00CE4BEB"/>
    <w:rsid w:val="00CE4DE2"/>
    <w:rsid w:val="00CE4F94"/>
    <w:rsid w:val="00CE54DD"/>
    <w:rsid w:val="00CE5C11"/>
    <w:rsid w:val="00CE688E"/>
    <w:rsid w:val="00CF0A88"/>
    <w:rsid w:val="00CF0F3C"/>
    <w:rsid w:val="00CF10C1"/>
    <w:rsid w:val="00CF1527"/>
    <w:rsid w:val="00CF2F6C"/>
    <w:rsid w:val="00CF3206"/>
    <w:rsid w:val="00CF335D"/>
    <w:rsid w:val="00CF34CD"/>
    <w:rsid w:val="00CF3C67"/>
    <w:rsid w:val="00CF3EEE"/>
    <w:rsid w:val="00CF3F4D"/>
    <w:rsid w:val="00CF4781"/>
    <w:rsid w:val="00CF507B"/>
    <w:rsid w:val="00CF5703"/>
    <w:rsid w:val="00CF726C"/>
    <w:rsid w:val="00CF7DD6"/>
    <w:rsid w:val="00D004CC"/>
    <w:rsid w:val="00D0143A"/>
    <w:rsid w:val="00D01E9D"/>
    <w:rsid w:val="00D020E8"/>
    <w:rsid w:val="00D02338"/>
    <w:rsid w:val="00D02467"/>
    <w:rsid w:val="00D02DBA"/>
    <w:rsid w:val="00D03205"/>
    <w:rsid w:val="00D04BE1"/>
    <w:rsid w:val="00D05479"/>
    <w:rsid w:val="00D06236"/>
    <w:rsid w:val="00D06356"/>
    <w:rsid w:val="00D06A3D"/>
    <w:rsid w:val="00D07014"/>
    <w:rsid w:val="00D07D45"/>
    <w:rsid w:val="00D07FB4"/>
    <w:rsid w:val="00D10A62"/>
    <w:rsid w:val="00D10F34"/>
    <w:rsid w:val="00D1115C"/>
    <w:rsid w:val="00D11779"/>
    <w:rsid w:val="00D119DD"/>
    <w:rsid w:val="00D12407"/>
    <w:rsid w:val="00D12735"/>
    <w:rsid w:val="00D12E21"/>
    <w:rsid w:val="00D1308D"/>
    <w:rsid w:val="00D1339D"/>
    <w:rsid w:val="00D14016"/>
    <w:rsid w:val="00D141C1"/>
    <w:rsid w:val="00D141D1"/>
    <w:rsid w:val="00D144AD"/>
    <w:rsid w:val="00D14613"/>
    <w:rsid w:val="00D1469E"/>
    <w:rsid w:val="00D15054"/>
    <w:rsid w:val="00D1537F"/>
    <w:rsid w:val="00D15860"/>
    <w:rsid w:val="00D15B7C"/>
    <w:rsid w:val="00D15E74"/>
    <w:rsid w:val="00D168D2"/>
    <w:rsid w:val="00D17530"/>
    <w:rsid w:val="00D21118"/>
    <w:rsid w:val="00D21F3F"/>
    <w:rsid w:val="00D21F5C"/>
    <w:rsid w:val="00D22D13"/>
    <w:rsid w:val="00D22EE1"/>
    <w:rsid w:val="00D22F26"/>
    <w:rsid w:val="00D23372"/>
    <w:rsid w:val="00D23478"/>
    <w:rsid w:val="00D239F4"/>
    <w:rsid w:val="00D23DD0"/>
    <w:rsid w:val="00D24DE9"/>
    <w:rsid w:val="00D24E8F"/>
    <w:rsid w:val="00D258C2"/>
    <w:rsid w:val="00D26085"/>
    <w:rsid w:val="00D26D9F"/>
    <w:rsid w:val="00D27374"/>
    <w:rsid w:val="00D27D21"/>
    <w:rsid w:val="00D27FE1"/>
    <w:rsid w:val="00D302BE"/>
    <w:rsid w:val="00D30E6D"/>
    <w:rsid w:val="00D30F6D"/>
    <w:rsid w:val="00D30FD4"/>
    <w:rsid w:val="00D31F80"/>
    <w:rsid w:val="00D32BDA"/>
    <w:rsid w:val="00D32FA3"/>
    <w:rsid w:val="00D330D5"/>
    <w:rsid w:val="00D33377"/>
    <w:rsid w:val="00D3340B"/>
    <w:rsid w:val="00D3385F"/>
    <w:rsid w:val="00D33DB5"/>
    <w:rsid w:val="00D3480F"/>
    <w:rsid w:val="00D3485B"/>
    <w:rsid w:val="00D34A08"/>
    <w:rsid w:val="00D34BB7"/>
    <w:rsid w:val="00D35151"/>
    <w:rsid w:val="00D35919"/>
    <w:rsid w:val="00D35A78"/>
    <w:rsid w:val="00D36032"/>
    <w:rsid w:val="00D4040C"/>
    <w:rsid w:val="00D40C5C"/>
    <w:rsid w:val="00D40DF4"/>
    <w:rsid w:val="00D4112F"/>
    <w:rsid w:val="00D412C0"/>
    <w:rsid w:val="00D414E3"/>
    <w:rsid w:val="00D4164F"/>
    <w:rsid w:val="00D418A6"/>
    <w:rsid w:val="00D41A1C"/>
    <w:rsid w:val="00D41CFA"/>
    <w:rsid w:val="00D422AA"/>
    <w:rsid w:val="00D422E9"/>
    <w:rsid w:val="00D42D48"/>
    <w:rsid w:val="00D43022"/>
    <w:rsid w:val="00D4394B"/>
    <w:rsid w:val="00D43A6E"/>
    <w:rsid w:val="00D43C48"/>
    <w:rsid w:val="00D44188"/>
    <w:rsid w:val="00D445B6"/>
    <w:rsid w:val="00D44BC6"/>
    <w:rsid w:val="00D44F43"/>
    <w:rsid w:val="00D44FF2"/>
    <w:rsid w:val="00D458AA"/>
    <w:rsid w:val="00D45BA4"/>
    <w:rsid w:val="00D46350"/>
    <w:rsid w:val="00D46A22"/>
    <w:rsid w:val="00D46E0F"/>
    <w:rsid w:val="00D4710C"/>
    <w:rsid w:val="00D4766C"/>
    <w:rsid w:val="00D50727"/>
    <w:rsid w:val="00D50786"/>
    <w:rsid w:val="00D508F0"/>
    <w:rsid w:val="00D50997"/>
    <w:rsid w:val="00D50E2D"/>
    <w:rsid w:val="00D50F63"/>
    <w:rsid w:val="00D50F93"/>
    <w:rsid w:val="00D51361"/>
    <w:rsid w:val="00D52168"/>
    <w:rsid w:val="00D52E8C"/>
    <w:rsid w:val="00D530A8"/>
    <w:rsid w:val="00D5445F"/>
    <w:rsid w:val="00D546B2"/>
    <w:rsid w:val="00D54EAE"/>
    <w:rsid w:val="00D5698A"/>
    <w:rsid w:val="00D56A16"/>
    <w:rsid w:val="00D577CA"/>
    <w:rsid w:val="00D57D82"/>
    <w:rsid w:val="00D6040E"/>
    <w:rsid w:val="00D6071C"/>
    <w:rsid w:val="00D61940"/>
    <w:rsid w:val="00D61C49"/>
    <w:rsid w:val="00D61DCE"/>
    <w:rsid w:val="00D61ECB"/>
    <w:rsid w:val="00D62425"/>
    <w:rsid w:val="00D629BC"/>
    <w:rsid w:val="00D63D38"/>
    <w:rsid w:val="00D63D96"/>
    <w:rsid w:val="00D643EF"/>
    <w:rsid w:val="00D64585"/>
    <w:rsid w:val="00D651CF"/>
    <w:rsid w:val="00D65A5B"/>
    <w:rsid w:val="00D65B36"/>
    <w:rsid w:val="00D66C94"/>
    <w:rsid w:val="00D67978"/>
    <w:rsid w:val="00D67C25"/>
    <w:rsid w:val="00D7013F"/>
    <w:rsid w:val="00D70E1F"/>
    <w:rsid w:val="00D71724"/>
    <w:rsid w:val="00D7253D"/>
    <w:rsid w:val="00D72E2C"/>
    <w:rsid w:val="00D73383"/>
    <w:rsid w:val="00D73816"/>
    <w:rsid w:val="00D7382E"/>
    <w:rsid w:val="00D741F7"/>
    <w:rsid w:val="00D74691"/>
    <w:rsid w:val="00D74F2C"/>
    <w:rsid w:val="00D750A8"/>
    <w:rsid w:val="00D76465"/>
    <w:rsid w:val="00D76510"/>
    <w:rsid w:val="00D765F2"/>
    <w:rsid w:val="00D76E6D"/>
    <w:rsid w:val="00D772F8"/>
    <w:rsid w:val="00D8074B"/>
    <w:rsid w:val="00D80AC5"/>
    <w:rsid w:val="00D80C12"/>
    <w:rsid w:val="00D82525"/>
    <w:rsid w:val="00D82F3A"/>
    <w:rsid w:val="00D8312E"/>
    <w:rsid w:val="00D8332A"/>
    <w:rsid w:val="00D8357C"/>
    <w:rsid w:val="00D8438D"/>
    <w:rsid w:val="00D84A80"/>
    <w:rsid w:val="00D84BBD"/>
    <w:rsid w:val="00D851E6"/>
    <w:rsid w:val="00D85DD3"/>
    <w:rsid w:val="00D866B2"/>
    <w:rsid w:val="00D874F9"/>
    <w:rsid w:val="00D87AAE"/>
    <w:rsid w:val="00D903E8"/>
    <w:rsid w:val="00D906B1"/>
    <w:rsid w:val="00D90853"/>
    <w:rsid w:val="00D91B44"/>
    <w:rsid w:val="00D91E15"/>
    <w:rsid w:val="00D91F2D"/>
    <w:rsid w:val="00D92147"/>
    <w:rsid w:val="00D92BF7"/>
    <w:rsid w:val="00D92D44"/>
    <w:rsid w:val="00D93F94"/>
    <w:rsid w:val="00D9523C"/>
    <w:rsid w:val="00D95CF7"/>
    <w:rsid w:val="00D9618B"/>
    <w:rsid w:val="00D9640F"/>
    <w:rsid w:val="00D965BB"/>
    <w:rsid w:val="00D97B23"/>
    <w:rsid w:val="00DA0609"/>
    <w:rsid w:val="00DA07C0"/>
    <w:rsid w:val="00DA0EBE"/>
    <w:rsid w:val="00DA2363"/>
    <w:rsid w:val="00DA26BC"/>
    <w:rsid w:val="00DA2B51"/>
    <w:rsid w:val="00DA2DFF"/>
    <w:rsid w:val="00DA39DA"/>
    <w:rsid w:val="00DA5014"/>
    <w:rsid w:val="00DA55DF"/>
    <w:rsid w:val="00DA55F1"/>
    <w:rsid w:val="00DA58DD"/>
    <w:rsid w:val="00DA6274"/>
    <w:rsid w:val="00DA6EF1"/>
    <w:rsid w:val="00DA7CD0"/>
    <w:rsid w:val="00DB06D2"/>
    <w:rsid w:val="00DB08BA"/>
    <w:rsid w:val="00DB0D8F"/>
    <w:rsid w:val="00DB1251"/>
    <w:rsid w:val="00DB30A0"/>
    <w:rsid w:val="00DB384C"/>
    <w:rsid w:val="00DB44A5"/>
    <w:rsid w:val="00DB46E1"/>
    <w:rsid w:val="00DB4CBE"/>
    <w:rsid w:val="00DB4D7D"/>
    <w:rsid w:val="00DB5D93"/>
    <w:rsid w:val="00DB5FFA"/>
    <w:rsid w:val="00DB60B1"/>
    <w:rsid w:val="00DB6F63"/>
    <w:rsid w:val="00DB736D"/>
    <w:rsid w:val="00DB7539"/>
    <w:rsid w:val="00DC08B8"/>
    <w:rsid w:val="00DC0F2E"/>
    <w:rsid w:val="00DC14CB"/>
    <w:rsid w:val="00DC1EDB"/>
    <w:rsid w:val="00DC2060"/>
    <w:rsid w:val="00DC23FE"/>
    <w:rsid w:val="00DC313F"/>
    <w:rsid w:val="00DC401D"/>
    <w:rsid w:val="00DC45A0"/>
    <w:rsid w:val="00DC47B7"/>
    <w:rsid w:val="00DC52D5"/>
    <w:rsid w:val="00DC5D30"/>
    <w:rsid w:val="00DC63B1"/>
    <w:rsid w:val="00DC66C0"/>
    <w:rsid w:val="00DC6C3E"/>
    <w:rsid w:val="00DC793B"/>
    <w:rsid w:val="00DC7B02"/>
    <w:rsid w:val="00DC7E61"/>
    <w:rsid w:val="00DD04E3"/>
    <w:rsid w:val="00DD195C"/>
    <w:rsid w:val="00DD1BA7"/>
    <w:rsid w:val="00DD21EF"/>
    <w:rsid w:val="00DD2898"/>
    <w:rsid w:val="00DD3584"/>
    <w:rsid w:val="00DD3AA5"/>
    <w:rsid w:val="00DD3ABB"/>
    <w:rsid w:val="00DD3E5D"/>
    <w:rsid w:val="00DD40A8"/>
    <w:rsid w:val="00DD42F7"/>
    <w:rsid w:val="00DD4526"/>
    <w:rsid w:val="00DD4892"/>
    <w:rsid w:val="00DD4B58"/>
    <w:rsid w:val="00DD50FD"/>
    <w:rsid w:val="00DD5F22"/>
    <w:rsid w:val="00DD6441"/>
    <w:rsid w:val="00DD68AB"/>
    <w:rsid w:val="00DD6D27"/>
    <w:rsid w:val="00DE0B4D"/>
    <w:rsid w:val="00DE0C99"/>
    <w:rsid w:val="00DE1497"/>
    <w:rsid w:val="00DE17B1"/>
    <w:rsid w:val="00DE17DC"/>
    <w:rsid w:val="00DE1DB9"/>
    <w:rsid w:val="00DE24E3"/>
    <w:rsid w:val="00DE270C"/>
    <w:rsid w:val="00DE2D57"/>
    <w:rsid w:val="00DE2E39"/>
    <w:rsid w:val="00DE323B"/>
    <w:rsid w:val="00DE3A0D"/>
    <w:rsid w:val="00DE3FDA"/>
    <w:rsid w:val="00DE488D"/>
    <w:rsid w:val="00DE537F"/>
    <w:rsid w:val="00DE5673"/>
    <w:rsid w:val="00DE601D"/>
    <w:rsid w:val="00DE6107"/>
    <w:rsid w:val="00DE6EF1"/>
    <w:rsid w:val="00DE7C05"/>
    <w:rsid w:val="00DE7E3E"/>
    <w:rsid w:val="00DF019D"/>
    <w:rsid w:val="00DF0E7C"/>
    <w:rsid w:val="00DF165B"/>
    <w:rsid w:val="00DF1793"/>
    <w:rsid w:val="00DF275B"/>
    <w:rsid w:val="00DF465A"/>
    <w:rsid w:val="00DF67BF"/>
    <w:rsid w:val="00DF6C16"/>
    <w:rsid w:val="00DF6FFE"/>
    <w:rsid w:val="00DF7037"/>
    <w:rsid w:val="00DF74F6"/>
    <w:rsid w:val="00DF7943"/>
    <w:rsid w:val="00E00115"/>
    <w:rsid w:val="00E00D1F"/>
    <w:rsid w:val="00E01CFD"/>
    <w:rsid w:val="00E02212"/>
    <w:rsid w:val="00E02822"/>
    <w:rsid w:val="00E02EDB"/>
    <w:rsid w:val="00E03332"/>
    <w:rsid w:val="00E03569"/>
    <w:rsid w:val="00E03E0D"/>
    <w:rsid w:val="00E041EF"/>
    <w:rsid w:val="00E04EE7"/>
    <w:rsid w:val="00E05429"/>
    <w:rsid w:val="00E07296"/>
    <w:rsid w:val="00E11778"/>
    <w:rsid w:val="00E119B2"/>
    <w:rsid w:val="00E11D53"/>
    <w:rsid w:val="00E11EE2"/>
    <w:rsid w:val="00E121EB"/>
    <w:rsid w:val="00E124BC"/>
    <w:rsid w:val="00E1251E"/>
    <w:rsid w:val="00E12DB1"/>
    <w:rsid w:val="00E1323B"/>
    <w:rsid w:val="00E1331B"/>
    <w:rsid w:val="00E13AB6"/>
    <w:rsid w:val="00E13E44"/>
    <w:rsid w:val="00E1401E"/>
    <w:rsid w:val="00E141AC"/>
    <w:rsid w:val="00E1571B"/>
    <w:rsid w:val="00E163CA"/>
    <w:rsid w:val="00E163F4"/>
    <w:rsid w:val="00E167A3"/>
    <w:rsid w:val="00E16F8E"/>
    <w:rsid w:val="00E17285"/>
    <w:rsid w:val="00E1736E"/>
    <w:rsid w:val="00E2070D"/>
    <w:rsid w:val="00E20B66"/>
    <w:rsid w:val="00E20B9A"/>
    <w:rsid w:val="00E21D18"/>
    <w:rsid w:val="00E22251"/>
    <w:rsid w:val="00E223E7"/>
    <w:rsid w:val="00E22ACD"/>
    <w:rsid w:val="00E22C8A"/>
    <w:rsid w:val="00E2313B"/>
    <w:rsid w:val="00E23A5B"/>
    <w:rsid w:val="00E24458"/>
    <w:rsid w:val="00E24D7E"/>
    <w:rsid w:val="00E25794"/>
    <w:rsid w:val="00E257A0"/>
    <w:rsid w:val="00E25AE2"/>
    <w:rsid w:val="00E25F1E"/>
    <w:rsid w:val="00E26251"/>
    <w:rsid w:val="00E265A6"/>
    <w:rsid w:val="00E270D3"/>
    <w:rsid w:val="00E27919"/>
    <w:rsid w:val="00E2796D"/>
    <w:rsid w:val="00E27A7A"/>
    <w:rsid w:val="00E317CD"/>
    <w:rsid w:val="00E31C62"/>
    <w:rsid w:val="00E32997"/>
    <w:rsid w:val="00E32B23"/>
    <w:rsid w:val="00E330E3"/>
    <w:rsid w:val="00E3447C"/>
    <w:rsid w:val="00E34708"/>
    <w:rsid w:val="00E3488A"/>
    <w:rsid w:val="00E34C55"/>
    <w:rsid w:val="00E351CB"/>
    <w:rsid w:val="00E352C2"/>
    <w:rsid w:val="00E352DA"/>
    <w:rsid w:val="00E35CEC"/>
    <w:rsid w:val="00E3686A"/>
    <w:rsid w:val="00E37214"/>
    <w:rsid w:val="00E3758B"/>
    <w:rsid w:val="00E376E8"/>
    <w:rsid w:val="00E41543"/>
    <w:rsid w:val="00E41672"/>
    <w:rsid w:val="00E419CA"/>
    <w:rsid w:val="00E41A1E"/>
    <w:rsid w:val="00E429AE"/>
    <w:rsid w:val="00E42B3A"/>
    <w:rsid w:val="00E42F0F"/>
    <w:rsid w:val="00E4301F"/>
    <w:rsid w:val="00E4343C"/>
    <w:rsid w:val="00E438C7"/>
    <w:rsid w:val="00E43B72"/>
    <w:rsid w:val="00E44801"/>
    <w:rsid w:val="00E4530C"/>
    <w:rsid w:val="00E45336"/>
    <w:rsid w:val="00E454F7"/>
    <w:rsid w:val="00E4581B"/>
    <w:rsid w:val="00E45A1D"/>
    <w:rsid w:val="00E4660D"/>
    <w:rsid w:val="00E466AD"/>
    <w:rsid w:val="00E4688C"/>
    <w:rsid w:val="00E469EE"/>
    <w:rsid w:val="00E46C26"/>
    <w:rsid w:val="00E47261"/>
    <w:rsid w:val="00E47F14"/>
    <w:rsid w:val="00E50170"/>
    <w:rsid w:val="00E51239"/>
    <w:rsid w:val="00E52EB3"/>
    <w:rsid w:val="00E5322D"/>
    <w:rsid w:val="00E532A6"/>
    <w:rsid w:val="00E533BB"/>
    <w:rsid w:val="00E53A2B"/>
    <w:rsid w:val="00E54015"/>
    <w:rsid w:val="00E541D5"/>
    <w:rsid w:val="00E54893"/>
    <w:rsid w:val="00E54C1F"/>
    <w:rsid w:val="00E54C8D"/>
    <w:rsid w:val="00E54DA3"/>
    <w:rsid w:val="00E55527"/>
    <w:rsid w:val="00E5575F"/>
    <w:rsid w:val="00E558A8"/>
    <w:rsid w:val="00E55B9E"/>
    <w:rsid w:val="00E5600A"/>
    <w:rsid w:val="00E56569"/>
    <w:rsid w:val="00E56DD2"/>
    <w:rsid w:val="00E57652"/>
    <w:rsid w:val="00E600EE"/>
    <w:rsid w:val="00E6045F"/>
    <w:rsid w:val="00E60938"/>
    <w:rsid w:val="00E61226"/>
    <w:rsid w:val="00E6153F"/>
    <w:rsid w:val="00E61ED1"/>
    <w:rsid w:val="00E621BA"/>
    <w:rsid w:val="00E636A8"/>
    <w:rsid w:val="00E63C78"/>
    <w:rsid w:val="00E64932"/>
    <w:rsid w:val="00E64A2F"/>
    <w:rsid w:val="00E65B20"/>
    <w:rsid w:val="00E65F02"/>
    <w:rsid w:val="00E668BB"/>
    <w:rsid w:val="00E66ECE"/>
    <w:rsid w:val="00E673A2"/>
    <w:rsid w:val="00E674ED"/>
    <w:rsid w:val="00E67B6B"/>
    <w:rsid w:val="00E7024E"/>
    <w:rsid w:val="00E71C53"/>
    <w:rsid w:val="00E71E16"/>
    <w:rsid w:val="00E71E47"/>
    <w:rsid w:val="00E73217"/>
    <w:rsid w:val="00E73393"/>
    <w:rsid w:val="00E73B05"/>
    <w:rsid w:val="00E740D5"/>
    <w:rsid w:val="00E74809"/>
    <w:rsid w:val="00E74D9F"/>
    <w:rsid w:val="00E750D1"/>
    <w:rsid w:val="00E7551B"/>
    <w:rsid w:val="00E75671"/>
    <w:rsid w:val="00E75923"/>
    <w:rsid w:val="00E75C3E"/>
    <w:rsid w:val="00E75CBD"/>
    <w:rsid w:val="00E77041"/>
    <w:rsid w:val="00E774A2"/>
    <w:rsid w:val="00E80AB3"/>
    <w:rsid w:val="00E82633"/>
    <w:rsid w:val="00E82B2B"/>
    <w:rsid w:val="00E8315B"/>
    <w:rsid w:val="00E83412"/>
    <w:rsid w:val="00E83555"/>
    <w:rsid w:val="00E84096"/>
    <w:rsid w:val="00E844A1"/>
    <w:rsid w:val="00E848E0"/>
    <w:rsid w:val="00E84ABE"/>
    <w:rsid w:val="00E8516C"/>
    <w:rsid w:val="00E85474"/>
    <w:rsid w:val="00E856D0"/>
    <w:rsid w:val="00E85C17"/>
    <w:rsid w:val="00E86008"/>
    <w:rsid w:val="00E86EBD"/>
    <w:rsid w:val="00E876B7"/>
    <w:rsid w:val="00E87723"/>
    <w:rsid w:val="00E8787A"/>
    <w:rsid w:val="00E87DB0"/>
    <w:rsid w:val="00E90944"/>
    <w:rsid w:val="00E90DD0"/>
    <w:rsid w:val="00E91130"/>
    <w:rsid w:val="00E92E10"/>
    <w:rsid w:val="00E93323"/>
    <w:rsid w:val="00E937BF"/>
    <w:rsid w:val="00E93809"/>
    <w:rsid w:val="00E93F15"/>
    <w:rsid w:val="00E9444F"/>
    <w:rsid w:val="00E94B73"/>
    <w:rsid w:val="00E94CBA"/>
    <w:rsid w:val="00E95061"/>
    <w:rsid w:val="00E950EC"/>
    <w:rsid w:val="00E95BE5"/>
    <w:rsid w:val="00E965CC"/>
    <w:rsid w:val="00E96ABB"/>
    <w:rsid w:val="00E970CB"/>
    <w:rsid w:val="00E970D9"/>
    <w:rsid w:val="00E97126"/>
    <w:rsid w:val="00E97896"/>
    <w:rsid w:val="00EA0F8A"/>
    <w:rsid w:val="00EA146E"/>
    <w:rsid w:val="00EA1797"/>
    <w:rsid w:val="00EA1994"/>
    <w:rsid w:val="00EA1AE2"/>
    <w:rsid w:val="00EA2188"/>
    <w:rsid w:val="00EA2227"/>
    <w:rsid w:val="00EA32D1"/>
    <w:rsid w:val="00EA3313"/>
    <w:rsid w:val="00EA47B7"/>
    <w:rsid w:val="00EA49F0"/>
    <w:rsid w:val="00EA4E33"/>
    <w:rsid w:val="00EA61AF"/>
    <w:rsid w:val="00EA69DB"/>
    <w:rsid w:val="00EA6C56"/>
    <w:rsid w:val="00EA7D83"/>
    <w:rsid w:val="00EB0325"/>
    <w:rsid w:val="00EB050C"/>
    <w:rsid w:val="00EB15BA"/>
    <w:rsid w:val="00EB1B4C"/>
    <w:rsid w:val="00EB2110"/>
    <w:rsid w:val="00EB2150"/>
    <w:rsid w:val="00EB2D2A"/>
    <w:rsid w:val="00EB31A6"/>
    <w:rsid w:val="00EB3511"/>
    <w:rsid w:val="00EB394E"/>
    <w:rsid w:val="00EB4C9C"/>
    <w:rsid w:val="00EB5504"/>
    <w:rsid w:val="00EB57CF"/>
    <w:rsid w:val="00EB58D5"/>
    <w:rsid w:val="00EB5DF4"/>
    <w:rsid w:val="00EB5FFA"/>
    <w:rsid w:val="00EB60FA"/>
    <w:rsid w:val="00EB6153"/>
    <w:rsid w:val="00EB61C9"/>
    <w:rsid w:val="00EB6E17"/>
    <w:rsid w:val="00EB7834"/>
    <w:rsid w:val="00EB79D3"/>
    <w:rsid w:val="00EC074D"/>
    <w:rsid w:val="00EC1389"/>
    <w:rsid w:val="00EC18CB"/>
    <w:rsid w:val="00EC27C2"/>
    <w:rsid w:val="00EC2E30"/>
    <w:rsid w:val="00EC2E6E"/>
    <w:rsid w:val="00EC3CCA"/>
    <w:rsid w:val="00EC3F4B"/>
    <w:rsid w:val="00EC417C"/>
    <w:rsid w:val="00EC4485"/>
    <w:rsid w:val="00EC51FA"/>
    <w:rsid w:val="00EC63A0"/>
    <w:rsid w:val="00EC75B4"/>
    <w:rsid w:val="00EC7EDF"/>
    <w:rsid w:val="00ED1282"/>
    <w:rsid w:val="00ED1676"/>
    <w:rsid w:val="00ED192A"/>
    <w:rsid w:val="00ED2459"/>
    <w:rsid w:val="00ED2636"/>
    <w:rsid w:val="00ED26A6"/>
    <w:rsid w:val="00ED5934"/>
    <w:rsid w:val="00ED6043"/>
    <w:rsid w:val="00ED669C"/>
    <w:rsid w:val="00ED7B63"/>
    <w:rsid w:val="00ED7E80"/>
    <w:rsid w:val="00EE014C"/>
    <w:rsid w:val="00EE0AE1"/>
    <w:rsid w:val="00EE0E72"/>
    <w:rsid w:val="00EE1BD5"/>
    <w:rsid w:val="00EE1F3D"/>
    <w:rsid w:val="00EE22A2"/>
    <w:rsid w:val="00EE26C4"/>
    <w:rsid w:val="00EE3578"/>
    <w:rsid w:val="00EE37CE"/>
    <w:rsid w:val="00EE3D2B"/>
    <w:rsid w:val="00EE3D48"/>
    <w:rsid w:val="00EE3FD7"/>
    <w:rsid w:val="00EE53EC"/>
    <w:rsid w:val="00EE54BC"/>
    <w:rsid w:val="00EE5A10"/>
    <w:rsid w:val="00EE62C6"/>
    <w:rsid w:val="00EE67C4"/>
    <w:rsid w:val="00EE694E"/>
    <w:rsid w:val="00EE6F69"/>
    <w:rsid w:val="00EE7372"/>
    <w:rsid w:val="00EE7C79"/>
    <w:rsid w:val="00EE7E21"/>
    <w:rsid w:val="00EF0C85"/>
    <w:rsid w:val="00EF155B"/>
    <w:rsid w:val="00EF1F7F"/>
    <w:rsid w:val="00EF1FD9"/>
    <w:rsid w:val="00EF2008"/>
    <w:rsid w:val="00EF25FD"/>
    <w:rsid w:val="00EF2F52"/>
    <w:rsid w:val="00EF3CB2"/>
    <w:rsid w:val="00EF3D8A"/>
    <w:rsid w:val="00EF3EC1"/>
    <w:rsid w:val="00EF4144"/>
    <w:rsid w:val="00EF4254"/>
    <w:rsid w:val="00EF455A"/>
    <w:rsid w:val="00EF5D0A"/>
    <w:rsid w:val="00EF5FCD"/>
    <w:rsid w:val="00EF6003"/>
    <w:rsid w:val="00EF60A8"/>
    <w:rsid w:val="00EF67E1"/>
    <w:rsid w:val="00EF6DB1"/>
    <w:rsid w:val="00EF754F"/>
    <w:rsid w:val="00EF7ACB"/>
    <w:rsid w:val="00F0066D"/>
    <w:rsid w:val="00F00691"/>
    <w:rsid w:val="00F007BF"/>
    <w:rsid w:val="00F00DBA"/>
    <w:rsid w:val="00F0298E"/>
    <w:rsid w:val="00F02C39"/>
    <w:rsid w:val="00F02FC3"/>
    <w:rsid w:val="00F03A68"/>
    <w:rsid w:val="00F044F2"/>
    <w:rsid w:val="00F049E2"/>
    <w:rsid w:val="00F053C4"/>
    <w:rsid w:val="00F06042"/>
    <w:rsid w:val="00F06217"/>
    <w:rsid w:val="00F066D3"/>
    <w:rsid w:val="00F066F9"/>
    <w:rsid w:val="00F0672F"/>
    <w:rsid w:val="00F06875"/>
    <w:rsid w:val="00F06A10"/>
    <w:rsid w:val="00F06A4A"/>
    <w:rsid w:val="00F0720C"/>
    <w:rsid w:val="00F07BDB"/>
    <w:rsid w:val="00F07FFA"/>
    <w:rsid w:val="00F10537"/>
    <w:rsid w:val="00F106C9"/>
    <w:rsid w:val="00F10CBA"/>
    <w:rsid w:val="00F10D12"/>
    <w:rsid w:val="00F10E3F"/>
    <w:rsid w:val="00F11B3D"/>
    <w:rsid w:val="00F11B66"/>
    <w:rsid w:val="00F123B8"/>
    <w:rsid w:val="00F12572"/>
    <w:rsid w:val="00F1260D"/>
    <w:rsid w:val="00F12700"/>
    <w:rsid w:val="00F12702"/>
    <w:rsid w:val="00F12990"/>
    <w:rsid w:val="00F12FAF"/>
    <w:rsid w:val="00F13CB3"/>
    <w:rsid w:val="00F149FF"/>
    <w:rsid w:val="00F155EE"/>
    <w:rsid w:val="00F15666"/>
    <w:rsid w:val="00F1572D"/>
    <w:rsid w:val="00F15876"/>
    <w:rsid w:val="00F15B0A"/>
    <w:rsid w:val="00F16793"/>
    <w:rsid w:val="00F16AF1"/>
    <w:rsid w:val="00F16C82"/>
    <w:rsid w:val="00F1706D"/>
    <w:rsid w:val="00F17591"/>
    <w:rsid w:val="00F17987"/>
    <w:rsid w:val="00F17C97"/>
    <w:rsid w:val="00F20DBA"/>
    <w:rsid w:val="00F2100A"/>
    <w:rsid w:val="00F23055"/>
    <w:rsid w:val="00F23382"/>
    <w:rsid w:val="00F234AB"/>
    <w:rsid w:val="00F23725"/>
    <w:rsid w:val="00F23AE0"/>
    <w:rsid w:val="00F241E7"/>
    <w:rsid w:val="00F242DE"/>
    <w:rsid w:val="00F247F2"/>
    <w:rsid w:val="00F2529A"/>
    <w:rsid w:val="00F260CB"/>
    <w:rsid w:val="00F26933"/>
    <w:rsid w:val="00F26ABF"/>
    <w:rsid w:val="00F26CD6"/>
    <w:rsid w:val="00F26F6B"/>
    <w:rsid w:val="00F27B86"/>
    <w:rsid w:val="00F27BFB"/>
    <w:rsid w:val="00F30CF7"/>
    <w:rsid w:val="00F31044"/>
    <w:rsid w:val="00F310AA"/>
    <w:rsid w:val="00F31534"/>
    <w:rsid w:val="00F31B35"/>
    <w:rsid w:val="00F32191"/>
    <w:rsid w:val="00F32262"/>
    <w:rsid w:val="00F3227B"/>
    <w:rsid w:val="00F32436"/>
    <w:rsid w:val="00F32694"/>
    <w:rsid w:val="00F3277A"/>
    <w:rsid w:val="00F327A6"/>
    <w:rsid w:val="00F329EB"/>
    <w:rsid w:val="00F3365E"/>
    <w:rsid w:val="00F3375C"/>
    <w:rsid w:val="00F33DC8"/>
    <w:rsid w:val="00F33F89"/>
    <w:rsid w:val="00F352D5"/>
    <w:rsid w:val="00F35C4A"/>
    <w:rsid w:val="00F3601B"/>
    <w:rsid w:val="00F3644B"/>
    <w:rsid w:val="00F364D8"/>
    <w:rsid w:val="00F37564"/>
    <w:rsid w:val="00F37DB5"/>
    <w:rsid w:val="00F40371"/>
    <w:rsid w:val="00F40EFC"/>
    <w:rsid w:val="00F410B0"/>
    <w:rsid w:val="00F4138C"/>
    <w:rsid w:val="00F4169B"/>
    <w:rsid w:val="00F42EF2"/>
    <w:rsid w:val="00F4344D"/>
    <w:rsid w:val="00F43589"/>
    <w:rsid w:val="00F4451B"/>
    <w:rsid w:val="00F453D1"/>
    <w:rsid w:val="00F4564C"/>
    <w:rsid w:val="00F461C1"/>
    <w:rsid w:val="00F4702A"/>
    <w:rsid w:val="00F47195"/>
    <w:rsid w:val="00F47539"/>
    <w:rsid w:val="00F50039"/>
    <w:rsid w:val="00F50309"/>
    <w:rsid w:val="00F515A9"/>
    <w:rsid w:val="00F516FF"/>
    <w:rsid w:val="00F52097"/>
    <w:rsid w:val="00F5231A"/>
    <w:rsid w:val="00F52404"/>
    <w:rsid w:val="00F5250B"/>
    <w:rsid w:val="00F52887"/>
    <w:rsid w:val="00F52A85"/>
    <w:rsid w:val="00F52D96"/>
    <w:rsid w:val="00F531C4"/>
    <w:rsid w:val="00F5369B"/>
    <w:rsid w:val="00F537B4"/>
    <w:rsid w:val="00F546E2"/>
    <w:rsid w:val="00F5495C"/>
    <w:rsid w:val="00F54D2B"/>
    <w:rsid w:val="00F54F39"/>
    <w:rsid w:val="00F55132"/>
    <w:rsid w:val="00F551D0"/>
    <w:rsid w:val="00F559C4"/>
    <w:rsid w:val="00F55C3E"/>
    <w:rsid w:val="00F55E3E"/>
    <w:rsid w:val="00F56120"/>
    <w:rsid w:val="00F56F17"/>
    <w:rsid w:val="00F57025"/>
    <w:rsid w:val="00F574AB"/>
    <w:rsid w:val="00F604D7"/>
    <w:rsid w:val="00F6079A"/>
    <w:rsid w:val="00F61AEC"/>
    <w:rsid w:val="00F62EB4"/>
    <w:rsid w:val="00F63F23"/>
    <w:rsid w:val="00F6421F"/>
    <w:rsid w:val="00F64466"/>
    <w:rsid w:val="00F65140"/>
    <w:rsid w:val="00F65201"/>
    <w:rsid w:val="00F671D3"/>
    <w:rsid w:val="00F67867"/>
    <w:rsid w:val="00F70544"/>
    <w:rsid w:val="00F705BC"/>
    <w:rsid w:val="00F7128D"/>
    <w:rsid w:val="00F7135A"/>
    <w:rsid w:val="00F720B6"/>
    <w:rsid w:val="00F7248C"/>
    <w:rsid w:val="00F72725"/>
    <w:rsid w:val="00F72746"/>
    <w:rsid w:val="00F72DC7"/>
    <w:rsid w:val="00F72E33"/>
    <w:rsid w:val="00F73BB2"/>
    <w:rsid w:val="00F73D88"/>
    <w:rsid w:val="00F741DF"/>
    <w:rsid w:val="00F74488"/>
    <w:rsid w:val="00F7484E"/>
    <w:rsid w:val="00F759D4"/>
    <w:rsid w:val="00F7662F"/>
    <w:rsid w:val="00F77444"/>
    <w:rsid w:val="00F77583"/>
    <w:rsid w:val="00F77C8E"/>
    <w:rsid w:val="00F8008A"/>
    <w:rsid w:val="00F8095D"/>
    <w:rsid w:val="00F80B9F"/>
    <w:rsid w:val="00F81032"/>
    <w:rsid w:val="00F818D0"/>
    <w:rsid w:val="00F82A7F"/>
    <w:rsid w:val="00F82ABF"/>
    <w:rsid w:val="00F83699"/>
    <w:rsid w:val="00F83787"/>
    <w:rsid w:val="00F83C24"/>
    <w:rsid w:val="00F83E56"/>
    <w:rsid w:val="00F84672"/>
    <w:rsid w:val="00F84A6D"/>
    <w:rsid w:val="00F84C49"/>
    <w:rsid w:val="00F851D1"/>
    <w:rsid w:val="00F8542E"/>
    <w:rsid w:val="00F862C9"/>
    <w:rsid w:val="00F864FE"/>
    <w:rsid w:val="00F865BE"/>
    <w:rsid w:val="00F865FA"/>
    <w:rsid w:val="00F876FD"/>
    <w:rsid w:val="00F87DAF"/>
    <w:rsid w:val="00F9017E"/>
    <w:rsid w:val="00F903FC"/>
    <w:rsid w:val="00F91D77"/>
    <w:rsid w:val="00F92389"/>
    <w:rsid w:val="00F929F0"/>
    <w:rsid w:val="00F937C7"/>
    <w:rsid w:val="00F93F27"/>
    <w:rsid w:val="00F945DE"/>
    <w:rsid w:val="00F9471C"/>
    <w:rsid w:val="00F947A8"/>
    <w:rsid w:val="00F9496E"/>
    <w:rsid w:val="00F95597"/>
    <w:rsid w:val="00F961B6"/>
    <w:rsid w:val="00F96AA8"/>
    <w:rsid w:val="00F9787F"/>
    <w:rsid w:val="00F97918"/>
    <w:rsid w:val="00F97EA4"/>
    <w:rsid w:val="00FA0752"/>
    <w:rsid w:val="00FA1E4A"/>
    <w:rsid w:val="00FA2904"/>
    <w:rsid w:val="00FA2997"/>
    <w:rsid w:val="00FA2F12"/>
    <w:rsid w:val="00FA3442"/>
    <w:rsid w:val="00FA42FB"/>
    <w:rsid w:val="00FA4463"/>
    <w:rsid w:val="00FA49DC"/>
    <w:rsid w:val="00FA4A0D"/>
    <w:rsid w:val="00FA5074"/>
    <w:rsid w:val="00FA53FE"/>
    <w:rsid w:val="00FA685B"/>
    <w:rsid w:val="00FA7796"/>
    <w:rsid w:val="00FB13A7"/>
    <w:rsid w:val="00FB13FC"/>
    <w:rsid w:val="00FB23ED"/>
    <w:rsid w:val="00FB38B7"/>
    <w:rsid w:val="00FB4719"/>
    <w:rsid w:val="00FB4D02"/>
    <w:rsid w:val="00FB5380"/>
    <w:rsid w:val="00FB6A82"/>
    <w:rsid w:val="00FB7594"/>
    <w:rsid w:val="00FB7888"/>
    <w:rsid w:val="00FB7FB6"/>
    <w:rsid w:val="00FC006A"/>
    <w:rsid w:val="00FC00CB"/>
    <w:rsid w:val="00FC0263"/>
    <w:rsid w:val="00FC06C9"/>
    <w:rsid w:val="00FC092B"/>
    <w:rsid w:val="00FC0973"/>
    <w:rsid w:val="00FC137B"/>
    <w:rsid w:val="00FC25A9"/>
    <w:rsid w:val="00FC2717"/>
    <w:rsid w:val="00FC4442"/>
    <w:rsid w:val="00FC4A36"/>
    <w:rsid w:val="00FC4D36"/>
    <w:rsid w:val="00FC50C0"/>
    <w:rsid w:val="00FC52C7"/>
    <w:rsid w:val="00FC5E2B"/>
    <w:rsid w:val="00FC5ED1"/>
    <w:rsid w:val="00FC6D19"/>
    <w:rsid w:val="00FC707D"/>
    <w:rsid w:val="00FC7080"/>
    <w:rsid w:val="00FC7D73"/>
    <w:rsid w:val="00FD0AAB"/>
    <w:rsid w:val="00FD0EE6"/>
    <w:rsid w:val="00FD157E"/>
    <w:rsid w:val="00FD1EDA"/>
    <w:rsid w:val="00FD21D2"/>
    <w:rsid w:val="00FD28A7"/>
    <w:rsid w:val="00FD30C8"/>
    <w:rsid w:val="00FD38B5"/>
    <w:rsid w:val="00FD40E5"/>
    <w:rsid w:val="00FD4598"/>
    <w:rsid w:val="00FD4818"/>
    <w:rsid w:val="00FD4AFF"/>
    <w:rsid w:val="00FD53CD"/>
    <w:rsid w:val="00FD630F"/>
    <w:rsid w:val="00FD633B"/>
    <w:rsid w:val="00FE0AED"/>
    <w:rsid w:val="00FE1B4A"/>
    <w:rsid w:val="00FE1C91"/>
    <w:rsid w:val="00FE246F"/>
    <w:rsid w:val="00FE2A0B"/>
    <w:rsid w:val="00FE2E7A"/>
    <w:rsid w:val="00FE2E97"/>
    <w:rsid w:val="00FE3A02"/>
    <w:rsid w:val="00FE40FB"/>
    <w:rsid w:val="00FE572D"/>
    <w:rsid w:val="00FE6295"/>
    <w:rsid w:val="00FE631B"/>
    <w:rsid w:val="00FE6818"/>
    <w:rsid w:val="00FE6FFD"/>
    <w:rsid w:val="00FE726F"/>
    <w:rsid w:val="00FE766A"/>
    <w:rsid w:val="00FE7CE4"/>
    <w:rsid w:val="00FF039C"/>
    <w:rsid w:val="00FF14FB"/>
    <w:rsid w:val="00FF1821"/>
    <w:rsid w:val="00FF2191"/>
    <w:rsid w:val="00FF2A7C"/>
    <w:rsid w:val="00FF2AAE"/>
    <w:rsid w:val="00FF3F09"/>
    <w:rsid w:val="00FF40A4"/>
    <w:rsid w:val="00FF43DA"/>
    <w:rsid w:val="00FF44A4"/>
    <w:rsid w:val="00FF4A75"/>
    <w:rsid w:val="00FF4BFE"/>
    <w:rsid w:val="00FF57D2"/>
    <w:rsid w:val="00FF5BC5"/>
    <w:rsid w:val="00FF61E7"/>
    <w:rsid w:val="00FF6602"/>
    <w:rsid w:val="00FF71DC"/>
    <w:rsid w:val="00FF78F1"/>
    <w:rsid w:val="00FF7AD6"/>
    <w:rsid w:val="00FF7C43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27124"/>
  <w15:chartTrackingRefBased/>
  <w15:docId w15:val="{17569DEE-3B34-4DCF-AC4E-5A9693FD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Nadpis2"/>
    <w:qFormat/>
    <w:rsid w:val="00322FE0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648"/>
    <w:pPr>
      <w:keepNext/>
      <w:keepLines/>
      <w:numPr>
        <w:numId w:val="61"/>
      </w:numPr>
      <w:spacing w:before="240" w:after="120" w:line="240" w:lineRule="auto"/>
      <w:jc w:val="center"/>
      <w:outlineLvl w:val="0"/>
    </w:pPr>
    <w:rPr>
      <w:rFonts w:ascii="Calibri" w:eastAsiaTheme="majorEastAsia" w:hAnsi="Calibri" w:cstheme="minorHAnsi"/>
      <w:b/>
      <w:sz w:val="26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3F4B"/>
    <w:pPr>
      <w:widowControl w:val="0"/>
      <w:numPr>
        <w:ilvl w:val="1"/>
        <w:numId w:val="61"/>
      </w:numPr>
      <w:tabs>
        <w:tab w:val="left" w:pos="6663"/>
      </w:tabs>
      <w:spacing w:before="80" w:after="0"/>
      <w:mirrorIndents/>
      <w:outlineLvl w:val="1"/>
    </w:pPr>
    <w:rPr>
      <w:rFonts w:eastAsiaTheme="majorEastAsia" w:cstheme="majorBidi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4397"/>
    <w:pPr>
      <w:keepNext/>
      <w:keepLines/>
      <w:numPr>
        <w:ilvl w:val="2"/>
        <w:numId w:val="12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4397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4397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4397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4397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4397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4397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Char">
    <w:name w:val="Základní Char"/>
    <w:basedOn w:val="Standardnpsmoodstavce"/>
    <w:link w:val="Zkladn"/>
    <w:locked/>
    <w:rsid w:val="009B4397"/>
    <w:rPr>
      <w:sz w:val="24"/>
      <w:lang w:eastAsia="cs-CZ"/>
    </w:rPr>
  </w:style>
  <w:style w:type="paragraph" w:customStyle="1" w:styleId="Zkladn">
    <w:name w:val="Základní"/>
    <w:basedOn w:val="Normln"/>
    <w:link w:val="ZkladnChar"/>
    <w:qFormat/>
    <w:rsid w:val="009B4397"/>
    <w:pPr>
      <w:spacing w:before="120" w:after="180" w:line="264" w:lineRule="auto"/>
    </w:pPr>
    <w:rPr>
      <w:lang w:eastAsia="cs-CZ"/>
    </w:rPr>
  </w:style>
  <w:style w:type="paragraph" w:customStyle="1" w:styleId="NormlnKZ">
    <w:name w:val="Normální KZ"/>
    <w:basedOn w:val="Normln"/>
    <w:rsid w:val="009B4397"/>
    <w:pPr>
      <w:spacing w:after="120" w:line="240" w:lineRule="auto"/>
      <w:ind w:firstLine="425"/>
    </w:pPr>
    <w:rPr>
      <w:rFonts w:ascii="Calibri Light" w:eastAsia="Times New Roman" w:hAnsi="Calibri Light" w:cs="Times New Roman"/>
      <w:color w:val="000000" w:themeColor="text1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E5648"/>
    <w:rPr>
      <w:rFonts w:ascii="Calibri" w:eastAsiaTheme="majorEastAsia" w:hAnsi="Calibri" w:cstheme="minorHAnsi"/>
      <w:b/>
      <w:sz w:val="26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EC3F4B"/>
    <w:rPr>
      <w:rFonts w:eastAsiaTheme="majorEastAsia" w:cstheme="majorBidi"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4397"/>
    <w:rPr>
      <w:rFonts w:eastAsiaTheme="majorEastAsia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439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439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4397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4397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43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43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B43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3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397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397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_muj,Nad,List Paragraph,2,Akapit z listą1,Bullet 1,Dot pt,F5 List Paragraph,Kolorowa lista — akcent 11,List Paragraph Char Char Char,List Paragraph à moi,List Paragraph1,List Paragraph11,Listaszerű bekezdés1,No Spacing1,lp1"/>
    <w:basedOn w:val="Normln"/>
    <w:link w:val="OdstavecseseznamemChar"/>
    <w:uiPriority w:val="34"/>
    <w:qFormat/>
    <w:rsid w:val="004A2415"/>
    <w:pPr>
      <w:ind w:left="720"/>
      <w:contextualSpacing/>
    </w:pPr>
  </w:style>
  <w:style w:type="paragraph" w:styleId="Textpoznpodarou">
    <w:name w:val="footnote text"/>
    <w:aliases w:val="Schriftart: 9 pt,Schriftart: 10 pt,Schriftart: 8 pt,Footnote Text Char Char,Fußnote,single space,FOOTNOTES,fn,Char Char Char Char,Footnote Text Char1,Schriftart: 9 pt Char,Schriftart: 10 pt Char,Schriftart: 8 pt Char,Char,Char Char1"/>
    <w:basedOn w:val="Normln"/>
    <w:link w:val="TextpoznpodarouChar"/>
    <w:uiPriority w:val="99"/>
    <w:unhideWhenUsed/>
    <w:qFormat/>
    <w:rsid w:val="004A241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1,Schriftart: 10 pt Char1,Schriftart: 8 pt Char1,Footnote Text Char Char Char,Fußnote Char,single space Char,FOOTNOTES Char,fn Char,Char Char Char Char Char,Footnote Text Char1 Char,Char Char"/>
    <w:basedOn w:val="Standardnpsmoodstavce"/>
    <w:link w:val="Textpoznpodarou"/>
    <w:uiPriority w:val="99"/>
    <w:qFormat/>
    <w:rsid w:val="004A2415"/>
    <w:rPr>
      <w:rFonts w:eastAsia="Times New Roman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,Times 10 Point,Exposant 3 Point,R"/>
    <w:basedOn w:val="Standardnpsmoodstavce"/>
    <w:link w:val="4GChar"/>
    <w:uiPriority w:val="99"/>
    <w:unhideWhenUsed/>
    <w:qFormat/>
    <w:rsid w:val="004A2415"/>
    <w:rPr>
      <w:sz w:val="24"/>
      <w:vertAlign w:val="superscript"/>
    </w:rPr>
  </w:style>
  <w:style w:type="paragraph" w:customStyle="1" w:styleId="4GChar">
    <w:name w:val="4_G Char"/>
    <w:aliases w:val="Footnote Reference1 Char,Footnotes refss Char,ftref Char,BVI fnr Char,BVI fnr Car Car Char,BVI fnr Car Char,BVI fnr Car Car Car Car Char,BVI fnr Char Car Car Car Char,4_G,Footnote Reference1,Footnotes refss,ftref,BVI fnr Car Car"/>
    <w:basedOn w:val="Normln"/>
    <w:link w:val="Znakapoznpodarou"/>
    <w:uiPriority w:val="99"/>
    <w:rsid w:val="004A2415"/>
    <w:pPr>
      <w:spacing w:line="240" w:lineRule="exact"/>
    </w:pPr>
    <w:rPr>
      <w:vertAlign w:val="superscript"/>
    </w:rPr>
  </w:style>
  <w:style w:type="character" w:customStyle="1" w:styleId="OdstavecseseznamemChar">
    <w:name w:val="Odstavec se seznamem Char"/>
    <w:aliases w:val="Odstavec_muj Char,Nad Char,List Paragraph Char,2 Char,Akapit z listą1 Char,Bullet 1 Char,Dot pt Char,F5 List Paragraph Char,Kolorowa lista — akcent 11 Char,List Paragraph Char Char Char Char,List Paragraph à moi Char,lp1 Char"/>
    <w:basedOn w:val="Standardnpsmoodstavce"/>
    <w:link w:val="Odstavecseseznamem"/>
    <w:uiPriority w:val="34"/>
    <w:qFormat/>
    <w:rsid w:val="004A2415"/>
  </w:style>
  <w:style w:type="paragraph" w:styleId="Titulek">
    <w:name w:val="caption"/>
    <w:basedOn w:val="Normln"/>
    <w:next w:val="Normln"/>
    <w:uiPriority w:val="35"/>
    <w:unhideWhenUsed/>
    <w:qFormat/>
    <w:rsid w:val="004A2415"/>
    <w:pPr>
      <w:spacing w:after="200"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</w:rPr>
  </w:style>
  <w:style w:type="paragraph" w:customStyle="1" w:styleId="KP-normlntext">
    <w:name w:val="KP-normální text"/>
    <w:basedOn w:val="Odstavecseseznamem"/>
    <w:qFormat/>
    <w:rsid w:val="004A2415"/>
    <w:pPr>
      <w:numPr>
        <w:ilvl w:val="1"/>
        <w:numId w:val="3"/>
      </w:numPr>
      <w:spacing w:after="120" w:line="240" w:lineRule="auto"/>
      <w:contextualSpacing w:val="0"/>
    </w:pPr>
    <w:rPr>
      <w:rFonts w:asciiTheme="majorHAnsi" w:eastAsia="Times New Roman" w:hAnsiTheme="majorHAnsi" w:cstheme="majorHAnsi"/>
      <w:color w:val="000000" w:themeColor="text1"/>
      <w:szCs w:val="24"/>
      <w:lang w:eastAsia="cs-CZ"/>
    </w:rPr>
  </w:style>
  <w:style w:type="paragraph" w:customStyle="1" w:styleId="Textodstavce">
    <w:name w:val="Text odstavce"/>
    <w:basedOn w:val="Normln"/>
    <w:qFormat/>
    <w:rsid w:val="004A2415"/>
    <w:pPr>
      <w:spacing w:after="120" w:line="240" w:lineRule="auto"/>
    </w:pPr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4A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415"/>
    <w:rPr>
      <w:sz w:val="24"/>
    </w:rPr>
  </w:style>
  <w:style w:type="paragraph" w:customStyle="1" w:styleId="Odrkypuntky">
    <w:name w:val="Odrážky puntíky"/>
    <w:basedOn w:val="Normln"/>
    <w:rsid w:val="004A2415"/>
    <w:pPr>
      <w:numPr>
        <w:numId w:val="7"/>
      </w:num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Bezmezer">
    <w:name w:val="No Spacing"/>
    <w:link w:val="BezmezerChar"/>
    <w:uiPriority w:val="1"/>
    <w:qFormat/>
    <w:rsid w:val="004A2415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A2415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5F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8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87A"/>
    <w:rPr>
      <w:b/>
      <w:bCs/>
      <w:sz w:val="20"/>
      <w:szCs w:val="20"/>
    </w:rPr>
  </w:style>
  <w:style w:type="character" w:customStyle="1" w:styleId="ui-provider">
    <w:name w:val="ui-provider"/>
    <w:basedOn w:val="Standardnpsmoodstavce"/>
    <w:rsid w:val="004A239F"/>
  </w:style>
  <w:style w:type="paragraph" w:customStyle="1" w:styleId="KPsvazany">
    <w:name w:val="KP_svazany"/>
    <w:basedOn w:val="Normln"/>
    <w:next w:val="Normln"/>
    <w:rsid w:val="0075113D"/>
    <w:pPr>
      <w:keepNext/>
      <w:spacing w:before="160" w:after="0" w:line="276" w:lineRule="auto"/>
      <w:ind w:firstLine="720"/>
    </w:pPr>
    <w:rPr>
      <w:rFonts w:ascii="Calibri" w:eastAsia="Times New Roman" w:hAnsi="Calibri" w:cs="Times New Roman"/>
      <w:color w:val="000000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B155A8"/>
    <w:rPr>
      <w:i/>
      <w:iCs/>
      <w:color w:val="auto"/>
      <w:bdr w:val="none" w:sz="0" w:space="0" w:color="auto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3A6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3A63"/>
    <w:rPr>
      <w:i/>
      <w:iCs/>
      <w:color w:val="4472C4" w:themeColor="accent1"/>
      <w:sz w:val="24"/>
    </w:rPr>
  </w:style>
  <w:style w:type="paragraph" w:styleId="Revize">
    <w:name w:val="Revision"/>
    <w:hidden/>
    <w:uiPriority w:val="99"/>
    <w:semiHidden/>
    <w:rsid w:val="00090BCB"/>
    <w:pPr>
      <w:spacing w:after="0" w:line="240" w:lineRule="auto"/>
    </w:pPr>
    <w:rPr>
      <w:sz w:val="24"/>
    </w:rPr>
  </w:style>
  <w:style w:type="paragraph" w:customStyle="1" w:styleId="Titulekzdroj">
    <w:name w:val="Titulek zdroj"/>
    <w:basedOn w:val="Normln"/>
    <w:rsid w:val="006D628D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styleId="Hypertextovodkaz">
    <w:name w:val="Hyperlink"/>
    <w:basedOn w:val="Standardnpsmoodstavce"/>
    <w:uiPriority w:val="99"/>
    <w:rsid w:val="00C80DBE"/>
    <w:rPr>
      <w:color w:val="0000FF"/>
      <w:u w:val="single"/>
    </w:rPr>
  </w:style>
  <w:style w:type="table" w:styleId="Mkatabulky">
    <w:name w:val="Table Grid"/>
    <w:aliases w:val="SGS Table Basic 1,CV table"/>
    <w:basedOn w:val="Normlntabulka"/>
    <w:uiPriority w:val="39"/>
    <w:rsid w:val="005632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I">
    <w:name w:val="Styl I."/>
    <w:basedOn w:val="Odstavecseseznamem"/>
    <w:qFormat/>
    <w:rsid w:val="00B60765"/>
    <w:pPr>
      <w:numPr>
        <w:numId w:val="18"/>
      </w:numPr>
      <w:spacing w:before="120" w:after="240" w:line="240" w:lineRule="auto"/>
      <w:contextualSpacing w:val="0"/>
    </w:pPr>
    <w:rPr>
      <w:rFonts w:ascii="Arial" w:eastAsia="Calibri" w:hAnsi="Arial" w:cs="Arial"/>
      <w:sz w:val="22"/>
    </w:rPr>
  </w:style>
  <w:style w:type="paragraph" w:customStyle="1" w:styleId="Stylaa">
    <w:name w:val="Styl aa)"/>
    <w:basedOn w:val="Odstavecseseznamem"/>
    <w:qFormat/>
    <w:rsid w:val="00B60765"/>
    <w:pPr>
      <w:numPr>
        <w:ilvl w:val="3"/>
        <w:numId w:val="18"/>
      </w:numPr>
      <w:tabs>
        <w:tab w:val="num" w:pos="360"/>
      </w:tabs>
      <w:spacing w:before="120" w:after="240" w:line="240" w:lineRule="auto"/>
      <w:ind w:left="357" w:hanging="357"/>
      <w:contextualSpacing w:val="0"/>
    </w:pPr>
    <w:rPr>
      <w:rFonts w:ascii="Arial" w:eastAsia="Calibri" w:hAnsi="Arial" w:cs="Arial"/>
      <w:sz w:val="22"/>
    </w:rPr>
  </w:style>
  <w:style w:type="paragraph" w:customStyle="1" w:styleId="Styla">
    <w:name w:val="Styl a)"/>
    <w:basedOn w:val="Odstavecseseznamem"/>
    <w:qFormat/>
    <w:rsid w:val="00B60765"/>
    <w:pPr>
      <w:numPr>
        <w:ilvl w:val="2"/>
        <w:numId w:val="18"/>
      </w:numPr>
      <w:tabs>
        <w:tab w:val="num" w:pos="360"/>
      </w:tabs>
      <w:spacing w:before="120" w:after="240" w:line="240" w:lineRule="auto"/>
      <w:ind w:left="357" w:hanging="357"/>
      <w:contextualSpacing w:val="0"/>
    </w:pPr>
    <w:rPr>
      <w:rFonts w:ascii="Arial" w:eastAsia="Calibri" w:hAnsi="Arial" w:cs="Arial"/>
      <w:sz w:val="22"/>
    </w:rPr>
  </w:style>
  <w:style w:type="character" w:customStyle="1" w:styleId="Styl1Char">
    <w:name w:val="Styl   1. Char"/>
    <w:link w:val="Styl1"/>
    <w:locked/>
    <w:rsid w:val="00B60765"/>
    <w:rPr>
      <w:rFonts w:ascii="Arial" w:eastAsia="Calibri" w:hAnsi="Arial" w:cs="Arial"/>
    </w:rPr>
  </w:style>
  <w:style w:type="paragraph" w:customStyle="1" w:styleId="Styl1">
    <w:name w:val="Styl   1."/>
    <w:basedOn w:val="Normln"/>
    <w:link w:val="Styl1Char"/>
    <w:qFormat/>
    <w:rsid w:val="00B60765"/>
    <w:pPr>
      <w:numPr>
        <w:numId w:val="19"/>
      </w:numPr>
      <w:spacing w:before="120" w:after="240" w:line="240" w:lineRule="auto"/>
    </w:pPr>
    <w:rPr>
      <w:rFonts w:ascii="Arial" w:eastAsia="Calibri" w:hAnsi="Arial" w:cs="Arial"/>
      <w:sz w:val="22"/>
    </w:rPr>
  </w:style>
  <w:style w:type="numbering" w:customStyle="1" w:styleId="StylI-aa">
    <w:name w:val="Styl I-aa)"/>
    <w:uiPriority w:val="99"/>
    <w:rsid w:val="00B60765"/>
    <w:pPr>
      <w:numPr>
        <w:numId w:val="18"/>
      </w:numPr>
    </w:pPr>
  </w:style>
  <w:style w:type="paragraph" w:styleId="Nadpisobsahu">
    <w:name w:val="TOC Heading"/>
    <w:basedOn w:val="Nadpis1"/>
    <w:next w:val="Normln"/>
    <w:uiPriority w:val="39"/>
    <w:unhideWhenUsed/>
    <w:qFormat/>
    <w:rsid w:val="00AD652E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 w:cstheme="majorBidi"/>
      <w:b w:val="0"/>
      <w:color w:val="2F5496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862AFC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862AFC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62AFC"/>
    <w:pPr>
      <w:spacing w:after="100"/>
      <w:ind w:left="440"/>
      <w:jc w:val="left"/>
    </w:pPr>
    <w:rPr>
      <w:rFonts w:eastAsiaTheme="minorEastAsia"/>
      <w:sz w:val="22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862AFC"/>
    <w:pPr>
      <w:spacing w:after="100"/>
      <w:ind w:left="660"/>
      <w:jc w:val="left"/>
    </w:pPr>
    <w:rPr>
      <w:rFonts w:eastAsiaTheme="minorEastAsia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862AFC"/>
    <w:pPr>
      <w:spacing w:after="100"/>
      <w:ind w:left="880"/>
      <w:jc w:val="left"/>
    </w:pPr>
    <w:rPr>
      <w:rFonts w:eastAsiaTheme="minorEastAsia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862AFC"/>
    <w:pPr>
      <w:spacing w:after="100"/>
      <w:ind w:left="1100"/>
      <w:jc w:val="left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862AFC"/>
    <w:pPr>
      <w:spacing w:after="100"/>
      <w:ind w:left="1320"/>
      <w:jc w:val="left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862AFC"/>
    <w:pPr>
      <w:spacing w:after="100"/>
      <w:ind w:left="1540"/>
      <w:jc w:val="left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862AFC"/>
    <w:pPr>
      <w:spacing w:after="100"/>
      <w:ind w:left="1760"/>
      <w:jc w:val="left"/>
    </w:pPr>
    <w:rPr>
      <w:rFonts w:eastAsiaTheme="minorEastAsia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62AFC"/>
    <w:rPr>
      <w:color w:val="605E5C"/>
      <w:shd w:val="clear" w:color="auto" w:fill="E1DFDD"/>
    </w:rPr>
  </w:style>
  <w:style w:type="paragraph" w:customStyle="1" w:styleId="slovan">
    <w:name w:val="číslovaný"/>
    <w:basedOn w:val="Normln"/>
    <w:link w:val="slovanChar"/>
    <w:qFormat/>
    <w:rsid w:val="002F1F2A"/>
    <w:pPr>
      <w:spacing w:line="240" w:lineRule="auto"/>
      <w:ind w:left="57" w:hanging="471"/>
    </w:pPr>
  </w:style>
  <w:style w:type="character" w:customStyle="1" w:styleId="slovanChar">
    <w:name w:val="číslovaný Char"/>
    <w:basedOn w:val="Standardnpsmoodstavce"/>
    <w:link w:val="slovan"/>
    <w:rsid w:val="002F1F2A"/>
    <w:rPr>
      <w:sz w:val="24"/>
    </w:rPr>
  </w:style>
  <w:style w:type="paragraph" w:customStyle="1" w:styleId="Styl1-1">
    <w:name w:val="Styl1 - 1."/>
    <w:basedOn w:val="Normln"/>
    <w:link w:val="Styl1-1Char"/>
    <w:qFormat/>
    <w:rsid w:val="00867AD8"/>
    <w:pPr>
      <w:numPr>
        <w:numId w:val="51"/>
      </w:numPr>
      <w:overflowPunct w:val="0"/>
      <w:autoSpaceDE w:val="0"/>
      <w:autoSpaceDN w:val="0"/>
      <w:adjustRightInd w:val="0"/>
      <w:spacing w:before="120" w:after="240" w:line="240" w:lineRule="auto"/>
      <w:ind w:left="357" w:hanging="357"/>
      <w:textAlignment w:val="baseline"/>
    </w:pPr>
    <w:rPr>
      <w:rFonts w:ascii="Arial" w:eastAsia="Times New Roman" w:hAnsi="Arial" w:cs="Arial"/>
      <w:sz w:val="22"/>
      <w:lang w:eastAsia="cs-CZ"/>
    </w:rPr>
  </w:style>
  <w:style w:type="character" w:customStyle="1" w:styleId="Styl1-1Char">
    <w:name w:val="Styl1 - 1. Char"/>
    <w:link w:val="Styl1-1"/>
    <w:rsid w:val="00867AD8"/>
    <w:rPr>
      <w:rFonts w:ascii="Arial" w:eastAsia="Times New Roman" w:hAnsi="Arial" w:cs="Arial"/>
      <w:lang w:eastAsia="cs-CZ"/>
    </w:rPr>
  </w:style>
  <w:style w:type="character" w:customStyle="1" w:styleId="A1">
    <w:name w:val="A1"/>
    <w:uiPriority w:val="99"/>
    <w:rsid w:val="00A1576C"/>
    <w:rPr>
      <w:color w:val="000000"/>
      <w:sz w:val="28"/>
      <w:szCs w:val="28"/>
    </w:rPr>
  </w:style>
  <w:style w:type="character" w:customStyle="1" w:styleId="sr-only">
    <w:name w:val="sr-only"/>
    <w:basedOn w:val="Standardnpsmoodstavce"/>
    <w:rsid w:val="001C0B79"/>
  </w:style>
  <w:style w:type="character" w:styleId="Sledovanodkaz">
    <w:name w:val="FollowedHyperlink"/>
    <w:basedOn w:val="Standardnpsmoodstavce"/>
    <w:uiPriority w:val="99"/>
    <w:semiHidden/>
    <w:unhideWhenUsed/>
    <w:rsid w:val="00EC75B4"/>
    <w:rPr>
      <w:color w:val="954F72" w:themeColor="followedHyperlink"/>
      <w:u w:val="single"/>
    </w:rPr>
  </w:style>
  <w:style w:type="paragraph" w:customStyle="1" w:styleId="Styl1-kapitola">
    <w:name w:val="Styl1-kapitola"/>
    <w:basedOn w:val="Odstavecseseznamem"/>
    <w:link w:val="Styl1-kapitolaChar"/>
    <w:qFormat/>
    <w:rsid w:val="00213DD9"/>
    <w:pPr>
      <w:numPr>
        <w:numId w:val="84"/>
      </w:num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Cs w:val="24"/>
      <w:u w:val="single"/>
    </w:rPr>
  </w:style>
  <w:style w:type="paragraph" w:customStyle="1" w:styleId="Styl1-podkapitola">
    <w:name w:val="Styl1-podkapitola"/>
    <w:basedOn w:val="Normln"/>
    <w:qFormat/>
    <w:rsid w:val="00213DD9"/>
    <w:pPr>
      <w:numPr>
        <w:ilvl w:val="1"/>
        <w:numId w:val="84"/>
      </w:numPr>
      <w:autoSpaceDE w:val="0"/>
      <w:autoSpaceDN w:val="0"/>
      <w:adjustRightInd w:val="0"/>
      <w:spacing w:after="0" w:line="240" w:lineRule="auto"/>
    </w:pPr>
    <w:rPr>
      <w:rFonts w:eastAsia="Times New Roman" w:cstheme="minorHAnsi"/>
      <w:b/>
      <w:szCs w:val="24"/>
    </w:rPr>
  </w:style>
  <w:style w:type="character" w:customStyle="1" w:styleId="Styl1-kapitolaChar">
    <w:name w:val="Styl1-kapitola Char"/>
    <w:basedOn w:val="Standardnpsmoodstavce"/>
    <w:link w:val="Styl1-kapitola"/>
    <w:rsid w:val="00213DD9"/>
    <w:rPr>
      <w:rFonts w:ascii="Calibri" w:eastAsia="Times New Roman" w:hAnsi="Calibri" w:cs="Times New Roman"/>
      <w:b/>
      <w:sz w:val="24"/>
      <w:szCs w:val="24"/>
      <w:u w:val="single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uiPriority w:val="99"/>
    <w:rsid w:val="00271329"/>
    <w:pPr>
      <w:spacing w:line="240" w:lineRule="exact"/>
    </w:pPr>
    <w:rPr>
      <w:kern w:val="2"/>
      <w:szCs w:val="24"/>
      <w:vertAlign w:val="superscript"/>
      <w14:ligatures w14:val="standardContextual"/>
    </w:rPr>
  </w:style>
  <w:style w:type="table" w:customStyle="1" w:styleId="CVtable1">
    <w:name w:val="CV table1"/>
    <w:basedOn w:val="Normlntabulka"/>
    <w:next w:val="Mkatabulky"/>
    <w:uiPriority w:val="39"/>
    <w:rsid w:val="005A1AC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8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83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03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37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1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9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1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0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4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5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8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8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9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0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2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6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2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4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17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85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nku.gov.cz/scripts/detail.php?id=15555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nku.gov.cz/scripts/detail.php?id=15555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nku.gov.cz/scripts/detail.php?id=15555" TargetMode="External"/><Relationship Id="rId25" Type="http://schemas.openxmlformats.org/officeDocument/2006/relationships/hyperlink" Target="http://www.cistadoprava.c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cistadoprava.cz/registrace-vsech-cistych-vozidel-v-cr-dle-nap-c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07/relationships/hdphoto" Target="media/hdphoto1.wdp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4.png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yperlink" Target="https://alternative-fuels-observatory.ec.europa.e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https://nku.gov.cz/scripts/detail.php?id=15555" TargetMode="Externa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istadoprava.cz/registrace-novych-osobnich-vozidel-v-cr/" TargetMode="External"/><Relationship Id="rId2" Type="http://schemas.openxmlformats.org/officeDocument/2006/relationships/hyperlink" Target="https://nku.gov.cz/scripts/detail.php?id=15555" TargetMode="External"/><Relationship Id="rId1" Type="http://schemas.openxmlformats.org/officeDocument/2006/relationships/hyperlink" Target="https://nku.gov.cz/scripts/detail.php?id=15555" TargetMode="External"/><Relationship Id="rId4" Type="http://schemas.openxmlformats.org/officeDocument/2006/relationships/hyperlink" Target="https://www.cistadoprava.cz/registrace-novych-osobnich-vozidel-v-cr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D65D1-7C10-4BAF-AAED-BF57EB2E4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62403-CA49-414C-A959-0E3C77535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B47B2A-49A1-461E-B275-0D7F74FD4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88A5C8B-27D0-4943-BB99-93B04ABF0D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a5ca00b-f9dd-452b-9d75-e1b2c69cf7c5}" enabled="1" method="Privileged" siteId="{e6d36204-fa0a-4bdb-9b60-80f84bb090c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6789</Words>
  <Characters>38768</Characters>
  <Application>Microsoft Office Word</Application>
  <DocSecurity>0</DocSecurity>
  <Lines>1020</Lines>
  <Paragraphs>489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25/11 - Peněžní prostředky určené na rozvoj čisté mobility</vt:lpstr>
    </vt:vector>
  </TitlesOfParts>
  <Company>NKÚ</Company>
  <LinksUpToDate>false</LinksUpToDate>
  <CharactersWithSpaces>45068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25/11 - Peněžní prostředky určené na rozvoj čisté mobility</dc:title>
  <dc:subject>Kontrolní závěr z kontrolní akce NKÚ č. 25/11 - Peněžní prostředky určené na rozvoj čisté mobility</dc:subject>
  <dc:creator>Nejvyšší kontrolní úřad</dc:creator>
  <cp:keywords>kontrolní závěr; čistá mobilita; elektromobily</cp:keywords>
  <dc:description/>
  <cp:lastModifiedBy>KOKRDA Daniel</cp:lastModifiedBy>
  <cp:revision>4</cp:revision>
  <cp:lastPrinted>2026-06-15T11:48:00Z</cp:lastPrinted>
  <dcterms:created xsi:type="dcterms:W3CDTF">2026-06-15T11:48:00Z</dcterms:created>
  <dcterms:modified xsi:type="dcterms:W3CDTF">2026-06-15T11:49:00Z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  <property fmtid="{D5CDD505-2E9C-101B-9397-08002B2CF9AE}" pid="3" name="ClassificationContentMarkingFooterShapeIds">
    <vt:lpwstr>13ff88ff,d8014bd,78130183,3b5f5e21,7bf53bd3,593c50d7,22a32d10,78548be0,b757729,5fa7493f</vt:lpwstr>
  </property>
  <property fmtid="{D5CDD505-2E9C-101B-9397-08002B2CF9AE}" pid="4" name="ClassificationContentMarkingFooterFontProps">
    <vt:lpwstr>#828282,12,Aptos</vt:lpwstr>
  </property>
  <property fmtid="{D5CDD505-2E9C-101B-9397-08002B2CF9AE}" pid="5" name="ClassificationContentMarkingFooterText">
    <vt:lpwstr>TLP:CLEAR</vt:lpwstr>
  </property>
</Properties>
</file>