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8B5DE" w14:textId="77777777" w:rsidR="00D55F31" w:rsidRPr="005004CD" w:rsidRDefault="00D55F31" w:rsidP="005004CD">
      <w:pPr>
        <w:jc w:val="center"/>
        <w:rPr>
          <w:rFonts w:ascii="Calibri" w:hAnsi="Calibri" w:cs="Calibri"/>
          <w:color w:val="000000" w:themeColor="text1"/>
        </w:rPr>
      </w:pPr>
    </w:p>
    <w:p w14:paraId="2C15E94E" w14:textId="77777777" w:rsidR="00D55F31" w:rsidRPr="005004CD" w:rsidRDefault="00D55F31" w:rsidP="005004CD">
      <w:pPr>
        <w:jc w:val="center"/>
        <w:rPr>
          <w:rFonts w:ascii="Calibri" w:hAnsi="Calibri" w:cs="Calibri"/>
          <w:color w:val="000000" w:themeColor="text1"/>
        </w:rPr>
      </w:pPr>
    </w:p>
    <w:p w14:paraId="5FA41F24" w14:textId="77777777" w:rsidR="00D55F31" w:rsidRPr="005004CD" w:rsidRDefault="00D55F31" w:rsidP="005004CD">
      <w:pPr>
        <w:jc w:val="center"/>
        <w:rPr>
          <w:rFonts w:ascii="Calibri" w:hAnsi="Calibri" w:cs="Calibri"/>
          <w:color w:val="000000" w:themeColor="text1"/>
        </w:rPr>
      </w:pPr>
    </w:p>
    <w:p w14:paraId="364B7EB2" w14:textId="77777777" w:rsidR="00D55F31" w:rsidRPr="005004CD" w:rsidRDefault="0024693B" w:rsidP="005004CD">
      <w:pPr>
        <w:pStyle w:val="Nadpis8"/>
        <w:keepNext w:val="0"/>
        <w:rPr>
          <w:rFonts w:ascii="Calibri" w:hAnsi="Calibri" w:cs="Calibri"/>
          <w:color w:val="000000" w:themeColor="text1"/>
          <w:sz w:val="28"/>
          <w:szCs w:val="28"/>
        </w:rPr>
      </w:pPr>
      <w:bookmarkStart w:id="0" w:name="_GoBack"/>
      <w:r w:rsidRPr="005004CD">
        <w:rPr>
          <w:rFonts w:ascii="Calibri" w:hAnsi="Calibri" w:cs="Calibri"/>
          <w:color w:val="000000" w:themeColor="text1"/>
        </w:rPr>
        <w:drawing>
          <wp:anchor distT="0" distB="0" distL="114300" distR="114300" simplePos="0" relativeHeight="251658240" behindDoc="0" locked="0" layoutInCell="1" allowOverlap="1" wp14:anchorId="204D792C" wp14:editId="572E452E">
            <wp:simplePos x="0" y="0"/>
            <wp:positionH relativeFrom="column">
              <wp:align>center</wp:align>
            </wp:positionH>
            <wp:positionV relativeFrom="paragraph">
              <wp:posOffset>-516890</wp:posOffset>
            </wp:positionV>
            <wp:extent cx="791210" cy="559435"/>
            <wp:effectExtent l="0" t="0" r="8890" b="0"/>
            <wp:wrapTopAndBottom/>
            <wp:docPr id="2" name="obrázek 2" descr="NKU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KU_LOGO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91210" cy="559435"/>
                    </a:xfrm>
                    <a:prstGeom prst="rect">
                      <a:avLst/>
                    </a:prstGeom>
                    <a:noFill/>
                  </pic:spPr>
                </pic:pic>
              </a:graphicData>
            </a:graphic>
          </wp:anchor>
        </w:drawing>
      </w:r>
      <w:r w:rsidRPr="005004CD">
        <w:rPr>
          <w:rFonts w:ascii="Calibri" w:hAnsi="Calibri" w:cs="Calibri"/>
          <w:color w:val="000000" w:themeColor="text1"/>
          <w:sz w:val="28"/>
          <w:szCs w:val="28"/>
        </w:rPr>
        <w:t>Kontrolní závěr z kontrolní akce</w:t>
      </w:r>
    </w:p>
    <w:p w14:paraId="09484B9C" w14:textId="77777777" w:rsidR="00D55F31" w:rsidRPr="005004CD" w:rsidRDefault="00D55F31" w:rsidP="005004CD">
      <w:pPr>
        <w:jc w:val="center"/>
        <w:rPr>
          <w:rFonts w:ascii="Calibri" w:hAnsi="Calibri" w:cs="Calibri"/>
          <w:color w:val="000000" w:themeColor="text1"/>
          <w:sz w:val="28"/>
          <w:szCs w:val="28"/>
          <w:lang w:eastAsia="cs-CZ"/>
        </w:rPr>
      </w:pPr>
    </w:p>
    <w:p w14:paraId="35894417" w14:textId="77777777" w:rsidR="00D55F31" w:rsidRPr="005004CD" w:rsidRDefault="0024693B" w:rsidP="005004CD">
      <w:pPr>
        <w:pStyle w:val="Nadpis8"/>
        <w:keepNext w:val="0"/>
        <w:rPr>
          <w:rFonts w:ascii="Calibri" w:hAnsi="Calibri" w:cs="Calibri"/>
          <w:color w:val="000000" w:themeColor="text1"/>
          <w:sz w:val="28"/>
          <w:szCs w:val="28"/>
        </w:rPr>
      </w:pPr>
      <w:r w:rsidRPr="005004CD">
        <w:rPr>
          <w:rFonts w:ascii="Calibri" w:hAnsi="Calibri" w:cs="Calibri"/>
          <w:color w:val="000000" w:themeColor="text1"/>
          <w:sz w:val="28"/>
          <w:szCs w:val="28"/>
        </w:rPr>
        <w:t>16/04</w:t>
      </w:r>
    </w:p>
    <w:p w14:paraId="6E05E478" w14:textId="77777777" w:rsidR="00D55F31" w:rsidRPr="005004CD" w:rsidRDefault="00D55F31" w:rsidP="005004CD">
      <w:pPr>
        <w:jc w:val="center"/>
        <w:rPr>
          <w:rFonts w:ascii="Calibri" w:hAnsi="Calibri" w:cs="Calibri"/>
          <w:color w:val="000000" w:themeColor="text1"/>
          <w:sz w:val="28"/>
          <w:szCs w:val="28"/>
          <w:lang w:eastAsia="cs-CZ"/>
        </w:rPr>
      </w:pPr>
    </w:p>
    <w:p w14:paraId="731ABFAF" w14:textId="77777777" w:rsidR="00D55F31" w:rsidRPr="005004CD" w:rsidRDefault="0024693B" w:rsidP="005004CD">
      <w:pPr>
        <w:jc w:val="center"/>
        <w:rPr>
          <w:rFonts w:asciiTheme="minorHAnsi" w:hAnsiTheme="minorHAnsi" w:cstheme="minorHAnsi"/>
          <w:b/>
          <w:sz w:val="28"/>
          <w:szCs w:val="28"/>
        </w:rPr>
      </w:pPr>
      <w:r w:rsidRPr="005004CD">
        <w:rPr>
          <w:rFonts w:ascii="Calibri" w:hAnsi="Calibri" w:cs="Calibri"/>
          <w:b/>
          <w:color w:val="000000" w:themeColor="text1"/>
          <w:sz w:val="28"/>
          <w:szCs w:val="28"/>
        </w:rPr>
        <w:t>Majetek</w:t>
      </w:r>
      <w:r w:rsidRPr="005004CD">
        <w:rPr>
          <w:rFonts w:asciiTheme="minorHAnsi" w:hAnsiTheme="minorHAnsi" w:cstheme="minorHAnsi"/>
          <w:b/>
          <w:sz w:val="28"/>
          <w:szCs w:val="28"/>
        </w:rPr>
        <w:t>, s nímž mají právo hospodařit státní podniky v působnosti Ministerstva zdravotnictví</w:t>
      </w:r>
    </w:p>
    <w:bookmarkEnd w:id="0"/>
    <w:p w14:paraId="64389296" w14:textId="77777777" w:rsidR="00D55F31" w:rsidRDefault="00D55F31" w:rsidP="005004CD">
      <w:pPr>
        <w:jc w:val="both"/>
        <w:rPr>
          <w:rFonts w:asciiTheme="minorHAnsi" w:hAnsiTheme="minorHAnsi" w:cstheme="minorHAnsi"/>
          <w:b/>
          <w:color w:val="000000" w:themeColor="text1"/>
        </w:rPr>
      </w:pPr>
    </w:p>
    <w:p w14:paraId="695C61A0" w14:textId="77777777" w:rsidR="005004CD" w:rsidRPr="005004CD" w:rsidRDefault="005004CD" w:rsidP="005004CD">
      <w:pPr>
        <w:jc w:val="both"/>
        <w:rPr>
          <w:rFonts w:asciiTheme="minorHAnsi" w:hAnsiTheme="minorHAnsi" w:cstheme="minorHAnsi"/>
          <w:b/>
          <w:color w:val="000000" w:themeColor="text1"/>
        </w:rPr>
      </w:pPr>
    </w:p>
    <w:p w14:paraId="181A2EDD" w14:textId="77777777" w:rsidR="00D55F31" w:rsidRDefault="0024693B" w:rsidP="005004CD">
      <w:pPr>
        <w:jc w:val="both"/>
        <w:rPr>
          <w:rFonts w:asciiTheme="minorHAnsi" w:hAnsiTheme="minorHAnsi" w:cstheme="minorHAnsi"/>
          <w:color w:val="000000" w:themeColor="text1"/>
        </w:rPr>
      </w:pPr>
      <w:r w:rsidRPr="005004CD">
        <w:rPr>
          <w:rFonts w:asciiTheme="minorHAnsi" w:hAnsiTheme="minorHAnsi" w:cstheme="minorHAnsi"/>
          <w:color w:val="000000" w:themeColor="text1"/>
        </w:rPr>
        <w:t>Kontrolní akce byla zařazena do plánu kontrolní činnosti Nejvyššího kontrolního úřadu (dále také „NKÚ“) na rok 2016 pod číslem 16/04. Kontrolní akci řídil a kontrolní závěr vypracoval člen NKÚ JUDr. Ing. Jiří Kalivoda.</w:t>
      </w:r>
    </w:p>
    <w:p w14:paraId="3F8491CD" w14:textId="77777777" w:rsidR="005004CD" w:rsidRPr="005004CD" w:rsidRDefault="005004CD" w:rsidP="005004CD">
      <w:pPr>
        <w:jc w:val="both"/>
        <w:rPr>
          <w:rFonts w:asciiTheme="minorHAnsi" w:hAnsiTheme="minorHAnsi" w:cstheme="minorHAnsi"/>
          <w:b/>
          <w:bCs/>
          <w:color w:val="000000" w:themeColor="text1"/>
        </w:rPr>
      </w:pPr>
    </w:p>
    <w:p w14:paraId="5BDA442E" w14:textId="77777777" w:rsidR="00D55F31" w:rsidRDefault="0024693B" w:rsidP="005004CD">
      <w:pPr>
        <w:jc w:val="both"/>
        <w:rPr>
          <w:rFonts w:asciiTheme="minorHAnsi" w:hAnsiTheme="minorHAnsi" w:cstheme="minorHAnsi"/>
          <w:color w:val="000000" w:themeColor="text1"/>
        </w:rPr>
      </w:pPr>
      <w:r w:rsidRPr="005004CD">
        <w:rPr>
          <w:rFonts w:asciiTheme="minorHAnsi" w:hAnsiTheme="minorHAnsi" w:cstheme="minorHAnsi"/>
          <w:color w:val="000000" w:themeColor="text1"/>
        </w:rPr>
        <w:t xml:space="preserve">Cílem kontroly bylo prověřit </w:t>
      </w:r>
      <w:r w:rsidR="00782C8B" w:rsidRPr="005004CD">
        <w:rPr>
          <w:rFonts w:asciiTheme="minorHAnsi" w:hAnsiTheme="minorHAnsi" w:cstheme="minorHAnsi"/>
          <w:color w:val="000000" w:themeColor="text1"/>
        </w:rPr>
        <w:t xml:space="preserve">u </w:t>
      </w:r>
      <w:r w:rsidRPr="005004CD">
        <w:rPr>
          <w:rFonts w:asciiTheme="minorHAnsi" w:hAnsiTheme="minorHAnsi" w:cstheme="minorHAnsi"/>
          <w:color w:val="000000" w:themeColor="text1"/>
        </w:rPr>
        <w:t xml:space="preserve">vybraných státních podniků </w:t>
      </w:r>
      <w:r w:rsidR="00782C8B" w:rsidRPr="005004CD">
        <w:rPr>
          <w:rFonts w:asciiTheme="minorHAnsi" w:hAnsiTheme="minorHAnsi" w:cstheme="minorHAnsi"/>
          <w:color w:val="000000" w:themeColor="text1"/>
        </w:rPr>
        <w:t xml:space="preserve">hospodaření </w:t>
      </w:r>
      <w:r w:rsidRPr="005004CD">
        <w:rPr>
          <w:rFonts w:asciiTheme="minorHAnsi" w:hAnsiTheme="minorHAnsi" w:cstheme="minorHAnsi"/>
          <w:color w:val="000000" w:themeColor="text1"/>
        </w:rPr>
        <w:t>s majetkem státu a plnění povinností zakladatele státních podniků.</w:t>
      </w:r>
    </w:p>
    <w:p w14:paraId="5F768954" w14:textId="77777777" w:rsidR="005004CD" w:rsidRPr="005004CD" w:rsidRDefault="005004CD" w:rsidP="005004CD">
      <w:pPr>
        <w:jc w:val="both"/>
        <w:rPr>
          <w:rFonts w:asciiTheme="minorHAnsi" w:hAnsiTheme="minorHAnsi" w:cstheme="minorHAnsi"/>
          <w:color w:val="000000" w:themeColor="text1"/>
        </w:rPr>
      </w:pPr>
    </w:p>
    <w:p w14:paraId="617F3594" w14:textId="77777777" w:rsidR="00D55F31" w:rsidRDefault="0024693B" w:rsidP="005004CD">
      <w:pPr>
        <w:jc w:val="both"/>
        <w:rPr>
          <w:rFonts w:asciiTheme="minorHAnsi" w:hAnsiTheme="minorHAnsi" w:cstheme="minorHAnsi"/>
          <w:color w:val="000000" w:themeColor="text1"/>
        </w:rPr>
      </w:pPr>
      <w:r w:rsidRPr="005004CD">
        <w:rPr>
          <w:rFonts w:asciiTheme="minorHAnsi" w:hAnsiTheme="minorHAnsi" w:cstheme="minorHAnsi"/>
          <w:color w:val="000000" w:themeColor="text1"/>
        </w:rPr>
        <w:t>Kontrola byla provedena u kontrolovaných osob v době od ledna do srpna 2016. Kontrolovaným obdobím byly roky 2013 až 2015, v případě věcných souvislostí i období předchozí a období následující do 30. 6. 2016.</w:t>
      </w:r>
    </w:p>
    <w:p w14:paraId="68375557" w14:textId="77777777" w:rsidR="005004CD" w:rsidRPr="005004CD" w:rsidRDefault="005004CD" w:rsidP="005004CD">
      <w:pPr>
        <w:jc w:val="both"/>
        <w:rPr>
          <w:rFonts w:asciiTheme="minorHAnsi" w:hAnsiTheme="minorHAnsi" w:cstheme="minorHAnsi"/>
          <w:color w:val="000000" w:themeColor="text1"/>
        </w:rPr>
      </w:pPr>
    </w:p>
    <w:p w14:paraId="2DD1DDFF" w14:textId="77777777" w:rsidR="00D55F31" w:rsidRPr="005004CD" w:rsidRDefault="0024693B" w:rsidP="005004CD">
      <w:pPr>
        <w:jc w:val="both"/>
        <w:rPr>
          <w:rFonts w:asciiTheme="minorHAnsi" w:hAnsiTheme="minorHAnsi" w:cstheme="minorHAnsi"/>
          <w:color w:val="000000" w:themeColor="text1"/>
        </w:rPr>
      </w:pPr>
      <w:r w:rsidRPr="005004CD">
        <w:rPr>
          <w:rFonts w:asciiTheme="minorHAnsi" w:hAnsiTheme="minorHAnsi" w:cstheme="minorHAnsi"/>
          <w:color w:val="000000" w:themeColor="text1"/>
        </w:rPr>
        <w:t xml:space="preserve">Kontrolované osoby: </w:t>
      </w:r>
    </w:p>
    <w:p w14:paraId="673E4EFC" w14:textId="77777777" w:rsidR="00D55F31" w:rsidRPr="005004CD" w:rsidRDefault="0024693B" w:rsidP="005004CD">
      <w:pPr>
        <w:pStyle w:val="BodyText21"/>
        <w:overflowPunct/>
        <w:autoSpaceDE/>
        <w:autoSpaceDN/>
        <w:adjustRightInd/>
        <w:spacing w:after="0"/>
        <w:textAlignment w:val="auto"/>
        <w:rPr>
          <w:rFonts w:asciiTheme="minorHAnsi" w:hAnsiTheme="minorHAnsi" w:cstheme="minorHAnsi"/>
          <w:color w:val="000000" w:themeColor="text1"/>
          <w:szCs w:val="24"/>
          <w:lang w:eastAsia="en-US"/>
        </w:rPr>
      </w:pPr>
      <w:r w:rsidRPr="005004CD">
        <w:rPr>
          <w:rFonts w:asciiTheme="minorHAnsi" w:hAnsiTheme="minorHAnsi" w:cstheme="minorHAnsi"/>
          <w:color w:val="000000" w:themeColor="text1"/>
          <w:szCs w:val="24"/>
          <w:lang w:eastAsia="en-US"/>
        </w:rPr>
        <w:t>Ministerstvo zdravotnictví (dále také „</w:t>
      </w:r>
      <w:proofErr w:type="spellStart"/>
      <w:r w:rsidRPr="005004CD">
        <w:rPr>
          <w:rFonts w:asciiTheme="minorHAnsi" w:hAnsiTheme="minorHAnsi" w:cstheme="minorHAnsi"/>
          <w:color w:val="000000" w:themeColor="text1"/>
          <w:szCs w:val="24"/>
          <w:lang w:eastAsia="en-US"/>
        </w:rPr>
        <w:t>MZdr</w:t>
      </w:r>
      <w:proofErr w:type="spellEnd"/>
      <w:r w:rsidRPr="005004CD">
        <w:rPr>
          <w:rFonts w:asciiTheme="minorHAnsi" w:hAnsiTheme="minorHAnsi" w:cstheme="minorHAnsi"/>
          <w:color w:val="000000" w:themeColor="text1"/>
          <w:szCs w:val="24"/>
          <w:lang w:eastAsia="en-US"/>
        </w:rPr>
        <w:t>“);</w:t>
      </w:r>
    </w:p>
    <w:p w14:paraId="5C690119" w14:textId="77777777" w:rsidR="00D55F31" w:rsidRPr="005004CD" w:rsidRDefault="0024693B" w:rsidP="005004CD">
      <w:pPr>
        <w:autoSpaceDE w:val="0"/>
        <w:autoSpaceDN w:val="0"/>
        <w:adjustRightInd w:val="0"/>
        <w:jc w:val="both"/>
        <w:rPr>
          <w:rFonts w:asciiTheme="minorHAnsi" w:hAnsiTheme="minorHAnsi" w:cstheme="minorHAnsi"/>
          <w:color w:val="000000" w:themeColor="text1"/>
          <w:lang w:eastAsia="cs-CZ"/>
        </w:rPr>
      </w:pPr>
      <w:r w:rsidRPr="005004CD">
        <w:rPr>
          <w:rFonts w:asciiTheme="minorHAnsi" w:hAnsiTheme="minorHAnsi" w:cstheme="minorHAnsi"/>
          <w:bCs/>
          <w:color w:val="000000" w:themeColor="text1"/>
          <w:lang w:eastAsia="cs-CZ"/>
        </w:rPr>
        <w:t>BALMED Praha, státní podnik (</w:t>
      </w:r>
      <w:r w:rsidRPr="005004CD">
        <w:rPr>
          <w:rFonts w:asciiTheme="minorHAnsi" w:hAnsiTheme="minorHAnsi" w:cstheme="minorHAnsi"/>
          <w:color w:val="000000" w:themeColor="text1"/>
          <w:lang w:eastAsia="cs-CZ"/>
        </w:rPr>
        <w:t>dále také „BALMED Praha“);</w:t>
      </w:r>
    </w:p>
    <w:p w14:paraId="435BF6F8" w14:textId="77777777" w:rsidR="00D55F31" w:rsidRPr="005004CD" w:rsidRDefault="0024693B" w:rsidP="005004CD">
      <w:pPr>
        <w:autoSpaceDE w:val="0"/>
        <w:autoSpaceDN w:val="0"/>
        <w:adjustRightInd w:val="0"/>
        <w:jc w:val="both"/>
        <w:rPr>
          <w:rFonts w:asciiTheme="minorHAnsi" w:hAnsiTheme="minorHAnsi" w:cstheme="minorHAnsi"/>
          <w:color w:val="000000" w:themeColor="text1"/>
          <w:lang w:eastAsia="cs-CZ"/>
        </w:rPr>
      </w:pPr>
      <w:r w:rsidRPr="005004CD">
        <w:rPr>
          <w:rFonts w:asciiTheme="minorHAnsi" w:hAnsiTheme="minorHAnsi" w:cstheme="minorHAnsi"/>
          <w:bCs/>
          <w:color w:val="000000" w:themeColor="text1"/>
          <w:lang w:eastAsia="cs-CZ"/>
        </w:rPr>
        <w:t>Státní léčebné lázně Bludov, státní podnik</w:t>
      </w:r>
      <w:r w:rsidRPr="005004CD">
        <w:rPr>
          <w:rFonts w:asciiTheme="minorHAnsi" w:hAnsiTheme="minorHAnsi" w:cstheme="minorHAnsi"/>
          <w:color w:val="000000" w:themeColor="text1"/>
          <w:lang w:eastAsia="cs-CZ"/>
        </w:rPr>
        <w:t xml:space="preserve"> (dále také „SLL Bludov“);</w:t>
      </w:r>
    </w:p>
    <w:p w14:paraId="3A1E6E99" w14:textId="77777777" w:rsidR="00D55F31" w:rsidRPr="005004CD" w:rsidRDefault="0024693B" w:rsidP="005004CD">
      <w:pPr>
        <w:autoSpaceDE w:val="0"/>
        <w:autoSpaceDN w:val="0"/>
        <w:adjustRightInd w:val="0"/>
        <w:jc w:val="both"/>
        <w:rPr>
          <w:rFonts w:asciiTheme="minorHAnsi" w:hAnsiTheme="minorHAnsi" w:cstheme="minorHAnsi"/>
          <w:color w:val="000000" w:themeColor="text1"/>
          <w:lang w:eastAsia="cs-CZ"/>
        </w:rPr>
      </w:pPr>
      <w:r w:rsidRPr="005004CD">
        <w:rPr>
          <w:rFonts w:asciiTheme="minorHAnsi" w:hAnsiTheme="minorHAnsi" w:cstheme="minorHAnsi"/>
          <w:bCs/>
          <w:color w:val="000000" w:themeColor="text1"/>
          <w:lang w:eastAsia="cs-CZ"/>
        </w:rPr>
        <w:t>Státní léčebné lázně Janské Lázně, státní podnik</w:t>
      </w:r>
      <w:r w:rsidRPr="005004CD">
        <w:rPr>
          <w:rFonts w:asciiTheme="minorHAnsi" w:hAnsiTheme="minorHAnsi" w:cstheme="minorHAnsi"/>
          <w:color w:val="000000" w:themeColor="text1"/>
          <w:lang w:eastAsia="cs-CZ"/>
        </w:rPr>
        <w:t xml:space="preserve"> (dále také „SLL Janské Lázně“);</w:t>
      </w:r>
    </w:p>
    <w:p w14:paraId="3C85A9A4" w14:textId="236331D0" w:rsidR="00D55F31" w:rsidRPr="005004CD" w:rsidRDefault="0024693B" w:rsidP="005004CD">
      <w:pPr>
        <w:pStyle w:val="BodyText21"/>
        <w:overflowPunct/>
        <w:autoSpaceDE/>
        <w:autoSpaceDN/>
        <w:adjustRightInd/>
        <w:spacing w:after="0"/>
        <w:textAlignment w:val="auto"/>
        <w:rPr>
          <w:rFonts w:asciiTheme="minorHAnsi" w:hAnsiTheme="minorHAnsi" w:cstheme="minorHAnsi"/>
          <w:color w:val="000000" w:themeColor="text1"/>
          <w:szCs w:val="24"/>
          <w:lang w:eastAsia="en-US"/>
        </w:rPr>
      </w:pPr>
      <w:r w:rsidRPr="005004CD">
        <w:rPr>
          <w:rFonts w:asciiTheme="minorHAnsi" w:hAnsiTheme="minorHAnsi" w:cstheme="minorHAnsi"/>
          <w:bCs/>
          <w:color w:val="000000" w:themeColor="text1"/>
          <w:szCs w:val="24"/>
        </w:rPr>
        <w:t>Horské lázně Karlova Studánka, státní podnik (</w:t>
      </w:r>
      <w:r w:rsidRPr="005004CD">
        <w:rPr>
          <w:rFonts w:asciiTheme="minorHAnsi" w:hAnsiTheme="minorHAnsi" w:cstheme="minorHAnsi"/>
          <w:color w:val="000000" w:themeColor="text1"/>
          <w:szCs w:val="24"/>
        </w:rPr>
        <w:t>dále také „HL Karlova Studánka“)</w:t>
      </w:r>
      <w:r w:rsidR="00320AA4">
        <w:rPr>
          <w:rFonts w:asciiTheme="minorHAnsi" w:hAnsiTheme="minorHAnsi" w:cstheme="minorHAnsi"/>
          <w:color w:val="000000" w:themeColor="text1"/>
          <w:szCs w:val="24"/>
        </w:rPr>
        <w:t>.</w:t>
      </w:r>
    </w:p>
    <w:p w14:paraId="6EC9CC0C" w14:textId="77777777" w:rsidR="005004CD" w:rsidRDefault="005004CD" w:rsidP="005004CD">
      <w:pPr>
        <w:pStyle w:val="Zkladntext"/>
        <w:rPr>
          <w:rFonts w:asciiTheme="minorHAnsi" w:hAnsiTheme="minorHAnsi" w:cstheme="minorHAnsi"/>
          <w:b w:val="0"/>
          <w:color w:val="000000" w:themeColor="text1"/>
          <w:sz w:val="24"/>
          <w:szCs w:val="24"/>
        </w:rPr>
      </w:pPr>
    </w:p>
    <w:p w14:paraId="4EA5CF89" w14:textId="77777777" w:rsidR="00D55F31" w:rsidRPr="005004CD" w:rsidRDefault="0024693B" w:rsidP="005004CD">
      <w:pPr>
        <w:pStyle w:val="Zkladntext"/>
        <w:rPr>
          <w:rFonts w:asciiTheme="minorHAnsi" w:hAnsiTheme="minorHAnsi" w:cstheme="minorHAnsi"/>
          <w:b w:val="0"/>
          <w:bCs w:val="0"/>
          <w:color w:val="000000" w:themeColor="text1"/>
          <w:sz w:val="24"/>
          <w:szCs w:val="24"/>
        </w:rPr>
      </w:pPr>
      <w:r w:rsidRPr="005004CD">
        <w:rPr>
          <w:rFonts w:asciiTheme="minorHAnsi" w:hAnsiTheme="minorHAnsi" w:cstheme="minorHAnsi"/>
          <w:b w:val="0"/>
          <w:color w:val="000000" w:themeColor="text1"/>
          <w:sz w:val="24"/>
          <w:szCs w:val="24"/>
        </w:rPr>
        <w:t>Námitky</w:t>
      </w:r>
      <w:r w:rsidRPr="005004CD">
        <w:rPr>
          <w:rFonts w:asciiTheme="minorHAnsi" w:hAnsiTheme="minorHAnsi" w:cstheme="minorHAnsi"/>
          <w:b w:val="0"/>
          <w:bCs w:val="0"/>
          <w:color w:val="000000" w:themeColor="text1"/>
          <w:sz w:val="24"/>
          <w:szCs w:val="24"/>
        </w:rPr>
        <w:t xml:space="preserve"> proti kontrolnímu protokolu podalo </w:t>
      </w:r>
      <w:proofErr w:type="spellStart"/>
      <w:r w:rsidRPr="005004CD">
        <w:rPr>
          <w:rFonts w:asciiTheme="minorHAnsi" w:hAnsiTheme="minorHAnsi" w:cstheme="minorHAnsi"/>
          <w:b w:val="0"/>
          <w:bCs w:val="0"/>
          <w:color w:val="000000" w:themeColor="text1"/>
          <w:sz w:val="24"/>
          <w:szCs w:val="24"/>
        </w:rPr>
        <w:t>MZdr</w:t>
      </w:r>
      <w:proofErr w:type="spellEnd"/>
      <w:r w:rsidRPr="005004CD">
        <w:rPr>
          <w:rFonts w:asciiTheme="minorHAnsi" w:hAnsiTheme="minorHAnsi" w:cstheme="minorHAnsi"/>
          <w:b w:val="0"/>
          <w:bCs w:val="0"/>
          <w:color w:val="000000" w:themeColor="text1"/>
          <w:sz w:val="24"/>
          <w:szCs w:val="24"/>
        </w:rPr>
        <w:t xml:space="preserve">. Námitky byly vypořádány vedoucím skupiny kontrolujících rozhodnutím o námitkách. Odvolání proti rozhodnutí o námitkách, které podalo </w:t>
      </w:r>
      <w:proofErr w:type="spellStart"/>
      <w:r w:rsidRPr="005004CD">
        <w:rPr>
          <w:rFonts w:asciiTheme="minorHAnsi" w:hAnsiTheme="minorHAnsi" w:cstheme="minorHAnsi"/>
          <w:b w:val="0"/>
          <w:bCs w:val="0"/>
          <w:color w:val="000000" w:themeColor="text1"/>
          <w:sz w:val="24"/>
          <w:szCs w:val="24"/>
        </w:rPr>
        <w:t>MZdr</w:t>
      </w:r>
      <w:proofErr w:type="spellEnd"/>
      <w:r w:rsidRPr="005004CD">
        <w:rPr>
          <w:rFonts w:asciiTheme="minorHAnsi" w:hAnsiTheme="minorHAnsi" w:cstheme="minorHAnsi"/>
          <w:b w:val="0"/>
          <w:bCs w:val="0"/>
          <w:color w:val="000000" w:themeColor="text1"/>
          <w:sz w:val="24"/>
          <w:szCs w:val="24"/>
        </w:rPr>
        <w:t xml:space="preserve">, bylo vypořádáno </w:t>
      </w:r>
      <w:proofErr w:type="spellStart"/>
      <w:r w:rsidRPr="005004CD">
        <w:rPr>
          <w:rFonts w:asciiTheme="minorHAnsi" w:hAnsiTheme="minorHAnsi" w:cstheme="minorHAnsi"/>
          <w:b w:val="0"/>
          <w:bCs w:val="0"/>
          <w:color w:val="000000" w:themeColor="text1"/>
          <w:sz w:val="24"/>
          <w:szCs w:val="24"/>
        </w:rPr>
        <w:t>usnesním</w:t>
      </w:r>
      <w:proofErr w:type="spellEnd"/>
      <w:r w:rsidRPr="005004CD">
        <w:rPr>
          <w:rFonts w:asciiTheme="minorHAnsi" w:hAnsiTheme="minorHAnsi" w:cstheme="minorHAnsi"/>
          <w:b w:val="0"/>
          <w:bCs w:val="0"/>
          <w:color w:val="000000" w:themeColor="text1"/>
          <w:sz w:val="24"/>
          <w:szCs w:val="24"/>
        </w:rPr>
        <w:t xml:space="preserve"> Kolegia NKÚ.</w:t>
      </w:r>
    </w:p>
    <w:p w14:paraId="4A179941" w14:textId="77777777" w:rsidR="00D55F31" w:rsidRDefault="00D55F31" w:rsidP="005004CD">
      <w:pPr>
        <w:pStyle w:val="Zkladntext"/>
        <w:rPr>
          <w:rFonts w:asciiTheme="minorHAnsi" w:hAnsiTheme="minorHAnsi" w:cstheme="minorHAnsi"/>
          <w:b w:val="0"/>
          <w:bCs w:val="0"/>
          <w:color w:val="000000" w:themeColor="text1"/>
          <w:sz w:val="24"/>
          <w:szCs w:val="24"/>
        </w:rPr>
      </w:pPr>
    </w:p>
    <w:p w14:paraId="065F2E54" w14:textId="77777777" w:rsidR="005004CD" w:rsidRPr="005004CD" w:rsidRDefault="005004CD" w:rsidP="005004CD">
      <w:pPr>
        <w:pStyle w:val="Zkladntext"/>
        <w:rPr>
          <w:rFonts w:asciiTheme="minorHAnsi" w:hAnsiTheme="minorHAnsi" w:cstheme="minorHAnsi"/>
          <w:b w:val="0"/>
          <w:bCs w:val="0"/>
          <w:color w:val="000000" w:themeColor="text1"/>
          <w:sz w:val="24"/>
          <w:szCs w:val="24"/>
        </w:rPr>
      </w:pPr>
    </w:p>
    <w:p w14:paraId="0C810C95" w14:textId="10191FC9" w:rsidR="00D55F31" w:rsidRPr="005004CD" w:rsidRDefault="0024693B" w:rsidP="005004CD">
      <w:pPr>
        <w:pStyle w:val="Zkladntext"/>
        <w:rPr>
          <w:rFonts w:asciiTheme="minorHAnsi" w:hAnsiTheme="minorHAnsi" w:cstheme="minorHAnsi"/>
          <w:bCs w:val="0"/>
          <w:color w:val="000000" w:themeColor="text1"/>
          <w:sz w:val="24"/>
          <w:szCs w:val="24"/>
        </w:rPr>
      </w:pPr>
      <w:proofErr w:type="gramStart"/>
      <w:r w:rsidRPr="005004CD">
        <w:rPr>
          <w:rFonts w:asciiTheme="minorHAnsi" w:hAnsiTheme="minorHAnsi" w:cstheme="minorHAnsi"/>
          <w:i/>
          <w:iCs/>
          <w:color w:val="000000" w:themeColor="text1"/>
          <w:sz w:val="24"/>
          <w:szCs w:val="24"/>
        </w:rPr>
        <w:t>K o l e g i u m   N</w:t>
      </w:r>
      <w:r w:rsidR="00B9262D">
        <w:rPr>
          <w:rFonts w:asciiTheme="minorHAnsi" w:hAnsiTheme="minorHAnsi" w:cstheme="minorHAnsi"/>
          <w:i/>
          <w:iCs/>
          <w:color w:val="000000" w:themeColor="text1"/>
          <w:sz w:val="24"/>
          <w:szCs w:val="24"/>
        </w:rPr>
        <w:t xml:space="preserve"> </w:t>
      </w:r>
      <w:r w:rsidRPr="005004CD">
        <w:rPr>
          <w:rFonts w:asciiTheme="minorHAnsi" w:hAnsiTheme="minorHAnsi" w:cstheme="minorHAnsi"/>
          <w:i/>
          <w:iCs/>
          <w:color w:val="000000" w:themeColor="text1"/>
          <w:sz w:val="24"/>
          <w:szCs w:val="24"/>
        </w:rPr>
        <w:t>K</w:t>
      </w:r>
      <w:r w:rsidR="00B9262D">
        <w:rPr>
          <w:rFonts w:asciiTheme="minorHAnsi" w:hAnsiTheme="minorHAnsi" w:cstheme="minorHAnsi"/>
          <w:i/>
          <w:iCs/>
          <w:color w:val="000000" w:themeColor="text1"/>
          <w:sz w:val="24"/>
          <w:szCs w:val="24"/>
        </w:rPr>
        <w:t xml:space="preserve"> </w:t>
      </w:r>
      <w:r w:rsidRPr="005004CD">
        <w:rPr>
          <w:rFonts w:asciiTheme="minorHAnsi" w:hAnsiTheme="minorHAnsi" w:cstheme="minorHAnsi"/>
          <w:i/>
          <w:iCs/>
          <w:color w:val="000000" w:themeColor="text1"/>
          <w:sz w:val="24"/>
          <w:szCs w:val="24"/>
        </w:rPr>
        <w:t>Ú</w:t>
      </w:r>
      <w:r w:rsidRPr="005004CD">
        <w:rPr>
          <w:rFonts w:asciiTheme="minorHAnsi" w:hAnsiTheme="minorHAnsi" w:cstheme="minorHAnsi"/>
          <w:b w:val="0"/>
          <w:i/>
          <w:iCs/>
          <w:color w:val="000000" w:themeColor="text1"/>
          <w:sz w:val="24"/>
          <w:szCs w:val="24"/>
        </w:rPr>
        <w:t xml:space="preserve"> </w:t>
      </w:r>
      <w:r w:rsidRPr="005004CD">
        <w:rPr>
          <w:rFonts w:asciiTheme="minorHAnsi" w:hAnsiTheme="minorHAnsi" w:cstheme="minorHAnsi"/>
          <w:b w:val="0"/>
          <w:bCs w:val="0"/>
          <w:color w:val="000000" w:themeColor="text1"/>
          <w:sz w:val="24"/>
          <w:szCs w:val="24"/>
        </w:rPr>
        <w:t>na</w:t>
      </w:r>
      <w:proofErr w:type="gramEnd"/>
      <w:r w:rsidRPr="005004CD">
        <w:rPr>
          <w:rFonts w:asciiTheme="minorHAnsi" w:hAnsiTheme="minorHAnsi" w:cstheme="minorHAnsi"/>
          <w:b w:val="0"/>
          <w:bCs w:val="0"/>
          <w:color w:val="000000" w:themeColor="text1"/>
          <w:sz w:val="24"/>
          <w:szCs w:val="24"/>
        </w:rPr>
        <w:t xml:space="preserve"> svém </w:t>
      </w:r>
      <w:r w:rsidR="00F057A9" w:rsidRPr="005004CD">
        <w:rPr>
          <w:rFonts w:asciiTheme="minorHAnsi" w:hAnsiTheme="minorHAnsi" w:cstheme="minorHAnsi"/>
          <w:b w:val="0"/>
          <w:bCs w:val="0"/>
          <w:color w:val="000000" w:themeColor="text1"/>
          <w:sz w:val="24"/>
          <w:szCs w:val="24"/>
        </w:rPr>
        <w:t>XIII.</w:t>
      </w:r>
      <w:r w:rsidRPr="005004CD">
        <w:rPr>
          <w:rFonts w:asciiTheme="minorHAnsi" w:hAnsiTheme="minorHAnsi" w:cstheme="minorHAnsi"/>
          <w:b w:val="0"/>
          <w:bCs w:val="0"/>
          <w:color w:val="000000" w:themeColor="text1"/>
          <w:sz w:val="24"/>
          <w:szCs w:val="24"/>
        </w:rPr>
        <w:t xml:space="preserve"> jednání, které se konalo dne </w:t>
      </w:r>
      <w:r w:rsidR="00F057A9" w:rsidRPr="005004CD">
        <w:rPr>
          <w:rFonts w:asciiTheme="minorHAnsi" w:hAnsiTheme="minorHAnsi" w:cstheme="minorHAnsi"/>
          <w:b w:val="0"/>
          <w:bCs w:val="0"/>
          <w:color w:val="000000" w:themeColor="text1"/>
          <w:sz w:val="24"/>
          <w:szCs w:val="24"/>
        </w:rPr>
        <w:t>17. října</w:t>
      </w:r>
      <w:r w:rsidRPr="005004CD">
        <w:rPr>
          <w:rFonts w:asciiTheme="minorHAnsi" w:hAnsiTheme="minorHAnsi" w:cstheme="minorHAnsi"/>
          <w:b w:val="0"/>
          <w:bCs w:val="0"/>
          <w:color w:val="000000" w:themeColor="text1"/>
          <w:sz w:val="24"/>
          <w:szCs w:val="24"/>
        </w:rPr>
        <w:t xml:space="preserve"> 2016,</w:t>
      </w:r>
    </w:p>
    <w:p w14:paraId="4DCC6F38" w14:textId="77777777" w:rsidR="00D55F31" w:rsidRPr="005004CD" w:rsidRDefault="0024693B" w:rsidP="005004CD">
      <w:pPr>
        <w:jc w:val="both"/>
        <w:rPr>
          <w:rFonts w:asciiTheme="minorHAnsi" w:hAnsiTheme="minorHAnsi" w:cstheme="minorHAnsi"/>
          <w:color w:val="000000" w:themeColor="text1"/>
        </w:rPr>
      </w:pPr>
      <w:proofErr w:type="gramStart"/>
      <w:r w:rsidRPr="005004CD">
        <w:rPr>
          <w:rFonts w:asciiTheme="minorHAnsi" w:hAnsiTheme="minorHAnsi" w:cstheme="minorHAnsi"/>
          <w:b/>
          <w:bCs/>
          <w:i/>
          <w:iCs/>
          <w:color w:val="000000" w:themeColor="text1"/>
        </w:rPr>
        <w:t>s c h v á l i l o</w:t>
      </w:r>
      <w:r w:rsidRPr="005004CD">
        <w:rPr>
          <w:rFonts w:asciiTheme="minorHAnsi" w:hAnsiTheme="minorHAnsi" w:cstheme="minorHAnsi"/>
          <w:color w:val="000000" w:themeColor="text1"/>
        </w:rPr>
        <w:t xml:space="preserve">   usnesením č.</w:t>
      </w:r>
      <w:proofErr w:type="gramEnd"/>
      <w:r w:rsidRPr="005004CD">
        <w:rPr>
          <w:rFonts w:asciiTheme="minorHAnsi" w:hAnsiTheme="minorHAnsi" w:cstheme="minorHAnsi"/>
          <w:color w:val="000000" w:themeColor="text1"/>
        </w:rPr>
        <w:t xml:space="preserve"> </w:t>
      </w:r>
      <w:r w:rsidR="003A1E69" w:rsidRPr="005004CD">
        <w:rPr>
          <w:rFonts w:asciiTheme="minorHAnsi" w:hAnsiTheme="minorHAnsi" w:cstheme="minorHAnsi"/>
          <w:color w:val="000000" w:themeColor="text1"/>
        </w:rPr>
        <w:t>12</w:t>
      </w:r>
      <w:r w:rsidRPr="005004CD">
        <w:rPr>
          <w:rFonts w:asciiTheme="minorHAnsi" w:hAnsiTheme="minorHAnsi" w:cstheme="minorHAnsi"/>
          <w:color w:val="000000" w:themeColor="text1"/>
        </w:rPr>
        <w:t>/</w:t>
      </w:r>
      <w:r w:rsidR="00F057A9" w:rsidRPr="005004CD">
        <w:rPr>
          <w:rFonts w:asciiTheme="minorHAnsi" w:hAnsiTheme="minorHAnsi" w:cstheme="minorHAnsi"/>
          <w:color w:val="000000" w:themeColor="text1"/>
        </w:rPr>
        <w:t>XIII</w:t>
      </w:r>
      <w:r w:rsidRPr="005004CD">
        <w:rPr>
          <w:rFonts w:asciiTheme="minorHAnsi" w:hAnsiTheme="minorHAnsi" w:cstheme="minorHAnsi"/>
          <w:color w:val="000000" w:themeColor="text1"/>
        </w:rPr>
        <w:t>/2016</w:t>
      </w:r>
    </w:p>
    <w:p w14:paraId="36D38EF0" w14:textId="77777777" w:rsidR="00D55F31" w:rsidRPr="005004CD" w:rsidRDefault="0024693B" w:rsidP="005004CD">
      <w:pPr>
        <w:jc w:val="both"/>
        <w:rPr>
          <w:rFonts w:asciiTheme="minorHAnsi" w:hAnsiTheme="minorHAnsi" w:cstheme="minorHAnsi"/>
          <w:color w:val="000000" w:themeColor="text1"/>
        </w:rPr>
      </w:pPr>
      <w:proofErr w:type="gramStart"/>
      <w:r w:rsidRPr="005004CD">
        <w:rPr>
          <w:rFonts w:asciiTheme="minorHAnsi" w:hAnsiTheme="minorHAnsi" w:cstheme="minorHAnsi"/>
          <w:b/>
          <w:bCs/>
          <w:i/>
          <w:iCs/>
          <w:color w:val="000000" w:themeColor="text1"/>
        </w:rPr>
        <w:t>k o n t r o l n í   z á v ě r</w:t>
      </w:r>
      <w:r w:rsidRPr="005004CD">
        <w:rPr>
          <w:rFonts w:asciiTheme="minorHAnsi" w:hAnsiTheme="minorHAnsi" w:cstheme="minorHAnsi"/>
          <w:color w:val="000000" w:themeColor="text1"/>
        </w:rPr>
        <w:t xml:space="preserve">   v tomto</w:t>
      </w:r>
      <w:proofErr w:type="gramEnd"/>
      <w:r w:rsidRPr="005004CD">
        <w:rPr>
          <w:rFonts w:asciiTheme="minorHAnsi" w:hAnsiTheme="minorHAnsi" w:cstheme="minorHAnsi"/>
          <w:color w:val="000000" w:themeColor="text1"/>
        </w:rPr>
        <w:t xml:space="preserve"> znění:</w:t>
      </w:r>
    </w:p>
    <w:p w14:paraId="6D1F4DA0" w14:textId="77777777" w:rsidR="00D55F31" w:rsidRPr="005004CD" w:rsidRDefault="00D55F31" w:rsidP="005004CD">
      <w:pPr>
        <w:rPr>
          <w:rFonts w:asciiTheme="minorHAnsi" w:hAnsiTheme="minorHAnsi" w:cstheme="minorHAnsi"/>
          <w:b/>
          <w:noProof/>
          <w:color w:val="000000" w:themeColor="text1"/>
        </w:rPr>
      </w:pPr>
    </w:p>
    <w:p w14:paraId="64F1D50E" w14:textId="77777777" w:rsidR="00D55F31" w:rsidRPr="005004CD" w:rsidRDefault="0024693B" w:rsidP="005004CD">
      <w:pPr>
        <w:rPr>
          <w:rFonts w:asciiTheme="minorHAnsi" w:hAnsiTheme="minorHAnsi" w:cstheme="minorHAnsi"/>
          <w:b/>
          <w:noProof/>
          <w:color w:val="000000" w:themeColor="text1"/>
        </w:rPr>
      </w:pPr>
      <w:r w:rsidRPr="005004CD">
        <w:rPr>
          <w:rFonts w:asciiTheme="minorHAnsi" w:hAnsiTheme="minorHAnsi" w:cstheme="minorHAnsi"/>
          <w:color w:val="000000" w:themeColor="text1"/>
        </w:rPr>
        <w:br w:type="page"/>
      </w:r>
    </w:p>
    <w:p w14:paraId="2C876383" w14:textId="77777777" w:rsidR="00D55F31" w:rsidRPr="00AF4954" w:rsidRDefault="00632820" w:rsidP="00632820">
      <w:pPr>
        <w:pStyle w:val="Nadpis5"/>
        <w:keepNext w:val="0"/>
        <w:spacing w:before="0" w:after="0"/>
        <w:jc w:val="center"/>
        <w:rPr>
          <w:rFonts w:asciiTheme="minorHAnsi" w:hAnsiTheme="minorHAnsi" w:cstheme="minorHAnsi"/>
          <w:sz w:val="32"/>
          <w:szCs w:val="28"/>
        </w:rPr>
      </w:pPr>
      <w:r w:rsidRPr="00AF4954">
        <w:rPr>
          <w:rFonts w:asciiTheme="minorHAnsi" w:hAnsiTheme="minorHAnsi" w:cstheme="minorHAnsi"/>
          <w:color w:val="000000" w:themeColor="text1"/>
          <w:sz w:val="28"/>
        </w:rPr>
        <w:lastRenderedPageBreak/>
        <w:t xml:space="preserve">I. </w:t>
      </w:r>
      <w:r w:rsidR="0024693B" w:rsidRPr="00AF4954">
        <w:rPr>
          <w:rFonts w:asciiTheme="minorHAnsi" w:hAnsiTheme="minorHAnsi" w:cstheme="minorHAnsi"/>
          <w:color w:val="000000" w:themeColor="text1"/>
          <w:sz w:val="28"/>
        </w:rPr>
        <w:t>Úvod do kontrolované problematiky</w:t>
      </w:r>
    </w:p>
    <w:p w14:paraId="610161DE" w14:textId="77777777" w:rsidR="00632820" w:rsidRPr="00632820" w:rsidRDefault="00632820" w:rsidP="00632820">
      <w:pPr>
        <w:autoSpaceDE w:val="0"/>
        <w:autoSpaceDN w:val="0"/>
        <w:adjustRightInd w:val="0"/>
        <w:jc w:val="both"/>
        <w:rPr>
          <w:rFonts w:asciiTheme="minorHAnsi" w:hAnsiTheme="minorHAnsi" w:cstheme="minorHAnsi"/>
        </w:rPr>
      </w:pPr>
    </w:p>
    <w:p w14:paraId="0D147438" w14:textId="121DD6AD" w:rsidR="00D55F31" w:rsidRPr="00C9657D" w:rsidRDefault="0024693B" w:rsidP="00632820">
      <w:pPr>
        <w:autoSpaceDE w:val="0"/>
        <w:autoSpaceDN w:val="0"/>
        <w:adjustRightInd w:val="0"/>
        <w:jc w:val="both"/>
        <w:rPr>
          <w:rFonts w:asciiTheme="minorHAnsi" w:hAnsiTheme="minorHAnsi" w:cstheme="minorHAnsi"/>
          <w:lang w:eastAsia="cs-CZ"/>
        </w:rPr>
      </w:pPr>
      <w:r w:rsidRPr="00C9657D">
        <w:rPr>
          <w:rFonts w:asciiTheme="minorHAnsi" w:hAnsiTheme="minorHAnsi" w:cstheme="minorHAnsi"/>
          <w:b/>
        </w:rPr>
        <w:t xml:space="preserve">Ministerstvo zdravotnictví </w:t>
      </w:r>
      <w:r w:rsidRPr="00C9657D">
        <w:rPr>
          <w:rFonts w:asciiTheme="minorHAnsi" w:hAnsiTheme="minorHAnsi" w:cstheme="minorHAnsi"/>
        </w:rPr>
        <w:t>bylo zřízeno kompetenčním zákonem</w:t>
      </w:r>
      <w:r>
        <w:rPr>
          <w:rStyle w:val="Znakapoznpodarou"/>
          <w:rFonts w:asciiTheme="minorHAnsi" w:hAnsiTheme="minorHAnsi" w:cstheme="minorHAnsi"/>
        </w:rPr>
        <w:footnoteReference w:id="1"/>
      </w:r>
      <w:r w:rsidRPr="00C9657D">
        <w:rPr>
          <w:rFonts w:asciiTheme="minorHAnsi" w:hAnsiTheme="minorHAnsi" w:cstheme="minorHAnsi"/>
        </w:rPr>
        <w:t xml:space="preserve">. </w:t>
      </w:r>
      <w:r w:rsidRPr="00C9657D">
        <w:rPr>
          <w:rFonts w:asciiTheme="minorHAnsi" w:hAnsiTheme="minorHAnsi" w:cstheme="minorHAnsi"/>
          <w:lang w:eastAsia="cs-CZ"/>
        </w:rPr>
        <w:t>Je ústředním orgánem státní správy</w:t>
      </w:r>
      <w:r w:rsidR="009A0986">
        <w:rPr>
          <w:rFonts w:asciiTheme="minorHAnsi" w:hAnsiTheme="minorHAnsi" w:cstheme="minorHAnsi"/>
          <w:lang w:eastAsia="cs-CZ"/>
        </w:rPr>
        <w:t xml:space="preserve"> mj.</w:t>
      </w:r>
      <w:r w:rsidRPr="00C9657D">
        <w:rPr>
          <w:rFonts w:asciiTheme="minorHAnsi" w:hAnsiTheme="minorHAnsi" w:cstheme="minorHAnsi"/>
          <w:lang w:eastAsia="cs-CZ"/>
        </w:rPr>
        <w:t xml:space="preserve"> pro</w:t>
      </w:r>
      <w:r w:rsidR="008E2E01">
        <w:rPr>
          <w:rFonts w:asciiTheme="minorHAnsi" w:hAnsiTheme="minorHAnsi" w:cstheme="minorHAnsi"/>
          <w:lang w:eastAsia="cs-CZ"/>
        </w:rPr>
        <w:t xml:space="preserve"> </w:t>
      </w:r>
      <w:r w:rsidRPr="00C9657D">
        <w:rPr>
          <w:rFonts w:asciiTheme="minorHAnsi" w:hAnsiTheme="minorHAnsi" w:cstheme="minorHAnsi"/>
          <w:lang w:eastAsia="cs-CZ"/>
        </w:rPr>
        <w:t>zdravotní služby, poskytovatele zdravotních služeb v přímé řídící působnosti, ochranu a využívání přírodních léčivých zdrojů, přírodních léčebných lázní a zdrojů přírodních minerálních vod</w:t>
      </w:r>
      <w:r w:rsidR="006B5AE3">
        <w:rPr>
          <w:rFonts w:asciiTheme="minorHAnsi" w:hAnsiTheme="minorHAnsi" w:cstheme="minorHAnsi"/>
          <w:lang w:eastAsia="cs-CZ"/>
        </w:rPr>
        <w:t xml:space="preserve"> a</w:t>
      </w:r>
      <w:r w:rsidR="008E2E01">
        <w:rPr>
          <w:rFonts w:asciiTheme="minorHAnsi" w:hAnsiTheme="minorHAnsi" w:cstheme="minorHAnsi"/>
          <w:lang w:eastAsia="cs-CZ"/>
        </w:rPr>
        <w:t> pro</w:t>
      </w:r>
      <w:r w:rsidRPr="00C9657D">
        <w:rPr>
          <w:rFonts w:asciiTheme="minorHAnsi" w:hAnsiTheme="minorHAnsi" w:cstheme="minorHAnsi"/>
          <w:lang w:eastAsia="cs-CZ"/>
        </w:rPr>
        <w:t xml:space="preserve"> zdravotní pojištění</w:t>
      </w:r>
      <w:r w:rsidR="000E7CBF">
        <w:rPr>
          <w:rFonts w:asciiTheme="minorHAnsi" w:hAnsiTheme="minorHAnsi" w:cstheme="minorHAnsi"/>
          <w:lang w:eastAsia="cs-CZ"/>
        </w:rPr>
        <w:t>.</w:t>
      </w:r>
      <w:r w:rsidRPr="00C9657D">
        <w:rPr>
          <w:rFonts w:asciiTheme="minorHAnsi" w:hAnsiTheme="minorHAnsi" w:cstheme="minorHAnsi"/>
          <w:lang w:eastAsia="cs-CZ"/>
        </w:rPr>
        <w:t xml:space="preserve"> </w:t>
      </w:r>
    </w:p>
    <w:p w14:paraId="64BB3167" w14:textId="77777777" w:rsidR="00632820" w:rsidRDefault="00632820" w:rsidP="00632820">
      <w:pPr>
        <w:autoSpaceDE w:val="0"/>
        <w:autoSpaceDN w:val="0"/>
        <w:adjustRightInd w:val="0"/>
        <w:jc w:val="both"/>
        <w:rPr>
          <w:rFonts w:asciiTheme="minorHAnsi" w:hAnsiTheme="minorHAnsi" w:cstheme="minorHAnsi"/>
          <w:lang w:eastAsia="cs-CZ"/>
        </w:rPr>
      </w:pPr>
    </w:p>
    <w:p w14:paraId="7C632AEF" w14:textId="77777777" w:rsidR="00D55F31" w:rsidRPr="00C9657D" w:rsidRDefault="0024693B" w:rsidP="00632820">
      <w:pPr>
        <w:autoSpaceDE w:val="0"/>
        <w:autoSpaceDN w:val="0"/>
        <w:adjustRightInd w:val="0"/>
        <w:jc w:val="both"/>
        <w:rPr>
          <w:rFonts w:asciiTheme="minorHAnsi" w:hAnsiTheme="minorHAnsi" w:cstheme="minorHAnsi"/>
          <w:lang w:eastAsia="cs-CZ"/>
        </w:rPr>
      </w:pPr>
      <w:proofErr w:type="spellStart"/>
      <w:r w:rsidRPr="00C9657D">
        <w:rPr>
          <w:rFonts w:asciiTheme="minorHAnsi" w:hAnsiTheme="minorHAnsi" w:cstheme="minorHAnsi"/>
          <w:lang w:eastAsia="cs-CZ"/>
        </w:rPr>
        <w:t>MZdr</w:t>
      </w:r>
      <w:proofErr w:type="spellEnd"/>
      <w:r w:rsidRPr="00C9657D">
        <w:rPr>
          <w:rFonts w:asciiTheme="minorHAnsi" w:hAnsiTheme="minorHAnsi" w:cstheme="minorHAnsi"/>
          <w:lang w:eastAsia="cs-CZ"/>
        </w:rPr>
        <w:t xml:space="preserve"> vykonává podle zákona o státním podniku</w:t>
      </w:r>
      <w:r>
        <w:rPr>
          <w:rStyle w:val="Znakapoznpodarou"/>
          <w:rFonts w:asciiTheme="minorHAnsi" w:hAnsiTheme="minorHAnsi" w:cstheme="minorHAnsi"/>
          <w:lang w:eastAsia="cs-CZ"/>
        </w:rPr>
        <w:footnoteReference w:id="2"/>
      </w:r>
      <w:r w:rsidRPr="00C9657D">
        <w:rPr>
          <w:rFonts w:asciiTheme="minorHAnsi" w:hAnsiTheme="minorHAnsi" w:cstheme="minorHAnsi"/>
          <w:lang w:eastAsia="cs-CZ"/>
        </w:rPr>
        <w:t xml:space="preserve"> funkci zakladatele</w:t>
      </w:r>
      <w:r>
        <w:rPr>
          <w:rStyle w:val="Znakapoznpodarou"/>
          <w:rFonts w:asciiTheme="minorHAnsi" w:hAnsiTheme="minorHAnsi" w:cstheme="minorHAnsi"/>
          <w:lang w:eastAsia="cs-CZ"/>
        </w:rPr>
        <w:footnoteReference w:id="3"/>
      </w:r>
      <w:r w:rsidRPr="00C9657D">
        <w:rPr>
          <w:rFonts w:asciiTheme="minorHAnsi" w:hAnsiTheme="minorHAnsi" w:cstheme="minorHAnsi"/>
          <w:lang w:eastAsia="cs-CZ"/>
        </w:rPr>
        <w:t>. Zakladatel zejména</w:t>
      </w:r>
      <w:r>
        <w:rPr>
          <w:rStyle w:val="Znakapoznpodarou"/>
          <w:rFonts w:asciiTheme="minorHAnsi" w:hAnsiTheme="minorHAnsi" w:cstheme="minorHAnsi"/>
          <w:lang w:eastAsia="cs-CZ"/>
        </w:rPr>
        <w:footnoteReference w:id="4"/>
      </w:r>
      <w:r w:rsidRPr="00C9657D">
        <w:rPr>
          <w:rFonts w:asciiTheme="minorHAnsi" w:hAnsiTheme="minorHAnsi" w:cstheme="minorHAnsi"/>
          <w:lang w:eastAsia="cs-CZ"/>
        </w:rPr>
        <w:t>:</w:t>
      </w:r>
    </w:p>
    <w:p w14:paraId="03730FF5" w14:textId="77777777" w:rsidR="00D55F31" w:rsidRPr="00C9657D" w:rsidRDefault="0024693B" w:rsidP="00AF4954">
      <w:pPr>
        <w:pStyle w:val="Odstavecseseznamem"/>
        <w:numPr>
          <w:ilvl w:val="0"/>
          <w:numId w:val="23"/>
        </w:numPr>
        <w:autoSpaceDE w:val="0"/>
        <w:autoSpaceDN w:val="0"/>
        <w:adjustRightInd w:val="0"/>
        <w:ind w:left="284" w:hanging="284"/>
        <w:jc w:val="both"/>
        <w:rPr>
          <w:rFonts w:asciiTheme="minorHAnsi" w:hAnsiTheme="minorHAnsi" w:cstheme="minorHAnsi"/>
          <w:lang w:eastAsia="cs-CZ"/>
        </w:rPr>
      </w:pPr>
      <w:r w:rsidRPr="00C9657D">
        <w:rPr>
          <w:rFonts w:asciiTheme="minorHAnsi" w:hAnsiTheme="minorHAnsi" w:cstheme="minorHAnsi"/>
          <w:lang w:eastAsia="cs-CZ"/>
        </w:rPr>
        <w:t>vydává zakládací listiny a statuty státních podniků;</w:t>
      </w:r>
    </w:p>
    <w:p w14:paraId="7037EAAA" w14:textId="77777777" w:rsidR="00D55F31" w:rsidRPr="00C9657D" w:rsidRDefault="0024693B" w:rsidP="00AF4954">
      <w:pPr>
        <w:pStyle w:val="Odstavecseseznamem"/>
        <w:numPr>
          <w:ilvl w:val="0"/>
          <w:numId w:val="23"/>
        </w:numPr>
        <w:autoSpaceDE w:val="0"/>
        <w:autoSpaceDN w:val="0"/>
        <w:adjustRightInd w:val="0"/>
        <w:ind w:left="284" w:hanging="284"/>
        <w:jc w:val="both"/>
        <w:rPr>
          <w:rFonts w:asciiTheme="minorHAnsi" w:hAnsiTheme="minorHAnsi" w:cstheme="minorHAnsi"/>
          <w:lang w:eastAsia="cs-CZ"/>
        </w:rPr>
      </w:pPr>
      <w:r w:rsidRPr="00C9657D">
        <w:rPr>
          <w:rFonts w:asciiTheme="minorHAnsi" w:hAnsiTheme="minorHAnsi" w:cstheme="minorHAnsi"/>
          <w:lang w:eastAsia="cs-CZ"/>
        </w:rPr>
        <w:t>vymezuje určený majetek státního podniku;</w:t>
      </w:r>
    </w:p>
    <w:p w14:paraId="2C327298" w14:textId="77777777" w:rsidR="00D55F31" w:rsidRPr="00C9657D" w:rsidRDefault="0024693B" w:rsidP="00AF4954">
      <w:pPr>
        <w:pStyle w:val="Odstavecseseznamem"/>
        <w:numPr>
          <w:ilvl w:val="0"/>
          <w:numId w:val="23"/>
        </w:numPr>
        <w:autoSpaceDE w:val="0"/>
        <w:autoSpaceDN w:val="0"/>
        <w:adjustRightInd w:val="0"/>
        <w:ind w:left="284" w:hanging="284"/>
        <w:jc w:val="both"/>
        <w:rPr>
          <w:rFonts w:asciiTheme="minorHAnsi" w:hAnsiTheme="minorHAnsi" w:cstheme="minorHAnsi"/>
          <w:lang w:eastAsia="cs-CZ"/>
        </w:rPr>
      </w:pPr>
      <w:r w:rsidRPr="00C9657D">
        <w:rPr>
          <w:rFonts w:asciiTheme="minorHAnsi" w:hAnsiTheme="minorHAnsi" w:cstheme="minorHAnsi"/>
          <w:lang w:eastAsia="cs-CZ"/>
        </w:rPr>
        <w:t xml:space="preserve">jmenuje a odvolává ředitele státního podniku </w:t>
      </w:r>
      <w:r w:rsidR="00D55F31">
        <w:rPr>
          <w:rFonts w:asciiTheme="minorHAnsi" w:hAnsiTheme="minorHAnsi" w:cstheme="minorHAnsi"/>
          <w:lang w:eastAsia="cs-CZ"/>
        </w:rPr>
        <w:t xml:space="preserve">a </w:t>
      </w:r>
      <w:r w:rsidRPr="00C9657D">
        <w:rPr>
          <w:rFonts w:asciiTheme="minorHAnsi" w:hAnsiTheme="minorHAnsi" w:cstheme="minorHAnsi"/>
          <w:lang w:eastAsia="cs-CZ"/>
        </w:rPr>
        <w:t>dvě třetiny členů dozorčí rady;</w:t>
      </w:r>
    </w:p>
    <w:p w14:paraId="26630E5B" w14:textId="77777777" w:rsidR="00D55F31" w:rsidRPr="00C9657D" w:rsidRDefault="0024693B" w:rsidP="00AF4954">
      <w:pPr>
        <w:pStyle w:val="Odstavecseseznamem"/>
        <w:numPr>
          <w:ilvl w:val="0"/>
          <w:numId w:val="23"/>
        </w:numPr>
        <w:autoSpaceDE w:val="0"/>
        <w:autoSpaceDN w:val="0"/>
        <w:adjustRightInd w:val="0"/>
        <w:ind w:left="284" w:hanging="284"/>
        <w:jc w:val="both"/>
        <w:rPr>
          <w:rFonts w:asciiTheme="minorHAnsi" w:hAnsiTheme="minorHAnsi" w:cstheme="minorHAnsi"/>
          <w:lang w:eastAsia="cs-CZ"/>
        </w:rPr>
      </w:pPr>
      <w:r w:rsidRPr="00C9657D">
        <w:rPr>
          <w:rFonts w:asciiTheme="minorHAnsi" w:hAnsiTheme="minorHAnsi" w:cstheme="minorHAnsi"/>
          <w:lang w:eastAsia="cs-CZ"/>
        </w:rPr>
        <w:t xml:space="preserve">kontroluje, zda potřeby státu, které </w:t>
      </w:r>
      <w:r w:rsidR="006B5AE3">
        <w:rPr>
          <w:rFonts w:asciiTheme="minorHAnsi" w:hAnsiTheme="minorHAnsi" w:cstheme="minorHAnsi"/>
          <w:lang w:eastAsia="cs-CZ"/>
        </w:rPr>
        <w:t xml:space="preserve">státní </w:t>
      </w:r>
      <w:r w:rsidRPr="00C9657D">
        <w:rPr>
          <w:rFonts w:asciiTheme="minorHAnsi" w:hAnsiTheme="minorHAnsi" w:cstheme="minorHAnsi"/>
          <w:lang w:eastAsia="cs-CZ"/>
        </w:rPr>
        <w:t>podnik svou podnikatelskou činností zabezpečuje, jsou zajišťovány účelně a hospodárně.</w:t>
      </w:r>
    </w:p>
    <w:p w14:paraId="412A8A6E" w14:textId="77777777" w:rsidR="00632820" w:rsidRDefault="00632820" w:rsidP="00632820">
      <w:pPr>
        <w:jc w:val="both"/>
        <w:rPr>
          <w:rFonts w:asciiTheme="minorHAnsi" w:hAnsiTheme="minorHAnsi" w:cstheme="minorHAnsi"/>
          <w:lang w:eastAsia="cs-CZ"/>
        </w:rPr>
      </w:pPr>
    </w:p>
    <w:p w14:paraId="180D81D8" w14:textId="77777777" w:rsidR="00D55F31" w:rsidRDefault="0024693B" w:rsidP="00632820">
      <w:pPr>
        <w:jc w:val="both"/>
        <w:rPr>
          <w:rFonts w:asciiTheme="minorHAnsi" w:hAnsiTheme="minorHAnsi" w:cstheme="minorHAnsi"/>
          <w:lang w:eastAsia="cs-CZ"/>
        </w:rPr>
      </w:pPr>
      <w:r w:rsidRPr="00C9657D">
        <w:rPr>
          <w:rFonts w:asciiTheme="minorHAnsi" w:hAnsiTheme="minorHAnsi" w:cstheme="minorHAnsi"/>
          <w:lang w:eastAsia="cs-CZ"/>
        </w:rPr>
        <w:t xml:space="preserve">Kontrola byla provedena u </w:t>
      </w:r>
      <w:proofErr w:type="spellStart"/>
      <w:r w:rsidRPr="00C9657D">
        <w:rPr>
          <w:rFonts w:asciiTheme="minorHAnsi" w:hAnsiTheme="minorHAnsi" w:cstheme="minorHAnsi"/>
          <w:lang w:eastAsia="cs-CZ"/>
        </w:rPr>
        <w:t>MZdr</w:t>
      </w:r>
      <w:proofErr w:type="spellEnd"/>
      <w:r w:rsidRPr="00C9657D">
        <w:rPr>
          <w:rFonts w:asciiTheme="minorHAnsi" w:hAnsiTheme="minorHAnsi" w:cstheme="minorHAnsi"/>
          <w:lang w:eastAsia="cs-CZ"/>
        </w:rPr>
        <w:t xml:space="preserve"> jako zakladatele a</w:t>
      </w:r>
      <w:r w:rsidR="008E2E01">
        <w:rPr>
          <w:rFonts w:asciiTheme="minorHAnsi" w:hAnsiTheme="minorHAnsi" w:cstheme="minorHAnsi"/>
          <w:lang w:eastAsia="cs-CZ"/>
        </w:rPr>
        <w:t> u</w:t>
      </w:r>
      <w:r w:rsidRPr="00C9657D">
        <w:rPr>
          <w:rFonts w:asciiTheme="minorHAnsi" w:hAnsiTheme="minorHAnsi" w:cstheme="minorHAnsi"/>
          <w:lang w:eastAsia="cs-CZ"/>
        </w:rPr>
        <w:t xml:space="preserve"> čtyř státních podniků, kterými byly BALMED Praha, SLL Bludov, SLL Janské Lázně a HL Karlova Studánka. </w:t>
      </w:r>
    </w:p>
    <w:p w14:paraId="593AF3D0" w14:textId="77777777" w:rsidR="00632820" w:rsidRPr="00C9657D" w:rsidRDefault="00632820" w:rsidP="00632820">
      <w:pPr>
        <w:jc w:val="both"/>
        <w:rPr>
          <w:rFonts w:asciiTheme="minorHAnsi" w:hAnsiTheme="minorHAnsi" w:cstheme="minorHAnsi"/>
          <w:lang w:eastAsia="cs-CZ"/>
        </w:rPr>
      </w:pPr>
    </w:p>
    <w:p w14:paraId="45A8632E" w14:textId="77777777" w:rsidR="00D55F31" w:rsidRDefault="0024693B" w:rsidP="00632820">
      <w:pPr>
        <w:autoSpaceDE w:val="0"/>
        <w:autoSpaceDN w:val="0"/>
        <w:adjustRightInd w:val="0"/>
        <w:jc w:val="both"/>
        <w:rPr>
          <w:rFonts w:asciiTheme="minorHAnsi" w:hAnsiTheme="minorHAnsi" w:cs="Calibri"/>
          <w:lang w:eastAsia="cs-CZ"/>
        </w:rPr>
      </w:pPr>
      <w:r w:rsidRPr="00C9657D">
        <w:rPr>
          <w:rFonts w:asciiTheme="minorHAnsi" w:hAnsiTheme="minorHAnsi" w:cs="Calibri"/>
          <w:lang w:eastAsia="cs-CZ"/>
        </w:rPr>
        <w:t>Státní podniky jsou právnickými osobami provozujícími podnikatelskou činnost s majetkem státu vlastním jménem a na vlastní odpovědnost. Jsou zakládány k uspokojování významných celospolečenských, strategických nebo veřejně prospěšných zájmů. Zakladatelem státních podniků je stát. Státní podniky mají právo hospodařit s majetkem státu a nemají vlastní majetek</w:t>
      </w:r>
      <w:r>
        <w:rPr>
          <w:rStyle w:val="Znakapoznpodarou"/>
          <w:rFonts w:asciiTheme="minorHAnsi" w:hAnsiTheme="minorHAnsi" w:cs="Calibri"/>
          <w:lang w:eastAsia="cs-CZ"/>
        </w:rPr>
        <w:footnoteReference w:id="5"/>
      </w:r>
      <w:r w:rsidRPr="00C9657D">
        <w:rPr>
          <w:rFonts w:asciiTheme="minorHAnsi" w:hAnsiTheme="minorHAnsi" w:cs="Calibri"/>
          <w:lang w:eastAsia="cs-CZ"/>
        </w:rPr>
        <w:t xml:space="preserve">. Podnik neručí za závazky státu a stát neručí za závazky státního podniku. </w:t>
      </w:r>
    </w:p>
    <w:p w14:paraId="67F1B5C6" w14:textId="77777777" w:rsidR="00632820" w:rsidRPr="00C9657D" w:rsidRDefault="00632820" w:rsidP="00632820">
      <w:pPr>
        <w:autoSpaceDE w:val="0"/>
        <w:autoSpaceDN w:val="0"/>
        <w:adjustRightInd w:val="0"/>
        <w:jc w:val="both"/>
        <w:rPr>
          <w:rFonts w:asciiTheme="minorHAnsi" w:hAnsiTheme="minorHAnsi" w:cs="Calibri"/>
          <w:lang w:eastAsia="cs-CZ"/>
        </w:rPr>
      </w:pPr>
    </w:p>
    <w:p w14:paraId="3ED75382" w14:textId="42336018" w:rsidR="00D55F31" w:rsidRDefault="0024693B" w:rsidP="00632820">
      <w:pPr>
        <w:autoSpaceDE w:val="0"/>
        <w:autoSpaceDN w:val="0"/>
        <w:adjustRightInd w:val="0"/>
        <w:jc w:val="both"/>
        <w:rPr>
          <w:rFonts w:asciiTheme="minorHAnsi" w:hAnsiTheme="minorHAnsi" w:cs="Calibri"/>
          <w:lang w:eastAsia="cs-CZ"/>
        </w:rPr>
      </w:pPr>
      <w:r w:rsidRPr="00C9657D">
        <w:rPr>
          <w:rFonts w:asciiTheme="minorHAnsi" w:hAnsiTheme="minorHAnsi" w:cs="Calibri"/>
          <w:lang w:eastAsia="cs-CZ"/>
        </w:rPr>
        <w:t xml:space="preserve">Orgány podniku jsou ředitel a dozorčí rada </w:t>
      </w:r>
      <w:r w:rsidR="00782C8B">
        <w:rPr>
          <w:rFonts w:asciiTheme="minorHAnsi" w:hAnsiTheme="minorHAnsi" w:cs="Calibri"/>
          <w:lang w:eastAsia="cs-CZ"/>
        </w:rPr>
        <w:t>(</w:t>
      </w:r>
      <w:r w:rsidRPr="00C9657D">
        <w:rPr>
          <w:rFonts w:asciiTheme="minorHAnsi" w:hAnsiTheme="minorHAnsi" w:cs="Calibri"/>
          <w:lang w:eastAsia="cs-CZ"/>
        </w:rPr>
        <w:t>dále také „DR</w:t>
      </w:r>
      <w:r w:rsidR="00782C8B" w:rsidRPr="00C9657D">
        <w:rPr>
          <w:rFonts w:asciiTheme="minorHAnsi" w:hAnsiTheme="minorHAnsi" w:cs="Calibri"/>
          <w:lang w:eastAsia="cs-CZ"/>
        </w:rPr>
        <w:t>“</w:t>
      </w:r>
      <w:r w:rsidR="00782C8B">
        <w:rPr>
          <w:rFonts w:asciiTheme="minorHAnsi" w:hAnsiTheme="minorHAnsi" w:cs="Calibri"/>
          <w:lang w:eastAsia="cs-CZ"/>
        </w:rPr>
        <w:t>)</w:t>
      </w:r>
      <w:r w:rsidR="00782C8B" w:rsidRPr="00C9657D">
        <w:rPr>
          <w:rFonts w:asciiTheme="minorHAnsi" w:hAnsiTheme="minorHAnsi" w:cs="Calibri"/>
          <w:lang w:eastAsia="cs-CZ"/>
        </w:rPr>
        <w:t xml:space="preserve">. </w:t>
      </w:r>
      <w:r w:rsidRPr="00C9657D">
        <w:rPr>
          <w:rFonts w:asciiTheme="minorHAnsi" w:hAnsiTheme="minorHAnsi" w:cs="Calibri"/>
          <w:lang w:eastAsia="cs-CZ"/>
        </w:rPr>
        <w:t>Ředitele jmenuje a odvolává ministr nebo vláda. Dvě třetiny členů dozorčí rady jmenuje a odvolává zakladatel. Jednu třetinu členů dozorčí rady volí zaměstnanci podniku ze</w:t>
      </w:r>
      <w:r w:rsidR="008E2E01">
        <w:rPr>
          <w:rFonts w:asciiTheme="minorHAnsi" w:hAnsiTheme="minorHAnsi" w:cs="Calibri"/>
          <w:lang w:eastAsia="cs-CZ"/>
        </w:rPr>
        <w:t xml:space="preserve"> </w:t>
      </w:r>
      <w:r w:rsidRPr="00C9657D">
        <w:rPr>
          <w:rFonts w:asciiTheme="minorHAnsi" w:hAnsiTheme="minorHAnsi" w:cs="Calibri"/>
          <w:lang w:eastAsia="cs-CZ"/>
        </w:rPr>
        <w:t xml:space="preserve">svých řad. </w:t>
      </w:r>
    </w:p>
    <w:p w14:paraId="65AB6F40" w14:textId="77777777" w:rsidR="00632820" w:rsidRPr="00C9657D" w:rsidRDefault="00632820" w:rsidP="00632820">
      <w:pPr>
        <w:autoSpaceDE w:val="0"/>
        <w:autoSpaceDN w:val="0"/>
        <w:adjustRightInd w:val="0"/>
        <w:jc w:val="both"/>
        <w:rPr>
          <w:rFonts w:asciiTheme="minorHAnsi" w:hAnsiTheme="minorHAnsi" w:cs="Calibri"/>
          <w:lang w:eastAsia="cs-CZ"/>
        </w:rPr>
      </w:pPr>
    </w:p>
    <w:p w14:paraId="7CD7DFF5" w14:textId="77777777" w:rsidR="00D55F31" w:rsidRDefault="0024693B" w:rsidP="00632820">
      <w:pPr>
        <w:autoSpaceDE w:val="0"/>
        <w:autoSpaceDN w:val="0"/>
        <w:adjustRightInd w:val="0"/>
        <w:jc w:val="both"/>
        <w:rPr>
          <w:rFonts w:asciiTheme="minorHAnsi" w:hAnsiTheme="minorHAnsi" w:cs="Calibri"/>
          <w:lang w:eastAsia="cs-CZ"/>
        </w:rPr>
      </w:pPr>
      <w:r w:rsidRPr="00C9657D">
        <w:rPr>
          <w:rFonts w:asciiTheme="minorHAnsi" w:hAnsiTheme="minorHAnsi" w:cs="Calibri"/>
          <w:b/>
          <w:lang w:eastAsia="cs-CZ"/>
        </w:rPr>
        <w:t>BALMED Praha</w:t>
      </w:r>
      <w:r w:rsidRPr="00C9657D">
        <w:rPr>
          <w:rFonts w:asciiTheme="minorHAnsi" w:hAnsiTheme="minorHAnsi" w:cs="Calibri"/>
          <w:lang w:eastAsia="cs-CZ"/>
        </w:rPr>
        <w:t xml:space="preserve"> je právním nástupcem zaniklých 12 zbytkových státních podniků a vznikl splynutím těchto podniků bez provedení likvidace. Podnik zajišťuje v rámci své činnosti všechny úkony související se správou a vypořádáním majetku těchto splynutých zbytkových státních podniků.</w:t>
      </w:r>
    </w:p>
    <w:p w14:paraId="00B7C7EC" w14:textId="77777777" w:rsidR="00632820" w:rsidRPr="00C9657D" w:rsidRDefault="00632820" w:rsidP="00632820">
      <w:pPr>
        <w:autoSpaceDE w:val="0"/>
        <w:autoSpaceDN w:val="0"/>
        <w:adjustRightInd w:val="0"/>
        <w:jc w:val="both"/>
        <w:rPr>
          <w:rFonts w:asciiTheme="minorHAnsi" w:hAnsiTheme="minorHAnsi" w:cs="Calibri"/>
          <w:lang w:eastAsia="cs-CZ"/>
        </w:rPr>
      </w:pPr>
    </w:p>
    <w:p w14:paraId="257D5D69" w14:textId="6707C319" w:rsidR="00D55F31" w:rsidRDefault="0024693B" w:rsidP="00632820">
      <w:pPr>
        <w:autoSpaceDE w:val="0"/>
        <w:autoSpaceDN w:val="0"/>
        <w:adjustRightInd w:val="0"/>
        <w:jc w:val="both"/>
        <w:rPr>
          <w:rFonts w:asciiTheme="minorHAnsi" w:hAnsiTheme="minorHAnsi"/>
        </w:rPr>
      </w:pPr>
      <w:r w:rsidRPr="00C9657D">
        <w:rPr>
          <w:rFonts w:asciiTheme="minorHAnsi" w:hAnsiTheme="minorHAnsi"/>
        </w:rPr>
        <w:t>V ČR je celkem 35 lázeňských míst</w:t>
      </w:r>
      <w:r>
        <w:rPr>
          <w:rStyle w:val="Znakapoznpodarou"/>
          <w:rFonts w:asciiTheme="minorHAnsi" w:hAnsiTheme="minorHAnsi"/>
        </w:rPr>
        <w:footnoteReference w:id="6"/>
      </w:r>
      <w:r w:rsidRPr="00C9657D">
        <w:rPr>
          <w:rFonts w:asciiTheme="minorHAnsi" w:hAnsiTheme="minorHAnsi"/>
        </w:rPr>
        <w:t xml:space="preserve"> a více než 50 lázeňských zařízení využívaných k poskytování lázeňské péče. Nejčastější formou poskytovatelů lázeňské péče jsou akciové společnosti, společnosti s ručením omezeným a </w:t>
      </w:r>
      <w:r w:rsidR="00D55F31">
        <w:rPr>
          <w:rFonts w:asciiTheme="minorHAnsi" w:hAnsiTheme="minorHAnsi"/>
        </w:rPr>
        <w:t xml:space="preserve">také </w:t>
      </w:r>
      <w:r w:rsidRPr="00C9657D">
        <w:rPr>
          <w:rFonts w:asciiTheme="minorHAnsi" w:hAnsiTheme="minorHAnsi"/>
        </w:rPr>
        <w:t>tři státní podniky.</w:t>
      </w:r>
    </w:p>
    <w:p w14:paraId="55755338" w14:textId="77777777" w:rsidR="00632820" w:rsidRPr="00C9657D" w:rsidRDefault="00632820" w:rsidP="00632820">
      <w:pPr>
        <w:autoSpaceDE w:val="0"/>
        <w:autoSpaceDN w:val="0"/>
        <w:adjustRightInd w:val="0"/>
        <w:jc w:val="both"/>
        <w:rPr>
          <w:rFonts w:asciiTheme="minorHAnsi" w:hAnsiTheme="minorHAnsi"/>
        </w:rPr>
      </w:pPr>
    </w:p>
    <w:p w14:paraId="11067B07" w14:textId="77777777" w:rsidR="00D55F31" w:rsidRDefault="0024693B" w:rsidP="00632820">
      <w:pPr>
        <w:autoSpaceDE w:val="0"/>
        <w:autoSpaceDN w:val="0"/>
        <w:adjustRightInd w:val="0"/>
        <w:jc w:val="both"/>
        <w:rPr>
          <w:rFonts w:asciiTheme="minorHAnsi" w:hAnsiTheme="minorHAnsi" w:cs="Calibri"/>
          <w:lang w:eastAsia="cs-CZ"/>
        </w:rPr>
      </w:pPr>
      <w:r w:rsidRPr="00C9657D">
        <w:rPr>
          <w:rFonts w:asciiTheme="minorHAnsi" w:hAnsiTheme="minorHAnsi" w:cs="Calibri"/>
          <w:lang w:eastAsia="cs-CZ"/>
        </w:rPr>
        <w:lastRenderedPageBreak/>
        <w:t>V kontrolovaném období let 2013 až 2015 byly hlavním zdrojem příjmů státních podniků tržby z prodeje hrazených zdravotních služeb. Dle zákona o veřejném zdravotním pojištění</w:t>
      </w:r>
      <w:r>
        <w:rPr>
          <w:rStyle w:val="Znakapoznpodarou"/>
          <w:rFonts w:asciiTheme="minorHAnsi" w:hAnsiTheme="minorHAnsi" w:cs="Calibri"/>
          <w:lang w:eastAsia="cs-CZ"/>
        </w:rPr>
        <w:footnoteReference w:id="7"/>
      </w:r>
      <w:r w:rsidRPr="00C9657D">
        <w:rPr>
          <w:rFonts w:asciiTheme="minorHAnsi" w:hAnsiTheme="minorHAnsi" w:cs="Calibri"/>
          <w:lang w:eastAsia="cs-CZ"/>
        </w:rPr>
        <w:t xml:space="preserve"> patří mezi hrazené zdravotní služby také lázeňská léčebně rehabilitační péče </w:t>
      </w:r>
      <w:r w:rsidR="00BC490C">
        <w:rPr>
          <w:rFonts w:asciiTheme="minorHAnsi" w:hAnsiTheme="minorHAnsi" w:cs="Calibri"/>
          <w:lang w:eastAsia="cs-CZ"/>
        </w:rPr>
        <w:t>(</w:t>
      </w:r>
      <w:r w:rsidRPr="00C9657D">
        <w:rPr>
          <w:rFonts w:asciiTheme="minorHAnsi" w:hAnsiTheme="minorHAnsi" w:cs="Calibri"/>
          <w:lang w:eastAsia="cs-CZ"/>
        </w:rPr>
        <w:t>dále také „lázeňská péče“</w:t>
      </w:r>
      <w:r w:rsidR="00BC490C">
        <w:rPr>
          <w:rFonts w:asciiTheme="minorHAnsi" w:hAnsiTheme="minorHAnsi" w:cs="Calibri"/>
          <w:lang w:eastAsia="cs-CZ"/>
        </w:rPr>
        <w:t>)</w:t>
      </w:r>
      <w:r w:rsidRPr="00C9657D">
        <w:rPr>
          <w:rFonts w:asciiTheme="minorHAnsi" w:hAnsiTheme="minorHAnsi" w:cs="Calibri"/>
          <w:lang w:eastAsia="cs-CZ"/>
        </w:rPr>
        <w:t xml:space="preserve">. </w:t>
      </w:r>
    </w:p>
    <w:p w14:paraId="40AA7816" w14:textId="77777777" w:rsidR="00632820" w:rsidRPr="00C9657D" w:rsidRDefault="00632820" w:rsidP="00632820">
      <w:pPr>
        <w:autoSpaceDE w:val="0"/>
        <w:autoSpaceDN w:val="0"/>
        <w:adjustRightInd w:val="0"/>
        <w:jc w:val="both"/>
        <w:rPr>
          <w:rFonts w:asciiTheme="minorHAnsi" w:hAnsiTheme="minorHAnsi" w:cs="Calibri"/>
          <w:lang w:eastAsia="cs-CZ"/>
        </w:rPr>
      </w:pPr>
    </w:p>
    <w:p w14:paraId="66CDB4D6" w14:textId="77777777" w:rsidR="00D55F31" w:rsidRDefault="0024693B" w:rsidP="00632820">
      <w:pPr>
        <w:autoSpaceDE w:val="0"/>
        <w:autoSpaceDN w:val="0"/>
        <w:adjustRightInd w:val="0"/>
        <w:jc w:val="both"/>
        <w:rPr>
          <w:rFonts w:asciiTheme="minorHAnsi" w:hAnsiTheme="minorHAnsi" w:cs="Calibri"/>
        </w:rPr>
      </w:pPr>
      <w:r w:rsidRPr="00C9657D">
        <w:rPr>
          <w:rFonts w:asciiTheme="minorHAnsi" w:hAnsiTheme="minorHAnsi" w:cs="Calibri"/>
          <w:b/>
          <w:lang w:eastAsia="cs-CZ"/>
        </w:rPr>
        <w:t>SLL Bludov</w:t>
      </w:r>
      <w:r w:rsidRPr="00C9657D">
        <w:rPr>
          <w:rFonts w:asciiTheme="minorHAnsi" w:hAnsiTheme="minorHAnsi" w:cs="Calibri"/>
          <w:lang w:eastAsia="cs-CZ"/>
        </w:rPr>
        <w:t xml:space="preserve"> poskytují lázeňskou péči pro léčbu obezity, </w:t>
      </w:r>
      <w:r w:rsidR="006B5AE3" w:rsidRPr="00C9657D">
        <w:rPr>
          <w:rFonts w:asciiTheme="minorHAnsi" w:hAnsiTheme="minorHAnsi" w:cs="Calibri"/>
          <w:lang w:eastAsia="cs-CZ"/>
        </w:rPr>
        <w:t>bolest</w:t>
      </w:r>
      <w:r w:rsidR="006B5AE3">
        <w:rPr>
          <w:rFonts w:asciiTheme="minorHAnsi" w:hAnsiTheme="minorHAnsi" w:cs="Calibri"/>
          <w:lang w:eastAsia="cs-CZ"/>
        </w:rPr>
        <w:t>i</w:t>
      </w:r>
      <w:r w:rsidR="006B5AE3" w:rsidRPr="00C9657D">
        <w:rPr>
          <w:rFonts w:asciiTheme="minorHAnsi" w:hAnsiTheme="minorHAnsi" w:cs="Calibri"/>
          <w:lang w:eastAsia="cs-CZ"/>
        </w:rPr>
        <w:t xml:space="preserve"> </w:t>
      </w:r>
      <w:r w:rsidRPr="00C9657D">
        <w:rPr>
          <w:rFonts w:asciiTheme="minorHAnsi" w:hAnsiTheme="minorHAnsi" w:cs="Calibri"/>
          <w:lang w:eastAsia="cs-CZ"/>
        </w:rPr>
        <w:t xml:space="preserve">zad a pohybového aparátu u dětí, lázeňskou péči pro bolesti zad a pohybového aparátu dospělých a také ambulantní rehabilitační péči v oboru rehabilitační a fyzikální medicíny a fyzioterapie. SLL </w:t>
      </w:r>
      <w:proofErr w:type="gramStart"/>
      <w:r w:rsidRPr="00C9657D">
        <w:rPr>
          <w:rFonts w:asciiTheme="minorHAnsi" w:hAnsiTheme="minorHAnsi" w:cs="Calibri"/>
          <w:lang w:eastAsia="cs-CZ"/>
        </w:rPr>
        <w:t>Bludov</w:t>
      </w:r>
      <w:proofErr w:type="gramEnd"/>
      <w:r w:rsidRPr="00C9657D">
        <w:rPr>
          <w:rFonts w:asciiTheme="minorHAnsi" w:hAnsiTheme="minorHAnsi" w:cs="Calibri"/>
          <w:lang w:eastAsia="cs-CZ"/>
        </w:rPr>
        <w:t xml:space="preserve"> využívají k léčení </w:t>
      </w:r>
      <w:proofErr w:type="gramStart"/>
      <w:r w:rsidRPr="00C9657D">
        <w:rPr>
          <w:rFonts w:asciiTheme="minorHAnsi" w:hAnsiTheme="minorHAnsi" w:cs="Calibri"/>
        </w:rPr>
        <w:t>pramen</w:t>
      </w:r>
      <w:proofErr w:type="gramEnd"/>
      <w:r w:rsidRPr="00C9657D">
        <w:rPr>
          <w:rFonts w:asciiTheme="minorHAnsi" w:hAnsiTheme="minorHAnsi" w:cs="Calibri"/>
        </w:rPr>
        <w:t xml:space="preserve"> </w:t>
      </w:r>
      <w:proofErr w:type="spellStart"/>
      <w:r w:rsidRPr="00C9657D">
        <w:rPr>
          <w:rFonts w:asciiTheme="minorHAnsi" w:hAnsiTheme="minorHAnsi" w:cs="Calibri"/>
        </w:rPr>
        <w:t>sírano</w:t>
      </w:r>
      <w:proofErr w:type="spellEnd"/>
      <w:r w:rsidRPr="00C9657D">
        <w:rPr>
          <w:rFonts w:asciiTheme="minorHAnsi" w:hAnsiTheme="minorHAnsi" w:cs="Calibri"/>
        </w:rPr>
        <w:t>-</w:t>
      </w:r>
      <w:proofErr w:type="spellStart"/>
      <w:r w:rsidRPr="00C9657D">
        <w:rPr>
          <w:rFonts w:asciiTheme="minorHAnsi" w:hAnsiTheme="minorHAnsi" w:cs="Calibri"/>
        </w:rPr>
        <w:t>chlorido</w:t>
      </w:r>
      <w:proofErr w:type="spellEnd"/>
      <w:r w:rsidRPr="00C9657D">
        <w:rPr>
          <w:rFonts w:asciiTheme="minorHAnsi" w:hAnsiTheme="minorHAnsi" w:cs="Calibri"/>
        </w:rPr>
        <w:t>-sodného typu.</w:t>
      </w:r>
    </w:p>
    <w:p w14:paraId="7C9F7591" w14:textId="77777777" w:rsidR="00632820" w:rsidRPr="00C9657D" w:rsidRDefault="00632820" w:rsidP="00632820">
      <w:pPr>
        <w:autoSpaceDE w:val="0"/>
        <w:autoSpaceDN w:val="0"/>
        <w:adjustRightInd w:val="0"/>
        <w:jc w:val="both"/>
        <w:rPr>
          <w:rFonts w:asciiTheme="minorHAnsi" w:hAnsiTheme="minorHAnsi" w:cs="Calibri"/>
        </w:rPr>
      </w:pPr>
    </w:p>
    <w:p w14:paraId="0C6E373C" w14:textId="4FA592B1" w:rsidR="00D55F31" w:rsidRDefault="0024693B" w:rsidP="00632820">
      <w:pPr>
        <w:jc w:val="both"/>
        <w:rPr>
          <w:rFonts w:asciiTheme="minorHAnsi" w:hAnsiTheme="minorHAnsi" w:cs="Calibri"/>
        </w:rPr>
      </w:pPr>
      <w:r w:rsidRPr="00C9657D">
        <w:rPr>
          <w:rFonts w:asciiTheme="minorHAnsi" w:hAnsiTheme="minorHAnsi" w:cs="Calibri"/>
          <w:b/>
        </w:rPr>
        <w:t>SLL Janské Lázně</w:t>
      </w:r>
      <w:r w:rsidRPr="00C9657D">
        <w:rPr>
          <w:rFonts w:asciiTheme="minorHAnsi" w:hAnsiTheme="minorHAnsi" w:cs="Calibri"/>
        </w:rPr>
        <w:t xml:space="preserve"> zaujímají významné postavení v léčbě stavů po operacích</w:t>
      </w:r>
      <w:r w:rsidR="00D55F31">
        <w:rPr>
          <w:rFonts w:asciiTheme="minorHAnsi" w:hAnsiTheme="minorHAnsi" w:cs="Calibri"/>
        </w:rPr>
        <w:t>,</w:t>
      </w:r>
      <w:r w:rsidRPr="00C9657D">
        <w:rPr>
          <w:rFonts w:asciiTheme="minorHAnsi" w:hAnsiTheme="minorHAnsi" w:cs="Calibri"/>
        </w:rPr>
        <w:t xml:space="preserve"> úrazech pohybového aparátu</w:t>
      </w:r>
      <w:r w:rsidR="006B5AE3">
        <w:rPr>
          <w:rFonts w:asciiTheme="minorHAnsi" w:hAnsiTheme="minorHAnsi" w:cs="Calibri"/>
        </w:rPr>
        <w:t>,</w:t>
      </w:r>
      <w:r w:rsidRPr="00C9657D">
        <w:rPr>
          <w:rFonts w:asciiTheme="minorHAnsi" w:hAnsiTheme="minorHAnsi" w:cs="Calibri"/>
        </w:rPr>
        <w:t xml:space="preserve"> centrálního nervového systému, periferního neuronu</w:t>
      </w:r>
      <w:r w:rsidR="006B5AE3">
        <w:rPr>
          <w:rFonts w:asciiTheme="minorHAnsi" w:hAnsiTheme="minorHAnsi" w:cs="Calibri"/>
        </w:rPr>
        <w:t xml:space="preserve"> a</w:t>
      </w:r>
      <w:r w:rsidRPr="00C9657D">
        <w:rPr>
          <w:rFonts w:asciiTheme="minorHAnsi" w:hAnsiTheme="minorHAnsi" w:cs="Calibri"/>
        </w:rPr>
        <w:t xml:space="preserve"> po</w:t>
      </w:r>
      <w:r w:rsidR="008E2E01">
        <w:rPr>
          <w:rFonts w:asciiTheme="minorHAnsi" w:hAnsiTheme="minorHAnsi" w:cs="Calibri"/>
        </w:rPr>
        <w:t xml:space="preserve"> </w:t>
      </w:r>
      <w:r w:rsidRPr="00C9657D">
        <w:rPr>
          <w:rFonts w:asciiTheme="minorHAnsi" w:hAnsiTheme="minorHAnsi" w:cs="Calibri"/>
        </w:rPr>
        <w:t>zánětlivých onemocněních. Dále se zaměřují na</w:t>
      </w:r>
      <w:r w:rsidR="008E2E01">
        <w:rPr>
          <w:rFonts w:asciiTheme="minorHAnsi" w:hAnsiTheme="minorHAnsi" w:cs="Calibri"/>
        </w:rPr>
        <w:t xml:space="preserve"> </w:t>
      </w:r>
      <w:r w:rsidRPr="00C9657D">
        <w:rPr>
          <w:rFonts w:asciiTheme="minorHAnsi" w:hAnsiTheme="minorHAnsi" w:cs="Calibri"/>
        </w:rPr>
        <w:t>léčbu závažných onemocnění, kde dominují tzv. civilizační choroby. Věnují se léčení těžce hybných pacientů ve všech věkových kategoriích a</w:t>
      </w:r>
      <w:r w:rsidR="008E2E01">
        <w:rPr>
          <w:rFonts w:asciiTheme="minorHAnsi" w:hAnsiTheme="minorHAnsi" w:cs="Calibri"/>
        </w:rPr>
        <w:t> </w:t>
      </w:r>
      <w:r w:rsidRPr="00C9657D">
        <w:rPr>
          <w:rFonts w:asciiTheme="minorHAnsi" w:hAnsiTheme="minorHAnsi" w:cs="Calibri"/>
        </w:rPr>
        <w:t>ve všech diagnostických skupinách. Mimořádně významná je léčba dě</w:t>
      </w:r>
      <w:r w:rsidR="00230CC5">
        <w:rPr>
          <w:rFonts w:asciiTheme="minorHAnsi" w:hAnsiTheme="minorHAnsi" w:cs="Calibri"/>
        </w:rPr>
        <w:t>tí s chronickými respiračními a </w:t>
      </w:r>
      <w:r w:rsidRPr="00C9657D">
        <w:rPr>
          <w:rFonts w:asciiTheme="minorHAnsi" w:hAnsiTheme="minorHAnsi" w:cs="Calibri"/>
        </w:rPr>
        <w:t xml:space="preserve">onkologickými onemocněními. </w:t>
      </w:r>
    </w:p>
    <w:p w14:paraId="7B49C080" w14:textId="77777777" w:rsidR="00632820" w:rsidRPr="00C9657D" w:rsidRDefault="00632820" w:rsidP="00632820">
      <w:pPr>
        <w:jc w:val="both"/>
        <w:rPr>
          <w:rFonts w:asciiTheme="minorHAnsi" w:hAnsiTheme="minorHAnsi" w:cs="Calibri"/>
        </w:rPr>
      </w:pPr>
    </w:p>
    <w:p w14:paraId="576AE82F" w14:textId="7C68D560" w:rsidR="00D55F31" w:rsidRDefault="0024693B" w:rsidP="00632820">
      <w:pPr>
        <w:jc w:val="both"/>
        <w:rPr>
          <w:rFonts w:asciiTheme="minorHAnsi" w:hAnsiTheme="minorHAnsi"/>
        </w:rPr>
      </w:pPr>
      <w:r w:rsidRPr="00C9657D">
        <w:rPr>
          <w:rFonts w:asciiTheme="minorHAnsi" w:hAnsiTheme="minorHAnsi"/>
        </w:rPr>
        <w:t xml:space="preserve">Léčebný význam </w:t>
      </w:r>
      <w:r w:rsidRPr="00C9657D">
        <w:rPr>
          <w:rFonts w:asciiTheme="minorHAnsi" w:hAnsiTheme="minorHAnsi"/>
          <w:b/>
        </w:rPr>
        <w:t>HL Karlova Studánka</w:t>
      </w:r>
      <w:r w:rsidRPr="00C9657D">
        <w:rPr>
          <w:rFonts w:asciiTheme="minorHAnsi" w:hAnsiTheme="minorHAnsi"/>
        </w:rPr>
        <w:t xml:space="preserve"> spočívá ve využití přírodních léčivých zdrojů. Právě minerální prameny a přírodní oxid uhličitý jsou hlavní předností těchto horských lázní. Jejich léčebné účinky a jedinečné klimatické podmínky vyhledávají především pacienti s nemocemi cest dýchacích a alergiemi, ale také s problémy</w:t>
      </w:r>
      <w:r w:rsidR="007F3176">
        <w:rPr>
          <w:rFonts w:asciiTheme="minorHAnsi" w:hAnsiTheme="minorHAnsi"/>
        </w:rPr>
        <w:t xml:space="preserve"> </w:t>
      </w:r>
      <w:r w:rsidRPr="00C9657D">
        <w:rPr>
          <w:rFonts w:asciiTheme="minorHAnsi" w:hAnsiTheme="minorHAnsi"/>
        </w:rPr>
        <w:t xml:space="preserve">pohybového ústrojí či pacienti po prodělané onkologické léčbě. Lázeňská péče je poskytována dospělým pacientům. </w:t>
      </w:r>
    </w:p>
    <w:p w14:paraId="3B5A2C50" w14:textId="77777777" w:rsidR="00632820" w:rsidRPr="00C9657D" w:rsidRDefault="00632820" w:rsidP="00632820">
      <w:pPr>
        <w:jc w:val="both"/>
        <w:rPr>
          <w:rFonts w:asciiTheme="minorHAnsi" w:hAnsiTheme="minorHAnsi"/>
        </w:rPr>
      </w:pPr>
    </w:p>
    <w:p w14:paraId="0D62DFB8" w14:textId="71D203D7" w:rsidR="00D55F31" w:rsidRDefault="0024693B" w:rsidP="00632820">
      <w:pPr>
        <w:jc w:val="both"/>
        <w:rPr>
          <w:rFonts w:asciiTheme="minorHAnsi" w:hAnsiTheme="minorHAnsi" w:cs="Arial"/>
          <w:lang w:eastAsia="cs-CZ"/>
        </w:rPr>
      </w:pPr>
      <w:r w:rsidRPr="00C9657D">
        <w:rPr>
          <w:rFonts w:asciiTheme="minorHAnsi" w:hAnsiTheme="minorHAnsi" w:cs="Arial"/>
          <w:lang w:eastAsia="cs-CZ"/>
        </w:rPr>
        <w:t>Státní lázně prošly transformačním procesem zahájeným počátkem 90. let. SLL Bludov a</w:t>
      </w:r>
      <w:r w:rsidR="007F3176">
        <w:rPr>
          <w:rFonts w:asciiTheme="minorHAnsi" w:hAnsiTheme="minorHAnsi" w:cs="Arial"/>
          <w:lang w:eastAsia="cs-CZ"/>
        </w:rPr>
        <w:t> </w:t>
      </w:r>
      <w:r w:rsidRPr="00C9657D">
        <w:rPr>
          <w:rFonts w:asciiTheme="minorHAnsi" w:hAnsiTheme="minorHAnsi" w:cs="Arial"/>
          <w:lang w:eastAsia="cs-CZ"/>
        </w:rPr>
        <w:t>HL</w:t>
      </w:r>
      <w:r w:rsidR="007F3176">
        <w:rPr>
          <w:rFonts w:asciiTheme="minorHAnsi" w:hAnsiTheme="minorHAnsi" w:cs="Arial"/>
          <w:lang w:eastAsia="cs-CZ"/>
        </w:rPr>
        <w:t> </w:t>
      </w:r>
      <w:r w:rsidRPr="00C9657D">
        <w:rPr>
          <w:rFonts w:asciiTheme="minorHAnsi" w:hAnsiTheme="minorHAnsi" w:cs="Arial"/>
          <w:lang w:eastAsia="cs-CZ"/>
        </w:rPr>
        <w:t>Karlova Studánka byly zařazeny mezi podniky určené k privatizaci v roce 1991 a</w:t>
      </w:r>
      <w:r w:rsidR="007F3176">
        <w:rPr>
          <w:rFonts w:asciiTheme="minorHAnsi" w:hAnsiTheme="minorHAnsi" w:cs="Arial"/>
          <w:lang w:eastAsia="cs-CZ"/>
        </w:rPr>
        <w:t> </w:t>
      </w:r>
      <w:r w:rsidRPr="00C9657D">
        <w:rPr>
          <w:rFonts w:asciiTheme="minorHAnsi" w:hAnsiTheme="minorHAnsi" w:cs="Arial"/>
          <w:lang w:eastAsia="cs-CZ"/>
        </w:rPr>
        <w:t>SLL</w:t>
      </w:r>
      <w:r w:rsidR="007F3176">
        <w:rPr>
          <w:rFonts w:asciiTheme="minorHAnsi" w:hAnsiTheme="minorHAnsi" w:cs="Arial"/>
          <w:lang w:eastAsia="cs-CZ"/>
        </w:rPr>
        <w:t> </w:t>
      </w:r>
      <w:r w:rsidRPr="00C9657D">
        <w:rPr>
          <w:rFonts w:asciiTheme="minorHAnsi" w:hAnsiTheme="minorHAnsi" w:cs="Arial"/>
          <w:lang w:eastAsia="cs-CZ"/>
        </w:rPr>
        <w:t>Janské Lázně v roce 1995. Tento proces</w:t>
      </w:r>
      <w:r w:rsidR="007F3176">
        <w:rPr>
          <w:rFonts w:asciiTheme="minorHAnsi" w:hAnsiTheme="minorHAnsi" w:cs="Arial"/>
          <w:lang w:eastAsia="cs-CZ"/>
        </w:rPr>
        <w:t xml:space="preserve"> </w:t>
      </w:r>
      <w:r w:rsidRPr="00C9657D">
        <w:rPr>
          <w:rFonts w:asciiTheme="minorHAnsi" w:hAnsiTheme="minorHAnsi" w:cs="Arial"/>
          <w:lang w:eastAsia="cs-CZ"/>
        </w:rPr>
        <w:t xml:space="preserve">byl provázen řadou vleklých majetkoprávních soudních sporů a administrativních průtahů. HL Karlova Studánka a SLL Janské Lázně byly v roce 2016 na návrh </w:t>
      </w:r>
      <w:proofErr w:type="spellStart"/>
      <w:r w:rsidRPr="00C9657D">
        <w:rPr>
          <w:rFonts w:asciiTheme="minorHAnsi" w:hAnsiTheme="minorHAnsi" w:cs="Arial"/>
          <w:lang w:eastAsia="cs-CZ"/>
        </w:rPr>
        <w:t>MZdr</w:t>
      </w:r>
      <w:proofErr w:type="spellEnd"/>
      <w:r w:rsidRPr="00C9657D">
        <w:rPr>
          <w:rFonts w:asciiTheme="minorHAnsi" w:hAnsiTheme="minorHAnsi" w:cs="Arial"/>
          <w:lang w:eastAsia="cs-CZ"/>
        </w:rPr>
        <w:t xml:space="preserve"> rozhodnutím vlády z privatizace vyjmuty</w:t>
      </w:r>
      <w:r>
        <w:rPr>
          <w:rStyle w:val="Znakapoznpodarou"/>
          <w:rFonts w:asciiTheme="minorHAnsi" w:hAnsiTheme="minorHAnsi" w:cs="Arial"/>
          <w:lang w:eastAsia="cs-CZ"/>
        </w:rPr>
        <w:footnoteReference w:id="8"/>
      </w:r>
      <w:r w:rsidRPr="00C9657D">
        <w:rPr>
          <w:rFonts w:asciiTheme="minorHAnsi" w:hAnsiTheme="minorHAnsi" w:cs="Arial"/>
          <w:lang w:eastAsia="cs-CZ"/>
        </w:rPr>
        <w:t xml:space="preserve"> a proces </w:t>
      </w:r>
      <w:proofErr w:type="spellStart"/>
      <w:r w:rsidRPr="00C9657D">
        <w:rPr>
          <w:rFonts w:asciiTheme="minorHAnsi" w:hAnsiTheme="minorHAnsi" w:cs="Arial"/>
          <w:lang w:eastAsia="cs-CZ"/>
        </w:rPr>
        <w:t>transfomace</w:t>
      </w:r>
      <w:proofErr w:type="spellEnd"/>
      <w:r w:rsidRPr="00C9657D">
        <w:rPr>
          <w:rFonts w:asciiTheme="minorHAnsi" w:hAnsiTheme="minorHAnsi" w:cs="Arial"/>
          <w:lang w:eastAsia="cs-CZ"/>
        </w:rPr>
        <w:t xml:space="preserve"> majetku SLL Bludov nebyl ani po 25 le</w:t>
      </w:r>
      <w:r w:rsidR="00632820">
        <w:rPr>
          <w:rFonts w:asciiTheme="minorHAnsi" w:hAnsiTheme="minorHAnsi" w:cs="Arial"/>
          <w:lang w:eastAsia="cs-CZ"/>
        </w:rPr>
        <w:t>tech od jeho zahájení ukončen.</w:t>
      </w:r>
    </w:p>
    <w:p w14:paraId="252D437A" w14:textId="77777777" w:rsidR="00632820" w:rsidRPr="00C9657D" w:rsidRDefault="00632820" w:rsidP="00632820">
      <w:pPr>
        <w:jc w:val="both"/>
        <w:rPr>
          <w:rFonts w:asciiTheme="minorHAnsi" w:hAnsiTheme="minorHAnsi" w:cs="Arial"/>
          <w:lang w:eastAsia="cs-CZ"/>
        </w:rPr>
      </w:pPr>
    </w:p>
    <w:p w14:paraId="54826A8C" w14:textId="77777777" w:rsidR="00D55F31" w:rsidRPr="00741161" w:rsidRDefault="0024693B" w:rsidP="00632820">
      <w:pPr>
        <w:shd w:val="clear" w:color="auto" w:fill="DBE5F1" w:themeFill="accent1" w:themeFillTint="33"/>
        <w:jc w:val="both"/>
        <w:rPr>
          <w:rFonts w:asciiTheme="minorHAnsi" w:hAnsiTheme="minorHAnsi" w:cstheme="minorHAnsi"/>
        </w:rPr>
      </w:pPr>
      <w:r w:rsidRPr="00741161">
        <w:rPr>
          <w:rFonts w:asciiTheme="minorHAnsi" w:hAnsiTheme="minorHAnsi" w:cstheme="minorHAnsi"/>
        </w:rPr>
        <w:t>Kontrola prověřila:</w:t>
      </w:r>
    </w:p>
    <w:p w14:paraId="2A3E64C9" w14:textId="20EA4BDD" w:rsidR="00D55F31" w:rsidRPr="00741161" w:rsidRDefault="0024693B" w:rsidP="00E7138D">
      <w:pPr>
        <w:pStyle w:val="Odstavecseseznamem"/>
        <w:numPr>
          <w:ilvl w:val="0"/>
          <w:numId w:val="17"/>
        </w:numPr>
        <w:shd w:val="clear" w:color="auto" w:fill="DBE5F1" w:themeFill="accent1" w:themeFillTint="33"/>
        <w:ind w:left="284" w:hanging="284"/>
        <w:jc w:val="both"/>
        <w:rPr>
          <w:rFonts w:asciiTheme="minorHAnsi" w:hAnsiTheme="minorHAnsi" w:cstheme="minorHAnsi"/>
          <w:bCs/>
          <w:iCs/>
        </w:rPr>
      </w:pPr>
      <w:r w:rsidRPr="00741161">
        <w:rPr>
          <w:rFonts w:asciiTheme="minorHAnsi" w:hAnsiTheme="minorHAnsi" w:cstheme="minorHAnsi"/>
        </w:rPr>
        <w:t xml:space="preserve">činnost </w:t>
      </w:r>
      <w:proofErr w:type="spellStart"/>
      <w:r w:rsidRPr="00741161">
        <w:rPr>
          <w:rFonts w:asciiTheme="minorHAnsi" w:hAnsiTheme="minorHAnsi" w:cstheme="minorHAnsi"/>
        </w:rPr>
        <w:t>MZdr</w:t>
      </w:r>
      <w:proofErr w:type="spellEnd"/>
      <w:r w:rsidRPr="00741161">
        <w:rPr>
          <w:rFonts w:asciiTheme="minorHAnsi" w:hAnsiTheme="minorHAnsi" w:cstheme="minorHAnsi"/>
        </w:rPr>
        <w:t xml:space="preserve">, zejména jeho výkon práv a povinností zakladatele vůči kontrolovaným státním podnikům, vymezení určeného majetku </w:t>
      </w:r>
      <w:r w:rsidR="000E7CBF" w:rsidRPr="00741161">
        <w:rPr>
          <w:rFonts w:asciiTheme="minorHAnsi" w:hAnsiTheme="minorHAnsi" w:cstheme="minorHAnsi"/>
        </w:rPr>
        <w:t>v oblasti</w:t>
      </w:r>
      <w:r w:rsidRPr="00741161">
        <w:rPr>
          <w:rFonts w:asciiTheme="minorHAnsi" w:hAnsiTheme="minorHAnsi" w:cstheme="minorHAnsi"/>
        </w:rPr>
        <w:t xml:space="preserve"> přírodních léčivých zdrojů, přírodních léčebných lázní a lázeňských míst</w:t>
      </w:r>
      <w:r w:rsidRPr="00741161">
        <w:rPr>
          <w:rFonts w:asciiTheme="minorHAnsi" w:hAnsiTheme="minorHAnsi" w:cstheme="minorHAnsi"/>
          <w:bCs/>
          <w:iCs/>
        </w:rPr>
        <w:t>;</w:t>
      </w:r>
    </w:p>
    <w:p w14:paraId="36AD4A63" w14:textId="77777777" w:rsidR="00D55F31" w:rsidRPr="00741161" w:rsidRDefault="0024693B" w:rsidP="00E7138D">
      <w:pPr>
        <w:pStyle w:val="Odstavecseseznamem"/>
        <w:numPr>
          <w:ilvl w:val="0"/>
          <w:numId w:val="17"/>
        </w:numPr>
        <w:shd w:val="clear" w:color="auto" w:fill="DBE5F1" w:themeFill="accent1" w:themeFillTint="33"/>
        <w:ind w:left="284" w:hanging="284"/>
        <w:jc w:val="both"/>
        <w:rPr>
          <w:rFonts w:asciiTheme="minorHAnsi" w:hAnsiTheme="minorHAnsi" w:cstheme="minorHAnsi"/>
          <w:bCs/>
          <w:iCs/>
        </w:rPr>
      </w:pPr>
      <w:r w:rsidRPr="00741161">
        <w:rPr>
          <w:rFonts w:asciiTheme="minorHAnsi" w:hAnsiTheme="minorHAnsi" w:cstheme="minorHAnsi"/>
          <w:bCs/>
          <w:iCs/>
        </w:rPr>
        <w:t xml:space="preserve">u státních podniků především </w:t>
      </w:r>
      <w:r w:rsidR="000E7CBF" w:rsidRPr="00741161">
        <w:rPr>
          <w:rFonts w:asciiTheme="minorHAnsi" w:hAnsiTheme="minorHAnsi" w:cstheme="minorHAnsi"/>
          <w:bCs/>
          <w:iCs/>
        </w:rPr>
        <w:t xml:space="preserve">jejich </w:t>
      </w:r>
      <w:r w:rsidRPr="00741161">
        <w:rPr>
          <w:rFonts w:asciiTheme="minorHAnsi" w:hAnsiTheme="minorHAnsi" w:cstheme="minorHAnsi"/>
          <w:bCs/>
          <w:iCs/>
        </w:rPr>
        <w:t xml:space="preserve">hospodaření, zejména vybrané výnosy a náklady, nakládání s určeným majetkem, zadávání veřejných zakázek a poskytování lázeňské péče. </w:t>
      </w:r>
    </w:p>
    <w:p w14:paraId="310B89DD" w14:textId="77777777" w:rsidR="00632820" w:rsidRPr="00632820" w:rsidRDefault="00632820" w:rsidP="00632820">
      <w:pPr>
        <w:jc w:val="both"/>
        <w:rPr>
          <w:rFonts w:asciiTheme="minorHAnsi" w:hAnsiTheme="minorHAnsi" w:cstheme="minorHAnsi"/>
          <w:spacing w:val="-2"/>
          <w:sz w:val="22"/>
          <w:szCs w:val="20"/>
        </w:rPr>
      </w:pPr>
    </w:p>
    <w:p w14:paraId="22B4AB38" w14:textId="576D2165" w:rsidR="00D55F31" w:rsidRDefault="0024693B" w:rsidP="00632820">
      <w:pPr>
        <w:jc w:val="both"/>
        <w:rPr>
          <w:rFonts w:asciiTheme="minorHAnsi" w:hAnsiTheme="minorHAnsi" w:cstheme="minorHAnsi"/>
          <w:spacing w:val="-2"/>
          <w:sz w:val="20"/>
          <w:szCs w:val="20"/>
        </w:rPr>
      </w:pPr>
      <w:r w:rsidRPr="00205868">
        <w:rPr>
          <w:rFonts w:asciiTheme="minorHAnsi" w:hAnsiTheme="minorHAnsi" w:cstheme="minorHAnsi"/>
          <w:b/>
          <w:spacing w:val="-2"/>
          <w:sz w:val="20"/>
          <w:szCs w:val="20"/>
        </w:rPr>
        <w:t>Pozn.:</w:t>
      </w:r>
      <w:r w:rsidRPr="00C9657D">
        <w:rPr>
          <w:rFonts w:asciiTheme="minorHAnsi" w:hAnsiTheme="minorHAnsi" w:cstheme="minorHAnsi"/>
          <w:spacing w:val="-2"/>
          <w:sz w:val="20"/>
          <w:szCs w:val="20"/>
        </w:rPr>
        <w:tab/>
        <w:t>Právní předpisy uváděné v tomto kontrolním závěru jsou ve znění účinném pro kontrolované období.</w:t>
      </w:r>
    </w:p>
    <w:p w14:paraId="08194536" w14:textId="77777777" w:rsidR="00D55F31" w:rsidRDefault="0024693B" w:rsidP="0002290A">
      <w:pPr>
        <w:rPr>
          <w:rFonts w:asciiTheme="minorHAnsi" w:hAnsiTheme="minorHAnsi" w:cstheme="minorHAnsi"/>
          <w:spacing w:val="-2"/>
          <w:sz w:val="20"/>
          <w:szCs w:val="20"/>
        </w:rPr>
      </w:pPr>
      <w:r>
        <w:rPr>
          <w:rFonts w:asciiTheme="minorHAnsi" w:hAnsiTheme="minorHAnsi" w:cstheme="minorHAnsi"/>
          <w:spacing w:val="-2"/>
          <w:sz w:val="20"/>
          <w:szCs w:val="20"/>
        </w:rPr>
        <w:br w:type="page"/>
      </w:r>
    </w:p>
    <w:p w14:paraId="4C80CF21" w14:textId="77777777" w:rsidR="00D55F31" w:rsidRPr="00632820" w:rsidRDefault="00632820" w:rsidP="00632820">
      <w:pPr>
        <w:spacing w:before="480"/>
        <w:jc w:val="center"/>
        <w:rPr>
          <w:rFonts w:asciiTheme="minorHAnsi" w:hAnsiTheme="minorHAnsi" w:cstheme="minorHAnsi"/>
          <w:b/>
          <w:sz w:val="28"/>
          <w:szCs w:val="28"/>
        </w:rPr>
      </w:pPr>
      <w:r>
        <w:rPr>
          <w:rFonts w:asciiTheme="minorHAnsi" w:hAnsiTheme="minorHAnsi" w:cstheme="minorHAnsi"/>
          <w:b/>
          <w:sz w:val="28"/>
          <w:szCs w:val="28"/>
        </w:rPr>
        <w:lastRenderedPageBreak/>
        <w:t xml:space="preserve">II. </w:t>
      </w:r>
      <w:r w:rsidR="0024693B" w:rsidRPr="00632820">
        <w:rPr>
          <w:rFonts w:asciiTheme="minorHAnsi" w:hAnsiTheme="minorHAnsi" w:cstheme="minorHAnsi"/>
          <w:b/>
          <w:sz w:val="28"/>
          <w:szCs w:val="28"/>
        </w:rPr>
        <w:t>Skutečnosti zjištěné při kontrole</w:t>
      </w:r>
    </w:p>
    <w:p w14:paraId="04970CC5" w14:textId="77777777" w:rsidR="00D55F31" w:rsidRPr="0083497B" w:rsidRDefault="0024693B" w:rsidP="00E7138D">
      <w:pPr>
        <w:pStyle w:val="Odstavecseseznamem"/>
        <w:numPr>
          <w:ilvl w:val="0"/>
          <w:numId w:val="3"/>
        </w:numPr>
        <w:spacing w:before="240"/>
        <w:ind w:left="284" w:hanging="284"/>
        <w:jc w:val="both"/>
        <w:rPr>
          <w:rFonts w:asciiTheme="minorHAnsi" w:hAnsiTheme="minorHAnsi" w:cstheme="minorHAnsi"/>
          <w:b/>
          <w:bCs/>
          <w:lang w:eastAsia="cs-CZ"/>
        </w:rPr>
      </w:pPr>
      <w:r w:rsidRPr="0083497B">
        <w:rPr>
          <w:rFonts w:asciiTheme="minorHAnsi" w:hAnsiTheme="minorHAnsi" w:cstheme="minorHAnsi"/>
          <w:b/>
          <w:bCs/>
          <w:lang w:eastAsia="cs-CZ"/>
        </w:rPr>
        <w:t>Práva a povinnosti zakladatele</w:t>
      </w:r>
    </w:p>
    <w:p w14:paraId="31D184A2" w14:textId="10A6FDCE" w:rsidR="00D55F31" w:rsidRPr="00125199" w:rsidRDefault="00125199" w:rsidP="00125199">
      <w:pPr>
        <w:spacing w:before="240"/>
        <w:jc w:val="both"/>
        <w:rPr>
          <w:rFonts w:asciiTheme="minorHAnsi" w:hAnsiTheme="minorHAnsi" w:cstheme="minorHAnsi"/>
          <w:b/>
          <w:bCs/>
          <w:lang w:eastAsia="cs-CZ"/>
        </w:rPr>
      </w:pPr>
      <w:r>
        <w:rPr>
          <w:rFonts w:asciiTheme="minorHAnsi" w:hAnsiTheme="minorHAnsi" w:cstheme="minorHAnsi"/>
          <w:b/>
          <w:bCs/>
          <w:lang w:eastAsia="cs-CZ"/>
        </w:rPr>
        <w:t>1.1</w:t>
      </w:r>
      <w:r w:rsidR="001F5AA5" w:rsidRPr="00125199">
        <w:rPr>
          <w:rFonts w:asciiTheme="minorHAnsi" w:hAnsiTheme="minorHAnsi" w:cstheme="minorHAnsi"/>
          <w:b/>
          <w:bCs/>
          <w:lang w:eastAsia="cs-CZ"/>
        </w:rPr>
        <w:t xml:space="preserve"> </w:t>
      </w:r>
      <w:r w:rsidR="0024693B" w:rsidRPr="00125199">
        <w:rPr>
          <w:rFonts w:asciiTheme="minorHAnsi" w:hAnsiTheme="minorHAnsi" w:cstheme="minorHAnsi"/>
          <w:b/>
          <w:bCs/>
          <w:lang w:eastAsia="cs-CZ"/>
        </w:rPr>
        <w:t>Zakládací listiny</w:t>
      </w:r>
    </w:p>
    <w:p w14:paraId="4DDA14FD" w14:textId="77777777" w:rsidR="00D55F31" w:rsidRPr="00C9657D" w:rsidRDefault="0024693B" w:rsidP="0002290A">
      <w:pPr>
        <w:spacing w:before="120"/>
        <w:jc w:val="both"/>
        <w:rPr>
          <w:rFonts w:asciiTheme="minorHAnsi" w:hAnsiTheme="minorHAnsi" w:cstheme="minorHAnsi"/>
          <w:bCs/>
          <w:lang w:eastAsia="cs-CZ"/>
        </w:rPr>
      </w:pPr>
      <w:r w:rsidRPr="00C9657D">
        <w:rPr>
          <w:rFonts w:asciiTheme="minorHAnsi" w:hAnsiTheme="minorHAnsi" w:cstheme="minorHAnsi"/>
          <w:bCs/>
          <w:lang w:eastAsia="cs-CZ"/>
        </w:rPr>
        <w:t>Kontrolou úplných znění zakládacích listin platných v kontrolovaném období bylo zjištěno, že neobsahovaly některé aktuální údaje podle ustanovení zákona o státním podniku</w:t>
      </w:r>
      <w:r>
        <w:rPr>
          <w:rStyle w:val="Znakapoznpodarou"/>
          <w:rFonts w:asciiTheme="minorHAnsi" w:hAnsiTheme="minorHAnsi" w:cstheme="minorHAnsi"/>
          <w:bCs/>
          <w:lang w:eastAsia="cs-CZ"/>
        </w:rPr>
        <w:footnoteReference w:id="9"/>
      </w:r>
      <w:r w:rsidRPr="00C9657D">
        <w:rPr>
          <w:rFonts w:asciiTheme="minorHAnsi" w:hAnsiTheme="minorHAnsi" w:cstheme="minorHAnsi"/>
          <w:bCs/>
          <w:lang w:eastAsia="cs-CZ"/>
        </w:rPr>
        <w:t>. U všech čtyř kontrolovaných státních podniků se např. jednalo o:</w:t>
      </w:r>
    </w:p>
    <w:p w14:paraId="42641B75" w14:textId="77777777" w:rsidR="00D55F31" w:rsidRPr="00C9657D" w:rsidRDefault="0024693B" w:rsidP="00AF4954">
      <w:pPr>
        <w:pStyle w:val="Odstavecseseznamem"/>
        <w:numPr>
          <w:ilvl w:val="0"/>
          <w:numId w:val="24"/>
        </w:numPr>
        <w:ind w:left="284" w:hanging="284"/>
        <w:jc w:val="both"/>
        <w:rPr>
          <w:rFonts w:asciiTheme="minorHAnsi" w:hAnsiTheme="minorHAnsi" w:cstheme="minorHAnsi"/>
          <w:bCs/>
          <w:lang w:eastAsia="cs-CZ"/>
        </w:rPr>
      </w:pPr>
      <w:r w:rsidRPr="00C9657D">
        <w:rPr>
          <w:rFonts w:asciiTheme="minorHAnsi" w:hAnsiTheme="minorHAnsi" w:cstheme="minorHAnsi"/>
          <w:bCs/>
          <w:lang w:eastAsia="cs-CZ"/>
        </w:rPr>
        <w:t xml:space="preserve">údaje o členech dozorčí rady jmenovaných zakladatelem; </w:t>
      </w:r>
    </w:p>
    <w:p w14:paraId="157E2069" w14:textId="77777777" w:rsidR="00D55F31" w:rsidRPr="00C9657D" w:rsidRDefault="0024693B" w:rsidP="00AF4954">
      <w:pPr>
        <w:pStyle w:val="Odstavecseseznamem"/>
        <w:numPr>
          <w:ilvl w:val="0"/>
          <w:numId w:val="24"/>
        </w:numPr>
        <w:ind w:left="284" w:hanging="284"/>
        <w:jc w:val="both"/>
        <w:rPr>
          <w:rFonts w:asciiTheme="minorHAnsi" w:hAnsiTheme="minorHAnsi" w:cstheme="minorHAnsi"/>
          <w:bCs/>
          <w:lang w:eastAsia="cs-CZ"/>
        </w:rPr>
      </w:pPr>
      <w:r w:rsidRPr="00C9657D">
        <w:rPr>
          <w:rFonts w:asciiTheme="minorHAnsi" w:hAnsiTheme="minorHAnsi" w:cstheme="minorHAnsi"/>
          <w:bCs/>
          <w:lang w:eastAsia="cs-CZ"/>
        </w:rPr>
        <w:t xml:space="preserve">údaje o osobě oprávněné jednat jménem </w:t>
      </w:r>
      <w:proofErr w:type="spellStart"/>
      <w:r w:rsidRPr="00C9657D">
        <w:rPr>
          <w:rFonts w:asciiTheme="minorHAnsi" w:hAnsiTheme="minorHAnsi" w:cstheme="minorHAnsi"/>
          <w:bCs/>
          <w:lang w:eastAsia="cs-CZ"/>
        </w:rPr>
        <w:t>MZdr</w:t>
      </w:r>
      <w:proofErr w:type="spellEnd"/>
      <w:r w:rsidRPr="00C9657D">
        <w:rPr>
          <w:rFonts w:asciiTheme="minorHAnsi" w:hAnsiTheme="minorHAnsi" w:cstheme="minorHAnsi"/>
          <w:bCs/>
          <w:lang w:eastAsia="cs-CZ"/>
        </w:rPr>
        <w:t xml:space="preserve"> vykonávajícího funkci zakladatele.</w:t>
      </w:r>
    </w:p>
    <w:p w14:paraId="22AE2BDF" w14:textId="77777777" w:rsidR="00D55F31" w:rsidRPr="00C9657D" w:rsidRDefault="0024693B" w:rsidP="00AF4954">
      <w:pPr>
        <w:spacing w:before="120"/>
        <w:jc w:val="both"/>
        <w:rPr>
          <w:rFonts w:asciiTheme="minorHAnsi" w:hAnsiTheme="minorHAnsi" w:cstheme="minorHAnsi"/>
          <w:bCs/>
          <w:lang w:eastAsia="cs-CZ"/>
        </w:rPr>
      </w:pPr>
      <w:r w:rsidRPr="00C9657D">
        <w:rPr>
          <w:rFonts w:asciiTheme="minorHAnsi" w:hAnsiTheme="minorHAnsi" w:cstheme="minorHAnsi"/>
          <w:bCs/>
          <w:lang w:eastAsia="cs-CZ"/>
        </w:rPr>
        <w:t>V případě jednoho státního podniku se jednalo o údaje o řediteli státního podniku.</w:t>
      </w:r>
    </w:p>
    <w:p w14:paraId="0ED5C7AE" w14:textId="716380B4" w:rsidR="00D55F31" w:rsidRPr="007F3176" w:rsidRDefault="007F3176" w:rsidP="007F3176">
      <w:pPr>
        <w:spacing w:before="240"/>
        <w:jc w:val="both"/>
        <w:rPr>
          <w:rFonts w:asciiTheme="minorHAnsi" w:hAnsiTheme="minorHAnsi" w:cstheme="minorHAnsi"/>
          <w:b/>
          <w:bCs/>
          <w:lang w:eastAsia="cs-CZ"/>
        </w:rPr>
      </w:pPr>
      <w:r>
        <w:rPr>
          <w:rFonts w:asciiTheme="minorHAnsi" w:hAnsiTheme="minorHAnsi" w:cstheme="minorHAnsi"/>
          <w:b/>
          <w:bCs/>
          <w:lang w:eastAsia="cs-CZ"/>
        </w:rPr>
        <w:t xml:space="preserve">1.2 </w:t>
      </w:r>
      <w:r w:rsidR="0024693B" w:rsidRPr="007F3176">
        <w:rPr>
          <w:rFonts w:asciiTheme="minorHAnsi" w:hAnsiTheme="minorHAnsi" w:cstheme="minorHAnsi"/>
          <w:b/>
          <w:bCs/>
          <w:lang w:eastAsia="cs-CZ"/>
        </w:rPr>
        <w:t>Určený majetek</w:t>
      </w:r>
    </w:p>
    <w:p w14:paraId="3A5A247F" w14:textId="114D746D" w:rsidR="00D55F31" w:rsidRPr="00C9657D" w:rsidRDefault="0024693B" w:rsidP="0002290A">
      <w:pPr>
        <w:spacing w:before="120"/>
        <w:jc w:val="both"/>
        <w:rPr>
          <w:rFonts w:asciiTheme="minorHAnsi" w:hAnsiTheme="minorHAnsi" w:cstheme="minorHAnsi"/>
          <w:bCs/>
          <w:lang w:eastAsia="cs-CZ"/>
        </w:rPr>
      </w:pPr>
      <w:r w:rsidRPr="00C9657D">
        <w:rPr>
          <w:rFonts w:asciiTheme="minorHAnsi" w:hAnsiTheme="minorHAnsi" w:cstheme="minorHAnsi"/>
          <w:bCs/>
          <w:lang w:eastAsia="cs-CZ"/>
        </w:rPr>
        <w:t>Kontrolou úplných znění zakládacích listin platných v kontrolovaném období bylo zjištěno, že</w:t>
      </w:r>
      <w:r w:rsidR="007F3176">
        <w:rPr>
          <w:rFonts w:asciiTheme="minorHAnsi" w:hAnsiTheme="minorHAnsi" w:cstheme="minorHAnsi"/>
          <w:bCs/>
          <w:lang w:eastAsia="cs-CZ"/>
        </w:rPr>
        <w:t xml:space="preserve"> </w:t>
      </w:r>
      <w:r w:rsidRPr="00C9657D">
        <w:rPr>
          <w:rFonts w:asciiTheme="minorHAnsi" w:hAnsiTheme="minorHAnsi" w:cstheme="minorHAnsi"/>
          <w:bCs/>
          <w:lang w:eastAsia="cs-CZ"/>
        </w:rPr>
        <w:t>nedílnou součástí zakládacích listin bylo vymezení určeného majetku</w:t>
      </w:r>
      <w:r>
        <w:rPr>
          <w:rStyle w:val="Znakapoznpodarou"/>
          <w:rFonts w:asciiTheme="minorHAnsi" w:hAnsiTheme="minorHAnsi" w:cstheme="minorHAnsi"/>
          <w:bCs/>
          <w:lang w:eastAsia="cs-CZ"/>
        </w:rPr>
        <w:footnoteReference w:id="10"/>
      </w:r>
      <w:r w:rsidRPr="00C9657D">
        <w:rPr>
          <w:rFonts w:asciiTheme="minorHAnsi" w:hAnsiTheme="minorHAnsi" w:cstheme="minorHAnsi"/>
          <w:bCs/>
          <w:lang w:eastAsia="cs-CZ"/>
        </w:rPr>
        <w:t>.</w:t>
      </w:r>
    </w:p>
    <w:p w14:paraId="2F36DE26" w14:textId="77777777" w:rsidR="002D142F" w:rsidRPr="002D142F" w:rsidRDefault="0024693B" w:rsidP="0002290A">
      <w:pPr>
        <w:spacing w:before="120"/>
        <w:jc w:val="both"/>
        <w:rPr>
          <w:rFonts w:asciiTheme="minorHAnsi" w:hAnsiTheme="minorHAnsi" w:cstheme="minorHAnsi"/>
          <w:bCs/>
          <w:lang w:eastAsia="cs-CZ"/>
        </w:rPr>
      </w:pPr>
      <w:r w:rsidRPr="002D142F">
        <w:rPr>
          <w:rFonts w:asciiTheme="minorHAnsi" w:hAnsiTheme="minorHAnsi" w:cstheme="minorHAnsi"/>
          <w:bCs/>
          <w:lang w:eastAsia="cs-CZ"/>
        </w:rPr>
        <w:t>Stání podniky měly určený majetek vymezen a oceněn k poslední změně jejich úplných znění zakládacích listin</w:t>
      </w:r>
      <w:r w:rsidR="002D142F">
        <w:rPr>
          <w:rFonts w:asciiTheme="minorHAnsi" w:hAnsiTheme="minorHAnsi" w:cstheme="minorHAnsi"/>
          <w:bCs/>
          <w:lang w:eastAsia="cs-CZ"/>
        </w:rPr>
        <w:t>. Určený majetek u:</w:t>
      </w:r>
    </w:p>
    <w:p w14:paraId="66F5329E" w14:textId="77777777" w:rsidR="002D142F" w:rsidRPr="002D142F" w:rsidRDefault="0024693B" w:rsidP="007F3176">
      <w:pPr>
        <w:pStyle w:val="Odstavecseseznamem"/>
        <w:numPr>
          <w:ilvl w:val="0"/>
          <w:numId w:val="30"/>
        </w:numPr>
        <w:ind w:left="284" w:hanging="284"/>
        <w:jc w:val="both"/>
        <w:rPr>
          <w:rFonts w:asciiTheme="minorHAnsi" w:hAnsiTheme="minorHAnsi" w:cstheme="minorHAnsi"/>
          <w:bCs/>
          <w:lang w:eastAsia="cs-CZ"/>
        </w:rPr>
      </w:pPr>
      <w:r w:rsidRPr="002D142F">
        <w:rPr>
          <w:rFonts w:asciiTheme="minorHAnsi" w:hAnsiTheme="minorHAnsi" w:cstheme="minorHAnsi"/>
          <w:bCs/>
          <w:lang w:eastAsia="cs-CZ"/>
        </w:rPr>
        <w:t xml:space="preserve">BALMED Praha </w:t>
      </w:r>
      <w:r w:rsidR="002D142F">
        <w:rPr>
          <w:rFonts w:asciiTheme="minorHAnsi" w:hAnsiTheme="minorHAnsi" w:cstheme="minorHAnsi"/>
          <w:bCs/>
          <w:lang w:eastAsia="cs-CZ"/>
        </w:rPr>
        <w:t xml:space="preserve">byl </w:t>
      </w:r>
      <w:r w:rsidR="002D142F" w:rsidRPr="002D142F">
        <w:rPr>
          <w:rFonts w:asciiTheme="minorHAnsi" w:hAnsiTheme="minorHAnsi" w:cstheme="minorHAnsi"/>
          <w:bCs/>
          <w:lang w:eastAsia="cs-CZ"/>
        </w:rPr>
        <w:t>položkově vymezen, ale oceněn pouze v </w:t>
      </w:r>
      <w:proofErr w:type="spellStart"/>
      <w:r w:rsidR="002D142F" w:rsidRPr="002D142F">
        <w:rPr>
          <w:rFonts w:asciiTheme="minorHAnsi" w:hAnsiTheme="minorHAnsi" w:cstheme="minorHAnsi"/>
          <w:bCs/>
          <w:lang w:eastAsia="cs-CZ"/>
        </w:rPr>
        <w:t>souhrné</w:t>
      </w:r>
      <w:proofErr w:type="spellEnd"/>
      <w:r w:rsidR="002D142F" w:rsidRPr="002D142F">
        <w:rPr>
          <w:rFonts w:asciiTheme="minorHAnsi" w:hAnsiTheme="minorHAnsi" w:cstheme="minorHAnsi"/>
          <w:bCs/>
          <w:lang w:eastAsia="cs-CZ"/>
        </w:rPr>
        <w:t xml:space="preserve"> částce ke dni</w:t>
      </w:r>
      <w:r w:rsidRPr="002D142F">
        <w:rPr>
          <w:rFonts w:asciiTheme="minorHAnsi" w:hAnsiTheme="minorHAnsi" w:cstheme="minorHAnsi"/>
          <w:bCs/>
          <w:lang w:eastAsia="cs-CZ"/>
        </w:rPr>
        <w:t xml:space="preserve"> 31. 12. 2008</w:t>
      </w:r>
      <w:r w:rsidR="0024570C">
        <w:rPr>
          <w:rFonts w:asciiTheme="minorHAnsi" w:hAnsiTheme="minorHAnsi" w:cstheme="minorHAnsi"/>
          <w:bCs/>
          <w:lang w:eastAsia="cs-CZ"/>
        </w:rPr>
        <w:t>;</w:t>
      </w:r>
      <w:r w:rsidR="0024570C" w:rsidRPr="002D142F">
        <w:rPr>
          <w:rFonts w:asciiTheme="minorHAnsi" w:hAnsiTheme="minorHAnsi" w:cstheme="minorHAnsi"/>
          <w:bCs/>
          <w:lang w:eastAsia="cs-CZ"/>
        </w:rPr>
        <w:t xml:space="preserve"> </w:t>
      </w:r>
    </w:p>
    <w:p w14:paraId="67A3B6EE" w14:textId="77777777" w:rsidR="002D142F" w:rsidRPr="002D142F" w:rsidRDefault="0024693B" w:rsidP="007F3176">
      <w:pPr>
        <w:pStyle w:val="Odstavecseseznamem"/>
        <w:numPr>
          <w:ilvl w:val="0"/>
          <w:numId w:val="30"/>
        </w:numPr>
        <w:ind w:left="284" w:hanging="284"/>
        <w:jc w:val="both"/>
        <w:rPr>
          <w:rFonts w:asciiTheme="minorHAnsi" w:hAnsiTheme="minorHAnsi" w:cstheme="minorHAnsi"/>
          <w:bCs/>
          <w:lang w:eastAsia="cs-CZ"/>
        </w:rPr>
      </w:pPr>
      <w:r w:rsidRPr="002D142F">
        <w:rPr>
          <w:rFonts w:asciiTheme="minorHAnsi" w:hAnsiTheme="minorHAnsi" w:cstheme="minorHAnsi"/>
          <w:bCs/>
          <w:lang w:eastAsia="cs-CZ"/>
        </w:rPr>
        <w:t xml:space="preserve">SLL Bludov </w:t>
      </w:r>
      <w:r w:rsidR="002D142F">
        <w:rPr>
          <w:rFonts w:asciiTheme="minorHAnsi" w:hAnsiTheme="minorHAnsi" w:cstheme="minorHAnsi"/>
          <w:bCs/>
          <w:lang w:eastAsia="cs-CZ"/>
        </w:rPr>
        <w:t>nebyl</w:t>
      </w:r>
      <w:r w:rsidR="0024570C">
        <w:rPr>
          <w:rFonts w:asciiTheme="minorHAnsi" w:hAnsiTheme="minorHAnsi" w:cstheme="minorHAnsi"/>
          <w:bCs/>
          <w:lang w:eastAsia="cs-CZ"/>
        </w:rPr>
        <w:t xml:space="preserve"> </w:t>
      </w:r>
      <w:r w:rsidR="002D142F" w:rsidRPr="002D142F">
        <w:rPr>
          <w:rFonts w:asciiTheme="minorHAnsi" w:hAnsiTheme="minorHAnsi" w:cstheme="minorHAnsi"/>
          <w:bCs/>
          <w:lang w:eastAsia="cs-CZ"/>
        </w:rPr>
        <w:t xml:space="preserve">položkově vymezen, ale pouze oceněn </w:t>
      </w:r>
      <w:r w:rsidRPr="002D142F">
        <w:rPr>
          <w:rFonts w:asciiTheme="minorHAnsi" w:hAnsiTheme="minorHAnsi" w:cstheme="minorHAnsi"/>
          <w:bCs/>
          <w:lang w:eastAsia="cs-CZ"/>
        </w:rPr>
        <w:t>ke dni 31. 12. 2011</w:t>
      </w:r>
      <w:r w:rsidR="0024570C">
        <w:rPr>
          <w:rFonts w:asciiTheme="minorHAnsi" w:hAnsiTheme="minorHAnsi" w:cstheme="minorHAnsi"/>
          <w:bCs/>
          <w:lang w:eastAsia="cs-CZ"/>
        </w:rPr>
        <w:t>;</w:t>
      </w:r>
      <w:r w:rsidR="0024570C" w:rsidRPr="002D142F">
        <w:rPr>
          <w:rFonts w:asciiTheme="minorHAnsi" w:hAnsiTheme="minorHAnsi" w:cstheme="minorHAnsi"/>
          <w:bCs/>
          <w:lang w:eastAsia="cs-CZ"/>
        </w:rPr>
        <w:t xml:space="preserve"> </w:t>
      </w:r>
    </w:p>
    <w:p w14:paraId="0EADB902" w14:textId="77777777" w:rsidR="002D142F" w:rsidRPr="002D142F" w:rsidRDefault="0024693B" w:rsidP="007F3176">
      <w:pPr>
        <w:pStyle w:val="Odstavecseseznamem"/>
        <w:numPr>
          <w:ilvl w:val="0"/>
          <w:numId w:val="30"/>
        </w:numPr>
        <w:ind w:left="284" w:hanging="284"/>
        <w:jc w:val="both"/>
        <w:rPr>
          <w:rFonts w:asciiTheme="minorHAnsi" w:hAnsiTheme="minorHAnsi" w:cstheme="minorHAnsi"/>
          <w:bCs/>
          <w:lang w:eastAsia="cs-CZ"/>
        </w:rPr>
      </w:pPr>
      <w:r w:rsidRPr="002D142F">
        <w:rPr>
          <w:rFonts w:asciiTheme="minorHAnsi" w:hAnsiTheme="minorHAnsi" w:cstheme="minorHAnsi"/>
          <w:bCs/>
          <w:lang w:eastAsia="cs-CZ"/>
        </w:rPr>
        <w:t xml:space="preserve">SLL Janské Lázně </w:t>
      </w:r>
      <w:r w:rsidR="002D142F">
        <w:rPr>
          <w:rFonts w:asciiTheme="minorHAnsi" w:hAnsiTheme="minorHAnsi" w:cstheme="minorHAnsi"/>
          <w:bCs/>
          <w:lang w:eastAsia="cs-CZ"/>
        </w:rPr>
        <w:t>byl</w:t>
      </w:r>
      <w:r w:rsidR="002D142F" w:rsidRPr="002D142F">
        <w:rPr>
          <w:rFonts w:asciiTheme="minorHAnsi" w:hAnsiTheme="minorHAnsi" w:cstheme="minorHAnsi"/>
          <w:bCs/>
          <w:lang w:eastAsia="cs-CZ"/>
        </w:rPr>
        <w:t xml:space="preserve"> </w:t>
      </w:r>
      <w:r w:rsidR="006B5AE3">
        <w:rPr>
          <w:rFonts w:asciiTheme="minorHAnsi" w:hAnsiTheme="minorHAnsi" w:cstheme="minorHAnsi"/>
          <w:bCs/>
          <w:lang w:eastAsia="cs-CZ"/>
        </w:rPr>
        <w:t>položkově</w:t>
      </w:r>
      <w:r w:rsidR="006B5AE3" w:rsidRPr="002D142F">
        <w:rPr>
          <w:rFonts w:asciiTheme="minorHAnsi" w:hAnsiTheme="minorHAnsi" w:cstheme="minorHAnsi"/>
          <w:bCs/>
          <w:lang w:eastAsia="cs-CZ"/>
        </w:rPr>
        <w:t xml:space="preserve"> </w:t>
      </w:r>
      <w:r w:rsidR="002D142F" w:rsidRPr="002D142F">
        <w:rPr>
          <w:rFonts w:asciiTheme="minorHAnsi" w:hAnsiTheme="minorHAnsi" w:cstheme="minorHAnsi"/>
          <w:bCs/>
          <w:lang w:eastAsia="cs-CZ"/>
        </w:rPr>
        <w:t xml:space="preserve">vymezen a oceněn </w:t>
      </w:r>
      <w:r w:rsidRPr="002D142F">
        <w:rPr>
          <w:rFonts w:asciiTheme="minorHAnsi" w:hAnsiTheme="minorHAnsi" w:cstheme="minorHAnsi"/>
          <w:bCs/>
          <w:lang w:eastAsia="cs-CZ"/>
        </w:rPr>
        <w:t xml:space="preserve">ke dni 30. 6. 2013 a HL Karlova Studánka ke dni 31. 8. 2013. </w:t>
      </w:r>
    </w:p>
    <w:p w14:paraId="399F2E76" w14:textId="68BF4FBC" w:rsidR="00D55F31" w:rsidRPr="002D142F" w:rsidRDefault="0024693B" w:rsidP="00AF4954">
      <w:pPr>
        <w:spacing w:before="120"/>
        <w:jc w:val="both"/>
        <w:rPr>
          <w:rFonts w:asciiTheme="minorHAnsi" w:hAnsiTheme="minorHAnsi" w:cstheme="minorHAnsi"/>
          <w:bCs/>
          <w:lang w:eastAsia="cs-CZ"/>
        </w:rPr>
      </w:pPr>
      <w:r w:rsidRPr="002D142F">
        <w:rPr>
          <w:rFonts w:asciiTheme="minorHAnsi" w:hAnsiTheme="minorHAnsi" w:cstheme="minorHAnsi"/>
          <w:bCs/>
          <w:lang w:eastAsia="cs-CZ"/>
        </w:rPr>
        <w:t xml:space="preserve">Od posledního </w:t>
      </w:r>
      <w:r w:rsidR="000E7CBF" w:rsidRPr="002D142F">
        <w:rPr>
          <w:rFonts w:asciiTheme="minorHAnsi" w:hAnsiTheme="minorHAnsi" w:cstheme="minorHAnsi"/>
          <w:bCs/>
          <w:lang w:eastAsia="cs-CZ"/>
        </w:rPr>
        <w:t xml:space="preserve">úplného </w:t>
      </w:r>
      <w:r w:rsidRPr="002D142F">
        <w:rPr>
          <w:rFonts w:asciiTheme="minorHAnsi" w:hAnsiTheme="minorHAnsi" w:cstheme="minorHAnsi"/>
          <w:bCs/>
          <w:lang w:eastAsia="cs-CZ"/>
        </w:rPr>
        <w:t>znění zakládacích listin docházelo ke</w:t>
      </w:r>
      <w:r w:rsidR="007F3176">
        <w:rPr>
          <w:rFonts w:asciiTheme="minorHAnsi" w:hAnsiTheme="minorHAnsi" w:cstheme="minorHAnsi"/>
          <w:bCs/>
          <w:lang w:eastAsia="cs-CZ"/>
        </w:rPr>
        <w:t xml:space="preserve"> </w:t>
      </w:r>
      <w:r w:rsidRPr="002D142F">
        <w:rPr>
          <w:rFonts w:asciiTheme="minorHAnsi" w:hAnsiTheme="minorHAnsi" w:cstheme="minorHAnsi"/>
          <w:bCs/>
          <w:lang w:eastAsia="cs-CZ"/>
        </w:rPr>
        <w:t>změnám určeného majetku. Například u BALMED Praha došlo k úbytku určeného majetku celkem o 4 688 tis. Kč a</w:t>
      </w:r>
      <w:r w:rsidR="007F3176">
        <w:rPr>
          <w:rFonts w:asciiTheme="minorHAnsi" w:hAnsiTheme="minorHAnsi" w:cstheme="minorHAnsi"/>
          <w:bCs/>
          <w:lang w:eastAsia="cs-CZ"/>
        </w:rPr>
        <w:t> </w:t>
      </w:r>
      <w:r w:rsidRPr="002D142F">
        <w:rPr>
          <w:rFonts w:asciiTheme="minorHAnsi" w:hAnsiTheme="minorHAnsi" w:cstheme="minorHAnsi"/>
          <w:bCs/>
          <w:lang w:eastAsia="cs-CZ"/>
        </w:rPr>
        <w:t>u</w:t>
      </w:r>
      <w:r w:rsidR="007F3176">
        <w:rPr>
          <w:rFonts w:asciiTheme="minorHAnsi" w:hAnsiTheme="minorHAnsi" w:cstheme="minorHAnsi"/>
          <w:bCs/>
          <w:lang w:eastAsia="cs-CZ"/>
        </w:rPr>
        <w:t> </w:t>
      </w:r>
      <w:r w:rsidRPr="002D142F">
        <w:rPr>
          <w:rFonts w:asciiTheme="minorHAnsi" w:hAnsiTheme="minorHAnsi" w:cstheme="minorHAnsi"/>
          <w:bCs/>
          <w:lang w:eastAsia="cs-CZ"/>
        </w:rPr>
        <w:t>SLL</w:t>
      </w:r>
      <w:r w:rsidR="007F3176">
        <w:rPr>
          <w:rFonts w:asciiTheme="minorHAnsi" w:hAnsiTheme="minorHAnsi" w:cstheme="minorHAnsi"/>
          <w:bCs/>
          <w:lang w:eastAsia="cs-CZ"/>
        </w:rPr>
        <w:t> </w:t>
      </w:r>
      <w:r w:rsidRPr="002D142F">
        <w:rPr>
          <w:rFonts w:asciiTheme="minorHAnsi" w:hAnsiTheme="minorHAnsi" w:cstheme="minorHAnsi"/>
          <w:bCs/>
          <w:lang w:eastAsia="cs-CZ"/>
        </w:rPr>
        <w:t>Bludov ke změnám spoluvlastnického podílu</w:t>
      </w:r>
      <w:r w:rsidR="000E7CBF" w:rsidRPr="002D142F">
        <w:rPr>
          <w:rStyle w:val="Znakapoznpodarou"/>
          <w:rFonts w:asciiTheme="minorHAnsi" w:hAnsiTheme="minorHAnsi" w:cstheme="minorHAnsi"/>
          <w:bCs/>
          <w:lang w:eastAsia="cs-CZ"/>
        </w:rPr>
        <w:footnoteReference w:id="11"/>
      </w:r>
      <w:r w:rsidRPr="002D142F">
        <w:rPr>
          <w:rFonts w:asciiTheme="minorHAnsi" w:hAnsiTheme="minorHAnsi" w:cstheme="minorHAnsi"/>
          <w:bCs/>
          <w:lang w:eastAsia="cs-CZ"/>
        </w:rPr>
        <w:t xml:space="preserve">. </w:t>
      </w:r>
    </w:p>
    <w:p w14:paraId="2AC62934" w14:textId="0E62CCEC" w:rsidR="00D55F31" w:rsidRPr="00C9657D" w:rsidRDefault="0024693B" w:rsidP="0002290A">
      <w:pPr>
        <w:spacing w:before="120"/>
        <w:jc w:val="both"/>
        <w:rPr>
          <w:rFonts w:asciiTheme="minorHAnsi" w:hAnsiTheme="minorHAnsi" w:cstheme="minorHAnsi"/>
          <w:bCs/>
          <w:lang w:eastAsia="cs-CZ"/>
        </w:rPr>
      </w:pPr>
      <w:r w:rsidRPr="00C9657D">
        <w:rPr>
          <w:rFonts w:asciiTheme="minorHAnsi" w:hAnsiTheme="minorHAnsi" w:cstheme="minorHAnsi"/>
          <w:bCs/>
          <w:lang w:eastAsia="cs-CZ"/>
        </w:rPr>
        <w:t xml:space="preserve">Zákon o státním podniku </w:t>
      </w:r>
      <w:r w:rsidR="00BC490C">
        <w:rPr>
          <w:rFonts w:asciiTheme="minorHAnsi" w:hAnsiTheme="minorHAnsi" w:cstheme="minorHAnsi"/>
          <w:bCs/>
          <w:lang w:eastAsia="cs-CZ"/>
        </w:rPr>
        <w:t>ve znění účinném pro</w:t>
      </w:r>
      <w:r w:rsidR="007F3176">
        <w:rPr>
          <w:rFonts w:asciiTheme="minorHAnsi" w:hAnsiTheme="minorHAnsi" w:cstheme="minorHAnsi"/>
          <w:bCs/>
          <w:lang w:eastAsia="cs-CZ"/>
        </w:rPr>
        <w:t xml:space="preserve"> </w:t>
      </w:r>
      <w:r w:rsidRPr="00C9657D">
        <w:rPr>
          <w:rFonts w:asciiTheme="minorHAnsi" w:hAnsiTheme="minorHAnsi" w:cstheme="minorHAnsi"/>
          <w:bCs/>
          <w:lang w:eastAsia="cs-CZ"/>
        </w:rPr>
        <w:t>kontrolované období aktualizaci určeného majetku jednoznačně neřešil. Novela zákona o státním podniku</w:t>
      </w:r>
      <w:r w:rsidR="002C4FE0">
        <w:rPr>
          <w:rStyle w:val="Znakapoznpodarou"/>
          <w:rFonts w:asciiTheme="minorHAnsi" w:hAnsiTheme="minorHAnsi" w:cstheme="minorHAnsi"/>
          <w:bCs/>
          <w:lang w:eastAsia="cs-CZ"/>
        </w:rPr>
        <w:footnoteReference w:id="12"/>
      </w:r>
      <w:r w:rsidRPr="00C9657D">
        <w:rPr>
          <w:rFonts w:asciiTheme="minorHAnsi" w:hAnsiTheme="minorHAnsi" w:cstheme="minorHAnsi"/>
          <w:bCs/>
          <w:lang w:eastAsia="cs-CZ"/>
        </w:rPr>
        <w:t xml:space="preserve"> upravuje povinnost zakladatele vymezit určený majetek včetně jeho položkové specifikace a povinnost státního podniku sledovat určený majetek odděleně na samostatných analytických účtech.</w:t>
      </w:r>
    </w:p>
    <w:p w14:paraId="0F277C8C" w14:textId="7F5C233E" w:rsidR="00D55F31" w:rsidRPr="007F3176" w:rsidRDefault="007F3176" w:rsidP="007F3176">
      <w:pPr>
        <w:spacing w:before="240"/>
        <w:jc w:val="both"/>
        <w:rPr>
          <w:rFonts w:asciiTheme="minorHAnsi" w:hAnsiTheme="minorHAnsi" w:cstheme="minorHAnsi"/>
          <w:b/>
          <w:bCs/>
          <w:lang w:eastAsia="cs-CZ"/>
        </w:rPr>
      </w:pPr>
      <w:r>
        <w:rPr>
          <w:rFonts w:asciiTheme="minorHAnsi" w:hAnsiTheme="minorHAnsi" w:cstheme="minorHAnsi"/>
          <w:b/>
          <w:bCs/>
          <w:lang w:eastAsia="cs-CZ"/>
        </w:rPr>
        <w:t xml:space="preserve">1.3 </w:t>
      </w:r>
      <w:r w:rsidR="0024693B" w:rsidRPr="007F3176">
        <w:rPr>
          <w:rFonts w:asciiTheme="minorHAnsi" w:hAnsiTheme="minorHAnsi" w:cstheme="minorHAnsi"/>
          <w:b/>
          <w:bCs/>
          <w:lang w:eastAsia="cs-CZ"/>
        </w:rPr>
        <w:t>Orgány podniku</w:t>
      </w:r>
    </w:p>
    <w:p w14:paraId="78E1B35D" w14:textId="6149E6E3" w:rsidR="00D55F31" w:rsidRPr="00C9657D" w:rsidRDefault="0024693B" w:rsidP="00205868">
      <w:pPr>
        <w:spacing w:before="120"/>
        <w:jc w:val="both"/>
        <w:rPr>
          <w:rFonts w:asciiTheme="minorHAnsi" w:hAnsiTheme="minorHAnsi" w:cstheme="minorHAnsi"/>
          <w:bCs/>
          <w:lang w:eastAsia="cs-CZ"/>
        </w:rPr>
      </w:pPr>
      <w:r w:rsidRPr="00C9657D">
        <w:rPr>
          <w:rFonts w:asciiTheme="minorHAnsi" w:hAnsiTheme="minorHAnsi" w:cstheme="minorHAnsi"/>
          <w:bCs/>
          <w:lang w:eastAsia="cs-CZ"/>
        </w:rPr>
        <w:t>Kontrolou úplných znění zakládacích listin platných v kontrolovaném období bylo zjištěno, že</w:t>
      </w:r>
      <w:r w:rsidR="007F3176">
        <w:rPr>
          <w:rFonts w:asciiTheme="minorHAnsi" w:hAnsiTheme="minorHAnsi" w:cstheme="minorHAnsi"/>
          <w:bCs/>
          <w:lang w:eastAsia="cs-CZ"/>
        </w:rPr>
        <w:t xml:space="preserve"> </w:t>
      </w:r>
      <w:proofErr w:type="spellStart"/>
      <w:r w:rsidRPr="00C9657D">
        <w:rPr>
          <w:rFonts w:asciiTheme="minorHAnsi" w:hAnsiTheme="minorHAnsi" w:cstheme="minorHAnsi"/>
          <w:bCs/>
          <w:lang w:eastAsia="cs-CZ"/>
        </w:rPr>
        <w:t>MZdr</w:t>
      </w:r>
      <w:proofErr w:type="spellEnd"/>
      <w:r w:rsidRPr="00C9657D">
        <w:rPr>
          <w:rFonts w:asciiTheme="minorHAnsi" w:hAnsiTheme="minorHAnsi" w:cstheme="minorHAnsi"/>
          <w:bCs/>
          <w:lang w:eastAsia="cs-CZ"/>
        </w:rPr>
        <w:t xml:space="preserve"> nejmenovalo řádně a včas nové členy DR</w:t>
      </w:r>
      <w:r>
        <w:rPr>
          <w:rStyle w:val="Znakapoznpodarou"/>
          <w:rFonts w:asciiTheme="minorHAnsi" w:hAnsiTheme="minorHAnsi" w:cstheme="minorHAnsi"/>
          <w:bCs/>
          <w:lang w:eastAsia="cs-CZ"/>
        </w:rPr>
        <w:footnoteReference w:id="13"/>
      </w:r>
      <w:r w:rsidRPr="00C9657D">
        <w:rPr>
          <w:rFonts w:asciiTheme="minorHAnsi" w:hAnsiTheme="minorHAnsi" w:cstheme="minorHAnsi"/>
          <w:bCs/>
          <w:lang w:eastAsia="cs-CZ"/>
        </w:rPr>
        <w:t xml:space="preserve"> v případech, kdy</w:t>
      </w:r>
      <w:r w:rsidR="007F3176">
        <w:rPr>
          <w:rFonts w:asciiTheme="minorHAnsi" w:hAnsiTheme="minorHAnsi" w:cstheme="minorHAnsi"/>
          <w:bCs/>
          <w:lang w:eastAsia="cs-CZ"/>
        </w:rPr>
        <w:t xml:space="preserve"> </w:t>
      </w:r>
      <w:r w:rsidRPr="00C9657D">
        <w:rPr>
          <w:rFonts w:asciiTheme="minorHAnsi" w:hAnsiTheme="minorHAnsi" w:cstheme="minorHAnsi"/>
          <w:bCs/>
          <w:lang w:eastAsia="cs-CZ"/>
        </w:rPr>
        <w:t xml:space="preserve">stávajícím členům DR skončilo jejich funkční období nebo na svou funkci rezignovali. </w:t>
      </w:r>
      <w:proofErr w:type="spellStart"/>
      <w:r w:rsidRPr="00C9657D">
        <w:rPr>
          <w:rFonts w:asciiTheme="minorHAnsi" w:hAnsiTheme="minorHAnsi" w:cstheme="minorHAnsi"/>
          <w:bCs/>
          <w:lang w:eastAsia="cs-CZ"/>
        </w:rPr>
        <w:t>MZdr</w:t>
      </w:r>
      <w:proofErr w:type="spellEnd"/>
      <w:r w:rsidRPr="00C9657D">
        <w:rPr>
          <w:rFonts w:asciiTheme="minorHAnsi" w:hAnsiTheme="minorHAnsi" w:cstheme="minorHAnsi"/>
          <w:bCs/>
          <w:lang w:eastAsia="cs-CZ"/>
        </w:rPr>
        <w:t xml:space="preserve"> stanovilo počet členů DR na tři členy (tj. minimální počet členů DR dle zákona o státním podniku</w:t>
      </w:r>
      <w:r>
        <w:rPr>
          <w:rStyle w:val="Znakapoznpodarou"/>
          <w:rFonts w:asciiTheme="minorHAnsi" w:hAnsiTheme="minorHAnsi" w:cstheme="minorHAnsi"/>
          <w:bCs/>
          <w:lang w:eastAsia="cs-CZ"/>
        </w:rPr>
        <w:footnoteReference w:id="14"/>
      </w:r>
      <w:r w:rsidRPr="00C9657D">
        <w:rPr>
          <w:rFonts w:asciiTheme="minorHAnsi" w:hAnsiTheme="minorHAnsi" w:cstheme="minorHAnsi"/>
          <w:bCs/>
          <w:lang w:eastAsia="cs-CZ"/>
        </w:rPr>
        <w:t>).</w:t>
      </w:r>
    </w:p>
    <w:p w14:paraId="05AAF2F2" w14:textId="77777777" w:rsidR="00D55F31" w:rsidRPr="00C9657D" w:rsidRDefault="0024693B" w:rsidP="003D1C64">
      <w:pPr>
        <w:spacing w:before="240" w:after="40"/>
        <w:jc w:val="both"/>
        <w:rPr>
          <w:rFonts w:asciiTheme="minorHAnsi" w:hAnsiTheme="minorHAnsi" w:cstheme="minorHAnsi"/>
          <w:b/>
          <w:bCs/>
          <w:lang w:eastAsia="cs-CZ"/>
        </w:rPr>
      </w:pPr>
      <w:r w:rsidRPr="00C9657D">
        <w:rPr>
          <w:rFonts w:asciiTheme="minorHAnsi" w:hAnsiTheme="minorHAnsi" w:cstheme="minorHAnsi"/>
          <w:b/>
          <w:bCs/>
          <w:lang w:eastAsia="cs-CZ"/>
        </w:rPr>
        <w:lastRenderedPageBreak/>
        <w:t xml:space="preserve">Tabulka č. 1 </w:t>
      </w:r>
      <w:r>
        <w:rPr>
          <w:rFonts w:asciiTheme="minorHAnsi" w:hAnsiTheme="minorHAnsi" w:cstheme="minorHAnsi"/>
          <w:b/>
          <w:bCs/>
          <w:lang w:eastAsia="cs-CZ"/>
        </w:rPr>
        <w:t>–</w:t>
      </w:r>
      <w:r w:rsidRPr="00C9657D">
        <w:rPr>
          <w:rFonts w:asciiTheme="minorHAnsi" w:hAnsiTheme="minorHAnsi" w:cstheme="minorHAnsi"/>
          <w:b/>
          <w:bCs/>
          <w:lang w:eastAsia="cs-CZ"/>
        </w:rPr>
        <w:t xml:space="preserve"> DR státních podniků </w:t>
      </w:r>
      <w:r>
        <w:rPr>
          <w:rFonts w:asciiTheme="minorHAnsi" w:hAnsiTheme="minorHAnsi" w:cstheme="minorHAnsi"/>
          <w:b/>
          <w:bCs/>
          <w:lang w:eastAsia="cs-CZ"/>
        </w:rPr>
        <w:t xml:space="preserve">nesplňující </w:t>
      </w:r>
      <w:r w:rsidR="002C4FE0">
        <w:rPr>
          <w:rFonts w:asciiTheme="minorHAnsi" w:hAnsiTheme="minorHAnsi" w:cstheme="minorHAnsi"/>
          <w:b/>
          <w:bCs/>
          <w:lang w:eastAsia="cs-CZ"/>
        </w:rPr>
        <w:t>požadavek</w:t>
      </w:r>
      <w:r w:rsidR="002C4FE0" w:rsidRPr="00C9657D">
        <w:rPr>
          <w:rFonts w:asciiTheme="minorHAnsi" w:hAnsiTheme="minorHAnsi" w:cstheme="minorHAnsi"/>
          <w:b/>
          <w:bCs/>
          <w:lang w:eastAsia="cs-CZ"/>
        </w:rPr>
        <w:t xml:space="preserve"> </w:t>
      </w:r>
      <w:r w:rsidRPr="00C9657D">
        <w:rPr>
          <w:rFonts w:asciiTheme="minorHAnsi" w:hAnsiTheme="minorHAnsi" w:cstheme="minorHAnsi"/>
          <w:b/>
          <w:bCs/>
          <w:lang w:eastAsia="cs-CZ"/>
        </w:rPr>
        <w:t>zákona o státním podniku</w:t>
      </w:r>
    </w:p>
    <w:tbl>
      <w:tblPr>
        <w:tblStyle w:val="Mkatabulky"/>
        <w:tblW w:w="0" w:type="auto"/>
        <w:tblInd w:w="-5" w:type="dxa"/>
        <w:tblLook w:val="04A0" w:firstRow="1" w:lastRow="0" w:firstColumn="1" w:lastColumn="0" w:noHBand="0" w:noVBand="1"/>
      </w:tblPr>
      <w:tblGrid>
        <w:gridCol w:w="2288"/>
        <w:gridCol w:w="6779"/>
      </w:tblGrid>
      <w:tr w:rsidR="00C425F2" w14:paraId="2E2E357C" w14:textId="77777777" w:rsidTr="002C435D">
        <w:tc>
          <w:tcPr>
            <w:tcW w:w="2288" w:type="dxa"/>
            <w:shd w:val="clear" w:color="auto" w:fill="C6D9F1" w:themeFill="text2" w:themeFillTint="33"/>
          </w:tcPr>
          <w:p w14:paraId="0A36E0A5" w14:textId="77777777" w:rsidR="00D55F31" w:rsidRPr="00C9657D" w:rsidRDefault="0024693B" w:rsidP="0002290A">
            <w:pPr>
              <w:jc w:val="center"/>
              <w:rPr>
                <w:rFonts w:asciiTheme="minorHAnsi" w:hAnsiTheme="minorHAnsi" w:cstheme="minorHAnsi"/>
                <w:b/>
                <w:bCs/>
                <w:sz w:val="20"/>
                <w:szCs w:val="20"/>
                <w:lang w:eastAsia="cs-CZ"/>
              </w:rPr>
            </w:pPr>
            <w:r w:rsidRPr="00C9657D">
              <w:rPr>
                <w:rFonts w:asciiTheme="minorHAnsi" w:hAnsiTheme="minorHAnsi" w:cstheme="minorHAnsi"/>
                <w:b/>
                <w:bCs/>
                <w:sz w:val="20"/>
                <w:szCs w:val="20"/>
                <w:lang w:eastAsia="cs-CZ"/>
              </w:rPr>
              <w:t>Státní podnik</w:t>
            </w:r>
          </w:p>
        </w:tc>
        <w:tc>
          <w:tcPr>
            <w:tcW w:w="6779" w:type="dxa"/>
            <w:shd w:val="clear" w:color="auto" w:fill="C6D9F1" w:themeFill="text2" w:themeFillTint="33"/>
            <w:vAlign w:val="center"/>
          </w:tcPr>
          <w:p w14:paraId="7654CC4A" w14:textId="77777777" w:rsidR="00D55F31" w:rsidRPr="00C9657D" w:rsidRDefault="0024693B" w:rsidP="0002290A">
            <w:pPr>
              <w:jc w:val="center"/>
              <w:rPr>
                <w:rFonts w:asciiTheme="minorHAnsi" w:hAnsiTheme="minorHAnsi" w:cstheme="minorHAnsi"/>
                <w:b/>
                <w:bCs/>
                <w:sz w:val="20"/>
                <w:szCs w:val="20"/>
                <w:lang w:eastAsia="cs-CZ"/>
              </w:rPr>
            </w:pPr>
            <w:r w:rsidRPr="00C9657D">
              <w:rPr>
                <w:rFonts w:asciiTheme="minorHAnsi" w:hAnsiTheme="minorHAnsi" w:cstheme="minorHAnsi"/>
                <w:b/>
                <w:bCs/>
                <w:sz w:val="20"/>
                <w:szCs w:val="20"/>
                <w:lang w:eastAsia="cs-CZ"/>
              </w:rPr>
              <w:t>Neúplné složení dozorčí rady</w:t>
            </w:r>
          </w:p>
        </w:tc>
      </w:tr>
      <w:tr w:rsidR="00C425F2" w14:paraId="4FEFDB69" w14:textId="77777777" w:rsidTr="002C435D">
        <w:tc>
          <w:tcPr>
            <w:tcW w:w="2288" w:type="dxa"/>
          </w:tcPr>
          <w:p w14:paraId="3DC6A09A" w14:textId="77777777" w:rsidR="00D55F31" w:rsidRPr="00C9657D" w:rsidRDefault="0024693B" w:rsidP="0002290A">
            <w:pPr>
              <w:jc w:val="both"/>
              <w:rPr>
                <w:rFonts w:asciiTheme="minorHAnsi" w:hAnsiTheme="minorHAnsi" w:cstheme="minorHAnsi"/>
                <w:bCs/>
                <w:sz w:val="20"/>
                <w:szCs w:val="20"/>
                <w:lang w:eastAsia="cs-CZ"/>
              </w:rPr>
            </w:pPr>
            <w:r w:rsidRPr="00C9657D">
              <w:rPr>
                <w:rFonts w:asciiTheme="minorHAnsi" w:hAnsiTheme="minorHAnsi" w:cstheme="minorHAnsi"/>
                <w:bCs/>
                <w:sz w:val="20"/>
                <w:szCs w:val="20"/>
                <w:lang w:eastAsia="cs-CZ"/>
              </w:rPr>
              <w:t>BALMED Praha</w:t>
            </w:r>
          </w:p>
        </w:tc>
        <w:tc>
          <w:tcPr>
            <w:tcW w:w="6779" w:type="dxa"/>
          </w:tcPr>
          <w:p w14:paraId="080C0386" w14:textId="77777777" w:rsidR="00D55F31" w:rsidRPr="00C9657D" w:rsidRDefault="0024693B" w:rsidP="0002290A">
            <w:pPr>
              <w:jc w:val="both"/>
              <w:rPr>
                <w:rFonts w:asciiTheme="minorHAnsi" w:hAnsiTheme="minorHAnsi" w:cstheme="minorHAnsi"/>
                <w:bCs/>
                <w:sz w:val="20"/>
                <w:szCs w:val="20"/>
                <w:lang w:eastAsia="cs-CZ"/>
              </w:rPr>
            </w:pPr>
            <w:r w:rsidRPr="00C9657D">
              <w:rPr>
                <w:rFonts w:asciiTheme="minorHAnsi" w:hAnsiTheme="minorHAnsi" w:cstheme="minorHAnsi"/>
                <w:bCs/>
                <w:sz w:val="20"/>
                <w:szCs w:val="20"/>
                <w:lang w:eastAsia="cs-CZ"/>
              </w:rPr>
              <w:t>od 18. 5. 2015 do ukončení kontroly</w:t>
            </w:r>
          </w:p>
        </w:tc>
      </w:tr>
      <w:tr w:rsidR="00C425F2" w14:paraId="75442D3D" w14:textId="77777777" w:rsidTr="002C435D">
        <w:tc>
          <w:tcPr>
            <w:tcW w:w="2288" w:type="dxa"/>
          </w:tcPr>
          <w:p w14:paraId="3FC119AB" w14:textId="77777777" w:rsidR="00D55F31" w:rsidRPr="00C9657D" w:rsidRDefault="0024693B" w:rsidP="0002290A">
            <w:pPr>
              <w:jc w:val="both"/>
              <w:rPr>
                <w:rFonts w:asciiTheme="minorHAnsi" w:hAnsiTheme="minorHAnsi" w:cstheme="minorHAnsi"/>
                <w:bCs/>
                <w:sz w:val="20"/>
                <w:szCs w:val="20"/>
                <w:lang w:eastAsia="cs-CZ"/>
              </w:rPr>
            </w:pPr>
            <w:r w:rsidRPr="00C9657D">
              <w:rPr>
                <w:rFonts w:asciiTheme="minorHAnsi" w:hAnsiTheme="minorHAnsi" w:cstheme="minorHAnsi"/>
                <w:bCs/>
                <w:sz w:val="20"/>
                <w:szCs w:val="20"/>
                <w:lang w:eastAsia="cs-CZ"/>
              </w:rPr>
              <w:t>SLL Bludov</w:t>
            </w:r>
          </w:p>
        </w:tc>
        <w:tc>
          <w:tcPr>
            <w:tcW w:w="6779" w:type="dxa"/>
          </w:tcPr>
          <w:p w14:paraId="6E029CBF" w14:textId="77777777" w:rsidR="00D55F31" w:rsidRPr="00C9657D" w:rsidRDefault="0024693B" w:rsidP="0002290A">
            <w:pPr>
              <w:jc w:val="both"/>
              <w:rPr>
                <w:rFonts w:asciiTheme="minorHAnsi" w:hAnsiTheme="minorHAnsi" w:cstheme="minorHAnsi"/>
                <w:bCs/>
                <w:sz w:val="20"/>
                <w:szCs w:val="20"/>
                <w:lang w:eastAsia="cs-CZ"/>
              </w:rPr>
            </w:pPr>
            <w:r w:rsidRPr="00C9657D">
              <w:rPr>
                <w:rFonts w:asciiTheme="minorHAnsi" w:hAnsiTheme="minorHAnsi" w:cstheme="minorHAnsi"/>
                <w:bCs/>
                <w:sz w:val="20"/>
                <w:szCs w:val="20"/>
                <w:lang w:eastAsia="cs-CZ"/>
              </w:rPr>
              <w:t>od 28. 3. 2014 do 20. 9. 2014 a od 12. 2. 2015 do ukončení kontroly</w:t>
            </w:r>
          </w:p>
        </w:tc>
      </w:tr>
      <w:tr w:rsidR="00C425F2" w14:paraId="01DA7F16" w14:textId="77777777" w:rsidTr="002C435D">
        <w:tc>
          <w:tcPr>
            <w:tcW w:w="2288" w:type="dxa"/>
          </w:tcPr>
          <w:p w14:paraId="5388860E" w14:textId="77777777" w:rsidR="00D55F31" w:rsidRPr="00C9657D" w:rsidRDefault="0024693B" w:rsidP="0002290A">
            <w:pPr>
              <w:jc w:val="both"/>
              <w:rPr>
                <w:rFonts w:asciiTheme="minorHAnsi" w:hAnsiTheme="minorHAnsi" w:cstheme="minorHAnsi"/>
                <w:bCs/>
                <w:sz w:val="20"/>
                <w:szCs w:val="20"/>
                <w:lang w:eastAsia="cs-CZ"/>
              </w:rPr>
            </w:pPr>
            <w:r w:rsidRPr="00C9657D">
              <w:rPr>
                <w:rFonts w:asciiTheme="minorHAnsi" w:hAnsiTheme="minorHAnsi" w:cstheme="minorHAnsi"/>
                <w:bCs/>
                <w:sz w:val="20"/>
                <w:szCs w:val="20"/>
                <w:lang w:eastAsia="cs-CZ"/>
              </w:rPr>
              <w:t>SLL Janské Lázně</w:t>
            </w:r>
          </w:p>
        </w:tc>
        <w:tc>
          <w:tcPr>
            <w:tcW w:w="6779" w:type="dxa"/>
          </w:tcPr>
          <w:p w14:paraId="378B9B88" w14:textId="77777777" w:rsidR="00D55F31" w:rsidRPr="00C9657D" w:rsidRDefault="0024693B" w:rsidP="0002290A">
            <w:pPr>
              <w:jc w:val="both"/>
              <w:rPr>
                <w:rFonts w:asciiTheme="minorHAnsi" w:hAnsiTheme="minorHAnsi" w:cstheme="minorHAnsi"/>
                <w:bCs/>
                <w:sz w:val="20"/>
                <w:szCs w:val="20"/>
                <w:lang w:eastAsia="cs-CZ"/>
              </w:rPr>
            </w:pPr>
            <w:r w:rsidRPr="00C9657D">
              <w:rPr>
                <w:rFonts w:asciiTheme="minorHAnsi" w:hAnsiTheme="minorHAnsi" w:cstheme="minorHAnsi"/>
                <w:bCs/>
                <w:sz w:val="20"/>
                <w:szCs w:val="20"/>
                <w:lang w:eastAsia="cs-CZ"/>
              </w:rPr>
              <w:t>od 1. 1. 2016 do ukončení kontroly</w:t>
            </w:r>
          </w:p>
        </w:tc>
      </w:tr>
      <w:tr w:rsidR="00C425F2" w14:paraId="15F58FA0" w14:textId="77777777" w:rsidTr="002C435D">
        <w:tc>
          <w:tcPr>
            <w:tcW w:w="2288" w:type="dxa"/>
          </w:tcPr>
          <w:p w14:paraId="364A17D4" w14:textId="77777777" w:rsidR="00D55F31" w:rsidRPr="00C9657D" w:rsidRDefault="0024693B" w:rsidP="0002290A">
            <w:pPr>
              <w:jc w:val="both"/>
              <w:rPr>
                <w:rFonts w:asciiTheme="minorHAnsi" w:hAnsiTheme="minorHAnsi" w:cstheme="minorHAnsi"/>
                <w:bCs/>
                <w:sz w:val="20"/>
                <w:szCs w:val="20"/>
                <w:lang w:eastAsia="cs-CZ"/>
              </w:rPr>
            </w:pPr>
            <w:r w:rsidRPr="00C9657D">
              <w:rPr>
                <w:rFonts w:asciiTheme="minorHAnsi" w:hAnsiTheme="minorHAnsi" w:cstheme="minorHAnsi"/>
                <w:bCs/>
                <w:sz w:val="20"/>
                <w:szCs w:val="20"/>
                <w:lang w:eastAsia="cs-CZ"/>
              </w:rPr>
              <w:t>HL Karlova Studánka</w:t>
            </w:r>
          </w:p>
        </w:tc>
        <w:tc>
          <w:tcPr>
            <w:tcW w:w="6779" w:type="dxa"/>
          </w:tcPr>
          <w:p w14:paraId="5380F9A2" w14:textId="77777777" w:rsidR="00D55F31" w:rsidRPr="00C9657D" w:rsidRDefault="0024693B" w:rsidP="0002290A">
            <w:pPr>
              <w:jc w:val="both"/>
              <w:rPr>
                <w:rFonts w:asciiTheme="minorHAnsi" w:hAnsiTheme="minorHAnsi" w:cstheme="minorHAnsi"/>
                <w:bCs/>
                <w:sz w:val="20"/>
                <w:szCs w:val="20"/>
                <w:lang w:eastAsia="cs-CZ"/>
              </w:rPr>
            </w:pPr>
            <w:r w:rsidRPr="00C9657D">
              <w:rPr>
                <w:rFonts w:asciiTheme="minorHAnsi" w:hAnsiTheme="minorHAnsi" w:cstheme="minorHAnsi"/>
                <w:bCs/>
                <w:sz w:val="20"/>
                <w:szCs w:val="20"/>
                <w:lang w:eastAsia="cs-CZ"/>
              </w:rPr>
              <w:t>od 5. 12. 2014 do ukončení kontroly</w:t>
            </w:r>
          </w:p>
        </w:tc>
      </w:tr>
    </w:tbl>
    <w:p w14:paraId="0893A374" w14:textId="77777777" w:rsidR="00D55F31" w:rsidRPr="00C9657D" w:rsidRDefault="0024693B" w:rsidP="00630B90">
      <w:pPr>
        <w:spacing w:after="240"/>
        <w:jc w:val="both"/>
        <w:rPr>
          <w:rFonts w:asciiTheme="minorHAnsi" w:hAnsiTheme="minorHAnsi" w:cstheme="minorHAnsi"/>
          <w:bCs/>
          <w:sz w:val="20"/>
          <w:szCs w:val="16"/>
          <w:lang w:eastAsia="cs-CZ"/>
        </w:rPr>
      </w:pPr>
      <w:r w:rsidRPr="00C9657D">
        <w:rPr>
          <w:rFonts w:asciiTheme="minorHAnsi" w:hAnsiTheme="minorHAnsi" w:cstheme="minorHAnsi"/>
          <w:b/>
          <w:bCs/>
          <w:sz w:val="20"/>
          <w:szCs w:val="16"/>
          <w:lang w:eastAsia="cs-CZ"/>
        </w:rPr>
        <w:t>Zdroj:</w:t>
      </w:r>
      <w:r w:rsidRPr="00C9657D">
        <w:rPr>
          <w:rFonts w:asciiTheme="minorHAnsi" w:hAnsiTheme="minorHAnsi" w:cstheme="minorHAnsi"/>
          <w:bCs/>
          <w:sz w:val="20"/>
          <w:szCs w:val="16"/>
          <w:lang w:eastAsia="cs-CZ"/>
        </w:rPr>
        <w:t xml:space="preserve"> jmenovací dekrety členů dozorčích rad za zakladatele.</w:t>
      </w:r>
    </w:p>
    <w:p w14:paraId="22F240B4" w14:textId="77777777" w:rsidR="00D55F31" w:rsidRPr="00F62AE0" w:rsidRDefault="0024693B" w:rsidP="00630B90">
      <w:pPr>
        <w:shd w:val="clear" w:color="auto" w:fill="DBE5F1" w:themeFill="accent1" w:themeFillTint="33"/>
        <w:jc w:val="both"/>
        <w:rPr>
          <w:rFonts w:asciiTheme="minorHAnsi" w:hAnsiTheme="minorHAnsi" w:cstheme="minorHAnsi"/>
          <w:bCs/>
          <w:lang w:eastAsia="cs-CZ"/>
        </w:rPr>
      </w:pPr>
      <w:r w:rsidRPr="00C9657D">
        <w:rPr>
          <w:rFonts w:asciiTheme="minorHAnsi" w:hAnsiTheme="minorHAnsi" w:cstheme="minorHAnsi"/>
          <w:bCs/>
          <w:lang w:eastAsia="cs-CZ"/>
        </w:rPr>
        <w:t>V kontrolovaném období, kdy DR neměly zákonem stanovený požadovaný počet členů, neprobíhala jejich zasedání v souladu s jednacím řádem.</w:t>
      </w:r>
      <w:r>
        <w:rPr>
          <w:rFonts w:asciiTheme="minorHAnsi" w:hAnsiTheme="minorHAnsi" w:cstheme="minorHAnsi"/>
          <w:bCs/>
          <w:lang w:eastAsia="cs-CZ"/>
        </w:rPr>
        <w:t xml:space="preserve"> </w:t>
      </w:r>
      <w:r w:rsidRPr="00F62AE0">
        <w:rPr>
          <w:rFonts w:asciiTheme="minorHAnsi" w:hAnsiTheme="minorHAnsi" w:cstheme="minorHAnsi"/>
          <w:bCs/>
          <w:lang w:eastAsia="cs-CZ"/>
        </w:rPr>
        <w:t>V době ukončení kontroly neměla DR žádného z kontrolovaných státních podniků minimálně</w:t>
      </w:r>
      <w:r>
        <w:rPr>
          <w:rFonts w:asciiTheme="minorHAnsi" w:hAnsiTheme="minorHAnsi" w:cstheme="minorHAnsi"/>
          <w:bCs/>
          <w:lang w:eastAsia="cs-CZ"/>
        </w:rPr>
        <w:t xml:space="preserve"> tři členy, jak stanoví zákon o </w:t>
      </w:r>
      <w:r w:rsidRPr="00F62AE0">
        <w:rPr>
          <w:rFonts w:asciiTheme="minorHAnsi" w:hAnsiTheme="minorHAnsi" w:cstheme="minorHAnsi"/>
          <w:bCs/>
          <w:lang w:eastAsia="cs-CZ"/>
        </w:rPr>
        <w:t xml:space="preserve">státním podniku. </w:t>
      </w:r>
    </w:p>
    <w:p w14:paraId="42A90FA2" w14:textId="77777777" w:rsidR="00D55F31" w:rsidRPr="00C9657D" w:rsidRDefault="0024693B" w:rsidP="00630B90">
      <w:pPr>
        <w:spacing w:before="120"/>
        <w:jc w:val="both"/>
        <w:rPr>
          <w:rFonts w:asciiTheme="minorHAnsi" w:hAnsiTheme="minorHAnsi"/>
        </w:rPr>
      </w:pPr>
      <w:r>
        <w:rPr>
          <w:rFonts w:asciiTheme="minorHAnsi" w:hAnsiTheme="minorHAnsi"/>
        </w:rPr>
        <w:t xml:space="preserve">Dále bylo zjištěno, že </w:t>
      </w:r>
      <w:proofErr w:type="spellStart"/>
      <w:r w:rsidRPr="00C9657D">
        <w:rPr>
          <w:rFonts w:asciiTheme="minorHAnsi" w:hAnsiTheme="minorHAnsi"/>
        </w:rPr>
        <w:t>MZdr</w:t>
      </w:r>
      <w:proofErr w:type="spellEnd"/>
      <w:r w:rsidRPr="00C9657D">
        <w:rPr>
          <w:rFonts w:asciiTheme="minorHAnsi" w:hAnsiTheme="minorHAnsi"/>
        </w:rPr>
        <w:t xml:space="preserve"> jmenoval</w:t>
      </w:r>
      <w:r>
        <w:rPr>
          <w:rFonts w:asciiTheme="minorHAnsi" w:hAnsiTheme="minorHAnsi"/>
        </w:rPr>
        <w:t>o</w:t>
      </w:r>
      <w:r w:rsidRPr="00C9657D">
        <w:rPr>
          <w:rFonts w:asciiTheme="minorHAnsi" w:hAnsiTheme="minorHAnsi"/>
        </w:rPr>
        <w:t xml:space="preserve"> ředitele BALMED Praha v říjnu 2013 současně ředitelem SLL Bludov, což je v rozporu se zákonem o státním podniku</w:t>
      </w:r>
      <w:r>
        <w:rPr>
          <w:rStyle w:val="Znakapoznpodarou"/>
          <w:rFonts w:asciiTheme="minorHAnsi" w:hAnsiTheme="minorHAnsi"/>
        </w:rPr>
        <w:footnoteReference w:id="15"/>
      </w:r>
      <w:r w:rsidRPr="00C9657D">
        <w:rPr>
          <w:rFonts w:asciiTheme="minorHAnsi" w:hAnsiTheme="minorHAnsi"/>
        </w:rPr>
        <w:t>.</w:t>
      </w:r>
    </w:p>
    <w:p w14:paraId="6AC99650" w14:textId="1A79354B" w:rsidR="00D55F31" w:rsidRPr="007F3176" w:rsidRDefault="007F3176" w:rsidP="007F3176">
      <w:pPr>
        <w:spacing w:before="240"/>
        <w:jc w:val="both"/>
        <w:rPr>
          <w:rFonts w:asciiTheme="minorHAnsi" w:hAnsiTheme="minorHAnsi" w:cstheme="minorHAnsi"/>
          <w:b/>
          <w:bCs/>
          <w:lang w:eastAsia="cs-CZ"/>
        </w:rPr>
      </w:pPr>
      <w:r>
        <w:rPr>
          <w:rFonts w:asciiTheme="minorHAnsi" w:hAnsiTheme="minorHAnsi" w:cstheme="minorHAnsi"/>
          <w:b/>
          <w:bCs/>
          <w:lang w:eastAsia="cs-CZ"/>
        </w:rPr>
        <w:t xml:space="preserve">1.4 </w:t>
      </w:r>
      <w:r w:rsidR="0024693B" w:rsidRPr="007F3176">
        <w:rPr>
          <w:rFonts w:asciiTheme="minorHAnsi" w:hAnsiTheme="minorHAnsi" w:cstheme="minorHAnsi"/>
          <w:b/>
          <w:bCs/>
          <w:lang w:eastAsia="cs-CZ"/>
        </w:rPr>
        <w:t>Kontrolní činnost zakladatele</w:t>
      </w:r>
    </w:p>
    <w:p w14:paraId="52985A72" w14:textId="5352DA85" w:rsidR="00D55F31" w:rsidRPr="00C9657D" w:rsidRDefault="0024693B" w:rsidP="0002290A">
      <w:pPr>
        <w:spacing w:before="120"/>
        <w:jc w:val="both"/>
        <w:rPr>
          <w:rFonts w:asciiTheme="minorHAnsi" w:hAnsiTheme="minorHAnsi" w:cstheme="minorHAnsi"/>
        </w:rPr>
      </w:pPr>
      <w:proofErr w:type="spellStart"/>
      <w:r w:rsidRPr="00C9657D">
        <w:rPr>
          <w:rFonts w:asciiTheme="minorHAnsi" w:hAnsiTheme="minorHAnsi" w:cstheme="minorHAnsi"/>
        </w:rPr>
        <w:t>MZdr</w:t>
      </w:r>
      <w:proofErr w:type="spellEnd"/>
      <w:r w:rsidRPr="00C9657D">
        <w:rPr>
          <w:rFonts w:asciiTheme="minorHAnsi" w:hAnsiTheme="minorHAnsi" w:cstheme="minorHAnsi"/>
        </w:rPr>
        <w:t xml:space="preserve"> schvalovalo účetní závěrky a výroční zprávy kontrolovaných státních podniků a rozhodovalo o rozdělení zisku či vypořádání ztráty jednotlivých podniků. V</w:t>
      </w:r>
      <w:r w:rsidRPr="00C9657D">
        <w:rPr>
          <w:rFonts w:asciiTheme="minorHAnsi" w:hAnsiTheme="minorHAnsi" w:cstheme="minorHAnsi"/>
          <w:spacing w:val="-6"/>
        </w:rPr>
        <w:t xml:space="preserve"> některých případech </w:t>
      </w:r>
      <w:r w:rsidR="00D55F31">
        <w:rPr>
          <w:rFonts w:asciiTheme="minorHAnsi" w:hAnsiTheme="minorHAnsi" w:cstheme="minorHAnsi"/>
          <w:spacing w:val="-6"/>
        </w:rPr>
        <w:t>schválilo</w:t>
      </w:r>
      <w:r w:rsidR="00D55F31" w:rsidRPr="00C9657D">
        <w:rPr>
          <w:rFonts w:asciiTheme="minorHAnsi" w:hAnsiTheme="minorHAnsi" w:cstheme="minorHAnsi"/>
          <w:spacing w:val="-6"/>
        </w:rPr>
        <w:t xml:space="preserve"> </w:t>
      </w:r>
      <w:r w:rsidRPr="00C9657D">
        <w:rPr>
          <w:rFonts w:asciiTheme="minorHAnsi" w:hAnsiTheme="minorHAnsi" w:cstheme="minorHAnsi"/>
          <w:spacing w:val="-6"/>
        </w:rPr>
        <w:t>příslušné dokumenty ve</w:t>
      </w:r>
      <w:r w:rsidR="007F3176">
        <w:rPr>
          <w:rFonts w:asciiTheme="minorHAnsi" w:hAnsiTheme="minorHAnsi" w:cstheme="minorHAnsi"/>
          <w:spacing w:val="-6"/>
        </w:rPr>
        <w:t xml:space="preserve"> </w:t>
      </w:r>
      <w:r w:rsidRPr="00C9657D">
        <w:rPr>
          <w:rFonts w:asciiTheme="minorHAnsi" w:hAnsiTheme="minorHAnsi" w:cstheme="minorHAnsi"/>
          <w:spacing w:val="-6"/>
        </w:rPr>
        <w:t>značném časovém prodlení (např. u HL Karlova Studánka dokumenty za rok 2014 až v březnu 2016).</w:t>
      </w:r>
    </w:p>
    <w:p w14:paraId="39D2AA18" w14:textId="77777777" w:rsidR="00D55F31" w:rsidRPr="00C9657D" w:rsidRDefault="0024693B" w:rsidP="0002290A">
      <w:pPr>
        <w:shd w:val="clear" w:color="auto" w:fill="DBE5F1" w:themeFill="accent1" w:themeFillTint="33"/>
        <w:spacing w:before="120"/>
        <w:jc w:val="both"/>
        <w:rPr>
          <w:rFonts w:asciiTheme="minorHAnsi" w:hAnsiTheme="minorHAnsi" w:cstheme="minorHAnsi"/>
          <w:bCs/>
          <w:lang w:eastAsia="cs-CZ"/>
        </w:rPr>
      </w:pPr>
      <w:proofErr w:type="spellStart"/>
      <w:r w:rsidRPr="00C9657D">
        <w:rPr>
          <w:rFonts w:asciiTheme="minorHAnsi" w:hAnsiTheme="minorHAnsi" w:cstheme="minorHAnsi"/>
          <w:bCs/>
          <w:lang w:eastAsia="cs-CZ"/>
        </w:rPr>
        <w:t>MZdr</w:t>
      </w:r>
      <w:proofErr w:type="spellEnd"/>
      <w:r w:rsidRPr="00C9657D">
        <w:rPr>
          <w:rFonts w:asciiTheme="minorHAnsi" w:hAnsiTheme="minorHAnsi" w:cstheme="minorHAnsi"/>
          <w:bCs/>
          <w:lang w:eastAsia="cs-CZ"/>
        </w:rPr>
        <w:t xml:space="preserve"> nestanovilo státním podnikům </w:t>
      </w:r>
      <w:r w:rsidR="00953532">
        <w:rPr>
          <w:rFonts w:asciiTheme="minorHAnsi" w:hAnsiTheme="minorHAnsi" w:cstheme="minorHAnsi"/>
          <w:bCs/>
          <w:lang w:eastAsia="cs-CZ"/>
        </w:rPr>
        <w:t>rozsah zásadních otázek koncepce</w:t>
      </w:r>
      <w:r w:rsidRPr="00C9657D">
        <w:rPr>
          <w:rFonts w:asciiTheme="minorHAnsi" w:hAnsiTheme="minorHAnsi" w:cstheme="minorHAnsi"/>
          <w:bCs/>
          <w:lang w:eastAsia="cs-CZ"/>
        </w:rPr>
        <w:t xml:space="preserve"> rozvoje podniku</w:t>
      </w:r>
      <w:r>
        <w:rPr>
          <w:rStyle w:val="Znakapoznpodarou"/>
          <w:rFonts w:asciiTheme="minorHAnsi" w:hAnsiTheme="minorHAnsi" w:cstheme="minorHAnsi"/>
          <w:bCs/>
          <w:lang w:eastAsia="cs-CZ"/>
        </w:rPr>
        <w:footnoteReference w:id="16"/>
      </w:r>
      <w:r w:rsidRPr="00C9657D">
        <w:rPr>
          <w:rFonts w:asciiTheme="minorHAnsi" w:hAnsiTheme="minorHAnsi" w:cstheme="minorHAnsi"/>
          <w:bCs/>
          <w:lang w:eastAsia="cs-CZ"/>
        </w:rPr>
        <w:t>.</w:t>
      </w:r>
    </w:p>
    <w:p w14:paraId="61D43D06" w14:textId="77777777" w:rsidR="00760D50" w:rsidRPr="004E5E06" w:rsidRDefault="0024693B" w:rsidP="0002290A">
      <w:pPr>
        <w:shd w:val="clear" w:color="auto" w:fill="DBE5F1" w:themeFill="accent1" w:themeFillTint="33"/>
        <w:spacing w:before="120"/>
        <w:jc w:val="both"/>
        <w:rPr>
          <w:rFonts w:asciiTheme="minorHAnsi" w:hAnsiTheme="minorHAnsi" w:cstheme="minorHAnsi"/>
        </w:rPr>
      </w:pPr>
      <w:r w:rsidRPr="00C9657D">
        <w:rPr>
          <w:rFonts w:asciiTheme="minorHAnsi" w:hAnsiTheme="minorHAnsi" w:cstheme="minorHAnsi"/>
        </w:rPr>
        <w:t>V letech</w:t>
      </w:r>
      <w:r>
        <w:rPr>
          <w:rFonts w:asciiTheme="minorHAnsi" w:hAnsiTheme="minorHAnsi" w:cstheme="minorHAnsi"/>
        </w:rPr>
        <w:t xml:space="preserve"> 2015 a</w:t>
      </w:r>
      <w:r w:rsidRPr="00C9657D">
        <w:rPr>
          <w:rFonts w:asciiTheme="minorHAnsi" w:hAnsiTheme="minorHAnsi" w:cstheme="minorHAnsi"/>
        </w:rPr>
        <w:t xml:space="preserve"> 2016, kdy </w:t>
      </w:r>
      <w:proofErr w:type="spellStart"/>
      <w:r w:rsidRPr="00C9657D">
        <w:rPr>
          <w:rFonts w:asciiTheme="minorHAnsi" w:hAnsiTheme="minorHAnsi" w:cstheme="minorHAnsi"/>
        </w:rPr>
        <w:t>MZdr</w:t>
      </w:r>
      <w:proofErr w:type="spellEnd"/>
      <w:r w:rsidRPr="00C9657D">
        <w:rPr>
          <w:rFonts w:asciiTheme="minorHAnsi" w:hAnsiTheme="minorHAnsi" w:cstheme="minorHAnsi"/>
        </w:rPr>
        <w:t xml:space="preserve"> nemělo své zástupce v dozorčích radách, </w:t>
      </w:r>
      <w:r w:rsidR="004E5E06" w:rsidRPr="004E5E06">
        <w:rPr>
          <w:rFonts w:asciiTheme="minorHAnsi" w:hAnsiTheme="minorHAnsi" w:cstheme="minorHAnsi"/>
          <w:noProof/>
          <w:color w:val="000000"/>
        </w:rPr>
        <w:t>znemožnilo činnost tohoto dozorčího orgánu</w:t>
      </w:r>
      <w:r w:rsidR="004E5E06">
        <w:rPr>
          <w:rFonts w:asciiTheme="minorHAnsi" w:hAnsiTheme="minorHAnsi" w:cstheme="minorHAnsi"/>
          <w:noProof/>
          <w:color w:val="000000"/>
        </w:rPr>
        <w:t>.</w:t>
      </w:r>
    </w:p>
    <w:p w14:paraId="2635F502" w14:textId="2C96114F" w:rsidR="001F5AA5" w:rsidRPr="00C9657D" w:rsidRDefault="00953532" w:rsidP="007F3176">
      <w:pPr>
        <w:spacing w:before="120"/>
        <w:jc w:val="both"/>
        <w:rPr>
          <w:rFonts w:asciiTheme="minorHAnsi" w:hAnsiTheme="minorHAnsi" w:cstheme="minorHAnsi"/>
          <w:bCs/>
          <w:lang w:eastAsia="cs-CZ"/>
        </w:rPr>
      </w:pPr>
      <w:proofErr w:type="spellStart"/>
      <w:r>
        <w:rPr>
          <w:rFonts w:asciiTheme="minorHAnsi" w:hAnsiTheme="minorHAnsi" w:cstheme="minorHAnsi"/>
          <w:shd w:val="clear" w:color="auto" w:fill="DBE5F1" w:themeFill="accent1" w:themeFillTint="33"/>
        </w:rPr>
        <w:t>MZdr</w:t>
      </w:r>
      <w:proofErr w:type="spellEnd"/>
      <w:r>
        <w:rPr>
          <w:rFonts w:asciiTheme="minorHAnsi" w:hAnsiTheme="minorHAnsi" w:cstheme="minorHAnsi"/>
          <w:shd w:val="clear" w:color="auto" w:fill="DBE5F1" w:themeFill="accent1" w:themeFillTint="33"/>
        </w:rPr>
        <w:t xml:space="preserve"> </w:t>
      </w:r>
      <w:r w:rsidR="00760D50" w:rsidRPr="00F64128">
        <w:rPr>
          <w:rFonts w:asciiTheme="minorHAnsi" w:hAnsiTheme="minorHAnsi" w:cstheme="minorHAnsi"/>
          <w:shd w:val="clear" w:color="auto" w:fill="DBE5F1" w:themeFill="accent1" w:themeFillTint="33"/>
        </w:rPr>
        <w:t xml:space="preserve">řádně neprověřovalo, zda </w:t>
      </w:r>
      <w:r w:rsidR="0024693B" w:rsidRPr="00F64128">
        <w:rPr>
          <w:rFonts w:asciiTheme="minorHAnsi" w:hAnsiTheme="minorHAnsi" w:cstheme="minorHAnsi"/>
          <w:shd w:val="clear" w:color="auto" w:fill="DBE5F1" w:themeFill="accent1" w:themeFillTint="33"/>
        </w:rPr>
        <w:t>stát</w:t>
      </w:r>
      <w:r w:rsidR="00760D50" w:rsidRPr="00F64128">
        <w:rPr>
          <w:rFonts w:asciiTheme="minorHAnsi" w:hAnsiTheme="minorHAnsi" w:cstheme="minorHAnsi"/>
          <w:shd w:val="clear" w:color="auto" w:fill="DBE5F1" w:themeFill="accent1" w:themeFillTint="33"/>
        </w:rPr>
        <w:t>ní</w:t>
      </w:r>
      <w:r w:rsidR="0024693B" w:rsidRPr="00F64128">
        <w:rPr>
          <w:rFonts w:asciiTheme="minorHAnsi" w:hAnsiTheme="minorHAnsi" w:cstheme="minorHAnsi"/>
          <w:shd w:val="clear" w:color="auto" w:fill="DBE5F1" w:themeFill="accent1" w:themeFillTint="33"/>
        </w:rPr>
        <w:t xml:space="preserve"> podnik</w:t>
      </w:r>
      <w:r w:rsidR="00760D50" w:rsidRPr="00F64128">
        <w:rPr>
          <w:rFonts w:asciiTheme="minorHAnsi" w:hAnsiTheme="minorHAnsi" w:cstheme="minorHAnsi"/>
          <w:shd w:val="clear" w:color="auto" w:fill="DBE5F1" w:themeFill="accent1" w:themeFillTint="33"/>
        </w:rPr>
        <w:t>y</w:t>
      </w:r>
      <w:r w:rsidR="0024693B" w:rsidRPr="00F64128">
        <w:rPr>
          <w:rFonts w:asciiTheme="minorHAnsi" w:hAnsiTheme="minorHAnsi" w:cstheme="minorHAnsi"/>
          <w:shd w:val="clear" w:color="auto" w:fill="DBE5F1" w:themeFill="accent1" w:themeFillTint="33"/>
        </w:rPr>
        <w:t xml:space="preserve"> </w:t>
      </w:r>
      <w:r w:rsidR="00760D50" w:rsidRPr="00F64128">
        <w:rPr>
          <w:rFonts w:asciiTheme="minorHAnsi" w:hAnsiTheme="minorHAnsi" w:cstheme="minorHAnsi"/>
          <w:shd w:val="clear" w:color="auto" w:fill="DBE5F1" w:themeFill="accent1" w:themeFillTint="33"/>
        </w:rPr>
        <w:t xml:space="preserve">zajišťovaly potřeby státu </w:t>
      </w:r>
      <w:r w:rsidR="0024693B" w:rsidRPr="00F64128">
        <w:rPr>
          <w:rFonts w:asciiTheme="minorHAnsi" w:hAnsiTheme="minorHAnsi" w:cstheme="minorHAnsi"/>
          <w:shd w:val="clear" w:color="auto" w:fill="DBE5F1" w:themeFill="accent1" w:themeFillTint="33"/>
        </w:rPr>
        <w:t>účelně a hospodárně</w:t>
      </w:r>
      <w:r w:rsidR="0024693B" w:rsidRPr="00F64128">
        <w:rPr>
          <w:rStyle w:val="Znakapoznpodarou"/>
          <w:rFonts w:asciiTheme="minorHAnsi" w:hAnsiTheme="minorHAnsi" w:cstheme="minorHAnsi"/>
          <w:shd w:val="clear" w:color="auto" w:fill="DBE5F1" w:themeFill="accent1" w:themeFillTint="33"/>
        </w:rPr>
        <w:footnoteReference w:id="17"/>
      </w:r>
      <w:r w:rsidR="0024693B" w:rsidRPr="00F64128">
        <w:rPr>
          <w:rFonts w:asciiTheme="minorHAnsi" w:hAnsiTheme="minorHAnsi" w:cstheme="minorHAnsi"/>
          <w:shd w:val="clear" w:color="auto" w:fill="DBE5F1" w:themeFill="accent1" w:themeFillTint="33"/>
        </w:rPr>
        <w:t>.</w:t>
      </w:r>
      <w:r w:rsidR="0024693B" w:rsidRPr="00C9657D">
        <w:rPr>
          <w:rFonts w:asciiTheme="minorHAnsi" w:hAnsiTheme="minorHAnsi" w:cstheme="minorHAnsi"/>
        </w:rPr>
        <w:t xml:space="preserve"> </w:t>
      </w:r>
      <w:r w:rsidR="0024693B" w:rsidRPr="00C9657D">
        <w:rPr>
          <w:rFonts w:asciiTheme="minorHAnsi" w:hAnsiTheme="minorHAnsi" w:cstheme="minorHAnsi"/>
          <w:bCs/>
          <w:lang w:eastAsia="cs-CZ"/>
        </w:rPr>
        <w:t xml:space="preserve">V kontrolovaném období provedlo </w:t>
      </w:r>
      <w:proofErr w:type="spellStart"/>
      <w:r w:rsidR="0024693B" w:rsidRPr="00C9657D">
        <w:rPr>
          <w:rFonts w:asciiTheme="minorHAnsi" w:hAnsiTheme="minorHAnsi" w:cstheme="minorHAnsi"/>
          <w:bCs/>
          <w:lang w:eastAsia="cs-CZ"/>
        </w:rPr>
        <w:t>MZdr</w:t>
      </w:r>
      <w:proofErr w:type="spellEnd"/>
      <w:r w:rsidR="0024693B" w:rsidRPr="00C9657D">
        <w:rPr>
          <w:rFonts w:asciiTheme="minorHAnsi" w:hAnsiTheme="minorHAnsi" w:cstheme="minorHAnsi"/>
          <w:bCs/>
          <w:lang w:eastAsia="cs-CZ"/>
        </w:rPr>
        <w:t xml:space="preserve"> </w:t>
      </w:r>
      <w:r w:rsidR="00760D50">
        <w:rPr>
          <w:rFonts w:asciiTheme="minorHAnsi" w:hAnsiTheme="minorHAnsi" w:cstheme="minorHAnsi"/>
          <w:bCs/>
          <w:lang w:eastAsia="cs-CZ"/>
        </w:rPr>
        <w:t xml:space="preserve">pouze </w:t>
      </w:r>
      <w:r w:rsidR="0024693B" w:rsidRPr="00C9657D">
        <w:rPr>
          <w:rFonts w:asciiTheme="minorHAnsi" w:hAnsiTheme="minorHAnsi" w:cstheme="minorHAnsi"/>
          <w:bCs/>
          <w:lang w:eastAsia="cs-CZ"/>
        </w:rPr>
        <w:t>jednu veřejnosprávní kontrolu na</w:t>
      </w:r>
      <w:r w:rsidR="007F3176">
        <w:rPr>
          <w:rFonts w:asciiTheme="minorHAnsi" w:hAnsiTheme="minorHAnsi" w:cstheme="minorHAnsi"/>
          <w:bCs/>
          <w:lang w:eastAsia="cs-CZ"/>
        </w:rPr>
        <w:t xml:space="preserve"> </w:t>
      </w:r>
      <w:r w:rsidR="0024693B" w:rsidRPr="00C9657D">
        <w:rPr>
          <w:rFonts w:asciiTheme="minorHAnsi" w:hAnsiTheme="minorHAnsi" w:cstheme="minorHAnsi"/>
          <w:bCs/>
          <w:lang w:eastAsia="cs-CZ"/>
        </w:rPr>
        <w:t xml:space="preserve">místě u SLL Janské Lázně </w:t>
      </w:r>
      <w:r w:rsidR="00AE3CD3" w:rsidRPr="00C9657D">
        <w:rPr>
          <w:rFonts w:asciiTheme="minorHAnsi" w:hAnsiTheme="minorHAnsi" w:cstheme="minorHAnsi"/>
          <w:bCs/>
          <w:lang w:eastAsia="cs-CZ"/>
        </w:rPr>
        <w:t xml:space="preserve">(v roce 2014) </w:t>
      </w:r>
      <w:r w:rsidR="0024693B" w:rsidRPr="00C9657D">
        <w:rPr>
          <w:rFonts w:asciiTheme="minorHAnsi" w:hAnsiTheme="minorHAnsi" w:cstheme="minorHAnsi"/>
          <w:bCs/>
          <w:lang w:eastAsia="cs-CZ"/>
        </w:rPr>
        <w:t>se zaměřením na hospodaření s</w:t>
      </w:r>
      <w:r w:rsidR="007F3176">
        <w:rPr>
          <w:rFonts w:asciiTheme="minorHAnsi" w:hAnsiTheme="minorHAnsi" w:cstheme="minorHAnsi"/>
          <w:bCs/>
          <w:lang w:eastAsia="cs-CZ"/>
        </w:rPr>
        <w:t> </w:t>
      </w:r>
      <w:r w:rsidR="0024693B" w:rsidRPr="00C9657D">
        <w:rPr>
          <w:rFonts w:asciiTheme="minorHAnsi" w:hAnsiTheme="minorHAnsi" w:cstheme="minorHAnsi"/>
          <w:bCs/>
          <w:lang w:eastAsia="cs-CZ"/>
        </w:rPr>
        <w:t>veřejnými prostředky v</w:t>
      </w:r>
      <w:r w:rsidR="007F3176">
        <w:rPr>
          <w:rFonts w:asciiTheme="minorHAnsi" w:hAnsiTheme="minorHAnsi" w:cstheme="minorHAnsi"/>
          <w:bCs/>
          <w:lang w:eastAsia="cs-CZ"/>
        </w:rPr>
        <w:t> </w:t>
      </w:r>
      <w:r w:rsidR="0024693B" w:rsidRPr="00C9657D">
        <w:rPr>
          <w:rFonts w:asciiTheme="minorHAnsi" w:hAnsiTheme="minorHAnsi" w:cstheme="minorHAnsi"/>
          <w:bCs/>
          <w:lang w:eastAsia="cs-CZ"/>
        </w:rPr>
        <w:t xml:space="preserve">letech 2012 a 2013. </w:t>
      </w:r>
    </w:p>
    <w:p w14:paraId="7F0521CB" w14:textId="77777777" w:rsidR="00D55F31" w:rsidRPr="007F3176" w:rsidRDefault="007F3176" w:rsidP="007F3176">
      <w:pPr>
        <w:spacing w:before="240"/>
        <w:jc w:val="both"/>
        <w:rPr>
          <w:rFonts w:asciiTheme="minorHAnsi" w:hAnsiTheme="minorHAnsi" w:cstheme="minorHAnsi"/>
          <w:b/>
        </w:rPr>
      </w:pPr>
      <w:r>
        <w:rPr>
          <w:rFonts w:asciiTheme="minorHAnsi" w:hAnsiTheme="minorHAnsi" w:cstheme="minorHAnsi"/>
          <w:b/>
        </w:rPr>
        <w:t xml:space="preserve">2. </w:t>
      </w:r>
      <w:r w:rsidR="0024693B" w:rsidRPr="007F3176">
        <w:rPr>
          <w:rFonts w:asciiTheme="minorHAnsi" w:hAnsiTheme="minorHAnsi" w:cstheme="minorHAnsi"/>
          <w:b/>
        </w:rPr>
        <w:t>Hospodaření státních podniků</w:t>
      </w:r>
    </w:p>
    <w:p w14:paraId="02EE614F" w14:textId="79F62382" w:rsidR="00D55F31" w:rsidRPr="00C9657D" w:rsidRDefault="0024693B" w:rsidP="0002290A">
      <w:pPr>
        <w:spacing w:before="120"/>
        <w:jc w:val="both"/>
        <w:rPr>
          <w:rFonts w:asciiTheme="minorHAnsi" w:hAnsiTheme="minorHAnsi" w:cstheme="minorHAnsi"/>
        </w:rPr>
      </w:pPr>
      <w:r w:rsidRPr="00C9657D">
        <w:rPr>
          <w:rFonts w:asciiTheme="minorHAnsi" w:hAnsiTheme="minorHAnsi" w:cstheme="minorHAnsi"/>
        </w:rPr>
        <w:t xml:space="preserve">Hospodaření kontrolovaných státních podniků </w:t>
      </w:r>
      <w:r w:rsidR="00D55F31">
        <w:rPr>
          <w:rFonts w:asciiTheme="minorHAnsi" w:hAnsiTheme="minorHAnsi" w:cstheme="minorHAnsi"/>
        </w:rPr>
        <w:t>ovlivňovaly</w:t>
      </w:r>
      <w:r w:rsidR="00D55F31" w:rsidRPr="00C9657D">
        <w:rPr>
          <w:rFonts w:asciiTheme="minorHAnsi" w:hAnsiTheme="minorHAnsi" w:cstheme="minorHAnsi"/>
        </w:rPr>
        <w:t xml:space="preserve"> </w:t>
      </w:r>
      <w:r w:rsidRPr="00C9657D">
        <w:rPr>
          <w:rFonts w:asciiTheme="minorHAnsi" w:hAnsiTheme="minorHAnsi" w:cstheme="minorHAnsi"/>
        </w:rPr>
        <w:t xml:space="preserve">zejména výnosy </w:t>
      </w:r>
      <w:r>
        <w:rPr>
          <w:rFonts w:asciiTheme="minorHAnsi" w:hAnsiTheme="minorHAnsi" w:cstheme="minorHAnsi"/>
        </w:rPr>
        <w:t xml:space="preserve">z tržeb za vlastní </w:t>
      </w:r>
      <w:r w:rsidRPr="00C9657D">
        <w:rPr>
          <w:rFonts w:asciiTheme="minorHAnsi" w:hAnsiTheme="minorHAnsi" w:cstheme="minorHAnsi"/>
        </w:rPr>
        <w:t xml:space="preserve">výkony a zboží (zejména tržby od zdravotních pojišťoven a </w:t>
      </w:r>
      <w:r>
        <w:rPr>
          <w:rFonts w:asciiTheme="minorHAnsi" w:hAnsiTheme="minorHAnsi" w:cstheme="minorHAnsi"/>
        </w:rPr>
        <w:t>samoplátců z rekreačních a </w:t>
      </w:r>
      <w:r w:rsidRPr="00C9657D">
        <w:rPr>
          <w:rFonts w:asciiTheme="minorHAnsi" w:hAnsiTheme="minorHAnsi" w:cstheme="minorHAnsi"/>
        </w:rPr>
        <w:t xml:space="preserve">léčebných pobytů). Jiné výnosy </w:t>
      </w:r>
      <w:r w:rsidR="00D55F31">
        <w:rPr>
          <w:rFonts w:asciiTheme="minorHAnsi" w:hAnsiTheme="minorHAnsi" w:cstheme="minorHAnsi"/>
        </w:rPr>
        <w:t>tvořily</w:t>
      </w:r>
      <w:r w:rsidR="00D55F31" w:rsidRPr="00C9657D">
        <w:rPr>
          <w:rFonts w:asciiTheme="minorHAnsi" w:hAnsiTheme="minorHAnsi" w:cstheme="minorHAnsi"/>
        </w:rPr>
        <w:t xml:space="preserve"> </w:t>
      </w:r>
      <w:r w:rsidRPr="00C9657D">
        <w:rPr>
          <w:rFonts w:asciiTheme="minorHAnsi" w:hAnsiTheme="minorHAnsi" w:cstheme="minorHAnsi"/>
        </w:rPr>
        <w:t>např. tržby z prodeje majetku nebo</w:t>
      </w:r>
      <w:r w:rsidRPr="00C9657D">
        <w:rPr>
          <w:rFonts w:asciiTheme="minorHAnsi" w:hAnsiTheme="minorHAnsi" w:cstheme="minorHAnsi"/>
          <w:color w:val="7030A0"/>
        </w:rPr>
        <w:t xml:space="preserve"> </w:t>
      </w:r>
      <w:r w:rsidRPr="00C9657D">
        <w:rPr>
          <w:rFonts w:asciiTheme="minorHAnsi" w:hAnsiTheme="minorHAnsi" w:cstheme="minorHAnsi"/>
        </w:rPr>
        <w:t>materiálu, náhrady</w:t>
      </w:r>
      <w:r w:rsidR="00914879">
        <w:rPr>
          <w:rFonts w:asciiTheme="minorHAnsi" w:hAnsiTheme="minorHAnsi" w:cstheme="minorHAnsi"/>
        </w:rPr>
        <w:t xml:space="preserve"> škod</w:t>
      </w:r>
      <w:r w:rsidRPr="00C9657D">
        <w:rPr>
          <w:rFonts w:asciiTheme="minorHAnsi" w:hAnsiTheme="minorHAnsi" w:cstheme="minorHAnsi"/>
        </w:rPr>
        <w:t xml:space="preserve"> apod. </w:t>
      </w:r>
    </w:p>
    <w:p w14:paraId="0E17D138" w14:textId="77777777" w:rsidR="00D55F31" w:rsidRPr="00C9657D" w:rsidRDefault="0024693B" w:rsidP="0002290A">
      <w:pPr>
        <w:spacing w:before="120"/>
        <w:jc w:val="both"/>
        <w:rPr>
          <w:rFonts w:asciiTheme="minorHAnsi" w:hAnsiTheme="minorHAnsi"/>
        </w:rPr>
      </w:pPr>
      <w:r w:rsidRPr="00C9657D">
        <w:rPr>
          <w:rFonts w:asciiTheme="minorHAnsi" w:hAnsiTheme="minorHAnsi"/>
        </w:rPr>
        <w:lastRenderedPageBreak/>
        <w:t>Kontrolované státní podniky měly v kontrolovaném období účetní závěrky ověřeny auditorem. V některých případech však nebyl auditor schválen DR (u SLL Janské Lázně na rok 2013, u</w:t>
      </w:r>
      <w:r w:rsidR="00F64128">
        <w:rPr>
          <w:rFonts w:asciiTheme="minorHAnsi" w:hAnsiTheme="minorHAnsi"/>
        </w:rPr>
        <w:t> </w:t>
      </w:r>
      <w:r w:rsidRPr="00C9657D">
        <w:rPr>
          <w:rFonts w:asciiTheme="minorHAnsi" w:hAnsiTheme="minorHAnsi"/>
        </w:rPr>
        <w:t>BALMED Praha a u SLL Bludov na rok 2015)</w:t>
      </w:r>
      <w:r>
        <w:rPr>
          <w:rStyle w:val="Znakapoznpodarou"/>
          <w:rFonts w:asciiTheme="minorHAnsi" w:hAnsiTheme="minorHAnsi"/>
        </w:rPr>
        <w:footnoteReference w:id="18"/>
      </w:r>
      <w:r w:rsidRPr="00C9657D">
        <w:rPr>
          <w:rFonts w:asciiTheme="minorHAnsi" w:hAnsiTheme="minorHAnsi"/>
        </w:rPr>
        <w:t xml:space="preserve">. </w:t>
      </w:r>
    </w:p>
    <w:p w14:paraId="42C209B1" w14:textId="77777777" w:rsidR="00D55F31" w:rsidRPr="00C9657D" w:rsidRDefault="0024693B" w:rsidP="0002290A">
      <w:pPr>
        <w:spacing w:before="120"/>
        <w:jc w:val="both"/>
        <w:rPr>
          <w:rFonts w:asciiTheme="minorHAnsi" w:hAnsiTheme="minorHAnsi"/>
        </w:rPr>
      </w:pPr>
      <w:r w:rsidRPr="00C9657D">
        <w:rPr>
          <w:rFonts w:asciiTheme="minorHAnsi" w:hAnsiTheme="minorHAnsi"/>
        </w:rPr>
        <w:t xml:space="preserve">Přílohy k účetním závěrkám u všech kontrolovaných </w:t>
      </w:r>
      <w:r w:rsidR="006B5AE3">
        <w:rPr>
          <w:rFonts w:asciiTheme="minorHAnsi" w:hAnsiTheme="minorHAnsi"/>
        </w:rPr>
        <w:t xml:space="preserve">státních </w:t>
      </w:r>
      <w:r w:rsidRPr="00C9657D">
        <w:rPr>
          <w:rFonts w:asciiTheme="minorHAnsi" w:hAnsiTheme="minorHAnsi"/>
        </w:rPr>
        <w:t xml:space="preserve">podniků za roky 2012 až 2014 neobsahovaly některé </w:t>
      </w:r>
      <w:r w:rsidR="00AE3CD3">
        <w:rPr>
          <w:rFonts w:asciiTheme="minorHAnsi" w:hAnsiTheme="minorHAnsi"/>
        </w:rPr>
        <w:t xml:space="preserve">určité </w:t>
      </w:r>
      <w:r w:rsidRPr="00C9657D">
        <w:rPr>
          <w:rFonts w:asciiTheme="minorHAnsi" w:hAnsiTheme="minorHAnsi"/>
        </w:rPr>
        <w:t>informace požadované právním předpisem</w:t>
      </w:r>
      <w:r>
        <w:rPr>
          <w:rStyle w:val="Znakapoznpodarou"/>
          <w:rFonts w:asciiTheme="minorHAnsi" w:hAnsiTheme="minorHAnsi"/>
        </w:rPr>
        <w:footnoteReference w:id="19"/>
      </w:r>
      <w:r w:rsidR="003E3221">
        <w:rPr>
          <w:rFonts w:asciiTheme="minorHAnsi" w:hAnsiTheme="minorHAnsi"/>
        </w:rPr>
        <w:t xml:space="preserve"> (např. rozpis odloženého daňového závazku, stanovení účetních opravných položek, náklady na odměny</w:t>
      </w:r>
      <w:r w:rsidR="00CF0C6F">
        <w:rPr>
          <w:rFonts w:asciiTheme="minorHAnsi" w:hAnsiTheme="minorHAnsi"/>
        </w:rPr>
        <w:t xml:space="preserve"> </w:t>
      </w:r>
      <w:r w:rsidR="003E3221">
        <w:rPr>
          <w:rFonts w:asciiTheme="minorHAnsi" w:hAnsiTheme="minorHAnsi"/>
        </w:rPr>
        <w:t>auditorsk</w:t>
      </w:r>
      <w:r w:rsidR="00CF0C6F">
        <w:rPr>
          <w:rFonts w:asciiTheme="minorHAnsi" w:hAnsiTheme="minorHAnsi"/>
        </w:rPr>
        <w:t>é společnosti</w:t>
      </w:r>
      <w:r w:rsidR="003E3221">
        <w:rPr>
          <w:rFonts w:asciiTheme="minorHAnsi" w:hAnsiTheme="minorHAnsi"/>
        </w:rPr>
        <w:t>)</w:t>
      </w:r>
      <w:r w:rsidRPr="00C9657D">
        <w:rPr>
          <w:rFonts w:asciiTheme="minorHAnsi" w:hAnsiTheme="minorHAnsi"/>
        </w:rPr>
        <w:t>.</w:t>
      </w:r>
    </w:p>
    <w:p w14:paraId="28FAAC8F" w14:textId="77777777" w:rsidR="00D55F31" w:rsidRPr="00C9657D" w:rsidRDefault="0024693B" w:rsidP="0002290A">
      <w:pPr>
        <w:spacing w:before="120"/>
        <w:jc w:val="both"/>
        <w:rPr>
          <w:rFonts w:asciiTheme="minorHAnsi" w:hAnsiTheme="minorHAnsi"/>
        </w:rPr>
      </w:pPr>
      <w:r w:rsidRPr="00C9657D">
        <w:rPr>
          <w:rFonts w:asciiTheme="minorHAnsi" w:hAnsiTheme="minorHAnsi"/>
        </w:rPr>
        <w:t>Dva státní podniky v kontrolovaných letech nevyhotovily výroční zprávu v úplném rozsahu dle zákona o účetnictví</w:t>
      </w:r>
      <w:r>
        <w:rPr>
          <w:rStyle w:val="Znakapoznpodarou"/>
          <w:rFonts w:asciiTheme="minorHAnsi" w:hAnsiTheme="minorHAnsi"/>
        </w:rPr>
        <w:footnoteReference w:id="20"/>
      </w:r>
      <w:r w:rsidRPr="00C9657D">
        <w:rPr>
          <w:rFonts w:asciiTheme="minorHAnsi" w:hAnsiTheme="minorHAnsi"/>
        </w:rPr>
        <w:t xml:space="preserve"> a dva státní podniky neměly v letech 2013 a 2014 auditorem ověřený soulad výroční zprávy s účetní závěrkou</w:t>
      </w:r>
      <w:r>
        <w:rPr>
          <w:rStyle w:val="Znakapoznpodarou"/>
          <w:rFonts w:asciiTheme="minorHAnsi" w:hAnsiTheme="minorHAnsi"/>
        </w:rPr>
        <w:footnoteReference w:id="21"/>
      </w:r>
      <w:r w:rsidRPr="00C9657D">
        <w:rPr>
          <w:rFonts w:asciiTheme="minorHAnsi" w:hAnsiTheme="minorHAnsi"/>
        </w:rPr>
        <w:t>.</w:t>
      </w:r>
    </w:p>
    <w:p w14:paraId="33BABAF3" w14:textId="72BD1D12" w:rsidR="00D55F31" w:rsidRPr="00C9657D" w:rsidRDefault="0024693B" w:rsidP="0002290A">
      <w:pPr>
        <w:spacing w:before="120"/>
        <w:jc w:val="both"/>
        <w:rPr>
          <w:rFonts w:asciiTheme="minorHAnsi" w:hAnsiTheme="minorHAnsi"/>
        </w:rPr>
      </w:pPr>
      <w:r w:rsidRPr="00C9657D">
        <w:rPr>
          <w:rFonts w:asciiTheme="minorHAnsi" w:hAnsiTheme="minorHAnsi"/>
        </w:rPr>
        <w:t>Při kontrole dokumentů zakládaných do sbírky listin obchodního rejstříku bylo zjištěno, že</w:t>
      </w:r>
      <w:r w:rsidR="003559E7">
        <w:rPr>
          <w:rFonts w:asciiTheme="minorHAnsi" w:hAnsiTheme="minorHAnsi"/>
        </w:rPr>
        <w:t xml:space="preserve"> </w:t>
      </w:r>
      <w:r w:rsidRPr="00C9657D">
        <w:rPr>
          <w:rFonts w:asciiTheme="minorHAnsi" w:hAnsiTheme="minorHAnsi"/>
        </w:rPr>
        <w:t>státní podniky nepředložily v kontrolovaném období rejstříkovému soudu některé dokum</w:t>
      </w:r>
      <w:r>
        <w:rPr>
          <w:rFonts w:asciiTheme="minorHAnsi" w:hAnsiTheme="minorHAnsi"/>
        </w:rPr>
        <w:t>enty, které</w:t>
      </w:r>
      <w:r w:rsidRPr="00C9657D">
        <w:rPr>
          <w:rFonts w:asciiTheme="minorHAnsi" w:hAnsiTheme="minorHAnsi"/>
        </w:rPr>
        <w:t xml:space="preserve"> do sbírky listin </w:t>
      </w:r>
      <w:r>
        <w:rPr>
          <w:rFonts w:asciiTheme="minorHAnsi" w:hAnsiTheme="minorHAnsi"/>
        </w:rPr>
        <w:t xml:space="preserve">mají </w:t>
      </w:r>
      <w:r w:rsidRPr="00C9657D">
        <w:rPr>
          <w:rFonts w:asciiTheme="minorHAnsi" w:hAnsiTheme="minorHAnsi"/>
        </w:rPr>
        <w:t>povinn</w:t>
      </w:r>
      <w:r>
        <w:rPr>
          <w:rFonts w:asciiTheme="minorHAnsi" w:hAnsiTheme="minorHAnsi"/>
        </w:rPr>
        <w:t>ost</w:t>
      </w:r>
      <w:r w:rsidRPr="00C9657D">
        <w:rPr>
          <w:rFonts w:asciiTheme="minorHAnsi" w:hAnsiTheme="minorHAnsi"/>
        </w:rPr>
        <w:t xml:space="preserve"> </w:t>
      </w:r>
      <w:r>
        <w:rPr>
          <w:rFonts w:asciiTheme="minorHAnsi" w:hAnsiTheme="minorHAnsi"/>
        </w:rPr>
        <w:t>zakládat</w:t>
      </w:r>
      <w:r>
        <w:rPr>
          <w:rStyle w:val="Znakapoznpodarou"/>
          <w:rFonts w:asciiTheme="minorHAnsi" w:hAnsiTheme="minorHAnsi"/>
        </w:rPr>
        <w:footnoteReference w:id="22"/>
      </w:r>
      <w:r w:rsidRPr="00C9657D">
        <w:rPr>
          <w:rFonts w:asciiTheme="minorHAnsi" w:hAnsiTheme="minorHAnsi"/>
        </w:rPr>
        <w:t xml:space="preserve"> (např. účetní závěrky včetně příloh, jmenovací dekrety).</w:t>
      </w:r>
    </w:p>
    <w:p w14:paraId="1DA2BD51" w14:textId="5C113CA4" w:rsidR="00D55F31" w:rsidRPr="0083497B" w:rsidRDefault="0024693B" w:rsidP="006533E0">
      <w:pPr>
        <w:spacing w:before="240"/>
        <w:jc w:val="both"/>
        <w:rPr>
          <w:rFonts w:asciiTheme="minorHAnsi" w:hAnsiTheme="minorHAnsi" w:cstheme="minorHAnsi"/>
          <w:b/>
        </w:rPr>
      </w:pPr>
      <w:r w:rsidRPr="0083497B">
        <w:rPr>
          <w:rFonts w:asciiTheme="minorHAnsi" w:hAnsiTheme="minorHAnsi" w:cstheme="minorHAnsi"/>
          <w:b/>
        </w:rPr>
        <w:t>2.1 Výsledky hospodaření</w:t>
      </w:r>
    </w:p>
    <w:p w14:paraId="07459962" w14:textId="77777777" w:rsidR="00D55F31" w:rsidRPr="00C9657D" w:rsidRDefault="0024693B" w:rsidP="0002290A">
      <w:pPr>
        <w:spacing w:before="120"/>
        <w:jc w:val="both"/>
        <w:rPr>
          <w:rFonts w:asciiTheme="minorHAnsi" w:hAnsiTheme="minorHAnsi"/>
        </w:rPr>
      </w:pPr>
      <w:r w:rsidRPr="00C9657D">
        <w:rPr>
          <w:rFonts w:asciiTheme="minorHAnsi" w:hAnsiTheme="minorHAnsi"/>
        </w:rPr>
        <w:t xml:space="preserve">a) Výsledky hospodaření kontrolovaných </w:t>
      </w:r>
      <w:r w:rsidR="006851F6">
        <w:rPr>
          <w:rFonts w:asciiTheme="minorHAnsi" w:hAnsiTheme="minorHAnsi"/>
        </w:rPr>
        <w:t xml:space="preserve">státních </w:t>
      </w:r>
      <w:r w:rsidRPr="00C9657D">
        <w:rPr>
          <w:rFonts w:asciiTheme="minorHAnsi" w:hAnsiTheme="minorHAnsi"/>
        </w:rPr>
        <w:t>podniků poskytujících lázeňskou péči v</w:t>
      </w:r>
      <w:r w:rsidR="006851F6">
        <w:rPr>
          <w:rFonts w:asciiTheme="minorHAnsi" w:hAnsiTheme="minorHAnsi"/>
        </w:rPr>
        <w:t> </w:t>
      </w:r>
      <w:r w:rsidRPr="00C9657D">
        <w:rPr>
          <w:rFonts w:asciiTheme="minorHAnsi" w:hAnsiTheme="minorHAnsi"/>
        </w:rPr>
        <w:t>letech 2011 až 2015 jsou uvedeny v</w:t>
      </w:r>
      <w:r w:rsidRPr="00C9657D">
        <w:rPr>
          <w:rFonts w:asciiTheme="minorHAnsi" w:hAnsiTheme="minorHAnsi" w:cs="Calibri"/>
        </w:rPr>
        <w:t xml:space="preserve"> t</w:t>
      </w:r>
      <w:r w:rsidRPr="00C9657D">
        <w:rPr>
          <w:rFonts w:asciiTheme="minorHAnsi" w:hAnsiTheme="minorHAnsi"/>
        </w:rPr>
        <w:t xml:space="preserve">abulce č. 2. </w:t>
      </w:r>
    </w:p>
    <w:p w14:paraId="1419E69F" w14:textId="77777777" w:rsidR="001741F3" w:rsidRDefault="001741F3">
      <w:pPr>
        <w:rPr>
          <w:rFonts w:asciiTheme="minorHAnsi" w:hAnsiTheme="minorHAnsi"/>
          <w:b/>
        </w:rPr>
      </w:pPr>
      <w:r>
        <w:rPr>
          <w:rFonts w:asciiTheme="minorHAnsi" w:hAnsiTheme="minorHAnsi"/>
          <w:b/>
        </w:rPr>
        <w:br w:type="page"/>
      </w:r>
    </w:p>
    <w:p w14:paraId="40B12712" w14:textId="77777777" w:rsidR="003559E7" w:rsidRDefault="0024693B" w:rsidP="003559E7">
      <w:pPr>
        <w:spacing w:before="120"/>
        <w:jc w:val="both"/>
        <w:rPr>
          <w:rFonts w:asciiTheme="minorHAnsi" w:hAnsiTheme="minorHAnsi"/>
          <w:b/>
        </w:rPr>
      </w:pPr>
      <w:r w:rsidRPr="00C9657D">
        <w:rPr>
          <w:rFonts w:asciiTheme="minorHAnsi" w:hAnsiTheme="minorHAnsi"/>
          <w:b/>
        </w:rPr>
        <w:lastRenderedPageBreak/>
        <w:t xml:space="preserve">Tabulka č. 2 </w:t>
      </w:r>
      <w:r>
        <w:rPr>
          <w:rFonts w:asciiTheme="minorHAnsi" w:hAnsiTheme="minorHAnsi"/>
          <w:b/>
        </w:rPr>
        <w:t>–</w:t>
      </w:r>
      <w:r w:rsidRPr="00C9657D">
        <w:rPr>
          <w:rFonts w:asciiTheme="minorHAnsi" w:hAnsiTheme="minorHAnsi"/>
          <w:b/>
        </w:rPr>
        <w:t xml:space="preserve"> Výsledky hospodaření kontrolovaných státních podniků za roky 2011</w:t>
      </w:r>
      <w:r w:rsidRPr="00C9657D">
        <w:rPr>
          <w:rFonts w:asciiTheme="minorHAnsi" w:hAnsiTheme="minorHAnsi" w:cs="Calibri"/>
          <w:b/>
          <w:color w:val="000000"/>
        </w:rPr>
        <w:t>–</w:t>
      </w:r>
      <w:r w:rsidRPr="00C9657D">
        <w:rPr>
          <w:rFonts w:asciiTheme="minorHAnsi" w:hAnsiTheme="minorHAnsi"/>
          <w:b/>
        </w:rPr>
        <w:t>2015</w:t>
      </w:r>
    </w:p>
    <w:p w14:paraId="6734B80D" w14:textId="77777777" w:rsidR="00D55F31" w:rsidRPr="00C9657D" w:rsidRDefault="0024693B" w:rsidP="003559E7">
      <w:pPr>
        <w:tabs>
          <w:tab w:val="right" w:pos="9072"/>
        </w:tabs>
        <w:spacing w:after="40"/>
        <w:jc w:val="both"/>
        <w:rPr>
          <w:rFonts w:asciiTheme="minorHAnsi" w:hAnsiTheme="minorHAnsi"/>
          <w:b/>
        </w:rPr>
      </w:pPr>
      <w:r w:rsidRPr="00C9657D">
        <w:rPr>
          <w:rFonts w:asciiTheme="minorHAnsi" w:hAnsiTheme="minorHAnsi"/>
        </w:rPr>
        <w:t xml:space="preserve"> </w:t>
      </w:r>
      <w:r w:rsidR="003559E7">
        <w:rPr>
          <w:rFonts w:asciiTheme="minorHAnsi" w:hAnsiTheme="minorHAnsi"/>
        </w:rPr>
        <w:tab/>
      </w:r>
      <w:r w:rsidRPr="00C9657D">
        <w:rPr>
          <w:rFonts w:asciiTheme="minorHAnsi" w:hAnsiTheme="minorHAnsi"/>
          <w:b/>
        </w:rPr>
        <w:t>(v tis. Kč)</w:t>
      </w: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737"/>
        <w:gridCol w:w="1940"/>
        <w:gridCol w:w="1074"/>
        <w:gridCol w:w="1074"/>
        <w:gridCol w:w="1074"/>
        <w:gridCol w:w="1076"/>
        <w:gridCol w:w="1067"/>
      </w:tblGrid>
      <w:tr w:rsidR="00C425F2" w14:paraId="0028EA6A" w14:textId="77777777" w:rsidTr="003D1C64">
        <w:trPr>
          <w:cantSplit/>
          <w:trHeight w:val="283"/>
          <w:jc w:val="center"/>
        </w:trPr>
        <w:tc>
          <w:tcPr>
            <w:tcW w:w="2032" w:type="pct"/>
            <w:gridSpan w:val="2"/>
            <w:shd w:val="clear" w:color="auto" w:fill="C6D9F1" w:themeFill="text2" w:themeFillTint="33"/>
            <w:vAlign w:val="center"/>
          </w:tcPr>
          <w:p w14:paraId="6C85B4BE" w14:textId="77777777" w:rsidR="00D55F31" w:rsidRPr="00C9657D" w:rsidRDefault="00D55F31" w:rsidP="0002290A">
            <w:pPr>
              <w:jc w:val="center"/>
              <w:rPr>
                <w:rFonts w:asciiTheme="minorHAnsi" w:hAnsiTheme="minorHAnsi" w:cs="Calibri"/>
                <w:b/>
                <w:color w:val="000000"/>
                <w:sz w:val="20"/>
                <w:szCs w:val="20"/>
              </w:rPr>
            </w:pPr>
          </w:p>
        </w:tc>
        <w:tc>
          <w:tcPr>
            <w:tcW w:w="594" w:type="pct"/>
            <w:shd w:val="clear" w:color="auto" w:fill="C6D9F1" w:themeFill="text2" w:themeFillTint="33"/>
            <w:vAlign w:val="center"/>
          </w:tcPr>
          <w:p w14:paraId="6073DE0C" w14:textId="77777777" w:rsidR="00D55F31" w:rsidRPr="00C9657D" w:rsidRDefault="0024693B" w:rsidP="0002290A">
            <w:pPr>
              <w:jc w:val="center"/>
              <w:rPr>
                <w:rFonts w:asciiTheme="minorHAnsi" w:hAnsiTheme="minorHAnsi" w:cs="Calibri"/>
                <w:b/>
                <w:color w:val="000000"/>
                <w:sz w:val="20"/>
                <w:szCs w:val="20"/>
              </w:rPr>
            </w:pPr>
            <w:r w:rsidRPr="00C9657D">
              <w:rPr>
                <w:rFonts w:asciiTheme="minorHAnsi" w:hAnsiTheme="minorHAnsi" w:cs="Calibri"/>
                <w:b/>
                <w:color w:val="000000"/>
                <w:sz w:val="20"/>
                <w:szCs w:val="20"/>
              </w:rPr>
              <w:t>2011</w:t>
            </w:r>
          </w:p>
        </w:tc>
        <w:tc>
          <w:tcPr>
            <w:tcW w:w="594" w:type="pct"/>
            <w:shd w:val="clear" w:color="auto" w:fill="C6D9F1" w:themeFill="text2" w:themeFillTint="33"/>
            <w:vAlign w:val="center"/>
          </w:tcPr>
          <w:p w14:paraId="581A6A78" w14:textId="77777777" w:rsidR="00D55F31" w:rsidRPr="00C9657D" w:rsidRDefault="0024693B" w:rsidP="0002290A">
            <w:pPr>
              <w:jc w:val="center"/>
              <w:rPr>
                <w:rFonts w:asciiTheme="minorHAnsi" w:hAnsiTheme="minorHAnsi" w:cs="Calibri"/>
                <w:b/>
                <w:color w:val="000000"/>
                <w:sz w:val="20"/>
                <w:szCs w:val="20"/>
              </w:rPr>
            </w:pPr>
            <w:r w:rsidRPr="00C9657D">
              <w:rPr>
                <w:rFonts w:asciiTheme="minorHAnsi" w:hAnsiTheme="minorHAnsi" w:cs="Calibri"/>
                <w:b/>
                <w:color w:val="000000"/>
                <w:sz w:val="20"/>
                <w:szCs w:val="20"/>
              </w:rPr>
              <w:t>2012</w:t>
            </w:r>
          </w:p>
        </w:tc>
        <w:tc>
          <w:tcPr>
            <w:tcW w:w="594" w:type="pct"/>
            <w:shd w:val="clear" w:color="auto" w:fill="C6D9F1" w:themeFill="text2" w:themeFillTint="33"/>
            <w:vAlign w:val="center"/>
          </w:tcPr>
          <w:p w14:paraId="08735DF5" w14:textId="77777777" w:rsidR="00D55F31" w:rsidRPr="00C9657D" w:rsidRDefault="0024693B" w:rsidP="0002290A">
            <w:pPr>
              <w:jc w:val="center"/>
              <w:rPr>
                <w:rFonts w:asciiTheme="minorHAnsi" w:hAnsiTheme="minorHAnsi" w:cs="Calibri"/>
                <w:b/>
                <w:color w:val="000000"/>
                <w:sz w:val="20"/>
                <w:szCs w:val="20"/>
              </w:rPr>
            </w:pPr>
            <w:r w:rsidRPr="00C9657D">
              <w:rPr>
                <w:rFonts w:asciiTheme="minorHAnsi" w:hAnsiTheme="minorHAnsi" w:cs="Calibri"/>
                <w:b/>
                <w:color w:val="000000"/>
                <w:sz w:val="20"/>
                <w:szCs w:val="20"/>
              </w:rPr>
              <w:t>2013</w:t>
            </w:r>
          </w:p>
        </w:tc>
        <w:tc>
          <w:tcPr>
            <w:tcW w:w="595" w:type="pct"/>
            <w:shd w:val="clear" w:color="auto" w:fill="C6D9F1" w:themeFill="text2" w:themeFillTint="33"/>
            <w:vAlign w:val="center"/>
          </w:tcPr>
          <w:p w14:paraId="4CE823BF" w14:textId="77777777" w:rsidR="00D55F31" w:rsidRPr="00C9657D" w:rsidRDefault="0024693B" w:rsidP="0002290A">
            <w:pPr>
              <w:jc w:val="center"/>
              <w:rPr>
                <w:rFonts w:asciiTheme="minorHAnsi" w:hAnsiTheme="minorHAnsi" w:cs="Calibri"/>
                <w:b/>
                <w:color w:val="000000"/>
                <w:sz w:val="20"/>
                <w:szCs w:val="20"/>
              </w:rPr>
            </w:pPr>
            <w:r w:rsidRPr="00C9657D">
              <w:rPr>
                <w:rFonts w:asciiTheme="minorHAnsi" w:hAnsiTheme="minorHAnsi" w:cs="Calibri"/>
                <w:b/>
                <w:color w:val="000000"/>
                <w:sz w:val="20"/>
                <w:szCs w:val="20"/>
              </w:rPr>
              <w:t>2014</w:t>
            </w:r>
          </w:p>
        </w:tc>
        <w:tc>
          <w:tcPr>
            <w:tcW w:w="590" w:type="pct"/>
            <w:shd w:val="clear" w:color="auto" w:fill="C6D9F1" w:themeFill="text2" w:themeFillTint="33"/>
            <w:vAlign w:val="center"/>
          </w:tcPr>
          <w:p w14:paraId="00B02285" w14:textId="77777777" w:rsidR="00D55F31" w:rsidRPr="00C9657D" w:rsidRDefault="0024693B" w:rsidP="0002290A">
            <w:pPr>
              <w:jc w:val="center"/>
              <w:rPr>
                <w:rFonts w:asciiTheme="minorHAnsi" w:hAnsiTheme="minorHAnsi" w:cs="Calibri"/>
                <w:b/>
                <w:color w:val="000000"/>
                <w:sz w:val="20"/>
                <w:szCs w:val="20"/>
              </w:rPr>
            </w:pPr>
            <w:r w:rsidRPr="00C9657D">
              <w:rPr>
                <w:rFonts w:asciiTheme="minorHAnsi" w:hAnsiTheme="minorHAnsi" w:cs="Calibri"/>
                <w:b/>
                <w:color w:val="000000"/>
                <w:sz w:val="20"/>
                <w:szCs w:val="20"/>
              </w:rPr>
              <w:t>2015</w:t>
            </w:r>
          </w:p>
        </w:tc>
      </w:tr>
      <w:tr w:rsidR="00C425F2" w14:paraId="0AEFD1BC" w14:textId="77777777" w:rsidTr="003D1C64">
        <w:trPr>
          <w:cantSplit/>
          <w:trHeight w:val="227"/>
          <w:jc w:val="center"/>
        </w:trPr>
        <w:tc>
          <w:tcPr>
            <w:tcW w:w="960" w:type="pct"/>
            <w:vMerge w:val="restart"/>
            <w:vAlign w:val="center"/>
          </w:tcPr>
          <w:p w14:paraId="3CB58A6C" w14:textId="77777777" w:rsidR="00D55F31" w:rsidRPr="00C9657D" w:rsidRDefault="0024693B" w:rsidP="0002290A">
            <w:pPr>
              <w:rPr>
                <w:rFonts w:asciiTheme="minorHAnsi" w:hAnsiTheme="minorHAnsi" w:cs="Calibri"/>
                <w:color w:val="000000"/>
                <w:sz w:val="20"/>
                <w:szCs w:val="20"/>
              </w:rPr>
            </w:pPr>
            <w:r w:rsidRPr="00C9657D">
              <w:rPr>
                <w:rFonts w:asciiTheme="minorHAnsi" w:hAnsiTheme="minorHAnsi" w:cs="Calibri"/>
                <w:color w:val="000000"/>
                <w:sz w:val="20"/>
                <w:szCs w:val="20"/>
              </w:rPr>
              <w:t>Provozní výsledek hospodaření</w:t>
            </w:r>
          </w:p>
        </w:tc>
        <w:tc>
          <w:tcPr>
            <w:tcW w:w="1072" w:type="pct"/>
            <w:vAlign w:val="center"/>
          </w:tcPr>
          <w:p w14:paraId="1B8C3321" w14:textId="77777777" w:rsidR="00D55F31" w:rsidRPr="00C9657D" w:rsidRDefault="0024693B" w:rsidP="0002290A">
            <w:pPr>
              <w:ind w:right="64" w:hanging="11"/>
              <w:jc w:val="center"/>
              <w:rPr>
                <w:rFonts w:asciiTheme="minorHAnsi" w:hAnsiTheme="minorHAnsi" w:cs="Calibri"/>
                <w:i/>
                <w:color w:val="000000"/>
                <w:sz w:val="20"/>
                <w:szCs w:val="20"/>
              </w:rPr>
            </w:pPr>
            <w:r w:rsidRPr="00C9657D">
              <w:rPr>
                <w:rFonts w:asciiTheme="minorHAnsi" w:hAnsiTheme="minorHAnsi" w:cs="Calibri"/>
                <w:i/>
                <w:color w:val="000000"/>
                <w:sz w:val="20"/>
                <w:szCs w:val="20"/>
              </w:rPr>
              <w:t>SLL Janské Lázně</w:t>
            </w:r>
          </w:p>
        </w:tc>
        <w:tc>
          <w:tcPr>
            <w:tcW w:w="594" w:type="pct"/>
            <w:vAlign w:val="center"/>
          </w:tcPr>
          <w:p w14:paraId="6C92378D" w14:textId="77777777" w:rsidR="00D55F31" w:rsidRPr="00C9657D" w:rsidRDefault="0024693B" w:rsidP="0002290A">
            <w:pPr>
              <w:jc w:val="right"/>
              <w:rPr>
                <w:rFonts w:asciiTheme="minorHAnsi" w:hAnsiTheme="minorHAnsi"/>
                <w:sz w:val="20"/>
                <w:szCs w:val="20"/>
              </w:rPr>
            </w:pPr>
            <w:r w:rsidRPr="00C9657D">
              <w:rPr>
                <w:rFonts w:asciiTheme="minorHAnsi" w:hAnsiTheme="minorHAnsi"/>
                <w:sz w:val="20"/>
                <w:szCs w:val="20"/>
              </w:rPr>
              <w:t>1 739</w:t>
            </w:r>
          </w:p>
        </w:tc>
        <w:tc>
          <w:tcPr>
            <w:tcW w:w="594" w:type="pct"/>
            <w:vAlign w:val="center"/>
          </w:tcPr>
          <w:p w14:paraId="406A0FC3" w14:textId="4C89919D" w:rsidR="00D55F31" w:rsidRPr="00C9657D" w:rsidRDefault="003559E7" w:rsidP="0002290A">
            <w:pPr>
              <w:jc w:val="right"/>
              <w:rPr>
                <w:rFonts w:asciiTheme="minorHAnsi" w:hAnsiTheme="minorHAnsi"/>
                <w:sz w:val="20"/>
                <w:szCs w:val="20"/>
              </w:rPr>
            </w:pPr>
            <w:r>
              <w:rPr>
                <w:rFonts w:asciiTheme="minorHAnsi" w:hAnsiTheme="minorHAnsi" w:cstheme="minorHAnsi"/>
                <w:sz w:val="20"/>
                <w:szCs w:val="20"/>
              </w:rPr>
              <w:t>−</w:t>
            </w:r>
            <w:r w:rsidR="0024693B" w:rsidRPr="00C9657D">
              <w:rPr>
                <w:rFonts w:asciiTheme="minorHAnsi" w:hAnsiTheme="minorHAnsi"/>
                <w:sz w:val="20"/>
                <w:szCs w:val="20"/>
              </w:rPr>
              <w:t>30 638</w:t>
            </w:r>
          </w:p>
        </w:tc>
        <w:tc>
          <w:tcPr>
            <w:tcW w:w="594" w:type="pct"/>
            <w:vAlign w:val="center"/>
          </w:tcPr>
          <w:p w14:paraId="3FEB8947" w14:textId="54A402A2" w:rsidR="00D55F31" w:rsidRPr="00C9657D" w:rsidRDefault="003559E7" w:rsidP="0002290A">
            <w:pPr>
              <w:jc w:val="right"/>
              <w:rPr>
                <w:rFonts w:asciiTheme="minorHAnsi" w:hAnsiTheme="minorHAnsi"/>
                <w:sz w:val="20"/>
                <w:szCs w:val="20"/>
              </w:rPr>
            </w:pPr>
            <w:r>
              <w:rPr>
                <w:rFonts w:asciiTheme="minorHAnsi" w:hAnsiTheme="minorHAnsi" w:cstheme="minorHAnsi"/>
                <w:sz w:val="20"/>
                <w:szCs w:val="20"/>
              </w:rPr>
              <w:t>−</w:t>
            </w:r>
            <w:r w:rsidR="0024693B" w:rsidRPr="00C9657D">
              <w:rPr>
                <w:rFonts w:asciiTheme="minorHAnsi" w:hAnsiTheme="minorHAnsi"/>
                <w:sz w:val="20"/>
                <w:szCs w:val="20"/>
              </w:rPr>
              <w:t>50 950</w:t>
            </w:r>
          </w:p>
        </w:tc>
        <w:tc>
          <w:tcPr>
            <w:tcW w:w="595" w:type="pct"/>
            <w:vAlign w:val="center"/>
          </w:tcPr>
          <w:p w14:paraId="49FE2FAD" w14:textId="3305EF72" w:rsidR="00D55F31" w:rsidRPr="00C9657D" w:rsidRDefault="003559E7" w:rsidP="0002290A">
            <w:pPr>
              <w:jc w:val="right"/>
              <w:rPr>
                <w:rFonts w:asciiTheme="minorHAnsi" w:hAnsiTheme="minorHAnsi"/>
                <w:sz w:val="20"/>
                <w:szCs w:val="20"/>
              </w:rPr>
            </w:pPr>
            <w:r>
              <w:rPr>
                <w:rFonts w:asciiTheme="minorHAnsi" w:hAnsiTheme="minorHAnsi" w:cstheme="minorHAnsi"/>
                <w:sz w:val="20"/>
                <w:szCs w:val="20"/>
              </w:rPr>
              <w:t>−</w:t>
            </w:r>
            <w:r w:rsidR="0024693B" w:rsidRPr="00C9657D">
              <w:rPr>
                <w:rFonts w:asciiTheme="minorHAnsi" w:hAnsiTheme="minorHAnsi"/>
                <w:sz w:val="20"/>
                <w:szCs w:val="20"/>
              </w:rPr>
              <w:t>3 628</w:t>
            </w:r>
          </w:p>
        </w:tc>
        <w:tc>
          <w:tcPr>
            <w:tcW w:w="590" w:type="pct"/>
            <w:vAlign w:val="center"/>
          </w:tcPr>
          <w:p w14:paraId="3777D33E" w14:textId="77777777" w:rsidR="00D55F31" w:rsidRPr="00C9657D" w:rsidRDefault="0024693B" w:rsidP="0002290A">
            <w:pPr>
              <w:jc w:val="right"/>
              <w:rPr>
                <w:rFonts w:asciiTheme="minorHAnsi" w:hAnsiTheme="minorHAnsi"/>
                <w:sz w:val="20"/>
                <w:szCs w:val="20"/>
              </w:rPr>
            </w:pPr>
            <w:r w:rsidRPr="00C9657D">
              <w:rPr>
                <w:rFonts w:asciiTheme="minorHAnsi" w:hAnsiTheme="minorHAnsi"/>
                <w:sz w:val="20"/>
                <w:szCs w:val="20"/>
              </w:rPr>
              <w:t>5 850</w:t>
            </w:r>
          </w:p>
        </w:tc>
      </w:tr>
      <w:tr w:rsidR="00C425F2" w14:paraId="2FA32E78" w14:textId="77777777" w:rsidTr="003D1C64">
        <w:trPr>
          <w:cantSplit/>
          <w:trHeight w:val="227"/>
          <w:jc w:val="center"/>
        </w:trPr>
        <w:tc>
          <w:tcPr>
            <w:tcW w:w="960" w:type="pct"/>
            <w:vMerge/>
            <w:vAlign w:val="center"/>
          </w:tcPr>
          <w:p w14:paraId="2D4DD577" w14:textId="77777777" w:rsidR="00D55F31" w:rsidRPr="00C9657D" w:rsidRDefault="00D55F31" w:rsidP="0002290A">
            <w:pPr>
              <w:rPr>
                <w:rFonts w:asciiTheme="minorHAnsi" w:hAnsiTheme="minorHAnsi" w:cs="Calibri"/>
                <w:color w:val="000000"/>
                <w:sz w:val="20"/>
                <w:szCs w:val="20"/>
              </w:rPr>
            </w:pPr>
          </w:p>
        </w:tc>
        <w:tc>
          <w:tcPr>
            <w:tcW w:w="1072" w:type="pct"/>
            <w:tcBorders>
              <w:bottom w:val="single" w:sz="4" w:space="0" w:color="auto"/>
            </w:tcBorders>
            <w:vAlign w:val="center"/>
          </w:tcPr>
          <w:p w14:paraId="1E030A9A" w14:textId="77777777" w:rsidR="00D55F31" w:rsidRPr="00C9657D" w:rsidRDefault="0024693B" w:rsidP="0002290A">
            <w:pPr>
              <w:ind w:right="64" w:hanging="11"/>
              <w:jc w:val="center"/>
              <w:rPr>
                <w:rFonts w:asciiTheme="minorHAnsi" w:hAnsiTheme="minorHAnsi" w:cs="Calibri"/>
                <w:i/>
                <w:color w:val="000000"/>
                <w:sz w:val="20"/>
                <w:szCs w:val="20"/>
              </w:rPr>
            </w:pPr>
            <w:r w:rsidRPr="00C9657D">
              <w:rPr>
                <w:rFonts w:asciiTheme="minorHAnsi" w:hAnsiTheme="minorHAnsi" w:cs="Calibri"/>
                <w:i/>
                <w:color w:val="000000"/>
                <w:sz w:val="20"/>
                <w:szCs w:val="20"/>
              </w:rPr>
              <w:t>HL Karlova Studánka</w:t>
            </w:r>
          </w:p>
        </w:tc>
        <w:tc>
          <w:tcPr>
            <w:tcW w:w="594" w:type="pct"/>
            <w:tcBorders>
              <w:bottom w:val="single" w:sz="4" w:space="0" w:color="auto"/>
            </w:tcBorders>
            <w:vAlign w:val="center"/>
          </w:tcPr>
          <w:p w14:paraId="75BA7DA6" w14:textId="77777777" w:rsidR="00D55F31" w:rsidRPr="00C9657D" w:rsidRDefault="0024693B" w:rsidP="0002290A">
            <w:pPr>
              <w:jc w:val="right"/>
              <w:rPr>
                <w:rFonts w:asciiTheme="minorHAnsi" w:hAnsiTheme="minorHAnsi"/>
                <w:color w:val="000000"/>
                <w:sz w:val="20"/>
                <w:szCs w:val="20"/>
                <w:lang w:eastAsia="cs-CZ"/>
              </w:rPr>
            </w:pPr>
            <w:r w:rsidRPr="00C9657D">
              <w:rPr>
                <w:rFonts w:asciiTheme="minorHAnsi" w:hAnsiTheme="minorHAnsi"/>
                <w:color w:val="000000"/>
                <w:sz w:val="20"/>
                <w:szCs w:val="20"/>
                <w:lang w:eastAsia="cs-CZ"/>
              </w:rPr>
              <w:t>5 080</w:t>
            </w:r>
          </w:p>
        </w:tc>
        <w:tc>
          <w:tcPr>
            <w:tcW w:w="594" w:type="pct"/>
            <w:tcBorders>
              <w:bottom w:val="single" w:sz="4" w:space="0" w:color="auto"/>
            </w:tcBorders>
            <w:vAlign w:val="center"/>
          </w:tcPr>
          <w:p w14:paraId="0E7342FE" w14:textId="05BFC627" w:rsidR="00D55F31" w:rsidRPr="00C9657D" w:rsidRDefault="003559E7" w:rsidP="0002290A">
            <w:pPr>
              <w:jc w:val="right"/>
              <w:rPr>
                <w:rFonts w:asciiTheme="minorHAnsi" w:hAnsiTheme="minorHAnsi"/>
                <w:color w:val="000000"/>
                <w:sz w:val="20"/>
                <w:szCs w:val="20"/>
                <w:lang w:eastAsia="cs-CZ"/>
              </w:rPr>
            </w:pPr>
            <w:r>
              <w:rPr>
                <w:rFonts w:asciiTheme="minorHAnsi" w:hAnsiTheme="minorHAnsi" w:cstheme="minorHAnsi"/>
                <w:sz w:val="20"/>
                <w:szCs w:val="20"/>
              </w:rPr>
              <w:t>−</w:t>
            </w:r>
            <w:r w:rsidR="0024693B" w:rsidRPr="00C9657D">
              <w:rPr>
                <w:rFonts w:asciiTheme="minorHAnsi" w:hAnsiTheme="minorHAnsi"/>
                <w:color w:val="000000"/>
                <w:sz w:val="20"/>
                <w:szCs w:val="20"/>
                <w:lang w:eastAsia="cs-CZ"/>
              </w:rPr>
              <w:t>2 436</w:t>
            </w:r>
          </w:p>
        </w:tc>
        <w:tc>
          <w:tcPr>
            <w:tcW w:w="594" w:type="pct"/>
            <w:tcBorders>
              <w:bottom w:val="single" w:sz="4" w:space="0" w:color="auto"/>
            </w:tcBorders>
            <w:vAlign w:val="center"/>
          </w:tcPr>
          <w:p w14:paraId="76DDBD26" w14:textId="29218290" w:rsidR="00D55F31" w:rsidRPr="00C9657D" w:rsidRDefault="003559E7" w:rsidP="0002290A">
            <w:pPr>
              <w:jc w:val="right"/>
              <w:rPr>
                <w:rFonts w:asciiTheme="minorHAnsi" w:hAnsiTheme="minorHAnsi"/>
                <w:color w:val="000000"/>
                <w:sz w:val="20"/>
                <w:szCs w:val="20"/>
                <w:lang w:eastAsia="cs-CZ"/>
              </w:rPr>
            </w:pPr>
            <w:r>
              <w:rPr>
                <w:rFonts w:asciiTheme="minorHAnsi" w:hAnsiTheme="minorHAnsi" w:cstheme="minorHAnsi"/>
                <w:sz w:val="20"/>
                <w:szCs w:val="20"/>
              </w:rPr>
              <w:t>−</w:t>
            </w:r>
            <w:r w:rsidR="0024693B" w:rsidRPr="00C9657D">
              <w:rPr>
                <w:rFonts w:asciiTheme="minorHAnsi" w:hAnsiTheme="minorHAnsi"/>
                <w:color w:val="000000"/>
                <w:sz w:val="20"/>
                <w:szCs w:val="20"/>
                <w:lang w:eastAsia="cs-CZ"/>
              </w:rPr>
              <w:t>975</w:t>
            </w:r>
          </w:p>
        </w:tc>
        <w:tc>
          <w:tcPr>
            <w:tcW w:w="595" w:type="pct"/>
            <w:tcBorders>
              <w:bottom w:val="single" w:sz="4" w:space="0" w:color="auto"/>
            </w:tcBorders>
            <w:vAlign w:val="center"/>
          </w:tcPr>
          <w:p w14:paraId="33AE4175" w14:textId="77777777" w:rsidR="00D55F31" w:rsidRPr="00C9657D" w:rsidRDefault="0024693B" w:rsidP="0002290A">
            <w:pPr>
              <w:jc w:val="right"/>
              <w:rPr>
                <w:rFonts w:asciiTheme="minorHAnsi" w:hAnsiTheme="minorHAnsi"/>
                <w:color w:val="000000"/>
                <w:sz w:val="20"/>
                <w:szCs w:val="20"/>
                <w:lang w:eastAsia="cs-CZ"/>
              </w:rPr>
            </w:pPr>
            <w:r w:rsidRPr="00C9657D">
              <w:rPr>
                <w:rFonts w:asciiTheme="minorHAnsi" w:hAnsiTheme="minorHAnsi"/>
                <w:color w:val="000000"/>
                <w:sz w:val="20"/>
                <w:szCs w:val="20"/>
                <w:lang w:eastAsia="cs-CZ"/>
              </w:rPr>
              <w:t>14 354</w:t>
            </w:r>
          </w:p>
        </w:tc>
        <w:tc>
          <w:tcPr>
            <w:tcW w:w="590" w:type="pct"/>
            <w:tcBorders>
              <w:bottom w:val="single" w:sz="4" w:space="0" w:color="auto"/>
            </w:tcBorders>
            <w:vAlign w:val="center"/>
          </w:tcPr>
          <w:p w14:paraId="3F11F9A6" w14:textId="77777777" w:rsidR="00D55F31" w:rsidRPr="00C9657D" w:rsidRDefault="0024693B" w:rsidP="0002290A">
            <w:pPr>
              <w:jc w:val="right"/>
              <w:rPr>
                <w:rFonts w:asciiTheme="minorHAnsi" w:hAnsiTheme="minorHAnsi"/>
                <w:color w:val="000000"/>
                <w:sz w:val="20"/>
                <w:szCs w:val="20"/>
                <w:lang w:eastAsia="cs-CZ"/>
              </w:rPr>
            </w:pPr>
            <w:r w:rsidRPr="00C9657D">
              <w:rPr>
                <w:rFonts w:asciiTheme="minorHAnsi" w:hAnsiTheme="minorHAnsi"/>
                <w:color w:val="000000"/>
                <w:sz w:val="20"/>
                <w:szCs w:val="20"/>
                <w:lang w:eastAsia="cs-CZ"/>
              </w:rPr>
              <w:t>12 949</w:t>
            </w:r>
          </w:p>
        </w:tc>
      </w:tr>
      <w:tr w:rsidR="00C425F2" w14:paraId="170B8E84" w14:textId="77777777" w:rsidTr="003D1C64">
        <w:trPr>
          <w:cantSplit/>
          <w:trHeight w:val="227"/>
          <w:jc w:val="center"/>
        </w:trPr>
        <w:tc>
          <w:tcPr>
            <w:tcW w:w="960" w:type="pct"/>
            <w:vMerge/>
            <w:vAlign w:val="center"/>
          </w:tcPr>
          <w:p w14:paraId="223A9148" w14:textId="77777777" w:rsidR="00D55F31" w:rsidRPr="00C9657D" w:rsidRDefault="00D55F31" w:rsidP="0002290A">
            <w:pPr>
              <w:rPr>
                <w:rFonts w:asciiTheme="minorHAnsi" w:hAnsiTheme="minorHAnsi" w:cs="Calibri"/>
                <w:color w:val="000000"/>
                <w:sz w:val="20"/>
                <w:szCs w:val="20"/>
              </w:rPr>
            </w:pPr>
          </w:p>
        </w:tc>
        <w:tc>
          <w:tcPr>
            <w:tcW w:w="1072" w:type="pct"/>
            <w:tcBorders>
              <w:top w:val="single" w:sz="4" w:space="0" w:color="auto"/>
              <w:bottom w:val="single" w:sz="4" w:space="0" w:color="auto"/>
            </w:tcBorders>
            <w:vAlign w:val="center"/>
          </w:tcPr>
          <w:p w14:paraId="3BE428E9" w14:textId="77777777" w:rsidR="00D55F31" w:rsidRPr="00C9657D" w:rsidRDefault="0024693B" w:rsidP="0002290A">
            <w:pPr>
              <w:ind w:right="64" w:hanging="11"/>
              <w:jc w:val="center"/>
              <w:rPr>
                <w:rFonts w:asciiTheme="minorHAnsi" w:hAnsiTheme="minorHAnsi" w:cs="Calibri"/>
                <w:i/>
                <w:color w:val="000000"/>
                <w:sz w:val="20"/>
                <w:szCs w:val="20"/>
              </w:rPr>
            </w:pPr>
            <w:r w:rsidRPr="00C9657D">
              <w:rPr>
                <w:rFonts w:asciiTheme="minorHAnsi" w:hAnsiTheme="minorHAnsi" w:cs="Calibri"/>
                <w:i/>
                <w:color w:val="000000"/>
                <w:sz w:val="20"/>
                <w:szCs w:val="20"/>
              </w:rPr>
              <w:t>SLL Bludov</w:t>
            </w:r>
          </w:p>
        </w:tc>
        <w:tc>
          <w:tcPr>
            <w:tcW w:w="594" w:type="pct"/>
            <w:tcBorders>
              <w:top w:val="single" w:sz="4" w:space="0" w:color="auto"/>
              <w:bottom w:val="single" w:sz="4" w:space="0" w:color="auto"/>
            </w:tcBorders>
            <w:vAlign w:val="center"/>
          </w:tcPr>
          <w:p w14:paraId="3B023D80" w14:textId="77777777" w:rsidR="00D55F31" w:rsidRPr="00C9657D" w:rsidRDefault="0024693B" w:rsidP="0002290A">
            <w:pPr>
              <w:jc w:val="right"/>
              <w:rPr>
                <w:rFonts w:asciiTheme="minorHAnsi" w:hAnsiTheme="minorHAnsi" w:cs="Calibri"/>
                <w:color w:val="000000"/>
                <w:sz w:val="20"/>
                <w:szCs w:val="20"/>
                <w:lang w:val="en-US" w:eastAsia="cs-CZ"/>
              </w:rPr>
            </w:pPr>
            <w:r w:rsidRPr="00C9657D">
              <w:rPr>
                <w:rFonts w:asciiTheme="minorHAnsi" w:hAnsiTheme="minorHAnsi" w:cs="Calibri"/>
                <w:color w:val="000000"/>
                <w:sz w:val="20"/>
                <w:szCs w:val="20"/>
                <w:lang w:val="en-US" w:eastAsia="cs-CZ"/>
              </w:rPr>
              <w:t>1 323</w:t>
            </w:r>
          </w:p>
        </w:tc>
        <w:tc>
          <w:tcPr>
            <w:tcW w:w="594" w:type="pct"/>
            <w:tcBorders>
              <w:top w:val="single" w:sz="4" w:space="0" w:color="auto"/>
              <w:bottom w:val="single" w:sz="4" w:space="0" w:color="auto"/>
            </w:tcBorders>
            <w:vAlign w:val="center"/>
          </w:tcPr>
          <w:p w14:paraId="5FFE1C95" w14:textId="059A913A" w:rsidR="00D55F31" w:rsidRPr="00C9657D" w:rsidRDefault="003559E7" w:rsidP="0002290A">
            <w:pPr>
              <w:jc w:val="right"/>
              <w:rPr>
                <w:rFonts w:asciiTheme="minorHAnsi" w:hAnsiTheme="minorHAnsi" w:cs="Calibri"/>
                <w:color w:val="000000"/>
                <w:sz w:val="20"/>
                <w:szCs w:val="20"/>
                <w:lang w:val="en-US" w:eastAsia="cs-CZ"/>
              </w:rPr>
            </w:pPr>
            <w:r>
              <w:rPr>
                <w:rFonts w:asciiTheme="minorHAnsi" w:hAnsiTheme="minorHAnsi" w:cstheme="minorHAnsi"/>
                <w:sz w:val="20"/>
                <w:szCs w:val="20"/>
              </w:rPr>
              <w:t>−</w:t>
            </w:r>
            <w:r w:rsidR="0024693B" w:rsidRPr="00C9657D">
              <w:rPr>
                <w:rFonts w:asciiTheme="minorHAnsi" w:hAnsiTheme="minorHAnsi" w:cs="Calibri"/>
                <w:color w:val="000000"/>
                <w:sz w:val="20"/>
                <w:szCs w:val="20"/>
                <w:lang w:val="en-US" w:eastAsia="cs-CZ"/>
              </w:rPr>
              <w:t>1 397</w:t>
            </w:r>
          </w:p>
        </w:tc>
        <w:tc>
          <w:tcPr>
            <w:tcW w:w="594" w:type="pct"/>
            <w:tcBorders>
              <w:top w:val="single" w:sz="4" w:space="0" w:color="auto"/>
              <w:bottom w:val="single" w:sz="4" w:space="0" w:color="auto"/>
            </w:tcBorders>
            <w:vAlign w:val="center"/>
          </w:tcPr>
          <w:p w14:paraId="329B6C1A" w14:textId="15C2196B" w:rsidR="00D55F31" w:rsidRPr="00C9657D" w:rsidRDefault="003559E7" w:rsidP="0002290A">
            <w:pPr>
              <w:jc w:val="right"/>
              <w:rPr>
                <w:rFonts w:asciiTheme="minorHAnsi" w:hAnsiTheme="minorHAnsi" w:cs="Calibri"/>
                <w:color w:val="000000"/>
                <w:sz w:val="20"/>
                <w:szCs w:val="20"/>
                <w:lang w:val="en-US" w:eastAsia="cs-CZ"/>
              </w:rPr>
            </w:pPr>
            <w:r>
              <w:rPr>
                <w:rFonts w:asciiTheme="minorHAnsi" w:hAnsiTheme="minorHAnsi" w:cstheme="minorHAnsi"/>
                <w:sz w:val="20"/>
                <w:szCs w:val="20"/>
              </w:rPr>
              <w:t>−</w:t>
            </w:r>
            <w:r w:rsidR="0024693B" w:rsidRPr="00C9657D">
              <w:rPr>
                <w:rFonts w:asciiTheme="minorHAnsi" w:hAnsiTheme="minorHAnsi" w:cs="Calibri"/>
                <w:color w:val="000000"/>
                <w:sz w:val="20"/>
                <w:szCs w:val="20"/>
                <w:lang w:val="en-US" w:eastAsia="cs-CZ"/>
              </w:rPr>
              <w:t>5 662</w:t>
            </w:r>
          </w:p>
        </w:tc>
        <w:tc>
          <w:tcPr>
            <w:tcW w:w="595" w:type="pct"/>
            <w:tcBorders>
              <w:top w:val="single" w:sz="4" w:space="0" w:color="auto"/>
              <w:bottom w:val="single" w:sz="4" w:space="0" w:color="auto"/>
            </w:tcBorders>
            <w:vAlign w:val="center"/>
          </w:tcPr>
          <w:p w14:paraId="0F8EF179" w14:textId="5255CBF4" w:rsidR="00D55F31" w:rsidRPr="00C9657D" w:rsidRDefault="003559E7" w:rsidP="0002290A">
            <w:pPr>
              <w:jc w:val="right"/>
              <w:rPr>
                <w:rFonts w:asciiTheme="minorHAnsi" w:hAnsiTheme="minorHAnsi" w:cs="Calibri"/>
                <w:color w:val="000000"/>
                <w:sz w:val="20"/>
                <w:szCs w:val="20"/>
                <w:lang w:val="en-US" w:eastAsia="cs-CZ"/>
              </w:rPr>
            </w:pPr>
            <w:r>
              <w:rPr>
                <w:rFonts w:asciiTheme="minorHAnsi" w:hAnsiTheme="minorHAnsi" w:cstheme="minorHAnsi"/>
                <w:sz w:val="20"/>
                <w:szCs w:val="20"/>
              </w:rPr>
              <w:t>−</w:t>
            </w:r>
            <w:r w:rsidR="0024693B" w:rsidRPr="00C9657D">
              <w:rPr>
                <w:rFonts w:asciiTheme="minorHAnsi" w:hAnsiTheme="minorHAnsi" w:cs="Calibri"/>
                <w:color w:val="000000"/>
                <w:sz w:val="20"/>
                <w:szCs w:val="20"/>
                <w:lang w:val="en-US" w:eastAsia="cs-CZ"/>
              </w:rPr>
              <w:t>1 284</w:t>
            </w:r>
          </w:p>
        </w:tc>
        <w:tc>
          <w:tcPr>
            <w:tcW w:w="590" w:type="pct"/>
            <w:tcBorders>
              <w:top w:val="single" w:sz="4" w:space="0" w:color="auto"/>
              <w:bottom w:val="single" w:sz="4" w:space="0" w:color="auto"/>
            </w:tcBorders>
            <w:vAlign w:val="center"/>
          </w:tcPr>
          <w:p w14:paraId="79D26221" w14:textId="77777777" w:rsidR="00D55F31" w:rsidRPr="00C9657D" w:rsidRDefault="0024693B" w:rsidP="0002290A">
            <w:pPr>
              <w:jc w:val="right"/>
              <w:rPr>
                <w:rFonts w:asciiTheme="minorHAnsi" w:hAnsiTheme="minorHAnsi" w:cs="Calibri"/>
                <w:color w:val="000000"/>
                <w:sz w:val="20"/>
                <w:szCs w:val="20"/>
                <w:lang w:val="en-US" w:eastAsia="cs-CZ"/>
              </w:rPr>
            </w:pPr>
            <w:r w:rsidRPr="00C9657D">
              <w:rPr>
                <w:rFonts w:asciiTheme="minorHAnsi" w:hAnsiTheme="minorHAnsi" w:cs="Calibri"/>
                <w:color w:val="000000"/>
                <w:sz w:val="20"/>
                <w:szCs w:val="20"/>
                <w:lang w:val="en-US" w:eastAsia="cs-CZ"/>
              </w:rPr>
              <w:t>2 844</w:t>
            </w:r>
          </w:p>
        </w:tc>
      </w:tr>
      <w:tr w:rsidR="00C425F2" w14:paraId="5FFF74D1" w14:textId="77777777" w:rsidTr="003D1C64">
        <w:trPr>
          <w:cantSplit/>
          <w:trHeight w:val="227"/>
          <w:jc w:val="center"/>
        </w:trPr>
        <w:tc>
          <w:tcPr>
            <w:tcW w:w="960" w:type="pct"/>
            <w:vMerge w:val="restart"/>
            <w:tcBorders>
              <w:top w:val="single" w:sz="12" w:space="0" w:color="auto"/>
            </w:tcBorders>
            <w:vAlign w:val="center"/>
          </w:tcPr>
          <w:p w14:paraId="3167219D" w14:textId="77777777" w:rsidR="00D55F31" w:rsidRPr="00C9657D" w:rsidRDefault="0024693B" w:rsidP="0002290A">
            <w:pPr>
              <w:rPr>
                <w:rFonts w:asciiTheme="minorHAnsi" w:hAnsiTheme="minorHAnsi" w:cs="Calibri"/>
                <w:color w:val="000000"/>
                <w:sz w:val="20"/>
                <w:szCs w:val="20"/>
              </w:rPr>
            </w:pPr>
            <w:r w:rsidRPr="00C9657D">
              <w:rPr>
                <w:rFonts w:asciiTheme="minorHAnsi" w:hAnsiTheme="minorHAnsi" w:cs="Calibri"/>
                <w:color w:val="000000"/>
                <w:sz w:val="20"/>
                <w:szCs w:val="20"/>
              </w:rPr>
              <w:t>Finanční výsledek hospodaření</w:t>
            </w:r>
          </w:p>
        </w:tc>
        <w:tc>
          <w:tcPr>
            <w:tcW w:w="1072" w:type="pct"/>
            <w:tcBorders>
              <w:top w:val="single" w:sz="12" w:space="0" w:color="auto"/>
              <w:bottom w:val="single" w:sz="4" w:space="0" w:color="auto"/>
            </w:tcBorders>
            <w:vAlign w:val="center"/>
          </w:tcPr>
          <w:p w14:paraId="5C815EB2" w14:textId="77777777" w:rsidR="00D55F31" w:rsidRPr="00C9657D" w:rsidRDefault="0024693B" w:rsidP="0002290A">
            <w:pPr>
              <w:ind w:right="64" w:hanging="11"/>
              <w:jc w:val="center"/>
              <w:rPr>
                <w:rFonts w:asciiTheme="minorHAnsi" w:hAnsiTheme="minorHAnsi" w:cs="Calibri"/>
                <w:i/>
                <w:color w:val="000000"/>
                <w:sz w:val="20"/>
                <w:szCs w:val="20"/>
              </w:rPr>
            </w:pPr>
            <w:r w:rsidRPr="00C9657D">
              <w:rPr>
                <w:rFonts w:asciiTheme="minorHAnsi" w:hAnsiTheme="minorHAnsi" w:cs="Calibri"/>
                <w:i/>
                <w:color w:val="000000"/>
                <w:sz w:val="20"/>
                <w:szCs w:val="20"/>
              </w:rPr>
              <w:t>SLL Janské Lázně</w:t>
            </w:r>
          </w:p>
        </w:tc>
        <w:tc>
          <w:tcPr>
            <w:tcW w:w="594" w:type="pct"/>
            <w:tcBorders>
              <w:top w:val="single" w:sz="12" w:space="0" w:color="auto"/>
              <w:bottom w:val="single" w:sz="4" w:space="0" w:color="auto"/>
            </w:tcBorders>
            <w:vAlign w:val="center"/>
          </w:tcPr>
          <w:p w14:paraId="6A1ACA9F" w14:textId="407E1E51" w:rsidR="00D55F31" w:rsidRPr="00C9657D" w:rsidRDefault="003559E7" w:rsidP="0002290A">
            <w:pPr>
              <w:jc w:val="right"/>
              <w:rPr>
                <w:rFonts w:asciiTheme="minorHAnsi" w:hAnsiTheme="minorHAnsi" w:cs="Calibri"/>
                <w:color w:val="000000"/>
                <w:sz w:val="20"/>
                <w:szCs w:val="20"/>
                <w:lang w:val="en-US" w:eastAsia="cs-CZ"/>
              </w:rPr>
            </w:pPr>
            <w:r>
              <w:rPr>
                <w:rFonts w:asciiTheme="minorHAnsi" w:hAnsiTheme="minorHAnsi" w:cstheme="minorHAnsi"/>
                <w:sz w:val="20"/>
                <w:szCs w:val="20"/>
              </w:rPr>
              <w:t>−</w:t>
            </w:r>
            <w:r w:rsidR="0024693B" w:rsidRPr="00C9657D">
              <w:rPr>
                <w:rFonts w:asciiTheme="minorHAnsi" w:hAnsiTheme="minorHAnsi" w:cs="Calibri"/>
                <w:color w:val="000000"/>
                <w:sz w:val="20"/>
                <w:szCs w:val="20"/>
                <w:lang w:val="en-US" w:eastAsia="cs-CZ"/>
              </w:rPr>
              <w:t>390</w:t>
            </w:r>
          </w:p>
        </w:tc>
        <w:tc>
          <w:tcPr>
            <w:tcW w:w="594" w:type="pct"/>
            <w:tcBorders>
              <w:top w:val="single" w:sz="12" w:space="0" w:color="auto"/>
              <w:bottom w:val="single" w:sz="4" w:space="0" w:color="auto"/>
            </w:tcBorders>
            <w:vAlign w:val="center"/>
          </w:tcPr>
          <w:p w14:paraId="20DC2E8C" w14:textId="415DD8A0" w:rsidR="00D55F31" w:rsidRPr="00C9657D" w:rsidRDefault="003559E7" w:rsidP="0002290A">
            <w:pPr>
              <w:jc w:val="right"/>
              <w:rPr>
                <w:rFonts w:asciiTheme="minorHAnsi" w:hAnsiTheme="minorHAnsi" w:cs="Calibri"/>
                <w:color w:val="000000"/>
                <w:sz w:val="20"/>
                <w:szCs w:val="20"/>
                <w:lang w:val="en-US" w:eastAsia="cs-CZ"/>
              </w:rPr>
            </w:pPr>
            <w:r>
              <w:rPr>
                <w:rFonts w:asciiTheme="minorHAnsi" w:hAnsiTheme="minorHAnsi" w:cstheme="minorHAnsi"/>
                <w:sz w:val="20"/>
                <w:szCs w:val="20"/>
              </w:rPr>
              <w:t>−</w:t>
            </w:r>
            <w:r w:rsidR="0024693B" w:rsidRPr="00C9657D">
              <w:rPr>
                <w:rFonts w:asciiTheme="minorHAnsi" w:hAnsiTheme="minorHAnsi" w:cs="Calibri"/>
                <w:color w:val="000000"/>
                <w:sz w:val="20"/>
                <w:szCs w:val="20"/>
                <w:lang w:val="en-US" w:eastAsia="cs-CZ"/>
              </w:rPr>
              <w:t>639</w:t>
            </w:r>
          </w:p>
        </w:tc>
        <w:tc>
          <w:tcPr>
            <w:tcW w:w="594" w:type="pct"/>
            <w:tcBorders>
              <w:top w:val="single" w:sz="12" w:space="0" w:color="auto"/>
              <w:bottom w:val="single" w:sz="4" w:space="0" w:color="auto"/>
            </w:tcBorders>
            <w:vAlign w:val="center"/>
          </w:tcPr>
          <w:p w14:paraId="39F28335" w14:textId="77777777" w:rsidR="00D55F31" w:rsidRPr="00C9657D" w:rsidRDefault="0024693B" w:rsidP="0002290A">
            <w:pPr>
              <w:jc w:val="right"/>
              <w:rPr>
                <w:rFonts w:asciiTheme="minorHAnsi" w:hAnsiTheme="minorHAnsi" w:cs="Calibri"/>
                <w:color w:val="000000"/>
                <w:sz w:val="20"/>
                <w:szCs w:val="20"/>
                <w:lang w:val="en-US" w:eastAsia="cs-CZ"/>
              </w:rPr>
            </w:pPr>
            <w:r w:rsidRPr="00C9657D">
              <w:rPr>
                <w:rFonts w:asciiTheme="minorHAnsi" w:hAnsiTheme="minorHAnsi" w:cs="Calibri"/>
                <w:color w:val="000000"/>
                <w:sz w:val="20"/>
                <w:szCs w:val="20"/>
                <w:lang w:val="en-US" w:eastAsia="cs-CZ"/>
              </w:rPr>
              <w:t>514</w:t>
            </w:r>
          </w:p>
        </w:tc>
        <w:tc>
          <w:tcPr>
            <w:tcW w:w="595" w:type="pct"/>
            <w:tcBorders>
              <w:top w:val="single" w:sz="12" w:space="0" w:color="auto"/>
              <w:bottom w:val="single" w:sz="4" w:space="0" w:color="auto"/>
            </w:tcBorders>
            <w:vAlign w:val="center"/>
          </w:tcPr>
          <w:p w14:paraId="27A053A2" w14:textId="484C4BBD" w:rsidR="00D55F31" w:rsidRPr="00C9657D" w:rsidRDefault="003559E7" w:rsidP="0002290A">
            <w:pPr>
              <w:jc w:val="right"/>
              <w:rPr>
                <w:rFonts w:asciiTheme="minorHAnsi" w:hAnsiTheme="minorHAnsi" w:cs="Calibri"/>
                <w:color w:val="000000"/>
                <w:sz w:val="20"/>
                <w:szCs w:val="20"/>
                <w:lang w:val="en-US" w:eastAsia="cs-CZ"/>
              </w:rPr>
            </w:pPr>
            <w:r>
              <w:rPr>
                <w:rFonts w:asciiTheme="minorHAnsi" w:hAnsiTheme="minorHAnsi" w:cstheme="minorHAnsi"/>
                <w:sz w:val="20"/>
                <w:szCs w:val="20"/>
              </w:rPr>
              <w:t>−</w:t>
            </w:r>
            <w:r w:rsidR="0024693B" w:rsidRPr="00C9657D">
              <w:rPr>
                <w:rFonts w:asciiTheme="minorHAnsi" w:hAnsiTheme="minorHAnsi" w:cs="Calibri"/>
                <w:color w:val="000000"/>
                <w:sz w:val="20"/>
                <w:szCs w:val="20"/>
                <w:lang w:val="en-US" w:eastAsia="cs-CZ"/>
              </w:rPr>
              <w:t>779</w:t>
            </w:r>
          </w:p>
        </w:tc>
        <w:tc>
          <w:tcPr>
            <w:tcW w:w="590" w:type="pct"/>
            <w:tcBorders>
              <w:top w:val="single" w:sz="12" w:space="0" w:color="auto"/>
              <w:bottom w:val="single" w:sz="4" w:space="0" w:color="auto"/>
            </w:tcBorders>
            <w:vAlign w:val="center"/>
          </w:tcPr>
          <w:p w14:paraId="4CB53D5A" w14:textId="320274CB" w:rsidR="00D55F31" w:rsidRPr="00C9657D" w:rsidRDefault="003559E7" w:rsidP="0002290A">
            <w:pPr>
              <w:jc w:val="right"/>
              <w:rPr>
                <w:rFonts w:asciiTheme="minorHAnsi" w:hAnsiTheme="minorHAnsi" w:cs="Calibri"/>
                <w:color w:val="000000"/>
                <w:sz w:val="20"/>
                <w:szCs w:val="20"/>
                <w:lang w:val="en-US" w:eastAsia="cs-CZ"/>
              </w:rPr>
            </w:pPr>
            <w:r>
              <w:rPr>
                <w:rFonts w:asciiTheme="minorHAnsi" w:hAnsiTheme="minorHAnsi" w:cstheme="minorHAnsi"/>
                <w:sz w:val="20"/>
                <w:szCs w:val="20"/>
              </w:rPr>
              <w:t>−</w:t>
            </w:r>
            <w:r w:rsidR="0024693B" w:rsidRPr="00C9657D">
              <w:rPr>
                <w:rFonts w:asciiTheme="minorHAnsi" w:hAnsiTheme="minorHAnsi" w:cs="Calibri"/>
                <w:color w:val="000000"/>
                <w:sz w:val="20"/>
                <w:szCs w:val="20"/>
                <w:lang w:val="en-US" w:eastAsia="cs-CZ"/>
              </w:rPr>
              <w:t>516</w:t>
            </w:r>
          </w:p>
        </w:tc>
      </w:tr>
      <w:tr w:rsidR="00C425F2" w14:paraId="3312347F" w14:textId="77777777" w:rsidTr="003D1C64">
        <w:trPr>
          <w:cantSplit/>
          <w:trHeight w:val="227"/>
          <w:jc w:val="center"/>
        </w:trPr>
        <w:tc>
          <w:tcPr>
            <w:tcW w:w="960" w:type="pct"/>
            <w:vMerge/>
            <w:vAlign w:val="center"/>
          </w:tcPr>
          <w:p w14:paraId="66316EEF" w14:textId="77777777" w:rsidR="00D55F31" w:rsidRPr="00C9657D" w:rsidRDefault="00D55F31" w:rsidP="0002290A">
            <w:pPr>
              <w:rPr>
                <w:rFonts w:asciiTheme="minorHAnsi" w:hAnsiTheme="minorHAnsi" w:cs="Calibri"/>
                <w:color w:val="000000"/>
                <w:sz w:val="20"/>
                <w:szCs w:val="20"/>
              </w:rPr>
            </w:pPr>
          </w:p>
        </w:tc>
        <w:tc>
          <w:tcPr>
            <w:tcW w:w="1072" w:type="pct"/>
            <w:tcBorders>
              <w:top w:val="single" w:sz="4" w:space="0" w:color="auto"/>
              <w:bottom w:val="single" w:sz="4" w:space="0" w:color="auto"/>
            </w:tcBorders>
            <w:vAlign w:val="center"/>
          </w:tcPr>
          <w:p w14:paraId="1179AE14" w14:textId="77777777" w:rsidR="00D55F31" w:rsidRPr="00C9657D" w:rsidRDefault="0024693B" w:rsidP="0002290A">
            <w:pPr>
              <w:ind w:right="64" w:hanging="11"/>
              <w:jc w:val="center"/>
              <w:rPr>
                <w:rFonts w:asciiTheme="minorHAnsi" w:hAnsiTheme="minorHAnsi" w:cs="Calibri"/>
                <w:i/>
                <w:color w:val="000000"/>
                <w:sz w:val="20"/>
                <w:szCs w:val="20"/>
              </w:rPr>
            </w:pPr>
            <w:r w:rsidRPr="00C9657D">
              <w:rPr>
                <w:rFonts w:asciiTheme="minorHAnsi" w:hAnsiTheme="minorHAnsi" w:cs="Calibri"/>
                <w:i/>
                <w:color w:val="000000"/>
                <w:sz w:val="20"/>
                <w:szCs w:val="20"/>
              </w:rPr>
              <w:t>HL Karlova Studánka</w:t>
            </w:r>
          </w:p>
        </w:tc>
        <w:tc>
          <w:tcPr>
            <w:tcW w:w="594" w:type="pct"/>
            <w:tcBorders>
              <w:top w:val="single" w:sz="4" w:space="0" w:color="auto"/>
              <w:bottom w:val="single" w:sz="4" w:space="0" w:color="auto"/>
            </w:tcBorders>
            <w:vAlign w:val="center"/>
          </w:tcPr>
          <w:p w14:paraId="0417F449" w14:textId="23474F23" w:rsidR="00D55F31" w:rsidRPr="00C9657D" w:rsidRDefault="003559E7" w:rsidP="0002290A">
            <w:pPr>
              <w:jc w:val="right"/>
              <w:rPr>
                <w:rFonts w:asciiTheme="minorHAnsi" w:hAnsiTheme="minorHAnsi"/>
                <w:color w:val="000000"/>
                <w:sz w:val="20"/>
                <w:szCs w:val="20"/>
                <w:lang w:eastAsia="cs-CZ"/>
              </w:rPr>
            </w:pPr>
            <w:r>
              <w:rPr>
                <w:rFonts w:asciiTheme="minorHAnsi" w:hAnsiTheme="minorHAnsi" w:cstheme="minorHAnsi"/>
                <w:sz w:val="20"/>
                <w:szCs w:val="20"/>
              </w:rPr>
              <w:t>−</w:t>
            </w:r>
            <w:r w:rsidR="0024693B" w:rsidRPr="00C9657D">
              <w:rPr>
                <w:rFonts w:asciiTheme="minorHAnsi" w:hAnsiTheme="minorHAnsi"/>
                <w:color w:val="000000"/>
                <w:sz w:val="20"/>
                <w:szCs w:val="20"/>
                <w:lang w:eastAsia="cs-CZ"/>
              </w:rPr>
              <w:t>1 554</w:t>
            </w:r>
          </w:p>
        </w:tc>
        <w:tc>
          <w:tcPr>
            <w:tcW w:w="594" w:type="pct"/>
            <w:tcBorders>
              <w:top w:val="single" w:sz="4" w:space="0" w:color="auto"/>
              <w:bottom w:val="single" w:sz="4" w:space="0" w:color="auto"/>
            </w:tcBorders>
            <w:vAlign w:val="center"/>
          </w:tcPr>
          <w:p w14:paraId="26033EC8" w14:textId="01B3BED2" w:rsidR="00D55F31" w:rsidRPr="00C9657D" w:rsidRDefault="003559E7" w:rsidP="0002290A">
            <w:pPr>
              <w:jc w:val="right"/>
              <w:rPr>
                <w:rFonts w:asciiTheme="minorHAnsi" w:hAnsiTheme="minorHAnsi"/>
                <w:color w:val="000000"/>
                <w:sz w:val="20"/>
                <w:szCs w:val="20"/>
                <w:lang w:eastAsia="cs-CZ"/>
              </w:rPr>
            </w:pPr>
            <w:r>
              <w:rPr>
                <w:rFonts w:asciiTheme="minorHAnsi" w:hAnsiTheme="minorHAnsi" w:cstheme="minorHAnsi"/>
                <w:sz w:val="20"/>
                <w:szCs w:val="20"/>
              </w:rPr>
              <w:t>−</w:t>
            </w:r>
            <w:r w:rsidR="0024693B" w:rsidRPr="00C9657D">
              <w:rPr>
                <w:rFonts w:asciiTheme="minorHAnsi" w:hAnsiTheme="minorHAnsi"/>
                <w:color w:val="000000"/>
                <w:sz w:val="20"/>
                <w:szCs w:val="20"/>
                <w:lang w:eastAsia="cs-CZ"/>
              </w:rPr>
              <w:t>1 376</w:t>
            </w:r>
          </w:p>
        </w:tc>
        <w:tc>
          <w:tcPr>
            <w:tcW w:w="594" w:type="pct"/>
            <w:tcBorders>
              <w:top w:val="single" w:sz="4" w:space="0" w:color="auto"/>
              <w:bottom w:val="single" w:sz="4" w:space="0" w:color="auto"/>
            </w:tcBorders>
            <w:vAlign w:val="center"/>
          </w:tcPr>
          <w:p w14:paraId="658C4337" w14:textId="67AC2E3E" w:rsidR="00D55F31" w:rsidRPr="00C9657D" w:rsidRDefault="003559E7" w:rsidP="0002290A">
            <w:pPr>
              <w:jc w:val="right"/>
              <w:rPr>
                <w:rFonts w:asciiTheme="minorHAnsi" w:hAnsiTheme="minorHAnsi"/>
                <w:color w:val="000000"/>
                <w:sz w:val="20"/>
                <w:szCs w:val="20"/>
                <w:lang w:eastAsia="cs-CZ"/>
              </w:rPr>
            </w:pPr>
            <w:r>
              <w:rPr>
                <w:rFonts w:asciiTheme="minorHAnsi" w:hAnsiTheme="minorHAnsi" w:cstheme="minorHAnsi"/>
                <w:sz w:val="20"/>
                <w:szCs w:val="20"/>
              </w:rPr>
              <w:t>−</w:t>
            </w:r>
            <w:r w:rsidR="0024693B" w:rsidRPr="00C9657D">
              <w:rPr>
                <w:rFonts w:asciiTheme="minorHAnsi" w:hAnsiTheme="minorHAnsi"/>
                <w:color w:val="000000"/>
                <w:sz w:val="20"/>
                <w:szCs w:val="20"/>
                <w:lang w:eastAsia="cs-CZ"/>
              </w:rPr>
              <w:t>1 140</w:t>
            </w:r>
          </w:p>
        </w:tc>
        <w:tc>
          <w:tcPr>
            <w:tcW w:w="595" w:type="pct"/>
            <w:tcBorders>
              <w:top w:val="single" w:sz="4" w:space="0" w:color="auto"/>
              <w:bottom w:val="single" w:sz="4" w:space="0" w:color="auto"/>
            </w:tcBorders>
            <w:vAlign w:val="center"/>
          </w:tcPr>
          <w:p w14:paraId="50FB7689" w14:textId="5376E3F4" w:rsidR="00D55F31" w:rsidRPr="00C9657D" w:rsidRDefault="003559E7" w:rsidP="0002290A">
            <w:pPr>
              <w:jc w:val="right"/>
              <w:rPr>
                <w:rFonts w:asciiTheme="minorHAnsi" w:hAnsiTheme="minorHAnsi"/>
                <w:color w:val="000000"/>
                <w:sz w:val="20"/>
                <w:szCs w:val="20"/>
                <w:lang w:eastAsia="cs-CZ"/>
              </w:rPr>
            </w:pPr>
            <w:r>
              <w:rPr>
                <w:rFonts w:asciiTheme="minorHAnsi" w:hAnsiTheme="minorHAnsi" w:cstheme="minorHAnsi"/>
                <w:sz w:val="20"/>
                <w:szCs w:val="20"/>
              </w:rPr>
              <w:t>−</w:t>
            </w:r>
            <w:r w:rsidR="0024693B" w:rsidRPr="00C9657D">
              <w:rPr>
                <w:rFonts w:asciiTheme="minorHAnsi" w:hAnsiTheme="minorHAnsi"/>
                <w:color w:val="000000"/>
                <w:sz w:val="20"/>
                <w:szCs w:val="20"/>
                <w:lang w:eastAsia="cs-CZ"/>
              </w:rPr>
              <w:t>863</w:t>
            </w:r>
          </w:p>
        </w:tc>
        <w:tc>
          <w:tcPr>
            <w:tcW w:w="590" w:type="pct"/>
            <w:tcBorders>
              <w:top w:val="single" w:sz="4" w:space="0" w:color="auto"/>
              <w:bottom w:val="single" w:sz="4" w:space="0" w:color="auto"/>
            </w:tcBorders>
            <w:vAlign w:val="center"/>
          </w:tcPr>
          <w:p w14:paraId="59FF52A4" w14:textId="1313F9E9" w:rsidR="00D55F31" w:rsidRPr="00C9657D" w:rsidRDefault="003559E7" w:rsidP="0002290A">
            <w:pPr>
              <w:jc w:val="right"/>
              <w:rPr>
                <w:rFonts w:asciiTheme="minorHAnsi" w:hAnsiTheme="minorHAnsi"/>
                <w:color w:val="000000"/>
                <w:sz w:val="20"/>
                <w:szCs w:val="20"/>
                <w:lang w:eastAsia="cs-CZ"/>
              </w:rPr>
            </w:pPr>
            <w:r>
              <w:rPr>
                <w:rFonts w:asciiTheme="minorHAnsi" w:hAnsiTheme="minorHAnsi" w:cstheme="minorHAnsi"/>
                <w:sz w:val="20"/>
                <w:szCs w:val="20"/>
              </w:rPr>
              <w:t>−</w:t>
            </w:r>
            <w:r w:rsidR="0024693B" w:rsidRPr="00C9657D">
              <w:rPr>
                <w:rFonts w:asciiTheme="minorHAnsi" w:hAnsiTheme="minorHAnsi"/>
                <w:color w:val="000000"/>
                <w:sz w:val="20"/>
                <w:szCs w:val="20"/>
                <w:lang w:eastAsia="cs-CZ"/>
              </w:rPr>
              <w:t>861</w:t>
            </w:r>
          </w:p>
        </w:tc>
      </w:tr>
      <w:tr w:rsidR="00C425F2" w14:paraId="6E4DE499" w14:textId="77777777" w:rsidTr="003D1C64">
        <w:trPr>
          <w:cantSplit/>
          <w:trHeight w:val="227"/>
          <w:jc w:val="center"/>
        </w:trPr>
        <w:tc>
          <w:tcPr>
            <w:tcW w:w="960" w:type="pct"/>
            <w:vMerge/>
            <w:vAlign w:val="center"/>
          </w:tcPr>
          <w:p w14:paraId="5C74BA96" w14:textId="77777777" w:rsidR="00D55F31" w:rsidRPr="00C9657D" w:rsidRDefault="00D55F31" w:rsidP="0002290A">
            <w:pPr>
              <w:rPr>
                <w:rFonts w:asciiTheme="minorHAnsi" w:hAnsiTheme="minorHAnsi" w:cs="Calibri"/>
                <w:color w:val="000000"/>
                <w:sz w:val="20"/>
                <w:szCs w:val="20"/>
              </w:rPr>
            </w:pPr>
          </w:p>
        </w:tc>
        <w:tc>
          <w:tcPr>
            <w:tcW w:w="1072" w:type="pct"/>
            <w:tcBorders>
              <w:top w:val="single" w:sz="4" w:space="0" w:color="auto"/>
              <w:bottom w:val="single" w:sz="12" w:space="0" w:color="auto"/>
            </w:tcBorders>
            <w:vAlign w:val="center"/>
          </w:tcPr>
          <w:p w14:paraId="0526ED27" w14:textId="77777777" w:rsidR="00D55F31" w:rsidRPr="00C9657D" w:rsidRDefault="0024693B" w:rsidP="0002290A">
            <w:pPr>
              <w:ind w:right="64" w:hanging="11"/>
              <w:jc w:val="center"/>
              <w:rPr>
                <w:rFonts w:asciiTheme="minorHAnsi" w:hAnsiTheme="minorHAnsi" w:cs="Calibri"/>
                <w:i/>
                <w:color w:val="000000"/>
                <w:sz w:val="20"/>
                <w:szCs w:val="20"/>
              </w:rPr>
            </w:pPr>
            <w:r w:rsidRPr="00C9657D">
              <w:rPr>
                <w:rFonts w:asciiTheme="minorHAnsi" w:hAnsiTheme="minorHAnsi" w:cs="Calibri"/>
                <w:i/>
                <w:color w:val="000000"/>
                <w:sz w:val="20"/>
                <w:szCs w:val="20"/>
              </w:rPr>
              <w:t>SLL Bludov</w:t>
            </w:r>
          </w:p>
        </w:tc>
        <w:tc>
          <w:tcPr>
            <w:tcW w:w="594" w:type="pct"/>
            <w:tcBorders>
              <w:top w:val="single" w:sz="4" w:space="0" w:color="auto"/>
              <w:bottom w:val="single" w:sz="12" w:space="0" w:color="auto"/>
            </w:tcBorders>
            <w:vAlign w:val="center"/>
          </w:tcPr>
          <w:p w14:paraId="4164B0C8" w14:textId="77777777" w:rsidR="00D55F31" w:rsidRPr="00C9657D" w:rsidRDefault="0024693B" w:rsidP="0002290A">
            <w:pPr>
              <w:jc w:val="right"/>
              <w:rPr>
                <w:rFonts w:asciiTheme="minorHAnsi" w:hAnsiTheme="minorHAnsi" w:cs="Calibri"/>
                <w:color w:val="000000"/>
                <w:sz w:val="20"/>
                <w:szCs w:val="20"/>
                <w:lang w:val="en-US" w:eastAsia="cs-CZ"/>
              </w:rPr>
            </w:pPr>
            <w:r w:rsidRPr="00C9657D">
              <w:rPr>
                <w:rFonts w:asciiTheme="minorHAnsi" w:hAnsiTheme="minorHAnsi" w:cs="Calibri"/>
                <w:color w:val="000000"/>
                <w:sz w:val="20"/>
                <w:szCs w:val="20"/>
                <w:lang w:val="en-US" w:eastAsia="cs-CZ"/>
              </w:rPr>
              <w:t>7</w:t>
            </w:r>
          </w:p>
        </w:tc>
        <w:tc>
          <w:tcPr>
            <w:tcW w:w="594" w:type="pct"/>
            <w:tcBorders>
              <w:top w:val="single" w:sz="4" w:space="0" w:color="auto"/>
              <w:bottom w:val="single" w:sz="12" w:space="0" w:color="auto"/>
            </w:tcBorders>
            <w:vAlign w:val="center"/>
          </w:tcPr>
          <w:p w14:paraId="4EDECAA9" w14:textId="77777777" w:rsidR="00D55F31" w:rsidRPr="00C9657D" w:rsidRDefault="0024693B" w:rsidP="0002290A">
            <w:pPr>
              <w:jc w:val="right"/>
              <w:rPr>
                <w:rFonts w:asciiTheme="minorHAnsi" w:hAnsiTheme="minorHAnsi" w:cs="Calibri"/>
                <w:color w:val="000000"/>
                <w:sz w:val="20"/>
                <w:szCs w:val="20"/>
                <w:lang w:val="en-US" w:eastAsia="cs-CZ"/>
              </w:rPr>
            </w:pPr>
            <w:r w:rsidRPr="00C9657D">
              <w:rPr>
                <w:rFonts w:asciiTheme="minorHAnsi" w:hAnsiTheme="minorHAnsi" w:cs="Calibri"/>
                <w:color w:val="000000"/>
                <w:sz w:val="20"/>
                <w:szCs w:val="20"/>
                <w:lang w:val="en-US" w:eastAsia="cs-CZ"/>
              </w:rPr>
              <w:t>12</w:t>
            </w:r>
          </w:p>
        </w:tc>
        <w:tc>
          <w:tcPr>
            <w:tcW w:w="594" w:type="pct"/>
            <w:tcBorders>
              <w:top w:val="single" w:sz="4" w:space="0" w:color="auto"/>
              <w:bottom w:val="single" w:sz="12" w:space="0" w:color="auto"/>
            </w:tcBorders>
            <w:vAlign w:val="center"/>
          </w:tcPr>
          <w:p w14:paraId="5411A5B6" w14:textId="77777777" w:rsidR="00D55F31" w:rsidRPr="00C9657D" w:rsidRDefault="0024693B" w:rsidP="0002290A">
            <w:pPr>
              <w:jc w:val="right"/>
              <w:rPr>
                <w:rFonts w:asciiTheme="minorHAnsi" w:hAnsiTheme="minorHAnsi" w:cs="Calibri"/>
                <w:color w:val="000000"/>
                <w:sz w:val="20"/>
                <w:szCs w:val="20"/>
                <w:lang w:val="en-US" w:eastAsia="cs-CZ"/>
              </w:rPr>
            </w:pPr>
            <w:r w:rsidRPr="00C9657D">
              <w:rPr>
                <w:rFonts w:asciiTheme="minorHAnsi" w:hAnsiTheme="minorHAnsi" w:cs="Calibri"/>
                <w:color w:val="000000"/>
                <w:sz w:val="20"/>
                <w:szCs w:val="20"/>
                <w:lang w:val="en-US" w:eastAsia="cs-CZ"/>
              </w:rPr>
              <w:t>4</w:t>
            </w:r>
          </w:p>
        </w:tc>
        <w:tc>
          <w:tcPr>
            <w:tcW w:w="595" w:type="pct"/>
            <w:tcBorders>
              <w:top w:val="single" w:sz="4" w:space="0" w:color="auto"/>
              <w:bottom w:val="single" w:sz="12" w:space="0" w:color="auto"/>
            </w:tcBorders>
            <w:vAlign w:val="center"/>
          </w:tcPr>
          <w:p w14:paraId="440F1BAC" w14:textId="77777777" w:rsidR="00D55F31" w:rsidRPr="00C9657D" w:rsidRDefault="0024693B" w:rsidP="0002290A">
            <w:pPr>
              <w:jc w:val="right"/>
              <w:rPr>
                <w:rFonts w:asciiTheme="minorHAnsi" w:hAnsiTheme="minorHAnsi" w:cs="Calibri"/>
                <w:color w:val="000000"/>
                <w:sz w:val="20"/>
                <w:szCs w:val="20"/>
                <w:lang w:val="en-US" w:eastAsia="cs-CZ"/>
              </w:rPr>
            </w:pPr>
            <w:r w:rsidRPr="00C9657D">
              <w:rPr>
                <w:rFonts w:asciiTheme="minorHAnsi" w:hAnsiTheme="minorHAnsi" w:cs="Calibri"/>
                <w:color w:val="000000"/>
                <w:sz w:val="20"/>
                <w:szCs w:val="20"/>
                <w:lang w:val="en-US" w:eastAsia="cs-CZ"/>
              </w:rPr>
              <w:t>-16</w:t>
            </w:r>
          </w:p>
        </w:tc>
        <w:tc>
          <w:tcPr>
            <w:tcW w:w="590" w:type="pct"/>
            <w:tcBorders>
              <w:top w:val="single" w:sz="4" w:space="0" w:color="auto"/>
              <w:bottom w:val="single" w:sz="12" w:space="0" w:color="auto"/>
            </w:tcBorders>
            <w:vAlign w:val="center"/>
          </w:tcPr>
          <w:p w14:paraId="12A5662F" w14:textId="77777777" w:rsidR="00D55F31" w:rsidRPr="00C9657D" w:rsidRDefault="0024693B" w:rsidP="0002290A">
            <w:pPr>
              <w:jc w:val="right"/>
              <w:rPr>
                <w:rFonts w:asciiTheme="minorHAnsi" w:hAnsiTheme="minorHAnsi" w:cs="Calibri"/>
                <w:color w:val="000000"/>
                <w:sz w:val="20"/>
                <w:szCs w:val="20"/>
                <w:lang w:val="en-US" w:eastAsia="cs-CZ"/>
              </w:rPr>
            </w:pPr>
            <w:r w:rsidRPr="00C9657D">
              <w:rPr>
                <w:rFonts w:asciiTheme="minorHAnsi" w:hAnsiTheme="minorHAnsi" w:cs="Calibri"/>
                <w:color w:val="000000"/>
                <w:sz w:val="20"/>
                <w:szCs w:val="20"/>
                <w:lang w:val="en-US" w:eastAsia="cs-CZ"/>
              </w:rPr>
              <w:t>-27</w:t>
            </w:r>
          </w:p>
        </w:tc>
      </w:tr>
      <w:tr w:rsidR="00C425F2" w14:paraId="2925465C" w14:textId="77777777" w:rsidTr="003D1C64">
        <w:trPr>
          <w:cantSplit/>
          <w:trHeight w:val="227"/>
          <w:jc w:val="center"/>
        </w:trPr>
        <w:tc>
          <w:tcPr>
            <w:tcW w:w="960" w:type="pct"/>
            <w:tcBorders>
              <w:top w:val="single" w:sz="12" w:space="0" w:color="auto"/>
            </w:tcBorders>
            <w:vAlign w:val="center"/>
          </w:tcPr>
          <w:p w14:paraId="3D47C562" w14:textId="77777777" w:rsidR="00D55F31" w:rsidRPr="00C9657D" w:rsidRDefault="0024693B" w:rsidP="0002290A">
            <w:pPr>
              <w:rPr>
                <w:rFonts w:asciiTheme="minorHAnsi" w:hAnsiTheme="minorHAnsi" w:cs="Calibri"/>
                <w:color w:val="000000"/>
                <w:sz w:val="20"/>
                <w:szCs w:val="20"/>
              </w:rPr>
            </w:pPr>
            <w:r w:rsidRPr="00C9657D">
              <w:rPr>
                <w:rFonts w:asciiTheme="minorHAnsi" w:hAnsiTheme="minorHAnsi" w:cs="Calibri"/>
                <w:color w:val="000000"/>
                <w:sz w:val="20"/>
                <w:szCs w:val="20"/>
              </w:rPr>
              <w:t>Mimořádný výsledek hospodaření</w:t>
            </w:r>
          </w:p>
        </w:tc>
        <w:tc>
          <w:tcPr>
            <w:tcW w:w="1072" w:type="pct"/>
            <w:tcBorders>
              <w:top w:val="single" w:sz="12" w:space="0" w:color="auto"/>
              <w:bottom w:val="single" w:sz="4" w:space="0" w:color="auto"/>
            </w:tcBorders>
            <w:vAlign w:val="center"/>
          </w:tcPr>
          <w:p w14:paraId="056C0790" w14:textId="77777777" w:rsidR="00D55F31" w:rsidRPr="00C9657D" w:rsidRDefault="0024693B" w:rsidP="0002290A">
            <w:pPr>
              <w:ind w:right="64" w:hanging="11"/>
              <w:jc w:val="center"/>
              <w:rPr>
                <w:rFonts w:asciiTheme="minorHAnsi" w:hAnsiTheme="minorHAnsi" w:cs="Calibri"/>
                <w:i/>
                <w:color w:val="000000"/>
                <w:sz w:val="20"/>
                <w:szCs w:val="20"/>
              </w:rPr>
            </w:pPr>
            <w:r w:rsidRPr="00C9657D">
              <w:rPr>
                <w:rFonts w:asciiTheme="minorHAnsi" w:hAnsiTheme="minorHAnsi" w:cs="Calibri"/>
                <w:i/>
                <w:color w:val="000000"/>
                <w:sz w:val="20"/>
                <w:szCs w:val="20"/>
              </w:rPr>
              <w:t>HL Karlova Studánka</w:t>
            </w:r>
          </w:p>
        </w:tc>
        <w:tc>
          <w:tcPr>
            <w:tcW w:w="594" w:type="pct"/>
            <w:tcBorders>
              <w:top w:val="single" w:sz="12" w:space="0" w:color="auto"/>
              <w:bottom w:val="single" w:sz="4" w:space="0" w:color="auto"/>
            </w:tcBorders>
            <w:vAlign w:val="center"/>
          </w:tcPr>
          <w:p w14:paraId="1C6AD351" w14:textId="00671333" w:rsidR="00D55F31" w:rsidRPr="00C9657D" w:rsidRDefault="003559E7" w:rsidP="0002290A">
            <w:pPr>
              <w:jc w:val="right"/>
              <w:rPr>
                <w:rFonts w:asciiTheme="minorHAnsi" w:hAnsiTheme="minorHAnsi"/>
                <w:color w:val="000000"/>
                <w:sz w:val="20"/>
                <w:szCs w:val="20"/>
                <w:lang w:eastAsia="cs-CZ"/>
              </w:rPr>
            </w:pPr>
            <w:r>
              <w:rPr>
                <w:rFonts w:asciiTheme="minorHAnsi" w:hAnsiTheme="minorHAnsi" w:cstheme="minorHAnsi"/>
                <w:sz w:val="20"/>
                <w:szCs w:val="20"/>
              </w:rPr>
              <w:t>−</w:t>
            </w:r>
            <w:r w:rsidR="0024693B" w:rsidRPr="00C9657D">
              <w:rPr>
                <w:rFonts w:asciiTheme="minorHAnsi" w:hAnsiTheme="minorHAnsi"/>
                <w:color w:val="000000"/>
                <w:sz w:val="20"/>
                <w:szCs w:val="20"/>
                <w:lang w:eastAsia="cs-CZ"/>
              </w:rPr>
              <w:t>4</w:t>
            </w:r>
          </w:p>
        </w:tc>
        <w:tc>
          <w:tcPr>
            <w:tcW w:w="594" w:type="pct"/>
            <w:tcBorders>
              <w:top w:val="single" w:sz="12" w:space="0" w:color="auto"/>
              <w:bottom w:val="single" w:sz="4" w:space="0" w:color="auto"/>
            </w:tcBorders>
            <w:vAlign w:val="center"/>
          </w:tcPr>
          <w:p w14:paraId="49398026" w14:textId="0D583DCF" w:rsidR="00D55F31" w:rsidRPr="00C9657D" w:rsidRDefault="003559E7" w:rsidP="0002290A">
            <w:pPr>
              <w:jc w:val="right"/>
              <w:rPr>
                <w:rFonts w:asciiTheme="minorHAnsi" w:hAnsiTheme="minorHAnsi"/>
                <w:color w:val="000000"/>
                <w:sz w:val="20"/>
                <w:szCs w:val="20"/>
                <w:lang w:eastAsia="cs-CZ"/>
              </w:rPr>
            </w:pPr>
            <w:r>
              <w:rPr>
                <w:rFonts w:asciiTheme="minorHAnsi" w:hAnsiTheme="minorHAnsi" w:cstheme="minorHAnsi"/>
                <w:sz w:val="20"/>
                <w:szCs w:val="20"/>
              </w:rPr>
              <w:t>−</w:t>
            </w:r>
            <w:r w:rsidR="0024693B" w:rsidRPr="00C9657D">
              <w:rPr>
                <w:rFonts w:asciiTheme="minorHAnsi" w:hAnsiTheme="minorHAnsi"/>
                <w:color w:val="000000"/>
                <w:sz w:val="20"/>
                <w:szCs w:val="20"/>
                <w:lang w:eastAsia="cs-CZ"/>
              </w:rPr>
              <w:t>19</w:t>
            </w:r>
          </w:p>
        </w:tc>
        <w:tc>
          <w:tcPr>
            <w:tcW w:w="594" w:type="pct"/>
            <w:tcBorders>
              <w:top w:val="single" w:sz="12" w:space="0" w:color="auto"/>
              <w:bottom w:val="single" w:sz="4" w:space="0" w:color="auto"/>
            </w:tcBorders>
            <w:vAlign w:val="center"/>
          </w:tcPr>
          <w:p w14:paraId="3DF614B6" w14:textId="0D47DD1C" w:rsidR="00D55F31" w:rsidRPr="00C9657D" w:rsidRDefault="003559E7" w:rsidP="0002290A">
            <w:pPr>
              <w:jc w:val="right"/>
              <w:rPr>
                <w:rFonts w:asciiTheme="minorHAnsi" w:hAnsiTheme="minorHAnsi"/>
                <w:color w:val="000000"/>
                <w:sz w:val="20"/>
                <w:szCs w:val="20"/>
                <w:lang w:eastAsia="cs-CZ"/>
              </w:rPr>
            </w:pPr>
            <w:r>
              <w:rPr>
                <w:rFonts w:asciiTheme="minorHAnsi" w:hAnsiTheme="minorHAnsi" w:cstheme="minorHAnsi"/>
                <w:sz w:val="20"/>
                <w:szCs w:val="20"/>
              </w:rPr>
              <w:t>−</w:t>
            </w:r>
            <w:r w:rsidR="0024693B" w:rsidRPr="00C9657D">
              <w:rPr>
                <w:rFonts w:asciiTheme="minorHAnsi" w:hAnsiTheme="minorHAnsi"/>
                <w:color w:val="000000"/>
                <w:sz w:val="20"/>
                <w:szCs w:val="20"/>
                <w:lang w:eastAsia="cs-CZ"/>
              </w:rPr>
              <w:t>1</w:t>
            </w:r>
          </w:p>
        </w:tc>
        <w:tc>
          <w:tcPr>
            <w:tcW w:w="595" w:type="pct"/>
            <w:tcBorders>
              <w:top w:val="single" w:sz="12" w:space="0" w:color="auto"/>
              <w:bottom w:val="single" w:sz="4" w:space="0" w:color="auto"/>
            </w:tcBorders>
            <w:vAlign w:val="center"/>
          </w:tcPr>
          <w:p w14:paraId="24855AF8" w14:textId="77777777" w:rsidR="00D55F31" w:rsidRPr="00C9657D" w:rsidRDefault="0024693B" w:rsidP="0002290A">
            <w:pPr>
              <w:jc w:val="right"/>
              <w:rPr>
                <w:rFonts w:asciiTheme="minorHAnsi" w:hAnsiTheme="minorHAnsi"/>
                <w:color w:val="000000"/>
                <w:sz w:val="20"/>
                <w:szCs w:val="20"/>
                <w:lang w:eastAsia="cs-CZ"/>
              </w:rPr>
            </w:pPr>
            <w:r w:rsidRPr="00C9657D">
              <w:rPr>
                <w:rFonts w:asciiTheme="minorHAnsi" w:hAnsiTheme="minorHAnsi"/>
                <w:color w:val="000000"/>
                <w:sz w:val="20"/>
                <w:szCs w:val="20"/>
                <w:lang w:eastAsia="cs-CZ"/>
              </w:rPr>
              <w:t>0</w:t>
            </w:r>
          </w:p>
        </w:tc>
        <w:tc>
          <w:tcPr>
            <w:tcW w:w="590" w:type="pct"/>
            <w:tcBorders>
              <w:top w:val="single" w:sz="12" w:space="0" w:color="auto"/>
              <w:bottom w:val="single" w:sz="4" w:space="0" w:color="auto"/>
            </w:tcBorders>
            <w:vAlign w:val="center"/>
          </w:tcPr>
          <w:p w14:paraId="2AFF8F32" w14:textId="77777777" w:rsidR="00D55F31" w:rsidRPr="00C9657D" w:rsidRDefault="0024693B" w:rsidP="0002290A">
            <w:pPr>
              <w:jc w:val="right"/>
              <w:rPr>
                <w:rFonts w:asciiTheme="minorHAnsi" w:hAnsiTheme="minorHAnsi"/>
                <w:color w:val="000000"/>
                <w:sz w:val="20"/>
                <w:szCs w:val="20"/>
                <w:lang w:eastAsia="cs-CZ"/>
              </w:rPr>
            </w:pPr>
            <w:r w:rsidRPr="00C9657D">
              <w:rPr>
                <w:rFonts w:asciiTheme="minorHAnsi" w:hAnsiTheme="minorHAnsi"/>
                <w:color w:val="000000"/>
                <w:sz w:val="20"/>
                <w:szCs w:val="20"/>
                <w:lang w:eastAsia="cs-CZ"/>
              </w:rPr>
              <w:t>0</w:t>
            </w:r>
          </w:p>
        </w:tc>
      </w:tr>
      <w:tr w:rsidR="00C425F2" w14:paraId="1EE2CF54" w14:textId="77777777" w:rsidTr="003D1C64">
        <w:trPr>
          <w:cantSplit/>
          <w:trHeight w:val="227"/>
          <w:jc w:val="center"/>
        </w:trPr>
        <w:tc>
          <w:tcPr>
            <w:tcW w:w="960" w:type="pct"/>
            <w:vMerge w:val="restart"/>
            <w:tcBorders>
              <w:top w:val="single" w:sz="12" w:space="0" w:color="auto"/>
            </w:tcBorders>
            <w:vAlign w:val="center"/>
          </w:tcPr>
          <w:p w14:paraId="1608FF0E" w14:textId="77777777" w:rsidR="00D55F31" w:rsidRPr="00C9657D" w:rsidRDefault="0024693B" w:rsidP="0002290A">
            <w:pPr>
              <w:rPr>
                <w:rFonts w:asciiTheme="minorHAnsi" w:hAnsiTheme="minorHAnsi" w:cs="Calibri"/>
                <w:color w:val="000000"/>
                <w:sz w:val="20"/>
                <w:szCs w:val="20"/>
              </w:rPr>
            </w:pPr>
            <w:r w:rsidRPr="00C9657D">
              <w:rPr>
                <w:rFonts w:asciiTheme="minorHAnsi" w:hAnsiTheme="minorHAnsi" w:cs="Calibri"/>
                <w:color w:val="000000"/>
                <w:sz w:val="20"/>
                <w:szCs w:val="20"/>
              </w:rPr>
              <w:t>Výsledek hospodaření před zdaněním</w:t>
            </w:r>
          </w:p>
        </w:tc>
        <w:tc>
          <w:tcPr>
            <w:tcW w:w="1072" w:type="pct"/>
            <w:tcBorders>
              <w:top w:val="single" w:sz="12" w:space="0" w:color="auto"/>
              <w:bottom w:val="single" w:sz="4" w:space="0" w:color="auto"/>
            </w:tcBorders>
            <w:vAlign w:val="center"/>
          </w:tcPr>
          <w:p w14:paraId="722D886F" w14:textId="77777777" w:rsidR="00D55F31" w:rsidRPr="00C9657D" w:rsidRDefault="0024693B" w:rsidP="0002290A">
            <w:pPr>
              <w:ind w:right="64" w:hanging="11"/>
              <w:jc w:val="center"/>
              <w:rPr>
                <w:rFonts w:asciiTheme="minorHAnsi" w:hAnsiTheme="minorHAnsi" w:cs="Calibri"/>
                <w:i/>
                <w:color w:val="000000"/>
                <w:sz w:val="20"/>
                <w:szCs w:val="20"/>
              </w:rPr>
            </w:pPr>
            <w:r w:rsidRPr="00C9657D">
              <w:rPr>
                <w:rFonts w:asciiTheme="minorHAnsi" w:hAnsiTheme="minorHAnsi" w:cs="Calibri"/>
                <w:i/>
                <w:color w:val="000000"/>
                <w:sz w:val="20"/>
                <w:szCs w:val="20"/>
              </w:rPr>
              <w:t>SLL Janské Lázně</w:t>
            </w:r>
          </w:p>
        </w:tc>
        <w:tc>
          <w:tcPr>
            <w:tcW w:w="594" w:type="pct"/>
            <w:tcBorders>
              <w:top w:val="single" w:sz="12" w:space="0" w:color="auto"/>
              <w:bottom w:val="single" w:sz="4" w:space="0" w:color="auto"/>
            </w:tcBorders>
            <w:vAlign w:val="center"/>
          </w:tcPr>
          <w:p w14:paraId="57D80E0C" w14:textId="77777777" w:rsidR="00D55F31" w:rsidRPr="00C9657D" w:rsidRDefault="0024693B" w:rsidP="0002290A">
            <w:pPr>
              <w:jc w:val="right"/>
              <w:rPr>
                <w:rFonts w:asciiTheme="minorHAnsi" w:hAnsiTheme="minorHAnsi" w:cs="Calibri"/>
                <w:color w:val="000000"/>
                <w:sz w:val="20"/>
                <w:szCs w:val="20"/>
                <w:lang w:val="en-US" w:eastAsia="cs-CZ"/>
              </w:rPr>
            </w:pPr>
            <w:r w:rsidRPr="00C9657D">
              <w:rPr>
                <w:rFonts w:asciiTheme="minorHAnsi" w:hAnsiTheme="minorHAnsi" w:cs="Calibri"/>
                <w:color w:val="000000"/>
                <w:sz w:val="20"/>
                <w:szCs w:val="20"/>
                <w:lang w:val="en-US" w:eastAsia="cs-CZ"/>
              </w:rPr>
              <w:t>1 349</w:t>
            </w:r>
          </w:p>
        </w:tc>
        <w:tc>
          <w:tcPr>
            <w:tcW w:w="594" w:type="pct"/>
            <w:tcBorders>
              <w:top w:val="single" w:sz="12" w:space="0" w:color="auto"/>
              <w:bottom w:val="single" w:sz="4" w:space="0" w:color="auto"/>
            </w:tcBorders>
            <w:vAlign w:val="center"/>
          </w:tcPr>
          <w:p w14:paraId="169FC8CA" w14:textId="18FA31CC" w:rsidR="00D55F31" w:rsidRPr="00C9657D" w:rsidRDefault="003559E7" w:rsidP="0002290A">
            <w:pPr>
              <w:jc w:val="right"/>
              <w:rPr>
                <w:rFonts w:asciiTheme="minorHAnsi" w:hAnsiTheme="minorHAnsi" w:cs="Calibri"/>
                <w:color w:val="000000"/>
                <w:sz w:val="20"/>
                <w:szCs w:val="20"/>
                <w:lang w:val="en-US" w:eastAsia="cs-CZ"/>
              </w:rPr>
            </w:pPr>
            <w:r>
              <w:rPr>
                <w:rFonts w:asciiTheme="minorHAnsi" w:hAnsiTheme="minorHAnsi" w:cstheme="minorHAnsi"/>
                <w:sz w:val="20"/>
                <w:szCs w:val="20"/>
              </w:rPr>
              <w:t>−</w:t>
            </w:r>
            <w:r w:rsidR="0024693B" w:rsidRPr="00C9657D">
              <w:rPr>
                <w:rFonts w:asciiTheme="minorHAnsi" w:hAnsiTheme="minorHAnsi" w:cs="Calibri"/>
                <w:color w:val="000000"/>
                <w:sz w:val="20"/>
                <w:szCs w:val="20"/>
                <w:lang w:val="en-US" w:eastAsia="cs-CZ"/>
              </w:rPr>
              <w:t>31 277</w:t>
            </w:r>
          </w:p>
        </w:tc>
        <w:tc>
          <w:tcPr>
            <w:tcW w:w="594" w:type="pct"/>
            <w:tcBorders>
              <w:top w:val="single" w:sz="12" w:space="0" w:color="auto"/>
              <w:bottom w:val="single" w:sz="4" w:space="0" w:color="auto"/>
            </w:tcBorders>
            <w:vAlign w:val="center"/>
          </w:tcPr>
          <w:p w14:paraId="0AE6AC7A" w14:textId="5155228B" w:rsidR="00D55F31" w:rsidRPr="00C9657D" w:rsidRDefault="003559E7" w:rsidP="0002290A">
            <w:pPr>
              <w:jc w:val="right"/>
              <w:rPr>
                <w:rFonts w:asciiTheme="minorHAnsi" w:hAnsiTheme="minorHAnsi" w:cs="Calibri"/>
                <w:color w:val="000000"/>
                <w:sz w:val="20"/>
                <w:szCs w:val="20"/>
                <w:lang w:val="en-US" w:eastAsia="cs-CZ"/>
              </w:rPr>
            </w:pPr>
            <w:r>
              <w:rPr>
                <w:rFonts w:asciiTheme="minorHAnsi" w:hAnsiTheme="minorHAnsi" w:cstheme="minorHAnsi"/>
                <w:sz w:val="20"/>
                <w:szCs w:val="20"/>
              </w:rPr>
              <w:t>−</w:t>
            </w:r>
            <w:r w:rsidR="0024693B" w:rsidRPr="00C9657D">
              <w:rPr>
                <w:rFonts w:asciiTheme="minorHAnsi" w:hAnsiTheme="minorHAnsi" w:cs="Calibri"/>
                <w:color w:val="000000"/>
                <w:sz w:val="20"/>
                <w:szCs w:val="20"/>
                <w:lang w:val="en-US" w:eastAsia="cs-CZ"/>
              </w:rPr>
              <w:t>50 436</w:t>
            </w:r>
          </w:p>
        </w:tc>
        <w:tc>
          <w:tcPr>
            <w:tcW w:w="595" w:type="pct"/>
            <w:tcBorders>
              <w:top w:val="single" w:sz="12" w:space="0" w:color="auto"/>
              <w:bottom w:val="single" w:sz="4" w:space="0" w:color="auto"/>
            </w:tcBorders>
            <w:vAlign w:val="center"/>
          </w:tcPr>
          <w:p w14:paraId="4E73758C" w14:textId="4A1B1A9E" w:rsidR="00D55F31" w:rsidRPr="00C9657D" w:rsidRDefault="003559E7" w:rsidP="0002290A">
            <w:pPr>
              <w:jc w:val="right"/>
              <w:rPr>
                <w:rFonts w:asciiTheme="minorHAnsi" w:hAnsiTheme="minorHAnsi" w:cs="Calibri"/>
                <w:color w:val="000000"/>
                <w:sz w:val="20"/>
                <w:szCs w:val="20"/>
                <w:lang w:val="en-US" w:eastAsia="cs-CZ"/>
              </w:rPr>
            </w:pPr>
            <w:r>
              <w:rPr>
                <w:rFonts w:asciiTheme="minorHAnsi" w:hAnsiTheme="minorHAnsi" w:cstheme="minorHAnsi"/>
                <w:sz w:val="20"/>
                <w:szCs w:val="20"/>
              </w:rPr>
              <w:t>−</w:t>
            </w:r>
            <w:r w:rsidR="0024693B" w:rsidRPr="00C9657D">
              <w:rPr>
                <w:rFonts w:asciiTheme="minorHAnsi" w:hAnsiTheme="minorHAnsi" w:cs="Calibri"/>
                <w:color w:val="000000"/>
                <w:sz w:val="20"/>
                <w:szCs w:val="20"/>
                <w:lang w:val="en-US" w:eastAsia="cs-CZ"/>
              </w:rPr>
              <w:t>4 407</w:t>
            </w:r>
          </w:p>
        </w:tc>
        <w:tc>
          <w:tcPr>
            <w:tcW w:w="590" w:type="pct"/>
            <w:tcBorders>
              <w:top w:val="single" w:sz="12" w:space="0" w:color="auto"/>
              <w:bottom w:val="single" w:sz="4" w:space="0" w:color="auto"/>
            </w:tcBorders>
            <w:vAlign w:val="center"/>
          </w:tcPr>
          <w:p w14:paraId="3E7162A9" w14:textId="77777777" w:rsidR="00D55F31" w:rsidRPr="00C9657D" w:rsidRDefault="0024693B" w:rsidP="0002290A">
            <w:pPr>
              <w:jc w:val="right"/>
              <w:rPr>
                <w:rFonts w:asciiTheme="minorHAnsi" w:hAnsiTheme="minorHAnsi" w:cs="Calibri"/>
                <w:color w:val="000000"/>
                <w:sz w:val="20"/>
                <w:szCs w:val="20"/>
                <w:lang w:val="en-US" w:eastAsia="cs-CZ"/>
              </w:rPr>
            </w:pPr>
            <w:r w:rsidRPr="00C9657D">
              <w:rPr>
                <w:rFonts w:asciiTheme="minorHAnsi" w:hAnsiTheme="minorHAnsi" w:cs="Calibri"/>
                <w:color w:val="000000"/>
                <w:sz w:val="20"/>
                <w:szCs w:val="20"/>
                <w:lang w:val="en-US" w:eastAsia="cs-CZ"/>
              </w:rPr>
              <w:t>5 334</w:t>
            </w:r>
          </w:p>
        </w:tc>
      </w:tr>
      <w:tr w:rsidR="00C425F2" w14:paraId="4A37E63B" w14:textId="77777777" w:rsidTr="003D1C64">
        <w:trPr>
          <w:cantSplit/>
          <w:trHeight w:val="227"/>
          <w:jc w:val="center"/>
        </w:trPr>
        <w:tc>
          <w:tcPr>
            <w:tcW w:w="960" w:type="pct"/>
            <w:vMerge/>
            <w:vAlign w:val="center"/>
          </w:tcPr>
          <w:p w14:paraId="7E388C80" w14:textId="77777777" w:rsidR="00D55F31" w:rsidRPr="00C9657D" w:rsidRDefault="00D55F31" w:rsidP="0002290A">
            <w:pPr>
              <w:rPr>
                <w:rFonts w:asciiTheme="minorHAnsi" w:hAnsiTheme="minorHAnsi" w:cs="Calibri"/>
                <w:color w:val="000000"/>
                <w:sz w:val="20"/>
                <w:szCs w:val="20"/>
              </w:rPr>
            </w:pPr>
          </w:p>
        </w:tc>
        <w:tc>
          <w:tcPr>
            <w:tcW w:w="1072" w:type="pct"/>
            <w:tcBorders>
              <w:top w:val="single" w:sz="4" w:space="0" w:color="auto"/>
              <w:bottom w:val="single" w:sz="4" w:space="0" w:color="auto"/>
            </w:tcBorders>
            <w:vAlign w:val="center"/>
          </w:tcPr>
          <w:p w14:paraId="5A72F32C" w14:textId="77777777" w:rsidR="00D55F31" w:rsidRPr="00C9657D" w:rsidRDefault="0024693B" w:rsidP="0002290A">
            <w:pPr>
              <w:ind w:right="64" w:hanging="11"/>
              <w:jc w:val="center"/>
              <w:rPr>
                <w:rFonts w:asciiTheme="minorHAnsi" w:hAnsiTheme="minorHAnsi" w:cs="Calibri"/>
                <w:i/>
                <w:color w:val="000000"/>
                <w:sz w:val="20"/>
                <w:szCs w:val="20"/>
              </w:rPr>
            </w:pPr>
            <w:r w:rsidRPr="00C9657D">
              <w:rPr>
                <w:rFonts w:asciiTheme="minorHAnsi" w:hAnsiTheme="minorHAnsi" w:cs="Calibri"/>
                <w:i/>
                <w:color w:val="000000"/>
                <w:sz w:val="20"/>
                <w:szCs w:val="20"/>
              </w:rPr>
              <w:t>HL Karlova Studánka</w:t>
            </w:r>
          </w:p>
        </w:tc>
        <w:tc>
          <w:tcPr>
            <w:tcW w:w="594" w:type="pct"/>
            <w:tcBorders>
              <w:top w:val="single" w:sz="4" w:space="0" w:color="auto"/>
              <w:bottom w:val="single" w:sz="4" w:space="0" w:color="auto"/>
            </w:tcBorders>
            <w:vAlign w:val="center"/>
          </w:tcPr>
          <w:p w14:paraId="06E7D5C0" w14:textId="77777777" w:rsidR="00D55F31" w:rsidRPr="00C9657D" w:rsidRDefault="0024693B" w:rsidP="0002290A">
            <w:pPr>
              <w:jc w:val="right"/>
              <w:rPr>
                <w:rFonts w:asciiTheme="minorHAnsi" w:hAnsiTheme="minorHAnsi"/>
                <w:color w:val="000000"/>
                <w:sz w:val="20"/>
                <w:szCs w:val="20"/>
                <w:lang w:eastAsia="cs-CZ"/>
              </w:rPr>
            </w:pPr>
            <w:r w:rsidRPr="00C9657D">
              <w:rPr>
                <w:rFonts w:asciiTheme="minorHAnsi" w:hAnsiTheme="minorHAnsi"/>
                <w:color w:val="000000"/>
                <w:sz w:val="20"/>
                <w:szCs w:val="20"/>
                <w:lang w:eastAsia="cs-CZ"/>
              </w:rPr>
              <w:t>3 522</w:t>
            </w:r>
          </w:p>
        </w:tc>
        <w:tc>
          <w:tcPr>
            <w:tcW w:w="594" w:type="pct"/>
            <w:tcBorders>
              <w:top w:val="single" w:sz="4" w:space="0" w:color="auto"/>
              <w:bottom w:val="single" w:sz="4" w:space="0" w:color="auto"/>
            </w:tcBorders>
            <w:vAlign w:val="center"/>
          </w:tcPr>
          <w:p w14:paraId="06FFD669" w14:textId="0CD8FD5D" w:rsidR="00D55F31" w:rsidRPr="00C9657D" w:rsidRDefault="003559E7" w:rsidP="0002290A">
            <w:pPr>
              <w:jc w:val="right"/>
              <w:rPr>
                <w:rFonts w:asciiTheme="minorHAnsi" w:hAnsiTheme="minorHAnsi"/>
                <w:color w:val="000000"/>
                <w:sz w:val="20"/>
                <w:szCs w:val="20"/>
                <w:lang w:eastAsia="cs-CZ"/>
              </w:rPr>
            </w:pPr>
            <w:r>
              <w:rPr>
                <w:rFonts w:asciiTheme="minorHAnsi" w:hAnsiTheme="minorHAnsi" w:cstheme="minorHAnsi"/>
                <w:sz w:val="20"/>
                <w:szCs w:val="20"/>
              </w:rPr>
              <w:t>−</w:t>
            </w:r>
            <w:r w:rsidR="0024693B" w:rsidRPr="00C9657D">
              <w:rPr>
                <w:rFonts w:asciiTheme="minorHAnsi" w:hAnsiTheme="minorHAnsi"/>
                <w:color w:val="000000"/>
                <w:sz w:val="20"/>
                <w:szCs w:val="20"/>
                <w:lang w:eastAsia="cs-CZ"/>
              </w:rPr>
              <w:t>3 831</w:t>
            </w:r>
          </w:p>
        </w:tc>
        <w:tc>
          <w:tcPr>
            <w:tcW w:w="594" w:type="pct"/>
            <w:tcBorders>
              <w:top w:val="single" w:sz="4" w:space="0" w:color="auto"/>
              <w:bottom w:val="single" w:sz="4" w:space="0" w:color="auto"/>
            </w:tcBorders>
            <w:vAlign w:val="center"/>
          </w:tcPr>
          <w:p w14:paraId="1FD11B57" w14:textId="7B7C83B7" w:rsidR="00D55F31" w:rsidRPr="00C9657D" w:rsidRDefault="003559E7" w:rsidP="0002290A">
            <w:pPr>
              <w:jc w:val="right"/>
              <w:rPr>
                <w:rFonts w:asciiTheme="minorHAnsi" w:hAnsiTheme="minorHAnsi"/>
                <w:color w:val="000000"/>
                <w:sz w:val="20"/>
                <w:szCs w:val="20"/>
                <w:lang w:eastAsia="cs-CZ"/>
              </w:rPr>
            </w:pPr>
            <w:r>
              <w:rPr>
                <w:rFonts w:asciiTheme="minorHAnsi" w:hAnsiTheme="minorHAnsi" w:cstheme="minorHAnsi"/>
                <w:sz w:val="20"/>
                <w:szCs w:val="20"/>
              </w:rPr>
              <w:t>−</w:t>
            </w:r>
            <w:r w:rsidR="0024693B" w:rsidRPr="00C9657D">
              <w:rPr>
                <w:rFonts w:asciiTheme="minorHAnsi" w:hAnsiTheme="minorHAnsi"/>
                <w:color w:val="000000"/>
                <w:sz w:val="20"/>
                <w:szCs w:val="20"/>
                <w:lang w:eastAsia="cs-CZ"/>
              </w:rPr>
              <w:t>2 116</w:t>
            </w:r>
          </w:p>
        </w:tc>
        <w:tc>
          <w:tcPr>
            <w:tcW w:w="595" w:type="pct"/>
            <w:tcBorders>
              <w:top w:val="single" w:sz="4" w:space="0" w:color="auto"/>
              <w:bottom w:val="single" w:sz="4" w:space="0" w:color="auto"/>
            </w:tcBorders>
            <w:vAlign w:val="center"/>
          </w:tcPr>
          <w:p w14:paraId="34129DFD" w14:textId="77777777" w:rsidR="00D55F31" w:rsidRPr="00C9657D" w:rsidRDefault="0024693B" w:rsidP="0002290A">
            <w:pPr>
              <w:jc w:val="right"/>
              <w:rPr>
                <w:rFonts w:asciiTheme="minorHAnsi" w:hAnsiTheme="minorHAnsi"/>
                <w:color w:val="000000"/>
                <w:sz w:val="20"/>
                <w:szCs w:val="20"/>
                <w:lang w:eastAsia="cs-CZ"/>
              </w:rPr>
            </w:pPr>
            <w:r w:rsidRPr="00C9657D">
              <w:rPr>
                <w:rFonts w:asciiTheme="minorHAnsi" w:hAnsiTheme="minorHAnsi"/>
                <w:color w:val="000000"/>
                <w:sz w:val="20"/>
                <w:szCs w:val="20"/>
                <w:lang w:eastAsia="cs-CZ"/>
              </w:rPr>
              <w:t>13 491</w:t>
            </w:r>
          </w:p>
        </w:tc>
        <w:tc>
          <w:tcPr>
            <w:tcW w:w="590" w:type="pct"/>
            <w:tcBorders>
              <w:top w:val="single" w:sz="4" w:space="0" w:color="auto"/>
              <w:bottom w:val="single" w:sz="4" w:space="0" w:color="auto"/>
            </w:tcBorders>
            <w:vAlign w:val="center"/>
          </w:tcPr>
          <w:p w14:paraId="4943D464" w14:textId="77777777" w:rsidR="00D55F31" w:rsidRPr="00C9657D" w:rsidRDefault="0024693B" w:rsidP="0002290A">
            <w:pPr>
              <w:jc w:val="right"/>
              <w:rPr>
                <w:rFonts w:asciiTheme="minorHAnsi" w:hAnsiTheme="minorHAnsi"/>
                <w:color w:val="000000"/>
                <w:sz w:val="20"/>
                <w:szCs w:val="20"/>
                <w:lang w:eastAsia="cs-CZ"/>
              </w:rPr>
            </w:pPr>
            <w:r w:rsidRPr="00C9657D">
              <w:rPr>
                <w:rFonts w:asciiTheme="minorHAnsi" w:hAnsiTheme="minorHAnsi"/>
                <w:color w:val="000000"/>
                <w:sz w:val="20"/>
                <w:szCs w:val="20"/>
                <w:lang w:eastAsia="cs-CZ"/>
              </w:rPr>
              <w:t>12 088</w:t>
            </w:r>
          </w:p>
        </w:tc>
      </w:tr>
      <w:tr w:rsidR="00C425F2" w14:paraId="1B9EC6EC" w14:textId="77777777" w:rsidTr="003D1C64">
        <w:trPr>
          <w:cantSplit/>
          <w:trHeight w:val="227"/>
          <w:jc w:val="center"/>
        </w:trPr>
        <w:tc>
          <w:tcPr>
            <w:tcW w:w="960" w:type="pct"/>
            <w:vMerge/>
            <w:tcBorders>
              <w:bottom w:val="single" w:sz="12" w:space="0" w:color="auto"/>
            </w:tcBorders>
            <w:vAlign w:val="center"/>
          </w:tcPr>
          <w:p w14:paraId="5D884078" w14:textId="77777777" w:rsidR="00D55F31" w:rsidRPr="00C9657D" w:rsidRDefault="00D55F31" w:rsidP="0002290A">
            <w:pPr>
              <w:rPr>
                <w:rFonts w:asciiTheme="minorHAnsi" w:hAnsiTheme="minorHAnsi" w:cs="Calibri"/>
                <w:color w:val="000000"/>
                <w:sz w:val="20"/>
                <w:szCs w:val="20"/>
              </w:rPr>
            </w:pPr>
          </w:p>
        </w:tc>
        <w:tc>
          <w:tcPr>
            <w:tcW w:w="1072" w:type="pct"/>
            <w:tcBorders>
              <w:top w:val="single" w:sz="4" w:space="0" w:color="auto"/>
              <w:bottom w:val="single" w:sz="12" w:space="0" w:color="auto"/>
            </w:tcBorders>
            <w:vAlign w:val="center"/>
          </w:tcPr>
          <w:p w14:paraId="4F1E3008" w14:textId="77777777" w:rsidR="00D55F31" w:rsidRPr="00C9657D" w:rsidRDefault="0024693B" w:rsidP="0002290A">
            <w:pPr>
              <w:ind w:right="64" w:hanging="11"/>
              <w:jc w:val="center"/>
              <w:rPr>
                <w:rFonts w:asciiTheme="minorHAnsi" w:hAnsiTheme="minorHAnsi" w:cs="Calibri"/>
                <w:i/>
                <w:color w:val="000000"/>
                <w:sz w:val="20"/>
                <w:szCs w:val="20"/>
              </w:rPr>
            </w:pPr>
            <w:r w:rsidRPr="00C9657D">
              <w:rPr>
                <w:rFonts w:asciiTheme="minorHAnsi" w:hAnsiTheme="minorHAnsi" w:cs="Calibri"/>
                <w:i/>
                <w:color w:val="000000"/>
                <w:sz w:val="20"/>
                <w:szCs w:val="20"/>
              </w:rPr>
              <w:t>SLL Bludov</w:t>
            </w:r>
          </w:p>
        </w:tc>
        <w:tc>
          <w:tcPr>
            <w:tcW w:w="594" w:type="pct"/>
            <w:tcBorders>
              <w:top w:val="single" w:sz="4" w:space="0" w:color="auto"/>
              <w:bottom w:val="single" w:sz="12" w:space="0" w:color="auto"/>
            </w:tcBorders>
            <w:vAlign w:val="center"/>
          </w:tcPr>
          <w:p w14:paraId="54258716" w14:textId="77777777" w:rsidR="00D55F31" w:rsidRPr="00C9657D" w:rsidRDefault="0024693B" w:rsidP="0002290A">
            <w:pPr>
              <w:jc w:val="right"/>
              <w:rPr>
                <w:rFonts w:asciiTheme="minorHAnsi" w:hAnsiTheme="minorHAnsi" w:cs="Calibri"/>
                <w:color w:val="000000"/>
                <w:sz w:val="20"/>
                <w:szCs w:val="20"/>
                <w:lang w:val="en-US" w:eastAsia="cs-CZ"/>
              </w:rPr>
            </w:pPr>
            <w:r w:rsidRPr="00C9657D">
              <w:rPr>
                <w:rFonts w:asciiTheme="minorHAnsi" w:hAnsiTheme="minorHAnsi" w:cs="Calibri"/>
                <w:color w:val="000000"/>
                <w:sz w:val="20"/>
                <w:szCs w:val="20"/>
                <w:lang w:val="en-US" w:eastAsia="cs-CZ"/>
              </w:rPr>
              <w:t>1 330</w:t>
            </w:r>
          </w:p>
        </w:tc>
        <w:tc>
          <w:tcPr>
            <w:tcW w:w="594" w:type="pct"/>
            <w:tcBorders>
              <w:top w:val="single" w:sz="4" w:space="0" w:color="auto"/>
              <w:bottom w:val="single" w:sz="12" w:space="0" w:color="auto"/>
            </w:tcBorders>
            <w:vAlign w:val="center"/>
          </w:tcPr>
          <w:p w14:paraId="3EBC2B36" w14:textId="72D606C1" w:rsidR="00D55F31" w:rsidRPr="00C9657D" w:rsidRDefault="003559E7" w:rsidP="0002290A">
            <w:pPr>
              <w:jc w:val="right"/>
              <w:rPr>
                <w:rFonts w:asciiTheme="minorHAnsi" w:hAnsiTheme="minorHAnsi" w:cs="Calibri"/>
                <w:color w:val="000000"/>
                <w:sz w:val="20"/>
                <w:szCs w:val="20"/>
                <w:lang w:val="en-US" w:eastAsia="cs-CZ"/>
              </w:rPr>
            </w:pPr>
            <w:r>
              <w:rPr>
                <w:rFonts w:asciiTheme="minorHAnsi" w:hAnsiTheme="minorHAnsi" w:cstheme="minorHAnsi"/>
                <w:sz w:val="20"/>
                <w:szCs w:val="20"/>
              </w:rPr>
              <w:t>−</w:t>
            </w:r>
            <w:r w:rsidR="0024693B" w:rsidRPr="00C9657D">
              <w:rPr>
                <w:rFonts w:asciiTheme="minorHAnsi" w:hAnsiTheme="minorHAnsi" w:cs="Calibri"/>
                <w:color w:val="000000"/>
                <w:sz w:val="20"/>
                <w:szCs w:val="20"/>
                <w:lang w:val="en-US" w:eastAsia="cs-CZ"/>
              </w:rPr>
              <w:t>1 385</w:t>
            </w:r>
          </w:p>
        </w:tc>
        <w:tc>
          <w:tcPr>
            <w:tcW w:w="594" w:type="pct"/>
            <w:tcBorders>
              <w:top w:val="single" w:sz="4" w:space="0" w:color="auto"/>
              <w:bottom w:val="single" w:sz="12" w:space="0" w:color="auto"/>
            </w:tcBorders>
            <w:vAlign w:val="center"/>
          </w:tcPr>
          <w:p w14:paraId="53D296C0" w14:textId="17CDFCF2" w:rsidR="00D55F31" w:rsidRPr="00C9657D" w:rsidRDefault="003559E7" w:rsidP="0002290A">
            <w:pPr>
              <w:jc w:val="right"/>
              <w:rPr>
                <w:rFonts w:asciiTheme="minorHAnsi" w:hAnsiTheme="minorHAnsi" w:cs="Calibri"/>
                <w:color w:val="000000"/>
                <w:sz w:val="20"/>
                <w:szCs w:val="20"/>
                <w:lang w:val="en-US" w:eastAsia="cs-CZ"/>
              </w:rPr>
            </w:pPr>
            <w:r>
              <w:rPr>
                <w:rFonts w:asciiTheme="minorHAnsi" w:hAnsiTheme="minorHAnsi" w:cstheme="minorHAnsi"/>
                <w:sz w:val="20"/>
                <w:szCs w:val="20"/>
              </w:rPr>
              <w:t>−</w:t>
            </w:r>
            <w:r w:rsidR="0024693B" w:rsidRPr="00C9657D">
              <w:rPr>
                <w:rFonts w:asciiTheme="minorHAnsi" w:hAnsiTheme="minorHAnsi" w:cs="Calibri"/>
                <w:color w:val="000000"/>
                <w:sz w:val="20"/>
                <w:szCs w:val="20"/>
                <w:lang w:val="en-US" w:eastAsia="cs-CZ"/>
              </w:rPr>
              <w:t>5 658</w:t>
            </w:r>
          </w:p>
        </w:tc>
        <w:tc>
          <w:tcPr>
            <w:tcW w:w="595" w:type="pct"/>
            <w:tcBorders>
              <w:top w:val="single" w:sz="4" w:space="0" w:color="auto"/>
              <w:bottom w:val="single" w:sz="12" w:space="0" w:color="auto"/>
            </w:tcBorders>
            <w:vAlign w:val="center"/>
          </w:tcPr>
          <w:p w14:paraId="50EE1F50" w14:textId="546D99DE" w:rsidR="00D55F31" w:rsidRPr="00C9657D" w:rsidRDefault="003559E7" w:rsidP="0002290A">
            <w:pPr>
              <w:jc w:val="right"/>
              <w:rPr>
                <w:rFonts w:asciiTheme="minorHAnsi" w:hAnsiTheme="minorHAnsi" w:cs="Calibri"/>
                <w:color w:val="000000"/>
                <w:sz w:val="20"/>
                <w:szCs w:val="20"/>
                <w:lang w:val="en-US" w:eastAsia="cs-CZ"/>
              </w:rPr>
            </w:pPr>
            <w:r>
              <w:rPr>
                <w:rFonts w:asciiTheme="minorHAnsi" w:hAnsiTheme="minorHAnsi" w:cstheme="minorHAnsi"/>
                <w:sz w:val="20"/>
                <w:szCs w:val="20"/>
              </w:rPr>
              <w:t>−</w:t>
            </w:r>
            <w:r w:rsidR="0024693B" w:rsidRPr="00C9657D">
              <w:rPr>
                <w:rFonts w:asciiTheme="minorHAnsi" w:hAnsiTheme="minorHAnsi" w:cs="Calibri"/>
                <w:color w:val="000000"/>
                <w:sz w:val="20"/>
                <w:szCs w:val="20"/>
                <w:lang w:val="en-US" w:eastAsia="cs-CZ"/>
              </w:rPr>
              <w:t>1 300</w:t>
            </w:r>
          </w:p>
        </w:tc>
        <w:tc>
          <w:tcPr>
            <w:tcW w:w="590" w:type="pct"/>
            <w:tcBorders>
              <w:top w:val="single" w:sz="4" w:space="0" w:color="auto"/>
              <w:bottom w:val="single" w:sz="12" w:space="0" w:color="auto"/>
            </w:tcBorders>
            <w:vAlign w:val="center"/>
          </w:tcPr>
          <w:p w14:paraId="5A34188D" w14:textId="77777777" w:rsidR="00D55F31" w:rsidRPr="00C9657D" w:rsidRDefault="0024693B" w:rsidP="0002290A">
            <w:pPr>
              <w:jc w:val="right"/>
              <w:rPr>
                <w:rFonts w:asciiTheme="minorHAnsi" w:hAnsiTheme="minorHAnsi" w:cs="Calibri"/>
                <w:color w:val="000000"/>
                <w:sz w:val="20"/>
                <w:szCs w:val="20"/>
                <w:lang w:val="en-US" w:eastAsia="cs-CZ"/>
              </w:rPr>
            </w:pPr>
            <w:r w:rsidRPr="00C9657D">
              <w:rPr>
                <w:rFonts w:asciiTheme="minorHAnsi" w:hAnsiTheme="minorHAnsi" w:cs="Calibri"/>
                <w:color w:val="000000"/>
                <w:sz w:val="20"/>
                <w:szCs w:val="20"/>
                <w:lang w:val="en-US" w:eastAsia="cs-CZ"/>
              </w:rPr>
              <w:t>2 817</w:t>
            </w:r>
          </w:p>
        </w:tc>
      </w:tr>
      <w:tr w:rsidR="00C425F2" w14:paraId="1CA8C1FD" w14:textId="77777777" w:rsidTr="003D1C64">
        <w:trPr>
          <w:cantSplit/>
          <w:trHeight w:val="227"/>
          <w:jc w:val="center"/>
        </w:trPr>
        <w:tc>
          <w:tcPr>
            <w:tcW w:w="960" w:type="pct"/>
            <w:vMerge w:val="restart"/>
            <w:tcBorders>
              <w:top w:val="single" w:sz="12" w:space="0" w:color="auto"/>
            </w:tcBorders>
            <w:vAlign w:val="center"/>
          </w:tcPr>
          <w:p w14:paraId="3541FC37" w14:textId="77777777" w:rsidR="00D55F31" w:rsidRPr="00C9657D" w:rsidRDefault="0024693B" w:rsidP="0002290A">
            <w:pPr>
              <w:rPr>
                <w:rFonts w:asciiTheme="minorHAnsi" w:hAnsiTheme="minorHAnsi" w:cs="Calibri"/>
                <w:color w:val="000000"/>
                <w:sz w:val="20"/>
                <w:szCs w:val="20"/>
              </w:rPr>
            </w:pPr>
            <w:r w:rsidRPr="00C9657D">
              <w:rPr>
                <w:rFonts w:asciiTheme="minorHAnsi" w:hAnsiTheme="minorHAnsi" w:cs="Calibri"/>
                <w:color w:val="000000"/>
                <w:sz w:val="20"/>
                <w:szCs w:val="20"/>
              </w:rPr>
              <w:t>Daň z příjmů za běžnou činnost</w:t>
            </w:r>
          </w:p>
        </w:tc>
        <w:tc>
          <w:tcPr>
            <w:tcW w:w="1072" w:type="pct"/>
            <w:tcBorders>
              <w:top w:val="single" w:sz="12" w:space="0" w:color="auto"/>
            </w:tcBorders>
            <w:vAlign w:val="center"/>
          </w:tcPr>
          <w:p w14:paraId="3F759176" w14:textId="77777777" w:rsidR="00D55F31" w:rsidRPr="00C9657D" w:rsidRDefault="0024693B" w:rsidP="0002290A">
            <w:pPr>
              <w:ind w:right="64" w:hanging="11"/>
              <w:jc w:val="center"/>
              <w:rPr>
                <w:rFonts w:asciiTheme="minorHAnsi" w:hAnsiTheme="minorHAnsi" w:cs="Calibri"/>
                <w:i/>
                <w:color w:val="000000"/>
                <w:sz w:val="20"/>
                <w:szCs w:val="20"/>
              </w:rPr>
            </w:pPr>
            <w:r w:rsidRPr="00C9657D">
              <w:rPr>
                <w:rFonts w:asciiTheme="minorHAnsi" w:hAnsiTheme="minorHAnsi" w:cs="Calibri"/>
                <w:i/>
                <w:color w:val="000000"/>
                <w:sz w:val="20"/>
                <w:szCs w:val="20"/>
              </w:rPr>
              <w:t>SLL Janské Lázně</w:t>
            </w:r>
          </w:p>
        </w:tc>
        <w:tc>
          <w:tcPr>
            <w:tcW w:w="594" w:type="pct"/>
            <w:tcBorders>
              <w:top w:val="single" w:sz="12" w:space="0" w:color="auto"/>
            </w:tcBorders>
            <w:vAlign w:val="center"/>
          </w:tcPr>
          <w:p w14:paraId="1C5A40A6" w14:textId="0BB4BE35" w:rsidR="00D55F31" w:rsidRPr="00C9657D" w:rsidRDefault="003559E7" w:rsidP="0002290A">
            <w:pPr>
              <w:jc w:val="right"/>
              <w:rPr>
                <w:rFonts w:asciiTheme="minorHAnsi" w:hAnsiTheme="minorHAnsi" w:cs="Calibri"/>
                <w:color w:val="000000"/>
                <w:sz w:val="20"/>
                <w:szCs w:val="20"/>
                <w:lang w:val="en-US" w:eastAsia="cs-CZ"/>
              </w:rPr>
            </w:pPr>
            <w:r>
              <w:rPr>
                <w:rFonts w:asciiTheme="minorHAnsi" w:hAnsiTheme="minorHAnsi" w:cstheme="minorHAnsi"/>
                <w:sz w:val="20"/>
                <w:szCs w:val="20"/>
              </w:rPr>
              <w:t>−</w:t>
            </w:r>
            <w:r w:rsidR="0024693B" w:rsidRPr="00C9657D">
              <w:rPr>
                <w:rFonts w:asciiTheme="minorHAnsi" w:hAnsiTheme="minorHAnsi" w:cs="Calibri"/>
                <w:color w:val="000000"/>
                <w:sz w:val="20"/>
                <w:szCs w:val="20"/>
                <w:lang w:val="en-US" w:eastAsia="cs-CZ"/>
              </w:rPr>
              <w:t>57</w:t>
            </w:r>
          </w:p>
        </w:tc>
        <w:tc>
          <w:tcPr>
            <w:tcW w:w="594" w:type="pct"/>
            <w:tcBorders>
              <w:top w:val="single" w:sz="12" w:space="0" w:color="auto"/>
            </w:tcBorders>
            <w:vAlign w:val="center"/>
          </w:tcPr>
          <w:p w14:paraId="4D6EDF8B" w14:textId="77777777" w:rsidR="00D55F31" w:rsidRPr="00C9657D" w:rsidRDefault="0024693B" w:rsidP="0002290A">
            <w:pPr>
              <w:jc w:val="right"/>
              <w:rPr>
                <w:rFonts w:asciiTheme="minorHAnsi" w:hAnsiTheme="minorHAnsi" w:cs="Calibri"/>
                <w:color w:val="000000"/>
                <w:sz w:val="20"/>
                <w:szCs w:val="20"/>
                <w:lang w:val="en-US" w:eastAsia="cs-CZ"/>
              </w:rPr>
            </w:pPr>
            <w:r w:rsidRPr="00C9657D">
              <w:rPr>
                <w:rFonts w:asciiTheme="minorHAnsi" w:hAnsiTheme="minorHAnsi" w:cs="Calibri"/>
                <w:color w:val="000000"/>
                <w:sz w:val="20"/>
                <w:szCs w:val="20"/>
                <w:lang w:val="en-US" w:eastAsia="cs-CZ"/>
              </w:rPr>
              <w:t>737</w:t>
            </w:r>
          </w:p>
        </w:tc>
        <w:tc>
          <w:tcPr>
            <w:tcW w:w="594" w:type="pct"/>
            <w:tcBorders>
              <w:top w:val="single" w:sz="12" w:space="0" w:color="auto"/>
            </w:tcBorders>
            <w:vAlign w:val="center"/>
          </w:tcPr>
          <w:p w14:paraId="3182BD06" w14:textId="2FF1A197" w:rsidR="00D55F31" w:rsidRPr="00C9657D" w:rsidRDefault="003559E7" w:rsidP="0002290A">
            <w:pPr>
              <w:jc w:val="right"/>
              <w:rPr>
                <w:rFonts w:asciiTheme="minorHAnsi" w:hAnsiTheme="minorHAnsi" w:cs="Calibri"/>
                <w:color w:val="000000"/>
                <w:sz w:val="20"/>
                <w:szCs w:val="20"/>
                <w:lang w:val="en-US" w:eastAsia="cs-CZ"/>
              </w:rPr>
            </w:pPr>
            <w:r>
              <w:rPr>
                <w:rFonts w:asciiTheme="minorHAnsi" w:hAnsiTheme="minorHAnsi" w:cstheme="minorHAnsi"/>
                <w:sz w:val="20"/>
                <w:szCs w:val="20"/>
              </w:rPr>
              <w:t>−</w:t>
            </w:r>
            <w:r w:rsidR="0024693B" w:rsidRPr="00C9657D">
              <w:rPr>
                <w:rFonts w:asciiTheme="minorHAnsi" w:hAnsiTheme="minorHAnsi" w:cs="Calibri"/>
                <w:color w:val="000000"/>
                <w:sz w:val="20"/>
                <w:szCs w:val="20"/>
                <w:lang w:val="en-US" w:eastAsia="cs-CZ"/>
              </w:rPr>
              <w:t>875</w:t>
            </w:r>
          </w:p>
        </w:tc>
        <w:tc>
          <w:tcPr>
            <w:tcW w:w="595" w:type="pct"/>
            <w:tcBorders>
              <w:top w:val="single" w:sz="12" w:space="0" w:color="auto"/>
            </w:tcBorders>
            <w:vAlign w:val="center"/>
          </w:tcPr>
          <w:p w14:paraId="7F9A6DBC" w14:textId="77777777" w:rsidR="00D55F31" w:rsidRPr="00C9657D" w:rsidRDefault="0024693B" w:rsidP="0002290A">
            <w:pPr>
              <w:jc w:val="right"/>
              <w:rPr>
                <w:rFonts w:asciiTheme="minorHAnsi" w:hAnsiTheme="minorHAnsi" w:cs="Calibri"/>
                <w:color w:val="000000"/>
                <w:sz w:val="20"/>
                <w:szCs w:val="20"/>
                <w:lang w:val="en-US" w:eastAsia="cs-CZ"/>
              </w:rPr>
            </w:pPr>
            <w:r w:rsidRPr="00C9657D">
              <w:rPr>
                <w:rFonts w:asciiTheme="minorHAnsi" w:hAnsiTheme="minorHAnsi" w:cs="Calibri"/>
                <w:color w:val="000000"/>
                <w:sz w:val="20"/>
                <w:szCs w:val="20"/>
                <w:lang w:val="en-US" w:eastAsia="cs-CZ"/>
              </w:rPr>
              <w:t>0</w:t>
            </w:r>
          </w:p>
        </w:tc>
        <w:tc>
          <w:tcPr>
            <w:tcW w:w="590" w:type="pct"/>
            <w:tcBorders>
              <w:top w:val="single" w:sz="12" w:space="0" w:color="auto"/>
            </w:tcBorders>
            <w:vAlign w:val="center"/>
          </w:tcPr>
          <w:p w14:paraId="6270CE57" w14:textId="77777777" w:rsidR="00D55F31" w:rsidRPr="00C9657D" w:rsidRDefault="0024693B" w:rsidP="0002290A">
            <w:pPr>
              <w:jc w:val="right"/>
              <w:rPr>
                <w:rFonts w:asciiTheme="minorHAnsi" w:hAnsiTheme="minorHAnsi" w:cs="Calibri"/>
                <w:color w:val="000000"/>
                <w:sz w:val="20"/>
                <w:szCs w:val="20"/>
                <w:lang w:val="en-US" w:eastAsia="cs-CZ"/>
              </w:rPr>
            </w:pPr>
            <w:r w:rsidRPr="00C9657D">
              <w:rPr>
                <w:rFonts w:asciiTheme="minorHAnsi" w:hAnsiTheme="minorHAnsi" w:cs="Calibri"/>
                <w:color w:val="000000"/>
                <w:sz w:val="20"/>
                <w:szCs w:val="20"/>
                <w:lang w:val="en-US" w:eastAsia="cs-CZ"/>
              </w:rPr>
              <w:t>0</w:t>
            </w:r>
          </w:p>
        </w:tc>
      </w:tr>
      <w:tr w:rsidR="00C425F2" w14:paraId="709FEA12" w14:textId="77777777" w:rsidTr="003D1C64">
        <w:trPr>
          <w:cantSplit/>
          <w:trHeight w:val="227"/>
          <w:jc w:val="center"/>
        </w:trPr>
        <w:tc>
          <w:tcPr>
            <w:tcW w:w="960" w:type="pct"/>
            <w:vMerge/>
            <w:vAlign w:val="center"/>
          </w:tcPr>
          <w:p w14:paraId="1126CD59" w14:textId="77777777" w:rsidR="00D55F31" w:rsidRPr="00C9657D" w:rsidRDefault="00D55F31" w:rsidP="0002290A">
            <w:pPr>
              <w:rPr>
                <w:rFonts w:asciiTheme="minorHAnsi" w:hAnsiTheme="minorHAnsi" w:cs="Calibri"/>
                <w:color w:val="000000"/>
                <w:sz w:val="20"/>
                <w:szCs w:val="20"/>
              </w:rPr>
            </w:pPr>
          </w:p>
        </w:tc>
        <w:tc>
          <w:tcPr>
            <w:tcW w:w="1072" w:type="pct"/>
            <w:tcBorders>
              <w:bottom w:val="single" w:sz="4" w:space="0" w:color="auto"/>
            </w:tcBorders>
            <w:vAlign w:val="center"/>
          </w:tcPr>
          <w:p w14:paraId="18A078EC" w14:textId="77777777" w:rsidR="00D55F31" w:rsidRPr="00C9657D" w:rsidRDefault="0024693B" w:rsidP="0002290A">
            <w:pPr>
              <w:ind w:right="64" w:hanging="11"/>
              <w:jc w:val="center"/>
              <w:rPr>
                <w:rFonts w:asciiTheme="minorHAnsi" w:hAnsiTheme="minorHAnsi" w:cs="Calibri"/>
                <w:i/>
                <w:color w:val="000000"/>
                <w:sz w:val="20"/>
                <w:szCs w:val="20"/>
              </w:rPr>
            </w:pPr>
            <w:r w:rsidRPr="00C9657D">
              <w:rPr>
                <w:rFonts w:asciiTheme="minorHAnsi" w:hAnsiTheme="minorHAnsi" w:cs="Calibri"/>
                <w:i/>
                <w:color w:val="000000"/>
                <w:sz w:val="20"/>
                <w:szCs w:val="20"/>
              </w:rPr>
              <w:t>HL Karlova Studánka</w:t>
            </w:r>
          </w:p>
        </w:tc>
        <w:tc>
          <w:tcPr>
            <w:tcW w:w="594" w:type="pct"/>
            <w:tcBorders>
              <w:bottom w:val="single" w:sz="4" w:space="0" w:color="auto"/>
            </w:tcBorders>
            <w:vAlign w:val="center"/>
          </w:tcPr>
          <w:p w14:paraId="5F4BA1F1" w14:textId="77777777" w:rsidR="00D55F31" w:rsidRPr="00C9657D" w:rsidRDefault="0024693B" w:rsidP="0002290A">
            <w:pPr>
              <w:jc w:val="right"/>
              <w:rPr>
                <w:rFonts w:asciiTheme="minorHAnsi" w:hAnsiTheme="minorHAnsi"/>
                <w:color w:val="000000"/>
                <w:sz w:val="20"/>
                <w:szCs w:val="20"/>
                <w:lang w:eastAsia="cs-CZ"/>
              </w:rPr>
            </w:pPr>
            <w:r w:rsidRPr="00C9657D">
              <w:rPr>
                <w:rFonts w:asciiTheme="minorHAnsi" w:hAnsiTheme="minorHAnsi"/>
                <w:color w:val="000000"/>
                <w:sz w:val="20"/>
                <w:szCs w:val="20"/>
                <w:lang w:eastAsia="cs-CZ"/>
              </w:rPr>
              <w:t>673</w:t>
            </w:r>
          </w:p>
        </w:tc>
        <w:tc>
          <w:tcPr>
            <w:tcW w:w="594" w:type="pct"/>
            <w:tcBorders>
              <w:bottom w:val="single" w:sz="4" w:space="0" w:color="auto"/>
            </w:tcBorders>
            <w:vAlign w:val="center"/>
          </w:tcPr>
          <w:p w14:paraId="73907AD5" w14:textId="77777777" w:rsidR="00D55F31" w:rsidRPr="00C9657D" w:rsidRDefault="0024693B" w:rsidP="0002290A">
            <w:pPr>
              <w:jc w:val="right"/>
              <w:rPr>
                <w:rFonts w:asciiTheme="minorHAnsi" w:hAnsiTheme="minorHAnsi"/>
                <w:color w:val="000000"/>
                <w:sz w:val="20"/>
                <w:szCs w:val="20"/>
                <w:lang w:eastAsia="cs-CZ"/>
              </w:rPr>
            </w:pPr>
            <w:r w:rsidRPr="00C9657D">
              <w:rPr>
                <w:rFonts w:asciiTheme="minorHAnsi" w:hAnsiTheme="minorHAnsi"/>
                <w:color w:val="000000"/>
                <w:sz w:val="20"/>
                <w:szCs w:val="20"/>
                <w:lang w:eastAsia="cs-CZ"/>
              </w:rPr>
              <w:t>549</w:t>
            </w:r>
          </w:p>
        </w:tc>
        <w:tc>
          <w:tcPr>
            <w:tcW w:w="594" w:type="pct"/>
            <w:tcBorders>
              <w:bottom w:val="single" w:sz="4" w:space="0" w:color="auto"/>
            </w:tcBorders>
            <w:vAlign w:val="center"/>
          </w:tcPr>
          <w:p w14:paraId="08C526E2" w14:textId="77777777" w:rsidR="00D55F31" w:rsidRPr="00C9657D" w:rsidRDefault="0024693B" w:rsidP="0002290A">
            <w:pPr>
              <w:jc w:val="right"/>
              <w:rPr>
                <w:rFonts w:asciiTheme="minorHAnsi" w:hAnsiTheme="minorHAnsi"/>
                <w:color w:val="000000"/>
                <w:sz w:val="20"/>
                <w:szCs w:val="20"/>
                <w:lang w:eastAsia="cs-CZ"/>
              </w:rPr>
            </w:pPr>
            <w:r w:rsidRPr="00C9657D">
              <w:rPr>
                <w:rFonts w:asciiTheme="minorHAnsi" w:hAnsiTheme="minorHAnsi"/>
                <w:color w:val="000000"/>
                <w:sz w:val="20"/>
                <w:szCs w:val="20"/>
                <w:lang w:eastAsia="cs-CZ"/>
              </w:rPr>
              <w:t>0</w:t>
            </w:r>
          </w:p>
        </w:tc>
        <w:tc>
          <w:tcPr>
            <w:tcW w:w="595" w:type="pct"/>
            <w:tcBorders>
              <w:bottom w:val="single" w:sz="4" w:space="0" w:color="auto"/>
            </w:tcBorders>
            <w:vAlign w:val="center"/>
          </w:tcPr>
          <w:p w14:paraId="0E7155FD" w14:textId="77777777" w:rsidR="00D55F31" w:rsidRPr="00C9657D" w:rsidRDefault="0024693B" w:rsidP="0002290A">
            <w:pPr>
              <w:jc w:val="right"/>
              <w:rPr>
                <w:rFonts w:asciiTheme="minorHAnsi" w:hAnsiTheme="minorHAnsi"/>
                <w:color w:val="000000"/>
                <w:sz w:val="20"/>
                <w:szCs w:val="20"/>
                <w:lang w:eastAsia="cs-CZ"/>
              </w:rPr>
            </w:pPr>
            <w:r w:rsidRPr="00C9657D">
              <w:rPr>
                <w:rFonts w:asciiTheme="minorHAnsi" w:hAnsiTheme="minorHAnsi"/>
                <w:color w:val="000000"/>
                <w:sz w:val="20"/>
                <w:szCs w:val="20"/>
                <w:lang w:eastAsia="cs-CZ"/>
              </w:rPr>
              <w:t>1 331</w:t>
            </w:r>
          </w:p>
        </w:tc>
        <w:tc>
          <w:tcPr>
            <w:tcW w:w="590" w:type="pct"/>
            <w:tcBorders>
              <w:bottom w:val="single" w:sz="4" w:space="0" w:color="auto"/>
            </w:tcBorders>
            <w:vAlign w:val="center"/>
          </w:tcPr>
          <w:p w14:paraId="2CFC92FE" w14:textId="77777777" w:rsidR="00D55F31" w:rsidRPr="00C9657D" w:rsidRDefault="0024693B" w:rsidP="0002290A">
            <w:pPr>
              <w:jc w:val="right"/>
              <w:rPr>
                <w:rFonts w:asciiTheme="minorHAnsi" w:hAnsiTheme="minorHAnsi"/>
                <w:color w:val="000000"/>
                <w:sz w:val="20"/>
                <w:szCs w:val="20"/>
                <w:lang w:eastAsia="cs-CZ"/>
              </w:rPr>
            </w:pPr>
            <w:r w:rsidRPr="00C9657D">
              <w:rPr>
                <w:rFonts w:asciiTheme="minorHAnsi" w:hAnsiTheme="minorHAnsi"/>
                <w:color w:val="000000"/>
                <w:sz w:val="20"/>
                <w:szCs w:val="20"/>
                <w:lang w:eastAsia="cs-CZ"/>
              </w:rPr>
              <w:t>2 486</w:t>
            </w:r>
          </w:p>
        </w:tc>
      </w:tr>
      <w:tr w:rsidR="00C425F2" w14:paraId="5913599F" w14:textId="77777777" w:rsidTr="003D1C64">
        <w:trPr>
          <w:cantSplit/>
          <w:trHeight w:val="227"/>
          <w:jc w:val="center"/>
        </w:trPr>
        <w:tc>
          <w:tcPr>
            <w:tcW w:w="960" w:type="pct"/>
            <w:vMerge/>
            <w:vAlign w:val="center"/>
          </w:tcPr>
          <w:p w14:paraId="41E39F89" w14:textId="77777777" w:rsidR="00D55F31" w:rsidRPr="00C9657D" w:rsidRDefault="00D55F31" w:rsidP="0002290A">
            <w:pPr>
              <w:rPr>
                <w:rFonts w:asciiTheme="minorHAnsi" w:hAnsiTheme="minorHAnsi" w:cs="Calibri"/>
                <w:color w:val="000000"/>
                <w:sz w:val="20"/>
                <w:szCs w:val="20"/>
              </w:rPr>
            </w:pPr>
          </w:p>
        </w:tc>
        <w:tc>
          <w:tcPr>
            <w:tcW w:w="1072" w:type="pct"/>
            <w:tcBorders>
              <w:bottom w:val="single" w:sz="4" w:space="0" w:color="auto"/>
            </w:tcBorders>
            <w:vAlign w:val="center"/>
          </w:tcPr>
          <w:p w14:paraId="546C334B" w14:textId="77777777" w:rsidR="00D55F31" w:rsidRPr="00C9657D" w:rsidRDefault="0024693B" w:rsidP="0002290A">
            <w:pPr>
              <w:ind w:right="64" w:hanging="11"/>
              <w:jc w:val="center"/>
              <w:rPr>
                <w:rFonts w:asciiTheme="minorHAnsi" w:hAnsiTheme="minorHAnsi" w:cs="Calibri"/>
                <w:i/>
                <w:color w:val="000000"/>
                <w:sz w:val="20"/>
                <w:szCs w:val="20"/>
              </w:rPr>
            </w:pPr>
            <w:r w:rsidRPr="00C9657D">
              <w:rPr>
                <w:rFonts w:asciiTheme="minorHAnsi" w:hAnsiTheme="minorHAnsi" w:cs="Calibri"/>
                <w:i/>
                <w:color w:val="000000"/>
                <w:sz w:val="20"/>
                <w:szCs w:val="20"/>
              </w:rPr>
              <w:t>SLL Bludov</w:t>
            </w:r>
          </w:p>
        </w:tc>
        <w:tc>
          <w:tcPr>
            <w:tcW w:w="594" w:type="pct"/>
            <w:tcBorders>
              <w:bottom w:val="single" w:sz="4" w:space="0" w:color="auto"/>
            </w:tcBorders>
            <w:vAlign w:val="center"/>
          </w:tcPr>
          <w:p w14:paraId="55F8ACFF" w14:textId="77777777" w:rsidR="00D55F31" w:rsidRPr="00C9657D" w:rsidRDefault="0024693B" w:rsidP="0002290A">
            <w:pPr>
              <w:jc w:val="right"/>
              <w:rPr>
                <w:rFonts w:asciiTheme="minorHAnsi" w:hAnsiTheme="minorHAnsi" w:cs="Calibri"/>
                <w:color w:val="000000"/>
                <w:sz w:val="20"/>
                <w:szCs w:val="20"/>
                <w:lang w:val="en-US" w:eastAsia="cs-CZ"/>
              </w:rPr>
            </w:pPr>
            <w:r w:rsidRPr="00C9657D">
              <w:rPr>
                <w:rFonts w:asciiTheme="minorHAnsi" w:hAnsiTheme="minorHAnsi" w:cs="Calibri"/>
                <w:color w:val="000000"/>
                <w:sz w:val="20"/>
                <w:szCs w:val="20"/>
                <w:lang w:val="en-US" w:eastAsia="cs-CZ"/>
              </w:rPr>
              <w:t>254</w:t>
            </w:r>
          </w:p>
        </w:tc>
        <w:tc>
          <w:tcPr>
            <w:tcW w:w="594" w:type="pct"/>
            <w:tcBorders>
              <w:bottom w:val="single" w:sz="4" w:space="0" w:color="auto"/>
            </w:tcBorders>
            <w:vAlign w:val="center"/>
          </w:tcPr>
          <w:p w14:paraId="401189EE" w14:textId="77777777" w:rsidR="00D55F31" w:rsidRPr="00C9657D" w:rsidRDefault="0024693B" w:rsidP="0002290A">
            <w:pPr>
              <w:jc w:val="right"/>
              <w:rPr>
                <w:rFonts w:asciiTheme="minorHAnsi" w:hAnsiTheme="minorHAnsi" w:cs="Calibri"/>
                <w:color w:val="000000"/>
                <w:sz w:val="20"/>
                <w:szCs w:val="20"/>
                <w:lang w:val="en-US" w:eastAsia="cs-CZ"/>
              </w:rPr>
            </w:pPr>
            <w:r w:rsidRPr="00C9657D">
              <w:rPr>
                <w:rFonts w:asciiTheme="minorHAnsi" w:hAnsiTheme="minorHAnsi" w:cs="Calibri"/>
                <w:color w:val="000000"/>
                <w:sz w:val="20"/>
                <w:szCs w:val="20"/>
                <w:lang w:val="en-US" w:eastAsia="cs-CZ"/>
              </w:rPr>
              <w:t>0</w:t>
            </w:r>
          </w:p>
        </w:tc>
        <w:tc>
          <w:tcPr>
            <w:tcW w:w="594" w:type="pct"/>
            <w:tcBorders>
              <w:bottom w:val="single" w:sz="4" w:space="0" w:color="auto"/>
            </w:tcBorders>
            <w:vAlign w:val="center"/>
          </w:tcPr>
          <w:p w14:paraId="7BE53A63" w14:textId="77777777" w:rsidR="00D55F31" w:rsidRPr="00C9657D" w:rsidRDefault="0024693B" w:rsidP="0002290A">
            <w:pPr>
              <w:jc w:val="right"/>
              <w:rPr>
                <w:rFonts w:asciiTheme="minorHAnsi" w:hAnsiTheme="minorHAnsi" w:cs="Calibri"/>
                <w:color w:val="000000"/>
                <w:sz w:val="20"/>
                <w:szCs w:val="20"/>
                <w:lang w:val="en-US" w:eastAsia="cs-CZ"/>
              </w:rPr>
            </w:pPr>
            <w:r w:rsidRPr="00C9657D">
              <w:rPr>
                <w:rFonts w:asciiTheme="minorHAnsi" w:hAnsiTheme="minorHAnsi" w:cs="Calibri"/>
                <w:color w:val="000000"/>
                <w:sz w:val="20"/>
                <w:szCs w:val="20"/>
                <w:lang w:val="en-US" w:eastAsia="cs-CZ"/>
              </w:rPr>
              <w:t>0</w:t>
            </w:r>
          </w:p>
        </w:tc>
        <w:tc>
          <w:tcPr>
            <w:tcW w:w="595" w:type="pct"/>
            <w:tcBorders>
              <w:bottom w:val="single" w:sz="4" w:space="0" w:color="auto"/>
            </w:tcBorders>
            <w:vAlign w:val="center"/>
          </w:tcPr>
          <w:p w14:paraId="23FDDA62" w14:textId="77777777" w:rsidR="00D55F31" w:rsidRPr="00C9657D" w:rsidRDefault="0024693B" w:rsidP="0002290A">
            <w:pPr>
              <w:jc w:val="right"/>
              <w:rPr>
                <w:rFonts w:asciiTheme="minorHAnsi" w:hAnsiTheme="minorHAnsi" w:cs="Calibri"/>
                <w:color w:val="000000"/>
                <w:sz w:val="20"/>
                <w:szCs w:val="20"/>
                <w:lang w:val="en-US" w:eastAsia="cs-CZ"/>
              </w:rPr>
            </w:pPr>
            <w:r w:rsidRPr="00C9657D">
              <w:rPr>
                <w:rFonts w:asciiTheme="minorHAnsi" w:hAnsiTheme="minorHAnsi" w:cs="Calibri"/>
                <w:color w:val="000000"/>
                <w:sz w:val="20"/>
                <w:szCs w:val="20"/>
                <w:lang w:val="en-US" w:eastAsia="cs-CZ"/>
              </w:rPr>
              <w:t>0</w:t>
            </w:r>
          </w:p>
        </w:tc>
        <w:tc>
          <w:tcPr>
            <w:tcW w:w="590" w:type="pct"/>
            <w:tcBorders>
              <w:bottom w:val="single" w:sz="4" w:space="0" w:color="auto"/>
            </w:tcBorders>
            <w:vAlign w:val="center"/>
          </w:tcPr>
          <w:p w14:paraId="5CAFA32A" w14:textId="77777777" w:rsidR="00D55F31" w:rsidRPr="00C9657D" w:rsidRDefault="0024693B" w:rsidP="0002290A">
            <w:pPr>
              <w:jc w:val="right"/>
              <w:rPr>
                <w:rFonts w:asciiTheme="minorHAnsi" w:hAnsiTheme="minorHAnsi" w:cs="Calibri"/>
                <w:color w:val="000000"/>
                <w:sz w:val="20"/>
                <w:szCs w:val="20"/>
                <w:lang w:val="en-US" w:eastAsia="cs-CZ"/>
              </w:rPr>
            </w:pPr>
            <w:r w:rsidRPr="00C9657D">
              <w:rPr>
                <w:rFonts w:asciiTheme="minorHAnsi" w:hAnsiTheme="minorHAnsi" w:cs="Calibri"/>
                <w:color w:val="000000"/>
                <w:sz w:val="20"/>
                <w:szCs w:val="20"/>
                <w:lang w:val="en-US" w:eastAsia="cs-CZ"/>
              </w:rPr>
              <w:t>0</w:t>
            </w:r>
          </w:p>
        </w:tc>
      </w:tr>
      <w:tr w:rsidR="00C425F2" w14:paraId="30A428D2" w14:textId="77777777" w:rsidTr="003D1C64">
        <w:trPr>
          <w:cantSplit/>
          <w:trHeight w:val="227"/>
          <w:jc w:val="center"/>
        </w:trPr>
        <w:tc>
          <w:tcPr>
            <w:tcW w:w="960" w:type="pct"/>
            <w:vMerge w:val="restart"/>
            <w:tcBorders>
              <w:top w:val="single" w:sz="12" w:space="0" w:color="auto"/>
              <w:left w:val="single" w:sz="12" w:space="0" w:color="auto"/>
            </w:tcBorders>
            <w:vAlign w:val="center"/>
          </w:tcPr>
          <w:p w14:paraId="56622105" w14:textId="77777777" w:rsidR="00D55F31" w:rsidRPr="00C9657D" w:rsidRDefault="0024693B" w:rsidP="0002290A">
            <w:pPr>
              <w:rPr>
                <w:rFonts w:asciiTheme="minorHAnsi" w:hAnsiTheme="minorHAnsi" w:cs="Calibri"/>
                <w:b/>
                <w:color w:val="000000"/>
                <w:sz w:val="20"/>
                <w:szCs w:val="20"/>
              </w:rPr>
            </w:pPr>
            <w:r w:rsidRPr="00C9657D">
              <w:rPr>
                <w:rFonts w:asciiTheme="minorHAnsi" w:hAnsiTheme="minorHAnsi" w:cs="Calibri"/>
                <w:b/>
                <w:color w:val="000000"/>
                <w:sz w:val="20"/>
                <w:szCs w:val="20"/>
              </w:rPr>
              <w:t>Výsledek hospodaření za účetní období</w:t>
            </w:r>
          </w:p>
        </w:tc>
        <w:tc>
          <w:tcPr>
            <w:tcW w:w="1072" w:type="pct"/>
            <w:tcBorders>
              <w:top w:val="single" w:sz="12" w:space="0" w:color="auto"/>
            </w:tcBorders>
            <w:vAlign w:val="center"/>
          </w:tcPr>
          <w:p w14:paraId="0D99AB1D" w14:textId="77777777" w:rsidR="00D55F31" w:rsidRPr="00C9657D" w:rsidRDefault="0024693B" w:rsidP="0002290A">
            <w:pPr>
              <w:ind w:right="64" w:hanging="11"/>
              <w:jc w:val="center"/>
              <w:rPr>
                <w:rFonts w:asciiTheme="minorHAnsi" w:hAnsiTheme="minorHAnsi" w:cs="Calibri"/>
                <w:b/>
                <w:i/>
                <w:color w:val="000000"/>
                <w:sz w:val="20"/>
                <w:szCs w:val="20"/>
              </w:rPr>
            </w:pPr>
            <w:r w:rsidRPr="00C9657D">
              <w:rPr>
                <w:rFonts w:asciiTheme="minorHAnsi" w:hAnsiTheme="minorHAnsi" w:cs="Calibri"/>
                <w:b/>
                <w:i/>
                <w:color w:val="000000"/>
                <w:sz w:val="20"/>
                <w:szCs w:val="20"/>
              </w:rPr>
              <w:t>SLL Janské Lázně</w:t>
            </w:r>
          </w:p>
        </w:tc>
        <w:tc>
          <w:tcPr>
            <w:tcW w:w="594" w:type="pct"/>
            <w:tcBorders>
              <w:top w:val="single" w:sz="12" w:space="0" w:color="auto"/>
            </w:tcBorders>
            <w:vAlign w:val="center"/>
          </w:tcPr>
          <w:p w14:paraId="5B463965" w14:textId="77777777" w:rsidR="00D55F31" w:rsidRPr="00C9657D" w:rsidRDefault="0024693B" w:rsidP="0002290A">
            <w:pPr>
              <w:jc w:val="right"/>
              <w:rPr>
                <w:rFonts w:asciiTheme="minorHAnsi" w:hAnsiTheme="minorHAnsi" w:cs="Calibri"/>
                <w:b/>
                <w:bCs/>
                <w:color w:val="000000"/>
                <w:sz w:val="20"/>
                <w:szCs w:val="20"/>
                <w:lang w:val="en-US" w:eastAsia="cs-CZ"/>
              </w:rPr>
            </w:pPr>
            <w:r w:rsidRPr="00C9657D">
              <w:rPr>
                <w:rFonts w:asciiTheme="minorHAnsi" w:hAnsiTheme="minorHAnsi" w:cs="Calibri"/>
                <w:b/>
                <w:bCs/>
                <w:color w:val="000000"/>
                <w:sz w:val="20"/>
                <w:szCs w:val="20"/>
                <w:lang w:val="en-US" w:eastAsia="cs-CZ"/>
              </w:rPr>
              <w:t>1 406</w:t>
            </w:r>
          </w:p>
        </w:tc>
        <w:tc>
          <w:tcPr>
            <w:tcW w:w="594" w:type="pct"/>
            <w:tcBorders>
              <w:top w:val="single" w:sz="12" w:space="0" w:color="auto"/>
            </w:tcBorders>
            <w:vAlign w:val="center"/>
          </w:tcPr>
          <w:p w14:paraId="3014CAEF" w14:textId="63D0E962" w:rsidR="00D55F31" w:rsidRPr="00C9657D" w:rsidRDefault="003559E7" w:rsidP="0002290A">
            <w:pPr>
              <w:jc w:val="right"/>
              <w:rPr>
                <w:rFonts w:asciiTheme="minorHAnsi" w:hAnsiTheme="minorHAnsi" w:cs="Calibri"/>
                <w:b/>
                <w:bCs/>
                <w:color w:val="000000"/>
                <w:sz w:val="20"/>
                <w:szCs w:val="20"/>
                <w:lang w:val="en-US" w:eastAsia="cs-CZ"/>
              </w:rPr>
            </w:pPr>
            <w:r>
              <w:rPr>
                <w:rFonts w:asciiTheme="minorHAnsi" w:hAnsiTheme="minorHAnsi" w:cstheme="minorHAnsi"/>
                <w:sz w:val="20"/>
                <w:szCs w:val="20"/>
              </w:rPr>
              <w:t>−</w:t>
            </w:r>
            <w:r w:rsidR="0024693B" w:rsidRPr="00C9657D">
              <w:rPr>
                <w:rFonts w:asciiTheme="minorHAnsi" w:hAnsiTheme="minorHAnsi" w:cs="Calibri"/>
                <w:b/>
                <w:bCs/>
                <w:color w:val="000000"/>
                <w:sz w:val="20"/>
                <w:szCs w:val="20"/>
                <w:lang w:val="en-US" w:eastAsia="cs-CZ"/>
              </w:rPr>
              <w:t>32 014</w:t>
            </w:r>
          </w:p>
        </w:tc>
        <w:tc>
          <w:tcPr>
            <w:tcW w:w="594" w:type="pct"/>
            <w:tcBorders>
              <w:top w:val="single" w:sz="12" w:space="0" w:color="auto"/>
            </w:tcBorders>
            <w:vAlign w:val="center"/>
          </w:tcPr>
          <w:p w14:paraId="28B9F43D" w14:textId="60963209" w:rsidR="00D55F31" w:rsidRPr="00C9657D" w:rsidRDefault="003559E7" w:rsidP="0002290A">
            <w:pPr>
              <w:jc w:val="right"/>
              <w:rPr>
                <w:rFonts w:asciiTheme="minorHAnsi" w:hAnsiTheme="minorHAnsi" w:cs="Calibri"/>
                <w:b/>
                <w:bCs/>
                <w:color w:val="000000"/>
                <w:sz w:val="20"/>
                <w:szCs w:val="20"/>
                <w:lang w:val="en-US" w:eastAsia="cs-CZ"/>
              </w:rPr>
            </w:pPr>
            <w:r>
              <w:rPr>
                <w:rFonts w:asciiTheme="minorHAnsi" w:hAnsiTheme="minorHAnsi" w:cstheme="minorHAnsi"/>
                <w:sz w:val="20"/>
                <w:szCs w:val="20"/>
              </w:rPr>
              <w:t>−</w:t>
            </w:r>
            <w:r w:rsidR="0024693B" w:rsidRPr="00C9657D">
              <w:rPr>
                <w:rFonts w:asciiTheme="minorHAnsi" w:hAnsiTheme="minorHAnsi" w:cs="Calibri"/>
                <w:b/>
                <w:bCs/>
                <w:color w:val="000000"/>
                <w:sz w:val="20"/>
                <w:szCs w:val="20"/>
                <w:lang w:val="en-US" w:eastAsia="cs-CZ"/>
              </w:rPr>
              <w:t>49 561</w:t>
            </w:r>
          </w:p>
        </w:tc>
        <w:tc>
          <w:tcPr>
            <w:tcW w:w="595" w:type="pct"/>
            <w:tcBorders>
              <w:top w:val="single" w:sz="12" w:space="0" w:color="auto"/>
            </w:tcBorders>
            <w:vAlign w:val="center"/>
          </w:tcPr>
          <w:p w14:paraId="00DB9198" w14:textId="7D0A7083" w:rsidR="00D55F31" w:rsidRPr="00C9657D" w:rsidRDefault="003559E7" w:rsidP="0002290A">
            <w:pPr>
              <w:jc w:val="right"/>
              <w:rPr>
                <w:rFonts w:asciiTheme="minorHAnsi" w:hAnsiTheme="minorHAnsi" w:cs="Calibri"/>
                <w:b/>
                <w:bCs/>
                <w:color w:val="000000"/>
                <w:sz w:val="20"/>
                <w:szCs w:val="20"/>
                <w:lang w:val="en-US" w:eastAsia="cs-CZ"/>
              </w:rPr>
            </w:pPr>
            <w:r>
              <w:rPr>
                <w:rFonts w:asciiTheme="minorHAnsi" w:hAnsiTheme="minorHAnsi" w:cstheme="minorHAnsi"/>
                <w:sz w:val="20"/>
                <w:szCs w:val="20"/>
              </w:rPr>
              <w:t>−</w:t>
            </w:r>
            <w:r w:rsidR="0024693B" w:rsidRPr="00C9657D">
              <w:rPr>
                <w:rFonts w:asciiTheme="minorHAnsi" w:hAnsiTheme="minorHAnsi" w:cs="Calibri"/>
                <w:b/>
                <w:bCs/>
                <w:color w:val="000000"/>
                <w:sz w:val="20"/>
                <w:szCs w:val="20"/>
                <w:lang w:val="en-US" w:eastAsia="cs-CZ"/>
              </w:rPr>
              <w:t>4 407</w:t>
            </w:r>
          </w:p>
        </w:tc>
        <w:tc>
          <w:tcPr>
            <w:tcW w:w="590" w:type="pct"/>
            <w:tcBorders>
              <w:top w:val="single" w:sz="12" w:space="0" w:color="auto"/>
            </w:tcBorders>
            <w:vAlign w:val="center"/>
          </w:tcPr>
          <w:p w14:paraId="026D2800" w14:textId="77777777" w:rsidR="00D55F31" w:rsidRPr="00C9657D" w:rsidRDefault="0024693B" w:rsidP="0002290A">
            <w:pPr>
              <w:jc w:val="right"/>
              <w:rPr>
                <w:rFonts w:asciiTheme="minorHAnsi" w:hAnsiTheme="minorHAnsi" w:cs="Calibri"/>
                <w:b/>
                <w:bCs/>
                <w:color w:val="000000"/>
                <w:sz w:val="20"/>
                <w:szCs w:val="20"/>
                <w:lang w:val="en-US" w:eastAsia="cs-CZ"/>
              </w:rPr>
            </w:pPr>
            <w:r w:rsidRPr="00C9657D">
              <w:rPr>
                <w:rFonts w:asciiTheme="minorHAnsi" w:hAnsiTheme="minorHAnsi" w:cs="Calibri"/>
                <w:b/>
                <w:bCs/>
                <w:color w:val="000000"/>
                <w:sz w:val="20"/>
                <w:szCs w:val="20"/>
                <w:lang w:val="en-US" w:eastAsia="cs-CZ"/>
              </w:rPr>
              <w:t>5 334</w:t>
            </w:r>
          </w:p>
        </w:tc>
      </w:tr>
      <w:tr w:rsidR="00C425F2" w14:paraId="7D44F895" w14:textId="77777777" w:rsidTr="003D1C64">
        <w:trPr>
          <w:cantSplit/>
          <w:trHeight w:val="227"/>
          <w:jc w:val="center"/>
        </w:trPr>
        <w:tc>
          <w:tcPr>
            <w:tcW w:w="960" w:type="pct"/>
            <w:vMerge/>
            <w:tcBorders>
              <w:left w:val="single" w:sz="12" w:space="0" w:color="auto"/>
            </w:tcBorders>
            <w:vAlign w:val="center"/>
          </w:tcPr>
          <w:p w14:paraId="24BED4B2" w14:textId="77777777" w:rsidR="00D55F31" w:rsidRPr="00C9657D" w:rsidRDefault="00D55F31" w:rsidP="0002290A">
            <w:pPr>
              <w:rPr>
                <w:rFonts w:asciiTheme="minorHAnsi" w:hAnsiTheme="minorHAnsi" w:cs="Calibri"/>
                <w:color w:val="000000"/>
                <w:sz w:val="20"/>
                <w:szCs w:val="20"/>
              </w:rPr>
            </w:pPr>
          </w:p>
        </w:tc>
        <w:tc>
          <w:tcPr>
            <w:tcW w:w="1072" w:type="pct"/>
            <w:vAlign w:val="center"/>
          </w:tcPr>
          <w:p w14:paraId="47F27808" w14:textId="77777777" w:rsidR="00D55F31" w:rsidRPr="00C9657D" w:rsidRDefault="0024693B" w:rsidP="0002290A">
            <w:pPr>
              <w:ind w:right="64" w:hanging="11"/>
              <w:jc w:val="center"/>
              <w:rPr>
                <w:rFonts w:asciiTheme="minorHAnsi" w:hAnsiTheme="minorHAnsi" w:cs="Calibri"/>
                <w:b/>
                <w:i/>
                <w:color w:val="000000"/>
                <w:sz w:val="20"/>
                <w:szCs w:val="20"/>
              </w:rPr>
            </w:pPr>
            <w:r w:rsidRPr="00C9657D">
              <w:rPr>
                <w:rFonts w:asciiTheme="minorHAnsi" w:hAnsiTheme="minorHAnsi" w:cs="Calibri"/>
                <w:b/>
                <w:i/>
                <w:color w:val="000000"/>
                <w:sz w:val="20"/>
                <w:szCs w:val="20"/>
              </w:rPr>
              <w:t>HL Karlova Studánka</w:t>
            </w:r>
          </w:p>
        </w:tc>
        <w:tc>
          <w:tcPr>
            <w:tcW w:w="594" w:type="pct"/>
            <w:vAlign w:val="center"/>
          </w:tcPr>
          <w:p w14:paraId="3BF3B86A" w14:textId="77777777" w:rsidR="00D55F31" w:rsidRPr="00C9657D" w:rsidRDefault="0024693B" w:rsidP="0002290A">
            <w:pPr>
              <w:jc w:val="right"/>
              <w:rPr>
                <w:rFonts w:asciiTheme="minorHAnsi" w:hAnsiTheme="minorHAnsi"/>
                <w:b/>
                <w:bCs/>
                <w:color w:val="000000"/>
                <w:sz w:val="20"/>
                <w:szCs w:val="20"/>
                <w:lang w:eastAsia="cs-CZ"/>
              </w:rPr>
            </w:pPr>
            <w:r w:rsidRPr="00C9657D">
              <w:rPr>
                <w:rFonts w:asciiTheme="minorHAnsi" w:hAnsiTheme="minorHAnsi"/>
                <w:b/>
                <w:bCs/>
                <w:color w:val="000000"/>
                <w:sz w:val="20"/>
                <w:szCs w:val="20"/>
                <w:lang w:eastAsia="cs-CZ"/>
              </w:rPr>
              <w:t>2 849</w:t>
            </w:r>
          </w:p>
        </w:tc>
        <w:tc>
          <w:tcPr>
            <w:tcW w:w="594" w:type="pct"/>
            <w:vAlign w:val="center"/>
          </w:tcPr>
          <w:p w14:paraId="0FF69314" w14:textId="148B4B5A" w:rsidR="00D55F31" w:rsidRPr="00C9657D" w:rsidRDefault="003559E7" w:rsidP="0002290A">
            <w:pPr>
              <w:jc w:val="right"/>
              <w:rPr>
                <w:rFonts w:asciiTheme="minorHAnsi" w:hAnsiTheme="minorHAnsi"/>
                <w:b/>
                <w:bCs/>
                <w:color w:val="000000"/>
                <w:sz w:val="20"/>
                <w:szCs w:val="20"/>
                <w:lang w:eastAsia="cs-CZ"/>
              </w:rPr>
            </w:pPr>
            <w:r>
              <w:rPr>
                <w:rFonts w:asciiTheme="minorHAnsi" w:hAnsiTheme="minorHAnsi" w:cstheme="minorHAnsi"/>
                <w:sz w:val="20"/>
                <w:szCs w:val="20"/>
              </w:rPr>
              <w:t>−</w:t>
            </w:r>
            <w:r w:rsidR="0024693B" w:rsidRPr="00C9657D">
              <w:rPr>
                <w:rFonts w:asciiTheme="minorHAnsi" w:hAnsiTheme="minorHAnsi"/>
                <w:b/>
                <w:bCs/>
                <w:color w:val="000000"/>
                <w:sz w:val="20"/>
                <w:szCs w:val="20"/>
                <w:lang w:eastAsia="cs-CZ"/>
              </w:rPr>
              <w:t>4 380</w:t>
            </w:r>
          </w:p>
        </w:tc>
        <w:tc>
          <w:tcPr>
            <w:tcW w:w="594" w:type="pct"/>
            <w:vAlign w:val="center"/>
          </w:tcPr>
          <w:p w14:paraId="01750E35" w14:textId="3ED6759E" w:rsidR="00D55F31" w:rsidRPr="00C9657D" w:rsidRDefault="003559E7" w:rsidP="0002290A">
            <w:pPr>
              <w:jc w:val="right"/>
              <w:rPr>
                <w:rFonts w:asciiTheme="minorHAnsi" w:hAnsiTheme="minorHAnsi"/>
                <w:b/>
                <w:bCs/>
                <w:color w:val="000000"/>
                <w:sz w:val="20"/>
                <w:szCs w:val="20"/>
                <w:lang w:eastAsia="cs-CZ"/>
              </w:rPr>
            </w:pPr>
            <w:r>
              <w:rPr>
                <w:rFonts w:asciiTheme="minorHAnsi" w:hAnsiTheme="minorHAnsi" w:cstheme="minorHAnsi"/>
                <w:sz w:val="20"/>
                <w:szCs w:val="20"/>
              </w:rPr>
              <w:t>−</w:t>
            </w:r>
            <w:r w:rsidR="0024693B" w:rsidRPr="00C9657D">
              <w:rPr>
                <w:rFonts w:asciiTheme="minorHAnsi" w:hAnsiTheme="minorHAnsi"/>
                <w:b/>
                <w:bCs/>
                <w:color w:val="000000"/>
                <w:sz w:val="20"/>
                <w:szCs w:val="20"/>
                <w:lang w:eastAsia="cs-CZ"/>
              </w:rPr>
              <w:t>2 116</w:t>
            </w:r>
          </w:p>
        </w:tc>
        <w:tc>
          <w:tcPr>
            <w:tcW w:w="595" w:type="pct"/>
            <w:vAlign w:val="center"/>
          </w:tcPr>
          <w:p w14:paraId="02AEB39E" w14:textId="77777777" w:rsidR="00D55F31" w:rsidRPr="00C9657D" w:rsidRDefault="0024693B" w:rsidP="0002290A">
            <w:pPr>
              <w:jc w:val="right"/>
              <w:rPr>
                <w:rFonts w:asciiTheme="minorHAnsi" w:hAnsiTheme="minorHAnsi"/>
                <w:b/>
                <w:bCs/>
                <w:color w:val="000000"/>
                <w:sz w:val="20"/>
                <w:szCs w:val="20"/>
                <w:lang w:eastAsia="cs-CZ"/>
              </w:rPr>
            </w:pPr>
            <w:r w:rsidRPr="00C9657D">
              <w:rPr>
                <w:rFonts w:asciiTheme="minorHAnsi" w:hAnsiTheme="minorHAnsi"/>
                <w:b/>
                <w:bCs/>
                <w:color w:val="000000"/>
                <w:sz w:val="20"/>
                <w:szCs w:val="20"/>
                <w:lang w:eastAsia="cs-CZ"/>
              </w:rPr>
              <w:t>12 160</w:t>
            </w:r>
          </w:p>
        </w:tc>
        <w:tc>
          <w:tcPr>
            <w:tcW w:w="590" w:type="pct"/>
            <w:vAlign w:val="center"/>
          </w:tcPr>
          <w:p w14:paraId="032D55E6" w14:textId="77777777" w:rsidR="00D55F31" w:rsidRPr="00C9657D" w:rsidRDefault="0024693B" w:rsidP="0002290A">
            <w:pPr>
              <w:jc w:val="right"/>
              <w:rPr>
                <w:rFonts w:asciiTheme="minorHAnsi" w:hAnsiTheme="minorHAnsi"/>
                <w:b/>
                <w:bCs/>
                <w:color w:val="000000"/>
                <w:sz w:val="20"/>
                <w:szCs w:val="20"/>
                <w:lang w:eastAsia="cs-CZ"/>
              </w:rPr>
            </w:pPr>
            <w:r w:rsidRPr="00C9657D">
              <w:rPr>
                <w:rFonts w:asciiTheme="minorHAnsi" w:hAnsiTheme="minorHAnsi"/>
                <w:b/>
                <w:bCs/>
                <w:color w:val="000000"/>
                <w:sz w:val="20"/>
                <w:szCs w:val="20"/>
                <w:lang w:eastAsia="cs-CZ"/>
              </w:rPr>
              <w:t>9 602</w:t>
            </w:r>
          </w:p>
        </w:tc>
      </w:tr>
      <w:tr w:rsidR="00C425F2" w14:paraId="75681C0F" w14:textId="77777777" w:rsidTr="003D1C64">
        <w:trPr>
          <w:cantSplit/>
          <w:trHeight w:val="227"/>
          <w:jc w:val="center"/>
        </w:trPr>
        <w:tc>
          <w:tcPr>
            <w:tcW w:w="960" w:type="pct"/>
            <w:vMerge/>
            <w:tcBorders>
              <w:left w:val="single" w:sz="12" w:space="0" w:color="auto"/>
            </w:tcBorders>
            <w:vAlign w:val="center"/>
          </w:tcPr>
          <w:p w14:paraId="5A015B25" w14:textId="77777777" w:rsidR="00D55F31" w:rsidRPr="00C9657D" w:rsidRDefault="00D55F31" w:rsidP="0002290A">
            <w:pPr>
              <w:rPr>
                <w:rFonts w:asciiTheme="minorHAnsi" w:hAnsiTheme="minorHAnsi" w:cs="Calibri"/>
                <w:color w:val="000000"/>
                <w:sz w:val="20"/>
                <w:szCs w:val="20"/>
              </w:rPr>
            </w:pPr>
          </w:p>
        </w:tc>
        <w:tc>
          <w:tcPr>
            <w:tcW w:w="1072" w:type="pct"/>
            <w:vAlign w:val="center"/>
          </w:tcPr>
          <w:p w14:paraId="01127449" w14:textId="77777777" w:rsidR="00D55F31" w:rsidRPr="00C9657D" w:rsidRDefault="0024693B" w:rsidP="0002290A">
            <w:pPr>
              <w:ind w:right="64" w:hanging="11"/>
              <w:jc w:val="center"/>
              <w:rPr>
                <w:rFonts w:asciiTheme="minorHAnsi" w:hAnsiTheme="minorHAnsi" w:cs="Calibri"/>
                <w:b/>
                <w:i/>
                <w:color w:val="000000"/>
                <w:sz w:val="20"/>
                <w:szCs w:val="20"/>
              </w:rPr>
            </w:pPr>
            <w:r w:rsidRPr="00C9657D">
              <w:rPr>
                <w:rFonts w:asciiTheme="minorHAnsi" w:hAnsiTheme="minorHAnsi" w:cs="Calibri"/>
                <w:b/>
                <w:i/>
                <w:color w:val="000000"/>
                <w:sz w:val="20"/>
                <w:szCs w:val="20"/>
              </w:rPr>
              <w:t>SLL Bludov</w:t>
            </w:r>
          </w:p>
        </w:tc>
        <w:tc>
          <w:tcPr>
            <w:tcW w:w="594" w:type="pct"/>
            <w:vAlign w:val="center"/>
          </w:tcPr>
          <w:p w14:paraId="3C03BFD4" w14:textId="77777777" w:rsidR="00D55F31" w:rsidRPr="00C9657D" w:rsidRDefault="0024693B" w:rsidP="0002290A">
            <w:pPr>
              <w:jc w:val="right"/>
              <w:rPr>
                <w:rFonts w:asciiTheme="minorHAnsi" w:hAnsiTheme="minorHAnsi" w:cs="Calibri"/>
                <w:b/>
                <w:bCs/>
                <w:color w:val="000000"/>
                <w:sz w:val="20"/>
                <w:szCs w:val="20"/>
                <w:lang w:val="en-US" w:eastAsia="cs-CZ"/>
              </w:rPr>
            </w:pPr>
            <w:r w:rsidRPr="00C9657D">
              <w:rPr>
                <w:rFonts w:asciiTheme="minorHAnsi" w:hAnsiTheme="minorHAnsi" w:cs="Calibri"/>
                <w:b/>
                <w:bCs/>
                <w:color w:val="000000"/>
                <w:sz w:val="20"/>
                <w:szCs w:val="20"/>
                <w:lang w:val="en-US" w:eastAsia="cs-CZ"/>
              </w:rPr>
              <w:t>1 076</w:t>
            </w:r>
          </w:p>
        </w:tc>
        <w:tc>
          <w:tcPr>
            <w:tcW w:w="594" w:type="pct"/>
            <w:vAlign w:val="center"/>
          </w:tcPr>
          <w:p w14:paraId="76E30167" w14:textId="446AF189" w:rsidR="00D55F31" w:rsidRPr="00C9657D" w:rsidRDefault="003559E7" w:rsidP="0002290A">
            <w:pPr>
              <w:jc w:val="right"/>
              <w:rPr>
                <w:rFonts w:asciiTheme="minorHAnsi" w:hAnsiTheme="minorHAnsi" w:cs="Calibri"/>
                <w:b/>
                <w:bCs/>
                <w:color w:val="000000"/>
                <w:sz w:val="20"/>
                <w:szCs w:val="20"/>
                <w:lang w:val="en-US" w:eastAsia="cs-CZ"/>
              </w:rPr>
            </w:pPr>
            <w:r>
              <w:rPr>
                <w:rFonts w:asciiTheme="minorHAnsi" w:hAnsiTheme="minorHAnsi" w:cstheme="minorHAnsi"/>
                <w:sz w:val="20"/>
                <w:szCs w:val="20"/>
              </w:rPr>
              <w:t>−</w:t>
            </w:r>
            <w:r w:rsidR="0024693B" w:rsidRPr="00C9657D">
              <w:rPr>
                <w:rFonts w:asciiTheme="minorHAnsi" w:hAnsiTheme="minorHAnsi" w:cs="Calibri"/>
                <w:b/>
                <w:bCs/>
                <w:color w:val="000000"/>
                <w:sz w:val="20"/>
                <w:szCs w:val="20"/>
                <w:lang w:val="en-US" w:eastAsia="cs-CZ"/>
              </w:rPr>
              <w:t>1 385</w:t>
            </w:r>
          </w:p>
        </w:tc>
        <w:tc>
          <w:tcPr>
            <w:tcW w:w="594" w:type="pct"/>
            <w:vAlign w:val="center"/>
          </w:tcPr>
          <w:p w14:paraId="7DB9CC78" w14:textId="55C0E504" w:rsidR="00D55F31" w:rsidRPr="00C9657D" w:rsidRDefault="003559E7" w:rsidP="0002290A">
            <w:pPr>
              <w:jc w:val="right"/>
              <w:rPr>
                <w:rFonts w:asciiTheme="minorHAnsi" w:hAnsiTheme="minorHAnsi" w:cs="Calibri"/>
                <w:b/>
                <w:bCs/>
                <w:color w:val="000000"/>
                <w:sz w:val="20"/>
                <w:szCs w:val="20"/>
                <w:lang w:val="en-US" w:eastAsia="cs-CZ"/>
              </w:rPr>
            </w:pPr>
            <w:r>
              <w:rPr>
                <w:rFonts w:asciiTheme="minorHAnsi" w:hAnsiTheme="minorHAnsi" w:cstheme="minorHAnsi"/>
                <w:sz w:val="20"/>
                <w:szCs w:val="20"/>
              </w:rPr>
              <w:t>−</w:t>
            </w:r>
            <w:r w:rsidR="0024693B" w:rsidRPr="00C9657D">
              <w:rPr>
                <w:rFonts w:asciiTheme="minorHAnsi" w:hAnsiTheme="minorHAnsi" w:cs="Calibri"/>
                <w:b/>
                <w:bCs/>
                <w:color w:val="000000"/>
                <w:sz w:val="20"/>
                <w:szCs w:val="20"/>
                <w:lang w:val="en-US" w:eastAsia="cs-CZ"/>
              </w:rPr>
              <w:t>5 658</w:t>
            </w:r>
          </w:p>
        </w:tc>
        <w:tc>
          <w:tcPr>
            <w:tcW w:w="595" w:type="pct"/>
            <w:vAlign w:val="center"/>
          </w:tcPr>
          <w:p w14:paraId="5BE601C4" w14:textId="641EB8E5" w:rsidR="00D55F31" w:rsidRPr="00C9657D" w:rsidRDefault="003559E7" w:rsidP="0002290A">
            <w:pPr>
              <w:jc w:val="right"/>
              <w:rPr>
                <w:rFonts w:asciiTheme="minorHAnsi" w:hAnsiTheme="minorHAnsi" w:cs="Calibri"/>
                <w:b/>
                <w:bCs/>
                <w:color w:val="000000"/>
                <w:sz w:val="20"/>
                <w:szCs w:val="20"/>
                <w:lang w:val="en-US" w:eastAsia="cs-CZ"/>
              </w:rPr>
            </w:pPr>
            <w:r>
              <w:rPr>
                <w:rFonts w:asciiTheme="minorHAnsi" w:hAnsiTheme="minorHAnsi" w:cstheme="minorHAnsi"/>
                <w:sz w:val="20"/>
                <w:szCs w:val="20"/>
              </w:rPr>
              <w:t>−</w:t>
            </w:r>
            <w:r w:rsidR="0024693B" w:rsidRPr="00C9657D">
              <w:rPr>
                <w:rFonts w:asciiTheme="minorHAnsi" w:hAnsiTheme="minorHAnsi" w:cs="Calibri"/>
                <w:b/>
                <w:bCs/>
                <w:color w:val="000000"/>
                <w:sz w:val="20"/>
                <w:szCs w:val="20"/>
                <w:lang w:val="en-US" w:eastAsia="cs-CZ"/>
              </w:rPr>
              <w:t>1 300</w:t>
            </w:r>
          </w:p>
        </w:tc>
        <w:tc>
          <w:tcPr>
            <w:tcW w:w="590" w:type="pct"/>
            <w:vAlign w:val="center"/>
          </w:tcPr>
          <w:p w14:paraId="21DEA4E1" w14:textId="77777777" w:rsidR="00D55F31" w:rsidRPr="00C9657D" w:rsidRDefault="0024693B" w:rsidP="0002290A">
            <w:pPr>
              <w:jc w:val="right"/>
              <w:rPr>
                <w:rFonts w:asciiTheme="minorHAnsi" w:hAnsiTheme="minorHAnsi" w:cs="Calibri"/>
                <w:b/>
                <w:bCs/>
                <w:color w:val="000000"/>
                <w:sz w:val="20"/>
                <w:szCs w:val="20"/>
                <w:lang w:val="en-US" w:eastAsia="cs-CZ"/>
              </w:rPr>
            </w:pPr>
            <w:r w:rsidRPr="00C9657D">
              <w:rPr>
                <w:rFonts w:asciiTheme="minorHAnsi" w:hAnsiTheme="minorHAnsi" w:cs="Calibri"/>
                <w:b/>
                <w:bCs/>
                <w:color w:val="000000"/>
                <w:sz w:val="20"/>
                <w:szCs w:val="20"/>
                <w:lang w:val="en-US" w:eastAsia="cs-CZ"/>
              </w:rPr>
              <w:t>2 817</w:t>
            </w:r>
          </w:p>
        </w:tc>
      </w:tr>
    </w:tbl>
    <w:p w14:paraId="360960DD" w14:textId="77777777" w:rsidR="00D55F31" w:rsidRPr="00C9657D" w:rsidRDefault="0024693B" w:rsidP="001741F3">
      <w:pPr>
        <w:jc w:val="both"/>
        <w:rPr>
          <w:rFonts w:asciiTheme="minorHAnsi" w:hAnsiTheme="minorHAnsi" w:cs="Calibri"/>
          <w:color w:val="000000"/>
          <w:sz w:val="20"/>
          <w:szCs w:val="18"/>
        </w:rPr>
      </w:pPr>
      <w:r w:rsidRPr="00C9657D">
        <w:rPr>
          <w:rFonts w:asciiTheme="minorHAnsi" w:hAnsiTheme="minorHAnsi" w:cstheme="minorHAnsi"/>
          <w:b/>
          <w:color w:val="000000" w:themeColor="text1"/>
          <w:sz w:val="20"/>
          <w:szCs w:val="18"/>
        </w:rPr>
        <w:t>Zdroj:</w:t>
      </w:r>
      <w:r w:rsidRPr="00C9657D">
        <w:rPr>
          <w:rFonts w:asciiTheme="minorHAnsi" w:hAnsiTheme="minorHAnsi" w:cstheme="minorHAnsi"/>
          <w:color w:val="000000" w:themeColor="text1"/>
          <w:sz w:val="20"/>
          <w:szCs w:val="18"/>
        </w:rPr>
        <w:t xml:space="preserve"> účetní závěrky </w:t>
      </w:r>
      <w:r w:rsidRPr="00C9657D">
        <w:rPr>
          <w:rFonts w:asciiTheme="minorHAnsi" w:hAnsiTheme="minorHAnsi" w:cs="Calibri"/>
          <w:color w:val="000000"/>
          <w:sz w:val="20"/>
          <w:szCs w:val="18"/>
        </w:rPr>
        <w:t>SLL Janské Lázně, HL Karlova Studánka a SLL Bludov za roky 2011 až 2015.</w:t>
      </w:r>
    </w:p>
    <w:p w14:paraId="20D5CA0A" w14:textId="11C7AAB2" w:rsidR="00D55F31" w:rsidRPr="00C9657D" w:rsidRDefault="0024693B" w:rsidP="00004843">
      <w:pPr>
        <w:spacing w:before="240"/>
        <w:jc w:val="both"/>
        <w:rPr>
          <w:rFonts w:asciiTheme="minorHAnsi" w:hAnsiTheme="minorHAnsi" w:cs="Calibri"/>
        </w:rPr>
      </w:pPr>
      <w:r w:rsidRPr="00C9657D">
        <w:rPr>
          <w:rFonts w:asciiTheme="minorHAnsi" w:eastAsia="Calibri" w:hAnsiTheme="minorHAnsi" w:cs="Calibri"/>
        </w:rPr>
        <w:t>Výsledky hospodaření podniků v letech 2012 a 2013 negativně ovlivnil pokles tržeb od</w:t>
      </w:r>
      <w:r w:rsidR="003559E7">
        <w:rPr>
          <w:rFonts w:asciiTheme="minorHAnsi" w:eastAsia="Calibri" w:hAnsiTheme="minorHAnsi" w:cs="Calibri"/>
        </w:rPr>
        <w:t xml:space="preserve"> </w:t>
      </w:r>
      <w:r w:rsidRPr="00C9657D">
        <w:rPr>
          <w:rFonts w:asciiTheme="minorHAnsi" w:eastAsia="Calibri" w:hAnsiTheme="minorHAnsi" w:cs="Calibri"/>
        </w:rPr>
        <w:t xml:space="preserve">zdravotních pojišťoven. </w:t>
      </w:r>
      <w:r w:rsidRPr="00C9657D">
        <w:rPr>
          <w:rFonts w:asciiTheme="minorHAnsi" w:hAnsiTheme="minorHAnsi" w:cs="Calibri"/>
        </w:rPr>
        <w:t>K poklesu tržeb došlo zejména v důsledku vyhlášky</w:t>
      </w:r>
      <w:r>
        <w:rPr>
          <w:rStyle w:val="Znakapoznpodarou"/>
          <w:rFonts w:asciiTheme="minorHAnsi" w:hAnsiTheme="minorHAnsi" w:cs="Calibri"/>
        </w:rPr>
        <w:footnoteReference w:id="23"/>
      </w:r>
      <w:r w:rsidRPr="00C9657D">
        <w:rPr>
          <w:rFonts w:asciiTheme="minorHAnsi" w:hAnsiTheme="minorHAnsi" w:cs="Calibri"/>
        </w:rPr>
        <w:t xml:space="preserve">, která omezila počet pojištěnců, kterým mohla být </w:t>
      </w:r>
      <w:r w:rsidRPr="00C9657D">
        <w:rPr>
          <w:rFonts w:asciiTheme="minorHAnsi" w:hAnsiTheme="minorHAnsi"/>
        </w:rPr>
        <w:t xml:space="preserve">lázeňská péče </w:t>
      </w:r>
      <w:r w:rsidRPr="00C9657D">
        <w:rPr>
          <w:rFonts w:asciiTheme="minorHAnsi" w:hAnsiTheme="minorHAnsi" w:cs="Calibri"/>
        </w:rPr>
        <w:t xml:space="preserve">poskytnuta. </w:t>
      </w:r>
      <w:r w:rsidR="003559E7">
        <w:rPr>
          <w:rFonts w:asciiTheme="minorHAnsi" w:hAnsiTheme="minorHAnsi" w:cs="Calibri"/>
        </w:rPr>
        <w:t>Vyhláška</w:t>
      </w:r>
      <w:r w:rsidRPr="00C9657D">
        <w:rPr>
          <w:rFonts w:asciiTheme="minorHAnsi" w:hAnsiTheme="minorHAnsi" w:cs="Calibri"/>
        </w:rPr>
        <w:t xml:space="preserve"> také zkrátila délku léčebného pobytu a upravila interval pro opakování pobytu zejména u chronických onemocnění. Vyhláška byla zaměřena zejména na úhrady </w:t>
      </w:r>
      <w:r w:rsidR="00AE3CD3">
        <w:rPr>
          <w:rFonts w:asciiTheme="minorHAnsi" w:hAnsiTheme="minorHAnsi" w:cs="Calibri"/>
        </w:rPr>
        <w:t xml:space="preserve">lázeňské </w:t>
      </w:r>
      <w:r w:rsidRPr="00C9657D">
        <w:rPr>
          <w:rFonts w:asciiTheme="minorHAnsi" w:hAnsiTheme="minorHAnsi" w:cs="Calibri"/>
        </w:rPr>
        <w:t>léčby akutních stavů.</w:t>
      </w:r>
    </w:p>
    <w:p w14:paraId="44B4AD9C" w14:textId="77777777" w:rsidR="00D55F31" w:rsidRPr="00C9657D" w:rsidRDefault="0024693B" w:rsidP="003D1C64">
      <w:pPr>
        <w:spacing w:before="120"/>
        <w:jc w:val="both"/>
        <w:rPr>
          <w:rFonts w:asciiTheme="minorHAnsi" w:hAnsiTheme="minorHAnsi" w:cs="Calibri"/>
        </w:rPr>
      </w:pPr>
      <w:r w:rsidRPr="00C9657D">
        <w:rPr>
          <w:rFonts w:asciiTheme="minorHAnsi" w:eastAsia="Calibri" w:hAnsiTheme="minorHAnsi" w:cs="Calibri"/>
        </w:rPr>
        <w:t xml:space="preserve">Výsledky hospodaření podniků </w:t>
      </w:r>
      <w:r w:rsidRPr="00C9657D">
        <w:rPr>
          <w:rFonts w:asciiTheme="minorHAnsi" w:hAnsiTheme="minorHAnsi" w:cs="Calibri"/>
        </w:rPr>
        <w:t>v roce 2014 kladně ovlivnilo navýšení úhrady za jeden ošetřovací den</w:t>
      </w:r>
      <w:r w:rsidR="00D55F31">
        <w:rPr>
          <w:rFonts w:asciiTheme="minorHAnsi" w:hAnsiTheme="minorHAnsi" w:cs="Calibri"/>
        </w:rPr>
        <w:t xml:space="preserve"> pobytu</w:t>
      </w:r>
      <w:r>
        <w:rPr>
          <w:rStyle w:val="Znakapoznpodarou"/>
          <w:rFonts w:asciiTheme="minorHAnsi" w:hAnsiTheme="minorHAnsi" w:cs="Calibri"/>
        </w:rPr>
        <w:footnoteReference w:id="24"/>
      </w:r>
      <w:r w:rsidR="00D55F31">
        <w:rPr>
          <w:rFonts w:asciiTheme="minorHAnsi" w:hAnsiTheme="minorHAnsi" w:cs="Calibri"/>
        </w:rPr>
        <w:t xml:space="preserve"> </w:t>
      </w:r>
      <w:r w:rsidR="00BC490C">
        <w:rPr>
          <w:rFonts w:asciiTheme="minorHAnsi" w:hAnsiTheme="minorHAnsi" w:cs="Calibri"/>
        </w:rPr>
        <w:t>(</w:t>
      </w:r>
      <w:r w:rsidR="00D55F31">
        <w:rPr>
          <w:rFonts w:asciiTheme="minorHAnsi" w:hAnsiTheme="minorHAnsi" w:cs="Calibri"/>
        </w:rPr>
        <w:t>dále také „ošetřovací den</w:t>
      </w:r>
      <w:r w:rsidR="00BC490C">
        <w:rPr>
          <w:rFonts w:asciiTheme="minorHAnsi" w:hAnsiTheme="minorHAnsi" w:cs="Calibri"/>
        </w:rPr>
        <w:t>“)</w:t>
      </w:r>
      <w:r w:rsidR="00BC490C" w:rsidRPr="00C9657D">
        <w:rPr>
          <w:rFonts w:asciiTheme="minorHAnsi" w:hAnsiTheme="minorHAnsi" w:cs="Calibri"/>
        </w:rPr>
        <w:t xml:space="preserve"> </w:t>
      </w:r>
      <w:r w:rsidRPr="00C9657D">
        <w:rPr>
          <w:rFonts w:asciiTheme="minorHAnsi" w:hAnsiTheme="minorHAnsi" w:cs="Calibri"/>
        </w:rPr>
        <w:t>a </w:t>
      </w:r>
      <w:r w:rsidR="00C92D4E" w:rsidRPr="00C9657D">
        <w:rPr>
          <w:rFonts w:asciiTheme="minorHAnsi" w:hAnsiTheme="minorHAnsi" w:cs="Calibri"/>
        </w:rPr>
        <w:t>novel</w:t>
      </w:r>
      <w:r w:rsidR="00C92D4E">
        <w:rPr>
          <w:rFonts w:asciiTheme="minorHAnsi" w:hAnsiTheme="minorHAnsi" w:cs="Calibri"/>
        </w:rPr>
        <w:t>a</w:t>
      </w:r>
      <w:r w:rsidR="00C92D4E" w:rsidRPr="00C9657D">
        <w:rPr>
          <w:rFonts w:asciiTheme="minorHAnsi" w:hAnsiTheme="minorHAnsi" w:cs="Calibri"/>
        </w:rPr>
        <w:t xml:space="preserve"> </w:t>
      </w:r>
      <w:r w:rsidRPr="00C9657D">
        <w:rPr>
          <w:rFonts w:asciiTheme="minorHAnsi" w:hAnsiTheme="minorHAnsi" w:cs="Calibri"/>
        </w:rPr>
        <w:t xml:space="preserve">zákona o veřejném zdravotním pojištění </w:t>
      </w:r>
      <w:r w:rsidR="00C92D4E">
        <w:rPr>
          <w:rFonts w:asciiTheme="minorHAnsi" w:hAnsiTheme="minorHAnsi" w:cs="Calibri"/>
        </w:rPr>
        <w:t>účinná</w:t>
      </w:r>
      <w:r w:rsidR="00C92D4E" w:rsidRPr="00C9657D">
        <w:rPr>
          <w:rFonts w:asciiTheme="minorHAnsi" w:hAnsiTheme="minorHAnsi" w:cs="Calibri"/>
        </w:rPr>
        <w:t xml:space="preserve"> </w:t>
      </w:r>
      <w:r w:rsidRPr="00C9657D">
        <w:rPr>
          <w:rFonts w:asciiTheme="minorHAnsi" w:hAnsiTheme="minorHAnsi" w:cs="Calibri"/>
        </w:rPr>
        <w:t>od ledna 2015</w:t>
      </w:r>
      <w:r>
        <w:rPr>
          <w:rFonts w:asciiTheme="minorHAnsi" w:hAnsiTheme="minorHAnsi" w:cs="Calibri"/>
          <w:vertAlign w:val="superscript"/>
        </w:rPr>
        <w:footnoteReference w:id="25"/>
      </w:r>
      <w:r w:rsidR="00C92D4E">
        <w:rPr>
          <w:rFonts w:asciiTheme="minorHAnsi" w:hAnsiTheme="minorHAnsi" w:cs="Calibri"/>
        </w:rPr>
        <w:t xml:space="preserve"> (</w:t>
      </w:r>
      <w:r w:rsidRPr="00C9657D">
        <w:rPr>
          <w:rFonts w:asciiTheme="minorHAnsi" w:hAnsiTheme="minorHAnsi" w:cs="Calibri"/>
        </w:rPr>
        <w:t>zejména nov</w:t>
      </w:r>
      <w:r w:rsidR="00C92D4E">
        <w:rPr>
          <w:rFonts w:asciiTheme="minorHAnsi" w:hAnsiTheme="minorHAnsi" w:cs="Calibri"/>
        </w:rPr>
        <w:t>ý</w:t>
      </w:r>
      <w:r w:rsidRPr="00C9657D">
        <w:rPr>
          <w:rFonts w:asciiTheme="minorHAnsi" w:hAnsiTheme="minorHAnsi" w:cs="Calibri"/>
        </w:rPr>
        <w:t xml:space="preserve"> </w:t>
      </w:r>
      <w:r w:rsidRPr="00C9657D">
        <w:rPr>
          <w:rFonts w:asciiTheme="minorHAnsi" w:hAnsiTheme="minorHAnsi" w:cs="Calibri"/>
          <w:i/>
        </w:rPr>
        <w:t>Indikační seznam a </w:t>
      </w:r>
      <w:r w:rsidR="00D55F31">
        <w:rPr>
          <w:rFonts w:asciiTheme="minorHAnsi" w:hAnsiTheme="minorHAnsi" w:cs="Calibri"/>
          <w:i/>
        </w:rPr>
        <w:t>změna</w:t>
      </w:r>
      <w:r w:rsidR="00D55F31" w:rsidRPr="00C9657D">
        <w:rPr>
          <w:rFonts w:asciiTheme="minorHAnsi" w:hAnsiTheme="minorHAnsi" w:cs="Calibri"/>
          <w:i/>
        </w:rPr>
        <w:t xml:space="preserve"> </w:t>
      </w:r>
      <w:r w:rsidRPr="00C9657D">
        <w:rPr>
          <w:rFonts w:asciiTheme="minorHAnsi" w:hAnsiTheme="minorHAnsi" w:cs="Calibri"/>
          <w:i/>
        </w:rPr>
        <w:t>pravidel pro poskytování léčebně rehabilitačních služeb v roce 2015</w:t>
      </w:r>
      <w:r>
        <w:rPr>
          <w:rFonts w:asciiTheme="minorHAnsi" w:hAnsiTheme="minorHAnsi" w:cs="Calibri"/>
          <w:vertAlign w:val="superscript"/>
        </w:rPr>
        <w:footnoteReference w:id="26"/>
      </w:r>
      <w:r w:rsidR="00C92D4E">
        <w:rPr>
          <w:rFonts w:asciiTheme="minorHAnsi" w:hAnsiTheme="minorHAnsi" w:cs="Calibri"/>
          <w:i/>
        </w:rPr>
        <w:t>)</w:t>
      </w:r>
      <w:r w:rsidRPr="00C9657D">
        <w:rPr>
          <w:rFonts w:asciiTheme="minorHAnsi" w:hAnsiTheme="minorHAnsi" w:cs="Calibri"/>
        </w:rPr>
        <w:t>.</w:t>
      </w:r>
    </w:p>
    <w:p w14:paraId="62751A8D" w14:textId="77777777" w:rsidR="00D55F31" w:rsidRPr="00C9657D" w:rsidRDefault="006851F6" w:rsidP="003D1C64">
      <w:pPr>
        <w:spacing w:before="120"/>
        <w:jc w:val="both"/>
        <w:rPr>
          <w:rFonts w:asciiTheme="minorHAnsi" w:hAnsiTheme="minorHAnsi" w:cs="Calibri"/>
        </w:rPr>
      </w:pPr>
      <w:r>
        <w:rPr>
          <w:rFonts w:asciiTheme="minorHAnsi" w:hAnsiTheme="minorHAnsi" w:cs="Calibri"/>
        </w:rPr>
        <w:t>SLL Bludov, SLL Janské Lázně (za roky</w:t>
      </w:r>
      <w:r w:rsidRPr="00C9657D">
        <w:rPr>
          <w:rFonts w:asciiTheme="minorHAnsi" w:hAnsiTheme="minorHAnsi" w:cs="Calibri"/>
        </w:rPr>
        <w:t xml:space="preserve"> 201</w:t>
      </w:r>
      <w:r>
        <w:rPr>
          <w:rFonts w:asciiTheme="minorHAnsi" w:hAnsiTheme="minorHAnsi" w:cs="Calibri"/>
        </w:rPr>
        <w:t>2</w:t>
      </w:r>
      <w:r w:rsidRPr="00C9657D">
        <w:rPr>
          <w:rFonts w:asciiTheme="minorHAnsi" w:hAnsiTheme="minorHAnsi" w:cs="Calibri"/>
        </w:rPr>
        <w:t xml:space="preserve"> a</w:t>
      </w:r>
      <w:r>
        <w:rPr>
          <w:rFonts w:asciiTheme="minorHAnsi" w:hAnsiTheme="minorHAnsi" w:cs="Calibri"/>
        </w:rPr>
        <w:t>ž</w:t>
      </w:r>
      <w:r w:rsidRPr="00C9657D">
        <w:rPr>
          <w:rFonts w:asciiTheme="minorHAnsi" w:hAnsiTheme="minorHAnsi" w:cs="Calibri"/>
        </w:rPr>
        <w:t xml:space="preserve"> 2014</w:t>
      </w:r>
      <w:r>
        <w:rPr>
          <w:rFonts w:asciiTheme="minorHAnsi" w:hAnsiTheme="minorHAnsi" w:cs="Calibri"/>
        </w:rPr>
        <w:t>)</w:t>
      </w:r>
      <w:r w:rsidRPr="00C9657D">
        <w:rPr>
          <w:rFonts w:asciiTheme="minorHAnsi" w:hAnsiTheme="minorHAnsi" w:cs="Calibri"/>
        </w:rPr>
        <w:t xml:space="preserve"> </w:t>
      </w:r>
      <w:r>
        <w:rPr>
          <w:rFonts w:asciiTheme="minorHAnsi" w:hAnsiTheme="minorHAnsi" w:cs="Calibri"/>
        </w:rPr>
        <w:t>a HL K</w:t>
      </w:r>
      <w:r w:rsidR="001741F3">
        <w:rPr>
          <w:rFonts w:asciiTheme="minorHAnsi" w:hAnsiTheme="minorHAnsi" w:cs="Calibri"/>
        </w:rPr>
        <w:t>arlova Studánka (za roky 2012 a </w:t>
      </w:r>
      <w:r>
        <w:rPr>
          <w:rFonts w:asciiTheme="minorHAnsi" w:hAnsiTheme="minorHAnsi" w:cs="Calibri"/>
        </w:rPr>
        <w:t>2013)</w:t>
      </w:r>
      <w:r w:rsidR="0024693B" w:rsidRPr="00C9657D">
        <w:rPr>
          <w:rFonts w:asciiTheme="minorHAnsi" w:hAnsiTheme="minorHAnsi" w:cs="Calibri"/>
        </w:rPr>
        <w:t xml:space="preserve"> hradily vzniklé ztráty a tvořily příděly do fondu kulturních a sociálních potřeb z nerozděleného zisku minulých let.</w:t>
      </w:r>
    </w:p>
    <w:p w14:paraId="41888E1B" w14:textId="0A3501B7" w:rsidR="00D55F31" w:rsidRPr="00C9657D" w:rsidRDefault="0024693B" w:rsidP="003D1C64">
      <w:pPr>
        <w:spacing w:before="120"/>
        <w:jc w:val="both"/>
        <w:rPr>
          <w:rFonts w:asciiTheme="minorHAnsi" w:hAnsiTheme="minorHAnsi" w:cs="Calibri"/>
        </w:rPr>
      </w:pPr>
      <w:r w:rsidRPr="00C9657D">
        <w:rPr>
          <w:rFonts w:asciiTheme="minorHAnsi" w:hAnsiTheme="minorHAnsi" w:cs="Calibri"/>
        </w:rPr>
        <w:lastRenderedPageBreak/>
        <w:t>b) NKÚ sledoval vývoj výše výnosů a nákladů, resp. výsledku hospodaření a vývoj úbytků nemovitého (určeného) majetku státního podniku BALMED Praha od roku 2009 (tj. od</w:t>
      </w:r>
      <w:r w:rsidR="003559E7">
        <w:rPr>
          <w:rFonts w:asciiTheme="minorHAnsi" w:hAnsiTheme="minorHAnsi" w:cs="Calibri"/>
        </w:rPr>
        <w:t xml:space="preserve"> </w:t>
      </w:r>
      <w:r w:rsidRPr="00C9657D">
        <w:rPr>
          <w:rFonts w:asciiTheme="minorHAnsi" w:hAnsiTheme="minorHAnsi" w:cs="Calibri"/>
        </w:rPr>
        <w:t>doby ukončení poslední kontroly tohoto státního podniku provedené v rámci kontrolní akce NKÚ č. 08/21</w:t>
      </w:r>
      <w:r>
        <w:rPr>
          <w:rStyle w:val="Znakapoznpodarou"/>
          <w:rFonts w:asciiTheme="minorHAnsi" w:hAnsiTheme="minorHAnsi" w:cs="Calibri"/>
        </w:rPr>
        <w:footnoteReference w:id="27"/>
      </w:r>
      <w:r w:rsidRPr="00C9657D">
        <w:rPr>
          <w:rFonts w:asciiTheme="minorHAnsi" w:hAnsiTheme="minorHAnsi" w:cs="Calibri"/>
        </w:rPr>
        <w:t xml:space="preserve">). </w:t>
      </w:r>
    </w:p>
    <w:p w14:paraId="2EC07774" w14:textId="77777777" w:rsidR="00D55F31" w:rsidRPr="00C9657D" w:rsidRDefault="0024693B" w:rsidP="00AF4954">
      <w:pPr>
        <w:tabs>
          <w:tab w:val="right" w:pos="9072"/>
        </w:tabs>
        <w:spacing w:before="240" w:after="40"/>
        <w:jc w:val="both"/>
        <w:rPr>
          <w:rFonts w:asciiTheme="minorHAnsi" w:hAnsiTheme="minorHAnsi" w:cs="Arial"/>
          <w:b/>
        </w:rPr>
      </w:pPr>
      <w:r w:rsidRPr="00C9657D">
        <w:rPr>
          <w:rFonts w:asciiTheme="minorHAnsi" w:hAnsiTheme="minorHAnsi" w:cs="Arial"/>
          <w:b/>
        </w:rPr>
        <w:t xml:space="preserve">Tabulka č. 3 </w:t>
      </w:r>
      <w:r>
        <w:rPr>
          <w:rFonts w:asciiTheme="minorHAnsi" w:hAnsiTheme="minorHAnsi" w:cs="Arial"/>
          <w:b/>
        </w:rPr>
        <w:t>–</w:t>
      </w:r>
      <w:r w:rsidRPr="00C9657D">
        <w:rPr>
          <w:rFonts w:asciiTheme="minorHAnsi" w:hAnsiTheme="minorHAnsi" w:cs="Arial"/>
          <w:b/>
        </w:rPr>
        <w:t xml:space="preserve"> Vývoj hospodaření BALMED Praha v letech 2009</w:t>
      </w:r>
      <w:r w:rsidRPr="00C9657D">
        <w:rPr>
          <w:rFonts w:asciiTheme="minorHAnsi" w:hAnsiTheme="minorHAnsi" w:cs="Calibri"/>
          <w:b/>
          <w:color w:val="000000"/>
        </w:rPr>
        <w:t>–</w:t>
      </w:r>
      <w:r w:rsidRPr="00C9657D">
        <w:rPr>
          <w:rFonts w:asciiTheme="minorHAnsi" w:hAnsiTheme="minorHAnsi" w:cs="Arial"/>
          <w:b/>
        </w:rPr>
        <w:t xml:space="preserve">2015 </w:t>
      </w:r>
      <w:r w:rsidRPr="00C9657D">
        <w:rPr>
          <w:rFonts w:asciiTheme="minorHAnsi" w:hAnsiTheme="minorHAnsi" w:cs="Arial"/>
          <w:b/>
        </w:rPr>
        <w:tab/>
        <w:t>(v tis. Kč)</w:t>
      </w: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473"/>
        <w:gridCol w:w="698"/>
        <w:gridCol w:w="615"/>
        <w:gridCol w:w="694"/>
        <w:gridCol w:w="694"/>
        <w:gridCol w:w="615"/>
        <w:gridCol w:w="694"/>
        <w:gridCol w:w="698"/>
        <w:gridCol w:w="861"/>
      </w:tblGrid>
      <w:tr w:rsidR="00C425F2" w:rsidRPr="003559E7" w14:paraId="21C9EE8F" w14:textId="77777777" w:rsidTr="001741F3">
        <w:trPr>
          <w:trHeight w:val="300"/>
        </w:trPr>
        <w:tc>
          <w:tcPr>
            <w:tcW w:w="1920" w:type="pct"/>
            <w:vMerge w:val="restart"/>
            <w:shd w:val="clear" w:color="auto" w:fill="C6D9F1" w:themeFill="text2" w:themeFillTint="33"/>
            <w:noWrap/>
            <w:vAlign w:val="center"/>
            <w:hideMark/>
          </w:tcPr>
          <w:p w14:paraId="28B36838" w14:textId="77777777" w:rsidR="00D55F31" w:rsidRPr="003559E7" w:rsidRDefault="0024693B" w:rsidP="0002290A">
            <w:pPr>
              <w:jc w:val="center"/>
              <w:rPr>
                <w:rFonts w:asciiTheme="minorHAnsi" w:hAnsiTheme="minorHAnsi"/>
                <w:b/>
                <w:bCs/>
                <w:sz w:val="19"/>
                <w:szCs w:val="19"/>
                <w:lang w:eastAsia="cs-CZ"/>
              </w:rPr>
            </w:pPr>
            <w:r w:rsidRPr="003559E7">
              <w:rPr>
                <w:rFonts w:asciiTheme="minorHAnsi" w:hAnsiTheme="minorHAnsi"/>
                <w:b/>
                <w:bCs/>
                <w:sz w:val="19"/>
                <w:szCs w:val="19"/>
              </w:rPr>
              <w:t>Název položky</w:t>
            </w:r>
          </w:p>
        </w:tc>
        <w:tc>
          <w:tcPr>
            <w:tcW w:w="2604" w:type="pct"/>
            <w:gridSpan w:val="7"/>
            <w:shd w:val="clear" w:color="auto" w:fill="C6D9F1" w:themeFill="text2" w:themeFillTint="33"/>
            <w:noWrap/>
            <w:vAlign w:val="center"/>
            <w:hideMark/>
          </w:tcPr>
          <w:p w14:paraId="05B20656" w14:textId="77777777" w:rsidR="00D55F31" w:rsidRPr="003559E7" w:rsidRDefault="0024693B" w:rsidP="0002290A">
            <w:pPr>
              <w:jc w:val="center"/>
              <w:rPr>
                <w:rFonts w:asciiTheme="minorHAnsi" w:hAnsiTheme="minorHAnsi"/>
                <w:b/>
                <w:bCs/>
                <w:sz w:val="19"/>
                <w:szCs w:val="19"/>
              </w:rPr>
            </w:pPr>
            <w:r w:rsidRPr="003559E7">
              <w:rPr>
                <w:rFonts w:asciiTheme="minorHAnsi" w:hAnsiTheme="minorHAnsi"/>
                <w:b/>
                <w:bCs/>
                <w:sz w:val="19"/>
                <w:szCs w:val="19"/>
              </w:rPr>
              <w:t>Rok</w:t>
            </w:r>
          </w:p>
        </w:tc>
        <w:tc>
          <w:tcPr>
            <w:tcW w:w="476" w:type="pct"/>
            <w:vMerge w:val="restart"/>
            <w:shd w:val="clear" w:color="auto" w:fill="C6D9F1" w:themeFill="text2" w:themeFillTint="33"/>
            <w:noWrap/>
            <w:vAlign w:val="center"/>
            <w:hideMark/>
          </w:tcPr>
          <w:p w14:paraId="19A9CA7D" w14:textId="77777777" w:rsidR="00D55F31" w:rsidRPr="003559E7" w:rsidRDefault="0024693B" w:rsidP="0002290A">
            <w:pPr>
              <w:jc w:val="center"/>
              <w:rPr>
                <w:rFonts w:asciiTheme="minorHAnsi" w:hAnsiTheme="minorHAnsi"/>
                <w:b/>
                <w:bCs/>
                <w:sz w:val="19"/>
                <w:szCs w:val="19"/>
              </w:rPr>
            </w:pPr>
            <w:r w:rsidRPr="003559E7">
              <w:rPr>
                <w:rFonts w:asciiTheme="minorHAnsi" w:hAnsiTheme="minorHAnsi"/>
                <w:b/>
                <w:bCs/>
                <w:sz w:val="19"/>
                <w:szCs w:val="19"/>
              </w:rPr>
              <w:t>Celkem</w:t>
            </w:r>
          </w:p>
        </w:tc>
      </w:tr>
      <w:tr w:rsidR="00C425F2" w:rsidRPr="003559E7" w14:paraId="49751E51" w14:textId="77777777" w:rsidTr="001741F3">
        <w:trPr>
          <w:trHeight w:val="300"/>
        </w:trPr>
        <w:tc>
          <w:tcPr>
            <w:tcW w:w="1920" w:type="pct"/>
            <w:vMerge/>
            <w:shd w:val="clear" w:color="auto" w:fill="DBE5F1" w:themeFill="accent1" w:themeFillTint="33"/>
            <w:vAlign w:val="center"/>
            <w:hideMark/>
          </w:tcPr>
          <w:p w14:paraId="5AD1B2EC" w14:textId="77777777" w:rsidR="00D55F31" w:rsidRPr="003559E7" w:rsidRDefault="00D55F31" w:rsidP="0002290A">
            <w:pPr>
              <w:rPr>
                <w:rFonts w:asciiTheme="minorHAnsi" w:hAnsiTheme="minorHAnsi"/>
                <w:b/>
                <w:bCs/>
                <w:i/>
                <w:sz w:val="19"/>
                <w:szCs w:val="19"/>
              </w:rPr>
            </w:pPr>
          </w:p>
        </w:tc>
        <w:tc>
          <w:tcPr>
            <w:tcW w:w="386" w:type="pct"/>
            <w:shd w:val="clear" w:color="auto" w:fill="C6D9F1" w:themeFill="text2" w:themeFillTint="33"/>
            <w:noWrap/>
            <w:vAlign w:val="center"/>
            <w:hideMark/>
          </w:tcPr>
          <w:p w14:paraId="39C9F2CF" w14:textId="77777777" w:rsidR="00D55F31" w:rsidRPr="00B30283" w:rsidRDefault="0024693B" w:rsidP="0002290A">
            <w:pPr>
              <w:jc w:val="center"/>
              <w:rPr>
                <w:rFonts w:asciiTheme="minorHAnsi" w:hAnsiTheme="minorHAnsi"/>
                <w:b/>
                <w:iCs/>
                <w:sz w:val="19"/>
                <w:szCs w:val="19"/>
              </w:rPr>
            </w:pPr>
            <w:r w:rsidRPr="00B30283">
              <w:rPr>
                <w:rFonts w:asciiTheme="minorHAnsi" w:hAnsiTheme="minorHAnsi"/>
                <w:b/>
                <w:iCs/>
                <w:sz w:val="19"/>
                <w:szCs w:val="19"/>
              </w:rPr>
              <w:t>2009</w:t>
            </w:r>
          </w:p>
        </w:tc>
        <w:tc>
          <w:tcPr>
            <w:tcW w:w="340" w:type="pct"/>
            <w:shd w:val="clear" w:color="auto" w:fill="C6D9F1" w:themeFill="text2" w:themeFillTint="33"/>
            <w:noWrap/>
            <w:vAlign w:val="center"/>
            <w:hideMark/>
          </w:tcPr>
          <w:p w14:paraId="1374B855" w14:textId="77777777" w:rsidR="00D55F31" w:rsidRPr="00B30283" w:rsidRDefault="0024693B" w:rsidP="0002290A">
            <w:pPr>
              <w:jc w:val="center"/>
              <w:rPr>
                <w:rFonts w:asciiTheme="minorHAnsi" w:hAnsiTheme="minorHAnsi"/>
                <w:b/>
                <w:iCs/>
                <w:sz w:val="19"/>
                <w:szCs w:val="19"/>
              </w:rPr>
            </w:pPr>
            <w:r w:rsidRPr="00B30283">
              <w:rPr>
                <w:rFonts w:asciiTheme="minorHAnsi" w:hAnsiTheme="minorHAnsi"/>
                <w:b/>
                <w:iCs/>
                <w:sz w:val="19"/>
                <w:szCs w:val="19"/>
              </w:rPr>
              <w:t>2010</w:t>
            </w:r>
          </w:p>
        </w:tc>
        <w:tc>
          <w:tcPr>
            <w:tcW w:w="384" w:type="pct"/>
            <w:shd w:val="clear" w:color="auto" w:fill="C6D9F1" w:themeFill="text2" w:themeFillTint="33"/>
            <w:noWrap/>
            <w:vAlign w:val="center"/>
            <w:hideMark/>
          </w:tcPr>
          <w:p w14:paraId="7FD05324" w14:textId="77777777" w:rsidR="00D55F31" w:rsidRPr="00B30283" w:rsidRDefault="0024693B" w:rsidP="0002290A">
            <w:pPr>
              <w:jc w:val="center"/>
              <w:rPr>
                <w:rFonts w:asciiTheme="minorHAnsi" w:hAnsiTheme="minorHAnsi"/>
                <w:b/>
                <w:iCs/>
                <w:sz w:val="19"/>
                <w:szCs w:val="19"/>
              </w:rPr>
            </w:pPr>
            <w:r w:rsidRPr="00B30283">
              <w:rPr>
                <w:rFonts w:asciiTheme="minorHAnsi" w:hAnsiTheme="minorHAnsi"/>
                <w:b/>
                <w:iCs/>
                <w:sz w:val="19"/>
                <w:szCs w:val="19"/>
              </w:rPr>
              <w:t>2011</w:t>
            </w:r>
          </w:p>
        </w:tc>
        <w:tc>
          <w:tcPr>
            <w:tcW w:w="384" w:type="pct"/>
            <w:shd w:val="clear" w:color="auto" w:fill="C6D9F1" w:themeFill="text2" w:themeFillTint="33"/>
            <w:noWrap/>
            <w:vAlign w:val="center"/>
            <w:hideMark/>
          </w:tcPr>
          <w:p w14:paraId="76128A1B" w14:textId="77777777" w:rsidR="00D55F31" w:rsidRPr="00B30283" w:rsidRDefault="0024693B" w:rsidP="0002290A">
            <w:pPr>
              <w:jc w:val="center"/>
              <w:rPr>
                <w:rFonts w:asciiTheme="minorHAnsi" w:hAnsiTheme="minorHAnsi"/>
                <w:b/>
                <w:iCs/>
                <w:sz w:val="19"/>
                <w:szCs w:val="19"/>
              </w:rPr>
            </w:pPr>
            <w:r w:rsidRPr="00B30283">
              <w:rPr>
                <w:rFonts w:asciiTheme="minorHAnsi" w:hAnsiTheme="minorHAnsi"/>
                <w:b/>
                <w:iCs/>
                <w:sz w:val="19"/>
                <w:szCs w:val="19"/>
              </w:rPr>
              <w:t>2012</w:t>
            </w:r>
          </w:p>
        </w:tc>
        <w:tc>
          <w:tcPr>
            <w:tcW w:w="340" w:type="pct"/>
            <w:shd w:val="clear" w:color="auto" w:fill="C6D9F1" w:themeFill="text2" w:themeFillTint="33"/>
            <w:noWrap/>
            <w:vAlign w:val="center"/>
            <w:hideMark/>
          </w:tcPr>
          <w:p w14:paraId="40491BBB" w14:textId="77777777" w:rsidR="00D55F31" w:rsidRPr="00B30283" w:rsidRDefault="0024693B" w:rsidP="0002290A">
            <w:pPr>
              <w:jc w:val="center"/>
              <w:rPr>
                <w:rFonts w:asciiTheme="minorHAnsi" w:hAnsiTheme="minorHAnsi"/>
                <w:b/>
                <w:iCs/>
                <w:sz w:val="19"/>
                <w:szCs w:val="19"/>
              </w:rPr>
            </w:pPr>
            <w:r w:rsidRPr="00B30283">
              <w:rPr>
                <w:rFonts w:asciiTheme="minorHAnsi" w:hAnsiTheme="minorHAnsi"/>
                <w:b/>
                <w:iCs/>
                <w:sz w:val="19"/>
                <w:szCs w:val="19"/>
              </w:rPr>
              <w:t>2013</w:t>
            </w:r>
          </w:p>
        </w:tc>
        <w:tc>
          <w:tcPr>
            <w:tcW w:w="384" w:type="pct"/>
            <w:shd w:val="clear" w:color="auto" w:fill="C6D9F1" w:themeFill="text2" w:themeFillTint="33"/>
            <w:noWrap/>
            <w:vAlign w:val="center"/>
            <w:hideMark/>
          </w:tcPr>
          <w:p w14:paraId="4FB99A64" w14:textId="77777777" w:rsidR="00D55F31" w:rsidRPr="00B30283" w:rsidRDefault="0024693B" w:rsidP="0002290A">
            <w:pPr>
              <w:jc w:val="center"/>
              <w:rPr>
                <w:rFonts w:asciiTheme="minorHAnsi" w:hAnsiTheme="minorHAnsi"/>
                <w:b/>
                <w:iCs/>
                <w:sz w:val="19"/>
                <w:szCs w:val="19"/>
              </w:rPr>
            </w:pPr>
            <w:r w:rsidRPr="00B30283">
              <w:rPr>
                <w:rFonts w:asciiTheme="minorHAnsi" w:hAnsiTheme="minorHAnsi"/>
                <w:b/>
                <w:iCs/>
                <w:sz w:val="19"/>
                <w:szCs w:val="19"/>
              </w:rPr>
              <w:t>2014</w:t>
            </w:r>
          </w:p>
        </w:tc>
        <w:tc>
          <w:tcPr>
            <w:tcW w:w="385" w:type="pct"/>
            <w:shd w:val="clear" w:color="auto" w:fill="C6D9F1" w:themeFill="text2" w:themeFillTint="33"/>
            <w:noWrap/>
            <w:vAlign w:val="center"/>
            <w:hideMark/>
          </w:tcPr>
          <w:p w14:paraId="1E64D6C8" w14:textId="77777777" w:rsidR="00D55F31" w:rsidRPr="00B30283" w:rsidRDefault="0024693B" w:rsidP="0002290A">
            <w:pPr>
              <w:jc w:val="center"/>
              <w:rPr>
                <w:rFonts w:asciiTheme="minorHAnsi" w:hAnsiTheme="minorHAnsi"/>
                <w:b/>
                <w:iCs/>
                <w:sz w:val="19"/>
                <w:szCs w:val="19"/>
              </w:rPr>
            </w:pPr>
            <w:r w:rsidRPr="00B30283">
              <w:rPr>
                <w:rFonts w:asciiTheme="minorHAnsi" w:hAnsiTheme="minorHAnsi"/>
                <w:b/>
                <w:iCs/>
                <w:sz w:val="19"/>
                <w:szCs w:val="19"/>
              </w:rPr>
              <w:t>2015</w:t>
            </w:r>
          </w:p>
        </w:tc>
        <w:tc>
          <w:tcPr>
            <w:tcW w:w="476" w:type="pct"/>
            <w:vMerge/>
            <w:shd w:val="clear" w:color="auto" w:fill="DBE5F1" w:themeFill="accent1" w:themeFillTint="33"/>
            <w:vAlign w:val="center"/>
            <w:hideMark/>
          </w:tcPr>
          <w:p w14:paraId="1D907214" w14:textId="77777777" w:rsidR="00D55F31" w:rsidRPr="003559E7" w:rsidRDefault="00D55F31" w:rsidP="0002290A">
            <w:pPr>
              <w:rPr>
                <w:rFonts w:asciiTheme="minorHAnsi" w:hAnsiTheme="minorHAnsi"/>
                <w:b/>
                <w:bCs/>
                <w:i/>
                <w:sz w:val="19"/>
                <w:szCs w:val="19"/>
              </w:rPr>
            </w:pPr>
          </w:p>
        </w:tc>
      </w:tr>
      <w:tr w:rsidR="00C425F2" w:rsidRPr="003559E7" w14:paraId="304405BC" w14:textId="77777777" w:rsidTr="001741F3">
        <w:trPr>
          <w:trHeight w:val="300"/>
        </w:trPr>
        <w:tc>
          <w:tcPr>
            <w:tcW w:w="1920" w:type="pct"/>
            <w:shd w:val="clear" w:color="auto" w:fill="auto"/>
            <w:noWrap/>
            <w:vAlign w:val="center"/>
            <w:hideMark/>
          </w:tcPr>
          <w:p w14:paraId="2D18D3FB" w14:textId="77777777" w:rsidR="00D55F31" w:rsidRPr="003559E7" w:rsidRDefault="0024693B" w:rsidP="0002290A">
            <w:pPr>
              <w:rPr>
                <w:rFonts w:asciiTheme="minorHAnsi" w:hAnsiTheme="minorHAnsi"/>
                <w:color w:val="000000"/>
                <w:sz w:val="19"/>
                <w:szCs w:val="19"/>
              </w:rPr>
            </w:pPr>
            <w:r w:rsidRPr="003559E7">
              <w:rPr>
                <w:rFonts w:asciiTheme="minorHAnsi" w:hAnsiTheme="minorHAnsi"/>
                <w:color w:val="000000"/>
                <w:sz w:val="19"/>
                <w:szCs w:val="19"/>
              </w:rPr>
              <w:t>Celkové náklady</w:t>
            </w:r>
          </w:p>
        </w:tc>
        <w:tc>
          <w:tcPr>
            <w:tcW w:w="386" w:type="pct"/>
            <w:shd w:val="clear" w:color="auto" w:fill="auto"/>
            <w:noWrap/>
            <w:vAlign w:val="center"/>
            <w:hideMark/>
          </w:tcPr>
          <w:p w14:paraId="2C8913C2" w14:textId="77777777" w:rsidR="00D55F31" w:rsidRPr="003559E7" w:rsidRDefault="0024693B" w:rsidP="0002290A">
            <w:pPr>
              <w:jc w:val="right"/>
              <w:rPr>
                <w:rFonts w:asciiTheme="minorHAnsi" w:hAnsiTheme="minorHAnsi"/>
                <w:color w:val="000000"/>
                <w:sz w:val="19"/>
                <w:szCs w:val="19"/>
              </w:rPr>
            </w:pPr>
            <w:r w:rsidRPr="003559E7">
              <w:rPr>
                <w:rFonts w:asciiTheme="minorHAnsi" w:hAnsiTheme="minorHAnsi"/>
                <w:color w:val="000000"/>
                <w:sz w:val="19"/>
                <w:szCs w:val="19"/>
              </w:rPr>
              <w:t>8 496</w:t>
            </w:r>
          </w:p>
        </w:tc>
        <w:tc>
          <w:tcPr>
            <w:tcW w:w="340" w:type="pct"/>
            <w:shd w:val="clear" w:color="auto" w:fill="auto"/>
            <w:noWrap/>
            <w:vAlign w:val="center"/>
            <w:hideMark/>
          </w:tcPr>
          <w:p w14:paraId="21C7CF92" w14:textId="77777777" w:rsidR="00D55F31" w:rsidRPr="003559E7" w:rsidRDefault="0024693B" w:rsidP="0002290A">
            <w:pPr>
              <w:jc w:val="right"/>
              <w:rPr>
                <w:rFonts w:asciiTheme="minorHAnsi" w:hAnsiTheme="minorHAnsi"/>
                <w:color w:val="000000"/>
                <w:sz w:val="19"/>
                <w:szCs w:val="19"/>
              </w:rPr>
            </w:pPr>
            <w:r w:rsidRPr="003559E7">
              <w:rPr>
                <w:rFonts w:asciiTheme="minorHAnsi" w:hAnsiTheme="minorHAnsi"/>
                <w:color w:val="000000"/>
                <w:sz w:val="19"/>
                <w:szCs w:val="19"/>
              </w:rPr>
              <w:t>8 646</w:t>
            </w:r>
          </w:p>
        </w:tc>
        <w:tc>
          <w:tcPr>
            <w:tcW w:w="384" w:type="pct"/>
            <w:shd w:val="clear" w:color="auto" w:fill="auto"/>
            <w:noWrap/>
            <w:vAlign w:val="center"/>
            <w:hideMark/>
          </w:tcPr>
          <w:p w14:paraId="0972E291" w14:textId="77777777" w:rsidR="00D55F31" w:rsidRPr="003559E7" w:rsidRDefault="0024693B" w:rsidP="0002290A">
            <w:pPr>
              <w:jc w:val="right"/>
              <w:rPr>
                <w:rFonts w:asciiTheme="minorHAnsi" w:hAnsiTheme="minorHAnsi"/>
                <w:color w:val="000000"/>
                <w:sz w:val="19"/>
                <w:szCs w:val="19"/>
              </w:rPr>
            </w:pPr>
            <w:r w:rsidRPr="003559E7">
              <w:rPr>
                <w:rFonts w:asciiTheme="minorHAnsi" w:hAnsiTheme="minorHAnsi"/>
                <w:color w:val="000000"/>
                <w:sz w:val="19"/>
                <w:szCs w:val="19"/>
              </w:rPr>
              <w:t>5 859</w:t>
            </w:r>
          </w:p>
        </w:tc>
        <w:tc>
          <w:tcPr>
            <w:tcW w:w="384" w:type="pct"/>
            <w:shd w:val="clear" w:color="auto" w:fill="auto"/>
            <w:noWrap/>
            <w:vAlign w:val="center"/>
            <w:hideMark/>
          </w:tcPr>
          <w:p w14:paraId="176A95F1" w14:textId="77777777" w:rsidR="00D55F31" w:rsidRPr="003559E7" w:rsidRDefault="0024693B" w:rsidP="0002290A">
            <w:pPr>
              <w:jc w:val="right"/>
              <w:rPr>
                <w:rFonts w:asciiTheme="minorHAnsi" w:hAnsiTheme="minorHAnsi"/>
                <w:color w:val="000000"/>
                <w:sz w:val="19"/>
                <w:szCs w:val="19"/>
              </w:rPr>
            </w:pPr>
            <w:r w:rsidRPr="003559E7">
              <w:rPr>
                <w:rFonts w:asciiTheme="minorHAnsi" w:hAnsiTheme="minorHAnsi"/>
                <w:color w:val="000000"/>
                <w:sz w:val="19"/>
                <w:szCs w:val="19"/>
              </w:rPr>
              <w:t>4 254</w:t>
            </w:r>
          </w:p>
        </w:tc>
        <w:tc>
          <w:tcPr>
            <w:tcW w:w="340" w:type="pct"/>
            <w:shd w:val="clear" w:color="auto" w:fill="auto"/>
            <w:noWrap/>
            <w:vAlign w:val="center"/>
            <w:hideMark/>
          </w:tcPr>
          <w:p w14:paraId="6F06FA0B" w14:textId="77777777" w:rsidR="00D55F31" w:rsidRPr="003559E7" w:rsidRDefault="0024693B" w:rsidP="0002290A">
            <w:pPr>
              <w:jc w:val="right"/>
              <w:rPr>
                <w:rFonts w:asciiTheme="minorHAnsi" w:hAnsiTheme="minorHAnsi"/>
                <w:color w:val="000000"/>
                <w:sz w:val="19"/>
                <w:szCs w:val="19"/>
              </w:rPr>
            </w:pPr>
            <w:r w:rsidRPr="003559E7">
              <w:rPr>
                <w:rFonts w:asciiTheme="minorHAnsi" w:hAnsiTheme="minorHAnsi"/>
                <w:color w:val="000000"/>
                <w:sz w:val="19"/>
                <w:szCs w:val="19"/>
              </w:rPr>
              <w:t>5 176</w:t>
            </w:r>
          </w:p>
        </w:tc>
        <w:tc>
          <w:tcPr>
            <w:tcW w:w="384" w:type="pct"/>
            <w:shd w:val="clear" w:color="auto" w:fill="auto"/>
            <w:noWrap/>
            <w:vAlign w:val="center"/>
            <w:hideMark/>
          </w:tcPr>
          <w:p w14:paraId="79B35A60" w14:textId="77777777" w:rsidR="00D55F31" w:rsidRPr="003559E7" w:rsidRDefault="0024693B" w:rsidP="0002290A">
            <w:pPr>
              <w:jc w:val="right"/>
              <w:rPr>
                <w:rFonts w:asciiTheme="minorHAnsi" w:hAnsiTheme="minorHAnsi"/>
                <w:color w:val="000000"/>
                <w:sz w:val="19"/>
                <w:szCs w:val="19"/>
              </w:rPr>
            </w:pPr>
            <w:r w:rsidRPr="003559E7">
              <w:rPr>
                <w:rFonts w:asciiTheme="minorHAnsi" w:hAnsiTheme="minorHAnsi"/>
                <w:color w:val="000000"/>
                <w:sz w:val="19"/>
                <w:szCs w:val="19"/>
              </w:rPr>
              <w:t>4 021</w:t>
            </w:r>
          </w:p>
        </w:tc>
        <w:tc>
          <w:tcPr>
            <w:tcW w:w="385" w:type="pct"/>
            <w:shd w:val="clear" w:color="auto" w:fill="auto"/>
            <w:noWrap/>
            <w:vAlign w:val="center"/>
            <w:hideMark/>
          </w:tcPr>
          <w:p w14:paraId="709F01BE" w14:textId="77777777" w:rsidR="00D55F31" w:rsidRPr="003559E7" w:rsidRDefault="0024693B" w:rsidP="0002290A">
            <w:pPr>
              <w:jc w:val="right"/>
              <w:rPr>
                <w:rFonts w:asciiTheme="minorHAnsi" w:hAnsiTheme="minorHAnsi"/>
                <w:color w:val="000000"/>
                <w:sz w:val="19"/>
                <w:szCs w:val="19"/>
              </w:rPr>
            </w:pPr>
            <w:r w:rsidRPr="003559E7">
              <w:rPr>
                <w:rFonts w:asciiTheme="minorHAnsi" w:hAnsiTheme="minorHAnsi"/>
                <w:color w:val="000000"/>
                <w:sz w:val="19"/>
                <w:szCs w:val="19"/>
              </w:rPr>
              <w:t>3 323</w:t>
            </w:r>
          </w:p>
        </w:tc>
        <w:tc>
          <w:tcPr>
            <w:tcW w:w="476" w:type="pct"/>
            <w:shd w:val="clear" w:color="auto" w:fill="auto"/>
            <w:noWrap/>
            <w:vAlign w:val="center"/>
            <w:hideMark/>
          </w:tcPr>
          <w:p w14:paraId="1F12D361" w14:textId="77777777" w:rsidR="00D55F31" w:rsidRPr="003559E7" w:rsidRDefault="0024693B" w:rsidP="0002290A">
            <w:pPr>
              <w:jc w:val="right"/>
              <w:rPr>
                <w:rFonts w:asciiTheme="minorHAnsi" w:hAnsiTheme="minorHAnsi"/>
                <w:b/>
                <w:bCs/>
                <w:color w:val="000000"/>
                <w:sz w:val="19"/>
                <w:szCs w:val="19"/>
              </w:rPr>
            </w:pPr>
            <w:r w:rsidRPr="003559E7">
              <w:rPr>
                <w:rFonts w:asciiTheme="minorHAnsi" w:hAnsiTheme="minorHAnsi"/>
                <w:b/>
                <w:bCs/>
                <w:color w:val="000000"/>
                <w:sz w:val="19"/>
                <w:szCs w:val="19"/>
              </w:rPr>
              <w:t>39 775</w:t>
            </w:r>
          </w:p>
        </w:tc>
      </w:tr>
      <w:tr w:rsidR="00C425F2" w:rsidRPr="003559E7" w14:paraId="5B09CB5A" w14:textId="77777777" w:rsidTr="001741F3">
        <w:trPr>
          <w:trHeight w:val="300"/>
        </w:trPr>
        <w:tc>
          <w:tcPr>
            <w:tcW w:w="1920" w:type="pct"/>
            <w:shd w:val="clear" w:color="auto" w:fill="auto"/>
            <w:noWrap/>
            <w:vAlign w:val="center"/>
            <w:hideMark/>
          </w:tcPr>
          <w:p w14:paraId="3C9CBA70" w14:textId="77777777" w:rsidR="00D55F31" w:rsidRPr="003559E7" w:rsidRDefault="0024693B" w:rsidP="0002290A">
            <w:pPr>
              <w:rPr>
                <w:rFonts w:asciiTheme="minorHAnsi" w:hAnsiTheme="minorHAnsi"/>
                <w:color w:val="000000"/>
                <w:sz w:val="19"/>
                <w:szCs w:val="19"/>
              </w:rPr>
            </w:pPr>
            <w:r w:rsidRPr="003559E7">
              <w:rPr>
                <w:rFonts w:asciiTheme="minorHAnsi" w:hAnsiTheme="minorHAnsi"/>
                <w:color w:val="000000"/>
                <w:sz w:val="19"/>
                <w:szCs w:val="19"/>
              </w:rPr>
              <w:t>Celkové výnosy</w:t>
            </w:r>
          </w:p>
        </w:tc>
        <w:tc>
          <w:tcPr>
            <w:tcW w:w="386" w:type="pct"/>
            <w:shd w:val="clear" w:color="auto" w:fill="auto"/>
            <w:noWrap/>
            <w:vAlign w:val="center"/>
            <w:hideMark/>
          </w:tcPr>
          <w:p w14:paraId="63A93CEB" w14:textId="77777777" w:rsidR="00D55F31" w:rsidRPr="003559E7" w:rsidRDefault="0024693B" w:rsidP="0002290A">
            <w:pPr>
              <w:jc w:val="right"/>
              <w:rPr>
                <w:rFonts w:asciiTheme="minorHAnsi" w:hAnsiTheme="minorHAnsi"/>
                <w:color w:val="000000"/>
                <w:sz w:val="19"/>
                <w:szCs w:val="19"/>
              </w:rPr>
            </w:pPr>
            <w:r w:rsidRPr="003559E7">
              <w:rPr>
                <w:rFonts w:asciiTheme="minorHAnsi" w:hAnsiTheme="minorHAnsi"/>
                <w:color w:val="000000"/>
                <w:sz w:val="19"/>
                <w:szCs w:val="19"/>
              </w:rPr>
              <w:t>4 685</w:t>
            </w:r>
          </w:p>
        </w:tc>
        <w:tc>
          <w:tcPr>
            <w:tcW w:w="340" w:type="pct"/>
            <w:shd w:val="clear" w:color="auto" w:fill="auto"/>
            <w:noWrap/>
            <w:vAlign w:val="center"/>
            <w:hideMark/>
          </w:tcPr>
          <w:p w14:paraId="6E92E23A" w14:textId="77777777" w:rsidR="00D55F31" w:rsidRPr="003559E7" w:rsidRDefault="0024693B" w:rsidP="0002290A">
            <w:pPr>
              <w:jc w:val="right"/>
              <w:rPr>
                <w:rFonts w:asciiTheme="minorHAnsi" w:hAnsiTheme="minorHAnsi"/>
                <w:color w:val="000000"/>
                <w:sz w:val="19"/>
                <w:szCs w:val="19"/>
              </w:rPr>
            </w:pPr>
            <w:r w:rsidRPr="003559E7">
              <w:rPr>
                <w:rFonts w:asciiTheme="minorHAnsi" w:hAnsiTheme="minorHAnsi"/>
                <w:color w:val="000000"/>
                <w:sz w:val="19"/>
                <w:szCs w:val="19"/>
              </w:rPr>
              <w:t>9 237</w:t>
            </w:r>
          </w:p>
        </w:tc>
        <w:tc>
          <w:tcPr>
            <w:tcW w:w="384" w:type="pct"/>
            <w:shd w:val="clear" w:color="auto" w:fill="auto"/>
            <w:noWrap/>
            <w:vAlign w:val="center"/>
            <w:hideMark/>
          </w:tcPr>
          <w:p w14:paraId="13FDC9A1" w14:textId="77777777" w:rsidR="00D55F31" w:rsidRPr="003559E7" w:rsidRDefault="0024693B" w:rsidP="0002290A">
            <w:pPr>
              <w:jc w:val="right"/>
              <w:rPr>
                <w:rFonts w:asciiTheme="minorHAnsi" w:hAnsiTheme="minorHAnsi"/>
                <w:color w:val="000000"/>
                <w:sz w:val="19"/>
                <w:szCs w:val="19"/>
              </w:rPr>
            </w:pPr>
            <w:r w:rsidRPr="003559E7">
              <w:rPr>
                <w:rFonts w:asciiTheme="minorHAnsi" w:hAnsiTheme="minorHAnsi"/>
                <w:color w:val="000000"/>
                <w:sz w:val="19"/>
                <w:szCs w:val="19"/>
              </w:rPr>
              <w:t>1 598</w:t>
            </w:r>
          </w:p>
        </w:tc>
        <w:tc>
          <w:tcPr>
            <w:tcW w:w="384" w:type="pct"/>
            <w:shd w:val="clear" w:color="auto" w:fill="auto"/>
            <w:noWrap/>
            <w:vAlign w:val="center"/>
            <w:hideMark/>
          </w:tcPr>
          <w:p w14:paraId="0A2CD106" w14:textId="77777777" w:rsidR="00D55F31" w:rsidRPr="003559E7" w:rsidRDefault="0024693B" w:rsidP="0002290A">
            <w:pPr>
              <w:jc w:val="right"/>
              <w:rPr>
                <w:rFonts w:asciiTheme="minorHAnsi" w:hAnsiTheme="minorHAnsi"/>
                <w:color w:val="000000"/>
                <w:sz w:val="19"/>
                <w:szCs w:val="19"/>
              </w:rPr>
            </w:pPr>
            <w:r w:rsidRPr="003559E7">
              <w:rPr>
                <w:rFonts w:asciiTheme="minorHAnsi" w:hAnsiTheme="minorHAnsi"/>
                <w:color w:val="000000"/>
                <w:sz w:val="19"/>
                <w:szCs w:val="19"/>
              </w:rPr>
              <w:t>2 160</w:t>
            </w:r>
          </w:p>
        </w:tc>
        <w:tc>
          <w:tcPr>
            <w:tcW w:w="340" w:type="pct"/>
            <w:shd w:val="clear" w:color="auto" w:fill="auto"/>
            <w:noWrap/>
            <w:vAlign w:val="center"/>
            <w:hideMark/>
          </w:tcPr>
          <w:p w14:paraId="745B9B1C" w14:textId="77777777" w:rsidR="00D55F31" w:rsidRPr="003559E7" w:rsidRDefault="0024693B" w:rsidP="0002290A">
            <w:pPr>
              <w:jc w:val="right"/>
              <w:rPr>
                <w:rFonts w:asciiTheme="minorHAnsi" w:hAnsiTheme="minorHAnsi"/>
                <w:color w:val="000000"/>
                <w:sz w:val="19"/>
                <w:szCs w:val="19"/>
              </w:rPr>
            </w:pPr>
            <w:r w:rsidRPr="003559E7">
              <w:rPr>
                <w:rFonts w:asciiTheme="minorHAnsi" w:hAnsiTheme="minorHAnsi"/>
                <w:color w:val="000000"/>
                <w:sz w:val="19"/>
                <w:szCs w:val="19"/>
              </w:rPr>
              <w:t>7 247</w:t>
            </w:r>
          </w:p>
        </w:tc>
        <w:tc>
          <w:tcPr>
            <w:tcW w:w="384" w:type="pct"/>
            <w:shd w:val="clear" w:color="auto" w:fill="auto"/>
            <w:noWrap/>
            <w:vAlign w:val="center"/>
            <w:hideMark/>
          </w:tcPr>
          <w:p w14:paraId="795A6965" w14:textId="77777777" w:rsidR="00D55F31" w:rsidRPr="003559E7" w:rsidRDefault="0024693B" w:rsidP="0002290A">
            <w:pPr>
              <w:jc w:val="right"/>
              <w:rPr>
                <w:rFonts w:asciiTheme="minorHAnsi" w:hAnsiTheme="minorHAnsi"/>
                <w:color w:val="000000"/>
                <w:sz w:val="19"/>
                <w:szCs w:val="19"/>
              </w:rPr>
            </w:pPr>
            <w:r w:rsidRPr="003559E7">
              <w:rPr>
                <w:rFonts w:asciiTheme="minorHAnsi" w:hAnsiTheme="minorHAnsi"/>
                <w:color w:val="000000"/>
                <w:sz w:val="19"/>
                <w:szCs w:val="19"/>
              </w:rPr>
              <w:t>1 675</w:t>
            </w:r>
          </w:p>
        </w:tc>
        <w:tc>
          <w:tcPr>
            <w:tcW w:w="385" w:type="pct"/>
            <w:shd w:val="clear" w:color="auto" w:fill="auto"/>
            <w:noWrap/>
            <w:vAlign w:val="center"/>
            <w:hideMark/>
          </w:tcPr>
          <w:p w14:paraId="1C8A3B02" w14:textId="77777777" w:rsidR="00D55F31" w:rsidRPr="003559E7" w:rsidRDefault="0024693B" w:rsidP="0002290A">
            <w:pPr>
              <w:jc w:val="right"/>
              <w:rPr>
                <w:rFonts w:asciiTheme="minorHAnsi" w:hAnsiTheme="minorHAnsi"/>
                <w:color w:val="000000"/>
                <w:sz w:val="19"/>
                <w:szCs w:val="19"/>
              </w:rPr>
            </w:pPr>
            <w:r w:rsidRPr="003559E7">
              <w:rPr>
                <w:rFonts w:asciiTheme="minorHAnsi" w:hAnsiTheme="minorHAnsi"/>
                <w:color w:val="000000"/>
                <w:sz w:val="19"/>
                <w:szCs w:val="19"/>
              </w:rPr>
              <w:t>1 529</w:t>
            </w:r>
          </w:p>
        </w:tc>
        <w:tc>
          <w:tcPr>
            <w:tcW w:w="476" w:type="pct"/>
            <w:shd w:val="clear" w:color="auto" w:fill="auto"/>
            <w:noWrap/>
            <w:vAlign w:val="center"/>
            <w:hideMark/>
          </w:tcPr>
          <w:p w14:paraId="7E06842E" w14:textId="77777777" w:rsidR="00D55F31" w:rsidRPr="003559E7" w:rsidRDefault="0024693B" w:rsidP="0002290A">
            <w:pPr>
              <w:jc w:val="right"/>
              <w:rPr>
                <w:rFonts w:asciiTheme="minorHAnsi" w:hAnsiTheme="minorHAnsi"/>
                <w:b/>
                <w:bCs/>
                <w:color w:val="000000"/>
                <w:sz w:val="19"/>
                <w:szCs w:val="19"/>
              </w:rPr>
            </w:pPr>
            <w:r w:rsidRPr="003559E7">
              <w:rPr>
                <w:rFonts w:asciiTheme="minorHAnsi" w:hAnsiTheme="minorHAnsi"/>
                <w:b/>
                <w:bCs/>
                <w:color w:val="000000"/>
                <w:sz w:val="19"/>
                <w:szCs w:val="19"/>
              </w:rPr>
              <w:t>28 131</w:t>
            </w:r>
          </w:p>
        </w:tc>
      </w:tr>
      <w:tr w:rsidR="00C425F2" w:rsidRPr="003559E7" w14:paraId="2DED0BA7" w14:textId="77777777" w:rsidTr="001741F3">
        <w:trPr>
          <w:trHeight w:val="300"/>
        </w:trPr>
        <w:tc>
          <w:tcPr>
            <w:tcW w:w="1920" w:type="pct"/>
            <w:shd w:val="clear" w:color="auto" w:fill="auto"/>
            <w:noWrap/>
            <w:vAlign w:val="center"/>
            <w:hideMark/>
          </w:tcPr>
          <w:p w14:paraId="21CB123D" w14:textId="77777777" w:rsidR="00D55F31" w:rsidRPr="003559E7" w:rsidRDefault="0024693B" w:rsidP="0002290A">
            <w:pPr>
              <w:rPr>
                <w:rFonts w:asciiTheme="minorHAnsi" w:hAnsiTheme="minorHAnsi"/>
                <w:color w:val="000000"/>
                <w:sz w:val="19"/>
                <w:szCs w:val="19"/>
              </w:rPr>
            </w:pPr>
            <w:r w:rsidRPr="003559E7">
              <w:rPr>
                <w:rFonts w:asciiTheme="minorHAnsi" w:hAnsiTheme="minorHAnsi"/>
                <w:color w:val="000000"/>
                <w:sz w:val="19"/>
                <w:szCs w:val="19"/>
              </w:rPr>
              <w:t xml:space="preserve">         z toho mj. tržby z prodeje majetku</w:t>
            </w:r>
          </w:p>
        </w:tc>
        <w:tc>
          <w:tcPr>
            <w:tcW w:w="386" w:type="pct"/>
            <w:shd w:val="clear" w:color="auto" w:fill="auto"/>
            <w:noWrap/>
            <w:vAlign w:val="center"/>
            <w:hideMark/>
          </w:tcPr>
          <w:p w14:paraId="06878023" w14:textId="77777777" w:rsidR="00D55F31" w:rsidRPr="003559E7" w:rsidRDefault="0024693B" w:rsidP="0002290A">
            <w:pPr>
              <w:jc w:val="right"/>
              <w:rPr>
                <w:rFonts w:asciiTheme="minorHAnsi" w:hAnsiTheme="minorHAnsi"/>
                <w:color w:val="000000"/>
                <w:sz w:val="19"/>
                <w:szCs w:val="19"/>
              </w:rPr>
            </w:pPr>
            <w:r w:rsidRPr="003559E7">
              <w:rPr>
                <w:rFonts w:asciiTheme="minorHAnsi" w:hAnsiTheme="minorHAnsi"/>
                <w:color w:val="000000"/>
                <w:sz w:val="19"/>
                <w:szCs w:val="19"/>
              </w:rPr>
              <w:t>1 643</w:t>
            </w:r>
          </w:p>
        </w:tc>
        <w:tc>
          <w:tcPr>
            <w:tcW w:w="340" w:type="pct"/>
            <w:shd w:val="clear" w:color="auto" w:fill="auto"/>
            <w:noWrap/>
            <w:vAlign w:val="center"/>
            <w:hideMark/>
          </w:tcPr>
          <w:p w14:paraId="174B6741" w14:textId="77777777" w:rsidR="00D55F31" w:rsidRPr="003559E7" w:rsidRDefault="0024693B" w:rsidP="0002290A">
            <w:pPr>
              <w:jc w:val="right"/>
              <w:rPr>
                <w:rFonts w:asciiTheme="minorHAnsi" w:hAnsiTheme="minorHAnsi"/>
                <w:color w:val="000000"/>
                <w:sz w:val="19"/>
                <w:szCs w:val="19"/>
              </w:rPr>
            </w:pPr>
            <w:r w:rsidRPr="003559E7">
              <w:rPr>
                <w:rFonts w:asciiTheme="minorHAnsi" w:hAnsiTheme="minorHAnsi"/>
                <w:color w:val="000000"/>
                <w:sz w:val="19"/>
                <w:szCs w:val="19"/>
              </w:rPr>
              <w:t>4 843</w:t>
            </w:r>
          </w:p>
        </w:tc>
        <w:tc>
          <w:tcPr>
            <w:tcW w:w="384" w:type="pct"/>
            <w:shd w:val="clear" w:color="auto" w:fill="auto"/>
            <w:noWrap/>
            <w:vAlign w:val="center"/>
            <w:hideMark/>
          </w:tcPr>
          <w:p w14:paraId="42C4E65B" w14:textId="77777777" w:rsidR="00D55F31" w:rsidRPr="003559E7" w:rsidRDefault="0024693B" w:rsidP="0002290A">
            <w:pPr>
              <w:jc w:val="right"/>
              <w:rPr>
                <w:rFonts w:asciiTheme="minorHAnsi" w:hAnsiTheme="minorHAnsi"/>
                <w:color w:val="000000"/>
                <w:sz w:val="19"/>
                <w:szCs w:val="19"/>
              </w:rPr>
            </w:pPr>
            <w:r w:rsidRPr="003559E7">
              <w:rPr>
                <w:rFonts w:asciiTheme="minorHAnsi" w:hAnsiTheme="minorHAnsi"/>
                <w:color w:val="000000"/>
                <w:sz w:val="19"/>
                <w:szCs w:val="19"/>
              </w:rPr>
              <w:t>498</w:t>
            </w:r>
          </w:p>
        </w:tc>
        <w:tc>
          <w:tcPr>
            <w:tcW w:w="384" w:type="pct"/>
            <w:shd w:val="clear" w:color="auto" w:fill="auto"/>
            <w:noWrap/>
            <w:vAlign w:val="center"/>
            <w:hideMark/>
          </w:tcPr>
          <w:p w14:paraId="16C5FE50" w14:textId="77777777" w:rsidR="00D55F31" w:rsidRPr="003559E7" w:rsidRDefault="0024693B" w:rsidP="0002290A">
            <w:pPr>
              <w:jc w:val="right"/>
              <w:rPr>
                <w:rFonts w:asciiTheme="minorHAnsi" w:hAnsiTheme="minorHAnsi"/>
                <w:color w:val="000000"/>
                <w:sz w:val="19"/>
                <w:szCs w:val="19"/>
              </w:rPr>
            </w:pPr>
            <w:r w:rsidRPr="003559E7">
              <w:rPr>
                <w:rFonts w:asciiTheme="minorHAnsi" w:hAnsiTheme="minorHAnsi"/>
                <w:color w:val="000000"/>
                <w:sz w:val="19"/>
                <w:szCs w:val="19"/>
              </w:rPr>
              <w:t>1 000</w:t>
            </w:r>
          </w:p>
        </w:tc>
        <w:tc>
          <w:tcPr>
            <w:tcW w:w="340" w:type="pct"/>
            <w:shd w:val="clear" w:color="auto" w:fill="auto"/>
            <w:noWrap/>
            <w:vAlign w:val="center"/>
            <w:hideMark/>
          </w:tcPr>
          <w:p w14:paraId="44BA00F4" w14:textId="77777777" w:rsidR="00D55F31" w:rsidRPr="003559E7" w:rsidRDefault="0024693B" w:rsidP="0002290A">
            <w:pPr>
              <w:jc w:val="right"/>
              <w:rPr>
                <w:rFonts w:asciiTheme="minorHAnsi" w:hAnsiTheme="minorHAnsi"/>
                <w:color w:val="000000"/>
                <w:sz w:val="19"/>
                <w:szCs w:val="19"/>
              </w:rPr>
            </w:pPr>
            <w:r w:rsidRPr="003559E7">
              <w:rPr>
                <w:rFonts w:asciiTheme="minorHAnsi" w:hAnsiTheme="minorHAnsi"/>
                <w:color w:val="000000"/>
                <w:sz w:val="19"/>
                <w:szCs w:val="19"/>
              </w:rPr>
              <w:t>6 132</w:t>
            </w:r>
          </w:p>
        </w:tc>
        <w:tc>
          <w:tcPr>
            <w:tcW w:w="384" w:type="pct"/>
            <w:shd w:val="clear" w:color="auto" w:fill="auto"/>
            <w:noWrap/>
            <w:vAlign w:val="center"/>
            <w:hideMark/>
          </w:tcPr>
          <w:p w14:paraId="2EC36BD4" w14:textId="77777777" w:rsidR="00D55F31" w:rsidRPr="003559E7" w:rsidRDefault="0024693B" w:rsidP="0002290A">
            <w:pPr>
              <w:jc w:val="right"/>
              <w:rPr>
                <w:rFonts w:asciiTheme="minorHAnsi" w:hAnsiTheme="minorHAnsi"/>
                <w:color w:val="000000"/>
                <w:sz w:val="19"/>
                <w:szCs w:val="19"/>
              </w:rPr>
            </w:pPr>
            <w:r w:rsidRPr="003559E7">
              <w:rPr>
                <w:rFonts w:asciiTheme="minorHAnsi" w:hAnsiTheme="minorHAnsi"/>
                <w:color w:val="000000"/>
                <w:sz w:val="19"/>
                <w:szCs w:val="19"/>
              </w:rPr>
              <w:t>0</w:t>
            </w:r>
          </w:p>
        </w:tc>
        <w:tc>
          <w:tcPr>
            <w:tcW w:w="385" w:type="pct"/>
            <w:shd w:val="clear" w:color="auto" w:fill="auto"/>
            <w:noWrap/>
            <w:vAlign w:val="center"/>
            <w:hideMark/>
          </w:tcPr>
          <w:p w14:paraId="1A0C8008" w14:textId="77777777" w:rsidR="00D55F31" w:rsidRPr="003559E7" w:rsidRDefault="0024693B" w:rsidP="0002290A">
            <w:pPr>
              <w:jc w:val="right"/>
              <w:rPr>
                <w:rFonts w:asciiTheme="minorHAnsi" w:hAnsiTheme="minorHAnsi"/>
                <w:color w:val="000000"/>
                <w:sz w:val="19"/>
                <w:szCs w:val="19"/>
              </w:rPr>
            </w:pPr>
            <w:r w:rsidRPr="003559E7">
              <w:rPr>
                <w:rFonts w:asciiTheme="minorHAnsi" w:hAnsiTheme="minorHAnsi"/>
                <w:color w:val="000000"/>
                <w:sz w:val="19"/>
                <w:szCs w:val="19"/>
              </w:rPr>
              <w:t>321</w:t>
            </w:r>
          </w:p>
        </w:tc>
        <w:tc>
          <w:tcPr>
            <w:tcW w:w="476" w:type="pct"/>
            <w:shd w:val="clear" w:color="auto" w:fill="auto"/>
            <w:noWrap/>
            <w:vAlign w:val="center"/>
            <w:hideMark/>
          </w:tcPr>
          <w:p w14:paraId="6C98687A" w14:textId="77777777" w:rsidR="00D55F31" w:rsidRPr="003559E7" w:rsidRDefault="0024693B" w:rsidP="0002290A">
            <w:pPr>
              <w:jc w:val="right"/>
              <w:rPr>
                <w:rFonts w:asciiTheme="minorHAnsi" w:hAnsiTheme="minorHAnsi"/>
                <w:b/>
                <w:bCs/>
                <w:color w:val="000000"/>
                <w:sz w:val="19"/>
                <w:szCs w:val="19"/>
              </w:rPr>
            </w:pPr>
            <w:r w:rsidRPr="003559E7">
              <w:rPr>
                <w:rFonts w:asciiTheme="minorHAnsi" w:hAnsiTheme="minorHAnsi"/>
                <w:b/>
                <w:bCs/>
                <w:color w:val="000000"/>
                <w:sz w:val="19"/>
                <w:szCs w:val="19"/>
              </w:rPr>
              <w:t>14 437</w:t>
            </w:r>
          </w:p>
        </w:tc>
      </w:tr>
      <w:tr w:rsidR="00C425F2" w:rsidRPr="003559E7" w14:paraId="2B34E6F5" w14:textId="77777777" w:rsidTr="001741F3">
        <w:trPr>
          <w:trHeight w:val="300"/>
        </w:trPr>
        <w:tc>
          <w:tcPr>
            <w:tcW w:w="1920" w:type="pct"/>
            <w:shd w:val="clear" w:color="auto" w:fill="auto"/>
            <w:noWrap/>
            <w:vAlign w:val="center"/>
            <w:hideMark/>
          </w:tcPr>
          <w:p w14:paraId="79E4DEE8" w14:textId="77777777" w:rsidR="00D55F31" w:rsidRPr="003559E7" w:rsidRDefault="0024693B" w:rsidP="0002290A">
            <w:pPr>
              <w:rPr>
                <w:rFonts w:asciiTheme="minorHAnsi" w:hAnsiTheme="minorHAnsi"/>
                <w:color w:val="000000"/>
                <w:sz w:val="19"/>
                <w:szCs w:val="19"/>
              </w:rPr>
            </w:pPr>
            <w:r w:rsidRPr="003559E7">
              <w:rPr>
                <w:rFonts w:asciiTheme="minorHAnsi" w:hAnsiTheme="minorHAnsi"/>
                <w:color w:val="000000"/>
                <w:sz w:val="19"/>
                <w:szCs w:val="19"/>
              </w:rPr>
              <w:t xml:space="preserve">         z toho mj. tržby z pronájmu</w:t>
            </w:r>
          </w:p>
        </w:tc>
        <w:tc>
          <w:tcPr>
            <w:tcW w:w="386" w:type="pct"/>
            <w:shd w:val="clear" w:color="auto" w:fill="auto"/>
            <w:noWrap/>
            <w:vAlign w:val="center"/>
            <w:hideMark/>
          </w:tcPr>
          <w:p w14:paraId="5C4850EE" w14:textId="77777777" w:rsidR="00D55F31" w:rsidRPr="003559E7" w:rsidRDefault="0024693B" w:rsidP="0002290A">
            <w:pPr>
              <w:jc w:val="right"/>
              <w:rPr>
                <w:rFonts w:asciiTheme="minorHAnsi" w:hAnsiTheme="minorHAnsi"/>
                <w:color w:val="000000"/>
                <w:sz w:val="19"/>
                <w:szCs w:val="19"/>
              </w:rPr>
            </w:pPr>
            <w:r w:rsidRPr="003559E7">
              <w:rPr>
                <w:rFonts w:asciiTheme="minorHAnsi" w:hAnsiTheme="minorHAnsi"/>
                <w:color w:val="000000"/>
                <w:sz w:val="19"/>
                <w:szCs w:val="19"/>
              </w:rPr>
              <w:t>980</w:t>
            </w:r>
          </w:p>
        </w:tc>
        <w:tc>
          <w:tcPr>
            <w:tcW w:w="340" w:type="pct"/>
            <w:shd w:val="clear" w:color="auto" w:fill="auto"/>
            <w:noWrap/>
            <w:vAlign w:val="center"/>
            <w:hideMark/>
          </w:tcPr>
          <w:p w14:paraId="5D55B4F8" w14:textId="77777777" w:rsidR="00D55F31" w:rsidRPr="003559E7" w:rsidRDefault="0024693B" w:rsidP="0002290A">
            <w:pPr>
              <w:jc w:val="right"/>
              <w:rPr>
                <w:rFonts w:asciiTheme="minorHAnsi" w:hAnsiTheme="minorHAnsi"/>
                <w:color w:val="000000"/>
                <w:sz w:val="19"/>
                <w:szCs w:val="19"/>
              </w:rPr>
            </w:pPr>
            <w:r w:rsidRPr="003559E7">
              <w:rPr>
                <w:rFonts w:asciiTheme="minorHAnsi" w:hAnsiTheme="minorHAnsi"/>
                <w:color w:val="000000"/>
                <w:sz w:val="19"/>
                <w:szCs w:val="19"/>
              </w:rPr>
              <w:t>910</w:t>
            </w:r>
          </w:p>
        </w:tc>
        <w:tc>
          <w:tcPr>
            <w:tcW w:w="384" w:type="pct"/>
            <w:shd w:val="clear" w:color="auto" w:fill="auto"/>
            <w:noWrap/>
            <w:vAlign w:val="center"/>
            <w:hideMark/>
          </w:tcPr>
          <w:p w14:paraId="3C0C6742" w14:textId="77777777" w:rsidR="00D55F31" w:rsidRPr="003559E7" w:rsidRDefault="0024693B" w:rsidP="0002290A">
            <w:pPr>
              <w:jc w:val="right"/>
              <w:rPr>
                <w:rFonts w:asciiTheme="minorHAnsi" w:hAnsiTheme="minorHAnsi"/>
                <w:color w:val="000000"/>
                <w:sz w:val="19"/>
                <w:szCs w:val="19"/>
              </w:rPr>
            </w:pPr>
            <w:r w:rsidRPr="003559E7">
              <w:rPr>
                <w:rFonts w:asciiTheme="minorHAnsi" w:hAnsiTheme="minorHAnsi"/>
                <w:color w:val="000000"/>
                <w:sz w:val="19"/>
                <w:szCs w:val="19"/>
              </w:rPr>
              <w:t>836</w:t>
            </w:r>
          </w:p>
        </w:tc>
        <w:tc>
          <w:tcPr>
            <w:tcW w:w="384" w:type="pct"/>
            <w:shd w:val="clear" w:color="auto" w:fill="auto"/>
            <w:noWrap/>
            <w:vAlign w:val="center"/>
            <w:hideMark/>
          </w:tcPr>
          <w:p w14:paraId="42E22EA9" w14:textId="77777777" w:rsidR="00D55F31" w:rsidRPr="003559E7" w:rsidRDefault="0024693B" w:rsidP="0002290A">
            <w:pPr>
              <w:jc w:val="right"/>
              <w:rPr>
                <w:rFonts w:asciiTheme="minorHAnsi" w:hAnsiTheme="minorHAnsi"/>
                <w:color w:val="000000"/>
                <w:sz w:val="19"/>
                <w:szCs w:val="19"/>
              </w:rPr>
            </w:pPr>
            <w:r w:rsidRPr="003559E7">
              <w:rPr>
                <w:rFonts w:asciiTheme="minorHAnsi" w:hAnsiTheme="minorHAnsi"/>
                <w:color w:val="000000"/>
                <w:sz w:val="19"/>
                <w:szCs w:val="19"/>
              </w:rPr>
              <w:t>1 036</w:t>
            </w:r>
          </w:p>
        </w:tc>
        <w:tc>
          <w:tcPr>
            <w:tcW w:w="340" w:type="pct"/>
            <w:shd w:val="clear" w:color="auto" w:fill="auto"/>
            <w:noWrap/>
            <w:vAlign w:val="center"/>
            <w:hideMark/>
          </w:tcPr>
          <w:p w14:paraId="7A24E182" w14:textId="77777777" w:rsidR="00D55F31" w:rsidRPr="003559E7" w:rsidRDefault="0024693B" w:rsidP="0002290A">
            <w:pPr>
              <w:jc w:val="right"/>
              <w:rPr>
                <w:rFonts w:asciiTheme="minorHAnsi" w:hAnsiTheme="minorHAnsi"/>
                <w:color w:val="000000"/>
                <w:sz w:val="19"/>
                <w:szCs w:val="19"/>
              </w:rPr>
            </w:pPr>
            <w:r w:rsidRPr="003559E7">
              <w:rPr>
                <w:rFonts w:asciiTheme="minorHAnsi" w:hAnsiTheme="minorHAnsi"/>
                <w:color w:val="000000"/>
                <w:sz w:val="19"/>
                <w:szCs w:val="19"/>
              </w:rPr>
              <w:t>1 056</w:t>
            </w:r>
          </w:p>
        </w:tc>
        <w:tc>
          <w:tcPr>
            <w:tcW w:w="384" w:type="pct"/>
            <w:shd w:val="clear" w:color="auto" w:fill="auto"/>
            <w:noWrap/>
            <w:vAlign w:val="center"/>
            <w:hideMark/>
          </w:tcPr>
          <w:p w14:paraId="73EC2971" w14:textId="77777777" w:rsidR="00D55F31" w:rsidRPr="003559E7" w:rsidRDefault="0024693B" w:rsidP="0002290A">
            <w:pPr>
              <w:jc w:val="right"/>
              <w:rPr>
                <w:rFonts w:asciiTheme="minorHAnsi" w:hAnsiTheme="minorHAnsi"/>
                <w:color w:val="000000"/>
                <w:sz w:val="19"/>
                <w:szCs w:val="19"/>
              </w:rPr>
            </w:pPr>
            <w:r w:rsidRPr="003559E7">
              <w:rPr>
                <w:rFonts w:asciiTheme="minorHAnsi" w:hAnsiTheme="minorHAnsi"/>
                <w:color w:val="000000"/>
                <w:sz w:val="19"/>
                <w:szCs w:val="19"/>
              </w:rPr>
              <w:t>1 222</w:t>
            </w:r>
          </w:p>
        </w:tc>
        <w:tc>
          <w:tcPr>
            <w:tcW w:w="385" w:type="pct"/>
            <w:shd w:val="clear" w:color="auto" w:fill="auto"/>
            <w:noWrap/>
            <w:vAlign w:val="center"/>
            <w:hideMark/>
          </w:tcPr>
          <w:p w14:paraId="45FEBF93" w14:textId="77777777" w:rsidR="00D55F31" w:rsidRPr="003559E7" w:rsidRDefault="0024693B" w:rsidP="0002290A">
            <w:pPr>
              <w:jc w:val="right"/>
              <w:rPr>
                <w:rFonts w:asciiTheme="minorHAnsi" w:hAnsiTheme="minorHAnsi"/>
                <w:color w:val="000000"/>
                <w:sz w:val="19"/>
                <w:szCs w:val="19"/>
              </w:rPr>
            </w:pPr>
            <w:r w:rsidRPr="003559E7">
              <w:rPr>
                <w:rFonts w:asciiTheme="minorHAnsi" w:hAnsiTheme="minorHAnsi"/>
                <w:color w:val="000000"/>
                <w:sz w:val="19"/>
                <w:szCs w:val="19"/>
              </w:rPr>
              <w:t>958</w:t>
            </w:r>
          </w:p>
        </w:tc>
        <w:tc>
          <w:tcPr>
            <w:tcW w:w="476" w:type="pct"/>
            <w:shd w:val="clear" w:color="auto" w:fill="auto"/>
            <w:noWrap/>
            <w:vAlign w:val="center"/>
            <w:hideMark/>
          </w:tcPr>
          <w:p w14:paraId="5908370E" w14:textId="77777777" w:rsidR="00D55F31" w:rsidRPr="003559E7" w:rsidRDefault="0024693B" w:rsidP="0002290A">
            <w:pPr>
              <w:jc w:val="right"/>
              <w:rPr>
                <w:rFonts w:asciiTheme="minorHAnsi" w:hAnsiTheme="minorHAnsi"/>
                <w:b/>
                <w:bCs/>
                <w:color w:val="000000"/>
                <w:sz w:val="19"/>
                <w:szCs w:val="19"/>
              </w:rPr>
            </w:pPr>
            <w:r w:rsidRPr="003559E7">
              <w:rPr>
                <w:rFonts w:asciiTheme="minorHAnsi" w:hAnsiTheme="minorHAnsi"/>
                <w:b/>
                <w:bCs/>
                <w:color w:val="000000"/>
                <w:sz w:val="19"/>
                <w:szCs w:val="19"/>
              </w:rPr>
              <w:t>6 998</w:t>
            </w:r>
          </w:p>
        </w:tc>
      </w:tr>
      <w:tr w:rsidR="00C425F2" w:rsidRPr="003559E7" w14:paraId="405642A1" w14:textId="77777777" w:rsidTr="001741F3">
        <w:trPr>
          <w:trHeight w:val="300"/>
        </w:trPr>
        <w:tc>
          <w:tcPr>
            <w:tcW w:w="1920" w:type="pct"/>
            <w:shd w:val="clear" w:color="auto" w:fill="auto"/>
            <w:noWrap/>
            <w:vAlign w:val="center"/>
            <w:hideMark/>
          </w:tcPr>
          <w:p w14:paraId="278D1ACC" w14:textId="77777777" w:rsidR="00D55F31" w:rsidRPr="003559E7" w:rsidRDefault="0024693B" w:rsidP="0002290A">
            <w:pPr>
              <w:rPr>
                <w:rFonts w:asciiTheme="minorHAnsi" w:hAnsiTheme="minorHAnsi"/>
                <w:b/>
                <w:color w:val="000000"/>
                <w:sz w:val="19"/>
                <w:szCs w:val="19"/>
              </w:rPr>
            </w:pPr>
            <w:r w:rsidRPr="003559E7">
              <w:rPr>
                <w:rFonts w:asciiTheme="minorHAnsi" w:hAnsiTheme="minorHAnsi"/>
                <w:b/>
                <w:color w:val="000000"/>
                <w:sz w:val="19"/>
                <w:szCs w:val="19"/>
              </w:rPr>
              <w:t>Výsledek hospodaření za účetní období</w:t>
            </w:r>
          </w:p>
        </w:tc>
        <w:tc>
          <w:tcPr>
            <w:tcW w:w="386" w:type="pct"/>
            <w:shd w:val="clear" w:color="auto" w:fill="auto"/>
            <w:noWrap/>
            <w:vAlign w:val="center"/>
            <w:hideMark/>
          </w:tcPr>
          <w:p w14:paraId="6B49DD1F" w14:textId="2E8F6E0C" w:rsidR="00D55F31" w:rsidRPr="003559E7" w:rsidRDefault="003559E7" w:rsidP="0002290A">
            <w:pPr>
              <w:jc w:val="right"/>
              <w:rPr>
                <w:rFonts w:asciiTheme="minorHAnsi" w:hAnsiTheme="minorHAnsi"/>
                <w:color w:val="000000"/>
                <w:sz w:val="19"/>
                <w:szCs w:val="19"/>
              </w:rPr>
            </w:pPr>
            <w:r w:rsidRPr="003559E7">
              <w:rPr>
                <w:rFonts w:asciiTheme="minorHAnsi" w:hAnsiTheme="minorHAnsi" w:cstheme="minorHAnsi"/>
                <w:sz w:val="19"/>
                <w:szCs w:val="19"/>
              </w:rPr>
              <w:t>−</w:t>
            </w:r>
            <w:r w:rsidR="0024693B" w:rsidRPr="003559E7">
              <w:rPr>
                <w:rFonts w:asciiTheme="minorHAnsi" w:hAnsiTheme="minorHAnsi"/>
                <w:color w:val="000000"/>
                <w:sz w:val="19"/>
                <w:szCs w:val="19"/>
              </w:rPr>
              <w:t>3 811</w:t>
            </w:r>
          </w:p>
        </w:tc>
        <w:tc>
          <w:tcPr>
            <w:tcW w:w="340" w:type="pct"/>
            <w:shd w:val="clear" w:color="auto" w:fill="auto"/>
            <w:noWrap/>
            <w:vAlign w:val="center"/>
            <w:hideMark/>
          </w:tcPr>
          <w:p w14:paraId="0BB4E660" w14:textId="77777777" w:rsidR="00D55F31" w:rsidRPr="003559E7" w:rsidRDefault="0024693B" w:rsidP="0002290A">
            <w:pPr>
              <w:jc w:val="right"/>
              <w:rPr>
                <w:rFonts w:asciiTheme="minorHAnsi" w:hAnsiTheme="minorHAnsi"/>
                <w:color w:val="000000"/>
                <w:sz w:val="19"/>
                <w:szCs w:val="19"/>
              </w:rPr>
            </w:pPr>
            <w:r w:rsidRPr="003559E7">
              <w:rPr>
                <w:rFonts w:asciiTheme="minorHAnsi" w:hAnsiTheme="minorHAnsi"/>
                <w:color w:val="000000"/>
                <w:sz w:val="19"/>
                <w:szCs w:val="19"/>
              </w:rPr>
              <w:t>591</w:t>
            </w:r>
          </w:p>
        </w:tc>
        <w:tc>
          <w:tcPr>
            <w:tcW w:w="384" w:type="pct"/>
            <w:shd w:val="clear" w:color="auto" w:fill="auto"/>
            <w:noWrap/>
            <w:vAlign w:val="center"/>
            <w:hideMark/>
          </w:tcPr>
          <w:p w14:paraId="35F6AAF2" w14:textId="4F7D8E69" w:rsidR="00D55F31" w:rsidRPr="003559E7" w:rsidRDefault="003559E7" w:rsidP="0002290A">
            <w:pPr>
              <w:jc w:val="right"/>
              <w:rPr>
                <w:rFonts w:asciiTheme="minorHAnsi" w:hAnsiTheme="minorHAnsi"/>
                <w:color w:val="000000"/>
                <w:sz w:val="19"/>
                <w:szCs w:val="19"/>
              </w:rPr>
            </w:pPr>
            <w:r w:rsidRPr="003559E7">
              <w:rPr>
                <w:rFonts w:asciiTheme="minorHAnsi" w:hAnsiTheme="minorHAnsi" w:cstheme="minorHAnsi"/>
                <w:sz w:val="19"/>
                <w:szCs w:val="19"/>
              </w:rPr>
              <w:t>−</w:t>
            </w:r>
            <w:r w:rsidR="0024693B" w:rsidRPr="003559E7">
              <w:rPr>
                <w:rFonts w:asciiTheme="minorHAnsi" w:hAnsiTheme="minorHAnsi"/>
                <w:color w:val="000000"/>
                <w:sz w:val="19"/>
                <w:szCs w:val="19"/>
              </w:rPr>
              <w:t>4 260</w:t>
            </w:r>
          </w:p>
        </w:tc>
        <w:tc>
          <w:tcPr>
            <w:tcW w:w="384" w:type="pct"/>
            <w:shd w:val="clear" w:color="auto" w:fill="auto"/>
            <w:noWrap/>
            <w:vAlign w:val="center"/>
            <w:hideMark/>
          </w:tcPr>
          <w:p w14:paraId="5308D6FC" w14:textId="1ECD39FF" w:rsidR="00D55F31" w:rsidRPr="003559E7" w:rsidRDefault="003559E7" w:rsidP="0002290A">
            <w:pPr>
              <w:jc w:val="right"/>
              <w:rPr>
                <w:rFonts w:asciiTheme="minorHAnsi" w:hAnsiTheme="minorHAnsi"/>
                <w:color w:val="000000"/>
                <w:sz w:val="19"/>
                <w:szCs w:val="19"/>
              </w:rPr>
            </w:pPr>
            <w:r w:rsidRPr="003559E7">
              <w:rPr>
                <w:rFonts w:asciiTheme="minorHAnsi" w:hAnsiTheme="minorHAnsi" w:cstheme="minorHAnsi"/>
                <w:sz w:val="19"/>
                <w:szCs w:val="19"/>
              </w:rPr>
              <w:t>−</w:t>
            </w:r>
            <w:r w:rsidR="0024693B" w:rsidRPr="003559E7">
              <w:rPr>
                <w:rFonts w:asciiTheme="minorHAnsi" w:hAnsiTheme="minorHAnsi"/>
                <w:color w:val="000000"/>
                <w:sz w:val="19"/>
                <w:szCs w:val="19"/>
              </w:rPr>
              <w:t>2 095</w:t>
            </w:r>
          </w:p>
        </w:tc>
        <w:tc>
          <w:tcPr>
            <w:tcW w:w="340" w:type="pct"/>
            <w:shd w:val="clear" w:color="auto" w:fill="auto"/>
            <w:noWrap/>
            <w:vAlign w:val="center"/>
            <w:hideMark/>
          </w:tcPr>
          <w:p w14:paraId="152C6FEB" w14:textId="77777777" w:rsidR="00D55F31" w:rsidRPr="003559E7" w:rsidRDefault="0024693B" w:rsidP="0002290A">
            <w:pPr>
              <w:jc w:val="right"/>
              <w:rPr>
                <w:rFonts w:asciiTheme="minorHAnsi" w:hAnsiTheme="minorHAnsi"/>
                <w:color w:val="000000"/>
                <w:sz w:val="19"/>
                <w:szCs w:val="19"/>
              </w:rPr>
            </w:pPr>
            <w:r w:rsidRPr="003559E7">
              <w:rPr>
                <w:rFonts w:asciiTheme="minorHAnsi" w:hAnsiTheme="minorHAnsi"/>
                <w:color w:val="000000"/>
                <w:sz w:val="19"/>
                <w:szCs w:val="19"/>
              </w:rPr>
              <w:t>2 071</w:t>
            </w:r>
          </w:p>
        </w:tc>
        <w:tc>
          <w:tcPr>
            <w:tcW w:w="384" w:type="pct"/>
            <w:shd w:val="clear" w:color="auto" w:fill="auto"/>
            <w:noWrap/>
            <w:vAlign w:val="center"/>
            <w:hideMark/>
          </w:tcPr>
          <w:p w14:paraId="64CE5333" w14:textId="4236BC09" w:rsidR="00D55F31" w:rsidRPr="003559E7" w:rsidRDefault="003559E7" w:rsidP="0002290A">
            <w:pPr>
              <w:jc w:val="right"/>
              <w:rPr>
                <w:rFonts w:asciiTheme="minorHAnsi" w:hAnsiTheme="minorHAnsi"/>
                <w:color w:val="000000"/>
                <w:sz w:val="19"/>
                <w:szCs w:val="19"/>
              </w:rPr>
            </w:pPr>
            <w:r w:rsidRPr="003559E7">
              <w:rPr>
                <w:rFonts w:asciiTheme="minorHAnsi" w:hAnsiTheme="minorHAnsi" w:cstheme="minorHAnsi"/>
                <w:sz w:val="19"/>
                <w:szCs w:val="19"/>
              </w:rPr>
              <w:t>−</w:t>
            </w:r>
            <w:r w:rsidR="0024693B" w:rsidRPr="003559E7">
              <w:rPr>
                <w:rFonts w:asciiTheme="minorHAnsi" w:hAnsiTheme="minorHAnsi"/>
                <w:color w:val="000000"/>
                <w:sz w:val="19"/>
                <w:szCs w:val="19"/>
              </w:rPr>
              <w:t>2 347</w:t>
            </w:r>
          </w:p>
        </w:tc>
        <w:tc>
          <w:tcPr>
            <w:tcW w:w="385" w:type="pct"/>
            <w:shd w:val="clear" w:color="auto" w:fill="auto"/>
            <w:noWrap/>
            <w:vAlign w:val="center"/>
            <w:hideMark/>
          </w:tcPr>
          <w:p w14:paraId="5A5ABAA5" w14:textId="48D87B49" w:rsidR="00D55F31" w:rsidRPr="003559E7" w:rsidRDefault="003559E7" w:rsidP="0002290A">
            <w:pPr>
              <w:jc w:val="right"/>
              <w:rPr>
                <w:rFonts w:asciiTheme="minorHAnsi" w:hAnsiTheme="minorHAnsi"/>
                <w:color w:val="000000"/>
                <w:sz w:val="19"/>
                <w:szCs w:val="19"/>
              </w:rPr>
            </w:pPr>
            <w:r w:rsidRPr="003559E7">
              <w:rPr>
                <w:rFonts w:asciiTheme="minorHAnsi" w:hAnsiTheme="minorHAnsi" w:cstheme="minorHAnsi"/>
                <w:sz w:val="19"/>
                <w:szCs w:val="19"/>
              </w:rPr>
              <w:t>−</w:t>
            </w:r>
            <w:r w:rsidR="0024693B" w:rsidRPr="003559E7">
              <w:rPr>
                <w:rFonts w:asciiTheme="minorHAnsi" w:hAnsiTheme="minorHAnsi"/>
                <w:color w:val="000000"/>
                <w:sz w:val="19"/>
                <w:szCs w:val="19"/>
              </w:rPr>
              <w:t>1 795</w:t>
            </w:r>
          </w:p>
        </w:tc>
        <w:tc>
          <w:tcPr>
            <w:tcW w:w="476" w:type="pct"/>
            <w:shd w:val="clear" w:color="auto" w:fill="auto"/>
            <w:noWrap/>
            <w:vAlign w:val="center"/>
            <w:hideMark/>
          </w:tcPr>
          <w:p w14:paraId="65B73417" w14:textId="33FE8D71" w:rsidR="00D55F31" w:rsidRPr="003559E7" w:rsidRDefault="003559E7" w:rsidP="0002290A">
            <w:pPr>
              <w:jc w:val="right"/>
              <w:rPr>
                <w:rFonts w:asciiTheme="minorHAnsi" w:hAnsiTheme="minorHAnsi"/>
                <w:b/>
                <w:bCs/>
                <w:color w:val="000000"/>
                <w:sz w:val="19"/>
                <w:szCs w:val="19"/>
              </w:rPr>
            </w:pPr>
            <w:r w:rsidRPr="003559E7">
              <w:rPr>
                <w:rFonts w:asciiTheme="minorHAnsi" w:hAnsiTheme="minorHAnsi" w:cstheme="minorHAnsi"/>
                <w:sz w:val="19"/>
                <w:szCs w:val="19"/>
              </w:rPr>
              <w:t>−</w:t>
            </w:r>
            <w:r w:rsidR="0024693B" w:rsidRPr="003559E7">
              <w:rPr>
                <w:rFonts w:asciiTheme="minorHAnsi" w:hAnsiTheme="minorHAnsi"/>
                <w:b/>
                <w:bCs/>
                <w:color w:val="000000"/>
                <w:sz w:val="19"/>
                <w:szCs w:val="19"/>
              </w:rPr>
              <w:t>11 646</w:t>
            </w:r>
          </w:p>
        </w:tc>
      </w:tr>
    </w:tbl>
    <w:p w14:paraId="4846E006" w14:textId="77777777" w:rsidR="00D55F31" w:rsidRPr="00C9657D" w:rsidRDefault="0024693B" w:rsidP="001741F3">
      <w:pPr>
        <w:jc w:val="both"/>
        <w:rPr>
          <w:rFonts w:asciiTheme="minorHAnsi" w:hAnsiTheme="minorHAnsi" w:cs="Calibri"/>
          <w:sz w:val="28"/>
        </w:rPr>
      </w:pPr>
      <w:r w:rsidRPr="00C9657D">
        <w:rPr>
          <w:rFonts w:asciiTheme="minorHAnsi" w:hAnsiTheme="minorHAnsi" w:cs="Calibri"/>
          <w:b/>
          <w:bCs/>
          <w:sz w:val="20"/>
        </w:rPr>
        <w:t>Zdroj:</w:t>
      </w:r>
      <w:r w:rsidRPr="00C9657D">
        <w:rPr>
          <w:rFonts w:asciiTheme="minorHAnsi" w:hAnsiTheme="minorHAnsi" w:cs="Calibri"/>
          <w:bCs/>
          <w:sz w:val="20"/>
        </w:rPr>
        <w:t xml:space="preserve"> účetní závěrky BALMED Praha za roky 2009 až 2015.</w:t>
      </w:r>
    </w:p>
    <w:p w14:paraId="620D0F3C" w14:textId="77777777" w:rsidR="00B42715" w:rsidRDefault="0024693B" w:rsidP="00004843">
      <w:pPr>
        <w:spacing w:before="240"/>
        <w:jc w:val="both"/>
        <w:rPr>
          <w:rFonts w:asciiTheme="minorHAnsi" w:hAnsiTheme="minorHAnsi" w:cs="Calibri"/>
        </w:rPr>
      </w:pPr>
      <w:r w:rsidRPr="00C9657D">
        <w:rPr>
          <w:rFonts w:asciiTheme="minorHAnsi" w:hAnsiTheme="minorHAnsi" w:cs="Calibri"/>
        </w:rPr>
        <w:t>BALMED Praha v letech 2009 až 2015 vynaložil na svou činnost náklady v celkové výši 39 775 tis. Kč (zejména osobní náklady, právní a poradenské služby a náklady na znalecké posudky), přičemž realizoval výnosy v celkové výši 28 131 tis. Kč</w:t>
      </w:r>
      <w:r>
        <w:rPr>
          <w:rFonts w:asciiTheme="minorHAnsi" w:hAnsiTheme="minorHAnsi" w:cs="Calibri"/>
        </w:rPr>
        <w:t xml:space="preserve"> (převážně z prodeje a </w:t>
      </w:r>
      <w:r w:rsidRPr="00C9657D">
        <w:rPr>
          <w:rFonts w:asciiTheme="minorHAnsi" w:hAnsiTheme="minorHAnsi" w:cs="Calibri"/>
        </w:rPr>
        <w:t xml:space="preserve">pronájmu majetku). </w:t>
      </w:r>
    </w:p>
    <w:p w14:paraId="2A0E4E75" w14:textId="77777777" w:rsidR="00D55F31" w:rsidRPr="00C9657D" w:rsidRDefault="0024693B" w:rsidP="0002290A">
      <w:pPr>
        <w:shd w:val="clear" w:color="auto" w:fill="DBE5F1" w:themeFill="accent1" w:themeFillTint="33"/>
        <w:spacing w:before="120"/>
        <w:jc w:val="both"/>
        <w:rPr>
          <w:rFonts w:asciiTheme="minorHAnsi" w:hAnsiTheme="minorHAnsi" w:cs="Calibri"/>
          <w:b/>
        </w:rPr>
      </w:pPr>
      <w:r w:rsidRPr="00C9657D">
        <w:rPr>
          <w:rFonts w:asciiTheme="minorHAnsi" w:hAnsiTheme="minorHAnsi" w:cs="Calibri"/>
        </w:rPr>
        <w:t xml:space="preserve">Státní podnik </w:t>
      </w:r>
      <w:r w:rsidR="00B42715">
        <w:rPr>
          <w:rFonts w:asciiTheme="minorHAnsi" w:hAnsiTheme="minorHAnsi" w:cs="Calibri"/>
        </w:rPr>
        <w:t xml:space="preserve">BALMED Praha </w:t>
      </w:r>
      <w:r w:rsidRPr="00C9657D">
        <w:rPr>
          <w:rFonts w:asciiTheme="minorHAnsi" w:hAnsiTheme="minorHAnsi" w:cs="Calibri"/>
        </w:rPr>
        <w:t xml:space="preserve">za </w:t>
      </w:r>
      <w:r>
        <w:rPr>
          <w:rFonts w:asciiTheme="minorHAnsi" w:hAnsiTheme="minorHAnsi" w:cs="Calibri"/>
        </w:rPr>
        <w:t>období let</w:t>
      </w:r>
      <w:r w:rsidRPr="00C9657D">
        <w:rPr>
          <w:rFonts w:asciiTheme="minorHAnsi" w:hAnsiTheme="minorHAnsi" w:cs="Calibri"/>
        </w:rPr>
        <w:t xml:space="preserve"> 2009 až 2015 vykázal celkově ztrátu ve výši 11 646 tis. Kč</w:t>
      </w:r>
      <w:r>
        <w:rPr>
          <w:rFonts w:asciiTheme="minorHAnsi" w:hAnsiTheme="minorHAnsi" w:cs="Calibri"/>
        </w:rPr>
        <w:t>.</w:t>
      </w:r>
      <w:r w:rsidRPr="00C9657D">
        <w:rPr>
          <w:rFonts w:asciiTheme="minorHAnsi" w:hAnsiTheme="minorHAnsi" w:cs="Calibri"/>
        </w:rPr>
        <w:t xml:space="preserve"> </w:t>
      </w:r>
    </w:p>
    <w:p w14:paraId="01E4BA4C" w14:textId="77777777" w:rsidR="00D55F31" w:rsidRPr="00C9657D" w:rsidRDefault="0024693B" w:rsidP="003559E7">
      <w:pPr>
        <w:tabs>
          <w:tab w:val="right" w:pos="9072"/>
        </w:tabs>
        <w:spacing w:before="240" w:after="40"/>
        <w:jc w:val="both"/>
        <w:rPr>
          <w:rFonts w:asciiTheme="minorHAnsi" w:hAnsiTheme="minorHAnsi" w:cs="Arial"/>
          <w:b/>
        </w:rPr>
      </w:pPr>
      <w:r w:rsidRPr="00C9657D">
        <w:rPr>
          <w:rFonts w:asciiTheme="minorHAnsi" w:hAnsiTheme="minorHAnsi" w:cs="Arial"/>
          <w:b/>
        </w:rPr>
        <w:t xml:space="preserve">Tabulka č. 4 </w:t>
      </w:r>
      <w:r>
        <w:rPr>
          <w:rFonts w:asciiTheme="minorHAnsi" w:hAnsiTheme="minorHAnsi" w:cs="Arial"/>
          <w:b/>
        </w:rPr>
        <w:t>–</w:t>
      </w:r>
      <w:r w:rsidRPr="00C9657D">
        <w:rPr>
          <w:rFonts w:asciiTheme="minorHAnsi" w:hAnsiTheme="minorHAnsi" w:cs="Arial"/>
          <w:b/>
        </w:rPr>
        <w:t xml:space="preserve"> Úbytky nemovitého majetku BALMED Praha v letech 2009</w:t>
      </w:r>
      <w:r w:rsidRPr="00C9657D">
        <w:rPr>
          <w:rFonts w:asciiTheme="minorHAnsi" w:hAnsiTheme="minorHAnsi" w:cs="Calibri"/>
          <w:b/>
          <w:color w:val="000000"/>
        </w:rPr>
        <w:t>–2</w:t>
      </w:r>
      <w:r w:rsidRPr="00C9657D">
        <w:rPr>
          <w:rFonts w:asciiTheme="minorHAnsi" w:hAnsiTheme="minorHAnsi" w:cs="Arial"/>
          <w:b/>
        </w:rPr>
        <w:t xml:space="preserve">015 </w:t>
      </w:r>
      <w:r w:rsidR="003559E7">
        <w:rPr>
          <w:rFonts w:asciiTheme="minorHAnsi" w:hAnsiTheme="minorHAnsi" w:cs="Arial"/>
          <w:b/>
        </w:rPr>
        <w:tab/>
      </w:r>
      <w:r w:rsidRPr="00C9657D">
        <w:rPr>
          <w:rFonts w:asciiTheme="minorHAnsi" w:hAnsiTheme="minorHAnsi" w:cs="Arial"/>
          <w:b/>
        </w:rPr>
        <w:t>(v tis. Kč)</w:t>
      </w: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751"/>
        <w:gridCol w:w="1215"/>
        <w:gridCol w:w="1286"/>
        <w:gridCol w:w="1145"/>
        <w:gridCol w:w="1215"/>
        <w:gridCol w:w="1215"/>
        <w:gridCol w:w="1215"/>
      </w:tblGrid>
      <w:tr w:rsidR="00C425F2" w14:paraId="0B483B1C" w14:textId="77777777" w:rsidTr="009912FB">
        <w:trPr>
          <w:trHeight w:val="300"/>
        </w:trPr>
        <w:tc>
          <w:tcPr>
            <w:tcW w:w="968" w:type="pct"/>
            <w:vMerge w:val="restart"/>
            <w:shd w:val="clear" w:color="auto" w:fill="C6D9F1" w:themeFill="text2" w:themeFillTint="33"/>
            <w:vAlign w:val="center"/>
            <w:hideMark/>
          </w:tcPr>
          <w:p w14:paraId="3ECB9647" w14:textId="77777777" w:rsidR="00D55F31" w:rsidRPr="00C9657D" w:rsidRDefault="0024693B" w:rsidP="0002290A">
            <w:pPr>
              <w:jc w:val="center"/>
              <w:rPr>
                <w:rFonts w:asciiTheme="minorHAnsi" w:hAnsiTheme="minorHAnsi"/>
                <w:b/>
                <w:color w:val="000000"/>
                <w:sz w:val="20"/>
                <w:szCs w:val="20"/>
                <w:lang w:eastAsia="cs-CZ"/>
              </w:rPr>
            </w:pPr>
            <w:r w:rsidRPr="00C9657D">
              <w:rPr>
                <w:rFonts w:asciiTheme="minorHAnsi" w:hAnsiTheme="minorHAnsi"/>
                <w:b/>
                <w:color w:val="000000"/>
                <w:sz w:val="20"/>
                <w:szCs w:val="20"/>
              </w:rPr>
              <w:t>Nemovitý (určený) majetek</w:t>
            </w:r>
          </w:p>
        </w:tc>
        <w:tc>
          <w:tcPr>
            <w:tcW w:w="1383" w:type="pct"/>
            <w:gridSpan w:val="2"/>
            <w:shd w:val="clear" w:color="auto" w:fill="C6D9F1" w:themeFill="text2" w:themeFillTint="33"/>
            <w:noWrap/>
            <w:vAlign w:val="center"/>
            <w:hideMark/>
          </w:tcPr>
          <w:p w14:paraId="23510321" w14:textId="77777777" w:rsidR="00D55F31" w:rsidRPr="00C9657D" w:rsidRDefault="0024693B" w:rsidP="0002290A">
            <w:pPr>
              <w:jc w:val="center"/>
              <w:rPr>
                <w:rFonts w:asciiTheme="minorHAnsi" w:hAnsiTheme="minorHAnsi"/>
                <w:b/>
                <w:color w:val="000000"/>
                <w:sz w:val="20"/>
                <w:szCs w:val="20"/>
              </w:rPr>
            </w:pPr>
            <w:r w:rsidRPr="00C9657D">
              <w:rPr>
                <w:rFonts w:asciiTheme="minorHAnsi" w:hAnsiTheme="minorHAnsi"/>
                <w:b/>
                <w:color w:val="000000"/>
                <w:sz w:val="20"/>
                <w:szCs w:val="20"/>
              </w:rPr>
              <w:t>Stav majetku k*</w:t>
            </w:r>
          </w:p>
        </w:tc>
        <w:tc>
          <w:tcPr>
            <w:tcW w:w="1305" w:type="pct"/>
            <w:gridSpan w:val="2"/>
            <w:shd w:val="clear" w:color="auto" w:fill="C6D9F1" w:themeFill="text2" w:themeFillTint="33"/>
            <w:vAlign w:val="center"/>
            <w:hideMark/>
          </w:tcPr>
          <w:p w14:paraId="75F1D197" w14:textId="77777777" w:rsidR="00D55F31" w:rsidRPr="00C9657D" w:rsidRDefault="0024693B" w:rsidP="0002290A">
            <w:pPr>
              <w:jc w:val="center"/>
              <w:rPr>
                <w:rFonts w:asciiTheme="minorHAnsi" w:hAnsiTheme="minorHAnsi"/>
                <w:b/>
                <w:color w:val="000000"/>
                <w:sz w:val="20"/>
                <w:szCs w:val="20"/>
              </w:rPr>
            </w:pPr>
            <w:r w:rsidRPr="00C9657D">
              <w:rPr>
                <w:rFonts w:asciiTheme="minorHAnsi" w:hAnsiTheme="minorHAnsi"/>
                <w:b/>
                <w:color w:val="000000"/>
                <w:sz w:val="20"/>
                <w:szCs w:val="20"/>
              </w:rPr>
              <w:t>Celkový úbytek majetku za roky 2009-2015*</w:t>
            </w:r>
          </w:p>
        </w:tc>
        <w:tc>
          <w:tcPr>
            <w:tcW w:w="1345" w:type="pct"/>
            <w:gridSpan w:val="2"/>
            <w:shd w:val="clear" w:color="auto" w:fill="C6D9F1" w:themeFill="text2" w:themeFillTint="33"/>
            <w:noWrap/>
            <w:vAlign w:val="center"/>
            <w:hideMark/>
          </w:tcPr>
          <w:p w14:paraId="59028E6E" w14:textId="77777777" w:rsidR="00D55F31" w:rsidRPr="00C9657D" w:rsidRDefault="0024693B" w:rsidP="0002290A">
            <w:pPr>
              <w:jc w:val="center"/>
              <w:rPr>
                <w:rFonts w:asciiTheme="minorHAnsi" w:hAnsiTheme="minorHAnsi"/>
                <w:b/>
                <w:color w:val="000000"/>
                <w:sz w:val="20"/>
                <w:szCs w:val="20"/>
              </w:rPr>
            </w:pPr>
            <w:r w:rsidRPr="00C9657D">
              <w:rPr>
                <w:rFonts w:asciiTheme="minorHAnsi" w:hAnsiTheme="minorHAnsi"/>
                <w:b/>
                <w:color w:val="000000"/>
                <w:sz w:val="20"/>
                <w:szCs w:val="20"/>
              </w:rPr>
              <w:t xml:space="preserve">% úbytku </w:t>
            </w:r>
          </w:p>
          <w:p w14:paraId="521F0679" w14:textId="4784ED6F" w:rsidR="00D55F31" w:rsidRPr="00C9657D" w:rsidRDefault="0024693B" w:rsidP="00D44C53">
            <w:pPr>
              <w:jc w:val="center"/>
              <w:rPr>
                <w:rFonts w:asciiTheme="minorHAnsi" w:hAnsiTheme="minorHAnsi"/>
                <w:b/>
                <w:color w:val="000000"/>
                <w:sz w:val="20"/>
                <w:szCs w:val="20"/>
              </w:rPr>
            </w:pPr>
            <w:r w:rsidRPr="00C9657D">
              <w:rPr>
                <w:rFonts w:asciiTheme="minorHAnsi" w:hAnsiTheme="minorHAnsi"/>
                <w:b/>
                <w:color w:val="000000"/>
                <w:sz w:val="20"/>
                <w:szCs w:val="20"/>
              </w:rPr>
              <w:t>za roky 2009</w:t>
            </w:r>
            <w:r w:rsidR="00D44C53">
              <w:rPr>
                <w:rFonts w:asciiTheme="minorHAnsi" w:hAnsiTheme="minorHAnsi"/>
                <w:b/>
                <w:color w:val="000000"/>
                <w:sz w:val="20"/>
                <w:szCs w:val="20"/>
              </w:rPr>
              <w:t>–</w:t>
            </w:r>
            <w:r w:rsidRPr="00C9657D">
              <w:rPr>
                <w:rFonts w:asciiTheme="minorHAnsi" w:hAnsiTheme="minorHAnsi"/>
                <w:b/>
                <w:color w:val="000000"/>
                <w:sz w:val="20"/>
                <w:szCs w:val="20"/>
              </w:rPr>
              <w:t>2015</w:t>
            </w:r>
          </w:p>
        </w:tc>
      </w:tr>
      <w:tr w:rsidR="00C425F2" w14:paraId="2809296D" w14:textId="77777777" w:rsidTr="009912FB">
        <w:trPr>
          <w:trHeight w:val="300"/>
        </w:trPr>
        <w:tc>
          <w:tcPr>
            <w:tcW w:w="968" w:type="pct"/>
            <w:vMerge/>
            <w:shd w:val="clear" w:color="auto" w:fill="C6D9F1" w:themeFill="text2" w:themeFillTint="33"/>
            <w:vAlign w:val="center"/>
            <w:hideMark/>
          </w:tcPr>
          <w:p w14:paraId="6D104AE8" w14:textId="77777777" w:rsidR="00D55F31" w:rsidRPr="00C9657D" w:rsidRDefault="00D55F31" w:rsidP="0002290A">
            <w:pPr>
              <w:rPr>
                <w:rFonts w:asciiTheme="minorHAnsi" w:hAnsiTheme="minorHAnsi"/>
                <w:i/>
                <w:color w:val="000000"/>
                <w:sz w:val="20"/>
                <w:szCs w:val="20"/>
              </w:rPr>
            </w:pPr>
          </w:p>
        </w:tc>
        <w:tc>
          <w:tcPr>
            <w:tcW w:w="672" w:type="pct"/>
            <w:shd w:val="clear" w:color="auto" w:fill="C6D9F1" w:themeFill="text2" w:themeFillTint="33"/>
            <w:noWrap/>
            <w:vAlign w:val="center"/>
            <w:hideMark/>
          </w:tcPr>
          <w:p w14:paraId="251686CA" w14:textId="77777777" w:rsidR="00D55F31" w:rsidRPr="00B30283" w:rsidRDefault="0024693B" w:rsidP="0002290A">
            <w:pPr>
              <w:jc w:val="center"/>
              <w:rPr>
                <w:rFonts w:asciiTheme="minorHAnsi" w:hAnsiTheme="minorHAnsi"/>
                <w:b/>
                <w:color w:val="000000"/>
                <w:sz w:val="20"/>
                <w:szCs w:val="20"/>
              </w:rPr>
            </w:pPr>
            <w:r w:rsidRPr="00B30283">
              <w:rPr>
                <w:rFonts w:asciiTheme="minorHAnsi" w:hAnsiTheme="minorHAnsi"/>
                <w:b/>
                <w:color w:val="000000"/>
                <w:sz w:val="20"/>
                <w:szCs w:val="20"/>
              </w:rPr>
              <w:t>1. 1. 2009</w:t>
            </w:r>
          </w:p>
        </w:tc>
        <w:tc>
          <w:tcPr>
            <w:tcW w:w="710" w:type="pct"/>
            <w:shd w:val="clear" w:color="auto" w:fill="C6D9F1" w:themeFill="text2" w:themeFillTint="33"/>
            <w:noWrap/>
            <w:vAlign w:val="center"/>
            <w:hideMark/>
          </w:tcPr>
          <w:p w14:paraId="6C3DCB6C" w14:textId="77777777" w:rsidR="00D55F31" w:rsidRPr="00B30283" w:rsidRDefault="0024693B" w:rsidP="0002290A">
            <w:pPr>
              <w:jc w:val="center"/>
              <w:rPr>
                <w:rFonts w:asciiTheme="minorHAnsi" w:hAnsiTheme="minorHAnsi"/>
                <w:b/>
                <w:color w:val="000000"/>
                <w:sz w:val="20"/>
                <w:szCs w:val="20"/>
              </w:rPr>
            </w:pPr>
            <w:r w:rsidRPr="00B30283">
              <w:rPr>
                <w:rFonts w:asciiTheme="minorHAnsi" w:hAnsiTheme="minorHAnsi"/>
                <w:b/>
                <w:color w:val="000000"/>
                <w:sz w:val="20"/>
                <w:szCs w:val="20"/>
              </w:rPr>
              <w:t>31. 12. 2015</w:t>
            </w:r>
          </w:p>
        </w:tc>
        <w:tc>
          <w:tcPr>
            <w:tcW w:w="633" w:type="pct"/>
            <w:shd w:val="clear" w:color="auto" w:fill="C6D9F1" w:themeFill="text2" w:themeFillTint="33"/>
            <w:vAlign w:val="center"/>
            <w:hideMark/>
          </w:tcPr>
          <w:p w14:paraId="19B1D87C" w14:textId="51959CCE" w:rsidR="00D55F31" w:rsidRPr="00B30283" w:rsidRDefault="00D44C53" w:rsidP="0002290A">
            <w:pPr>
              <w:jc w:val="center"/>
              <w:rPr>
                <w:rFonts w:asciiTheme="minorHAnsi" w:hAnsiTheme="minorHAnsi"/>
                <w:b/>
                <w:color w:val="000000"/>
                <w:sz w:val="20"/>
                <w:szCs w:val="20"/>
              </w:rPr>
            </w:pPr>
            <w:r>
              <w:rPr>
                <w:rFonts w:asciiTheme="minorHAnsi" w:hAnsiTheme="minorHAnsi"/>
                <w:b/>
                <w:color w:val="000000"/>
                <w:sz w:val="20"/>
                <w:szCs w:val="20"/>
              </w:rPr>
              <w:t>P</w:t>
            </w:r>
            <w:r w:rsidR="0024693B" w:rsidRPr="00B30283">
              <w:rPr>
                <w:rFonts w:asciiTheme="minorHAnsi" w:hAnsiTheme="minorHAnsi"/>
                <w:b/>
                <w:color w:val="000000"/>
                <w:sz w:val="20"/>
                <w:szCs w:val="20"/>
              </w:rPr>
              <w:t>rodej</w:t>
            </w:r>
          </w:p>
        </w:tc>
        <w:tc>
          <w:tcPr>
            <w:tcW w:w="672" w:type="pct"/>
            <w:shd w:val="clear" w:color="auto" w:fill="C6D9F1" w:themeFill="text2" w:themeFillTint="33"/>
            <w:vAlign w:val="center"/>
          </w:tcPr>
          <w:p w14:paraId="56CAD667" w14:textId="73AD70BC" w:rsidR="00D55F31" w:rsidRPr="00B30283" w:rsidRDefault="00D44C53" w:rsidP="0002290A">
            <w:pPr>
              <w:jc w:val="center"/>
              <w:rPr>
                <w:rFonts w:asciiTheme="minorHAnsi" w:hAnsiTheme="minorHAnsi"/>
                <w:b/>
                <w:color w:val="000000"/>
                <w:sz w:val="20"/>
                <w:szCs w:val="20"/>
              </w:rPr>
            </w:pPr>
            <w:r>
              <w:rPr>
                <w:rFonts w:asciiTheme="minorHAnsi" w:hAnsiTheme="minorHAnsi"/>
                <w:b/>
                <w:color w:val="000000"/>
                <w:sz w:val="20"/>
                <w:szCs w:val="20"/>
              </w:rPr>
              <w:t>P</w:t>
            </w:r>
            <w:r w:rsidR="0024693B" w:rsidRPr="00B30283">
              <w:rPr>
                <w:rFonts w:asciiTheme="minorHAnsi" w:hAnsiTheme="minorHAnsi"/>
                <w:b/>
                <w:color w:val="000000"/>
                <w:sz w:val="20"/>
                <w:szCs w:val="20"/>
              </w:rPr>
              <w:t>řevod</w:t>
            </w:r>
          </w:p>
        </w:tc>
        <w:tc>
          <w:tcPr>
            <w:tcW w:w="672" w:type="pct"/>
            <w:shd w:val="clear" w:color="auto" w:fill="C6D9F1" w:themeFill="text2" w:themeFillTint="33"/>
            <w:vAlign w:val="center"/>
            <w:hideMark/>
          </w:tcPr>
          <w:p w14:paraId="3E900097" w14:textId="5FCADDB2" w:rsidR="00D55F31" w:rsidRPr="00B30283" w:rsidRDefault="00D44C53" w:rsidP="0002290A">
            <w:pPr>
              <w:jc w:val="center"/>
              <w:rPr>
                <w:rFonts w:asciiTheme="minorHAnsi" w:hAnsiTheme="minorHAnsi"/>
                <w:b/>
                <w:color w:val="000000"/>
                <w:sz w:val="20"/>
                <w:szCs w:val="20"/>
              </w:rPr>
            </w:pPr>
            <w:r>
              <w:rPr>
                <w:rFonts w:asciiTheme="minorHAnsi" w:hAnsiTheme="minorHAnsi"/>
                <w:b/>
                <w:color w:val="000000"/>
                <w:sz w:val="20"/>
                <w:szCs w:val="20"/>
              </w:rPr>
              <w:t>P</w:t>
            </w:r>
            <w:r w:rsidR="0024693B" w:rsidRPr="00B30283">
              <w:rPr>
                <w:rFonts w:asciiTheme="minorHAnsi" w:hAnsiTheme="minorHAnsi"/>
                <w:b/>
                <w:color w:val="000000"/>
                <w:sz w:val="20"/>
                <w:szCs w:val="20"/>
              </w:rPr>
              <w:t>rodej</w:t>
            </w:r>
          </w:p>
        </w:tc>
        <w:tc>
          <w:tcPr>
            <w:tcW w:w="673" w:type="pct"/>
            <w:shd w:val="clear" w:color="auto" w:fill="C6D9F1" w:themeFill="text2" w:themeFillTint="33"/>
            <w:vAlign w:val="center"/>
          </w:tcPr>
          <w:p w14:paraId="35736C29" w14:textId="04A7EA2E" w:rsidR="00D55F31" w:rsidRPr="00B30283" w:rsidRDefault="00D44C53" w:rsidP="0002290A">
            <w:pPr>
              <w:jc w:val="center"/>
              <w:rPr>
                <w:rFonts w:asciiTheme="minorHAnsi" w:hAnsiTheme="minorHAnsi"/>
                <w:b/>
                <w:color w:val="000000"/>
                <w:sz w:val="20"/>
                <w:szCs w:val="20"/>
              </w:rPr>
            </w:pPr>
            <w:r>
              <w:rPr>
                <w:rFonts w:asciiTheme="minorHAnsi" w:hAnsiTheme="minorHAnsi"/>
                <w:b/>
                <w:color w:val="000000"/>
                <w:sz w:val="20"/>
                <w:szCs w:val="20"/>
              </w:rPr>
              <w:t>P</w:t>
            </w:r>
            <w:r w:rsidR="0024693B" w:rsidRPr="00B30283">
              <w:rPr>
                <w:rFonts w:asciiTheme="minorHAnsi" w:hAnsiTheme="minorHAnsi"/>
                <w:b/>
                <w:color w:val="000000"/>
                <w:sz w:val="20"/>
                <w:szCs w:val="20"/>
              </w:rPr>
              <w:t>řevod</w:t>
            </w:r>
          </w:p>
        </w:tc>
      </w:tr>
      <w:tr w:rsidR="00C425F2" w14:paraId="0BD23FA5" w14:textId="77777777" w:rsidTr="009912FB">
        <w:trPr>
          <w:trHeight w:val="300"/>
        </w:trPr>
        <w:tc>
          <w:tcPr>
            <w:tcW w:w="968" w:type="pct"/>
            <w:shd w:val="clear" w:color="auto" w:fill="auto"/>
            <w:noWrap/>
            <w:vAlign w:val="center"/>
            <w:hideMark/>
          </w:tcPr>
          <w:p w14:paraId="02870DD9" w14:textId="77777777" w:rsidR="00D55F31" w:rsidRPr="00C9657D" w:rsidRDefault="0024693B" w:rsidP="0002290A">
            <w:pPr>
              <w:rPr>
                <w:rFonts w:asciiTheme="minorHAnsi" w:hAnsiTheme="minorHAnsi"/>
                <w:color w:val="000000"/>
                <w:sz w:val="20"/>
                <w:szCs w:val="20"/>
              </w:rPr>
            </w:pPr>
            <w:r w:rsidRPr="00C9657D">
              <w:rPr>
                <w:rFonts w:asciiTheme="minorHAnsi" w:hAnsiTheme="minorHAnsi"/>
                <w:color w:val="000000"/>
                <w:sz w:val="20"/>
                <w:szCs w:val="20"/>
              </w:rPr>
              <w:t>Pozemky</w:t>
            </w:r>
          </w:p>
        </w:tc>
        <w:tc>
          <w:tcPr>
            <w:tcW w:w="672" w:type="pct"/>
            <w:shd w:val="clear" w:color="auto" w:fill="auto"/>
            <w:noWrap/>
            <w:vAlign w:val="center"/>
            <w:hideMark/>
          </w:tcPr>
          <w:p w14:paraId="122AE9BE" w14:textId="77777777" w:rsidR="00D55F31" w:rsidRPr="00C9657D" w:rsidRDefault="0024693B" w:rsidP="0002290A">
            <w:pPr>
              <w:jc w:val="right"/>
              <w:rPr>
                <w:rFonts w:asciiTheme="minorHAnsi" w:hAnsiTheme="minorHAnsi"/>
                <w:color w:val="000000"/>
                <w:sz w:val="20"/>
                <w:szCs w:val="20"/>
              </w:rPr>
            </w:pPr>
            <w:r w:rsidRPr="00C9657D">
              <w:rPr>
                <w:rFonts w:asciiTheme="minorHAnsi" w:hAnsiTheme="minorHAnsi"/>
                <w:color w:val="000000"/>
                <w:sz w:val="20"/>
                <w:szCs w:val="20"/>
              </w:rPr>
              <w:t>11 589</w:t>
            </w:r>
          </w:p>
        </w:tc>
        <w:tc>
          <w:tcPr>
            <w:tcW w:w="710" w:type="pct"/>
            <w:shd w:val="clear" w:color="auto" w:fill="auto"/>
            <w:noWrap/>
            <w:vAlign w:val="center"/>
            <w:hideMark/>
          </w:tcPr>
          <w:p w14:paraId="1355E270" w14:textId="77777777" w:rsidR="00D55F31" w:rsidRPr="00C9657D" w:rsidRDefault="0024693B" w:rsidP="0002290A">
            <w:pPr>
              <w:jc w:val="right"/>
              <w:rPr>
                <w:rFonts w:asciiTheme="minorHAnsi" w:hAnsiTheme="minorHAnsi"/>
                <w:color w:val="000000"/>
                <w:sz w:val="20"/>
                <w:szCs w:val="20"/>
              </w:rPr>
            </w:pPr>
            <w:r w:rsidRPr="00C9657D">
              <w:rPr>
                <w:rFonts w:asciiTheme="minorHAnsi" w:hAnsiTheme="minorHAnsi"/>
                <w:color w:val="000000"/>
                <w:sz w:val="20"/>
                <w:szCs w:val="20"/>
              </w:rPr>
              <w:t>7 296</w:t>
            </w:r>
          </w:p>
        </w:tc>
        <w:tc>
          <w:tcPr>
            <w:tcW w:w="633" w:type="pct"/>
            <w:shd w:val="clear" w:color="auto" w:fill="auto"/>
            <w:noWrap/>
            <w:vAlign w:val="center"/>
          </w:tcPr>
          <w:p w14:paraId="60DCA6F2" w14:textId="77777777" w:rsidR="00D55F31" w:rsidRPr="00C9657D" w:rsidRDefault="0024693B" w:rsidP="0002290A">
            <w:pPr>
              <w:jc w:val="right"/>
              <w:rPr>
                <w:rFonts w:asciiTheme="minorHAnsi" w:hAnsiTheme="minorHAnsi"/>
                <w:color w:val="000000"/>
                <w:sz w:val="20"/>
                <w:szCs w:val="20"/>
              </w:rPr>
            </w:pPr>
            <w:r w:rsidRPr="00C9657D">
              <w:rPr>
                <w:rFonts w:asciiTheme="minorHAnsi" w:hAnsiTheme="minorHAnsi"/>
                <w:color w:val="000000"/>
                <w:sz w:val="20"/>
                <w:szCs w:val="20"/>
              </w:rPr>
              <w:t>1 347</w:t>
            </w:r>
          </w:p>
        </w:tc>
        <w:tc>
          <w:tcPr>
            <w:tcW w:w="672" w:type="pct"/>
            <w:shd w:val="clear" w:color="auto" w:fill="auto"/>
            <w:vAlign w:val="center"/>
          </w:tcPr>
          <w:p w14:paraId="0BFD7DF7" w14:textId="77777777" w:rsidR="00D55F31" w:rsidRPr="00C9657D" w:rsidRDefault="0024693B" w:rsidP="0002290A">
            <w:pPr>
              <w:jc w:val="right"/>
              <w:rPr>
                <w:rFonts w:asciiTheme="minorHAnsi" w:hAnsiTheme="minorHAnsi"/>
                <w:color w:val="000000"/>
                <w:sz w:val="20"/>
                <w:szCs w:val="20"/>
              </w:rPr>
            </w:pPr>
            <w:r w:rsidRPr="00C9657D">
              <w:rPr>
                <w:rFonts w:asciiTheme="minorHAnsi" w:hAnsiTheme="minorHAnsi"/>
                <w:color w:val="000000"/>
                <w:sz w:val="20"/>
                <w:szCs w:val="20"/>
              </w:rPr>
              <w:t>2 946</w:t>
            </w:r>
          </w:p>
        </w:tc>
        <w:tc>
          <w:tcPr>
            <w:tcW w:w="672" w:type="pct"/>
            <w:shd w:val="clear" w:color="auto" w:fill="auto"/>
            <w:noWrap/>
            <w:vAlign w:val="center"/>
            <w:hideMark/>
          </w:tcPr>
          <w:p w14:paraId="16D61D5D" w14:textId="77777777" w:rsidR="00D55F31" w:rsidRPr="00C9657D" w:rsidRDefault="0024693B" w:rsidP="0002290A">
            <w:pPr>
              <w:jc w:val="right"/>
              <w:rPr>
                <w:rFonts w:asciiTheme="minorHAnsi" w:hAnsiTheme="minorHAnsi"/>
                <w:color w:val="000000"/>
                <w:sz w:val="20"/>
                <w:szCs w:val="20"/>
              </w:rPr>
            </w:pPr>
            <w:r w:rsidRPr="00C9657D">
              <w:rPr>
                <w:rFonts w:asciiTheme="minorHAnsi" w:hAnsiTheme="minorHAnsi"/>
                <w:color w:val="000000"/>
                <w:sz w:val="20"/>
                <w:szCs w:val="20"/>
              </w:rPr>
              <w:t>11,62 %</w:t>
            </w:r>
          </w:p>
        </w:tc>
        <w:tc>
          <w:tcPr>
            <w:tcW w:w="673" w:type="pct"/>
            <w:shd w:val="clear" w:color="auto" w:fill="auto"/>
            <w:vAlign w:val="center"/>
          </w:tcPr>
          <w:p w14:paraId="2F3127D7" w14:textId="77777777" w:rsidR="00D55F31" w:rsidRPr="00C9657D" w:rsidRDefault="0024693B" w:rsidP="0002290A">
            <w:pPr>
              <w:jc w:val="right"/>
              <w:rPr>
                <w:rFonts w:asciiTheme="minorHAnsi" w:hAnsiTheme="minorHAnsi"/>
                <w:color w:val="000000"/>
                <w:sz w:val="20"/>
                <w:szCs w:val="20"/>
              </w:rPr>
            </w:pPr>
            <w:r w:rsidRPr="00C9657D">
              <w:rPr>
                <w:rFonts w:asciiTheme="minorHAnsi" w:hAnsiTheme="minorHAnsi"/>
                <w:color w:val="000000"/>
                <w:sz w:val="20"/>
                <w:szCs w:val="20"/>
              </w:rPr>
              <w:t>25,42 %</w:t>
            </w:r>
          </w:p>
        </w:tc>
      </w:tr>
      <w:tr w:rsidR="00C425F2" w14:paraId="2BE19958" w14:textId="77777777" w:rsidTr="009912FB">
        <w:trPr>
          <w:trHeight w:val="300"/>
        </w:trPr>
        <w:tc>
          <w:tcPr>
            <w:tcW w:w="968" w:type="pct"/>
            <w:shd w:val="clear" w:color="auto" w:fill="auto"/>
            <w:noWrap/>
            <w:vAlign w:val="center"/>
            <w:hideMark/>
          </w:tcPr>
          <w:p w14:paraId="1BE05CEF" w14:textId="77777777" w:rsidR="00D55F31" w:rsidRPr="00C9657D" w:rsidRDefault="0024693B" w:rsidP="0002290A">
            <w:pPr>
              <w:rPr>
                <w:rFonts w:asciiTheme="minorHAnsi" w:hAnsiTheme="minorHAnsi"/>
                <w:color w:val="000000"/>
                <w:sz w:val="20"/>
                <w:szCs w:val="20"/>
              </w:rPr>
            </w:pPr>
            <w:r w:rsidRPr="00C9657D">
              <w:rPr>
                <w:rFonts w:asciiTheme="minorHAnsi" w:hAnsiTheme="minorHAnsi"/>
                <w:color w:val="000000"/>
                <w:sz w:val="20"/>
                <w:szCs w:val="20"/>
              </w:rPr>
              <w:t>Stavby</w:t>
            </w:r>
          </w:p>
        </w:tc>
        <w:tc>
          <w:tcPr>
            <w:tcW w:w="672" w:type="pct"/>
            <w:shd w:val="clear" w:color="auto" w:fill="auto"/>
            <w:noWrap/>
            <w:vAlign w:val="center"/>
            <w:hideMark/>
          </w:tcPr>
          <w:p w14:paraId="0959F4F3" w14:textId="77777777" w:rsidR="00D55F31" w:rsidRPr="00C9657D" w:rsidRDefault="0024693B" w:rsidP="0002290A">
            <w:pPr>
              <w:jc w:val="right"/>
              <w:rPr>
                <w:rFonts w:asciiTheme="minorHAnsi" w:hAnsiTheme="minorHAnsi"/>
                <w:color w:val="000000"/>
                <w:sz w:val="20"/>
                <w:szCs w:val="20"/>
              </w:rPr>
            </w:pPr>
            <w:r w:rsidRPr="00C9657D">
              <w:rPr>
                <w:rFonts w:asciiTheme="minorHAnsi" w:hAnsiTheme="minorHAnsi"/>
                <w:color w:val="000000"/>
                <w:sz w:val="20"/>
                <w:szCs w:val="20"/>
              </w:rPr>
              <w:t>12 323</w:t>
            </w:r>
          </w:p>
        </w:tc>
        <w:tc>
          <w:tcPr>
            <w:tcW w:w="710" w:type="pct"/>
            <w:shd w:val="clear" w:color="auto" w:fill="auto"/>
            <w:noWrap/>
            <w:vAlign w:val="center"/>
            <w:hideMark/>
          </w:tcPr>
          <w:p w14:paraId="5B16C3A0" w14:textId="77777777" w:rsidR="00D55F31" w:rsidRPr="00C9657D" w:rsidRDefault="0024693B" w:rsidP="0002290A">
            <w:pPr>
              <w:jc w:val="right"/>
              <w:rPr>
                <w:rFonts w:asciiTheme="minorHAnsi" w:hAnsiTheme="minorHAnsi"/>
                <w:color w:val="000000"/>
                <w:sz w:val="20"/>
                <w:szCs w:val="20"/>
              </w:rPr>
            </w:pPr>
            <w:r w:rsidRPr="00C9657D">
              <w:rPr>
                <w:rFonts w:asciiTheme="minorHAnsi" w:hAnsiTheme="minorHAnsi"/>
                <w:color w:val="000000"/>
                <w:sz w:val="20"/>
                <w:szCs w:val="20"/>
              </w:rPr>
              <w:t>11 928</w:t>
            </w:r>
          </w:p>
        </w:tc>
        <w:tc>
          <w:tcPr>
            <w:tcW w:w="633" w:type="pct"/>
            <w:shd w:val="clear" w:color="auto" w:fill="auto"/>
            <w:noWrap/>
            <w:vAlign w:val="center"/>
          </w:tcPr>
          <w:p w14:paraId="135BB78E" w14:textId="77777777" w:rsidR="00D55F31" w:rsidRPr="00C9657D" w:rsidRDefault="0024693B" w:rsidP="0002290A">
            <w:pPr>
              <w:jc w:val="right"/>
              <w:rPr>
                <w:rFonts w:asciiTheme="minorHAnsi" w:hAnsiTheme="minorHAnsi"/>
                <w:color w:val="000000"/>
                <w:sz w:val="20"/>
                <w:szCs w:val="20"/>
              </w:rPr>
            </w:pPr>
            <w:r w:rsidRPr="00C9657D">
              <w:rPr>
                <w:rFonts w:asciiTheme="minorHAnsi" w:hAnsiTheme="minorHAnsi"/>
                <w:color w:val="000000"/>
                <w:sz w:val="20"/>
                <w:szCs w:val="20"/>
              </w:rPr>
              <w:t>395</w:t>
            </w:r>
          </w:p>
        </w:tc>
        <w:tc>
          <w:tcPr>
            <w:tcW w:w="672" w:type="pct"/>
            <w:shd w:val="clear" w:color="auto" w:fill="auto"/>
            <w:vAlign w:val="center"/>
          </w:tcPr>
          <w:p w14:paraId="409D81AD" w14:textId="77777777" w:rsidR="00D55F31" w:rsidRPr="00C9657D" w:rsidRDefault="0024693B" w:rsidP="0002290A">
            <w:pPr>
              <w:jc w:val="right"/>
              <w:rPr>
                <w:rFonts w:asciiTheme="minorHAnsi" w:hAnsiTheme="minorHAnsi"/>
                <w:color w:val="000000"/>
                <w:sz w:val="20"/>
                <w:szCs w:val="20"/>
              </w:rPr>
            </w:pPr>
            <w:r w:rsidRPr="00C9657D">
              <w:rPr>
                <w:rFonts w:asciiTheme="minorHAnsi" w:hAnsiTheme="minorHAnsi"/>
                <w:color w:val="000000"/>
                <w:sz w:val="20"/>
                <w:szCs w:val="20"/>
              </w:rPr>
              <w:t>-</w:t>
            </w:r>
          </w:p>
        </w:tc>
        <w:tc>
          <w:tcPr>
            <w:tcW w:w="672" w:type="pct"/>
            <w:shd w:val="clear" w:color="auto" w:fill="auto"/>
            <w:noWrap/>
            <w:vAlign w:val="center"/>
            <w:hideMark/>
          </w:tcPr>
          <w:p w14:paraId="7584A170" w14:textId="77777777" w:rsidR="00D55F31" w:rsidRPr="00C9657D" w:rsidRDefault="0024693B" w:rsidP="0002290A">
            <w:pPr>
              <w:jc w:val="right"/>
              <w:rPr>
                <w:rFonts w:asciiTheme="minorHAnsi" w:hAnsiTheme="minorHAnsi"/>
                <w:color w:val="000000"/>
                <w:sz w:val="20"/>
                <w:szCs w:val="20"/>
              </w:rPr>
            </w:pPr>
            <w:r w:rsidRPr="00C9657D">
              <w:rPr>
                <w:rFonts w:asciiTheme="minorHAnsi" w:hAnsiTheme="minorHAnsi"/>
                <w:color w:val="000000"/>
                <w:sz w:val="20"/>
                <w:szCs w:val="20"/>
              </w:rPr>
              <w:t>3,21 %</w:t>
            </w:r>
          </w:p>
        </w:tc>
        <w:tc>
          <w:tcPr>
            <w:tcW w:w="673" w:type="pct"/>
            <w:shd w:val="clear" w:color="auto" w:fill="auto"/>
            <w:vAlign w:val="center"/>
          </w:tcPr>
          <w:p w14:paraId="7C322C7C" w14:textId="77777777" w:rsidR="00D55F31" w:rsidRPr="00C9657D" w:rsidRDefault="0024693B" w:rsidP="0002290A">
            <w:pPr>
              <w:jc w:val="right"/>
              <w:rPr>
                <w:rFonts w:asciiTheme="minorHAnsi" w:hAnsiTheme="minorHAnsi"/>
                <w:color w:val="000000"/>
                <w:sz w:val="20"/>
                <w:szCs w:val="20"/>
              </w:rPr>
            </w:pPr>
            <w:r w:rsidRPr="00C9657D">
              <w:rPr>
                <w:rFonts w:asciiTheme="minorHAnsi" w:hAnsiTheme="minorHAnsi"/>
                <w:color w:val="000000"/>
                <w:sz w:val="20"/>
                <w:szCs w:val="20"/>
              </w:rPr>
              <w:t>-</w:t>
            </w:r>
          </w:p>
        </w:tc>
      </w:tr>
    </w:tbl>
    <w:p w14:paraId="08C48809" w14:textId="77777777" w:rsidR="00D55F31" w:rsidRPr="000D68D3" w:rsidRDefault="0024693B" w:rsidP="009912FB">
      <w:pPr>
        <w:jc w:val="both"/>
        <w:rPr>
          <w:rFonts w:ascii="Calibri" w:hAnsi="Calibri" w:cs="Calibri"/>
          <w:sz w:val="20"/>
          <w:szCs w:val="20"/>
        </w:rPr>
      </w:pPr>
      <w:r w:rsidRPr="000D68D3">
        <w:rPr>
          <w:rFonts w:ascii="Calibri" w:hAnsi="Calibri" w:cs="Calibri"/>
          <w:b/>
          <w:bCs/>
          <w:sz w:val="20"/>
          <w:szCs w:val="20"/>
        </w:rPr>
        <w:t>Zdroj:</w:t>
      </w:r>
      <w:r w:rsidRPr="000D68D3">
        <w:rPr>
          <w:rFonts w:ascii="Calibri" w:hAnsi="Calibri" w:cs="Calibri"/>
          <w:bCs/>
          <w:sz w:val="20"/>
          <w:szCs w:val="20"/>
        </w:rPr>
        <w:t xml:space="preserve"> účetní závěrky BALMED Praha za roky 2009 až 2015.</w:t>
      </w:r>
    </w:p>
    <w:p w14:paraId="76A3642F" w14:textId="77777777" w:rsidR="00D55F31" w:rsidRPr="000D68D3" w:rsidRDefault="0024693B" w:rsidP="009912FB">
      <w:pPr>
        <w:jc w:val="both"/>
        <w:rPr>
          <w:rFonts w:ascii="Calibri" w:hAnsi="Calibri" w:cs="Calibri"/>
          <w:sz w:val="20"/>
          <w:szCs w:val="20"/>
        </w:rPr>
      </w:pPr>
      <w:r w:rsidRPr="000D68D3">
        <w:rPr>
          <w:rFonts w:ascii="Calibri" w:hAnsi="Calibri" w:cs="Calibri"/>
          <w:b/>
          <w:bCs/>
          <w:sz w:val="20"/>
          <w:szCs w:val="20"/>
        </w:rPr>
        <w:t>Pozn.:</w:t>
      </w:r>
      <w:r w:rsidRPr="000D68D3">
        <w:rPr>
          <w:rFonts w:ascii="Calibri" w:hAnsi="Calibri" w:cs="Calibri"/>
          <w:bCs/>
          <w:sz w:val="20"/>
          <w:szCs w:val="20"/>
        </w:rPr>
        <w:t xml:space="preserve"> *</w:t>
      </w:r>
      <w:r w:rsidRPr="000D68D3">
        <w:rPr>
          <w:rFonts w:ascii="Calibri" w:hAnsi="Calibri" w:cs="Calibri"/>
          <w:sz w:val="20"/>
          <w:szCs w:val="20"/>
        </w:rPr>
        <w:t xml:space="preserve"> Hodnoty jsou uvedeny v pořizovacích cenách (brutto hodnotě).</w:t>
      </w:r>
    </w:p>
    <w:p w14:paraId="754751A3" w14:textId="38CFAB7F" w:rsidR="00D55F31" w:rsidRPr="00632820" w:rsidRDefault="0024693B" w:rsidP="0065263C">
      <w:pPr>
        <w:spacing w:before="240"/>
        <w:jc w:val="both"/>
        <w:rPr>
          <w:rFonts w:asciiTheme="minorHAnsi" w:hAnsiTheme="minorHAnsi" w:cs="Calibri"/>
          <w:color w:val="000000" w:themeColor="text1"/>
        </w:rPr>
      </w:pPr>
      <w:r w:rsidRPr="00C9657D">
        <w:rPr>
          <w:rFonts w:asciiTheme="minorHAnsi" w:hAnsiTheme="minorHAnsi" w:cs="Calibri"/>
        </w:rPr>
        <w:t>Za období let 2009 až 2015 prodal státní podnik BALMED Praha pozemky v celkové hodnotě 1 347 tis. Kč a stavby v celkové hodnotě 395 tis. Kč. Státní podnik dále v roce 2010 převedl na</w:t>
      </w:r>
      <w:r w:rsidR="00D44C53">
        <w:rPr>
          <w:rFonts w:asciiTheme="minorHAnsi" w:hAnsiTheme="minorHAnsi" w:cs="Calibri"/>
        </w:rPr>
        <w:t xml:space="preserve"> </w:t>
      </w:r>
      <w:r w:rsidRPr="00C9657D">
        <w:rPr>
          <w:rFonts w:asciiTheme="minorHAnsi" w:hAnsiTheme="minorHAnsi" w:cs="Calibri"/>
        </w:rPr>
        <w:t xml:space="preserve">Pozemkový fond České republiky pozemky v celkové </w:t>
      </w:r>
      <w:r>
        <w:rPr>
          <w:rFonts w:asciiTheme="minorHAnsi" w:hAnsiTheme="minorHAnsi" w:cs="Calibri"/>
        </w:rPr>
        <w:t>hodnotě</w:t>
      </w:r>
      <w:r w:rsidRPr="00C9657D">
        <w:rPr>
          <w:rFonts w:asciiTheme="minorHAnsi" w:hAnsiTheme="minorHAnsi" w:cs="Calibri"/>
        </w:rPr>
        <w:t xml:space="preserve"> 2 946 tis. Kč. Od roku 2009 tak došlo u státního podniku k celkovému úbytku 40</w:t>
      </w:r>
      <w:r w:rsidR="00D44C53">
        <w:rPr>
          <w:rFonts w:asciiTheme="minorHAnsi" w:hAnsiTheme="minorHAnsi" w:cs="Calibri"/>
        </w:rPr>
        <w:t> </w:t>
      </w:r>
      <w:r w:rsidRPr="00C9657D">
        <w:rPr>
          <w:rFonts w:asciiTheme="minorHAnsi" w:hAnsiTheme="minorHAnsi" w:cs="Calibri"/>
        </w:rPr>
        <w:t xml:space="preserve">% hodnoty nemovitého (určeného) </w:t>
      </w:r>
      <w:r w:rsidRPr="00632820">
        <w:rPr>
          <w:rFonts w:asciiTheme="minorHAnsi" w:hAnsiTheme="minorHAnsi" w:cs="Calibri"/>
          <w:color w:val="000000" w:themeColor="text1"/>
        </w:rPr>
        <w:t xml:space="preserve">majetku. </w:t>
      </w:r>
    </w:p>
    <w:p w14:paraId="4C13D014" w14:textId="11F2F73D" w:rsidR="00D55F31" w:rsidRPr="001D2FFE" w:rsidRDefault="0024693B" w:rsidP="000D68D3">
      <w:pPr>
        <w:spacing w:before="120"/>
        <w:jc w:val="both"/>
        <w:rPr>
          <w:rFonts w:asciiTheme="minorHAnsi" w:hAnsiTheme="minorHAnsi" w:cs="Calibri"/>
          <w:bCs/>
        </w:rPr>
      </w:pPr>
      <w:r w:rsidRPr="00632820">
        <w:rPr>
          <w:rFonts w:asciiTheme="minorHAnsi" w:hAnsiTheme="minorHAnsi" w:cs="Calibri"/>
          <w:bCs/>
          <w:color w:val="000000" w:themeColor="text1"/>
        </w:rPr>
        <w:t>BALMED Praha hospodařil v letech 2009 až 2015 převážně se</w:t>
      </w:r>
      <w:r w:rsidR="00D44C53">
        <w:rPr>
          <w:rFonts w:asciiTheme="minorHAnsi" w:hAnsiTheme="minorHAnsi" w:cs="Calibri"/>
          <w:bCs/>
          <w:color w:val="000000" w:themeColor="text1"/>
        </w:rPr>
        <w:t xml:space="preserve"> </w:t>
      </w:r>
      <w:r w:rsidRPr="00632820">
        <w:rPr>
          <w:rFonts w:asciiTheme="minorHAnsi" w:hAnsiTheme="minorHAnsi" w:cs="Calibri"/>
          <w:bCs/>
          <w:color w:val="000000" w:themeColor="text1"/>
        </w:rPr>
        <w:t xml:space="preserve">ztrátou. Tržby z pronájmu majetku nepostačovaly k pokrytí </w:t>
      </w:r>
      <w:r w:rsidRPr="00593A20">
        <w:rPr>
          <w:rFonts w:asciiTheme="minorHAnsi" w:hAnsiTheme="minorHAnsi" w:cs="Calibri"/>
          <w:bCs/>
        </w:rPr>
        <w:t>nákladů vynaložených na jeho provoz, pokud státní podnik neuskutečnil v příslušném roce finančně významný prodej majetku.</w:t>
      </w:r>
      <w:r w:rsidRPr="00D44C53">
        <w:rPr>
          <w:rFonts w:asciiTheme="minorHAnsi" w:hAnsiTheme="minorHAnsi" w:cs="Calibri"/>
          <w:bCs/>
        </w:rPr>
        <w:t xml:space="preserve"> </w:t>
      </w:r>
      <w:r w:rsidR="00782C8B" w:rsidRPr="001D2FFE">
        <w:rPr>
          <w:rFonts w:asciiTheme="minorHAnsi" w:hAnsiTheme="minorHAnsi" w:cs="Calibri"/>
          <w:bCs/>
        </w:rPr>
        <w:t>Kumulované z</w:t>
      </w:r>
      <w:r w:rsidR="00AE3CD3" w:rsidRPr="001D2FFE">
        <w:rPr>
          <w:rFonts w:asciiTheme="minorHAnsi" w:hAnsiTheme="minorHAnsi" w:cs="Calibri"/>
          <w:bCs/>
        </w:rPr>
        <w:t xml:space="preserve">tráty </w:t>
      </w:r>
      <w:r w:rsidR="00AE3CD3">
        <w:rPr>
          <w:rFonts w:asciiTheme="minorHAnsi" w:hAnsiTheme="minorHAnsi" w:cs="Calibri"/>
          <w:bCs/>
        </w:rPr>
        <w:t>podnik</w:t>
      </w:r>
      <w:r w:rsidR="001D2FFE">
        <w:rPr>
          <w:rFonts w:asciiTheme="minorHAnsi" w:hAnsiTheme="minorHAnsi" w:cs="Calibri"/>
          <w:bCs/>
        </w:rPr>
        <w:t>u vedly ke</w:t>
      </w:r>
      <w:r w:rsidR="00AE3CD3">
        <w:rPr>
          <w:rFonts w:asciiTheme="minorHAnsi" w:hAnsiTheme="minorHAnsi" w:cs="Calibri"/>
          <w:bCs/>
        </w:rPr>
        <w:t xml:space="preserve"> snižování vlastního kapitálu.</w:t>
      </w:r>
    </w:p>
    <w:p w14:paraId="2F225E77" w14:textId="77777777" w:rsidR="00D55F31" w:rsidRPr="00F86E13" w:rsidRDefault="0024693B" w:rsidP="000D68D3">
      <w:pPr>
        <w:shd w:val="clear" w:color="auto" w:fill="DBE5F1" w:themeFill="accent1" w:themeFillTint="33"/>
        <w:spacing w:before="120"/>
        <w:jc w:val="both"/>
        <w:rPr>
          <w:rFonts w:asciiTheme="minorHAnsi" w:hAnsiTheme="minorHAnsi" w:cs="Calibri"/>
        </w:rPr>
      </w:pPr>
      <w:proofErr w:type="spellStart"/>
      <w:r w:rsidRPr="00C9657D">
        <w:rPr>
          <w:rFonts w:asciiTheme="minorHAnsi" w:hAnsiTheme="minorHAnsi" w:cs="Calibri"/>
        </w:rPr>
        <w:t>MZdr</w:t>
      </w:r>
      <w:proofErr w:type="spellEnd"/>
      <w:r w:rsidRPr="00C9657D">
        <w:rPr>
          <w:rFonts w:asciiTheme="minorHAnsi" w:hAnsiTheme="minorHAnsi" w:cs="Calibri"/>
        </w:rPr>
        <w:t xml:space="preserve"> každoročně zpracovalo zprávu o zbytkových státních podnicích a dle těchto zpráv docházelo k </w:t>
      </w:r>
      <w:r w:rsidR="00E04FB5">
        <w:rPr>
          <w:rFonts w:asciiTheme="minorHAnsi" w:hAnsiTheme="minorHAnsi" w:cs="Calibri"/>
        </w:rPr>
        <w:t>oddalování</w:t>
      </w:r>
      <w:r w:rsidR="00E04FB5" w:rsidRPr="00C9657D">
        <w:rPr>
          <w:rFonts w:asciiTheme="minorHAnsi" w:hAnsiTheme="minorHAnsi" w:cs="Calibri"/>
        </w:rPr>
        <w:t xml:space="preserve"> </w:t>
      </w:r>
      <w:r>
        <w:rPr>
          <w:rFonts w:asciiTheme="minorHAnsi" w:hAnsiTheme="minorHAnsi" w:cs="Calibri"/>
        </w:rPr>
        <w:t>termínu</w:t>
      </w:r>
      <w:r w:rsidRPr="00C9657D">
        <w:rPr>
          <w:rFonts w:asciiTheme="minorHAnsi" w:hAnsiTheme="minorHAnsi" w:cs="Calibri"/>
        </w:rPr>
        <w:t xml:space="preserve"> ukončení činnosti státního podniku</w:t>
      </w:r>
      <w:r w:rsidR="001175AE">
        <w:rPr>
          <w:rStyle w:val="Znakapoznpodarou"/>
          <w:rFonts w:asciiTheme="minorHAnsi" w:hAnsiTheme="minorHAnsi" w:cs="Calibri"/>
        </w:rPr>
        <w:footnoteReference w:id="28"/>
      </w:r>
      <w:r w:rsidRPr="00C9657D">
        <w:rPr>
          <w:rFonts w:asciiTheme="minorHAnsi" w:hAnsiTheme="minorHAnsi" w:cs="Calibri"/>
        </w:rPr>
        <w:t>.</w:t>
      </w:r>
      <w:r>
        <w:rPr>
          <w:rFonts w:asciiTheme="minorHAnsi" w:hAnsiTheme="minorHAnsi" w:cs="Calibri"/>
        </w:rPr>
        <w:t xml:space="preserve"> </w:t>
      </w:r>
      <w:r w:rsidRPr="00F86E13">
        <w:rPr>
          <w:rFonts w:asciiTheme="minorHAnsi" w:hAnsiTheme="minorHAnsi" w:cs="Calibri"/>
          <w:bCs/>
        </w:rPr>
        <w:t xml:space="preserve">NKÚ doporučuje </w:t>
      </w:r>
      <w:r w:rsidRPr="00F86E13">
        <w:rPr>
          <w:rFonts w:asciiTheme="minorHAnsi" w:hAnsiTheme="minorHAnsi" w:cs="Calibri"/>
          <w:bCs/>
        </w:rPr>
        <w:lastRenderedPageBreak/>
        <w:t>majetek, který spravuje BALMED Praha, převést na Úřad pro zastupování státu ve věcech majetkových a činnost tohoto státního podniku ukončit.</w:t>
      </w:r>
    </w:p>
    <w:p w14:paraId="548ED4D8" w14:textId="77777777" w:rsidR="00D55F31" w:rsidRPr="00471ABD" w:rsidRDefault="0024693B" w:rsidP="006533E0">
      <w:pPr>
        <w:spacing w:before="240"/>
        <w:jc w:val="both"/>
        <w:rPr>
          <w:rFonts w:asciiTheme="minorHAnsi" w:hAnsiTheme="minorHAnsi" w:cstheme="minorHAnsi"/>
          <w:b/>
        </w:rPr>
      </w:pPr>
      <w:r w:rsidRPr="00471ABD">
        <w:rPr>
          <w:rFonts w:asciiTheme="minorHAnsi" w:hAnsiTheme="minorHAnsi" w:cstheme="minorHAnsi"/>
          <w:b/>
        </w:rPr>
        <w:t>2.2 Analýza vybraných finančních ukazatelů</w:t>
      </w:r>
    </w:p>
    <w:p w14:paraId="0688459A" w14:textId="77777777" w:rsidR="00D55F31" w:rsidRPr="00C9657D" w:rsidRDefault="0024693B" w:rsidP="0002290A">
      <w:pPr>
        <w:spacing w:before="120"/>
        <w:jc w:val="both"/>
        <w:rPr>
          <w:rFonts w:asciiTheme="minorHAnsi" w:hAnsiTheme="minorHAnsi"/>
        </w:rPr>
      </w:pPr>
      <w:r w:rsidRPr="00C9657D">
        <w:rPr>
          <w:rFonts w:asciiTheme="minorHAnsi" w:hAnsiTheme="minorHAnsi"/>
        </w:rPr>
        <w:t>NKÚ provedl finanční analýzu hospodaření kontrolovaných státních podniků, která vycházela z údajů v základních účetních výkazech, tj. v rozvaze a výkazu zisku a ztráty za roky 2011 až 2015. Rozbor vybraných ukazatelů finanční analýzy je uveden v příloze č. 1 k tomuto kontrolnímu závěru.</w:t>
      </w:r>
    </w:p>
    <w:p w14:paraId="34E2E456" w14:textId="77777777" w:rsidR="00D55F31" w:rsidRPr="00C9657D" w:rsidRDefault="0024693B" w:rsidP="0002290A">
      <w:pPr>
        <w:shd w:val="clear" w:color="auto" w:fill="DBE5F1" w:themeFill="accent1" w:themeFillTint="33"/>
        <w:spacing w:before="120"/>
        <w:jc w:val="both"/>
        <w:rPr>
          <w:rFonts w:asciiTheme="minorHAnsi" w:hAnsiTheme="minorHAnsi"/>
        </w:rPr>
      </w:pPr>
      <w:r w:rsidRPr="00C9657D">
        <w:rPr>
          <w:rFonts w:asciiTheme="minorHAnsi" w:hAnsiTheme="minorHAnsi"/>
        </w:rPr>
        <w:t xml:space="preserve">Z finanční analýzy kontrolovaných státních podniků vyplynulo, že z hlediska schopnosti splácet své závazky lze finanční pozici státních podniků k 31. 12. 2015 hodnotit jako dobrou. Státní podniky mají vyšší podíl vlastních zdrojů na celkovém kapitálu a jejich celková zadluženost byla k 31. 12. 2015 nízká. </w:t>
      </w:r>
    </w:p>
    <w:p w14:paraId="7F5E8457" w14:textId="38BED74D" w:rsidR="00D55F31" w:rsidRPr="00C9657D" w:rsidRDefault="0024693B" w:rsidP="000D68D3">
      <w:pPr>
        <w:spacing w:before="120"/>
        <w:jc w:val="both"/>
        <w:rPr>
          <w:rFonts w:asciiTheme="minorHAnsi" w:hAnsiTheme="minorHAnsi"/>
        </w:rPr>
      </w:pPr>
      <w:r w:rsidRPr="00C9657D">
        <w:rPr>
          <w:rFonts w:asciiTheme="minorHAnsi" w:hAnsiTheme="minorHAnsi"/>
        </w:rPr>
        <w:t xml:space="preserve">Ukazatele výnosnosti byly u státních podniků provozujících lázeňskou péči v letech 2012 a 2013 negativně ovlivněny poklesem </w:t>
      </w:r>
      <w:r>
        <w:rPr>
          <w:rFonts w:asciiTheme="minorHAnsi" w:hAnsiTheme="minorHAnsi"/>
        </w:rPr>
        <w:t>tržeb od zdravotních pojišťoven. O</w:t>
      </w:r>
      <w:r w:rsidRPr="00C9657D">
        <w:rPr>
          <w:rFonts w:asciiTheme="minorHAnsi" w:hAnsiTheme="minorHAnsi"/>
        </w:rPr>
        <w:t>d roku 2014 docházelo k jejich postupnému zlepšování. Státní podnik BALMED Praha dosáhl kladných hodnot ukazatelů ziskovosti jen v roce 2013, kdy realizoval finančně významný prodej majetku.</w:t>
      </w:r>
    </w:p>
    <w:p w14:paraId="6807FA49" w14:textId="77777777" w:rsidR="00D55F31" w:rsidRPr="00C9657D" w:rsidRDefault="0024693B" w:rsidP="000D68D3">
      <w:pPr>
        <w:spacing w:before="240"/>
        <w:ind w:left="1418" w:hanging="1418"/>
        <w:rPr>
          <w:rFonts w:asciiTheme="minorHAnsi" w:hAnsiTheme="minorHAnsi"/>
          <w:b/>
        </w:rPr>
      </w:pPr>
      <w:r w:rsidRPr="00C9657D">
        <w:rPr>
          <w:rFonts w:asciiTheme="minorHAnsi" w:hAnsiTheme="minorHAnsi"/>
          <w:b/>
        </w:rPr>
        <w:t xml:space="preserve">Tabulka č. 5 </w:t>
      </w:r>
      <w:r>
        <w:rPr>
          <w:rFonts w:asciiTheme="minorHAnsi" w:hAnsiTheme="minorHAnsi"/>
          <w:b/>
        </w:rPr>
        <w:t>–</w:t>
      </w:r>
      <w:r w:rsidRPr="00C9657D">
        <w:rPr>
          <w:rFonts w:asciiTheme="minorHAnsi" w:hAnsiTheme="minorHAnsi"/>
          <w:b/>
        </w:rPr>
        <w:t xml:space="preserve"> </w:t>
      </w:r>
      <w:r w:rsidR="000D68D3">
        <w:rPr>
          <w:rFonts w:asciiTheme="minorHAnsi" w:hAnsiTheme="minorHAnsi"/>
          <w:b/>
        </w:rPr>
        <w:tab/>
      </w:r>
      <w:r w:rsidRPr="00C9657D">
        <w:rPr>
          <w:rFonts w:asciiTheme="minorHAnsi" w:hAnsiTheme="minorHAnsi"/>
          <w:b/>
        </w:rPr>
        <w:t>Celkový kapitál kontrolovaných státních podniků za roky 2011</w:t>
      </w:r>
      <w:r w:rsidRPr="00C9657D">
        <w:rPr>
          <w:rFonts w:asciiTheme="minorHAnsi" w:hAnsiTheme="minorHAnsi" w:cs="Calibri"/>
          <w:b/>
          <w:color w:val="000000"/>
        </w:rPr>
        <w:t>–</w:t>
      </w:r>
      <w:r w:rsidRPr="00C9657D">
        <w:rPr>
          <w:rFonts w:asciiTheme="minorHAnsi" w:hAnsiTheme="minorHAnsi"/>
          <w:b/>
        </w:rPr>
        <w:t xml:space="preserve">2015 </w:t>
      </w:r>
    </w:p>
    <w:p w14:paraId="1519A5F4" w14:textId="77777777" w:rsidR="00D55F31" w:rsidRPr="00C9657D" w:rsidRDefault="000D68D3" w:rsidP="000D68D3">
      <w:pPr>
        <w:tabs>
          <w:tab w:val="right" w:pos="9072"/>
        </w:tabs>
        <w:spacing w:after="40"/>
        <w:jc w:val="both"/>
        <w:rPr>
          <w:rFonts w:asciiTheme="minorHAnsi" w:hAnsiTheme="minorHAnsi"/>
          <w:b/>
        </w:rPr>
      </w:pPr>
      <w:r>
        <w:rPr>
          <w:rFonts w:asciiTheme="minorHAnsi" w:hAnsiTheme="minorHAnsi"/>
          <w:b/>
        </w:rPr>
        <w:t xml:space="preserve"> </w:t>
      </w:r>
      <w:r>
        <w:rPr>
          <w:rFonts w:asciiTheme="minorHAnsi" w:hAnsiTheme="minorHAnsi"/>
          <w:b/>
        </w:rPr>
        <w:tab/>
      </w:r>
      <w:r w:rsidR="0024693B" w:rsidRPr="00C9657D">
        <w:rPr>
          <w:rFonts w:asciiTheme="minorHAnsi" w:hAnsiTheme="minorHAnsi"/>
          <w:b/>
        </w:rPr>
        <w:t>(v tis. Kč)</w:t>
      </w: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674"/>
        <w:gridCol w:w="1950"/>
        <w:gridCol w:w="1084"/>
        <w:gridCol w:w="1084"/>
        <w:gridCol w:w="1084"/>
        <w:gridCol w:w="1083"/>
        <w:gridCol w:w="1083"/>
      </w:tblGrid>
      <w:tr w:rsidR="00C425F2" w14:paraId="6E20DB1C" w14:textId="77777777" w:rsidTr="00E27615">
        <w:trPr>
          <w:cantSplit/>
          <w:trHeight w:val="283"/>
          <w:jc w:val="center"/>
        </w:trPr>
        <w:tc>
          <w:tcPr>
            <w:tcW w:w="2003" w:type="pct"/>
            <w:gridSpan w:val="2"/>
            <w:tcBorders>
              <w:top w:val="single" w:sz="12" w:space="0" w:color="auto"/>
              <w:left w:val="single" w:sz="12" w:space="0" w:color="auto"/>
            </w:tcBorders>
            <w:shd w:val="clear" w:color="auto" w:fill="C6D9F1" w:themeFill="text2" w:themeFillTint="33"/>
            <w:vAlign w:val="center"/>
          </w:tcPr>
          <w:p w14:paraId="1400368B" w14:textId="77777777" w:rsidR="00D55F31" w:rsidRPr="00C9657D" w:rsidRDefault="00D55F31" w:rsidP="0002290A">
            <w:pPr>
              <w:jc w:val="center"/>
              <w:rPr>
                <w:rFonts w:asciiTheme="minorHAnsi" w:hAnsiTheme="minorHAnsi" w:cstheme="minorHAnsi"/>
                <w:b/>
                <w:color w:val="000000"/>
                <w:sz w:val="20"/>
                <w:szCs w:val="18"/>
              </w:rPr>
            </w:pPr>
          </w:p>
        </w:tc>
        <w:tc>
          <w:tcPr>
            <w:tcW w:w="599" w:type="pct"/>
            <w:tcBorders>
              <w:top w:val="single" w:sz="12" w:space="0" w:color="auto"/>
              <w:right w:val="single" w:sz="4" w:space="0" w:color="auto"/>
            </w:tcBorders>
            <w:shd w:val="clear" w:color="auto" w:fill="C6D9F1" w:themeFill="text2" w:themeFillTint="33"/>
            <w:vAlign w:val="center"/>
          </w:tcPr>
          <w:p w14:paraId="67392F1C" w14:textId="77777777" w:rsidR="00D55F31" w:rsidRPr="00C9657D" w:rsidRDefault="0024693B" w:rsidP="0002290A">
            <w:pPr>
              <w:jc w:val="center"/>
              <w:rPr>
                <w:rFonts w:asciiTheme="minorHAnsi" w:hAnsiTheme="minorHAnsi" w:cstheme="minorHAnsi"/>
                <w:b/>
                <w:color w:val="000000"/>
                <w:sz w:val="20"/>
                <w:szCs w:val="18"/>
              </w:rPr>
            </w:pPr>
            <w:r w:rsidRPr="00C9657D">
              <w:rPr>
                <w:rFonts w:asciiTheme="minorHAnsi" w:hAnsiTheme="minorHAnsi" w:cstheme="minorHAnsi"/>
                <w:b/>
                <w:color w:val="000000"/>
                <w:sz w:val="20"/>
                <w:szCs w:val="18"/>
              </w:rPr>
              <w:t>2011</w:t>
            </w:r>
          </w:p>
        </w:tc>
        <w:tc>
          <w:tcPr>
            <w:tcW w:w="599" w:type="pct"/>
            <w:tcBorders>
              <w:top w:val="single" w:sz="12" w:space="0" w:color="auto"/>
              <w:left w:val="single" w:sz="4" w:space="0" w:color="auto"/>
            </w:tcBorders>
            <w:shd w:val="clear" w:color="auto" w:fill="C6D9F1" w:themeFill="text2" w:themeFillTint="33"/>
            <w:vAlign w:val="center"/>
          </w:tcPr>
          <w:p w14:paraId="17D1435B" w14:textId="77777777" w:rsidR="00D55F31" w:rsidRPr="00C9657D" w:rsidRDefault="0024693B" w:rsidP="0002290A">
            <w:pPr>
              <w:jc w:val="center"/>
              <w:rPr>
                <w:rFonts w:asciiTheme="minorHAnsi" w:hAnsiTheme="minorHAnsi" w:cstheme="minorHAnsi"/>
                <w:b/>
                <w:color w:val="000000"/>
                <w:sz w:val="20"/>
                <w:szCs w:val="18"/>
              </w:rPr>
            </w:pPr>
            <w:r w:rsidRPr="00C9657D">
              <w:rPr>
                <w:rFonts w:asciiTheme="minorHAnsi" w:hAnsiTheme="minorHAnsi" w:cstheme="minorHAnsi"/>
                <w:b/>
                <w:color w:val="000000"/>
                <w:sz w:val="20"/>
                <w:szCs w:val="18"/>
              </w:rPr>
              <w:t>2012</w:t>
            </w:r>
          </w:p>
        </w:tc>
        <w:tc>
          <w:tcPr>
            <w:tcW w:w="599" w:type="pct"/>
            <w:tcBorders>
              <w:top w:val="single" w:sz="12" w:space="0" w:color="auto"/>
            </w:tcBorders>
            <w:shd w:val="clear" w:color="auto" w:fill="C6D9F1" w:themeFill="text2" w:themeFillTint="33"/>
            <w:vAlign w:val="center"/>
          </w:tcPr>
          <w:p w14:paraId="5211A90A" w14:textId="77777777" w:rsidR="00D55F31" w:rsidRPr="00C9657D" w:rsidRDefault="0024693B" w:rsidP="0002290A">
            <w:pPr>
              <w:jc w:val="center"/>
              <w:rPr>
                <w:rFonts w:asciiTheme="minorHAnsi" w:hAnsiTheme="minorHAnsi" w:cstheme="minorHAnsi"/>
                <w:b/>
                <w:color w:val="000000"/>
                <w:sz w:val="20"/>
                <w:szCs w:val="18"/>
              </w:rPr>
            </w:pPr>
            <w:r w:rsidRPr="00C9657D">
              <w:rPr>
                <w:rFonts w:asciiTheme="minorHAnsi" w:hAnsiTheme="minorHAnsi" w:cstheme="minorHAnsi"/>
                <w:b/>
                <w:color w:val="000000"/>
                <w:sz w:val="20"/>
                <w:szCs w:val="18"/>
              </w:rPr>
              <w:t>2013</w:t>
            </w:r>
          </w:p>
        </w:tc>
        <w:tc>
          <w:tcPr>
            <w:tcW w:w="599" w:type="pct"/>
            <w:tcBorders>
              <w:top w:val="single" w:sz="12" w:space="0" w:color="auto"/>
            </w:tcBorders>
            <w:shd w:val="clear" w:color="auto" w:fill="C6D9F1" w:themeFill="text2" w:themeFillTint="33"/>
            <w:vAlign w:val="center"/>
          </w:tcPr>
          <w:p w14:paraId="0A8EBA34" w14:textId="77777777" w:rsidR="00D55F31" w:rsidRPr="00C9657D" w:rsidRDefault="0024693B" w:rsidP="0002290A">
            <w:pPr>
              <w:jc w:val="center"/>
              <w:rPr>
                <w:rFonts w:asciiTheme="minorHAnsi" w:hAnsiTheme="minorHAnsi" w:cstheme="minorHAnsi"/>
                <w:b/>
                <w:color w:val="000000"/>
                <w:sz w:val="20"/>
                <w:szCs w:val="18"/>
              </w:rPr>
            </w:pPr>
            <w:r w:rsidRPr="00C9657D">
              <w:rPr>
                <w:rFonts w:asciiTheme="minorHAnsi" w:hAnsiTheme="minorHAnsi" w:cstheme="minorHAnsi"/>
                <w:b/>
                <w:color w:val="000000"/>
                <w:sz w:val="20"/>
                <w:szCs w:val="18"/>
              </w:rPr>
              <w:t>2014</w:t>
            </w:r>
          </w:p>
        </w:tc>
        <w:tc>
          <w:tcPr>
            <w:tcW w:w="599" w:type="pct"/>
            <w:tcBorders>
              <w:top w:val="single" w:sz="12" w:space="0" w:color="auto"/>
              <w:right w:val="single" w:sz="12" w:space="0" w:color="auto"/>
            </w:tcBorders>
            <w:shd w:val="clear" w:color="auto" w:fill="C6D9F1" w:themeFill="text2" w:themeFillTint="33"/>
            <w:vAlign w:val="center"/>
          </w:tcPr>
          <w:p w14:paraId="208A2101" w14:textId="77777777" w:rsidR="00D55F31" w:rsidRPr="00C9657D" w:rsidRDefault="0024693B" w:rsidP="0002290A">
            <w:pPr>
              <w:jc w:val="center"/>
              <w:rPr>
                <w:rFonts w:asciiTheme="minorHAnsi" w:hAnsiTheme="minorHAnsi" w:cstheme="minorHAnsi"/>
                <w:b/>
                <w:color w:val="000000"/>
                <w:sz w:val="20"/>
                <w:szCs w:val="18"/>
              </w:rPr>
            </w:pPr>
            <w:r w:rsidRPr="00C9657D">
              <w:rPr>
                <w:rFonts w:asciiTheme="minorHAnsi" w:hAnsiTheme="minorHAnsi" w:cstheme="minorHAnsi"/>
                <w:b/>
                <w:color w:val="000000"/>
                <w:sz w:val="20"/>
                <w:szCs w:val="18"/>
              </w:rPr>
              <w:t>2015</w:t>
            </w:r>
          </w:p>
        </w:tc>
      </w:tr>
      <w:tr w:rsidR="00C425F2" w14:paraId="4FE07740" w14:textId="77777777" w:rsidTr="00E27615">
        <w:trPr>
          <w:cantSplit/>
          <w:trHeight w:val="113"/>
          <w:jc w:val="center"/>
        </w:trPr>
        <w:tc>
          <w:tcPr>
            <w:tcW w:w="925" w:type="pct"/>
            <w:vMerge w:val="restart"/>
            <w:tcBorders>
              <w:left w:val="single" w:sz="12" w:space="0" w:color="auto"/>
            </w:tcBorders>
            <w:vAlign w:val="center"/>
          </w:tcPr>
          <w:p w14:paraId="7D82A067" w14:textId="77777777" w:rsidR="00D55F31" w:rsidRPr="00C9657D" w:rsidRDefault="0024693B" w:rsidP="0002290A">
            <w:pPr>
              <w:rPr>
                <w:rFonts w:asciiTheme="minorHAnsi" w:hAnsiTheme="minorHAnsi" w:cstheme="minorHAnsi"/>
                <w:color w:val="000000"/>
                <w:sz w:val="20"/>
                <w:szCs w:val="18"/>
              </w:rPr>
            </w:pPr>
            <w:r w:rsidRPr="00C9657D">
              <w:rPr>
                <w:rFonts w:asciiTheme="minorHAnsi" w:hAnsiTheme="minorHAnsi" w:cstheme="minorHAnsi"/>
                <w:color w:val="000000"/>
                <w:sz w:val="20"/>
                <w:szCs w:val="18"/>
              </w:rPr>
              <w:t>Celkový kapitál</w:t>
            </w:r>
            <w:r>
              <w:rPr>
                <w:rStyle w:val="Znakapoznpodarou"/>
                <w:rFonts w:asciiTheme="minorHAnsi" w:hAnsiTheme="minorHAnsi" w:cstheme="minorHAnsi"/>
                <w:color w:val="000000"/>
                <w:sz w:val="20"/>
                <w:szCs w:val="18"/>
              </w:rPr>
              <w:footnoteReference w:id="29"/>
            </w:r>
          </w:p>
        </w:tc>
        <w:tc>
          <w:tcPr>
            <w:tcW w:w="1078" w:type="pct"/>
            <w:vAlign w:val="center"/>
          </w:tcPr>
          <w:p w14:paraId="17508A87" w14:textId="77777777" w:rsidR="00D55F31" w:rsidRPr="00C9657D" w:rsidRDefault="0024693B" w:rsidP="0002290A">
            <w:pPr>
              <w:ind w:right="64" w:hanging="11"/>
              <w:jc w:val="center"/>
              <w:rPr>
                <w:rFonts w:asciiTheme="minorHAnsi" w:hAnsiTheme="minorHAnsi" w:cs="Calibri"/>
                <w:i/>
                <w:color w:val="000000"/>
                <w:sz w:val="20"/>
                <w:szCs w:val="20"/>
              </w:rPr>
            </w:pPr>
            <w:r w:rsidRPr="00C9657D">
              <w:rPr>
                <w:rFonts w:asciiTheme="minorHAnsi" w:hAnsiTheme="minorHAnsi" w:cs="Calibri"/>
                <w:i/>
                <w:color w:val="000000"/>
                <w:sz w:val="20"/>
                <w:szCs w:val="20"/>
              </w:rPr>
              <w:t>SLL Janské Lázně</w:t>
            </w:r>
          </w:p>
        </w:tc>
        <w:tc>
          <w:tcPr>
            <w:tcW w:w="599" w:type="pct"/>
            <w:tcBorders>
              <w:right w:val="single" w:sz="4" w:space="0" w:color="auto"/>
            </w:tcBorders>
            <w:vAlign w:val="center"/>
          </w:tcPr>
          <w:p w14:paraId="07DF214E" w14:textId="3103994E" w:rsidR="00D55F31" w:rsidRPr="00C9657D" w:rsidRDefault="0024693B" w:rsidP="009F56C5">
            <w:pPr>
              <w:jc w:val="right"/>
              <w:rPr>
                <w:rFonts w:asciiTheme="minorHAnsi" w:hAnsiTheme="minorHAnsi" w:cstheme="minorHAnsi"/>
                <w:sz w:val="20"/>
                <w:szCs w:val="20"/>
              </w:rPr>
            </w:pPr>
            <w:r w:rsidRPr="00C9657D">
              <w:rPr>
                <w:rFonts w:asciiTheme="minorHAnsi" w:hAnsiTheme="minorHAnsi" w:cstheme="minorHAnsi"/>
                <w:sz w:val="20"/>
                <w:szCs w:val="20"/>
              </w:rPr>
              <w:t>551 273</w:t>
            </w:r>
          </w:p>
        </w:tc>
        <w:tc>
          <w:tcPr>
            <w:tcW w:w="599" w:type="pct"/>
            <w:tcBorders>
              <w:left w:val="single" w:sz="4" w:space="0" w:color="auto"/>
            </w:tcBorders>
            <w:vAlign w:val="center"/>
          </w:tcPr>
          <w:p w14:paraId="160D7306" w14:textId="721D1D60" w:rsidR="00D55F31" w:rsidRPr="00C9657D" w:rsidRDefault="0024693B" w:rsidP="009F56C5">
            <w:pPr>
              <w:jc w:val="right"/>
              <w:rPr>
                <w:rFonts w:asciiTheme="minorHAnsi" w:hAnsiTheme="minorHAnsi" w:cstheme="minorHAnsi"/>
                <w:sz w:val="20"/>
                <w:szCs w:val="20"/>
              </w:rPr>
            </w:pPr>
            <w:r w:rsidRPr="00C9657D">
              <w:rPr>
                <w:rFonts w:asciiTheme="minorHAnsi" w:hAnsiTheme="minorHAnsi" w:cstheme="minorHAnsi"/>
                <w:sz w:val="20"/>
                <w:szCs w:val="20"/>
              </w:rPr>
              <w:t>516 003</w:t>
            </w:r>
          </w:p>
        </w:tc>
        <w:tc>
          <w:tcPr>
            <w:tcW w:w="599" w:type="pct"/>
            <w:vAlign w:val="center"/>
          </w:tcPr>
          <w:p w14:paraId="1D025DD0" w14:textId="61FCD61F" w:rsidR="00D55F31" w:rsidRPr="00C9657D" w:rsidRDefault="0024693B" w:rsidP="009F56C5">
            <w:pPr>
              <w:jc w:val="right"/>
              <w:rPr>
                <w:rFonts w:asciiTheme="minorHAnsi" w:hAnsiTheme="minorHAnsi" w:cstheme="minorHAnsi"/>
                <w:sz w:val="20"/>
                <w:szCs w:val="20"/>
              </w:rPr>
            </w:pPr>
            <w:r w:rsidRPr="00C9657D">
              <w:rPr>
                <w:rFonts w:asciiTheme="minorHAnsi" w:hAnsiTheme="minorHAnsi" w:cstheme="minorHAnsi"/>
                <w:sz w:val="20"/>
                <w:szCs w:val="20"/>
              </w:rPr>
              <w:t>433 388</w:t>
            </w:r>
          </w:p>
        </w:tc>
        <w:tc>
          <w:tcPr>
            <w:tcW w:w="599" w:type="pct"/>
            <w:vAlign w:val="center"/>
          </w:tcPr>
          <w:p w14:paraId="7ED5A39D" w14:textId="3BAF52FB" w:rsidR="00D55F31" w:rsidRPr="00C9657D" w:rsidRDefault="0024693B" w:rsidP="009F56C5">
            <w:pPr>
              <w:jc w:val="right"/>
              <w:rPr>
                <w:rFonts w:asciiTheme="minorHAnsi" w:hAnsiTheme="minorHAnsi" w:cstheme="minorHAnsi"/>
                <w:sz w:val="20"/>
                <w:szCs w:val="20"/>
              </w:rPr>
            </w:pPr>
            <w:r w:rsidRPr="00C9657D">
              <w:rPr>
                <w:rFonts w:asciiTheme="minorHAnsi" w:hAnsiTheme="minorHAnsi" w:cstheme="minorHAnsi"/>
                <w:sz w:val="20"/>
                <w:szCs w:val="20"/>
              </w:rPr>
              <w:t>433 135</w:t>
            </w:r>
          </w:p>
        </w:tc>
        <w:tc>
          <w:tcPr>
            <w:tcW w:w="599" w:type="pct"/>
            <w:tcBorders>
              <w:right w:val="single" w:sz="12" w:space="0" w:color="auto"/>
            </w:tcBorders>
            <w:vAlign w:val="center"/>
          </w:tcPr>
          <w:p w14:paraId="64F2C0EF" w14:textId="77777777" w:rsidR="00D55F31" w:rsidRPr="00C9657D" w:rsidRDefault="0024693B" w:rsidP="0002290A">
            <w:pPr>
              <w:jc w:val="right"/>
              <w:rPr>
                <w:rFonts w:asciiTheme="minorHAnsi" w:hAnsiTheme="minorHAnsi" w:cstheme="minorHAnsi"/>
                <w:sz w:val="20"/>
                <w:szCs w:val="20"/>
              </w:rPr>
            </w:pPr>
            <w:r w:rsidRPr="00C9657D">
              <w:rPr>
                <w:rFonts w:asciiTheme="minorHAnsi" w:hAnsiTheme="minorHAnsi" w:cstheme="minorHAnsi"/>
                <w:sz w:val="20"/>
                <w:szCs w:val="20"/>
              </w:rPr>
              <w:t>445 918</w:t>
            </w:r>
          </w:p>
        </w:tc>
      </w:tr>
      <w:tr w:rsidR="00C425F2" w14:paraId="6D404973" w14:textId="77777777" w:rsidTr="00E27615">
        <w:trPr>
          <w:cantSplit/>
          <w:trHeight w:val="113"/>
          <w:jc w:val="center"/>
        </w:trPr>
        <w:tc>
          <w:tcPr>
            <w:tcW w:w="925" w:type="pct"/>
            <w:vMerge/>
            <w:tcBorders>
              <w:left w:val="single" w:sz="12" w:space="0" w:color="auto"/>
            </w:tcBorders>
            <w:vAlign w:val="center"/>
          </w:tcPr>
          <w:p w14:paraId="714BB7B3" w14:textId="77777777" w:rsidR="00D55F31" w:rsidRPr="00C9657D" w:rsidRDefault="00D55F31" w:rsidP="0002290A">
            <w:pPr>
              <w:rPr>
                <w:rFonts w:asciiTheme="minorHAnsi" w:hAnsiTheme="minorHAnsi" w:cstheme="minorHAnsi"/>
                <w:color w:val="000000"/>
                <w:sz w:val="20"/>
                <w:szCs w:val="18"/>
              </w:rPr>
            </w:pPr>
          </w:p>
        </w:tc>
        <w:tc>
          <w:tcPr>
            <w:tcW w:w="1078" w:type="pct"/>
            <w:tcBorders>
              <w:bottom w:val="single" w:sz="4" w:space="0" w:color="auto"/>
            </w:tcBorders>
            <w:vAlign w:val="center"/>
          </w:tcPr>
          <w:p w14:paraId="00D34BFC" w14:textId="77777777" w:rsidR="00D55F31" w:rsidRPr="00C9657D" w:rsidRDefault="0024693B" w:rsidP="0002290A">
            <w:pPr>
              <w:ind w:right="64" w:hanging="11"/>
              <w:jc w:val="center"/>
              <w:rPr>
                <w:rFonts w:asciiTheme="minorHAnsi" w:hAnsiTheme="minorHAnsi" w:cs="Calibri"/>
                <w:i/>
                <w:color w:val="000000"/>
                <w:sz w:val="20"/>
                <w:szCs w:val="20"/>
              </w:rPr>
            </w:pPr>
            <w:r w:rsidRPr="00C9657D">
              <w:rPr>
                <w:rFonts w:asciiTheme="minorHAnsi" w:hAnsiTheme="minorHAnsi" w:cs="Calibri"/>
                <w:i/>
                <w:color w:val="000000"/>
                <w:sz w:val="20"/>
                <w:szCs w:val="20"/>
              </w:rPr>
              <w:t>HL Karlova Studánka</w:t>
            </w:r>
          </w:p>
        </w:tc>
        <w:tc>
          <w:tcPr>
            <w:tcW w:w="599" w:type="pct"/>
            <w:tcBorders>
              <w:bottom w:val="single" w:sz="4" w:space="0" w:color="auto"/>
              <w:right w:val="single" w:sz="4" w:space="0" w:color="auto"/>
            </w:tcBorders>
            <w:vAlign w:val="center"/>
          </w:tcPr>
          <w:p w14:paraId="4516C30F" w14:textId="77777777" w:rsidR="00D55F31" w:rsidRPr="00C9657D" w:rsidRDefault="0024693B" w:rsidP="0002290A">
            <w:pPr>
              <w:jc w:val="right"/>
              <w:rPr>
                <w:rFonts w:asciiTheme="minorHAnsi" w:hAnsiTheme="minorHAnsi" w:cstheme="minorHAnsi"/>
                <w:color w:val="000000"/>
                <w:sz w:val="20"/>
                <w:szCs w:val="20"/>
                <w:lang w:eastAsia="cs-CZ"/>
              </w:rPr>
            </w:pPr>
            <w:r w:rsidRPr="00C9657D">
              <w:rPr>
                <w:rFonts w:asciiTheme="minorHAnsi" w:hAnsiTheme="minorHAnsi" w:cstheme="minorHAnsi"/>
                <w:color w:val="000000"/>
                <w:sz w:val="20"/>
                <w:szCs w:val="20"/>
                <w:lang w:eastAsia="cs-CZ"/>
              </w:rPr>
              <w:t>159 879</w:t>
            </w:r>
          </w:p>
        </w:tc>
        <w:tc>
          <w:tcPr>
            <w:tcW w:w="599" w:type="pct"/>
            <w:tcBorders>
              <w:left w:val="single" w:sz="4" w:space="0" w:color="auto"/>
              <w:bottom w:val="single" w:sz="4" w:space="0" w:color="auto"/>
            </w:tcBorders>
            <w:vAlign w:val="center"/>
          </w:tcPr>
          <w:p w14:paraId="1545FF5A" w14:textId="77777777" w:rsidR="00D55F31" w:rsidRPr="00C9657D" w:rsidRDefault="0024693B" w:rsidP="0002290A">
            <w:pPr>
              <w:jc w:val="right"/>
              <w:rPr>
                <w:rFonts w:asciiTheme="minorHAnsi" w:hAnsiTheme="minorHAnsi" w:cstheme="minorHAnsi"/>
                <w:color w:val="000000"/>
                <w:sz w:val="20"/>
                <w:szCs w:val="20"/>
                <w:lang w:eastAsia="cs-CZ"/>
              </w:rPr>
            </w:pPr>
            <w:r w:rsidRPr="00C9657D">
              <w:rPr>
                <w:rFonts w:asciiTheme="minorHAnsi" w:hAnsiTheme="minorHAnsi" w:cstheme="minorHAnsi"/>
                <w:color w:val="000000"/>
                <w:sz w:val="20"/>
                <w:szCs w:val="20"/>
                <w:lang w:eastAsia="cs-CZ"/>
              </w:rPr>
              <w:t>146 421</w:t>
            </w:r>
          </w:p>
        </w:tc>
        <w:tc>
          <w:tcPr>
            <w:tcW w:w="599" w:type="pct"/>
            <w:tcBorders>
              <w:bottom w:val="single" w:sz="4" w:space="0" w:color="auto"/>
            </w:tcBorders>
            <w:vAlign w:val="center"/>
          </w:tcPr>
          <w:p w14:paraId="3961EA06" w14:textId="77777777" w:rsidR="00D55F31" w:rsidRPr="00C9657D" w:rsidRDefault="0024693B" w:rsidP="0002290A">
            <w:pPr>
              <w:jc w:val="right"/>
              <w:rPr>
                <w:rFonts w:asciiTheme="minorHAnsi" w:hAnsiTheme="minorHAnsi" w:cstheme="minorHAnsi"/>
                <w:color w:val="000000"/>
                <w:sz w:val="20"/>
                <w:szCs w:val="20"/>
                <w:lang w:eastAsia="cs-CZ"/>
              </w:rPr>
            </w:pPr>
            <w:r w:rsidRPr="00C9657D">
              <w:rPr>
                <w:rFonts w:asciiTheme="minorHAnsi" w:hAnsiTheme="minorHAnsi" w:cstheme="minorHAnsi"/>
                <w:color w:val="000000"/>
                <w:sz w:val="20"/>
                <w:szCs w:val="20"/>
                <w:lang w:eastAsia="cs-CZ"/>
              </w:rPr>
              <w:t>138 036</w:t>
            </w:r>
          </w:p>
        </w:tc>
        <w:tc>
          <w:tcPr>
            <w:tcW w:w="599" w:type="pct"/>
            <w:tcBorders>
              <w:bottom w:val="single" w:sz="4" w:space="0" w:color="auto"/>
            </w:tcBorders>
            <w:vAlign w:val="center"/>
          </w:tcPr>
          <w:p w14:paraId="7C5BC935" w14:textId="77777777" w:rsidR="00D55F31" w:rsidRPr="00C9657D" w:rsidRDefault="0024693B" w:rsidP="0002290A">
            <w:pPr>
              <w:jc w:val="right"/>
              <w:rPr>
                <w:rFonts w:asciiTheme="minorHAnsi" w:hAnsiTheme="minorHAnsi" w:cstheme="minorHAnsi"/>
                <w:color w:val="000000"/>
                <w:sz w:val="20"/>
                <w:szCs w:val="20"/>
                <w:lang w:eastAsia="cs-CZ"/>
              </w:rPr>
            </w:pPr>
            <w:r w:rsidRPr="00C9657D">
              <w:rPr>
                <w:rFonts w:asciiTheme="minorHAnsi" w:hAnsiTheme="minorHAnsi" w:cstheme="minorHAnsi"/>
                <w:color w:val="000000"/>
                <w:sz w:val="20"/>
                <w:szCs w:val="20"/>
                <w:lang w:eastAsia="cs-CZ"/>
              </w:rPr>
              <w:t>146 196</w:t>
            </w:r>
          </w:p>
        </w:tc>
        <w:tc>
          <w:tcPr>
            <w:tcW w:w="599" w:type="pct"/>
            <w:tcBorders>
              <w:bottom w:val="single" w:sz="4" w:space="0" w:color="auto"/>
              <w:right w:val="single" w:sz="12" w:space="0" w:color="auto"/>
            </w:tcBorders>
            <w:vAlign w:val="center"/>
          </w:tcPr>
          <w:p w14:paraId="6842FF12" w14:textId="77777777" w:rsidR="00D55F31" w:rsidRPr="00C9657D" w:rsidRDefault="0024693B" w:rsidP="0002290A">
            <w:pPr>
              <w:jc w:val="right"/>
              <w:rPr>
                <w:rFonts w:asciiTheme="minorHAnsi" w:hAnsiTheme="minorHAnsi" w:cstheme="minorHAnsi"/>
                <w:color w:val="000000"/>
                <w:sz w:val="20"/>
                <w:szCs w:val="20"/>
                <w:lang w:eastAsia="cs-CZ"/>
              </w:rPr>
            </w:pPr>
            <w:r w:rsidRPr="00C9657D">
              <w:rPr>
                <w:rFonts w:asciiTheme="minorHAnsi" w:hAnsiTheme="minorHAnsi" w:cstheme="minorHAnsi"/>
                <w:color w:val="000000"/>
                <w:sz w:val="20"/>
                <w:szCs w:val="20"/>
                <w:lang w:eastAsia="cs-CZ"/>
              </w:rPr>
              <w:t>146 415</w:t>
            </w:r>
          </w:p>
        </w:tc>
      </w:tr>
      <w:tr w:rsidR="00C425F2" w14:paraId="17902A41" w14:textId="77777777" w:rsidTr="00E27615">
        <w:trPr>
          <w:cantSplit/>
          <w:trHeight w:val="113"/>
          <w:jc w:val="center"/>
        </w:trPr>
        <w:tc>
          <w:tcPr>
            <w:tcW w:w="925" w:type="pct"/>
            <w:vMerge/>
            <w:tcBorders>
              <w:left w:val="single" w:sz="12" w:space="0" w:color="auto"/>
            </w:tcBorders>
            <w:vAlign w:val="center"/>
          </w:tcPr>
          <w:p w14:paraId="564EC0E7" w14:textId="77777777" w:rsidR="00D55F31" w:rsidRPr="00C9657D" w:rsidRDefault="00D55F31" w:rsidP="0002290A">
            <w:pPr>
              <w:rPr>
                <w:rFonts w:asciiTheme="minorHAnsi" w:hAnsiTheme="minorHAnsi" w:cstheme="minorHAnsi"/>
                <w:color w:val="000000"/>
                <w:sz w:val="20"/>
                <w:szCs w:val="18"/>
              </w:rPr>
            </w:pPr>
          </w:p>
        </w:tc>
        <w:tc>
          <w:tcPr>
            <w:tcW w:w="1078" w:type="pct"/>
            <w:tcBorders>
              <w:top w:val="single" w:sz="4" w:space="0" w:color="auto"/>
              <w:bottom w:val="single" w:sz="4" w:space="0" w:color="auto"/>
            </w:tcBorders>
            <w:vAlign w:val="center"/>
          </w:tcPr>
          <w:p w14:paraId="264B4F23" w14:textId="77777777" w:rsidR="00D55F31" w:rsidRPr="00C9657D" w:rsidRDefault="0024693B" w:rsidP="0002290A">
            <w:pPr>
              <w:ind w:right="64" w:hanging="11"/>
              <w:jc w:val="center"/>
              <w:rPr>
                <w:rFonts w:asciiTheme="minorHAnsi" w:hAnsiTheme="minorHAnsi" w:cs="Calibri"/>
                <w:i/>
                <w:color w:val="000000"/>
                <w:sz w:val="20"/>
                <w:szCs w:val="20"/>
              </w:rPr>
            </w:pPr>
            <w:r w:rsidRPr="00C9657D">
              <w:rPr>
                <w:rFonts w:asciiTheme="minorHAnsi" w:hAnsiTheme="minorHAnsi" w:cs="Calibri"/>
                <w:i/>
                <w:color w:val="000000"/>
                <w:sz w:val="20"/>
                <w:szCs w:val="20"/>
              </w:rPr>
              <w:t>SLL Bludov</w:t>
            </w:r>
          </w:p>
        </w:tc>
        <w:tc>
          <w:tcPr>
            <w:tcW w:w="599" w:type="pct"/>
            <w:tcBorders>
              <w:top w:val="single" w:sz="4" w:space="0" w:color="auto"/>
              <w:bottom w:val="single" w:sz="4" w:space="0" w:color="auto"/>
              <w:right w:val="single" w:sz="4" w:space="0" w:color="auto"/>
            </w:tcBorders>
            <w:vAlign w:val="center"/>
          </w:tcPr>
          <w:p w14:paraId="3227B6CD" w14:textId="77777777" w:rsidR="00D55F31" w:rsidRPr="00C9657D" w:rsidRDefault="0024693B" w:rsidP="0002290A">
            <w:pPr>
              <w:jc w:val="right"/>
              <w:rPr>
                <w:rFonts w:asciiTheme="minorHAnsi" w:hAnsiTheme="minorHAnsi" w:cstheme="minorHAnsi"/>
                <w:sz w:val="20"/>
                <w:szCs w:val="20"/>
              </w:rPr>
            </w:pPr>
            <w:r w:rsidRPr="00C9657D">
              <w:rPr>
                <w:rFonts w:asciiTheme="minorHAnsi" w:hAnsiTheme="minorHAnsi" w:cstheme="minorHAnsi"/>
                <w:sz w:val="20"/>
                <w:szCs w:val="20"/>
              </w:rPr>
              <w:t>38 034</w:t>
            </w:r>
          </w:p>
        </w:tc>
        <w:tc>
          <w:tcPr>
            <w:tcW w:w="599" w:type="pct"/>
            <w:tcBorders>
              <w:top w:val="single" w:sz="4" w:space="0" w:color="auto"/>
              <w:left w:val="single" w:sz="4" w:space="0" w:color="auto"/>
              <w:bottom w:val="single" w:sz="4" w:space="0" w:color="auto"/>
            </w:tcBorders>
            <w:vAlign w:val="center"/>
          </w:tcPr>
          <w:p w14:paraId="389C9C15" w14:textId="500F3A5A" w:rsidR="00D55F31" w:rsidRPr="00C9657D" w:rsidRDefault="0024693B" w:rsidP="009F56C5">
            <w:pPr>
              <w:jc w:val="right"/>
              <w:rPr>
                <w:rFonts w:asciiTheme="minorHAnsi" w:hAnsiTheme="minorHAnsi" w:cstheme="minorHAnsi"/>
                <w:sz w:val="20"/>
                <w:szCs w:val="20"/>
              </w:rPr>
            </w:pPr>
            <w:r w:rsidRPr="00C9657D">
              <w:rPr>
                <w:rFonts w:asciiTheme="minorHAnsi" w:hAnsiTheme="minorHAnsi" w:cstheme="minorHAnsi"/>
                <w:sz w:val="20"/>
                <w:szCs w:val="20"/>
              </w:rPr>
              <w:t>39 984</w:t>
            </w:r>
          </w:p>
        </w:tc>
        <w:tc>
          <w:tcPr>
            <w:tcW w:w="599" w:type="pct"/>
            <w:tcBorders>
              <w:top w:val="single" w:sz="4" w:space="0" w:color="auto"/>
              <w:bottom w:val="single" w:sz="4" w:space="0" w:color="auto"/>
            </w:tcBorders>
            <w:vAlign w:val="center"/>
          </w:tcPr>
          <w:p w14:paraId="6B1CA1A6" w14:textId="733E805C" w:rsidR="00D55F31" w:rsidRPr="00C9657D" w:rsidRDefault="0024693B" w:rsidP="009F56C5">
            <w:pPr>
              <w:jc w:val="right"/>
              <w:rPr>
                <w:rFonts w:asciiTheme="minorHAnsi" w:hAnsiTheme="minorHAnsi" w:cstheme="minorHAnsi"/>
                <w:sz w:val="20"/>
                <w:szCs w:val="20"/>
              </w:rPr>
            </w:pPr>
            <w:r w:rsidRPr="00C9657D">
              <w:rPr>
                <w:rFonts w:asciiTheme="minorHAnsi" w:hAnsiTheme="minorHAnsi" w:cstheme="minorHAnsi"/>
                <w:sz w:val="20"/>
                <w:szCs w:val="20"/>
              </w:rPr>
              <w:t>36 581</w:t>
            </w:r>
          </w:p>
        </w:tc>
        <w:tc>
          <w:tcPr>
            <w:tcW w:w="599" w:type="pct"/>
            <w:tcBorders>
              <w:top w:val="single" w:sz="4" w:space="0" w:color="auto"/>
              <w:bottom w:val="single" w:sz="4" w:space="0" w:color="auto"/>
            </w:tcBorders>
            <w:vAlign w:val="center"/>
          </w:tcPr>
          <w:p w14:paraId="44725D35" w14:textId="3FCF3851" w:rsidR="00D55F31" w:rsidRPr="00C9657D" w:rsidRDefault="0024693B" w:rsidP="009F56C5">
            <w:pPr>
              <w:jc w:val="right"/>
              <w:rPr>
                <w:rFonts w:asciiTheme="minorHAnsi" w:hAnsiTheme="minorHAnsi" w:cstheme="minorHAnsi"/>
                <w:sz w:val="20"/>
                <w:szCs w:val="20"/>
              </w:rPr>
            </w:pPr>
            <w:r w:rsidRPr="00C9657D">
              <w:rPr>
                <w:rFonts w:asciiTheme="minorHAnsi" w:hAnsiTheme="minorHAnsi" w:cstheme="minorHAnsi"/>
                <w:sz w:val="20"/>
                <w:szCs w:val="20"/>
              </w:rPr>
              <w:t>39 312</w:t>
            </w:r>
          </w:p>
        </w:tc>
        <w:tc>
          <w:tcPr>
            <w:tcW w:w="599" w:type="pct"/>
            <w:tcBorders>
              <w:top w:val="single" w:sz="4" w:space="0" w:color="auto"/>
              <w:bottom w:val="single" w:sz="4" w:space="0" w:color="auto"/>
              <w:right w:val="single" w:sz="12" w:space="0" w:color="auto"/>
            </w:tcBorders>
            <w:vAlign w:val="center"/>
          </w:tcPr>
          <w:p w14:paraId="726E967D" w14:textId="77777777" w:rsidR="00D55F31" w:rsidRPr="00C9657D" w:rsidRDefault="0024693B" w:rsidP="0002290A">
            <w:pPr>
              <w:jc w:val="right"/>
              <w:rPr>
                <w:rFonts w:asciiTheme="minorHAnsi" w:hAnsiTheme="minorHAnsi" w:cstheme="minorHAnsi"/>
                <w:sz w:val="20"/>
                <w:szCs w:val="20"/>
              </w:rPr>
            </w:pPr>
            <w:r w:rsidRPr="00C9657D">
              <w:rPr>
                <w:rFonts w:asciiTheme="minorHAnsi" w:hAnsiTheme="minorHAnsi" w:cstheme="minorHAnsi"/>
                <w:sz w:val="20"/>
                <w:szCs w:val="20"/>
              </w:rPr>
              <w:t>33 522</w:t>
            </w:r>
          </w:p>
        </w:tc>
      </w:tr>
      <w:tr w:rsidR="00C425F2" w14:paraId="0EABCD75" w14:textId="77777777" w:rsidTr="00E27615">
        <w:trPr>
          <w:cantSplit/>
          <w:trHeight w:val="113"/>
          <w:jc w:val="center"/>
        </w:trPr>
        <w:tc>
          <w:tcPr>
            <w:tcW w:w="925" w:type="pct"/>
            <w:vMerge/>
            <w:tcBorders>
              <w:left w:val="single" w:sz="12" w:space="0" w:color="auto"/>
              <w:bottom w:val="single" w:sz="12" w:space="0" w:color="auto"/>
            </w:tcBorders>
            <w:vAlign w:val="center"/>
          </w:tcPr>
          <w:p w14:paraId="10B1C85F" w14:textId="77777777" w:rsidR="00D55F31" w:rsidRPr="00C9657D" w:rsidRDefault="00D55F31" w:rsidP="0002290A">
            <w:pPr>
              <w:rPr>
                <w:rFonts w:asciiTheme="minorHAnsi" w:hAnsiTheme="minorHAnsi" w:cstheme="minorHAnsi"/>
                <w:color w:val="000000"/>
                <w:sz w:val="20"/>
                <w:szCs w:val="18"/>
              </w:rPr>
            </w:pPr>
          </w:p>
        </w:tc>
        <w:tc>
          <w:tcPr>
            <w:tcW w:w="1078" w:type="pct"/>
            <w:tcBorders>
              <w:top w:val="single" w:sz="4" w:space="0" w:color="auto"/>
              <w:bottom w:val="single" w:sz="12" w:space="0" w:color="auto"/>
            </w:tcBorders>
            <w:vAlign w:val="center"/>
          </w:tcPr>
          <w:p w14:paraId="0F60A64D" w14:textId="3164D591" w:rsidR="00D55F31" w:rsidRPr="00C9657D" w:rsidRDefault="0024693B" w:rsidP="0002290A">
            <w:pPr>
              <w:ind w:right="64" w:hanging="11"/>
              <w:jc w:val="center"/>
              <w:rPr>
                <w:rFonts w:asciiTheme="minorHAnsi" w:hAnsiTheme="minorHAnsi" w:cstheme="minorHAnsi"/>
                <w:i/>
                <w:color w:val="000000"/>
                <w:sz w:val="20"/>
                <w:szCs w:val="18"/>
              </w:rPr>
            </w:pPr>
            <w:r w:rsidRPr="00C9657D">
              <w:rPr>
                <w:rFonts w:asciiTheme="minorHAnsi" w:hAnsiTheme="minorHAnsi" w:cstheme="minorHAnsi"/>
                <w:i/>
                <w:color w:val="000000"/>
                <w:sz w:val="20"/>
                <w:szCs w:val="18"/>
              </w:rPr>
              <w:t>BALMED</w:t>
            </w:r>
            <w:r w:rsidR="003D2117">
              <w:rPr>
                <w:rFonts w:asciiTheme="minorHAnsi" w:hAnsiTheme="minorHAnsi" w:cstheme="minorHAnsi"/>
                <w:i/>
                <w:color w:val="000000"/>
                <w:sz w:val="20"/>
                <w:szCs w:val="18"/>
              </w:rPr>
              <w:t xml:space="preserve"> Praha</w:t>
            </w:r>
          </w:p>
        </w:tc>
        <w:tc>
          <w:tcPr>
            <w:tcW w:w="599" w:type="pct"/>
            <w:tcBorders>
              <w:top w:val="single" w:sz="4" w:space="0" w:color="auto"/>
              <w:bottom w:val="single" w:sz="12" w:space="0" w:color="auto"/>
              <w:right w:val="single" w:sz="4" w:space="0" w:color="auto"/>
            </w:tcBorders>
            <w:vAlign w:val="center"/>
          </w:tcPr>
          <w:p w14:paraId="09D89DE2" w14:textId="77777777" w:rsidR="00D55F31" w:rsidRPr="00C9657D" w:rsidRDefault="0024693B" w:rsidP="0002290A">
            <w:pPr>
              <w:jc w:val="right"/>
              <w:rPr>
                <w:rFonts w:asciiTheme="minorHAnsi" w:hAnsiTheme="minorHAnsi" w:cstheme="minorHAnsi"/>
                <w:color w:val="000000"/>
                <w:sz w:val="20"/>
                <w:szCs w:val="20"/>
                <w:lang w:eastAsia="cs-CZ"/>
              </w:rPr>
            </w:pPr>
            <w:r w:rsidRPr="00C9657D">
              <w:rPr>
                <w:rFonts w:asciiTheme="minorHAnsi" w:hAnsiTheme="minorHAnsi" w:cstheme="minorHAnsi"/>
                <w:color w:val="000000"/>
                <w:sz w:val="20"/>
                <w:szCs w:val="20"/>
              </w:rPr>
              <w:t>15 306</w:t>
            </w:r>
          </w:p>
        </w:tc>
        <w:tc>
          <w:tcPr>
            <w:tcW w:w="599" w:type="pct"/>
            <w:tcBorders>
              <w:top w:val="single" w:sz="4" w:space="0" w:color="auto"/>
              <w:left w:val="single" w:sz="4" w:space="0" w:color="auto"/>
              <w:bottom w:val="single" w:sz="12" w:space="0" w:color="auto"/>
            </w:tcBorders>
            <w:vAlign w:val="center"/>
          </w:tcPr>
          <w:p w14:paraId="562DACA2" w14:textId="77777777" w:rsidR="00D55F31" w:rsidRPr="00C9657D" w:rsidRDefault="0024693B" w:rsidP="0002290A">
            <w:pPr>
              <w:jc w:val="right"/>
              <w:rPr>
                <w:rFonts w:asciiTheme="minorHAnsi" w:hAnsiTheme="minorHAnsi" w:cstheme="minorHAnsi"/>
                <w:color w:val="000000"/>
                <w:sz w:val="20"/>
                <w:szCs w:val="20"/>
                <w:lang w:eastAsia="cs-CZ"/>
              </w:rPr>
            </w:pPr>
            <w:r w:rsidRPr="00C9657D">
              <w:rPr>
                <w:rFonts w:asciiTheme="minorHAnsi" w:hAnsiTheme="minorHAnsi" w:cstheme="minorHAnsi"/>
                <w:color w:val="000000"/>
                <w:sz w:val="20"/>
                <w:szCs w:val="20"/>
              </w:rPr>
              <w:t>13 322</w:t>
            </w:r>
          </w:p>
        </w:tc>
        <w:tc>
          <w:tcPr>
            <w:tcW w:w="599" w:type="pct"/>
            <w:tcBorders>
              <w:top w:val="single" w:sz="4" w:space="0" w:color="auto"/>
              <w:bottom w:val="single" w:sz="12" w:space="0" w:color="auto"/>
            </w:tcBorders>
            <w:vAlign w:val="center"/>
          </w:tcPr>
          <w:p w14:paraId="3144B245" w14:textId="77777777" w:rsidR="00D55F31" w:rsidRPr="00C9657D" w:rsidRDefault="0024693B" w:rsidP="0002290A">
            <w:pPr>
              <w:jc w:val="right"/>
              <w:rPr>
                <w:rFonts w:asciiTheme="minorHAnsi" w:hAnsiTheme="minorHAnsi" w:cstheme="minorHAnsi"/>
                <w:color w:val="000000"/>
                <w:sz w:val="20"/>
                <w:szCs w:val="20"/>
                <w:lang w:eastAsia="cs-CZ"/>
              </w:rPr>
            </w:pPr>
            <w:r w:rsidRPr="00C9657D">
              <w:rPr>
                <w:rFonts w:asciiTheme="minorHAnsi" w:hAnsiTheme="minorHAnsi" w:cstheme="minorHAnsi"/>
                <w:color w:val="000000"/>
                <w:sz w:val="20"/>
                <w:szCs w:val="20"/>
              </w:rPr>
              <w:t>15 668</w:t>
            </w:r>
          </w:p>
        </w:tc>
        <w:tc>
          <w:tcPr>
            <w:tcW w:w="599" w:type="pct"/>
            <w:tcBorders>
              <w:top w:val="single" w:sz="4" w:space="0" w:color="auto"/>
              <w:bottom w:val="single" w:sz="12" w:space="0" w:color="auto"/>
            </w:tcBorders>
            <w:vAlign w:val="center"/>
          </w:tcPr>
          <w:p w14:paraId="3377DEBA" w14:textId="77777777" w:rsidR="00D55F31" w:rsidRPr="00C9657D" w:rsidRDefault="0024693B" w:rsidP="0002290A">
            <w:pPr>
              <w:jc w:val="right"/>
              <w:rPr>
                <w:rFonts w:asciiTheme="minorHAnsi" w:hAnsiTheme="minorHAnsi" w:cstheme="minorHAnsi"/>
                <w:color w:val="000000"/>
                <w:sz w:val="20"/>
                <w:szCs w:val="20"/>
                <w:lang w:eastAsia="cs-CZ"/>
              </w:rPr>
            </w:pPr>
            <w:r w:rsidRPr="00C9657D">
              <w:rPr>
                <w:rFonts w:asciiTheme="minorHAnsi" w:hAnsiTheme="minorHAnsi" w:cstheme="minorHAnsi"/>
                <w:color w:val="000000"/>
                <w:sz w:val="20"/>
                <w:szCs w:val="20"/>
              </w:rPr>
              <w:t>13 319</w:t>
            </w:r>
          </w:p>
        </w:tc>
        <w:tc>
          <w:tcPr>
            <w:tcW w:w="599" w:type="pct"/>
            <w:tcBorders>
              <w:top w:val="single" w:sz="4" w:space="0" w:color="auto"/>
              <w:bottom w:val="single" w:sz="12" w:space="0" w:color="auto"/>
              <w:right w:val="single" w:sz="12" w:space="0" w:color="auto"/>
            </w:tcBorders>
            <w:vAlign w:val="center"/>
          </w:tcPr>
          <w:p w14:paraId="18A8615C" w14:textId="77777777" w:rsidR="00D55F31" w:rsidRPr="00C9657D" w:rsidRDefault="0024693B" w:rsidP="0002290A">
            <w:pPr>
              <w:jc w:val="right"/>
              <w:rPr>
                <w:rFonts w:asciiTheme="minorHAnsi" w:hAnsiTheme="minorHAnsi" w:cstheme="minorHAnsi"/>
                <w:color w:val="000000"/>
                <w:sz w:val="20"/>
                <w:szCs w:val="20"/>
                <w:lang w:eastAsia="cs-CZ"/>
              </w:rPr>
            </w:pPr>
            <w:r w:rsidRPr="00C9657D">
              <w:rPr>
                <w:rFonts w:asciiTheme="minorHAnsi" w:hAnsiTheme="minorHAnsi" w:cstheme="minorHAnsi"/>
                <w:color w:val="000000"/>
                <w:sz w:val="20"/>
                <w:szCs w:val="20"/>
              </w:rPr>
              <w:t>11 281</w:t>
            </w:r>
          </w:p>
        </w:tc>
      </w:tr>
      <w:tr w:rsidR="00C425F2" w14:paraId="6F5D8D1E" w14:textId="77777777" w:rsidTr="00E27615">
        <w:trPr>
          <w:cantSplit/>
          <w:trHeight w:val="113"/>
          <w:jc w:val="center"/>
        </w:trPr>
        <w:tc>
          <w:tcPr>
            <w:tcW w:w="925" w:type="pct"/>
            <w:vMerge w:val="restart"/>
            <w:tcBorders>
              <w:top w:val="single" w:sz="12" w:space="0" w:color="auto"/>
              <w:left w:val="single" w:sz="12" w:space="0" w:color="auto"/>
            </w:tcBorders>
            <w:vAlign w:val="center"/>
          </w:tcPr>
          <w:p w14:paraId="6FF5BC78" w14:textId="77777777" w:rsidR="00D55F31" w:rsidRPr="00C9657D" w:rsidRDefault="0024693B" w:rsidP="0002290A">
            <w:pPr>
              <w:rPr>
                <w:rFonts w:asciiTheme="minorHAnsi" w:hAnsiTheme="minorHAnsi" w:cstheme="minorHAnsi"/>
                <w:color w:val="000000"/>
                <w:sz w:val="20"/>
                <w:szCs w:val="18"/>
              </w:rPr>
            </w:pPr>
            <w:r w:rsidRPr="00C9657D">
              <w:rPr>
                <w:rFonts w:asciiTheme="minorHAnsi" w:hAnsiTheme="minorHAnsi" w:cstheme="minorHAnsi"/>
                <w:color w:val="000000"/>
                <w:sz w:val="20"/>
                <w:szCs w:val="18"/>
              </w:rPr>
              <w:t>Změna celkového kapitálu</w:t>
            </w:r>
          </w:p>
        </w:tc>
        <w:tc>
          <w:tcPr>
            <w:tcW w:w="1078" w:type="pct"/>
            <w:tcBorders>
              <w:top w:val="single" w:sz="12" w:space="0" w:color="auto"/>
              <w:bottom w:val="single" w:sz="4" w:space="0" w:color="auto"/>
            </w:tcBorders>
            <w:vAlign w:val="center"/>
          </w:tcPr>
          <w:p w14:paraId="414C45EC" w14:textId="77777777" w:rsidR="00D55F31" w:rsidRPr="00C9657D" w:rsidRDefault="0024693B" w:rsidP="0002290A">
            <w:pPr>
              <w:ind w:right="64" w:hanging="11"/>
              <w:jc w:val="center"/>
              <w:rPr>
                <w:rFonts w:asciiTheme="minorHAnsi" w:hAnsiTheme="minorHAnsi" w:cs="Calibri"/>
                <w:i/>
                <w:color w:val="000000"/>
                <w:sz w:val="20"/>
                <w:szCs w:val="20"/>
              </w:rPr>
            </w:pPr>
            <w:r w:rsidRPr="00C9657D">
              <w:rPr>
                <w:rFonts w:asciiTheme="minorHAnsi" w:hAnsiTheme="minorHAnsi" w:cs="Calibri"/>
                <w:i/>
                <w:color w:val="000000"/>
                <w:sz w:val="20"/>
                <w:szCs w:val="20"/>
              </w:rPr>
              <w:t>SLL Janské Lázně</w:t>
            </w:r>
          </w:p>
        </w:tc>
        <w:tc>
          <w:tcPr>
            <w:tcW w:w="599" w:type="pct"/>
            <w:tcBorders>
              <w:top w:val="single" w:sz="12" w:space="0" w:color="auto"/>
              <w:bottom w:val="single" w:sz="4" w:space="0" w:color="auto"/>
              <w:right w:val="single" w:sz="4" w:space="0" w:color="auto"/>
            </w:tcBorders>
            <w:vAlign w:val="center"/>
          </w:tcPr>
          <w:p w14:paraId="2623522B" w14:textId="77777777" w:rsidR="00D55F31" w:rsidRPr="00C9657D" w:rsidRDefault="0024693B" w:rsidP="0002290A">
            <w:pPr>
              <w:jc w:val="right"/>
              <w:rPr>
                <w:rFonts w:asciiTheme="minorHAnsi" w:hAnsiTheme="minorHAnsi" w:cstheme="minorHAnsi"/>
                <w:sz w:val="20"/>
                <w:szCs w:val="20"/>
              </w:rPr>
            </w:pPr>
            <w:r w:rsidRPr="00C9657D">
              <w:rPr>
                <w:rFonts w:asciiTheme="minorHAnsi" w:hAnsiTheme="minorHAnsi" w:cstheme="minorHAnsi"/>
                <w:sz w:val="20"/>
                <w:szCs w:val="20"/>
              </w:rPr>
              <w:t>x</w:t>
            </w:r>
          </w:p>
        </w:tc>
        <w:tc>
          <w:tcPr>
            <w:tcW w:w="599" w:type="pct"/>
            <w:tcBorders>
              <w:top w:val="single" w:sz="12" w:space="0" w:color="auto"/>
              <w:left w:val="single" w:sz="4" w:space="0" w:color="auto"/>
              <w:bottom w:val="single" w:sz="4" w:space="0" w:color="auto"/>
            </w:tcBorders>
            <w:vAlign w:val="center"/>
          </w:tcPr>
          <w:p w14:paraId="3413F086" w14:textId="77777777" w:rsidR="00D55F31" w:rsidRPr="00C9657D" w:rsidRDefault="0024693B" w:rsidP="0002290A">
            <w:pPr>
              <w:jc w:val="right"/>
              <w:rPr>
                <w:rFonts w:asciiTheme="minorHAnsi" w:hAnsiTheme="minorHAnsi" w:cstheme="minorHAnsi"/>
                <w:sz w:val="20"/>
                <w:szCs w:val="20"/>
              </w:rPr>
            </w:pPr>
            <w:r w:rsidRPr="00C9657D">
              <w:rPr>
                <w:rFonts w:asciiTheme="minorHAnsi" w:hAnsiTheme="minorHAnsi" w:cstheme="minorHAnsi"/>
                <w:sz w:val="20"/>
                <w:szCs w:val="20"/>
              </w:rPr>
              <w:t>-35 270</w:t>
            </w:r>
          </w:p>
        </w:tc>
        <w:tc>
          <w:tcPr>
            <w:tcW w:w="599" w:type="pct"/>
            <w:tcBorders>
              <w:top w:val="single" w:sz="12" w:space="0" w:color="auto"/>
              <w:bottom w:val="single" w:sz="4" w:space="0" w:color="auto"/>
            </w:tcBorders>
            <w:vAlign w:val="center"/>
          </w:tcPr>
          <w:p w14:paraId="7BFF014B" w14:textId="77777777" w:rsidR="00D55F31" w:rsidRPr="00C9657D" w:rsidRDefault="0024693B" w:rsidP="0002290A">
            <w:pPr>
              <w:jc w:val="right"/>
              <w:rPr>
                <w:rFonts w:asciiTheme="minorHAnsi" w:hAnsiTheme="minorHAnsi" w:cstheme="minorHAnsi"/>
                <w:sz w:val="20"/>
                <w:szCs w:val="20"/>
              </w:rPr>
            </w:pPr>
            <w:r w:rsidRPr="00C9657D">
              <w:rPr>
                <w:rFonts w:asciiTheme="minorHAnsi" w:hAnsiTheme="minorHAnsi" w:cstheme="minorHAnsi"/>
                <w:sz w:val="20"/>
                <w:szCs w:val="20"/>
              </w:rPr>
              <w:t>-82 615</w:t>
            </w:r>
          </w:p>
        </w:tc>
        <w:tc>
          <w:tcPr>
            <w:tcW w:w="599" w:type="pct"/>
            <w:tcBorders>
              <w:top w:val="single" w:sz="12" w:space="0" w:color="auto"/>
              <w:bottom w:val="single" w:sz="4" w:space="0" w:color="auto"/>
            </w:tcBorders>
            <w:vAlign w:val="center"/>
          </w:tcPr>
          <w:p w14:paraId="00E1986E" w14:textId="77777777" w:rsidR="00D55F31" w:rsidRPr="00C9657D" w:rsidRDefault="0024693B" w:rsidP="0002290A">
            <w:pPr>
              <w:jc w:val="right"/>
              <w:rPr>
                <w:rFonts w:asciiTheme="minorHAnsi" w:hAnsiTheme="minorHAnsi" w:cstheme="minorHAnsi"/>
                <w:sz w:val="20"/>
                <w:szCs w:val="20"/>
              </w:rPr>
            </w:pPr>
            <w:r w:rsidRPr="00C9657D">
              <w:rPr>
                <w:rFonts w:asciiTheme="minorHAnsi" w:hAnsiTheme="minorHAnsi" w:cstheme="minorHAnsi"/>
                <w:sz w:val="20"/>
                <w:szCs w:val="20"/>
              </w:rPr>
              <w:t>-253</w:t>
            </w:r>
          </w:p>
        </w:tc>
        <w:tc>
          <w:tcPr>
            <w:tcW w:w="599" w:type="pct"/>
            <w:tcBorders>
              <w:top w:val="single" w:sz="12" w:space="0" w:color="auto"/>
              <w:bottom w:val="single" w:sz="4" w:space="0" w:color="auto"/>
              <w:right w:val="single" w:sz="12" w:space="0" w:color="auto"/>
            </w:tcBorders>
            <w:vAlign w:val="center"/>
          </w:tcPr>
          <w:p w14:paraId="69A162F0" w14:textId="77777777" w:rsidR="00D55F31" w:rsidRPr="00C9657D" w:rsidRDefault="0024693B" w:rsidP="0002290A">
            <w:pPr>
              <w:jc w:val="right"/>
              <w:rPr>
                <w:rFonts w:asciiTheme="minorHAnsi" w:hAnsiTheme="minorHAnsi" w:cstheme="minorHAnsi"/>
                <w:sz w:val="20"/>
                <w:szCs w:val="20"/>
              </w:rPr>
            </w:pPr>
            <w:r w:rsidRPr="00C9657D">
              <w:rPr>
                <w:rFonts w:asciiTheme="minorHAnsi" w:hAnsiTheme="minorHAnsi" w:cstheme="minorHAnsi"/>
                <w:sz w:val="20"/>
                <w:szCs w:val="20"/>
              </w:rPr>
              <w:t>12 783</w:t>
            </w:r>
          </w:p>
        </w:tc>
      </w:tr>
      <w:tr w:rsidR="00C425F2" w14:paraId="4092864A" w14:textId="77777777" w:rsidTr="00E27615">
        <w:trPr>
          <w:cantSplit/>
          <w:trHeight w:val="113"/>
          <w:jc w:val="center"/>
        </w:trPr>
        <w:tc>
          <w:tcPr>
            <w:tcW w:w="925" w:type="pct"/>
            <w:vMerge/>
            <w:tcBorders>
              <w:left w:val="single" w:sz="12" w:space="0" w:color="auto"/>
            </w:tcBorders>
            <w:vAlign w:val="center"/>
          </w:tcPr>
          <w:p w14:paraId="72FBADD5" w14:textId="77777777" w:rsidR="00D55F31" w:rsidRPr="00C9657D" w:rsidRDefault="00D55F31" w:rsidP="0002290A">
            <w:pPr>
              <w:rPr>
                <w:rFonts w:asciiTheme="minorHAnsi" w:hAnsiTheme="minorHAnsi" w:cstheme="minorHAnsi"/>
                <w:color w:val="000000"/>
                <w:sz w:val="20"/>
                <w:szCs w:val="18"/>
              </w:rPr>
            </w:pPr>
          </w:p>
        </w:tc>
        <w:tc>
          <w:tcPr>
            <w:tcW w:w="1078" w:type="pct"/>
            <w:tcBorders>
              <w:top w:val="single" w:sz="4" w:space="0" w:color="auto"/>
              <w:bottom w:val="single" w:sz="4" w:space="0" w:color="auto"/>
            </w:tcBorders>
            <w:vAlign w:val="center"/>
          </w:tcPr>
          <w:p w14:paraId="3C48C0FC" w14:textId="77777777" w:rsidR="00D55F31" w:rsidRPr="00C9657D" w:rsidRDefault="0024693B" w:rsidP="0002290A">
            <w:pPr>
              <w:ind w:right="64" w:hanging="11"/>
              <w:jc w:val="center"/>
              <w:rPr>
                <w:rFonts w:asciiTheme="minorHAnsi" w:hAnsiTheme="minorHAnsi" w:cs="Calibri"/>
                <w:i/>
                <w:color w:val="000000"/>
                <w:sz w:val="20"/>
                <w:szCs w:val="20"/>
              </w:rPr>
            </w:pPr>
            <w:r w:rsidRPr="00C9657D">
              <w:rPr>
                <w:rFonts w:asciiTheme="minorHAnsi" w:hAnsiTheme="minorHAnsi" w:cs="Calibri"/>
                <w:i/>
                <w:color w:val="000000"/>
                <w:sz w:val="20"/>
                <w:szCs w:val="20"/>
              </w:rPr>
              <w:t>HL Karlova Studánka</w:t>
            </w:r>
          </w:p>
        </w:tc>
        <w:tc>
          <w:tcPr>
            <w:tcW w:w="599" w:type="pct"/>
            <w:tcBorders>
              <w:top w:val="single" w:sz="4" w:space="0" w:color="auto"/>
              <w:bottom w:val="single" w:sz="4" w:space="0" w:color="auto"/>
              <w:right w:val="single" w:sz="4" w:space="0" w:color="auto"/>
            </w:tcBorders>
            <w:vAlign w:val="center"/>
          </w:tcPr>
          <w:p w14:paraId="4E206015" w14:textId="77777777" w:rsidR="00D55F31" w:rsidRPr="00C9657D" w:rsidRDefault="0024693B" w:rsidP="0002290A">
            <w:pPr>
              <w:jc w:val="right"/>
              <w:rPr>
                <w:rFonts w:asciiTheme="minorHAnsi" w:hAnsiTheme="minorHAnsi" w:cstheme="minorHAnsi"/>
                <w:color w:val="000000"/>
                <w:sz w:val="20"/>
                <w:szCs w:val="20"/>
                <w:lang w:eastAsia="cs-CZ"/>
              </w:rPr>
            </w:pPr>
            <w:r w:rsidRPr="00C9657D">
              <w:rPr>
                <w:rFonts w:asciiTheme="minorHAnsi" w:hAnsiTheme="minorHAnsi" w:cstheme="minorHAnsi"/>
                <w:color w:val="000000"/>
                <w:sz w:val="20"/>
                <w:szCs w:val="20"/>
                <w:lang w:eastAsia="cs-CZ"/>
              </w:rPr>
              <w:t>x</w:t>
            </w:r>
          </w:p>
        </w:tc>
        <w:tc>
          <w:tcPr>
            <w:tcW w:w="599" w:type="pct"/>
            <w:tcBorders>
              <w:top w:val="single" w:sz="4" w:space="0" w:color="auto"/>
              <w:left w:val="single" w:sz="4" w:space="0" w:color="auto"/>
              <w:bottom w:val="single" w:sz="4" w:space="0" w:color="auto"/>
            </w:tcBorders>
            <w:vAlign w:val="center"/>
          </w:tcPr>
          <w:p w14:paraId="4B12EBFB" w14:textId="77777777" w:rsidR="00D55F31" w:rsidRPr="00C9657D" w:rsidRDefault="0024693B" w:rsidP="0002290A">
            <w:pPr>
              <w:jc w:val="right"/>
              <w:rPr>
                <w:rFonts w:asciiTheme="minorHAnsi" w:hAnsiTheme="minorHAnsi" w:cstheme="minorHAnsi"/>
                <w:color w:val="000000"/>
                <w:sz w:val="20"/>
                <w:szCs w:val="20"/>
                <w:lang w:eastAsia="cs-CZ"/>
              </w:rPr>
            </w:pPr>
            <w:r w:rsidRPr="00C9657D">
              <w:rPr>
                <w:rFonts w:asciiTheme="minorHAnsi" w:hAnsiTheme="minorHAnsi" w:cstheme="minorHAnsi"/>
                <w:color w:val="000000"/>
                <w:sz w:val="20"/>
                <w:szCs w:val="20"/>
                <w:lang w:eastAsia="cs-CZ"/>
              </w:rPr>
              <w:t>-13 458</w:t>
            </w:r>
          </w:p>
        </w:tc>
        <w:tc>
          <w:tcPr>
            <w:tcW w:w="599" w:type="pct"/>
            <w:tcBorders>
              <w:top w:val="single" w:sz="4" w:space="0" w:color="auto"/>
              <w:bottom w:val="single" w:sz="4" w:space="0" w:color="auto"/>
            </w:tcBorders>
            <w:vAlign w:val="center"/>
          </w:tcPr>
          <w:p w14:paraId="2FF3DAAB" w14:textId="77777777" w:rsidR="00D55F31" w:rsidRPr="00C9657D" w:rsidRDefault="0024693B" w:rsidP="0002290A">
            <w:pPr>
              <w:jc w:val="right"/>
              <w:rPr>
                <w:rFonts w:asciiTheme="minorHAnsi" w:hAnsiTheme="minorHAnsi" w:cstheme="minorHAnsi"/>
                <w:color w:val="000000"/>
                <w:sz w:val="20"/>
                <w:szCs w:val="20"/>
                <w:lang w:eastAsia="cs-CZ"/>
              </w:rPr>
            </w:pPr>
            <w:r w:rsidRPr="00C9657D">
              <w:rPr>
                <w:rFonts w:asciiTheme="minorHAnsi" w:hAnsiTheme="minorHAnsi" w:cstheme="minorHAnsi"/>
                <w:color w:val="000000"/>
                <w:sz w:val="20"/>
                <w:szCs w:val="20"/>
                <w:lang w:eastAsia="cs-CZ"/>
              </w:rPr>
              <w:t>-8 385</w:t>
            </w:r>
          </w:p>
        </w:tc>
        <w:tc>
          <w:tcPr>
            <w:tcW w:w="599" w:type="pct"/>
            <w:tcBorders>
              <w:top w:val="single" w:sz="4" w:space="0" w:color="auto"/>
              <w:bottom w:val="single" w:sz="4" w:space="0" w:color="auto"/>
            </w:tcBorders>
            <w:vAlign w:val="center"/>
          </w:tcPr>
          <w:p w14:paraId="3918ADD6" w14:textId="77777777" w:rsidR="00D55F31" w:rsidRPr="00C9657D" w:rsidRDefault="0024693B" w:rsidP="0002290A">
            <w:pPr>
              <w:jc w:val="right"/>
              <w:rPr>
                <w:rFonts w:asciiTheme="minorHAnsi" w:hAnsiTheme="minorHAnsi" w:cstheme="minorHAnsi"/>
                <w:color w:val="000000"/>
                <w:sz w:val="20"/>
                <w:szCs w:val="20"/>
                <w:lang w:eastAsia="cs-CZ"/>
              </w:rPr>
            </w:pPr>
            <w:r w:rsidRPr="00C9657D">
              <w:rPr>
                <w:rFonts w:asciiTheme="minorHAnsi" w:hAnsiTheme="minorHAnsi" w:cstheme="minorHAnsi"/>
                <w:color w:val="000000"/>
                <w:sz w:val="20"/>
                <w:szCs w:val="20"/>
                <w:lang w:eastAsia="cs-CZ"/>
              </w:rPr>
              <w:t>8 160</w:t>
            </w:r>
          </w:p>
        </w:tc>
        <w:tc>
          <w:tcPr>
            <w:tcW w:w="599" w:type="pct"/>
            <w:tcBorders>
              <w:top w:val="single" w:sz="4" w:space="0" w:color="auto"/>
              <w:bottom w:val="single" w:sz="4" w:space="0" w:color="auto"/>
              <w:right w:val="single" w:sz="12" w:space="0" w:color="auto"/>
            </w:tcBorders>
            <w:vAlign w:val="center"/>
          </w:tcPr>
          <w:p w14:paraId="02D1AACF" w14:textId="77777777" w:rsidR="00D55F31" w:rsidRPr="00C9657D" w:rsidRDefault="0024693B" w:rsidP="0002290A">
            <w:pPr>
              <w:jc w:val="right"/>
              <w:rPr>
                <w:rFonts w:asciiTheme="minorHAnsi" w:hAnsiTheme="minorHAnsi" w:cstheme="minorHAnsi"/>
                <w:color w:val="000000"/>
                <w:sz w:val="20"/>
                <w:szCs w:val="20"/>
                <w:lang w:eastAsia="cs-CZ"/>
              </w:rPr>
            </w:pPr>
            <w:r w:rsidRPr="00C9657D">
              <w:rPr>
                <w:rFonts w:asciiTheme="minorHAnsi" w:hAnsiTheme="minorHAnsi" w:cstheme="minorHAnsi"/>
                <w:color w:val="000000"/>
                <w:sz w:val="20"/>
                <w:szCs w:val="20"/>
                <w:lang w:eastAsia="cs-CZ"/>
              </w:rPr>
              <w:t>219</w:t>
            </w:r>
          </w:p>
        </w:tc>
      </w:tr>
      <w:tr w:rsidR="00C425F2" w14:paraId="14F2754F" w14:textId="77777777" w:rsidTr="00E27615">
        <w:trPr>
          <w:cantSplit/>
          <w:trHeight w:val="113"/>
          <w:jc w:val="center"/>
        </w:trPr>
        <w:tc>
          <w:tcPr>
            <w:tcW w:w="925" w:type="pct"/>
            <w:vMerge/>
            <w:tcBorders>
              <w:left w:val="single" w:sz="12" w:space="0" w:color="auto"/>
            </w:tcBorders>
            <w:vAlign w:val="center"/>
          </w:tcPr>
          <w:p w14:paraId="50369C7A" w14:textId="77777777" w:rsidR="00D55F31" w:rsidRPr="00C9657D" w:rsidRDefault="00D55F31" w:rsidP="0002290A">
            <w:pPr>
              <w:rPr>
                <w:rFonts w:asciiTheme="minorHAnsi" w:hAnsiTheme="minorHAnsi" w:cstheme="minorHAnsi"/>
                <w:color w:val="000000"/>
                <w:sz w:val="20"/>
                <w:szCs w:val="18"/>
              </w:rPr>
            </w:pPr>
          </w:p>
        </w:tc>
        <w:tc>
          <w:tcPr>
            <w:tcW w:w="1078" w:type="pct"/>
            <w:tcBorders>
              <w:top w:val="single" w:sz="4" w:space="0" w:color="auto"/>
              <w:bottom w:val="single" w:sz="4" w:space="0" w:color="auto"/>
            </w:tcBorders>
            <w:vAlign w:val="center"/>
          </w:tcPr>
          <w:p w14:paraId="5A1DCBC3" w14:textId="77777777" w:rsidR="00D55F31" w:rsidRPr="00C9657D" w:rsidRDefault="0024693B" w:rsidP="0002290A">
            <w:pPr>
              <w:ind w:right="64" w:hanging="11"/>
              <w:jc w:val="center"/>
              <w:rPr>
                <w:rFonts w:asciiTheme="minorHAnsi" w:hAnsiTheme="minorHAnsi" w:cs="Calibri"/>
                <w:i/>
                <w:color w:val="000000"/>
                <w:sz w:val="20"/>
                <w:szCs w:val="20"/>
              </w:rPr>
            </w:pPr>
            <w:r w:rsidRPr="00C9657D">
              <w:rPr>
                <w:rFonts w:asciiTheme="minorHAnsi" w:hAnsiTheme="minorHAnsi" w:cs="Calibri"/>
                <w:i/>
                <w:color w:val="000000"/>
                <w:sz w:val="20"/>
                <w:szCs w:val="20"/>
              </w:rPr>
              <w:t>SLL Bludov</w:t>
            </w:r>
          </w:p>
        </w:tc>
        <w:tc>
          <w:tcPr>
            <w:tcW w:w="599" w:type="pct"/>
            <w:tcBorders>
              <w:top w:val="single" w:sz="4" w:space="0" w:color="auto"/>
              <w:bottom w:val="single" w:sz="4" w:space="0" w:color="auto"/>
              <w:right w:val="single" w:sz="4" w:space="0" w:color="auto"/>
            </w:tcBorders>
            <w:vAlign w:val="center"/>
          </w:tcPr>
          <w:p w14:paraId="441ED0B4" w14:textId="77777777" w:rsidR="00D55F31" w:rsidRPr="00C9657D" w:rsidRDefault="0024693B" w:rsidP="0002290A">
            <w:pPr>
              <w:jc w:val="right"/>
              <w:rPr>
                <w:rFonts w:asciiTheme="minorHAnsi" w:hAnsiTheme="minorHAnsi" w:cstheme="minorHAnsi"/>
                <w:sz w:val="20"/>
                <w:szCs w:val="20"/>
              </w:rPr>
            </w:pPr>
            <w:r w:rsidRPr="00C9657D">
              <w:rPr>
                <w:rFonts w:asciiTheme="minorHAnsi" w:hAnsiTheme="minorHAnsi" w:cstheme="minorHAnsi"/>
                <w:sz w:val="20"/>
                <w:szCs w:val="20"/>
              </w:rPr>
              <w:t>x</w:t>
            </w:r>
          </w:p>
        </w:tc>
        <w:tc>
          <w:tcPr>
            <w:tcW w:w="599" w:type="pct"/>
            <w:tcBorders>
              <w:top w:val="single" w:sz="4" w:space="0" w:color="auto"/>
              <w:left w:val="single" w:sz="4" w:space="0" w:color="auto"/>
              <w:bottom w:val="single" w:sz="4" w:space="0" w:color="auto"/>
            </w:tcBorders>
            <w:vAlign w:val="center"/>
          </w:tcPr>
          <w:p w14:paraId="6D397390" w14:textId="77777777" w:rsidR="00D55F31" w:rsidRPr="00C9657D" w:rsidRDefault="0024693B" w:rsidP="0002290A">
            <w:pPr>
              <w:jc w:val="right"/>
              <w:rPr>
                <w:rFonts w:asciiTheme="minorHAnsi" w:hAnsiTheme="minorHAnsi" w:cstheme="minorHAnsi"/>
                <w:sz w:val="20"/>
                <w:szCs w:val="20"/>
              </w:rPr>
            </w:pPr>
            <w:r w:rsidRPr="00C9657D">
              <w:rPr>
                <w:rFonts w:asciiTheme="minorHAnsi" w:hAnsiTheme="minorHAnsi" w:cstheme="minorHAnsi"/>
                <w:sz w:val="20"/>
                <w:szCs w:val="20"/>
              </w:rPr>
              <w:t>1 950</w:t>
            </w:r>
          </w:p>
        </w:tc>
        <w:tc>
          <w:tcPr>
            <w:tcW w:w="599" w:type="pct"/>
            <w:tcBorders>
              <w:top w:val="single" w:sz="4" w:space="0" w:color="auto"/>
              <w:bottom w:val="single" w:sz="4" w:space="0" w:color="auto"/>
            </w:tcBorders>
            <w:vAlign w:val="center"/>
          </w:tcPr>
          <w:p w14:paraId="501343E9" w14:textId="77777777" w:rsidR="00D55F31" w:rsidRPr="00C9657D" w:rsidRDefault="0024693B" w:rsidP="0002290A">
            <w:pPr>
              <w:jc w:val="right"/>
              <w:rPr>
                <w:rFonts w:asciiTheme="minorHAnsi" w:hAnsiTheme="minorHAnsi" w:cstheme="minorHAnsi"/>
                <w:sz w:val="20"/>
                <w:szCs w:val="20"/>
              </w:rPr>
            </w:pPr>
            <w:r w:rsidRPr="00C9657D">
              <w:rPr>
                <w:rFonts w:asciiTheme="minorHAnsi" w:hAnsiTheme="minorHAnsi" w:cstheme="minorHAnsi"/>
                <w:sz w:val="20"/>
                <w:szCs w:val="20"/>
              </w:rPr>
              <w:t>-3 403</w:t>
            </w:r>
          </w:p>
        </w:tc>
        <w:tc>
          <w:tcPr>
            <w:tcW w:w="599" w:type="pct"/>
            <w:tcBorders>
              <w:top w:val="single" w:sz="4" w:space="0" w:color="auto"/>
              <w:bottom w:val="single" w:sz="4" w:space="0" w:color="auto"/>
            </w:tcBorders>
            <w:vAlign w:val="center"/>
          </w:tcPr>
          <w:p w14:paraId="0E21315E" w14:textId="77777777" w:rsidR="00D55F31" w:rsidRPr="00C9657D" w:rsidRDefault="0024693B" w:rsidP="0002290A">
            <w:pPr>
              <w:jc w:val="right"/>
              <w:rPr>
                <w:rFonts w:asciiTheme="minorHAnsi" w:hAnsiTheme="minorHAnsi" w:cstheme="minorHAnsi"/>
                <w:sz w:val="20"/>
                <w:szCs w:val="20"/>
              </w:rPr>
            </w:pPr>
            <w:r w:rsidRPr="00C9657D">
              <w:rPr>
                <w:rFonts w:asciiTheme="minorHAnsi" w:hAnsiTheme="minorHAnsi" w:cstheme="minorHAnsi"/>
                <w:sz w:val="20"/>
                <w:szCs w:val="20"/>
              </w:rPr>
              <w:t>2 731</w:t>
            </w:r>
          </w:p>
        </w:tc>
        <w:tc>
          <w:tcPr>
            <w:tcW w:w="599" w:type="pct"/>
            <w:tcBorders>
              <w:top w:val="single" w:sz="4" w:space="0" w:color="auto"/>
              <w:bottom w:val="single" w:sz="4" w:space="0" w:color="auto"/>
              <w:right w:val="single" w:sz="12" w:space="0" w:color="auto"/>
            </w:tcBorders>
            <w:vAlign w:val="center"/>
          </w:tcPr>
          <w:p w14:paraId="2A6F8FF5" w14:textId="77777777" w:rsidR="00D55F31" w:rsidRPr="00C9657D" w:rsidRDefault="0024693B" w:rsidP="0002290A">
            <w:pPr>
              <w:jc w:val="right"/>
              <w:rPr>
                <w:rFonts w:asciiTheme="minorHAnsi" w:hAnsiTheme="minorHAnsi" w:cstheme="minorHAnsi"/>
                <w:sz w:val="20"/>
                <w:szCs w:val="20"/>
              </w:rPr>
            </w:pPr>
            <w:r w:rsidRPr="00C9657D">
              <w:rPr>
                <w:rFonts w:asciiTheme="minorHAnsi" w:hAnsiTheme="minorHAnsi" w:cstheme="minorHAnsi"/>
                <w:sz w:val="20"/>
                <w:szCs w:val="20"/>
              </w:rPr>
              <w:t>-5 790</w:t>
            </w:r>
          </w:p>
        </w:tc>
      </w:tr>
      <w:tr w:rsidR="00C425F2" w14:paraId="17DE5D86" w14:textId="77777777" w:rsidTr="00E27615">
        <w:trPr>
          <w:cantSplit/>
          <w:trHeight w:val="113"/>
          <w:jc w:val="center"/>
        </w:trPr>
        <w:tc>
          <w:tcPr>
            <w:tcW w:w="925" w:type="pct"/>
            <w:vMerge/>
            <w:tcBorders>
              <w:left w:val="single" w:sz="12" w:space="0" w:color="auto"/>
              <w:bottom w:val="single" w:sz="12" w:space="0" w:color="auto"/>
            </w:tcBorders>
            <w:vAlign w:val="center"/>
          </w:tcPr>
          <w:p w14:paraId="348B203B" w14:textId="77777777" w:rsidR="00D55F31" w:rsidRPr="00C9657D" w:rsidRDefault="00D55F31" w:rsidP="0002290A">
            <w:pPr>
              <w:rPr>
                <w:rFonts w:asciiTheme="minorHAnsi" w:hAnsiTheme="minorHAnsi" w:cstheme="minorHAnsi"/>
                <w:color w:val="000000"/>
                <w:sz w:val="20"/>
                <w:szCs w:val="18"/>
              </w:rPr>
            </w:pPr>
          </w:p>
        </w:tc>
        <w:tc>
          <w:tcPr>
            <w:tcW w:w="1078" w:type="pct"/>
            <w:tcBorders>
              <w:top w:val="single" w:sz="4" w:space="0" w:color="auto"/>
              <w:bottom w:val="single" w:sz="12" w:space="0" w:color="auto"/>
            </w:tcBorders>
            <w:vAlign w:val="center"/>
          </w:tcPr>
          <w:p w14:paraId="58604AAE" w14:textId="0461DD64" w:rsidR="00D55F31" w:rsidRPr="00C9657D" w:rsidRDefault="0024693B" w:rsidP="0002290A">
            <w:pPr>
              <w:ind w:right="64" w:hanging="11"/>
              <w:jc w:val="center"/>
              <w:rPr>
                <w:rFonts w:asciiTheme="minorHAnsi" w:hAnsiTheme="minorHAnsi" w:cstheme="minorHAnsi"/>
                <w:i/>
                <w:color w:val="000000"/>
                <w:sz w:val="20"/>
                <w:szCs w:val="18"/>
              </w:rPr>
            </w:pPr>
            <w:r w:rsidRPr="00C9657D">
              <w:rPr>
                <w:rFonts w:asciiTheme="minorHAnsi" w:hAnsiTheme="minorHAnsi" w:cstheme="minorHAnsi"/>
                <w:i/>
                <w:color w:val="000000"/>
                <w:sz w:val="20"/>
                <w:szCs w:val="18"/>
              </w:rPr>
              <w:t>BALMED</w:t>
            </w:r>
            <w:r w:rsidR="003D2117">
              <w:rPr>
                <w:rFonts w:asciiTheme="minorHAnsi" w:hAnsiTheme="minorHAnsi" w:cstheme="minorHAnsi"/>
                <w:i/>
                <w:color w:val="000000"/>
                <w:sz w:val="20"/>
                <w:szCs w:val="18"/>
              </w:rPr>
              <w:t xml:space="preserve"> Praha</w:t>
            </w:r>
          </w:p>
        </w:tc>
        <w:tc>
          <w:tcPr>
            <w:tcW w:w="599" w:type="pct"/>
            <w:tcBorders>
              <w:top w:val="single" w:sz="4" w:space="0" w:color="auto"/>
              <w:bottom w:val="single" w:sz="12" w:space="0" w:color="auto"/>
              <w:right w:val="single" w:sz="4" w:space="0" w:color="auto"/>
            </w:tcBorders>
            <w:vAlign w:val="center"/>
          </w:tcPr>
          <w:p w14:paraId="011DC77D" w14:textId="77777777" w:rsidR="00D55F31" w:rsidRPr="00C9657D" w:rsidRDefault="0024693B" w:rsidP="0002290A">
            <w:pPr>
              <w:jc w:val="right"/>
              <w:rPr>
                <w:rFonts w:asciiTheme="minorHAnsi" w:hAnsiTheme="minorHAnsi" w:cstheme="minorHAnsi"/>
                <w:color w:val="000000"/>
                <w:sz w:val="20"/>
                <w:szCs w:val="20"/>
                <w:lang w:eastAsia="cs-CZ"/>
              </w:rPr>
            </w:pPr>
            <w:r w:rsidRPr="00C9657D">
              <w:rPr>
                <w:rFonts w:asciiTheme="minorHAnsi" w:hAnsiTheme="minorHAnsi" w:cstheme="minorHAnsi"/>
                <w:color w:val="000000"/>
                <w:sz w:val="20"/>
                <w:szCs w:val="20"/>
                <w:lang w:eastAsia="cs-CZ"/>
              </w:rPr>
              <w:t>x</w:t>
            </w:r>
          </w:p>
        </w:tc>
        <w:tc>
          <w:tcPr>
            <w:tcW w:w="599" w:type="pct"/>
            <w:tcBorders>
              <w:top w:val="single" w:sz="4" w:space="0" w:color="auto"/>
              <w:left w:val="single" w:sz="4" w:space="0" w:color="auto"/>
              <w:bottom w:val="single" w:sz="12" w:space="0" w:color="auto"/>
            </w:tcBorders>
            <w:vAlign w:val="center"/>
          </w:tcPr>
          <w:p w14:paraId="6E7AA474" w14:textId="77777777" w:rsidR="00D55F31" w:rsidRPr="00C9657D" w:rsidRDefault="0024693B" w:rsidP="0002290A">
            <w:pPr>
              <w:jc w:val="right"/>
              <w:rPr>
                <w:rFonts w:asciiTheme="minorHAnsi" w:hAnsiTheme="minorHAnsi" w:cstheme="minorHAnsi"/>
                <w:color w:val="000000"/>
                <w:sz w:val="20"/>
                <w:szCs w:val="20"/>
                <w:lang w:eastAsia="cs-CZ"/>
              </w:rPr>
            </w:pPr>
            <w:r w:rsidRPr="00C9657D">
              <w:rPr>
                <w:rFonts w:asciiTheme="minorHAnsi" w:hAnsiTheme="minorHAnsi" w:cstheme="minorHAnsi"/>
                <w:color w:val="000000"/>
                <w:sz w:val="20"/>
                <w:szCs w:val="20"/>
              </w:rPr>
              <w:t>-1 984</w:t>
            </w:r>
          </w:p>
        </w:tc>
        <w:tc>
          <w:tcPr>
            <w:tcW w:w="599" w:type="pct"/>
            <w:tcBorders>
              <w:top w:val="single" w:sz="4" w:space="0" w:color="auto"/>
              <w:bottom w:val="single" w:sz="12" w:space="0" w:color="auto"/>
            </w:tcBorders>
            <w:vAlign w:val="center"/>
          </w:tcPr>
          <w:p w14:paraId="7203F01F" w14:textId="77777777" w:rsidR="00D55F31" w:rsidRPr="00C9657D" w:rsidRDefault="0024693B" w:rsidP="0002290A">
            <w:pPr>
              <w:jc w:val="right"/>
              <w:rPr>
                <w:rFonts w:asciiTheme="minorHAnsi" w:hAnsiTheme="minorHAnsi" w:cstheme="minorHAnsi"/>
                <w:color w:val="000000"/>
                <w:sz w:val="20"/>
                <w:szCs w:val="20"/>
                <w:lang w:eastAsia="cs-CZ"/>
              </w:rPr>
            </w:pPr>
            <w:r w:rsidRPr="00C9657D">
              <w:rPr>
                <w:rFonts w:asciiTheme="minorHAnsi" w:hAnsiTheme="minorHAnsi" w:cstheme="minorHAnsi"/>
                <w:color w:val="000000"/>
                <w:sz w:val="20"/>
                <w:szCs w:val="20"/>
              </w:rPr>
              <w:t>2 346</w:t>
            </w:r>
          </w:p>
        </w:tc>
        <w:tc>
          <w:tcPr>
            <w:tcW w:w="599" w:type="pct"/>
            <w:tcBorders>
              <w:top w:val="single" w:sz="4" w:space="0" w:color="auto"/>
              <w:bottom w:val="single" w:sz="12" w:space="0" w:color="auto"/>
            </w:tcBorders>
            <w:vAlign w:val="center"/>
          </w:tcPr>
          <w:p w14:paraId="1C1FD5EB" w14:textId="77777777" w:rsidR="00D55F31" w:rsidRPr="00C9657D" w:rsidRDefault="0024693B" w:rsidP="0002290A">
            <w:pPr>
              <w:jc w:val="right"/>
              <w:rPr>
                <w:rFonts w:asciiTheme="minorHAnsi" w:hAnsiTheme="minorHAnsi" w:cstheme="minorHAnsi"/>
                <w:color w:val="000000"/>
                <w:sz w:val="20"/>
                <w:szCs w:val="20"/>
                <w:lang w:eastAsia="cs-CZ"/>
              </w:rPr>
            </w:pPr>
            <w:r w:rsidRPr="00C9657D">
              <w:rPr>
                <w:rFonts w:asciiTheme="minorHAnsi" w:hAnsiTheme="minorHAnsi" w:cstheme="minorHAnsi"/>
                <w:color w:val="000000"/>
                <w:sz w:val="20"/>
                <w:szCs w:val="20"/>
              </w:rPr>
              <w:t>-2 349</w:t>
            </w:r>
          </w:p>
        </w:tc>
        <w:tc>
          <w:tcPr>
            <w:tcW w:w="599" w:type="pct"/>
            <w:tcBorders>
              <w:top w:val="single" w:sz="4" w:space="0" w:color="auto"/>
              <w:bottom w:val="single" w:sz="12" w:space="0" w:color="auto"/>
              <w:right w:val="single" w:sz="12" w:space="0" w:color="auto"/>
            </w:tcBorders>
            <w:vAlign w:val="center"/>
          </w:tcPr>
          <w:p w14:paraId="0C5E4734" w14:textId="77777777" w:rsidR="00D55F31" w:rsidRPr="00C9657D" w:rsidRDefault="0024693B" w:rsidP="0002290A">
            <w:pPr>
              <w:jc w:val="right"/>
              <w:rPr>
                <w:rFonts w:asciiTheme="minorHAnsi" w:hAnsiTheme="minorHAnsi" w:cstheme="minorHAnsi"/>
                <w:color w:val="000000"/>
                <w:sz w:val="20"/>
                <w:szCs w:val="20"/>
                <w:lang w:eastAsia="cs-CZ"/>
              </w:rPr>
            </w:pPr>
            <w:r w:rsidRPr="00C9657D">
              <w:rPr>
                <w:rFonts w:asciiTheme="minorHAnsi" w:hAnsiTheme="minorHAnsi" w:cstheme="minorHAnsi"/>
                <w:color w:val="000000"/>
                <w:sz w:val="20"/>
                <w:szCs w:val="20"/>
              </w:rPr>
              <w:t>-2 038</w:t>
            </w:r>
          </w:p>
        </w:tc>
      </w:tr>
    </w:tbl>
    <w:p w14:paraId="48B6AA08" w14:textId="77777777" w:rsidR="00D55F31" w:rsidRPr="00C9657D" w:rsidRDefault="0024693B" w:rsidP="00E27615">
      <w:pPr>
        <w:jc w:val="both"/>
        <w:rPr>
          <w:rFonts w:asciiTheme="minorHAnsi" w:hAnsiTheme="minorHAnsi" w:cs="Calibri"/>
          <w:color w:val="000000"/>
          <w:sz w:val="20"/>
          <w:szCs w:val="18"/>
        </w:rPr>
      </w:pPr>
      <w:r w:rsidRPr="00C9657D">
        <w:rPr>
          <w:rFonts w:asciiTheme="minorHAnsi" w:hAnsiTheme="minorHAnsi" w:cstheme="minorHAnsi"/>
          <w:b/>
          <w:color w:val="000000" w:themeColor="text1"/>
          <w:sz w:val="20"/>
          <w:szCs w:val="18"/>
        </w:rPr>
        <w:t>Zdroj:</w:t>
      </w:r>
      <w:r w:rsidRPr="00C9657D">
        <w:rPr>
          <w:rFonts w:asciiTheme="minorHAnsi" w:hAnsiTheme="minorHAnsi" w:cstheme="minorHAnsi"/>
          <w:color w:val="000000" w:themeColor="text1"/>
          <w:sz w:val="20"/>
          <w:szCs w:val="18"/>
        </w:rPr>
        <w:t xml:space="preserve"> účetní závěrky </w:t>
      </w:r>
      <w:r w:rsidRPr="00C9657D">
        <w:rPr>
          <w:rFonts w:asciiTheme="minorHAnsi" w:hAnsiTheme="minorHAnsi" w:cs="Calibri"/>
          <w:color w:val="000000"/>
          <w:sz w:val="20"/>
          <w:szCs w:val="18"/>
        </w:rPr>
        <w:t>SLL Janské Lázně, HL Karlova Studánka, SLL Bludov a BALMED Praha za roky 2011 až 2015.</w:t>
      </w:r>
    </w:p>
    <w:p w14:paraId="22A5D245" w14:textId="0BB04EAD" w:rsidR="00D55F31" w:rsidRPr="00C9657D" w:rsidRDefault="0024693B" w:rsidP="00004843">
      <w:pPr>
        <w:tabs>
          <w:tab w:val="left" w:pos="284"/>
        </w:tabs>
        <w:spacing w:before="240"/>
        <w:jc w:val="both"/>
        <w:rPr>
          <w:rFonts w:asciiTheme="minorHAnsi" w:eastAsia="Calibri" w:hAnsiTheme="minorHAnsi"/>
          <w:szCs w:val="20"/>
        </w:rPr>
      </w:pPr>
      <w:r w:rsidRPr="00C9657D">
        <w:rPr>
          <w:rFonts w:asciiTheme="minorHAnsi" w:eastAsia="Calibri" w:hAnsiTheme="minorHAnsi"/>
          <w:szCs w:val="20"/>
        </w:rPr>
        <w:t>Všechny kontrolované státní podniky zaznamenaly za sledované pětileté období snížení celkového kapitálu (SLL Janské Lázně v celkové výši 105 355 tis. Kč, HL Karlova Studánka v celkové výši 13 464 tis. Kč, SLL Bludov v celkové výši 8 412 tis. Kč a BALMED Praha v celkové výši 4 025 tis. Kč). Úbytky celkového kapitálu byly způsobeny především záporným výsledkem hospodaření. U SLL Bludov došlo v roce 2015 ke snížení celkového kapitálu vlivem snížení krátkodobých pohledávek i závazků z důvodu ukončení soudního sporu o podíl na</w:t>
      </w:r>
      <w:r w:rsidR="009F56C5">
        <w:rPr>
          <w:rFonts w:asciiTheme="minorHAnsi" w:eastAsia="Calibri" w:hAnsiTheme="minorHAnsi"/>
          <w:szCs w:val="20"/>
        </w:rPr>
        <w:t xml:space="preserve"> </w:t>
      </w:r>
      <w:r w:rsidRPr="00C9657D">
        <w:rPr>
          <w:rFonts w:asciiTheme="minorHAnsi" w:eastAsia="Calibri" w:hAnsiTheme="minorHAnsi"/>
          <w:szCs w:val="20"/>
        </w:rPr>
        <w:t>nemovitém majetku lázní.</w:t>
      </w:r>
    </w:p>
    <w:p w14:paraId="4E8060FB" w14:textId="3BC24CE3" w:rsidR="00D55F31" w:rsidRPr="00694640" w:rsidRDefault="0024693B" w:rsidP="0002290A">
      <w:pPr>
        <w:spacing w:before="120"/>
        <w:jc w:val="both"/>
        <w:rPr>
          <w:rFonts w:ascii="Calibri" w:hAnsi="Calibri" w:cs="Calibri"/>
        </w:rPr>
      </w:pPr>
      <w:bookmarkStart w:id="1" w:name="_Toc433714977"/>
      <w:r w:rsidRPr="00C9657D">
        <w:rPr>
          <w:rFonts w:ascii="Calibri" w:hAnsi="Calibri"/>
        </w:rPr>
        <w:t>Celkové výnosy státních podniků zaznamenaly od</w:t>
      </w:r>
      <w:r w:rsidR="009F56C5">
        <w:rPr>
          <w:rFonts w:ascii="Calibri" w:hAnsi="Calibri"/>
        </w:rPr>
        <w:t xml:space="preserve"> </w:t>
      </w:r>
      <w:r w:rsidRPr="00C9657D">
        <w:rPr>
          <w:rFonts w:ascii="Calibri" w:hAnsi="Calibri"/>
        </w:rPr>
        <w:t xml:space="preserve">roku 2013 nárůst a plynuly především </w:t>
      </w:r>
      <w:r w:rsidRPr="00C9657D">
        <w:rPr>
          <w:rFonts w:ascii="Calibri" w:hAnsi="Calibri" w:cs="Calibri"/>
        </w:rPr>
        <w:t>od</w:t>
      </w:r>
      <w:r w:rsidR="009F56C5">
        <w:rPr>
          <w:rFonts w:ascii="Calibri" w:hAnsi="Calibri" w:cs="Calibri"/>
        </w:rPr>
        <w:t xml:space="preserve"> </w:t>
      </w:r>
      <w:r w:rsidRPr="00C9657D">
        <w:rPr>
          <w:rFonts w:ascii="Calibri" w:hAnsi="Calibri" w:cs="Calibri"/>
        </w:rPr>
        <w:t xml:space="preserve">zdravotních pojišťoven a </w:t>
      </w:r>
      <w:r w:rsidR="009F56C5">
        <w:rPr>
          <w:rFonts w:ascii="Calibri" w:hAnsi="Calibri" w:cs="Calibri"/>
        </w:rPr>
        <w:t>z </w:t>
      </w:r>
      <w:r w:rsidRPr="00C9657D">
        <w:rPr>
          <w:rFonts w:ascii="Calibri" w:hAnsi="Calibri" w:cs="Calibri"/>
        </w:rPr>
        <w:t>tržeb za rekreační a léčebné pobyty. Dalším zdrojem tržeb těchto státních podniků byly jiné provozní výnosy. Výjimku tvoří státní podnik BALMED Praha jehož hlavním zdrojem příjmů je pronájem a prodej nemovitého majetku.</w:t>
      </w:r>
    </w:p>
    <w:p w14:paraId="2E1554B4" w14:textId="77777777" w:rsidR="00E27615" w:rsidRDefault="00E27615">
      <w:pPr>
        <w:rPr>
          <w:rFonts w:ascii="Calibri" w:hAnsi="Calibri" w:cs="Calibri"/>
          <w:b/>
          <w:color w:val="000000"/>
        </w:rPr>
      </w:pPr>
      <w:r>
        <w:rPr>
          <w:rFonts w:ascii="Calibri" w:hAnsi="Calibri" w:cs="Calibri"/>
          <w:b/>
          <w:color w:val="000000"/>
        </w:rPr>
        <w:br w:type="page"/>
      </w:r>
    </w:p>
    <w:p w14:paraId="035F36DD" w14:textId="77777777" w:rsidR="00D55F31" w:rsidRPr="00C9657D" w:rsidRDefault="0024693B" w:rsidP="000D68D3">
      <w:pPr>
        <w:tabs>
          <w:tab w:val="right" w:pos="9072"/>
        </w:tabs>
        <w:spacing w:before="240" w:after="40"/>
        <w:jc w:val="both"/>
        <w:rPr>
          <w:rFonts w:ascii="Calibri" w:hAnsi="Calibri" w:cs="Calibri"/>
          <w:b/>
          <w:color w:val="000000"/>
        </w:rPr>
      </w:pPr>
      <w:r w:rsidRPr="00C9657D">
        <w:rPr>
          <w:rFonts w:ascii="Calibri" w:hAnsi="Calibri" w:cs="Calibri"/>
          <w:b/>
          <w:color w:val="000000"/>
        </w:rPr>
        <w:lastRenderedPageBreak/>
        <w:t xml:space="preserve">Tabulka č. 6 </w:t>
      </w:r>
      <w:r>
        <w:rPr>
          <w:rFonts w:ascii="Calibri" w:hAnsi="Calibri" w:cs="Calibri"/>
          <w:b/>
          <w:color w:val="000000"/>
        </w:rPr>
        <w:t>–</w:t>
      </w:r>
      <w:r w:rsidRPr="00C9657D">
        <w:rPr>
          <w:rFonts w:ascii="Calibri" w:hAnsi="Calibri" w:cs="Calibri"/>
          <w:b/>
          <w:color w:val="000000"/>
        </w:rPr>
        <w:t xml:space="preserve"> Výnosy kontrolovaných státních podniků za roky 2013–2015</w:t>
      </w:r>
      <w:r w:rsidRPr="00C9657D">
        <w:rPr>
          <w:rFonts w:ascii="Calibri" w:hAnsi="Calibri" w:cs="Calibri"/>
          <w:b/>
          <w:color w:val="000000"/>
        </w:rPr>
        <w:tab/>
        <w:t>(v tis. Kč)</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773"/>
        <w:gridCol w:w="1917"/>
        <w:gridCol w:w="1118"/>
        <w:gridCol w:w="1118"/>
        <w:gridCol w:w="1116"/>
      </w:tblGrid>
      <w:tr w:rsidR="00C425F2" w14:paraId="077E8CF0" w14:textId="77777777" w:rsidTr="003F5F38">
        <w:trPr>
          <w:trHeight w:val="227"/>
          <w:jc w:val="center"/>
        </w:trPr>
        <w:tc>
          <w:tcPr>
            <w:tcW w:w="3146" w:type="pct"/>
            <w:gridSpan w:val="2"/>
            <w:tcBorders>
              <w:top w:val="single" w:sz="12" w:space="0" w:color="auto"/>
            </w:tcBorders>
            <w:shd w:val="clear" w:color="auto" w:fill="C6D9F1" w:themeFill="text2" w:themeFillTint="33"/>
            <w:noWrap/>
            <w:vAlign w:val="center"/>
            <w:hideMark/>
          </w:tcPr>
          <w:p w14:paraId="76C87BF9" w14:textId="77777777" w:rsidR="00D55F31" w:rsidRPr="00C9657D" w:rsidRDefault="00D55F31" w:rsidP="0002290A">
            <w:pPr>
              <w:jc w:val="center"/>
              <w:rPr>
                <w:rFonts w:ascii="Calibri" w:hAnsi="Calibri" w:cs="Calibri"/>
                <w:b/>
                <w:color w:val="000000"/>
                <w:sz w:val="20"/>
                <w:szCs w:val="20"/>
                <w:lang w:eastAsia="cs-CZ"/>
              </w:rPr>
            </w:pPr>
          </w:p>
        </w:tc>
        <w:tc>
          <w:tcPr>
            <w:tcW w:w="618" w:type="pct"/>
            <w:tcBorders>
              <w:top w:val="single" w:sz="12" w:space="0" w:color="auto"/>
            </w:tcBorders>
            <w:shd w:val="clear" w:color="auto" w:fill="C6D9F1" w:themeFill="text2" w:themeFillTint="33"/>
            <w:noWrap/>
            <w:vAlign w:val="center"/>
            <w:hideMark/>
          </w:tcPr>
          <w:p w14:paraId="0448E86F" w14:textId="77777777" w:rsidR="00D55F31" w:rsidRPr="00C9657D" w:rsidRDefault="0024693B" w:rsidP="0002290A">
            <w:pPr>
              <w:jc w:val="center"/>
              <w:rPr>
                <w:rFonts w:ascii="Calibri" w:hAnsi="Calibri" w:cs="Calibri"/>
                <w:b/>
                <w:color w:val="000000"/>
                <w:sz w:val="20"/>
                <w:szCs w:val="20"/>
                <w:lang w:eastAsia="cs-CZ"/>
              </w:rPr>
            </w:pPr>
            <w:r w:rsidRPr="00C9657D">
              <w:rPr>
                <w:rFonts w:ascii="Calibri" w:hAnsi="Calibri" w:cs="Calibri"/>
                <w:b/>
                <w:color w:val="000000"/>
                <w:sz w:val="20"/>
                <w:szCs w:val="20"/>
                <w:lang w:eastAsia="cs-CZ"/>
              </w:rPr>
              <w:t>2013</w:t>
            </w:r>
          </w:p>
        </w:tc>
        <w:tc>
          <w:tcPr>
            <w:tcW w:w="618" w:type="pct"/>
            <w:tcBorders>
              <w:top w:val="single" w:sz="12" w:space="0" w:color="auto"/>
            </w:tcBorders>
            <w:shd w:val="clear" w:color="auto" w:fill="C6D9F1" w:themeFill="text2" w:themeFillTint="33"/>
            <w:noWrap/>
            <w:vAlign w:val="center"/>
            <w:hideMark/>
          </w:tcPr>
          <w:p w14:paraId="7C09B03B" w14:textId="77777777" w:rsidR="00D55F31" w:rsidRPr="00C9657D" w:rsidRDefault="0024693B" w:rsidP="0002290A">
            <w:pPr>
              <w:jc w:val="center"/>
              <w:rPr>
                <w:rFonts w:ascii="Calibri" w:hAnsi="Calibri" w:cs="Calibri"/>
                <w:b/>
                <w:color w:val="000000"/>
                <w:sz w:val="20"/>
                <w:szCs w:val="20"/>
                <w:lang w:eastAsia="cs-CZ"/>
              </w:rPr>
            </w:pPr>
            <w:r w:rsidRPr="00C9657D">
              <w:rPr>
                <w:rFonts w:ascii="Calibri" w:hAnsi="Calibri" w:cs="Calibri"/>
                <w:b/>
                <w:color w:val="000000"/>
                <w:sz w:val="20"/>
                <w:szCs w:val="20"/>
                <w:lang w:eastAsia="cs-CZ"/>
              </w:rPr>
              <w:t>2014</w:t>
            </w:r>
          </w:p>
        </w:tc>
        <w:tc>
          <w:tcPr>
            <w:tcW w:w="617" w:type="pct"/>
            <w:tcBorders>
              <w:top w:val="single" w:sz="12" w:space="0" w:color="auto"/>
            </w:tcBorders>
            <w:shd w:val="clear" w:color="auto" w:fill="C6D9F1" w:themeFill="text2" w:themeFillTint="33"/>
            <w:noWrap/>
            <w:vAlign w:val="center"/>
            <w:hideMark/>
          </w:tcPr>
          <w:p w14:paraId="1ABAB355" w14:textId="77777777" w:rsidR="00D55F31" w:rsidRPr="00C9657D" w:rsidRDefault="0024693B" w:rsidP="0002290A">
            <w:pPr>
              <w:jc w:val="center"/>
              <w:rPr>
                <w:rFonts w:ascii="Calibri" w:hAnsi="Calibri" w:cs="Calibri"/>
                <w:b/>
                <w:color w:val="000000"/>
                <w:sz w:val="20"/>
                <w:szCs w:val="20"/>
                <w:lang w:eastAsia="cs-CZ"/>
              </w:rPr>
            </w:pPr>
            <w:r w:rsidRPr="00C9657D">
              <w:rPr>
                <w:rFonts w:ascii="Calibri" w:hAnsi="Calibri" w:cs="Calibri"/>
                <w:b/>
                <w:color w:val="000000"/>
                <w:sz w:val="20"/>
                <w:szCs w:val="20"/>
                <w:lang w:eastAsia="cs-CZ"/>
              </w:rPr>
              <w:t>2015</w:t>
            </w:r>
          </w:p>
        </w:tc>
      </w:tr>
      <w:tr w:rsidR="00C425F2" w14:paraId="25C5CC9E" w14:textId="77777777" w:rsidTr="003F5F38">
        <w:trPr>
          <w:trHeight w:val="227"/>
          <w:jc w:val="center"/>
        </w:trPr>
        <w:tc>
          <w:tcPr>
            <w:tcW w:w="2086" w:type="pct"/>
            <w:vMerge w:val="restart"/>
            <w:noWrap/>
            <w:vAlign w:val="center"/>
            <w:hideMark/>
          </w:tcPr>
          <w:p w14:paraId="1CF18A7D" w14:textId="77777777" w:rsidR="00D55F31" w:rsidRPr="00C9657D" w:rsidRDefault="0024693B" w:rsidP="0002290A">
            <w:pPr>
              <w:ind w:right="127"/>
              <w:rPr>
                <w:rFonts w:ascii="Calibri" w:hAnsi="Calibri" w:cs="Calibri"/>
                <w:b/>
                <w:bCs/>
                <w:color w:val="000000"/>
                <w:sz w:val="20"/>
                <w:szCs w:val="20"/>
                <w:lang w:eastAsia="cs-CZ"/>
              </w:rPr>
            </w:pPr>
            <w:r w:rsidRPr="00C9657D">
              <w:rPr>
                <w:rFonts w:ascii="Calibri" w:hAnsi="Calibri" w:cs="Calibri"/>
                <w:b/>
                <w:bCs/>
                <w:color w:val="000000"/>
                <w:sz w:val="20"/>
                <w:szCs w:val="20"/>
                <w:lang w:eastAsia="cs-CZ"/>
              </w:rPr>
              <w:t>Celkové výnosy:</w:t>
            </w:r>
          </w:p>
        </w:tc>
        <w:tc>
          <w:tcPr>
            <w:tcW w:w="1060" w:type="pct"/>
            <w:vAlign w:val="center"/>
          </w:tcPr>
          <w:p w14:paraId="795A92D5" w14:textId="77777777" w:rsidR="00D55F31" w:rsidRPr="00C9657D" w:rsidRDefault="0024693B" w:rsidP="0002290A">
            <w:pPr>
              <w:ind w:right="64" w:hanging="11"/>
              <w:jc w:val="center"/>
              <w:rPr>
                <w:rFonts w:ascii="Calibri" w:hAnsi="Calibri" w:cs="Calibri"/>
                <w:b/>
                <w:color w:val="000000"/>
                <w:sz w:val="20"/>
                <w:szCs w:val="20"/>
              </w:rPr>
            </w:pPr>
            <w:r w:rsidRPr="00C9657D">
              <w:rPr>
                <w:rFonts w:ascii="Calibri" w:hAnsi="Calibri" w:cs="Calibri"/>
                <w:b/>
                <w:color w:val="000000"/>
                <w:sz w:val="20"/>
                <w:szCs w:val="20"/>
              </w:rPr>
              <w:t>SLL Janské Lázně</w:t>
            </w:r>
          </w:p>
        </w:tc>
        <w:tc>
          <w:tcPr>
            <w:tcW w:w="618" w:type="pct"/>
            <w:noWrap/>
            <w:vAlign w:val="center"/>
          </w:tcPr>
          <w:p w14:paraId="22BFE2C7" w14:textId="7253C23F" w:rsidR="00D55F31" w:rsidRPr="00C9657D" w:rsidRDefault="0024693B" w:rsidP="009F56C5">
            <w:pPr>
              <w:jc w:val="right"/>
              <w:rPr>
                <w:rFonts w:ascii="Calibri" w:hAnsi="Calibri" w:cs="Calibri"/>
                <w:b/>
                <w:sz w:val="20"/>
                <w:szCs w:val="20"/>
              </w:rPr>
            </w:pPr>
            <w:r w:rsidRPr="00C9657D">
              <w:rPr>
                <w:rFonts w:ascii="Calibri" w:hAnsi="Calibri" w:cs="Calibri"/>
                <w:b/>
                <w:bCs/>
                <w:sz w:val="20"/>
                <w:szCs w:val="20"/>
              </w:rPr>
              <w:t>166 474</w:t>
            </w:r>
          </w:p>
        </w:tc>
        <w:tc>
          <w:tcPr>
            <w:tcW w:w="618" w:type="pct"/>
            <w:noWrap/>
            <w:vAlign w:val="center"/>
          </w:tcPr>
          <w:p w14:paraId="366BA743" w14:textId="124FEB2B" w:rsidR="00D55F31" w:rsidRPr="00C9657D" w:rsidRDefault="0024693B" w:rsidP="009F56C5">
            <w:pPr>
              <w:jc w:val="right"/>
              <w:rPr>
                <w:rFonts w:ascii="Calibri" w:hAnsi="Calibri" w:cs="Calibri"/>
                <w:b/>
                <w:sz w:val="20"/>
                <w:szCs w:val="20"/>
              </w:rPr>
            </w:pPr>
            <w:r w:rsidRPr="00C9657D">
              <w:rPr>
                <w:rFonts w:ascii="Calibri" w:hAnsi="Calibri" w:cs="Calibri"/>
                <w:b/>
                <w:bCs/>
                <w:sz w:val="20"/>
                <w:szCs w:val="20"/>
              </w:rPr>
              <w:t>225 512</w:t>
            </w:r>
          </w:p>
        </w:tc>
        <w:tc>
          <w:tcPr>
            <w:tcW w:w="617" w:type="pct"/>
            <w:noWrap/>
            <w:vAlign w:val="center"/>
          </w:tcPr>
          <w:p w14:paraId="5AFC8D4E" w14:textId="1EFD82E6" w:rsidR="00D55F31" w:rsidRPr="00C9657D" w:rsidRDefault="0024693B" w:rsidP="009F56C5">
            <w:pPr>
              <w:jc w:val="right"/>
              <w:rPr>
                <w:rFonts w:ascii="Calibri" w:hAnsi="Calibri" w:cs="Calibri"/>
                <w:b/>
                <w:sz w:val="20"/>
                <w:szCs w:val="20"/>
              </w:rPr>
            </w:pPr>
            <w:r w:rsidRPr="00C9657D">
              <w:rPr>
                <w:rFonts w:ascii="Calibri" w:hAnsi="Calibri" w:cs="Calibri"/>
                <w:b/>
                <w:bCs/>
                <w:sz w:val="20"/>
                <w:szCs w:val="20"/>
              </w:rPr>
              <w:t>248 871</w:t>
            </w:r>
          </w:p>
        </w:tc>
      </w:tr>
      <w:tr w:rsidR="00C425F2" w14:paraId="614F3B1A" w14:textId="77777777" w:rsidTr="003F5F38">
        <w:trPr>
          <w:trHeight w:val="227"/>
          <w:jc w:val="center"/>
        </w:trPr>
        <w:tc>
          <w:tcPr>
            <w:tcW w:w="2086" w:type="pct"/>
            <w:vMerge/>
            <w:noWrap/>
            <w:vAlign w:val="center"/>
          </w:tcPr>
          <w:p w14:paraId="304796BA" w14:textId="77777777" w:rsidR="00D55F31" w:rsidRPr="00C9657D" w:rsidRDefault="00D55F31" w:rsidP="0002290A">
            <w:pPr>
              <w:ind w:right="127"/>
              <w:rPr>
                <w:rFonts w:ascii="Calibri" w:hAnsi="Calibri" w:cs="Calibri"/>
                <w:b/>
                <w:bCs/>
                <w:color w:val="000000"/>
                <w:sz w:val="20"/>
                <w:szCs w:val="20"/>
                <w:lang w:eastAsia="cs-CZ"/>
              </w:rPr>
            </w:pPr>
          </w:p>
        </w:tc>
        <w:tc>
          <w:tcPr>
            <w:tcW w:w="1060" w:type="pct"/>
            <w:tcBorders>
              <w:bottom w:val="single" w:sz="4" w:space="0" w:color="auto"/>
            </w:tcBorders>
            <w:vAlign w:val="center"/>
          </w:tcPr>
          <w:p w14:paraId="456E226E" w14:textId="77777777" w:rsidR="00D55F31" w:rsidRPr="00C9657D" w:rsidRDefault="0024693B" w:rsidP="0002290A">
            <w:pPr>
              <w:ind w:right="64" w:hanging="11"/>
              <w:jc w:val="center"/>
              <w:rPr>
                <w:rFonts w:ascii="Calibri" w:hAnsi="Calibri" w:cs="Calibri"/>
                <w:b/>
                <w:color w:val="000000"/>
                <w:sz w:val="20"/>
                <w:szCs w:val="20"/>
              </w:rPr>
            </w:pPr>
            <w:r w:rsidRPr="00C9657D">
              <w:rPr>
                <w:rFonts w:ascii="Calibri" w:hAnsi="Calibri" w:cs="Calibri"/>
                <w:b/>
                <w:color w:val="000000"/>
                <w:sz w:val="20"/>
                <w:szCs w:val="20"/>
              </w:rPr>
              <w:t>HL Karlova Studánka</w:t>
            </w:r>
          </w:p>
        </w:tc>
        <w:tc>
          <w:tcPr>
            <w:tcW w:w="618" w:type="pct"/>
            <w:tcBorders>
              <w:bottom w:val="single" w:sz="4" w:space="0" w:color="auto"/>
            </w:tcBorders>
            <w:noWrap/>
            <w:vAlign w:val="center"/>
          </w:tcPr>
          <w:p w14:paraId="2D2BAD07" w14:textId="77777777" w:rsidR="00D55F31" w:rsidRPr="00C9657D" w:rsidRDefault="0024693B" w:rsidP="0002290A">
            <w:pPr>
              <w:jc w:val="right"/>
              <w:rPr>
                <w:rFonts w:ascii="Calibri" w:hAnsi="Calibri" w:cs="Calibri"/>
                <w:b/>
                <w:bCs/>
                <w:sz w:val="20"/>
                <w:szCs w:val="20"/>
                <w:lang w:eastAsia="cs-CZ"/>
              </w:rPr>
            </w:pPr>
            <w:r w:rsidRPr="00C9657D">
              <w:rPr>
                <w:rFonts w:ascii="Calibri" w:hAnsi="Calibri" w:cs="Calibri"/>
                <w:b/>
                <w:bCs/>
                <w:sz w:val="20"/>
                <w:szCs w:val="20"/>
                <w:lang w:eastAsia="cs-CZ"/>
              </w:rPr>
              <w:t>86 271</w:t>
            </w:r>
          </w:p>
        </w:tc>
        <w:tc>
          <w:tcPr>
            <w:tcW w:w="618" w:type="pct"/>
            <w:tcBorders>
              <w:bottom w:val="single" w:sz="4" w:space="0" w:color="auto"/>
            </w:tcBorders>
            <w:noWrap/>
            <w:vAlign w:val="center"/>
          </w:tcPr>
          <w:p w14:paraId="7F99C1ED" w14:textId="77777777" w:rsidR="00D55F31" w:rsidRPr="00C9657D" w:rsidRDefault="0024693B" w:rsidP="0002290A">
            <w:pPr>
              <w:jc w:val="right"/>
              <w:rPr>
                <w:rFonts w:ascii="Calibri" w:hAnsi="Calibri" w:cs="Calibri"/>
                <w:b/>
                <w:bCs/>
                <w:sz w:val="20"/>
                <w:szCs w:val="20"/>
                <w:lang w:eastAsia="cs-CZ"/>
              </w:rPr>
            </w:pPr>
            <w:r w:rsidRPr="00C9657D">
              <w:rPr>
                <w:rFonts w:ascii="Calibri" w:hAnsi="Calibri" w:cs="Calibri"/>
                <w:b/>
                <w:bCs/>
                <w:sz w:val="20"/>
                <w:szCs w:val="20"/>
                <w:lang w:eastAsia="cs-CZ"/>
              </w:rPr>
              <w:t>98 892</w:t>
            </w:r>
          </w:p>
        </w:tc>
        <w:tc>
          <w:tcPr>
            <w:tcW w:w="617" w:type="pct"/>
            <w:tcBorders>
              <w:bottom w:val="single" w:sz="4" w:space="0" w:color="auto"/>
            </w:tcBorders>
            <w:noWrap/>
            <w:vAlign w:val="center"/>
          </w:tcPr>
          <w:p w14:paraId="48B19FE0" w14:textId="77777777" w:rsidR="00D55F31" w:rsidRPr="00C9657D" w:rsidRDefault="0024693B" w:rsidP="0002290A">
            <w:pPr>
              <w:jc w:val="right"/>
              <w:rPr>
                <w:rFonts w:ascii="Calibri" w:hAnsi="Calibri" w:cs="Calibri"/>
                <w:b/>
                <w:bCs/>
                <w:color w:val="000000"/>
                <w:sz w:val="20"/>
                <w:szCs w:val="20"/>
                <w:lang w:eastAsia="cs-CZ"/>
              </w:rPr>
            </w:pPr>
            <w:r w:rsidRPr="00C9657D">
              <w:rPr>
                <w:rFonts w:ascii="Calibri" w:hAnsi="Calibri" w:cs="Calibri"/>
                <w:b/>
                <w:bCs/>
                <w:color w:val="000000"/>
                <w:sz w:val="20"/>
                <w:szCs w:val="20"/>
                <w:lang w:eastAsia="cs-CZ"/>
              </w:rPr>
              <w:t>113 643</w:t>
            </w:r>
          </w:p>
        </w:tc>
      </w:tr>
      <w:tr w:rsidR="00C425F2" w14:paraId="0AA23622" w14:textId="77777777" w:rsidTr="003F5F38">
        <w:trPr>
          <w:trHeight w:val="227"/>
          <w:jc w:val="center"/>
        </w:trPr>
        <w:tc>
          <w:tcPr>
            <w:tcW w:w="2086" w:type="pct"/>
            <w:vMerge/>
            <w:noWrap/>
            <w:vAlign w:val="center"/>
          </w:tcPr>
          <w:p w14:paraId="379B2F69" w14:textId="77777777" w:rsidR="00D55F31" w:rsidRPr="00C9657D" w:rsidRDefault="00D55F31" w:rsidP="0002290A">
            <w:pPr>
              <w:ind w:right="127"/>
              <w:rPr>
                <w:rFonts w:ascii="Calibri" w:hAnsi="Calibri" w:cs="Calibri"/>
                <w:b/>
                <w:bCs/>
                <w:color w:val="000000"/>
                <w:sz w:val="20"/>
                <w:szCs w:val="20"/>
                <w:lang w:eastAsia="cs-CZ"/>
              </w:rPr>
            </w:pPr>
          </w:p>
        </w:tc>
        <w:tc>
          <w:tcPr>
            <w:tcW w:w="1060" w:type="pct"/>
            <w:tcBorders>
              <w:top w:val="single" w:sz="4" w:space="0" w:color="auto"/>
              <w:bottom w:val="single" w:sz="4" w:space="0" w:color="auto"/>
            </w:tcBorders>
            <w:vAlign w:val="center"/>
          </w:tcPr>
          <w:p w14:paraId="57769640" w14:textId="77777777" w:rsidR="00D55F31" w:rsidRPr="00C9657D" w:rsidRDefault="0024693B" w:rsidP="0002290A">
            <w:pPr>
              <w:ind w:right="64" w:hanging="11"/>
              <w:jc w:val="center"/>
              <w:rPr>
                <w:rFonts w:ascii="Calibri" w:hAnsi="Calibri" w:cs="Calibri"/>
                <w:b/>
                <w:color w:val="000000"/>
                <w:sz w:val="20"/>
                <w:szCs w:val="20"/>
              </w:rPr>
            </w:pPr>
            <w:r w:rsidRPr="00C9657D">
              <w:rPr>
                <w:rFonts w:ascii="Calibri" w:hAnsi="Calibri" w:cs="Calibri"/>
                <w:b/>
                <w:color w:val="000000"/>
                <w:sz w:val="20"/>
                <w:szCs w:val="20"/>
              </w:rPr>
              <w:t>SLL Bludov</w:t>
            </w:r>
          </w:p>
        </w:tc>
        <w:tc>
          <w:tcPr>
            <w:tcW w:w="618" w:type="pct"/>
            <w:tcBorders>
              <w:top w:val="single" w:sz="4" w:space="0" w:color="auto"/>
              <w:bottom w:val="single" w:sz="4" w:space="0" w:color="auto"/>
            </w:tcBorders>
            <w:noWrap/>
            <w:vAlign w:val="center"/>
          </w:tcPr>
          <w:p w14:paraId="7B6EFD8C" w14:textId="77777777" w:rsidR="00D55F31" w:rsidRPr="00C9657D" w:rsidRDefault="0024693B" w:rsidP="0002290A">
            <w:pPr>
              <w:jc w:val="right"/>
              <w:rPr>
                <w:rFonts w:ascii="Calibri" w:hAnsi="Calibri" w:cs="Calibri"/>
                <w:b/>
                <w:sz w:val="20"/>
                <w:szCs w:val="20"/>
              </w:rPr>
            </w:pPr>
            <w:r w:rsidRPr="00C9657D">
              <w:rPr>
                <w:rFonts w:ascii="Calibri" w:hAnsi="Calibri" w:cs="Calibri"/>
                <w:b/>
                <w:bCs/>
                <w:sz w:val="20"/>
                <w:szCs w:val="20"/>
              </w:rPr>
              <w:t>22 007</w:t>
            </w:r>
          </w:p>
        </w:tc>
        <w:tc>
          <w:tcPr>
            <w:tcW w:w="618" w:type="pct"/>
            <w:tcBorders>
              <w:top w:val="single" w:sz="4" w:space="0" w:color="auto"/>
              <w:bottom w:val="single" w:sz="4" w:space="0" w:color="auto"/>
            </w:tcBorders>
            <w:noWrap/>
            <w:vAlign w:val="center"/>
          </w:tcPr>
          <w:p w14:paraId="6C01DE11" w14:textId="77777777" w:rsidR="00D55F31" w:rsidRPr="00C9657D" w:rsidRDefault="0024693B" w:rsidP="0002290A">
            <w:pPr>
              <w:jc w:val="right"/>
              <w:rPr>
                <w:rFonts w:ascii="Calibri" w:hAnsi="Calibri" w:cs="Calibri"/>
                <w:b/>
                <w:sz w:val="20"/>
                <w:szCs w:val="20"/>
              </w:rPr>
            </w:pPr>
            <w:r w:rsidRPr="00C9657D">
              <w:rPr>
                <w:rFonts w:ascii="Calibri" w:hAnsi="Calibri" w:cs="Calibri"/>
                <w:b/>
                <w:bCs/>
                <w:sz w:val="20"/>
                <w:szCs w:val="20"/>
              </w:rPr>
              <w:t>29 684</w:t>
            </w:r>
          </w:p>
        </w:tc>
        <w:tc>
          <w:tcPr>
            <w:tcW w:w="617" w:type="pct"/>
            <w:tcBorders>
              <w:top w:val="single" w:sz="4" w:space="0" w:color="auto"/>
              <w:bottom w:val="single" w:sz="4" w:space="0" w:color="auto"/>
            </w:tcBorders>
            <w:noWrap/>
            <w:vAlign w:val="center"/>
          </w:tcPr>
          <w:p w14:paraId="1EB115E8" w14:textId="77777777" w:rsidR="00D55F31" w:rsidRPr="00C9657D" w:rsidRDefault="0024693B" w:rsidP="0002290A">
            <w:pPr>
              <w:jc w:val="right"/>
              <w:rPr>
                <w:rFonts w:ascii="Calibri" w:hAnsi="Calibri" w:cs="Calibri"/>
                <w:b/>
                <w:sz w:val="20"/>
                <w:szCs w:val="20"/>
              </w:rPr>
            </w:pPr>
            <w:r w:rsidRPr="00C9657D">
              <w:rPr>
                <w:rFonts w:ascii="Calibri" w:hAnsi="Calibri" w:cs="Calibri"/>
                <w:b/>
                <w:bCs/>
                <w:sz w:val="20"/>
                <w:szCs w:val="20"/>
              </w:rPr>
              <w:t>38 045</w:t>
            </w:r>
          </w:p>
        </w:tc>
      </w:tr>
      <w:tr w:rsidR="00C425F2" w14:paraId="56554FBD" w14:textId="77777777" w:rsidTr="003F5F38">
        <w:trPr>
          <w:trHeight w:val="227"/>
          <w:jc w:val="center"/>
        </w:trPr>
        <w:tc>
          <w:tcPr>
            <w:tcW w:w="2086" w:type="pct"/>
            <w:vMerge/>
            <w:tcBorders>
              <w:bottom w:val="single" w:sz="12" w:space="0" w:color="auto"/>
            </w:tcBorders>
            <w:noWrap/>
            <w:vAlign w:val="center"/>
          </w:tcPr>
          <w:p w14:paraId="0C036975" w14:textId="77777777" w:rsidR="00D55F31" w:rsidRPr="00C9657D" w:rsidRDefault="00D55F31" w:rsidP="0002290A">
            <w:pPr>
              <w:ind w:right="127"/>
              <w:rPr>
                <w:rFonts w:ascii="Calibri" w:hAnsi="Calibri" w:cs="Calibri"/>
                <w:b/>
                <w:bCs/>
                <w:color w:val="000000"/>
                <w:sz w:val="20"/>
                <w:szCs w:val="20"/>
                <w:lang w:eastAsia="cs-CZ"/>
              </w:rPr>
            </w:pPr>
          </w:p>
        </w:tc>
        <w:tc>
          <w:tcPr>
            <w:tcW w:w="1060" w:type="pct"/>
            <w:tcBorders>
              <w:top w:val="single" w:sz="4" w:space="0" w:color="auto"/>
              <w:bottom w:val="single" w:sz="12" w:space="0" w:color="auto"/>
            </w:tcBorders>
            <w:vAlign w:val="center"/>
          </w:tcPr>
          <w:p w14:paraId="79F15C55" w14:textId="25EB94B9" w:rsidR="00D55F31" w:rsidRPr="00C9657D" w:rsidRDefault="0024693B" w:rsidP="0002290A">
            <w:pPr>
              <w:ind w:right="64" w:hanging="11"/>
              <w:jc w:val="center"/>
              <w:rPr>
                <w:rFonts w:ascii="Calibri" w:hAnsi="Calibri" w:cs="Calibri"/>
                <w:b/>
                <w:color w:val="000000"/>
                <w:sz w:val="20"/>
                <w:szCs w:val="20"/>
              </w:rPr>
            </w:pPr>
            <w:r w:rsidRPr="00C9657D">
              <w:rPr>
                <w:rFonts w:ascii="Calibri" w:hAnsi="Calibri" w:cs="Calibri"/>
                <w:b/>
                <w:color w:val="000000"/>
                <w:sz w:val="20"/>
                <w:szCs w:val="20"/>
              </w:rPr>
              <w:t>BALMED</w:t>
            </w:r>
            <w:r w:rsidR="003D2117">
              <w:rPr>
                <w:rFonts w:ascii="Calibri" w:hAnsi="Calibri" w:cs="Calibri"/>
                <w:b/>
                <w:color w:val="000000"/>
                <w:sz w:val="20"/>
                <w:szCs w:val="20"/>
              </w:rPr>
              <w:t xml:space="preserve"> Praha</w:t>
            </w:r>
          </w:p>
        </w:tc>
        <w:tc>
          <w:tcPr>
            <w:tcW w:w="618" w:type="pct"/>
            <w:tcBorders>
              <w:top w:val="single" w:sz="4" w:space="0" w:color="auto"/>
              <w:bottom w:val="single" w:sz="12" w:space="0" w:color="auto"/>
            </w:tcBorders>
            <w:noWrap/>
            <w:vAlign w:val="center"/>
          </w:tcPr>
          <w:p w14:paraId="3B7016E0" w14:textId="77777777" w:rsidR="00D55F31" w:rsidRPr="00C9657D" w:rsidRDefault="0024693B" w:rsidP="0002290A">
            <w:pPr>
              <w:jc w:val="right"/>
              <w:rPr>
                <w:rFonts w:ascii="Calibri" w:hAnsi="Calibri" w:cs="Calibri"/>
                <w:b/>
                <w:bCs/>
                <w:color w:val="000000"/>
                <w:sz w:val="20"/>
                <w:szCs w:val="20"/>
              </w:rPr>
            </w:pPr>
            <w:r w:rsidRPr="00C9657D">
              <w:rPr>
                <w:rFonts w:ascii="Calibri" w:hAnsi="Calibri" w:cs="Calibri"/>
                <w:b/>
                <w:bCs/>
                <w:color w:val="000000"/>
                <w:sz w:val="20"/>
                <w:szCs w:val="20"/>
              </w:rPr>
              <w:t>7 247</w:t>
            </w:r>
          </w:p>
        </w:tc>
        <w:tc>
          <w:tcPr>
            <w:tcW w:w="618" w:type="pct"/>
            <w:tcBorders>
              <w:top w:val="single" w:sz="4" w:space="0" w:color="auto"/>
              <w:bottom w:val="single" w:sz="12" w:space="0" w:color="auto"/>
            </w:tcBorders>
            <w:noWrap/>
            <w:vAlign w:val="center"/>
          </w:tcPr>
          <w:p w14:paraId="562A5BBA" w14:textId="77777777" w:rsidR="00D55F31" w:rsidRPr="00C9657D" w:rsidRDefault="0024693B" w:rsidP="0002290A">
            <w:pPr>
              <w:jc w:val="right"/>
              <w:rPr>
                <w:rFonts w:ascii="Calibri" w:hAnsi="Calibri" w:cs="Calibri"/>
                <w:b/>
                <w:bCs/>
                <w:color w:val="000000"/>
                <w:sz w:val="20"/>
                <w:szCs w:val="20"/>
              </w:rPr>
            </w:pPr>
            <w:r w:rsidRPr="00C9657D">
              <w:rPr>
                <w:rFonts w:ascii="Calibri" w:hAnsi="Calibri" w:cs="Calibri"/>
                <w:b/>
                <w:bCs/>
                <w:color w:val="000000"/>
                <w:sz w:val="20"/>
                <w:szCs w:val="20"/>
              </w:rPr>
              <w:t>1 675</w:t>
            </w:r>
          </w:p>
        </w:tc>
        <w:tc>
          <w:tcPr>
            <w:tcW w:w="617" w:type="pct"/>
            <w:tcBorders>
              <w:top w:val="single" w:sz="4" w:space="0" w:color="auto"/>
              <w:bottom w:val="single" w:sz="12" w:space="0" w:color="auto"/>
            </w:tcBorders>
            <w:noWrap/>
            <w:vAlign w:val="center"/>
          </w:tcPr>
          <w:p w14:paraId="320DCBEF" w14:textId="77777777" w:rsidR="00D55F31" w:rsidRPr="00C9657D" w:rsidRDefault="0024693B" w:rsidP="0002290A">
            <w:pPr>
              <w:jc w:val="right"/>
              <w:rPr>
                <w:rFonts w:ascii="Calibri" w:hAnsi="Calibri" w:cs="Calibri"/>
                <w:b/>
                <w:bCs/>
                <w:color w:val="000000"/>
                <w:sz w:val="20"/>
                <w:szCs w:val="20"/>
              </w:rPr>
            </w:pPr>
            <w:r w:rsidRPr="00C9657D">
              <w:rPr>
                <w:rFonts w:ascii="Calibri" w:hAnsi="Calibri" w:cs="Calibri"/>
                <w:b/>
                <w:bCs/>
                <w:color w:val="000000"/>
                <w:sz w:val="20"/>
                <w:szCs w:val="20"/>
              </w:rPr>
              <w:t>1 529</w:t>
            </w:r>
          </w:p>
        </w:tc>
      </w:tr>
      <w:tr w:rsidR="00C425F2" w14:paraId="665D96F5" w14:textId="77777777" w:rsidTr="003F5F38">
        <w:trPr>
          <w:trHeight w:val="227"/>
          <w:jc w:val="center"/>
        </w:trPr>
        <w:tc>
          <w:tcPr>
            <w:tcW w:w="2086" w:type="pct"/>
            <w:vMerge w:val="restart"/>
            <w:tcBorders>
              <w:top w:val="single" w:sz="4" w:space="0" w:color="auto"/>
            </w:tcBorders>
            <w:noWrap/>
            <w:vAlign w:val="center"/>
            <w:hideMark/>
          </w:tcPr>
          <w:p w14:paraId="21E0DD2E" w14:textId="77777777" w:rsidR="00D55F31" w:rsidRPr="00C9657D" w:rsidRDefault="0024693B" w:rsidP="0002290A">
            <w:pPr>
              <w:tabs>
                <w:tab w:val="left" w:pos="610"/>
              </w:tabs>
              <w:rPr>
                <w:rFonts w:ascii="Calibri" w:hAnsi="Calibri" w:cs="Calibri"/>
                <w:color w:val="000000"/>
                <w:sz w:val="20"/>
                <w:szCs w:val="20"/>
                <w:lang w:eastAsia="cs-CZ"/>
              </w:rPr>
            </w:pPr>
            <w:r w:rsidRPr="00C9657D">
              <w:rPr>
                <w:rFonts w:ascii="Calibri" w:hAnsi="Calibri" w:cs="Calibri"/>
                <w:color w:val="000000"/>
                <w:sz w:val="20"/>
                <w:szCs w:val="20"/>
                <w:lang w:eastAsia="cs-CZ"/>
              </w:rPr>
              <w:t>z toho např.</w:t>
            </w:r>
          </w:p>
          <w:p w14:paraId="4A91E72E" w14:textId="77777777" w:rsidR="00D55F31" w:rsidRPr="00C9657D" w:rsidRDefault="0024693B" w:rsidP="0002290A">
            <w:pPr>
              <w:tabs>
                <w:tab w:val="left" w:pos="610"/>
              </w:tabs>
              <w:rPr>
                <w:rFonts w:ascii="Calibri" w:hAnsi="Calibri" w:cs="Calibri"/>
                <w:i/>
                <w:color w:val="000000"/>
                <w:sz w:val="20"/>
                <w:szCs w:val="20"/>
                <w:lang w:eastAsia="cs-CZ"/>
              </w:rPr>
            </w:pPr>
            <w:r w:rsidRPr="00C9657D">
              <w:rPr>
                <w:rFonts w:ascii="Calibri" w:hAnsi="Calibri" w:cs="Calibri"/>
                <w:i/>
                <w:color w:val="000000"/>
                <w:sz w:val="20"/>
                <w:szCs w:val="20"/>
                <w:lang w:eastAsia="cs-CZ"/>
              </w:rPr>
              <w:t xml:space="preserve">             - tržby za vlastní výkony a zboží</w:t>
            </w:r>
          </w:p>
        </w:tc>
        <w:tc>
          <w:tcPr>
            <w:tcW w:w="1060" w:type="pct"/>
            <w:tcBorders>
              <w:top w:val="single" w:sz="4" w:space="0" w:color="auto"/>
            </w:tcBorders>
            <w:vAlign w:val="center"/>
          </w:tcPr>
          <w:p w14:paraId="5A5EB5C3" w14:textId="77777777" w:rsidR="00D55F31" w:rsidRPr="00C9657D" w:rsidRDefault="0024693B" w:rsidP="0002290A">
            <w:pPr>
              <w:ind w:right="64" w:hanging="11"/>
              <w:jc w:val="center"/>
              <w:rPr>
                <w:rFonts w:ascii="Calibri" w:hAnsi="Calibri" w:cs="Calibri"/>
                <w:i/>
                <w:color w:val="000000"/>
                <w:sz w:val="20"/>
                <w:szCs w:val="20"/>
              </w:rPr>
            </w:pPr>
            <w:r w:rsidRPr="00C9657D">
              <w:rPr>
                <w:rFonts w:ascii="Calibri" w:hAnsi="Calibri" w:cs="Calibri"/>
                <w:i/>
                <w:color w:val="000000"/>
                <w:sz w:val="20"/>
                <w:szCs w:val="20"/>
              </w:rPr>
              <w:t>SLL Janské Lázně</w:t>
            </w:r>
          </w:p>
        </w:tc>
        <w:tc>
          <w:tcPr>
            <w:tcW w:w="618" w:type="pct"/>
            <w:tcBorders>
              <w:top w:val="single" w:sz="4" w:space="0" w:color="auto"/>
            </w:tcBorders>
            <w:noWrap/>
            <w:vAlign w:val="center"/>
          </w:tcPr>
          <w:p w14:paraId="7E6FE2D0" w14:textId="77777777" w:rsidR="00D55F31" w:rsidRPr="00C9657D" w:rsidRDefault="0024693B" w:rsidP="0002290A">
            <w:pPr>
              <w:jc w:val="right"/>
              <w:rPr>
                <w:rFonts w:ascii="Calibri" w:hAnsi="Calibri"/>
                <w:i/>
                <w:sz w:val="20"/>
                <w:szCs w:val="20"/>
              </w:rPr>
            </w:pPr>
            <w:r w:rsidRPr="00C9657D">
              <w:rPr>
                <w:rFonts w:ascii="Calibri" w:hAnsi="Calibri" w:cs="Calibri"/>
                <w:i/>
                <w:sz w:val="20"/>
                <w:szCs w:val="20"/>
              </w:rPr>
              <w:t>151 379</w:t>
            </w:r>
          </w:p>
        </w:tc>
        <w:tc>
          <w:tcPr>
            <w:tcW w:w="618" w:type="pct"/>
            <w:tcBorders>
              <w:top w:val="single" w:sz="4" w:space="0" w:color="auto"/>
            </w:tcBorders>
            <w:noWrap/>
            <w:vAlign w:val="center"/>
          </w:tcPr>
          <w:p w14:paraId="255D31C3" w14:textId="77777777" w:rsidR="00D55F31" w:rsidRPr="00C9657D" w:rsidRDefault="0024693B" w:rsidP="0002290A">
            <w:pPr>
              <w:jc w:val="right"/>
              <w:rPr>
                <w:rFonts w:ascii="Calibri" w:hAnsi="Calibri"/>
                <w:i/>
                <w:sz w:val="20"/>
                <w:szCs w:val="20"/>
              </w:rPr>
            </w:pPr>
            <w:r w:rsidRPr="00C9657D">
              <w:rPr>
                <w:rFonts w:ascii="Calibri" w:hAnsi="Calibri" w:cs="Calibri"/>
                <w:i/>
                <w:sz w:val="20"/>
                <w:szCs w:val="20"/>
              </w:rPr>
              <w:t xml:space="preserve">211 081 </w:t>
            </w:r>
          </w:p>
        </w:tc>
        <w:tc>
          <w:tcPr>
            <w:tcW w:w="617" w:type="pct"/>
            <w:tcBorders>
              <w:top w:val="single" w:sz="4" w:space="0" w:color="auto"/>
            </w:tcBorders>
            <w:noWrap/>
            <w:vAlign w:val="center"/>
          </w:tcPr>
          <w:p w14:paraId="034AC469" w14:textId="77777777" w:rsidR="00D55F31" w:rsidRPr="00C9657D" w:rsidRDefault="0024693B" w:rsidP="0002290A">
            <w:pPr>
              <w:jc w:val="right"/>
              <w:rPr>
                <w:rFonts w:ascii="Calibri" w:hAnsi="Calibri"/>
                <w:i/>
                <w:sz w:val="20"/>
                <w:szCs w:val="20"/>
              </w:rPr>
            </w:pPr>
            <w:r w:rsidRPr="00C9657D">
              <w:rPr>
                <w:rFonts w:ascii="Calibri" w:hAnsi="Calibri" w:cs="Calibri"/>
                <w:i/>
                <w:sz w:val="20"/>
                <w:szCs w:val="20"/>
              </w:rPr>
              <w:t>234 389</w:t>
            </w:r>
          </w:p>
        </w:tc>
      </w:tr>
      <w:tr w:rsidR="00C425F2" w14:paraId="27B39EF4" w14:textId="77777777" w:rsidTr="003F5F38">
        <w:trPr>
          <w:trHeight w:val="227"/>
          <w:jc w:val="center"/>
        </w:trPr>
        <w:tc>
          <w:tcPr>
            <w:tcW w:w="2086" w:type="pct"/>
            <w:vMerge/>
            <w:noWrap/>
            <w:vAlign w:val="center"/>
          </w:tcPr>
          <w:p w14:paraId="2F75124B" w14:textId="77777777" w:rsidR="00D55F31" w:rsidRPr="00C9657D" w:rsidRDefault="00D55F31" w:rsidP="0002290A">
            <w:pPr>
              <w:tabs>
                <w:tab w:val="left" w:pos="610"/>
              </w:tabs>
              <w:rPr>
                <w:rFonts w:ascii="Calibri" w:hAnsi="Calibri" w:cs="Calibri"/>
                <w:i/>
                <w:color w:val="000000"/>
                <w:sz w:val="20"/>
                <w:szCs w:val="20"/>
                <w:lang w:eastAsia="cs-CZ"/>
              </w:rPr>
            </w:pPr>
          </w:p>
        </w:tc>
        <w:tc>
          <w:tcPr>
            <w:tcW w:w="1060" w:type="pct"/>
            <w:tcBorders>
              <w:bottom w:val="single" w:sz="4" w:space="0" w:color="auto"/>
            </w:tcBorders>
            <w:vAlign w:val="center"/>
          </w:tcPr>
          <w:p w14:paraId="394B9732" w14:textId="77777777" w:rsidR="00D55F31" w:rsidRPr="00C9657D" w:rsidRDefault="0024693B" w:rsidP="0002290A">
            <w:pPr>
              <w:ind w:right="64" w:hanging="11"/>
              <w:jc w:val="center"/>
              <w:rPr>
                <w:rFonts w:ascii="Calibri" w:hAnsi="Calibri" w:cs="Calibri"/>
                <w:i/>
                <w:color w:val="000000"/>
                <w:sz w:val="20"/>
                <w:szCs w:val="20"/>
              </w:rPr>
            </w:pPr>
            <w:r w:rsidRPr="00C9657D">
              <w:rPr>
                <w:rFonts w:ascii="Calibri" w:hAnsi="Calibri" w:cs="Calibri"/>
                <w:i/>
                <w:color w:val="000000"/>
                <w:sz w:val="20"/>
                <w:szCs w:val="20"/>
              </w:rPr>
              <w:t>HL Karlova Studánka</w:t>
            </w:r>
          </w:p>
        </w:tc>
        <w:tc>
          <w:tcPr>
            <w:tcW w:w="618" w:type="pct"/>
            <w:tcBorders>
              <w:bottom w:val="single" w:sz="4" w:space="0" w:color="auto"/>
            </w:tcBorders>
            <w:noWrap/>
            <w:vAlign w:val="center"/>
          </w:tcPr>
          <w:p w14:paraId="23F42BBD" w14:textId="77777777" w:rsidR="00D55F31" w:rsidRPr="00C9657D" w:rsidRDefault="0024693B" w:rsidP="0002290A">
            <w:pPr>
              <w:jc w:val="right"/>
              <w:rPr>
                <w:rFonts w:ascii="Calibri" w:hAnsi="Calibri"/>
                <w:i/>
                <w:sz w:val="20"/>
                <w:szCs w:val="20"/>
                <w:lang w:eastAsia="cs-CZ"/>
              </w:rPr>
            </w:pPr>
            <w:r w:rsidRPr="00C9657D">
              <w:rPr>
                <w:rFonts w:ascii="Calibri" w:hAnsi="Calibri"/>
                <w:i/>
                <w:sz w:val="20"/>
                <w:szCs w:val="20"/>
                <w:lang w:eastAsia="cs-CZ"/>
              </w:rPr>
              <w:t>85 975</w:t>
            </w:r>
          </w:p>
        </w:tc>
        <w:tc>
          <w:tcPr>
            <w:tcW w:w="618" w:type="pct"/>
            <w:tcBorders>
              <w:bottom w:val="single" w:sz="4" w:space="0" w:color="auto"/>
            </w:tcBorders>
            <w:noWrap/>
            <w:vAlign w:val="center"/>
          </w:tcPr>
          <w:p w14:paraId="693EAB94" w14:textId="77777777" w:rsidR="00D55F31" w:rsidRPr="00C9657D" w:rsidRDefault="0024693B" w:rsidP="0002290A">
            <w:pPr>
              <w:jc w:val="right"/>
              <w:rPr>
                <w:rFonts w:ascii="Calibri" w:hAnsi="Calibri"/>
                <w:i/>
                <w:sz w:val="20"/>
                <w:szCs w:val="20"/>
                <w:lang w:eastAsia="cs-CZ"/>
              </w:rPr>
            </w:pPr>
            <w:r w:rsidRPr="00C9657D">
              <w:rPr>
                <w:rFonts w:ascii="Calibri" w:hAnsi="Calibri"/>
                <w:i/>
                <w:sz w:val="20"/>
                <w:szCs w:val="20"/>
                <w:lang w:eastAsia="cs-CZ"/>
              </w:rPr>
              <w:t>98 429</w:t>
            </w:r>
          </w:p>
        </w:tc>
        <w:tc>
          <w:tcPr>
            <w:tcW w:w="617" w:type="pct"/>
            <w:tcBorders>
              <w:bottom w:val="single" w:sz="4" w:space="0" w:color="auto"/>
            </w:tcBorders>
            <w:noWrap/>
            <w:vAlign w:val="center"/>
          </w:tcPr>
          <w:p w14:paraId="24493644" w14:textId="77777777" w:rsidR="00D55F31" w:rsidRPr="00C9657D" w:rsidRDefault="0024693B" w:rsidP="0002290A">
            <w:pPr>
              <w:jc w:val="right"/>
              <w:rPr>
                <w:rFonts w:ascii="Calibri" w:hAnsi="Calibri"/>
                <w:i/>
                <w:color w:val="000000"/>
                <w:sz w:val="20"/>
                <w:szCs w:val="20"/>
                <w:lang w:eastAsia="cs-CZ"/>
              </w:rPr>
            </w:pPr>
            <w:r w:rsidRPr="00C9657D">
              <w:rPr>
                <w:rFonts w:ascii="Calibri" w:hAnsi="Calibri"/>
                <w:i/>
                <w:color w:val="000000"/>
                <w:sz w:val="20"/>
                <w:szCs w:val="20"/>
                <w:lang w:eastAsia="cs-CZ"/>
              </w:rPr>
              <w:t>112 311</w:t>
            </w:r>
          </w:p>
        </w:tc>
      </w:tr>
      <w:tr w:rsidR="00C425F2" w14:paraId="4F265A0C" w14:textId="77777777" w:rsidTr="003F5F38">
        <w:trPr>
          <w:trHeight w:val="227"/>
          <w:jc w:val="center"/>
        </w:trPr>
        <w:tc>
          <w:tcPr>
            <w:tcW w:w="2086" w:type="pct"/>
            <w:vMerge/>
            <w:noWrap/>
            <w:vAlign w:val="center"/>
          </w:tcPr>
          <w:p w14:paraId="30E5BEB9" w14:textId="77777777" w:rsidR="00D55F31" w:rsidRPr="00C9657D" w:rsidRDefault="00D55F31" w:rsidP="0002290A">
            <w:pPr>
              <w:tabs>
                <w:tab w:val="left" w:pos="610"/>
              </w:tabs>
              <w:rPr>
                <w:rFonts w:ascii="Calibri" w:hAnsi="Calibri" w:cs="Calibri"/>
                <w:i/>
                <w:color w:val="000000"/>
                <w:sz w:val="20"/>
                <w:szCs w:val="20"/>
                <w:lang w:eastAsia="cs-CZ"/>
              </w:rPr>
            </w:pPr>
          </w:p>
        </w:tc>
        <w:tc>
          <w:tcPr>
            <w:tcW w:w="1060" w:type="pct"/>
            <w:tcBorders>
              <w:top w:val="single" w:sz="4" w:space="0" w:color="auto"/>
              <w:bottom w:val="single" w:sz="4" w:space="0" w:color="auto"/>
            </w:tcBorders>
            <w:vAlign w:val="center"/>
          </w:tcPr>
          <w:p w14:paraId="78D28F01" w14:textId="77777777" w:rsidR="00D55F31" w:rsidRPr="00C9657D" w:rsidRDefault="0024693B" w:rsidP="0002290A">
            <w:pPr>
              <w:ind w:right="64" w:hanging="11"/>
              <w:jc w:val="center"/>
              <w:rPr>
                <w:rFonts w:ascii="Calibri" w:hAnsi="Calibri" w:cs="Calibri"/>
                <w:i/>
                <w:color w:val="000000"/>
                <w:sz w:val="20"/>
                <w:szCs w:val="20"/>
              </w:rPr>
            </w:pPr>
            <w:r w:rsidRPr="00C9657D">
              <w:rPr>
                <w:rFonts w:ascii="Calibri" w:hAnsi="Calibri" w:cs="Calibri"/>
                <w:i/>
                <w:color w:val="000000"/>
                <w:sz w:val="20"/>
                <w:szCs w:val="20"/>
              </w:rPr>
              <w:t>SLL Bludov</w:t>
            </w:r>
          </w:p>
        </w:tc>
        <w:tc>
          <w:tcPr>
            <w:tcW w:w="618" w:type="pct"/>
            <w:tcBorders>
              <w:top w:val="single" w:sz="4" w:space="0" w:color="auto"/>
              <w:bottom w:val="single" w:sz="4" w:space="0" w:color="auto"/>
            </w:tcBorders>
            <w:noWrap/>
            <w:vAlign w:val="center"/>
          </w:tcPr>
          <w:p w14:paraId="40C5045C" w14:textId="77777777" w:rsidR="00D55F31" w:rsidRPr="00C9657D" w:rsidRDefault="0024693B" w:rsidP="0002290A">
            <w:pPr>
              <w:jc w:val="right"/>
              <w:rPr>
                <w:rFonts w:ascii="Calibri" w:hAnsi="Calibri"/>
                <w:i/>
                <w:sz w:val="20"/>
                <w:szCs w:val="20"/>
              </w:rPr>
            </w:pPr>
            <w:r w:rsidRPr="00C9657D">
              <w:rPr>
                <w:rFonts w:ascii="Calibri" w:hAnsi="Calibri" w:cs="Calibri"/>
                <w:i/>
                <w:sz w:val="20"/>
                <w:szCs w:val="20"/>
              </w:rPr>
              <w:t>20 696</w:t>
            </w:r>
          </w:p>
        </w:tc>
        <w:tc>
          <w:tcPr>
            <w:tcW w:w="618" w:type="pct"/>
            <w:tcBorders>
              <w:top w:val="single" w:sz="4" w:space="0" w:color="auto"/>
              <w:bottom w:val="single" w:sz="4" w:space="0" w:color="auto"/>
            </w:tcBorders>
            <w:noWrap/>
            <w:vAlign w:val="center"/>
          </w:tcPr>
          <w:p w14:paraId="614525F2" w14:textId="77777777" w:rsidR="00D55F31" w:rsidRPr="00C9657D" w:rsidRDefault="00CF0C6F" w:rsidP="0002290A">
            <w:pPr>
              <w:jc w:val="right"/>
              <w:rPr>
                <w:rFonts w:ascii="Calibri" w:hAnsi="Calibri"/>
                <w:i/>
                <w:sz w:val="20"/>
                <w:szCs w:val="20"/>
              </w:rPr>
            </w:pPr>
            <w:r>
              <w:rPr>
                <w:rFonts w:ascii="Calibri" w:hAnsi="Calibri" w:cs="Calibri"/>
                <w:i/>
                <w:sz w:val="20"/>
                <w:szCs w:val="20"/>
              </w:rPr>
              <w:t>28 435</w:t>
            </w:r>
          </w:p>
        </w:tc>
        <w:tc>
          <w:tcPr>
            <w:tcW w:w="617" w:type="pct"/>
            <w:tcBorders>
              <w:top w:val="single" w:sz="4" w:space="0" w:color="auto"/>
              <w:bottom w:val="single" w:sz="4" w:space="0" w:color="auto"/>
            </w:tcBorders>
            <w:noWrap/>
            <w:vAlign w:val="center"/>
          </w:tcPr>
          <w:p w14:paraId="34CD9DAA" w14:textId="77777777" w:rsidR="00D55F31" w:rsidRPr="00C9657D" w:rsidRDefault="0024693B" w:rsidP="0002290A">
            <w:pPr>
              <w:jc w:val="right"/>
              <w:rPr>
                <w:rFonts w:ascii="Calibri" w:hAnsi="Calibri"/>
                <w:i/>
                <w:sz w:val="20"/>
                <w:szCs w:val="20"/>
              </w:rPr>
            </w:pPr>
            <w:r w:rsidRPr="00C9657D">
              <w:rPr>
                <w:rFonts w:ascii="Calibri" w:hAnsi="Calibri" w:cs="Calibri"/>
                <w:i/>
                <w:sz w:val="20"/>
                <w:szCs w:val="20"/>
              </w:rPr>
              <w:t>36 752</w:t>
            </w:r>
          </w:p>
        </w:tc>
      </w:tr>
      <w:tr w:rsidR="00C425F2" w14:paraId="4089DDF0" w14:textId="77777777" w:rsidTr="003F5F38">
        <w:trPr>
          <w:trHeight w:val="227"/>
          <w:jc w:val="center"/>
        </w:trPr>
        <w:tc>
          <w:tcPr>
            <w:tcW w:w="2086" w:type="pct"/>
            <w:vMerge/>
            <w:tcBorders>
              <w:bottom w:val="single" w:sz="4" w:space="0" w:color="auto"/>
            </w:tcBorders>
            <w:noWrap/>
            <w:vAlign w:val="center"/>
          </w:tcPr>
          <w:p w14:paraId="0D596FA8" w14:textId="77777777" w:rsidR="00D55F31" w:rsidRPr="00C9657D" w:rsidRDefault="00D55F31" w:rsidP="0002290A">
            <w:pPr>
              <w:tabs>
                <w:tab w:val="left" w:pos="610"/>
              </w:tabs>
              <w:rPr>
                <w:rFonts w:ascii="Calibri" w:hAnsi="Calibri" w:cs="Calibri"/>
                <w:i/>
                <w:color w:val="000000"/>
                <w:sz w:val="20"/>
                <w:szCs w:val="20"/>
                <w:lang w:eastAsia="cs-CZ"/>
              </w:rPr>
            </w:pPr>
          </w:p>
        </w:tc>
        <w:tc>
          <w:tcPr>
            <w:tcW w:w="1060" w:type="pct"/>
            <w:tcBorders>
              <w:top w:val="single" w:sz="4" w:space="0" w:color="auto"/>
              <w:bottom w:val="single" w:sz="4" w:space="0" w:color="auto"/>
            </w:tcBorders>
            <w:vAlign w:val="center"/>
          </w:tcPr>
          <w:p w14:paraId="3B1D25B9" w14:textId="59B545E3" w:rsidR="00D55F31" w:rsidRPr="00C9657D" w:rsidRDefault="0024693B" w:rsidP="0002290A">
            <w:pPr>
              <w:ind w:right="64" w:hanging="11"/>
              <w:jc w:val="center"/>
              <w:rPr>
                <w:rFonts w:ascii="Calibri" w:hAnsi="Calibri" w:cs="Calibri"/>
                <w:i/>
                <w:color w:val="000000"/>
                <w:sz w:val="20"/>
                <w:szCs w:val="20"/>
              </w:rPr>
            </w:pPr>
            <w:r w:rsidRPr="00C9657D">
              <w:rPr>
                <w:rFonts w:ascii="Calibri" w:hAnsi="Calibri" w:cs="Calibri"/>
                <w:i/>
                <w:color w:val="000000"/>
                <w:sz w:val="20"/>
                <w:szCs w:val="20"/>
              </w:rPr>
              <w:t>BALMED</w:t>
            </w:r>
            <w:r w:rsidR="003D2117">
              <w:rPr>
                <w:rFonts w:ascii="Calibri" w:hAnsi="Calibri" w:cs="Calibri"/>
                <w:i/>
                <w:color w:val="000000"/>
                <w:sz w:val="20"/>
                <w:szCs w:val="20"/>
              </w:rPr>
              <w:t xml:space="preserve"> Praha</w:t>
            </w:r>
          </w:p>
        </w:tc>
        <w:tc>
          <w:tcPr>
            <w:tcW w:w="618" w:type="pct"/>
            <w:tcBorders>
              <w:top w:val="single" w:sz="4" w:space="0" w:color="auto"/>
              <w:bottom w:val="single" w:sz="4" w:space="0" w:color="auto"/>
            </w:tcBorders>
            <w:noWrap/>
            <w:vAlign w:val="center"/>
          </w:tcPr>
          <w:p w14:paraId="683CEBB1" w14:textId="77777777" w:rsidR="00D55F31" w:rsidRPr="00C9657D" w:rsidRDefault="0024693B" w:rsidP="0002290A">
            <w:pPr>
              <w:jc w:val="right"/>
              <w:rPr>
                <w:rFonts w:ascii="Calibri" w:hAnsi="Calibri"/>
                <w:i/>
                <w:iCs/>
                <w:color w:val="000000"/>
                <w:sz w:val="20"/>
                <w:szCs w:val="20"/>
              </w:rPr>
            </w:pPr>
            <w:r w:rsidRPr="00C9657D">
              <w:rPr>
                <w:rFonts w:ascii="Calibri" w:hAnsi="Calibri"/>
                <w:i/>
                <w:iCs/>
                <w:color w:val="000000"/>
                <w:sz w:val="20"/>
                <w:szCs w:val="20"/>
              </w:rPr>
              <w:t>1 056</w:t>
            </w:r>
          </w:p>
        </w:tc>
        <w:tc>
          <w:tcPr>
            <w:tcW w:w="618" w:type="pct"/>
            <w:tcBorders>
              <w:top w:val="single" w:sz="4" w:space="0" w:color="auto"/>
              <w:bottom w:val="single" w:sz="4" w:space="0" w:color="auto"/>
            </w:tcBorders>
            <w:noWrap/>
            <w:vAlign w:val="center"/>
          </w:tcPr>
          <w:p w14:paraId="042ADC11" w14:textId="77777777" w:rsidR="00D55F31" w:rsidRPr="00C9657D" w:rsidRDefault="0024693B" w:rsidP="0002290A">
            <w:pPr>
              <w:jc w:val="right"/>
              <w:rPr>
                <w:rFonts w:ascii="Calibri" w:hAnsi="Calibri"/>
                <w:i/>
                <w:iCs/>
                <w:color w:val="000000"/>
                <w:sz w:val="20"/>
                <w:szCs w:val="20"/>
              </w:rPr>
            </w:pPr>
            <w:r w:rsidRPr="00C9657D">
              <w:rPr>
                <w:rFonts w:ascii="Calibri" w:hAnsi="Calibri"/>
                <w:i/>
                <w:iCs/>
                <w:color w:val="000000"/>
                <w:sz w:val="20"/>
                <w:szCs w:val="20"/>
              </w:rPr>
              <w:t>1 222</w:t>
            </w:r>
          </w:p>
        </w:tc>
        <w:tc>
          <w:tcPr>
            <w:tcW w:w="617" w:type="pct"/>
            <w:tcBorders>
              <w:top w:val="single" w:sz="4" w:space="0" w:color="auto"/>
              <w:bottom w:val="single" w:sz="4" w:space="0" w:color="auto"/>
            </w:tcBorders>
            <w:noWrap/>
            <w:vAlign w:val="center"/>
          </w:tcPr>
          <w:p w14:paraId="7B4927D4" w14:textId="77777777" w:rsidR="00D55F31" w:rsidRPr="00C9657D" w:rsidRDefault="0024693B" w:rsidP="0002290A">
            <w:pPr>
              <w:jc w:val="right"/>
              <w:rPr>
                <w:rFonts w:ascii="Calibri" w:hAnsi="Calibri"/>
                <w:i/>
                <w:iCs/>
                <w:color w:val="000000"/>
                <w:sz w:val="20"/>
                <w:szCs w:val="20"/>
              </w:rPr>
            </w:pPr>
            <w:r w:rsidRPr="00C9657D">
              <w:rPr>
                <w:rFonts w:ascii="Calibri" w:hAnsi="Calibri"/>
                <w:i/>
                <w:iCs/>
                <w:color w:val="000000"/>
                <w:sz w:val="20"/>
                <w:szCs w:val="20"/>
              </w:rPr>
              <w:t>958</w:t>
            </w:r>
          </w:p>
        </w:tc>
      </w:tr>
      <w:tr w:rsidR="00C425F2" w14:paraId="3A861911" w14:textId="77777777" w:rsidTr="003F5F38">
        <w:trPr>
          <w:trHeight w:val="227"/>
          <w:jc w:val="center"/>
        </w:trPr>
        <w:tc>
          <w:tcPr>
            <w:tcW w:w="2086" w:type="pct"/>
            <w:vMerge w:val="restart"/>
            <w:tcBorders>
              <w:top w:val="single" w:sz="4" w:space="0" w:color="auto"/>
              <w:right w:val="single" w:sz="4" w:space="0" w:color="auto"/>
            </w:tcBorders>
            <w:noWrap/>
            <w:vAlign w:val="center"/>
          </w:tcPr>
          <w:p w14:paraId="041405A6" w14:textId="77777777" w:rsidR="00D55F31" w:rsidRPr="00C9657D" w:rsidRDefault="0024693B" w:rsidP="0002290A">
            <w:pPr>
              <w:tabs>
                <w:tab w:val="left" w:pos="610"/>
              </w:tabs>
              <w:rPr>
                <w:rFonts w:ascii="Calibri" w:hAnsi="Calibri" w:cs="Calibri"/>
                <w:b/>
                <w:i/>
                <w:color w:val="000000"/>
                <w:sz w:val="20"/>
                <w:szCs w:val="20"/>
                <w:lang w:eastAsia="cs-CZ"/>
              </w:rPr>
            </w:pPr>
            <w:r w:rsidRPr="00C9657D">
              <w:rPr>
                <w:rFonts w:ascii="Calibri" w:hAnsi="Calibri" w:cs="Calibri"/>
                <w:b/>
                <w:i/>
                <w:color w:val="000000"/>
                <w:sz w:val="20"/>
                <w:szCs w:val="20"/>
                <w:lang w:eastAsia="cs-CZ"/>
              </w:rPr>
              <w:t xml:space="preserve">                         z toho z poskytnutých </w:t>
            </w:r>
          </w:p>
          <w:p w14:paraId="0F297365" w14:textId="77777777" w:rsidR="00D55F31" w:rsidRPr="00C9657D" w:rsidRDefault="0024693B" w:rsidP="0002290A">
            <w:pPr>
              <w:tabs>
                <w:tab w:val="left" w:pos="610"/>
              </w:tabs>
              <w:rPr>
                <w:rFonts w:ascii="Calibri" w:hAnsi="Calibri" w:cs="Calibri"/>
                <w:b/>
                <w:i/>
                <w:color w:val="000000"/>
                <w:sz w:val="20"/>
                <w:szCs w:val="20"/>
                <w:lang w:eastAsia="cs-CZ"/>
              </w:rPr>
            </w:pPr>
            <w:r w:rsidRPr="00C9657D">
              <w:rPr>
                <w:rFonts w:ascii="Calibri" w:hAnsi="Calibri" w:cs="Calibri"/>
                <w:b/>
                <w:i/>
                <w:color w:val="000000"/>
                <w:sz w:val="20"/>
                <w:szCs w:val="20"/>
                <w:lang w:eastAsia="cs-CZ"/>
              </w:rPr>
              <w:t xml:space="preserve">                                     zdravotních služeb</w:t>
            </w:r>
          </w:p>
        </w:tc>
        <w:tc>
          <w:tcPr>
            <w:tcW w:w="1060" w:type="pct"/>
            <w:tcBorders>
              <w:top w:val="single" w:sz="4" w:space="0" w:color="auto"/>
              <w:left w:val="single" w:sz="4" w:space="0" w:color="auto"/>
              <w:bottom w:val="single" w:sz="4" w:space="0" w:color="auto"/>
              <w:right w:val="single" w:sz="4" w:space="0" w:color="auto"/>
            </w:tcBorders>
            <w:vAlign w:val="center"/>
          </w:tcPr>
          <w:p w14:paraId="443CA51C" w14:textId="77777777" w:rsidR="00D55F31" w:rsidRPr="00C9657D" w:rsidRDefault="0024693B" w:rsidP="0002290A">
            <w:pPr>
              <w:ind w:right="64" w:hanging="11"/>
              <w:jc w:val="center"/>
              <w:rPr>
                <w:rFonts w:ascii="Calibri" w:hAnsi="Calibri" w:cs="Calibri"/>
                <w:b/>
                <w:color w:val="000000"/>
                <w:sz w:val="20"/>
                <w:szCs w:val="20"/>
              </w:rPr>
            </w:pPr>
            <w:r w:rsidRPr="00C9657D">
              <w:rPr>
                <w:rFonts w:ascii="Calibri" w:hAnsi="Calibri" w:cs="Calibri"/>
                <w:b/>
                <w:color w:val="000000"/>
                <w:sz w:val="20"/>
                <w:szCs w:val="20"/>
              </w:rPr>
              <w:t>SLL Janské Lázně</w:t>
            </w:r>
          </w:p>
        </w:tc>
        <w:tc>
          <w:tcPr>
            <w:tcW w:w="618" w:type="pct"/>
            <w:tcBorders>
              <w:top w:val="single" w:sz="4" w:space="0" w:color="auto"/>
              <w:left w:val="single" w:sz="4" w:space="0" w:color="auto"/>
              <w:bottom w:val="single" w:sz="4" w:space="0" w:color="auto"/>
              <w:right w:val="single" w:sz="4" w:space="0" w:color="auto"/>
            </w:tcBorders>
            <w:noWrap/>
            <w:vAlign w:val="center"/>
          </w:tcPr>
          <w:p w14:paraId="6596FE95" w14:textId="77777777" w:rsidR="00D55F31" w:rsidRPr="00C9657D" w:rsidRDefault="0024693B" w:rsidP="0002290A">
            <w:pPr>
              <w:jc w:val="right"/>
              <w:rPr>
                <w:rFonts w:asciiTheme="minorHAnsi" w:hAnsiTheme="minorHAnsi" w:cs="Calibri"/>
                <w:b/>
                <w:sz w:val="20"/>
                <w:szCs w:val="20"/>
              </w:rPr>
            </w:pPr>
            <w:r w:rsidRPr="00C9657D">
              <w:rPr>
                <w:rFonts w:asciiTheme="minorHAnsi" w:hAnsiTheme="minorHAnsi" w:cs="Calibri"/>
                <w:b/>
                <w:sz w:val="20"/>
                <w:szCs w:val="20"/>
              </w:rPr>
              <w:t>151 379</w:t>
            </w:r>
          </w:p>
        </w:tc>
        <w:tc>
          <w:tcPr>
            <w:tcW w:w="618" w:type="pct"/>
            <w:tcBorders>
              <w:top w:val="single" w:sz="4" w:space="0" w:color="auto"/>
              <w:left w:val="single" w:sz="4" w:space="0" w:color="auto"/>
              <w:bottom w:val="single" w:sz="4" w:space="0" w:color="auto"/>
              <w:right w:val="single" w:sz="4" w:space="0" w:color="auto"/>
            </w:tcBorders>
            <w:noWrap/>
            <w:vAlign w:val="center"/>
          </w:tcPr>
          <w:p w14:paraId="6CB18B0B" w14:textId="77777777" w:rsidR="00D55F31" w:rsidRPr="00C9657D" w:rsidRDefault="0024693B" w:rsidP="0002290A">
            <w:pPr>
              <w:jc w:val="right"/>
              <w:rPr>
                <w:rFonts w:asciiTheme="minorHAnsi" w:hAnsiTheme="minorHAnsi" w:cs="Calibri"/>
                <w:b/>
                <w:sz w:val="20"/>
                <w:szCs w:val="20"/>
              </w:rPr>
            </w:pPr>
            <w:r w:rsidRPr="00C9657D">
              <w:rPr>
                <w:rFonts w:asciiTheme="minorHAnsi" w:hAnsiTheme="minorHAnsi" w:cs="Calibri"/>
                <w:b/>
                <w:sz w:val="20"/>
                <w:szCs w:val="20"/>
              </w:rPr>
              <w:t xml:space="preserve">210 </w:t>
            </w:r>
            <w:r w:rsidR="00CF0C6F" w:rsidRPr="00C9657D">
              <w:rPr>
                <w:rFonts w:asciiTheme="minorHAnsi" w:hAnsiTheme="minorHAnsi" w:cs="Calibri"/>
                <w:b/>
                <w:sz w:val="20"/>
                <w:szCs w:val="20"/>
              </w:rPr>
              <w:t>12</w:t>
            </w:r>
            <w:r w:rsidR="00CF0C6F">
              <w:rPr>
                <w:rFonts w:asciiTheme="minorHAnsi" w:hAnsiTheme="minorHAnsi" w:cs="Calibri"/>
                <w:b/>
                <w:sz w:val="20"/>
                <w:szCs w:val="20"/>
              </w:rPr>
              <w:t>1</w:t>
            </w:r>
          </w:p>
        </w:tc>
        <w:tc>
          <w:tcPr>
            <w:tcW w:w="617" w:type="pct"/>
            <w:tcBorders>
              <w:top w:val="single" w:sz="4" w:space="0" w:color="auto"/>
              <w:left w:val="single" w:sz="4" w:space="0" w:color="auto"/>
              <w:bottom w:val="single" w:sz="4" w:space="0" w:color="auto"/>
            </w:tcBorders>
            <w:noWrap/>
            <w:vAlign w:val="center"/>
          </w:tcPr>
          <w:p w14:paraId="72301AEE" w14:textId="77777777" w:rsidR="00D55F31" w:rsidRPr="00C9657D" w:rsidRDefault="0024693B" w:rsidP="0002290A">
            <w:pPr>
              <w:jc w:val="right"/>
              <w:rPr>
                <w:rFonts w:asciiTheme="minorHAnsi" w:hAnsiTheme="minorHAnsi" w:cs="Calibri"/>
                <w:b/>
                <w:sz w:val="20"/>
                <w:szCs w:val="20"/>
              </w:rPr>
            </w:pPr>
            <w:r w:rsidRPr="00C9657D">
              <w:rPr>
                <w:rFonts w:asciiTheme="minorHAnsi" w:hAnsiTheme="minorHAnsi" w:cs="Calibri"/>
                <w:b/>
                <w:sz w:val="20"/>
                <w:szCs w:val="20"/>
              </w:rPr>
              <w:t xml:space="preserve">233 </w:t>
            </w:r>
            <w:r w:rsidR="00CF0C6F" w:rsidRPr="00C9657D">
              <w:rPr>
                <w:rFonts w:asciiTheme="minorHAnsi" w:hAnsiTheme="minorHAnsi" w:cs="Calibri"/>
                <w:b/>
                <w:sz w:val="20"/>
                <w:szCs w:val="20"/>
              </w:rPr>
              <w:t>04</w:t>
            </w:r>
            <w:r w:rsidR="00CF0C6F">
              <w:rPr>
                <w:rFonts w:asciiTheme="minorHAnsi" w:hAnsiTheme="minorHAnsi" w:cs="Calibri"/>
                <w:b/>
                <w:sz w:val="20"/>
                <w:szCs w:val="20"/>
              </w:rPr>
              <w:t>1</w:t>
            </w:r>
          </w:p>
        </w:tc>
      </w:tr>
      <w:tr w:rsidR="00C425F2" w14:paraId="6B0A306A" w14:textId="77777777" w:rsidTr="003F5F38">
        <w:trPr>
          <w:trHeight w:val="227"/>
          <w:jc w:val="center"/>
        </w:trPr>
        <w:tc>
          <w:tcPr>
            <w:tcW w:w="2086" w:type="pct"/>
            <w:vMerge/>
            <w:tcBorders>
              <w:right w:val="single" w:sz="4" w:space="0" w:color="auto"/>
            </w:tcBorders>
            <w:noWrap/>
            <w:vAlign w:val="center"/>
          </w:tcPr>
          <w:p w14:paraId="457C7DB6" w14:textId="77777777" w:rsidR="00D55F31" w:rsidRPr="00C9657D" w:rsidRDefault="00D55F31" w:rsidP="0002290A">
            <w:pPr>
              <w:tabs>
                <w:tab w:val="left" w:pos="610"/>
              </w:tabs>
              <w:rPr>
                <w:rFonts w:ascii="Calibri" w:hAnsi="Calibri" w:cs="Calibri"/>
                <w:b/>
                <w:i/>
                <w:color w:val="000000"/>
                <w:sz w:val="20"/>
                <w:szCs w:val="20"/>
                <w:lang w:eastAsia="cs-CZ"/>
              </w:rPr>
            </w:pPr>
          </w:p>
        </w:tc>
        <w:tc>
          <w:tcPr>
            <w:tcW w:w="1060" w:type="pct"/>
            <w:tcBorders>
              <w:top w:val="single" w:sz="4" w:space="0" w:color="auto"/>
              <w:left w:val="single" w:sz="4" w:space="0" w:color="auto"/>
              <w:bottom w:val="single" w:sz="4" w:space="0" w:color="auto"/>
              <w:right w:val="single" w:sz="4" w:space="0" w:color="auto"/>
            </w:tcBorders>
            <w:vAlign w:val="center"/>
          </w:tcPr>
          <w:p w14:paraId="53EF9578" w14:textId="77777777" w:rsidR="00D55F31" w:rsidRPr="00C9657D" w:rsidRDefault="0024693B" w:rsidP="0002290A">
            <w:pPr>
              <w:ind w:right="64" w:hanging="11"/>
              <w:jc w:val="center"/>
              <w:rPr>
                <w:rFonts w:ascii="Calibri" w:hAnsi="Calibri" w:cs="Calibri"/>
                <w:b/>
                <w:color w:val="000000"/>
                <w:sz w:val="20"/>
                <w:szCs w:val="20"/>
              </w:rPr>
            </w:pPr>
            <w:r w:rsidRPr="00C9657D">
              <w:rPr>
                <w:rFonts w:ascii="Calibri" w:hAnsi="Calibri" w:cs="Calibri"/>
                <w:b/>
                <w:color w:val="000000"/>
                <w:sz w:val="20"/>
                <w:szCs w:val="20"/>
              </w:rPr>
              <w:t>HL Karlova Studánka</w:t>
            </w:r>
          </w:p>
        </w:tc>
        <w:tc>
          <w:tcPr>
            <w:tcW w:w="618" w:type="pct"/>
            <w:tcBorders>
              <w:top w:val="single" w:sz="4" w:space="0" w:color="auto"/>
              <w:left w:val="single" w:sz="4" w:space="0" w:color="auto"/>
              <w:bottom w:val="single" w:sz="4" w:space="0" w:color="auto"/>
              <w:right w:val="single" w:sz="4" w:space="0" w:color="auto"/>
            </w:tcBorders>
            <w:noWrap/>
            <w:vAlign w:val="center"/>
          </w:tcPr>
          <w:p w14:paraId="2945FB14" w14:textId="77777777" w:rsidR="00D55F31" w:rsidRPr="00C9657D" w:rsidRDefault="0024693B" w:rsidP="0002290A">
            <w:pPr>
              <w:jc w:val="right"/>
              <w:rPr>
                <w:rFonts w:asciiTheme="minorHAnsi" w:hAnsiTheme="minorHAnsi" w:cs="Calibri"/>
                <w:b/>
                <w:bCs/>
                <w:sz w:val="20"/>
                <w:szCs w:val="20"/>
                <w:lang w:eastAsia="cs-CZ"/>
              </w:rPr>
            </w:pPr>
            <w:r w:rsidRPr="00C9657D">
              <w:rPr>
                <w:rFonts w:asciiTheme="minorHAnsi" w:hAnsiTheme="minorHAnsi" w:cs="Calibri"/>
                <w:b/>
                <w:bCs/>
                <w:sz w:val="20"/>
                <w:szCs w:val="20"/>
                <w:lang w:eastAsia="cs-CZ"/>
              </w:rPr>
              <w:t>69 971</w:t>
            </w:r>
          </w:p>
        </w:tc>
        <w:tc>
          <w:tcPr>
            <w:tcW w:w="618" w:type="pct"/>
            <w:tcBorders>
              <w:top w:val="single" w:sz="4" w:space="0" w:color="auto"/>
              <w:left w:val="single" w:sz="4" w:space="0" w:color="auto"/>
              <w:bottom w:val="single" w:sz="4" w:space="0" w:color="auto"/>
              <w:right w:val="single" w:sz="4" w:space="0" w:color="auto"/>
            </w:tcBorders>
            <w:noWrap/>
            <w:vAlign w:val="center"/>
          </w:tcPr>
          <w:p w14:paraId="7CBE09F9" w14:textId="77777777" w:rsidR="00D55F31" w:rsidRPr="00C9657D" w:rsidRDefault="0024693B" w:rsidP="0002290A">
            <w:pPr>
              <w:jc w:val="right"/>
              <w:rPr>
                <w:rFonts w:asciiTheme="minorHAnsi" w:hAnsiTheme="minorHAnsi" w:cs="Calibri"/>
                <w:b/>
                <w:bCs/>
                <w:sz w:val="20"/>
                <w:szCs w:val="20"/>
                <w:lang w:eastAsia="cs-CZ"/>
              </w:rPr>
            </w:pPr>
            <w:r w:rsidRPr="00C9657D">
              <w:rPr>
                <w:rFonts w:asciiTheme="minorHAnsi" w:hAnsiTheme="minorHAnsi" w:cs="Calibri"/>
                <w:b/>
                <w:bCs/>
                <w:sz w:val="20"/>
                <w:szCs w:val="20"/>
                <w:lang w:eastAsia="cs-CZ"/>
              </w:rPr>
              <w:t>81 283</w:t>
            </w:r>
          </w:p>
        </w:tc>
        <w:tc>
          <w:tcPr>
            <w:tcW w:w="617" w:type="pct"/>
            <w:tcBorders>
              <w:top w:val="single" w:sz="4" w:space="0" w:color="auto"/>
              <w:left w:val="single" w:sz="4" w:space="0" w:color="auto"/>
              <w:bottom w:val="single" w:sz="4" w:space="0" w:color="auto"/>
            </w:tcBorders>
            <w:noWrap/>
            <w:vAlign w:val="center"/>
          </w:tcPr>
          <w:p w14:paraId="2191A240" w14:textId="77777777" w:rsidR="00D55F31" w:rsidRPr="00C9657D" w:rsidRDefault="0024693B" w:rsidP="0002290A">
            <w:pPr>
              <w:jc w:val="right"/>
              <w:rPr>
                <w:rFonts w:asciiTheme="minorHAnsi" w:hAnsiTheme="minorHAnsi" w:cs="Calibri"/>
                <w:b/>
                <w:bCs/>
                <w:color w:val="000000"/>
                <w:sz w:val="20"/>
                <w:szCs w:val="20"/>
                <w:lang w:eastAsia="cs-CZ"/>
              </w:rPr>
            </w:pPr>
            <w:r w:rsidRPr="00C9657D">
              <w:rPr>
                <w:rFonts w:asciiTheme="minorHAnsi" w:hAnsiTheme="minorHAnsi" w:cs="Calibri"/>
                <w:b/>
                <w:bCs/>
                <w:color w:val="000000"/>
                <w:sz w:val="20"/>
                <w:szCs w:val="20"/>
                <w:lang w:eastAsia="cs-CZ"/>
              </w:rPr>
              <w:t>98 645</w:t>
            </w:r>
          </w:p>
        </w:tc>
      </w:tr>
      <w:tr w:rsidR="00C425F2" w14:paraId="576A7365" w14:textId="77777777" w:rsidTr="003F5F38">
        <w:trPr>
          <w:trHeight w:val="227"/>
          <w:jc w:val="center"/>
        </w:trPr>
        <w:tc>
          <w:tcPr>
            <w:tcW w:w="2086" w:type="pct"/>
            <w:vMerge/>
            <w:tcBorders>
              <w:bottom w:val="single" w:sz="4" w:space="0" w:color="auto"/>
              <w:right w:val="single" w:sz="4" w:space="0" w:color="auto"/>
            </w:tcBorders>
            <w:noWrap/>
            <w:vAlign w:val="center"/>
          </w:tcPr>
          <w:p w14:paraId="00F03112" w14:textId="77777777" w:rsidR="00D55F31" w:rsidRPr="00C9657D" w:rsidRDefault="00D55F31" w:rsidP="0002290A">
            <w:pPr>
              <w:tabs>
                <w:tab w:val="left" w:pos="610"/>
              </w:tabs>
              <w:rPr>
                <w:rFonts w:ascii="Calibri" w:hAnsi="Calibri" w:cs="Calibri"/>
                <w:b/>
                <w:i/>
                <w:color w:val="000000"/>
                <w:sz w:val="20"/>
                <w:szCs w:val="20"/>
                <w:lang w:eastAsia="cs-CZ"/>
              </w:rPr>
            </w:pPr>
          </w:p>
        </w:tc>
        <w:tc>
          <w:tcPr>
            <w:tcW w:w="1060" w:type="pct"/>
            <w:tcBorders>
              <w:top w:val="single" w:sz="4" w:space="0" w:color="auto"/>
              <w:left w:val="single" w:sz="4" w:space="0" w:color="auto"/>
              <w:bottom w:val="single" w:sz="4" w:space="0" w:color="auto"/>
              <w:right w:val="single" w:sz="4" w:space="0" w:color="auto"/>
            </w:tcBorders>
            <w:vAlign w:val="center"/>
          </w:tcPr>
          <w:p w14:paraId="19973C02" w14:textId="77777777" w:rsidR="00D55F31" w:rsidRPr="00C9657D" w:rsidRDefault="0024693B" w:rsidP="0002290A">
            <w:pPr>
              <w:ind w:right="64" w:hanging="11"/>
              <w:jc w:val="center"/>
              <w:rPr>
                <w:rFonts w:ascii="Calibri" w:hAnsi="Calibri" w:cs="Calibri"/>
                <w:b/>
                <w:i/>
                <w:color w:val="000000"/>
                <w:sz w:val="20"/>
                <w:szCs w:val="20"/>
              </w:rPr>
            </w:pPr>
            <w:r w:rsidRPr="00C9657D">
              <w:rPr>
                <w:rFonts w:ascii="Calibri" w:hAnsi="Calibri" w:cs="Calibri"/>
                <w:b/>
                <w:i/>
                <w:color w:val="000000"/>
                <w:sz w:val="20"/>
                <w:szCs w:val="20"/>
              </w:rPr>
              <w:t>SLL Bludov</w:t>
            </w:r>
          </w:p>
        </w:tc>
        <w:tc>
          <w:tcPr>
            <w:tcW w:w="618" w:type="pct"/>
            <w:tcBorders>
              <w:top w:val="single" w:sz="4" w:space="0" w:color="auto"/>
              <w:left w:val="single" w:sz="4" w:space="0" w:color="auto"/>
              <w:bottom w:val="single" w:sz="4" w:space="0" w:color="auto"/>
              <w:right w:val="single" w:sz="4" w:space="0" w:color="auto"/>
            </w:tcBorders>
            <w:noWrap/>
            <w:vAlign w:val="center"/>
          </w:tcPr>
          <w:p w14:paraId="59E5E29B" w14:textId="77777777" w:rsidR="00D55F31" w:rsidRPr="00C9657D" w:rsidRDefault="0024693B" w:rsidP="0002290A">
            <w:pPr>
              <w:jc w:val="right"/>
              <w:rPr>
                <w:rFonts w:asciiTheme="minorHAnsi" w:hAnsiTheme="minorHAnsi" w:cs="Calibri"/>
                <w:b/>
                <w:sz w:val="20"/>
                <w:szCs w:val="20"/>
              </w:rPr>
            </w:pPr>
            <w:r>
              <w:rPr>
                <w:rFonts w:asciiTheme="minorHAnsi" w:hAnsiTheme="minorHAnsi" w:cs="Calibri"/>
                <w:b/>
                <w:sz w:val="20"/>
                <w:szCs w:val="20"/>
              </w:rPr>
              <w:t>20 696</w:t>
            </w:r>
          </w:p>
        </w:tc>
        <w:tc>
          <w:tcPr>
            <w:tcW w:w="618" w:type="pct"/>
            <w:tcBorders>
              <w:top w:val="single" w:sz="4" w:space="0" w:color="auto"/>
              <w:left w:val="single" w:sz="4" w:space="0" w:color="auto"/>
              <w:bottom w:val="single" w:sz="4" w:space="0" w:color="auto"/>
              <w:right w:val="single" w:sz="4" w:space="0" w:color="auto"/>
            </w:tcBorders>
            <w:noWrap/>
            <w:vAlign w:val="center"/>
          </w:tcPr>
          <w:p w14:paraId="63333D65" w14:textId="77777777" w:rsidR="00D55F31" w:rsidRPr="00C9657D" w:rsidRDefault="00CF0C6F" w:rsidP="0002290A">
            <w:pPr>
              <w:jc w:val="right"/>
              <w:rPr>
                <w:rFonts w:asciiTheme="minorHAnsi" w:hAnsiTheme="minorHAnsi" w:cs="Calibri"/>
                <w:b/>
                <w:sz w:val="20"/>
                <w:szCs w:val="20"/>
              </w:rPr>
            </w:pPr>
            <w:r>
              <w:rPr>
                <w:rFonts w:asciiTheme="minorHAnsi" w:hAnsiTheme="minorHAnsi" w:cs="Calibri"/>
                <w:b/>
                <w:sz w:val="20"/>
                <w:szCs w:val="20"/>
              </w:rPr>
              <w:t>28 435</w:t>
            </w:r>
          </w:p>
        </w:tc>
        <w:tc>
          <w:tcPr>
            <w:tcW w:w="617" w:type="pct"/>
            <w:tcBorders>
              <w:top w:val="single" w:sz="4" w:space="0" w:color="auto"/>
              <w:left w:val="single" w:sz="4" w:space="0" w:color="auto"/>
              <w:bottom w:val="single" w:sz="4" w:space="0" w:color="auto"/>
            </w:tcBorders>
            <w:noWrap/>
            <w:vAlign w:val="center"/>
          </w:tcPr>
          <w:p w14:paraId="3FC72F32" w14:textId="77777777" w:rsidR="00D55F31" w:rsidRPr="00C9657D" w:rsidRDefault="0024693B" w:rsidP="0002290A">
            <w:pPr>
              <w:jc w:val="right"/>
              <w:rPr>
                <w:rFonts w:asciiTheme="minorHAnsi" w:hAnsiTheme="minorHAnsi" w:cs="Calibri"/>
                <w:b/>
                <w:sz w:val="20"/>
                <w:szCs w:val="20"/>
              </w:rPr>
            </w:pPr>
            <w:r>
              <w:rPr>
                <w:rFonts w:asciiTheme="minorHAnsi" w:hAnsiTheme="minorHAnsi" w:cs="Calibri"/>
                <w:b/>
                <w:sz w:val="20"/>
                <w:szCs w:val="20"/>
              </w:rPr>
              <w:t>36 752</w:t>
            </w:r>
          </w:p>
        </w:tc>
      </w:tr>
      <w:tr w:rsidR="00C425F2" w14:paraId="5D0BEAE0" w14:textId="77777777" w:rsidTr="003F5F38">
        <w:trPr>
          <w:trHeight w:val="227"/>
          <w:jc w:val="center"/>
        </w:trPr>
        <w:tc>
          <w:tcPr>
            <w:tcW w:w="2086" w:type="pct"/>
            <w:vMerge w:val="restart"/>
            <w:tcBorders>
              <w:top w:val="single" w:sz="4" w:space="0" w:color="auto"/>
              <w:right w:val="single" w:sz="4" w:space="0" w:color="auto"/>
            </w:tcBorders>
            <w:noWrap/>
            <w:vAlign w:val="center"/>
          </w:tcPr>
          <w:p w14:paraId="29D9C88D" w14:textId="77777777" w:rsidR="00D55F31" w:rsidRPr="00C9657D" w:rsidRDefault="0024693B" w:rsidP="0002290A">
            <w:pPr>
              <w:tabs>
                <w:tab w:val="left" w:pos="610"/>
              </w:tabs>
              <w:rPr>
                <w:rFonts w:ascii="Calibri" w:hAnsi="Calibri" w:cs="Calibri"/>
                <w:i/>
                <w:color w:val="000000"/>
                <w:sz w:val="20"/>
                <w:szCs w:val="20"/>
                <w:lang w:eastAsia="cs-CZ"/>
              </w:rPr>
            </w:pPr>
            <w:r w:rsidRPr="00C9657D">
              <w:rPr>
                <w:rFonts w:ascii="Calibri" w:hAnsi="Calibri" w:cs="Calibri"/>
                <w:i/>
                <w:color w:val="000000"/>
                <w:sz w:val="20"/>
                <w:szCs w:val="20"/>
                <w:lang w:eastAsia="cs-CZ"/>
              </w:rPr>
              <w:t xml:space="preserve">                                z toho:</w:t>
            </w:r>
          </w:p>
          <w:p w14:paraId="22EFA16A" w14:textId="77777777" w:rsidR="00D55F31" w:rsidRPr="00C9657D" w:rsidRDefault="0024693B" w:rsidP="0002290A">
            <w:pPr>
              <w:tabs>
                <w:tab w:val="left" w:pos="610"/>
              </w:tabs>
              <w:ind w:left="1950" w:hanging="1950"/>
              <w:rPr>
                <w:rFonts w:ascii="Calibri" w:hAnsi="Calibri" w:cs="Calibri"/>
                <w:i/>
                <w:color w:val="000000"/>
                <w:sz w:val="20"/>
                <w:szCs w:val="20"/>
                <w:lang w:eastAsia="cs-CZ"/>
              </w:rPr>
            </w:pPr>
            <w:r w:rsidRPr="00C9657D">
              <w:rPr>
                <w:rFonts w:ascii="Calibri" w:hAnsi="Calibri" w:cs="Calibri"/>
                <w:i/>
                <w:color w:val="000000"/>
                <w:sz w:val="20"/>
                <w:szCs w:val="20"/>
                <w:lang w:eastAsia="cs-CZ"/>
              </w:rPr>
              <w:t xml:space="preserve">                                        - od zdravotních pojišťoven</w:t>
            </w:r>
          </w:p>
        </w:tc>
        <w:tc>
          <w:tcPr>
            <w:tcW w:w="1060" w:type="pct"/>
            <w:tcBorders>
              <w:top w:val="single" w:sz="4" w:space="0" w:color="auto"/>
              <w:left w:val="single" w:sz="4" w:space="0" w:color="auto"/>
              <w:bottom w:val="single" w:sz="4" w:space="0" w:color="auto"/>
              <w:right w:val="single" w:sz="4" w:space="0" w:color="auto"/>
            </w:tcBorders>
            <w:vAlign w:val="center"/>
          </w:tcPr>
          <w:p w14:paraId="5E103154" w14:textId="77777777" w:rsidR="00D55F31" w:rsidRPr="00C9657D" w:rsidRDefault="0024693B" w:rsidP="0002290A">
            <w:pPr>
              <w:ind w:right="64" w:hanging="11"/>
              <w:jc w:val="center"/>
              <w:rPr>
                <w:rFonts w:ascii="Calibri" w:hAnsi="Calibri" w:cs="Calibri"/>
                <w:i/>
                <w:color w:val="000000"/>
                <w:sz w:val="20"/>
                <w:szCs w:val="20"/>
              </w:rPr>
            </w:pPr>
            <w:r w:rsidRPr="00C9657D">
              <w:rPr>
                <w:rFonts w:ascii="Calibri" w:hAnsi="Calibri" w:cs="Calibri"/>
                <w:i/>
                <w:color w:val="000000"/>
                <w:sz w:val="20"/>
                <w:szCs w:val="20"/>
              </w:rPr>
              <w:t>SLL Janské Lázně</w:t>
            </w:r>
          </w:p>
        </w:tc>
        <w:tc>
          <w:tcPr>
            <w:tcW w:w="618" w:type="pct"/>
            <w:tcBorders>
              <w:top w:val="single" w:sz="4" w:space="0" w:color="auto"/>
              <w:left w:val="single" w:sz="4" w:space="0" w:color="auto"/>
              <w:bottom w:val="single" w:sz="4" w:space="0" w:color="auto"/>
              <w:right w:val="single" w:sz="4" w:space="0" w:color="auto"/>
            </w:tcBorders>
            <w:noWrap/>
            <w:vAlign w:val="center"/>
          </w:tcPr>
          <w:p w14:paraId="2E414AD8" w14:textId="77777777" w:rsidR="00D55F31" w:rsidRPr="00C9657D" w:rsidRDefault="0024693B" w:rsidP="0002290A">
            <w:pPr>
              <w:jc w:val="right"/>
              <w:rPr>
                <w:rFonts w:asciiTheme="minorHAnsi" w:hAnsiTheme="minorHAnsi" w:cs="Calibri"/>
                <w:i/>
                <w:sz w:val="20"/>
                <w:szCs w:val="20"/>
              </w:rPr>
            </w:pPr>
            <w:r w:rsidRPr="00C9657D">
              <w:rPr>
                <w:rFonts w:asciiTheme="minorHAnsi" w:hAnsiTheme="minorHAnsi" w:cs="Calibri"/>
                <w:i/>
                <w:sz w:val="20"/>
                <w:szCs w:val="20"/>
              </w:rPr>
              <w:t>110 957</w:t>
            </w:r>
          </w:p>
        </w:tc>
        <w:tc>
          <w:tcPr>
            <w:tcW w:w="618" w:type="pct"/>
            <w:tcBorders>
              <w:top w:val="single" w:sz="4" w:space="0" w:color="auto"/>
              <w:left w:val="single" w:sz="4" w:space="0" w:color="auto"/>
              <w:bottom w:val="single" w:sz="4" w:space="0" w:color="auto"/>
              <w:right w:val="single" w:sz="4" w:space="0" w:color="auto"/>
            </w:tcBorders>
            <w:noWrap/>
            <w:vAlign w:val="center"/>
          </w:tcPr>
          <w:p w14:paraId="19E10674" w14:textId="77777777" w:rsidR="00D55F31" w:rsidRPr="00C9657D" w:rsidRDefault="0024693B" w:rsidP="0002290A">
            <w:pPr>
              <w:jc w:val="right"/>
              <w:rPr>
                <w:rFonts w:asciiTheme="minorHAnsi" w:hAnsiTheme="minorHAnsi" w:cs="Calibri"/>
                <w:i/>
                <w:sz w:val="20"/>
                <w:szCs w:val="20"/>
              </w:rPr>
            </w:pPr>
            <w:r w:rsidRPr="00C9657D">
              <w:rPr>
                <w:rFonts w:asciiTheme="minorHAnsi" w:hAnsiTheme="minorHAnsi" w:cs="Calibri"/>
                <w:i/>
                <w:sz w:val="20"/>
                <w:szCs w:val="20"/>
              </w:rPr>
              <w:t xml:space="preserve">178 </w:t>
            </w:r>
            <w:r w:rsidR="00CF0C6F" w:rsidRPr="00C9657D">
              <w:rPr>
                <w:rFonts w:asciiTheme="minorHAnsi" w:hAnsiTheme="minorHAnsi" w:cs="Calibri"/>
                <w:i/>
                <w:sz w:val="20"/>
                <w:szCs w:val="20"/>
              </w:rPr>
              <w:t>17</w:t>
            </w:r>
            <w:r w:rsidR="00CF0C6F">
              <w:rPr>
                <w:rFonts w:asciiTheme="minorHAnsi" w:hAnsiTheme="minorHAnsi" w:cs="Calibri"/>
                <w:i/>
                <w:sz w:val="20"/>
                <w:szCs w:val="20"/>
              </w:rPr>
              <w:t>7</w:t>
            </w:r>
          </w:p>
        </w:tc>
        <w:tc>
          <w:tcPr>
            <w:tcW w:w="617" w:type="pct"/>
            <w:tcBorders>
              <w:top w:val="single" w:sz="4" w:space="0" w:color="auto"/>
              <w:left w:val="single" w:sz="4" w:space="0" w:color="auto"/>
              <w:bottom w:val="single" w:sz="4" w:space="0" w:color="auto"/>
            </w:tcBorders>
            <w:noWrap/>
            <w:vAlign w:val="center"/>
          </w:tcPr>
          <w:p w14:paraId="68C15CA4" w14:textId="77777777" w:rsidR="00D55F31" w:rsidRPr="00C9657D" w:rsidRDefault="0024693B" w:rsidP="0002290A">
            <w:pPr>
              <w:jc w:val="right"/>
              <w:rPr>
                <w:rFonts w:asciiTheme="minorHAnsi" w:hAnsiTheme="minorHAnsi" w:cs="Calibri"/>
                <w:i/>
                <w:sz w:val="20"/>
                <w:szCs w:val="20"/>
              </w:rPr>
            </w:pPr>
            <w:r w:rsidRPr="00C9657D">
              <w:rPr>
                <w:rFonts w:asciiTheme="minorHAnsi" w:hAnsiTheme="minorHAnsi" w:cs="Calibri"/>
                <w:i/>
                <w:sz w:val="20"/>
                <w:szCs w:val="20"/>
              </w:rPr>
              <w:t xml:space="preserve">200 </w:t>
            </w:r>
            <w:r w:rsidR="00CF0C6F" w:rsidRPr="00C9657D">
              <w:rPr>
                <w:rFonts w:asciiTheme="minorHAnsi" w:hAnsiTheme="minorHAnsi" w:cs="Calibri"/>
                <w:i/>
                <w:sz w:val="20"/>
                <w:szCs w:val="20"/>
              </w:rPr>
              <w:t>42</w:t>
            </w:r>
            <w:r w:rsidR="00CF0C6F">
              <w:rPr>
                <w:rFonts w:asciiTheme="minorHAnsi" w:hAnsiTheme="minorHAnsi" w:cs="Calibri"/>
                <w:i/>
                <w:sz w:val="20"/>
                <w:szCs w:val="20"/>
              </w:rPr>
              <w:t>7</w:t>
            </w:r>
          </w:p>
        </w:tc>
      </w:tr>
      <w:tr w:rsidR="00C425F2" w14:paraId="211C17AF" w14:textId="77777777" w:rsidTr="003F5F38">
        <w:trPr>
          <w:trHeight w:val="227"/>
          <w:jc w:val="center"/>
        </w:trPr>
        <w:tc>
          <w:tcPr>
            <w:tcW w:w="2086" w:type="pct"/>
            <w:vMerge/>
            <w:tcBorders>
              <w:right w:val="single" w:sz="4" w:space="0" w:color="auto"/>
            </w:tcBorders>
            <w:noWrap/>
            <w:vAlign w:val="center"/>
          </w:tcPr>
          <w:p w14:paraId="2D3E7169" w14:textId="77777777" w:rsidR="00D55F31" w:rsidRPr="00C9657D" w:rsidRDefault="00D55F31" w:rsidP="0002290A">
            <w:pPr>
              <w:tabs>
                <w:tab w:val="left" w:pos="610"/>
              </w:tabs>
              <w:rPr>
                <w:rFonts w:ascii="Calibri" w:hAnsi="Calibri" w:cs="Calibri"/>
                <w:i/>
                <w:color w:val="000000"/>
                <w:sz w:val="20"/>
                <w:szCs w:val="20"/>
                <w:lang w:eastAsia="cs-CZ"/>
              </w:rPr>
            </w:pPr>
          </w:p>
        </w:tc>
        <w:tc>
          <w:tcPr>
            <w:tcW w:w="1060" w:type="pct"/>
            <w:tcBorders>
              <w:top w:val="single" w:sz="4" w:space="0" w:color="auto"/>
              <w:left w:val="single" w:sz="4" w:space="0" w:color="auto"/>
              <w:bottom w:val="single" w:sz="4" w:space="0" w:color="auto"/>
              <w:right w:val="single" w:sz="4" w:space="0" w:color="auto"/>
            </w:tcBorders>
            <w:vAlign w:val="center"/>
          </w:tcPr>
          <w:p w14:paraId="4F91A169" w14:textId="77777777" w:rsidR="00D55F31" w:rsidRPr="00C9657D" w:rsidRDefault="0024693B" w:rsidP="0002290A">
            <w:pPr>
              <w:ind w:right="64" w:hanging="11"/>
              <w:jc w:val="center"/>
              <w:rPr>
                <w:rFonts w:ascii="Calibri" w:hAnsi="Calibri" w:cs="Calibri"/>
                <w:i/>
                <w:color w:val="000000"/>
                <w:sz w:val="20"/>
                <w:szCs w:val="20"/>
              </w:rPr>
            </w:pPr>
            <w:r w:rsidRPr="00C9657D">
              <w:rPr>
                <w:rFonts w:ascii="Calibri" w:hAnsi="Calibri" w:cs="Calibri"/>
                <w:i/>
                <w:color w:val="000000"/>
                <w:sz w:val="20"/>
                <w:szCs w:val="20"/>
              </w:rPr>
              <w:t>HL Karlova Studánka</w:t>
            </w:r>
          </w:p>
        </w:tc>
        <w:tc>
          <w:tcPr>
            <w:tcW w:w="618" w:type="pct"/>
            <w:tcBorders>
              <w:top w:val="single" w:sz="4" w:space="0" w:color="auto"/>
              <w:left w:val="single" w:sz="4" w:space="0" w:color="auto"/>
              <w:bottom w:val="single" w:sz="4" w:space="0" w:color="auto"/>
              <w:right w:val="single" w:sz="4" w:space="0" w:color="auto"/>
            </w:tcBorders>
            <w:noWrap/>
            <w:vAlign w:val="center"/>
          </w:tcPr>
          <w:p w14:paraId="20EA11F0" w14:textId="77777777" w:rsidR="00D55F31" w:rsidRPr="00C9657D" w:rsidRDefault="0024693B" w:rsidP="0002290A">
            <w:pPr>
              <w:jc w:val="right"/>
              <w:rPr>
                <w:rFonts w:asciiTheme="minorHAnsi" w:hAnsiTheme="minorHAnsi"/>
                <w:i/>
                <w:sz w:val="20"/>
                <w:szCs w:val="20"/>
                <w:lang w:eastAsia="cs-CZ"/>
              </w:rPr>
            </w:pPr>
            <w:r w:rsidRPr="00C9657D">
              <w:rPr>
                <w:rFonts w:asciiTheme="minorHAnsi" w:hAnsiTheme="minorHAnsi"/>
                <w:i/>
                <w:sz w:val="20"/>
                <w:szCs w:val="20"/>
                <w:lang w:eastAsia="cs-CZ"/>
              </w:rPr>
              <w:t>32 745</w:t>
            </w:r>
          </w:p>
        </w:tc>
        <w:tc>
          <w:tcPr>
            <w:tcW w:w="618" w:type="pct"/>
            <w:tcBorders>
              <w:top w:val="single" w:sz="4" w:space="0" w:color="auto"/>
              <w:left w:val="single" w:sz="4" w:space="0" w:color="auto"/>
              <w:bottom w:val="single" w:sz="4" w:space="0" w:color="auto"/>
              <w:right w:val="single" w:sz="4" w:space="0" w:color="auto"/>
            </w:tcBorders>
            <w:noWrap/>
            <w:vAlign w:val="center"/>
          </w:tcPr>
          <w:p w14:paraId="4EBEE107" w14:textId="77777777" w:rsidR="00D55F31" w:rsidRPr="00C9657D" w:rsidRDefault="0024693B" w:rsidP="0002290A">
            <w:pPr>
              <w:jc w:val="right"/>
              <w:rPr>
                <w:rFonts w:asciiTheme="minorHAnsi" w:hAnsiTheme="minorHAnsi"/>
                <w:i/>
                <w:sz w:val="20"/>
                <w:szCs w:val="20"/>
                <w:lang w:eastAsia="cs-CZ"/>
              </w:rPr>
            </w:pPr>
            <w:r w:rsidRPr="00C9657D">
              <w:rPr>
                <w:rFonts w:asciiTheme="minorHAnsi" w:hAnsiTheme="minorHAnsi"/>
                <w:i/>
                <w:sz w:val="20"/>
                <w:szCs w:val="20"/>
                <w:lang w:eastAsia="cs-CZ"/>
              </w:rPr>
              <w:t>47 737</w:t>
            </w:r>
          </w:p>
        </w:tc>
        <w:tc>
          <w:tcPr>
            <w:tcW w:w="617" w:type="pct"/>
            <w:tcBorders>
              <w:top w:val="single" w:sz="4" w:space="0" w:color="auto"/>
              <w:left w:val="single" w:sz="4" w:space="0" w:color="auto"/>
              <w:bottom w:val="single" w:sz="4" w:space="0" w:color="auto"/>
            </w:tcBorders>
            <w:noWrap/>
            <w:vAlign w:val="center"/>
          </w:tcPr>
          <w:p w14:paraId="0BCBB644" w14:textId="77777777" w:rsidR="00D55F31" w:rsidRPr="00C9657D" w:rsidRDefault="0024693B" w:rsidP="0002290A">
            <w:pPr>
              <w:jc w:val="right"/>
              <w:rPr>
                <w:rFonts w:asciiTheme="minorHAnsi" w:hAnsiTheme="minorHAnsi"/>
                <w:i/>
                <w:color w:val="000000"/>
                <w:sz w:val="20"/>
                <w:szCs w:val="20"/>
                <w:lang w:eastAsia="cs-CZ"/>
              </w:rPr>
            </w:pPr>
            <w:r w:rsidRPr="00C9657D">
              <w:rPr>
                <w:rFonts w:asciiTheme="minorHAnsi" w:hAnsiTheme="minorHAnsi"/>
                <w:i/>
                <w:color w:val="000000"/>
                <w:sz w:val="20"/>
                <w:szCs w:val="20"/>
                <w:lang w:eastAsia="cs-CZ"/>
              </w:rPr>
              <w:t>62 438</w:t>
            </w:r>
          </w:p>
        </w:tc>
      </w:tr>
      <w:tr w:rsidR="00C425F2" w14:paraId="6F7E0B10" w14:textId="77777777" w:rsidTr="003F5F38">
        <w:trPr>
          <w:trHeight w:val="227"/>
          <w:jc w:val="center"/>
        </w:trPr>
        <w:tc>
          <w:tcPr>
            <w:tcW w:w="2086" w:type="pct"/>
            <w:vMerge/>
            <w:tcBorders>
              <w:bottom w:val="single" w:sz="4" w:space="0" w:color="auto"/>
              <w:right w:val="single" w:sz="4" w:space="0" w:color="auto"/>
            </w:tcBorders>
            <w:noWrap/>
            <w:vAlign w:val="center"/>
          </w:tcPr>
          <w:p w14:paraId="4DC56B44" w14:textId="77777777" w:rsidR="00D55F31" w:rsidRPr="00C9657D" w:rsidRDefault="00D55F31" w:rsidP="0002290A">
            <w:pPr>
              <w:tabs>
                <w:tab w:val="left" w:pos="610"/>
              </w:tabs>
              <w:rPr>
                <w:rFonts w:ascii="Calibri" w:hAnsi="Calibri" w:cs="Calibri"/>
                <w:i/>
                <w:color w:val="000000"/>
                <w:sz w:val="20"/>
                <w:szCs w:val="20"/>
                <w:lang w:eastAsia="cs-CZ"/>
              </w:rPr>
            </w:pPr>
          </w:p>
        </w:tc>
        <w:tc>
          <w:tcPr>
            <w:tcW w:w="1060" w:type="pct"/>
            <w:tcBorders>
              <w:top w:val="single" w:sz="4" w:space="0" w:color="auto"/>
              <w:left w:val="single" w:sz="4" w:space="0" w:color="auto"/>
              <w:bottom w:val="single" w:sz="4" w:space="0" w:color="auto"/>
              <w:right w:val="single" w:sz="4" w:space="0" w:color="auto"/>
            </w:tcBorders>
            <w:vAlign w:val="center"/>
          </w:tcPr>
          <w:p w14:paraId="29B0EF9D" w14:textId="77777777" w:rsidR="00D55F31" w:rsidRPr="00C9657D" w:rsidRDefault="0024693B" w:rsidP="0002290A">
            <w:pPr>
              <w:ind w:right="64" w:hanging="11"/>
              <w:jc w:val="center"/>
              <w:rPr>
                <w:rFonts w:ascii="Calibri" w:hAnsi="Calibri" w:cs="Calibri"/>
                <w:i/>
                <w:color w:val="000000"/>
                <w:sz w:val="20"/>
                <w:szCs w:val="20"/>
              </w:rPr>
            </w:pPr>
            <w:r w:rsidRPr="00C9657D">
              <w:rPr>
                <w:rFonts w:ascii="Calibri" w:hAnsi="Calibri" w:cs="Calibri"/>
                <w:i/>
                <w:color w:val="000000"/>
                <w:sz w:val="20"/>
                <w:szCs w:val="20"/>
              </w:rPr>
              <w:t>SLL Bludov</w:t>
            </w:r>
          </w:p>
        </w:tc>
        <w:tc>
          <w:tcPr>
            <w:tcW w:w="618" w:type="pct"/>
            <w:tcBorders>
              <w:top w:val="single" w:sz="4" w:space="0" w:color="auto"/>
              <w:left w:val="single" w:sz="4" w:space="0" w:color="auto"/>
              <w:bottom w:val="single" w:sz="4" w:space="0" w:color="auto"/>
              <w:right w:val="single" w:sz="4" w:space="0" w:color="auto"/>
            </w:tcBorders>
            <w:noWrap/>
            <w:vAlign w:val="center"/>
          </w:tcPr>
          <w:p w14:paraId="03E520B2" w14:textId="77777777" w:rsidR="00D55F31" w:rsidRPr="00C9657D" w:rsidRDefault="0024693B" w:rsidP="0002290A">
            <w:pPr>
              <w:jc w:val="right"/>
              <w:rPr>
                <w:rFonts w:asciiTheme="minorHAnsi" w:hAnsiTheme="minorHAnsi" w:cs="Calibri"/>
                <w:i/>
                <w:sz w:val="20"/>
                <w:szCs w:val="20"/>
              </w:rPr>
            </w:pPr>
            <w:r>
              <w:rPr>
                <w:rFonts w:asciiTheme="minorHAnsi" w:hAnsiTheme="minorHAnsi" w:cs="Calibri"/>
                <w:i/>
                <w:sz w:val="20"/>
                <w:szCs w:val="20"/>
              </w:rPr>
              <w:t>15 867</w:t>
            </w:r>
          </w:p>
        </w:tc>
        <w:tc>
          <w:tcPr>
            <w:tcW w:w="618" w:type="pct"/>
            <w:tcBorders>
              <w:top w:val="single" w:sz="4" w:space="0" w:color="auto"/>
              <w:left w:val="single" w:sz="4" w:space="0" w:color="auto"/>
              <w:bottom w:val="single" w:sz="4" w:space="0" w:color="auto"/>
              <w:right w:val="single" w:sz="4" w:space="0" w:color="auto"/>
            </w:tcBorders>
            <w:noWrap/>
            <w:vAlign w:val="center"/>
          </w:tcPr>
          <w:p w14:paraId="08240B28" w14:textId="77777777" w:rsidR="00D55F31" w:rsidRPr="00C9657D" w:rsidRDefault="0024693B" w:rsidP="0002290A">
            <w:pPr>
              <w:jc w:val="right"/>
              <w:rPr>
                <w:rFonts w:asciiTheme="minorHAnsi" w:hAnsiTheme="minorHAnsi" w:cs="Calibri"/>
                <w:i/>
                <w:sz w:val="20"/>
                <w:szCs w:val="20"/>
              </w:rPr>
            </w:pPr>
            <w:r>
              <w:rPr>
                <w:rFonts w:asciiTheme="minorHAnsi" w:hAnsiTheme="minorHAnsi" w:cs="Calibri"/>
                <w:i/>
                <w:sz w:val="20"/>
                <w:szCs w:val="20"/>
              </w:rPr>
              <w:t xml:space="preserve">23 </w:t>
            </w:r>
            <w:r w:rsidR="00CF0C6F">
              <w:rPr>
                <w:rFonts w:asciiTheme="minorHAnsi" w:hAnsiTheme="minorHAnsi" w:cs="Calibri"/>
                <w:i/>
                <w:sz w:val="20"/>
                <w:szCs w:val="20"/>
              </w:rPr>
              <w:t>224</w:t>
            </w:r>
          </w:p>
        </w:tc>
        <w:tc>
          <w:tcPr>
            <w:tcW w:w="617" w:type="pct"/>
            <w:tcBorders>
              <w:top w:val="single" w:sz="4" w:space="0" w:color="auto"/>
              <w:left w:val="single" w:sz="4" w:space="0" w:color="auto"/>
              <w:bottom w:val="single" w:sz="4" w:space="0" w:color="auto"/>
            </w:tcBorders>
            <w:noWrap/>
            <w:vAlign w:val="center"/>
          </w:tcPr>
          <w:p w14:paraId="69CCC3BD" w14:textId="77777777" w:rsidR="00D55F31" w:rsidRPr="00C9657D" w:rsidRDefault="0024693B" w:rsidP="0002290A">
            <w:pPr>
              <w:jc w:val="right"/>
              <w:rPr>
                <w:rFonts w:asciiTheme="minorHAnsi" w:hAnsiTheme="minorHAnsi" w:cs="Calibri"/>
                <w:i/>
                <w:sz w:val="20"/>
                <w:szCs w:val="20"/>
              </w:rPr>
            </w:pPr>
            <w:r>
              <w:rPr>
                <w:rFonts w:asciiTheme="minorHAnsi" w:hAnsiTheme="minorHAnsi" w:cs="Calibri"/>
                <w:i/>
                <w:sz w:val="20"/>
                <w:szCs w:val="20"/>
              </w:rPr>
              <w:t xml:space="preserve">30 </w:t>
            </w:r>
            <w:r w:rsidR="00CF0C6F">
              <w:rPr>
                <w:rFonts w:asciiTheme="minorHAnsi" w:hAnsiTheme="minorHAnsi" w:cs="Calibri"/>
                <w:i/>
                <w:sz w:val="20"/>
                <w:szCs w:val="20"/>
              </w:rPr>
              <w:t>215</w:t>
            </w:r>
          </w:p>
        </w:tc>
      </w:tr>
      <w:tr w:rsidR="00C425F2" w14:paraId="594A06B7" w14:textId="77777777" w:rsidTr="003F5F38">
        <w:trPr>
          <w:trHeight w:val="227"/>
          <w:jc w:val="center"/>
        </w:trPr>
        <w:tc>
          <w:tcPr>
            <w:tcW w:w="2086" w:type="pct"/>
            <w:vMerge w:val="restart"/>
            <w:tcBorders>
              <w:top w:val="single" w:sz="4" w:space="0" w:color="auto"/>
              <w:right w:val="single" w:sz="4" w:space="0" w:color="auto"/>
            </w:tcBorders>
            <w:noWrap/>
            <w:vAlign w:val="center"/>
          </w:tcPr>
          <w:p w14:paraId="517B6A1C" w14:textId="77777777" w:rsidR="00D55F31" w:rsidRPr="00C9657D" w:rsidRDefault="0024693B" w:rsidP="0002290A">
            <w:pPr>
              <w:tabs>
                <w:tab w:val="left" w:pos="610"/>
              </w:tabs>
              <w:rPr>
                <w:rFonts w:ascii="Calibri" w:hAnsi="Calibri" w:cs="Calibri"/>
                <w:i/>
                <w:color w:val="000000"/>
                <w:sz w:val="20"/>
                <w:szCs w:val="20"/>
                <w:lang w:eastAsia="cs-CZ"/>
              </w:rPr>
            </w:pPr>
            <w:r w:rsidRPr="00C9657D">
              <w:rPr>
                <w:rFonts w:ascii="Calibri" w:hAnsi="Calibri" w:cs="Calibri"/>
                <w:i/>
                <w:color w:val="000000"/>
                <w:sz w:val="20"/>
                <w:szCs w:val="20"/>
                <w:lang w:eastAsia="cs-CZ"/>
              </w:rPr>
              <w:t xml:space="preserve">                                       - od samoplátců</w:t>
            </w:r>
          </w:p>
        </w:tc>
        <w:tc>
          <w:tcPr>
            <w:tcW w:w="1060" w:type="pct"/>
            <w:tcBorders>
              <w:top w:val="single" w:sz="4" w:space="0" w:color="auto"/>
              <w:left w:val="single" w:sz="4" w:space="0" w:color="auto"/>
              <w:bottom w:val="single" w:sz="4" w:space="0" w:color="auto"/>
              <w:right w:val="single" w:sz="4" w:space="0" w:color="auto"/>
            </w:tcBorders>
            <w:vAlign w:val="center"/>
          </w:tcPr>
          <w:p w14:paraId="06A29369" w14:textId="77777777" w:rsidR="00D55F31" w:rsidRPr="00C9657D" w:rsidRDefault="0024693B" w:rsidP="0002290A">
            <w:pPr>
              <w:ind w:right="64" w:hanging="11"/>
              <w:jc w:val="center"/>
              <w:rPr>
                <w:rFonts w:ascii="Calibri" w:hAnsi="Calibri" w:cs="Calibri"/>
                <w:i/>
                <w:color w:val="000000"/>
                <w:sz w:val="20"/>
                <w:szCs w:val="20"/>
              </w:rPr>
            </w:pPr>
            <w:r w:rsidRPr="00C9657D">
              <w:rPr>
                <w:rFonts w:ascii="Calibri" w:hAnsi="Calibri" w:cs="Calibri"/>
                <w:i/>
                <w:color w:val="000000"/>
                <w:sz w:val="20"/>
                <w:szCs w:val="20"/>
              </w:rPr>
              <w:t>SLL Janské Lázně</w:t>
            </w:r>
          </w:p>
        </w:tc>
        <w:tc>
          <w:tcPr>
            <w:tcW w:w="618" w:type="pct"/>
            <w:tcBorders>
              <w:top w:val="single" w:sz="4" w:space="0" w:color="auto"/>
              <w:left w:val="single" w:sz="4" w:space="0" w:color="auto"/>
              <w:bottom w:val="single" w:sz="4" w:space="0" w:color="auto"/>
              <w:right w:val="single" w:sz="4" w:space="0" w:color="auto"/>
            </w:tcBorders>
            <w:noWrap/>
            <w:vAlign w:val="center"/>
          </w:tcPr>
          <w:p w14:paraId="25FDD174" w14:textId="77777777" w:rsidR="00D55F31" w:rsidRPr="00C9657D" w:rsidRDefault="0024693B" w:rsidP="0002290A">
            <w:pPr>
              <w:jc w:val="right"/>
              <w:rPr>
                <w:rFonts w:asciiTheme="minorHAnsi" w:hAnsiTheme="minorHAnsi"/>
                <w:i/>
                <w:sz w:val="20"/>
                <w:szCs w:val="20"/>
              </w:rPr>
            </w:pPr>
            <w:r w:rsidRPr="00C9657D">
              <w:rPr>
                <w:rFonts w:asciiTheme="minorHAnsi" w:hAnsiTheme="minorHAnsi"/>
                <w:i/>
                <w:sz w:val="20"/>
                <w:szCs w:val="20"/>
              </w:rPr>
              <w:t>40 422</w:t>
            </w:r>
          </w:p>
        </w:tc>
        <w:tc>
          <w:tcPr>
            <w:tcW w:w="618" w:type="pct"/>
            <w:tcBorders>
              <w:top w:val="single" w:sz="4" w:space="0" w:color="auto"/>
              <w:left w:val="single" w:sz="4" w:space="0" w:color="auto"/>
              <w:bottom w:val="single" w:sz="4" w:space="0" w:color="auto"/>
              <w:right w:val="single" w:sz="4" w:space="0" w:color="auto"/>
            </w:tcBorders>
            <w:noWrap/>
            <w:vAlign w:val="center"/>
          </w:tcPr>
          <w:p w14:paraId="15590C5C" w14:textId="77777777" w:rsidR="00D55F31" w:rsidRPr="00C9657D" w:rsidRDefault="0024693B" w:rsidP="0002290A">
            <w:pPr>
              <w:jc w:val="right"/>
              <w:rPr>
                <w:rFonts w:asciiTheme="minorHAnsi" w:hAnsiTheme="minorHAnsi"/>
                <w:i/>
                <w:sz w:val="20"/>
                <w:szCs w:val="20"/>
              </w:rPr>
            </w:pPr>
            <w:r w:rsidRPr="00C9657D">
              <w:rPr>
                <w:rFonts w:asciiTheme="minorHAnsi" w:hAnsiTheme="minorHAnsi"/>
                <w:i/>
                <w:sz w:val="20"/>
                <w:szCs w:val="20"/>
              </w:rPr>
              <w:t>31 944</w:t>
            </w:r>
          </w:p>
        </w:tc>
        <w:tc>
          <w:tcPr>
            <w:tcW w:w="617" w:type="pct"/>
            <w:tcBorders>
              <w:top w:val="single" w:sz="4" w:space="0" w:color="auto"/>
              <w:left w:val="single" w:sz="4" w:space="0" w:color="auto"/>
              <w:bottom w:val="single" w:sz="4" w:space="0" w:color="auto"/>
            </w:tcBorders>
            <w:noWrap/>
            <w:vAlign w:val="center"/>
          </w:tcPr>
          <w:p w14:paraId="143BE843" w14:textId="77777777" w:rsidR="00D55F31" w:rsidRPr="00C9657D" w:rsidRDefault="0024693B" w:rsidP="0002290A">
            <w:pPr>
              <w:jc w:val="right"/>
              <w:rPr>
                <w:rFonts w:asciiTheme="minorHAnsi" w:hAnsiTheme="minorHAnsi"/>
                <w:i/>
                <w:sz w:val="20"/>
                <w:szCs w:val="20"/>
              </w:rPr>
            </w:pPr>
            <w:r w:rsidRPr="00C9657D">
              <w:rPr>
                <w:rFonts w:asciiTheme="minorHAnsi" w:hAnsiTheme="minorHAnsi"/>
                <w:i/>
                <w:sz w:val="20"/>
                <w:szCs w:val="20"/>
              </w:rPr>
              <w:t>32 614</w:t>
            </w:r>
          </w:p>
        </w:tc>
      </w:tr>
      <w:tr w:rsidR="00C425F2" w14:paraId="5F556B82" w14:textId="77777777" w:rsidTr="003F5F38">
        <w:trPr>
          <w:trHeight w:val="227"/>
          <w:jc w:val="center"/>
        </w:trPr>
        <w:tc>
          <w:tcPr>
            <w:tcW w:w="2086" w:type="pct"/>
            <w:vMerge/>
            <w:tcBorders>
              <w:right w:val="single" w:sz="4" w:space="0" w:color="auto"/>
            </w:tcBorders>
            <w:noWrap/>
            <w:vAlign w:val="center"/>
          </w:tcPr>
          <w:p w14:paraId="07F0730D" w14:textId="77777777" w:rsidR="00D55F31" w:rsidRPr="00C9657D" w:rsidRDefault="00D55F31" w:rsidP="0002290A">
            <w:pPr>
              <w:tabs>
                <w:tab w:val="left" w:pos="610"/>
              </w:tabs>
              <w:rPr>
                <w:rFonts w:ascii="Calibri" w:hAnsi="Calibri" w:cs="Calibri"/>
                <w:i/>
                <w:color w:val="000000"/>
                <w:sz w:val="20"/>
                <w:szCs w:val="20"/>
                <w:lang w:eastAsia="cs-CZ"/>
              </w:rPr>
            </w:pPr>
          </w:p>
        </w:tc>
        <w:tc>
          <w:tcPr>
            <w:tcW w:w="1060" w:type="pct"/>
            <w:tcBorders>
              <w:top w:val="single" w:sz="4" w:space="0" w:color="auto"/>
              <w:left w:val="single" w:sz="4" w:space="0" w:color="auto"/>
              <w:bottom w:val="single" w:sz="4" w:space="0" w:color="auto"/>
              <w:right w:val="single" w:sz="4" w:space="0" w:color="auto"/>
            </w:tcBorders>
            <w:vAlign w:val="center"/>
          </w:tcPr>
          <w:p w14:paraId="2E7A61A9" w14:textId="77777777" w:rsidR="00D55F31" w:rsidRPr="00C9657D" w:rsidRDefault="0024693B" w:rsidP="0002290A">
            <w:pPr>
              <w:ind w:right="64" w:hanging="11"/>
              <w:jc w:val="center"/>
              <w:rPr>
                <w:rFonts w:ascii="Calibri" w:hAnsi="Calibri" w:cs="Calibri"/>
                <w:i/>
                <w:color w:val="000000"/>
                <w:sz w:val="20"/>
                <w:szCs w:val="20"/>
              </w:rPr>
            </w:pPr>
            <w:r w:rsidRPr="00C9657D">
              <w:rPr>
                <w:rFonts w:ascii="Calibri" w:hAnsi="Calibri" w:cs="Calibri"/>
                <w:i/>
                <w:color w:val="000000"/>
                <w:sz w:val="20"/>
                <w:szCs w:val="20"/>
              </w:rPr>
              <w:t xml:space="preserve">HL </w:t>
            </w:r>
            <w:r w:rsidR="00D55F31">
              <w:rPr>
                <w:rFonts w:ascii="Calibri" w:hAnsi="Calibri" w:cs="Calibri"/>
                <w:i/>
                <w:color w:val="000000"/>
                <w:sz w:val="20"/>
                <w:szCs w:val="20"/>
              </w:rPr>
              <w:t>Karlova Studánka</w:t>
            </w:r>
          </w:p>
        </w:tc>
        <w:tc>
          <w:tcPr>
            <w:tcW w:w="618" w:type="pct"/>
            <w:tcBorders>
              <w:top w:val="single" w:sz="4" w:space="0" w:color="auto"/>
              <w:left w:val="single" w:sz="4" w:space="0" w:color="auto"/>
              <w:bottom w:val="single" w:sz="4" w:space="0" w:color="auto"/>
              <w:right w:val="single" w:sz="4" w:space="0" w:color="auto"/>
            </w:tcBorders>
            <w:noWrap/>
            <w:vAlign w:val="center"/>
          </w:tcPr>
          <w:p w14:paraId="2801631E" w14:textId="77777777" w:rsidR="00D55F31" w:rsidRPr="00C9657D" w:rsidRDefault="0024693B" w:rsidP="0002290A">
            <w:pPr>
              <w:jc w:val="right"/>
              <w:rPr>
                <w:rFonts w:asciiTheme="minorHAnsi" w:hAnsiTheme="minorHAnsi"/>
                <w:i/>
                <w:sz w:val="20"/>
                <w:szCs w:val="20"/>
              </w:rPr>
            </w:pPr>
            <w:r w:rsidRPr="00C9657D">
              <w:rPr>
                <w:rFonts w:asciiTheme="minorHAnsi" w:hAnsiTheme="minorHAnsi"/>
                <w:i/>
                <w:sz w:val="20"/>
                <w:szCs w:val="20"/>
              </w:rPr>
              <w:t>37 226</w:t>
            </w:r>
          </w:p>
        </w:tc>
        <w:tc>
          <w:tcPr>
            <w:tcW w:w="618" w:type="pct"/>
            <w:tcBorders>
              <w:top w:val="single" w:sz="4" w:space="0" w:color="auto"/>
              <w:left w:val="single" w:sz="4" w:space="0" w:color="auto"/>
              <w:bottom w:val="single" w:sz="4" w:space="0" w:color="auto"/>
              <w:right w:val="single" w:sz="4" w:space="0" w:color="auto"/>
            </w:tcBorders>
            <w:noWrap/>
            <w:vAlign w:val="center"/>
          </w:tcPr>
          <w:p w14:paraId="58443DC1" w14:textId="77777777" w:rsidR="00D55F31" w:rsidRPr="00C9657D" w:rsidRDefault="0024693B" w:rsidP="0002290A">
            <w:pPr>
              <w:jc w:val="right"/>
              <w:rPr>
                <w:rFonts w:asciiTheme="minorHAnsi" w:hAnsiTheme="minorHAnsi"/>
                <w:i/>
                <w:sz w:val="20"/>
                <w:szCs w:val="20"/>
              </w:rPr>
            </w:pPr>
            <w:r w:rsidRPr="00C9657D">
              <w:rPr>
                <w:rFonts w:asciiTheme="minorHAnsi" w:hAnsiTheme="minorHAnsi"/>
                <w:i/>
                <w:sz w:val="20"/>
                <w:szCs w:val="20"/>
              </w:rPr>
              <w:t>33 543</w:t>
            </w:r>
          </w:p>
        </w:tc>
        <w:tc>
          <w:tcPr>
            <w:tcW w:w="617" w:type="pct"/>
            <w:tcBorders>
              <w:top w:val="single" w:sz="4" w:space="0" w:color="auto"/>
              <w:left w:val="single" w:sz="4" w:space="0" w:color="auto"/>
              <w:bottom w:val="single" w:sz="4" w:space="0" w:color="auto"/>
            </w:tcBorders>
            <w:noWrap/>
            <w:vAlign w:val="center"/>
          </w:tcPr>
          <w:p w14:paraId="4D01F65F" w14:textId="77777777" w:rsidR="00D55F31" w:rsidRPr="00C9657D" w:rsidRDefault="0024693B" w:rsidP="0002290A">
            <w:pPr>
              <w:jc w:val="right"/>
              <w:rPr>
                <w:rFonts w:asciiTheme="minorHAnsi" w:hAnsiTheme="minorHAnsi"/>
                <w:i/>
                <w:sz w:val="20"/>
                <w:szCs w:val="20"/>
              </w:rPr>
            </w:pPr>
            <w:r w:rsidRPr="00C9657D">
              <w:rPr>
                <w:rFonts w:asciiTheme="minorHAnsi" w:hAnsiTheme="minorHAnsi"/>
                <w:i/>
                <w:sz w:val="20"/>
                <w:szCs w:val="20"/>
              </w:rPr>
              <w:t>36 207</w:t>
            </w:r>
          </w:p>
        </w:tc>
      </w:tr>
      <w:tr w:rsidR="00C425F2" w14:paraId="5C324316" w14:textId="77777777" w:rsidTr="003F5F38">
        <w:trPr>
          <w:trHeight w:val="227"/>
          <w:jc w:val="center"/>
        </w:trPr>
        <w:tc>
          <w:tcPr>
            <w:tcW w:w="2086" w:type="pct"/>
            <w:vMerge/>
            <w:tcBorders>
              <w:bottom w:val="single" w:sz="12" w:space="0" w:color="auto"/>
              <w:right w:val="single" w:sz="4" w:space="0" w:color="auto"/>
            </w:tcBorders>
            <w:noWrap/>
            <w:vAlign w:val="center"/>
          </w:tcPr>
          <w:p w14:paraId="6B0A41A0" w14:textId="77777777" w:rsidR="00D55F31" w:rsidRPr="00C9657D" w:rsidRDefault="00D55F31" w:rsidP="0002290A">
            <w:pPr>
              <w:tabs>
                <w:tab w:val="left" w:pos="610"/>
              </w:tabs>
              <w:rPr>
                <w:rFonts w:ascii="Calibri" w:hAnsi="Calibri" w:cs="Calibri"/>
                <w:i/>
                <w:color w:val="000000"/>
                <w:sz w:val="20"/>
                <w:szCs w:val="20"/>
                <w:lang w:eastAsia="cs-CZ"/>
              </w:rPr>
            </w:pPr>
          </w:p>
        </w:tc>
        <w:tc>
          <w:tcPr>
            <w:tcW w:w="1060" w:type="pct"/>
            <w:tcBorders>
              <w:top w:val="single" w:sz="4" w:space="0" w:color="auto"/>
              <w:left w:val="single" w:sz="4" w:space="0" w:color="auto"/>
              <w:bottom w:val="single" w:sz="12" w:space="0" w:color="auto"/>
              <w:right w:val="single" w:sz="4" w:space="0" w:color="auto"/>
            </w:tcBorders>
            <w:vAlign w:val="center"/>
          </w:tcPr>
          <w:p w14:paraId="03848A72" w14:textId="77777777" w:rsidR="00D55F31" w:rsidRPr="00C9657D" w:rsidRDefault="0024693B" w:rsidP="0002290A">
            <w:pPr>
              <w:ind w:right="64" w:hanging="11"/>
              <w:jc w:val="center"/>
              <w:rPr>
                <w:rFonts w:ascii="Calibri" w:hAnsi="Calibri" w:cs="Calibri"/>
                <w:i/>
                <w:color w:val="000000"/>
                <w:sz w:val="20"/>
                <w:szCs w:val="20"/>
              </w:rPr>
            </w:pPr>
            <w:r w:rsidRPr="00C9657D">
              <w:rPr>
                <w:rFonts w:ascii="Calibri" w:hAnsi="Calibri" w:cs="Calibri"/>
                <w:i/>
                <w:color w:val="000000"/>
                <w:sz w:val="20"/>
                <w:szCs w:val="20"/>
              </w:rPr>
              <w:t>SLL Bludov</w:t>
            </w:r>
          </w:p>
        </w:tc>
        <w:tc>
          <w:tcPr>
            <w:tcW w:w="618" w:type="pct"/>
            <w:tcBorders>
              <w:top w:val="single" w:sz="4" w:space="0" w:color="auto"/>
              <w:left w:val="single" w:sz="4" w:space="0" w:color="auto"/>
              <w:bottom w:val="single" w:sz="12" w:space="0" w:color="auto"/>
              <w:right w:val="single" w:sz="4" w:space="0" w:color="auto"/>
            </w:tcBorders>
            <w:noWrap/>
            <w:vAlign w:val="center"/>
          </w:tcPr>
          <w:p w14:paraId="0EBFD983" w14:textId="77777777" w:rsidR="00D55F31" w:rsidRPr="00C9657D" w:rsidRDefault="0024693B" w:rsidP="0002290A">
            <w:pPr>
              <w:jc w:val="right"/>
              <w:rPr>
                <w:rFonts w:asciiTheme="minorHAnsi" w:hAnsiTheme="minorHAnsi"/>
                <w:i/>
                <w:sz w:val="20"/>
                <w:szCs w:val="20"/>
              </w:rPr>
            </w:pPr>
            <w:r>
              <w:rPr>
                <w:rFonts w:asciiTheme="minorHAnsi" w:hAnsiTheme="minorHAnsi"/>
                <w:i/>
                <w:sz w:val="20"/>
                <w:szCs w:val="20"/>
              </w:rPr>
              <w:t>3 274</w:t>
            </w:r>
          </w:p>
        </w:tc>
        <w:tc>
          <w:tcPr>
            <w:tcW w:w="618" w:type="pct"/>
            <w:tcBorders>
              <w:top w:val="single" w:sz="4" w:space="0" w:color="auto"/>
              <w:left w:val="single" w:sz="4" w:space="0" w:color="auto"/>
              <w:bottom w:val="single" w:sz="12" w:space="0" w:color="auto"/>
              <w:right w:val="single" w:sz="4" w:space="0" w:color="auto"/>
            </w:tcBorders>
            <w:noWrap/>
            <w:vAlign w:val="center"/>
          </w:tcPr>
          <w:p w14:paraId="71081C80" w14:textId="77777777" w:rsidR="00D55F31" w:rsidRPr="00C9657D" w:rsidRDefault="0024693B" w:rsidP="0002290A">
            <w:pPr>
              <w:jc w:val="right"/>
              <w:rPr>
                <w:rFonts w:asciiTheme="minorHAnsi" w:hAnsiTheme="minorHAnsi"/>
                <w:i/>
                <w:sz w:val="20"/>
                <w:szCs w:val="20"/>
              </w:rPr>
            </w:pPr>
            <w:r>
              <w:rPr>
                <w:rFonts w:asciiTheme="minorHAnsi" w:hAnsiTheme="minorHAnsi"/>
                <w:i/>
                <w:sz w:val="20"/>
                <w:szCs w:val="20"/>
              </w:rPr>
              <w:t>3 590</w:t>
            </w:r>
          </w:p>
        </w:tc>
        <w:tc>
          <w:tcPr>
            <w:tcW w:w="617" w:type="pct"/>
            <w:tcBorders>
              <w:top w:val="single" w:sz="4" w:space="0" w:color="auto"/>
              <w:left w:val="single" w:sz="4" w:space="0" w:color="auto"/>
              <w:bottom w:val="single" w:sz="12" w:space="0" w:color="auto"/>
            </w:tcBorders>
            <w:noWrap/>
            <w:vAlign w:val="center"/>
          </w:tcPr>
          <w:p w14:paraId="5F3A5741" w14:textId="7E9386D2" w:rsidR="00D55F31" w:rsidRPr="00C9657D" w:rsidRDefault="0024693B" w:rsidP="0002290A">
            <w:pPr>
              <w:jc w:val="right"/>
              <w:rPr>
                <w:rFonts w:asciiTheme="minorHAnsi" w:hAnsiTheme="minorHAnsi"/>
                <w:i/>
                <w:sz w:val="20"/>
                <w:szCs w:val="20"/>
              </w:rPr>
            </w:pPr>
            <w:r>
              <w:rPr>
                <w:rFonts w:asciiTheme="minorHAnsi" w:hAnsiTheme="minorHAnsi"/>
                <w:i/>
                <w:sz w:val="20"/>
                <w:szCs w:val="20"/>
              </w:rPr>
              <w:t>4 483</w:t>
            </w:r>
          </w:p>
        </w:tc>
      </w:tr>
      <w:tr w:rsidR="00C425F2" w14:paraId="57FAD7DD" w14:textId="77777777" w:rsidTr="003F5F38">
        <w:trPr>
          <w:trHeight w:val="227"/>
          <w:jc w:val="center"/>
        </w:trPr>
        <w:tc>
          <w:tcPr>
            <w:tcW w:w="2086" w:type="pct"/>
            <w:vMerge w:val="restart"/>
            <w:tcBorders>
              <w:top w:val="single" w:sz="12" w:space="0" w:color="auto"/>
            </w:tcBorders>
            <w:noWrap/>
            <w:vAlign w:val="center"/>
            <w:hideMark/>
          </w:tcPr>
          <w:p w14:paraId="0F44811B" w14:textId="77777777" w:rsidR="00D55F31" w:rsidRPr="00C9657D" w:rsidRDefault="0024693B" w:rsidP="0002290A">
            <w:pPr>
              <w:rPr>
                <w:rFonts w:ascii="Calibri" w:hAnsi="Calibri" w:cs="Calibri"/>
                <w:i/>
                <w:color w:val="000000"/>
                <w:sz w:val="20"/>
                <w:szCs w:val="20"/>
                <w:lang w:eastAsia="cs-CZ"/>
              </w:rPr>
            </w:pPr>
            <w:r w:rsidRPr="00C9657D">
              <w:rPr>
                <w:rFonts w:ascii="Calibri" w:hAnsi="Calibri" w:cs="Calibri"/>
                <w:i/>
                <w:color w:val="000000"/>
                <w:sz w:val="20"/>
                <w:szCs w:val="20"/>
                <w:lang w:eastAsia="cs-CZ"/>
              </w:rPr>
              <w:t xml:space="preserve">            - jiné provozní výnosy</w:t>
            </w:r>
          </w:p>
        </w:tc>
        <w:tc>
          <w:tcPr>
            <w:tcW w:w="1060" w:type="pct"/>
            <w:tcBorders>
              <w:top w:val="single" w:sz="12" w:space="0" w:color="auto"/>
            </w:tcBorders>
            <w:vAlign w:val="center"/>
          </w:tcPr>
          <w:p w14:paraId="5219A1AE" w14:textId="77777777" w:rsidR="00D55F31" w:rsidRPr="00C9657D" w:rsidRDefault="0024693B" w:rsidP="0002290A">
            <w:pPr>
              <w:ind w:right="64" w:hanging="11"/>
              <w:jc w:val="center"/>
              <w:rPr>
                <w:rFonts w:ascii="Calibri" w:hAnsi="Calibri" w:cs="Calibri"/>
                <w:i/>
                <w:color w:val="000000"/>
                <w:sz w:val="20"/>
                <w:szCs w:val="20"/>
              </w:rPr>
            </w:pPr>
            <w:r w:rsidRPr="00C9657D">
              <w:rPr>
                <w:rFonts w:ascii="Calibri" w:hAnsi="Calibri" w:cs="Calibri"/>
                <w:i/>
                <w:color w:val="000000"/>
                <w:sz w:val="20"/>
                <w:szCs w:val="20"/>
              </w:rPr>
              <w:t>SLL Janské Lázně</w:t>
            </w:r>
          </w:p>
        </w:tc>
        <w:tc>
          <w:tcPr>
            <w:tcW w:w="618" w:type="pct"/>
            <w:tcBorders>
              <w:top w:val="single" w:sz="12" w:space="0" w:color="auto"/>
            </w:tcBorders>
            <w:noWrap/>
            <w:vAlign w:val="center"/>
          </w:tcPr>
          <w:p w14:paraId="3C5C64E1" w14:textId="77777777" w:rsidR="00D55F31" w:rsidRPr="00C9657D" w:rsidRDefault="0024693B" w:rsidP="0002290A">
            <w:pPr>
              <w:jc w:val="right"/>
              <w:rPr>
                <w:rFonts w:ascii="Calibri" w:hAnsi="Calibri"/>
                <w:i/>
                <w:sz w:val="20"/>
                <w:szCs w:val="20"/>
              </w:rPr>
            </w:pPr>
            <w:r w:rsidRPr="00C9657D">
              <w:rPr>
                <w:rFonts w:ascii="Calibri" w:hAnsi="Calibri" w:cs="Calibri"/>
                <w:i/>
                <w:sz w:val="20"/>
                <w:szCs w:val="20"/>
              </w:rPr>
              <w:t>13 229</w:t>
            </w:r>
          </w:p>
        </w:tc>
        <w:tc>
          <w:tcPr>
            <w:tcW w:w="618" w:type="pct"/>
            <w:tcBorders>
              <w:top w:val="single" w:sz="12" w:space="0" w:color="auto"/>
            </w:tcBorders>
            <w:noWrap/>
            <w:vAlign w:val="center"/>
          </w:tcPr>
          <w:p w14:paraId="3F96EF51" w14:textId="7CA81B40" w:rsidR="00D55F31" w:rsidRPr="00C9657D" w:rsidRDefault="0024693B" w:rsidP="009F56C5">
            <w:pPr>
              <w:jc w:val="right"/>
              <w:rPr>
                <w:rFonts w:ascii="Calibri" w:hAnsi="Calibri"/>
                <w:i/>
                <w:sz w:val="20"/>
                <w:szCs w:val="20"/>
              </w:rPr>
            </w:pPr>
            <w:r w:rsidRPr="00C9657D">
              <w:rPr>
                <w:rFonts w:ascii="Calibri" w:hAnsi="Calibri" w:cs="Calibri"/>
                <w:i/>
                <w:sz w:val="20"/>
                <w:szCs w:val="20"/>
              </w:rPr>
              <w:t>14 114</w:t>
            </w:r>
          </w:p>
        </w:tc>
        <w:tc>
          <w:tcPr>
            <w:tcW w:w="617" w:type="pct"/>
            <w:tcBorders>
              <w:top w:val="single" w:sz="12" w:space="0" w:color="auto"/>
            </w:tcBorders>
            <w:noWrap/>
            <w:vAlign w:val="center"/>
          </w:tcPr>
          <w:p w14:paraId="1C67DFA1" w14:textId="77777777" w:rsidR="00D55F31" w:rsidRPr="00C9657D" w:rsidRDefault="0024693B" w:rsidP="0002290A">
            <w:pPr>
              <w:jc w:val="right"/>
              <w:rPr>
                <w:rFonts w:ascii="Calibri" w:hAnsi="Calibri"/>
                <w:i/>
                <w:sz w:val="20"/>
                <w:szCs w:val="20"/>
              </w:rPr>
            </w:pPr>
            <w:r w:rsidRPr="00C9657D">
              <w:rPr>
                <w:rFonts w:ascii="Calibri" w:hAnsi="Calibri" w:cs="Calibri"/>
                <w:i/>
                <w:sz w:val="20"/>
                <w:szCs w:val="20"/>
              </w:rPr>
              <w:t>14 162</w:t>
            </w:r>
          </w:p>
        </w:tc>
      </w:tr>
      <w:tr w:rsidR="00C425F2" w14:paraId="59499817" w14:textId="77777777" w:rsidTr="003F5F38">
        <w:trPr>
          <w:trHeight w:val="227"/>
          <w:jc w:val="center"/>
        </w:trPr>
        <w:tc>
          <w:tcPr>
            <w:tcW w:w="2086" w:type="pct"/>
            <w:vMerge/>
            <w:noWrap/>
            <w:vAlign w:val="center"/>
          </w:tcPr>
          <w:p w14:paraId="4D3811DA" w14:textId="77777777" w:rsidR="00D55F31" w:rsidRPr="00C9657D" w:rsidRDefault="00D55F31" w:rsidP="0002290A">
            <w:pPr>
              <w:rPr>
                <w:rFonts w:ascii="Calibri" w:hAnsi="Calibri" w:cs="Calibri"/>
                <w:i/>
                <w:color w:val="000000"/>
                <w:sz w:val="20"/>
                <w:szCs w:val="20"/>
                <w:lang w:eastAsia="cs-CZ"/>
              </w:rPr>
            </w:pPr>
          </w:p>
        </w:tc>
        <w:tc>
          <w:tcPr>
            <w:tcW w:w="1060" w:type="pct"/>
            <w:tcBorders>
              <w:bottom w:val="single" w:sz="4" w:space="0" w:color="auto"/>
            </w:tcBorders>
            <w:vAlign w:val="center"/>
          </w:tcPr>
          <w:p w14:paraId="7B11A67E" w14:textId="77777777" w:rsidR="00D55F31" w:rsidRPr="00C9657D" w:rsidRDefault="0024693B" w:rsidP="0002290A">
            <w:pPr>
              <w:ind w:right="64" w:hanging="11"/>
              <w:jc w:val="center"/>
              <w:rPr>
                <w:rFonts w:ascii="Calibri" w:hAnsi="Calibri" w:cs="Calibri"/>
                <w:i/>
                <w:color w:val="000000"/>
                <w:sz w:val="20"/>
                <w:szCs w:val="20"/>
              </w:rPr>
            </w:pPr>
            <w:r w:rsidRPr="00C9657D">
              <w:rPr>
                <w:rFonts w:ascii="Calibri" w:hAnsi="Calibri" w:cs="Calibri"/>
                <w:i/>
                <w:color w:val="000000"/>
                <w:sz w:val="20"/>
                <w:szCs w:val="20"/>
              </w:rPr>
              <w:t>HL Karlova Studánka</w:t>
            </w:r>
          </w:p>
        </w:tc>
        <w:tc>
          <w:tcPr>
            <w:tcW w:w="618" w:type="pct"/>
            <w:tcBorders>
              <w:bottom w:val="single" w:sz="4" w:space="0" w:color="auto"/>
            </w:tcBorders>
            <w:noWrap/>
            <w:vAlign w:val="center"/>
          </w:tcPr>
          <w:p w14:paraId="6F2D28DB" w14:textId="77777777" w:rsidR="00D55F31" w:rsidRPr="00C9657D" w:rsidRDefault="0024693B" w:rsidP="0002290A">
            <w:pPr>
              <w:jc w:val="right"/>
              <w:rPr>
                <w:rFonts w:ascii="Calibri" w:hAnsi="Calibri"/>
                <w:i/>
                <w:sz w:val="20"/>
                <w:szCs w:val="20"/>
                <w:lang w:eastAsia="cs-CZ"/>
              </w:rPr>
            </w:pPr>
            <w:r w:rsidRPr="00C9657D">
              <w:rPr>
                <w:rFonts w:ascii="Calibri" w:hAnsi="Calibri"/>
                <w:i/>
                <w:sz w:val="20"/>
                <w:szCs w:val="20"/>
                <w:lang w:eastAsia="cs-CZ"/>
              </w:rPr>
              <w:t>281</w:t>
            </w:r>
          </w:p>
        </w:tc>
        <w:tc>
          <w:tcPr>
            <w:tcW w:w="618" w:type="pct"/>
            <w:tcBorders>
              <w:bottom w:val="single" w:sz="4" w:space="0" w:color="auto"/>
            </w:tcBorders>
            <w:noWrap/>
            <w:vAlign w:val="center"/>
          </w:tcPr>
          <w:p w14:paraId="328547C7" w14:textId="77777777" w:rsidR="00D55F31" w:rsidRPr="00C9657D" w:rsidRDefault="0024693B" w:rsidP="0002290A">
            <w:pPr>
              <w:jc w:val="right"/>
              <w:rPr>
                <w:rFonts w:ascii="Calibri" w:hAnsi="Calibri"/>
                <w:i/>
                <w:sz w:val="20"/>
                <w:szCs w:val="20"/>
                <w:lang w:eastAsia="cs-CZ"/>
              </w:rPr>
            </w:pPr>
            <w:r w:rsidRPr="00C9657D">
              <w:rPr>
                <w:rFonts w:ascii="Calibri" w:hAnsi="Calibri"/>
                <w:i/>
                <w:sz w:val="20"/>
                <w:szCs w:val="20"/>
                <w:lang w:eastAsia="cs-CZ"/>
              </w:rPr>
              <w:t>477</w:t>
            </w:r>
          </w:p>
        </w:tc>
        <w:tc>
          <w:tcPr>
            <w:tcW w:w="617" w:type="pct"/>
            <w:tcBorders>
              <w:bottom w:val="single" w:sz="4" w:space="0" w:color="auto"/>
            </w:tcBorders>
            <w:noWrap/>
            <w:vAlign w:val="center"/>
          </w:tcPr>
          <w:p w14:paraId="3E1F7EA0" w14:textId="77777777" w:rsidR="00D55F31" w:rsidRPr="00C9657D" w:rsidRDefault="0024693B" w:rsidP="0002290A">
            <w:pPr>
              <w:jc w:val="right"/>
              <w:rPr>
                <w:rFonts w:ascii="Calibri" w:hAnsi="Calibri"/>
                <w:i/>
                <w:color w:val="000000"/>
                <w:sz w:val="20"/>
                <w:szCs w:val="20"/>
                <w:lang w:eastAsia="cs-CZ"/>
              </w:rPr>
            </w:pPr>
            <w:r w:rsidRPr="00C9657D">
              <w:rPr>
                <w:rFonts w:ascii="Calibri" w:hAnsi="Calibri"/>
                <w:i/>
                <w:color w:val="000000"/>
                <w:sz w:val="20"/>
                <w:szCs w:val="20"/>
                <w:lang w:eastAsia="cs-CZ"/>
              </w:rPr>
              <w:t>1 331</w:t>
            </w:r>
          </w:p>
        </w:tc>
      </w:tr>
      <w:tr w:rsidR="00C425F2" w14:paraId="7D67FD80" w14:textId="77777777" w:rsidTr="003F5F38">
        <w:trPr>
          <w:trHeight w:val="227"/>
          <w:jc w:val="center"/>
        </w:trPr>
        <w:tc>
          <w:tcPr>
            <w:tcW w:w="2086" w:type="pct"/>
            <w:vMerge/>
            <w:noWrap/>
            <w:vAlign w:val="center"/>
          </w:tcPr>
          <w:p w14:paraId="775C8DA2" w14:textId="77777777" w:rsidR="00D55F31" w:rsidRPr="00C9657D" w:rsidRDefault="00D55F31" w:rsidP="0002290A">
            <w:pPr>
              <w:rPr>
                <w:rFonts w:ascii="Calibri" w:hAnsi="Calibri" w:cs="Calibri"/>
                <w:i/>
                <w:color w:val="000000"/>
                <w:sz w:val="20"/>
                <w:szCs w:val="20"/>
                <w:lang w:eastAsia="cs-CZ"/>
              </w:rPr>
            </w:pPr>
          </w:p>
        </w:tc>
        <w:tc>
          <w:tcPr>
            <w:tcW w:w="1060" w:type="pct"/>
            <w:tcBorders>
              <w:top w:val="single" w:sz="4" w:space="0" w:color="auto"/>
              <w:bottom w:val="single" w:sz="4" w:space="0" w:color="auto"/>
            </w:tcBorders>
            <w:vAlign w:val="center"/>
          </w:tcPr>
          <w:p w14:paraId="34B2738B" w14:textId="77777777" w:rsidR="00D55F31" w:rsidRPr="00C9657D" w:rsidRDefault="0024693B" w:rsidP="0002290A">
            <w:pPr>
              <w:ind w:right="64" w:hanging="11"/>
              <w:jc w:val="center"/>
              <w:rPr>
                <w:rFonts w:ascii="Calibri" w:hAnsi="Calibri" w:cs="Calibri"/>
                <w:i/>
                <w:color w:val="000000"/>
                <w:sz w:val="20"/>
                <w:szCs w:val="20"/>
              </w:rPr>
            </w:pPr>
            <w:r w:rsidRPr="00C9657D">
              <w:rPr>
                <w:rFonts w:ascii="Calibri" w:hAnsi="Calibri" w:cs="Calibri"/>
                <w:i/>
                <w:color w:val="000000"/>
                <w:sz w:val="20"/>
                <w:szCs w:val="20"/>
              </w:rPr>
              <w:t>SLL Bludov</w:t>
            </w:r>
          </w:p>
        </w:tc>
        <w:tc>
          <w:tcPr>
            <w:tcW w:w="618" w:type="pct"/>
            <w:tcBorders>
              <w:top w:val="single" w:sz="4" w:space="0" w:color="auto"/>
              <w:bottom w:val="single" w:sz="4" w:space="0" w:color="auto"/>
            </w:tcBorders>
            <w:noWrap/>
            <w:vAlign w:val="center"/>
          </w:tcPr>
          <w:p w14:paraId="3D07605B" w14:textId="77777777" w:rsidR="00D55F31" w:rsidRPr="00C9657D" w:rsidRDefault="0024693B" w:rsidP="0002290A">
            <w:pPr>
              <w:jc w:val="right"/>
              <w:rPr>
                <w:rFonts w:ascii="Calibri" w:hAnsi="Calibri"/>
                <w:i/>
                <w:sz w:val="20"/>
                <w:szCs w:val="20"/>
              </w:rPr>
            </w:pPr>
            <w:r w:rsidRPr="00C9657D">
              <w:rPr>
                <w:rFonts w:ascii="Calibri" w:hAnsi="Calibri" w:cs="Calibri"/>
                <w:i/>
                <w:sz w:val="20"/>
                <w:szCs w:val="20"/>
              </w:rPr>
              <w:t>1 269</w:t>
            </w:r>
          </w:p>
        </w:tc>
        <w:tc>
          <w:tcPr>
            <w:tcW w:w="618" w:type="pct"/>
            <w:tcBorders>
              <w:top w:val="single" w:sz="4" w:space="0" w:color="auto"/>
              <w:bottom w:val="single" w:sz="4" w:space="0" w:color="auto"/>
            </w:tcBorders>
            <w:noWrap/>
            <w:vAlign w:val="center"/>
          </w:tcPr>
          <w:p w14:paraId="5F085A20" w14:textId="77777777" w:rsidR="00D55F31" w:rsidRPr="00C9657D" w:rsidRDefault="00CF0C6F" w:rsidP="0002290A">
            <w:pPr>
              <w:jc w:val="right"/>
              <w:rPr>
                <w:rFonts w:ascii="Calibri" w:hAnsi="Calibri"/>
                <w:i/>
                <w:sz w:val="20"/>
                <w:szCs w:val="20"/>
              </w:rPr>
            </w:pPr>
            <w:r>
              <w:rPr>
                <w:rFonts w:ascii="Calibri" w:hAnsi="Calibri" w:cs="Calibri"/>
                <w:i/>
                <w:sz w:val="20"/>
                <w:szCs w:val="20"/>
              </w:rPr>
              <w:t>1 232</w:t>
            </w:r>
          </w:p>
        </w:tc>
        <w:tc>
          <w:tcPr>
            <w:tcW w:w="617" w:type="pct"/>
            <w:tcBorders>
              <w:top w:val="single" w:sz="4" w:space="0" w:color="auto"/>
              <w:bottom w:val="single" w:sz="4" w:space="0" w:color="auto"/>
            </w:tcBorders>
            <w:noWrap/>
            <w:vAlign w:val="center"/>
          </w:tcPr>
          <w:p w14:paraId="5E765A03" w14:textId="77777777" w:rsidR="00D55F31" w:rsidRPr="00C9657D" w:rsidRDefault="0024693B" w:rsidP="0002290A">
            <w:pPr>
              <w:jc w:val="right"/>
              <w:rPr>
                <w:rFonts w:ascii="Calibri" w:hAnsi="Calibri"/>
                <w:i/>
                <w:sz w:val="20"/>
                <w:szCs w:val="20"/>
              </w:rPr>
            </w:pPr>
            <w:r w:rsidRPr="00C9657D">
              <w:rPr>
                <w:rFonts w:ascii="Calibri" w:hAnsi="Calibri" w:cs="Calibri"/>
                <w:i/>
                <w:sz w:val="20"/>
                <w:szCs w:val="20"/>
              </w:rPr>
              <w:t>1 276</w:t>
            </w:r>
          </w:p>
        </w:tc>
      </w:tr>
      <w:tr w:rsidR="00C425F2" w14:paraId="67D8E1EC" w14:textId="77777777" w:rsidTr="003F5F38">
        <w:trPr>
          <w:trHeight w:val="227"/>
          <w:jc w:val="center"/>
        </w:trPr>
        <w:tc>
          <w:tcPr>
            <w:tcW w:w="2086" w:type="pct"/>
            <w:vMerge/>
            <w:tcBorders>
              <w:bottom w:val="single" w:sz="12" w:space="0" w:color="auto"/>
            </w:tcBorders>
            <w:noWrap/>
            <w:vAlign w:val="center"/>
          </w:tcPr>
          <w:p w14:paraId="19752498" w14:textId="77777777" w:rsidR="00D55F31" w:rsidRPr="00C9657D" w:rsidRDefault="00D55F31" w:rsidP="0002290A">
            <w:pPr>
              <w:rPr>
                <w:rFonts w:ascii="Calibri" w:hAnsi="Calibri" w:cs="Calibri"/>
                <w:i/>
                <w:color w:val="000000"/>
                <w:sz w:val="20"/>
                <w:szCs w:val="20"/>
                <w:lang w:eastAsia="cs-CZ"/>
              </w:rPr>
            </w:pPr>
          </w:p>
        </w:tc>
        <w:tc>
          <w:tcPr>
            <w:tcW w:w="1060" w:type="pct"/>
            <w:tcBorders>
              <w:top w:val="single" w:sz="4" w:space="0" w:color="auto"/>
              <w:bottom w:val="single" w:sz="12" w:space="0" w:color="auto"/>
            </w:tcBorders>
            <w:vAlign w:val="center"/>
          </w:tcPr>
          <w:p w14:paraId="3E098FE5" w14:textId="1A46F6A6" w:rsidR="00D55F31" w:rsidRPr="00C9657D" w:rsidRDefault="0024693B" w:rsidP="0002290A">
            <w:pPr>
              <w:ind w:right="64" w:hanging="11"/>
              <w:jc w:val="center"/>
              <w:rPr>
                <w:rFonts w:ascii="Calibri" w:hAnsi="Calibri" w:cs="Calibri"/>
                <w:i/>
                <w:color w:val="000000"/>
                <w:sz w:val="20"/>
                <w:szCs w:val="20"/>
              </w:rPr>
            </w:pPr>
            <w:r w:rsidRPr="00C9657D">
              <w:rPr>
                <w:rFonts w:ascii="Calibri" w:hAnsi="Calibri" w:cs="Calibri"/>
                <w:i/>
                <w:color w:val="000000"/>
                <w:sz w:val="20"/>
                <w:szCs w:val="20"/>
              </w:rPr>
              <w:t>BALMED</w:t>
            </w:r>
            <w:r w:rsidR="003D2117">
              <w:rPr>
                <w:rFonts w:ascii="Calibri" w:hAnsi="Calibri" w:cs="Calibri"/>
                <w:i/>
                <w:color w:val="000000"/>
                <w:sz w:val="20"/>
                <w:szCs w:val="20"/>
              </w:rPr>
              <w:t xml:space="preserve"> Praha</w:t>
            </w:r>
          </w:p>
        </w:tc>
        <w:tc>
          <w:tcPr>
            <w:tcW w:w="618" w:type="pct"/>
            <w:tcBorders>
              <w:top w:val="single" w:sz="4" w:space="0" w:color="auto"/>
              <w:bottom w:val="single" w:sz="12" w:space="0" w:color="auto"/>
            </w:tcBorders>
            <w:noWrap/>
            <w:vAlign w:val="center"/>
          </w:tcPr>
          <w:p w14:paraId="0FE21245" w14:textId="77777777" w:rsidR="00D55F31" w:rsidRPr="00C9657D" w:rsidRDefault="0024693B" w:rsidP="0002290A">
            <w:pPr>
              <w:jc w:val="right"/>
              <w:rPr>
                <w:rFonts w:ascii="Calibri" w:hAnsi="Calibri"/>
                <w:i/>
                <w:iCs/>
                <w:color w:val="000000"/>
                <w:sz w:val="20"/>
                <w:szCs w:val="20"/>
              </w:rPr>
            </w:pPr>
            <w:r w:rsidRPr="00C9657D">
              <w:rPr>
                <w:rFonts w:ascii="Calibri" w:hAnsi="Calibri"/>
                <w:i/>
                <w:iCs/>
                <w:color w:val="000000"/>
                <w:sz w:val="20"/>
                <w:szCs w:val="20"/>
              </w:rPr>
              <w:t>6 188</w:t>
            </w:r>
          </w:p>
        </w:tc>
        <w:tc>
          <w:tcPr>
            <w:tcW w:w="618" w:type="pct"/>
            <w:tcBorders>
              <w:top w:val="single" w:sz="4" w:space="0" w:color="auto"/>
              <w:bottom w:val="single" w:sz="12" w:space="0" w:color="auto"/>
            </w:tcBorders>
            <w:noWrap/>
            <w:vAlign w:val="center"/>
          </w:tcPr>
          <w:p w14:paraId="6EE39EE1" w14:textId="77777777" w:rsidR="00D55F31" w:rsidRPr="00C9657D" w:rsidRDefault="0024693B" w:rsidP="0002290A">
            <w:pPr>
              <w:jc w:val="right"/>
              <w:rPr>
                <w:rFonts w:ascii="Calibri" w:hAnsi="Calibri"/>
                <w:i/>
                <w:iCs/>
                <w:color w:val="000000"/>
                <w:sz w:val="20"/>
                <w:szCs w:val="20"/>
              </w:rPr>
            </w:pPr>
            <w:r w:rsidRPr="00C9657D">
              <w:rPr>
                <w:rFonts w:ascii="Calibri" w:hAnsi="Calibri"/>
                <w:i/>
                <w:iCs/>
                <w:color w:val="000000"/>
                <w:sz w:val="20"/>
                <w:szCs w:val="20"/>
              </w:rPr>
              <w:t>451</w:t>
            </w:r>
          </w:p>
        </w:tc>
        <w:tc>
          <w:tcPr>
            <w:tcW w:w="617" w:type="pct"/>
            <w:tcBorders>
              <w:top w:val="single" w:sz="4" w:space="0" w:color="auto"/>
              <w:bottom w:val="single" w:sz="12" w:space="0" w:color="auto"/>
            </w:tcBorders>
            <w:noWrap/>
            <w:vAlign w:val="center"/>
          </w:tcPr>
          <w:p w14:paraId="2D531853" w14:textId="77777777" w:rsidR="00D55F31" w:rsidRPr="00C9657D" w:rsidRDefault="0024693B" w:rsidP="0002290A">
            <w:pPr>
              <w:jc w:val="right"/>
              <w:rPr>
                <w:rFonts w:ascii="Calibri" w:hAnsi="Calibri"/>
                <w:i/>
                <w:iCs/>
                <w:color w:val="000000"/>
                <w:sz w:val="20"/>
                <w:szCs w:val="20"/>
              </w:rPr>
            </w:pPr>
            <w:r w:rsidRPr="00C9657D">
              <w:rPr>
                <w:rFonts w:ascii="Calibri" w:hAnsi="Calibri"/>
                <w:i/>
                <w:iCs/>
                <w:color w:val="000000"/>
                <w:sz w:val="20"/>
                <w:szCs w:val="20"/>
              </w:rPr>
              <w:t>570</w:t>
            </w:r>
          </w:p>
        </w:tc>
      </w:tr>
    </w:tbl>
    <w:p w14:paraId="065FF64D" w14:textId="77777777" w:rsidR="00D55F31" w:rsidRPr="00C9657D" w:rsidRDefault="0024693B" w:rsidP="00004843">
      <w:pPr>
        <w:ind w:left="567" w:hanging="567"/>
        <w:jc w:val="both"/>
        <w:rPr>
          <w:rFonts w:ascii="Calibri" w:hAnsi="Calibri" w:cs="Calibri"/>
          <w:color w:val="000000"/>
          <w:sz w:val="20"/>
          <w:szCs w:val="16"/>
        </w:rPr>
      </w:pPr>
      <w:r w:rsidRPr="00C9657D">
        <w:rPr>
          <w:rFonts w:ascii="Calibri" w:hAnsi="Calibri" w:cs="Calibri"/>
          <w:b/>
          <w:color w:val="000000"/>
          <w:sz w:val="20"/>
          <w:szCs w:val="16"/>
        </w:rPr>
        <w:t>Zdroj:</w:t>
      </w:r>
      <w:r w:rsidRPr="00C9657D">
        <w:rPr>
          <w:rFonts w:ascii="Calibri" w:hAnsi="Calibri" w:cs="Calibri"/>
          <w:color w:val="000000"/>
          <w:sz w:val="20"/>
          <w:szCs w:val="16"/>
        </w:rPr>
        <w:t xml:space="preserve"> účetní závěrky </w:t>
      </w:r>
      <w:r w:rsidR="00D55F31">
        <w:rPr>
          <w:rFonts w:ascii="Calibri" w:hAnsi="Calibri" w:cs="Calibri"/>
          <w:color w:val="000000"/>
          <w:sz w:val="20"/>
          <w:szCs w:val="16"/>
        </w:rPr>
        <w:t xml:space="preserve">a informace </w:t>
      </w:r>
      <w:r w:rsidRPr="00C9657D">
        <w:rPr>
          <w:rFonts w:ascii="Calibri" w:hAnsi="Calibri" w:cs="Calibri"/>
          <w:color w:val="000000"/>
          <w:sz w:val="20"/>
          <w:szCs w:val="16"/>
        </w:rPr>
        <w:t>SLL Janské Lázně, HL Karlova Studánka, SLL Bludov a BALMED Praha za roky 2013 až 2015.</w:t>
      </w:r>
    </w:p>
    <w:p w14:paraId="2A789A1A" w14:textId="6C4D0330" w:rsidR="00D55F31" w:rsidRPr="00C9657D" w:rsidRDefault="0024693B" w:rsidP="003D1C64">
      <w:pPr>
        <w:spacing w:before="240"/>
        <w:jc w:val="both"/>
        <w:rPr>
          <w:rFonts w:ascii="Calibri" w:hAnsi="Calibri" w:cs="Calibri"/>
          <w:bCs/>
          <w:lang w:eastAsia="cs-CZ"/>
        </w:rPr>
      </w:pPr>
      <w:r w:rsidRPr="00C9657D">
        <w:rPr>
          <w:rFonts w:ascii="Calibri" w:hAnsi="Calibri"/>
        </w:rPr>
        <w:t>Celkové výnosy z poskytnutých zdravotních služeb</w:t>
      </w:r>
      <w:r w:rsidR="009F56C5" w:rsidRPr="009F56C5">
        <w:rPr>
          <w:rFonts w:ascii="Calibri" w:hAnsi="Calibri"/>
        </w:rPr>
        <w:t xml:space="preserve"> </w:t>
      </w:r>
      <w:r w:rsidR="009F56C5">
        <w:rPr>
          <w:rFonts w:ascii="Calibri" w:hAnsi="Calibri"/>
        </w:rPr>
        <w:t>v letech 2013 až 2015 s rozlišením plateb</w:t>
      </w:r>
      <w:r w:rsidRPr="00C9657D">
        <w:rPr>
          <w:rFonts w:ascii="Calibri" w:hAnsi="Calibri"/>
        </w:rPr>
        <w:t xml:space="preserve"> od zdravotních pojišťoven </w:t>
      </w:r>
      <w:r w:rsidR="001D2FFE">
        <w:rPr>
          <w:rFonts w:asciiTheme="minorHAnsi" w:hAnsiTheme="minorHAnsi"/>
          <w:color w:val="000000" w:themeColor="text1"/>
        </w:rPr>
        <w:t>(</w:t>
      </w:r>
      <w:r w:rsidRPr="00C9657D">
        <w:rPr>
          <w:rFonts w:asciiTheme="minorHAnsi" w:hAnsiTheme="minorHAnsi"/>
          <w:color w:val="000000" w:themeColor="text1"/>
        </w:rPr>
        <w:t>dále také „ZP</w:t>
      </w:r>
      <w:r w:rsidR="001D2FFE" w:rsidRPr="00C9657D">
        <w:rPr>
          <w:rFonts w:asciiTheme="minorHAnsi" w:hAnsiTheme="minorHAnsi"/>
          <w:color w:val="000000" w:themeColor="text1"/>
        </w:rPr>
        <w:t>“</w:t>
      </w:r>
      <w:r w:rsidR="001D2FFE">
        <w:rPr>
          <w:rFonts w:asciiTheme="minorHAnsi" w:hAnsiTheme="minorHAnsi"/>
          <w:color w:val="000000" w:themeColor="text1"/>
        </w:rPr>
        <w:t>)</w:t>
      </w:r>
      <w:r w:rsidR="001D2FFE" w:rsidRPr="00C9657D">
        <w:rPr>
          <w:rFonts w:ascii="Calibri" w:hAnsi="Calibri"/>
        </w:rPr>
        <w:t xml:space="preserve"> </w:t>
      </w:r>
      <w:r w:rsidRPr="00C9657D">
        <w:rPr>
          <w:rFonts w:ascii="Calibri" w:hAnsi="Calibri"/>
        </w:rPr>
        <w:t xml:space="preserve">a samoplátců </w:t>
      </w:r>
      <w:r>
        <w:rPr>
          <w:rFonts w:ascii="Calibri" w:hAnsi="Calibri"/>
        </w:rPr>
        <w:t>jsou uvedeny</w:t>
      </w:r>
      <w:r w:rsidRPr="00C9657D">
        <w:rPr>
          <w:rFonts w:ascii="Calibri" w:hAnsi="Calibri" w:cs="Calibri"/>
        </w:rPr>
        <w:t xml:space="preserve"> </w:t>
      </w:r>
      <w:r>
        <w:rPr>
          <w:rFonts w:ascii="Calibri" w:hAnsi="Calibri" w:cs="Calibri"/>
        </w:rPr>
        <w:t xml:space="preserve">v </w:t>
      </w:r>
      <w:r w:rsidRPr="00C9657D">
        <w:rPr>
          <w:rFonts w:ascii="Calibri" w:hAnsi="Calibri" w:cs="Calibri"/>
        </w:rPr>
        <w:t>t</w:t>
      </w:r>
      <w:r>
        <w:rPr>
          <w:rFonts w:ascii="Calibri" w:hAnsi="Calibri"/>
        </w:rPr>
        <w:t>abulce</w:t>
      </w:r>
      <w:r w:rsidRPr="00C9657D">
        <w:rPr>
          <w:rFonts w:ascii="Calibri" w:hAnsi="Calibri"/>
        </w:rPr>
        <w:t xml:space="preserve"> č. 6.</w:t>
      </w:r>
      <w:r w:rsidRPr="00C9657D">
        <w:rPr>
          <w:rFonts w:ascii="Calibri" w:hAnsi="Calibri" w:cs="Calibri"/>
          <w:bCs/>
          <w:lang w:eastAsia="cs-CZ"/>
        </w:rPr>
        <w:t xml:space="preserve"> </w:t>
      </w:r>
      <w:r w:rsidRPr="00C9657D">
        <w:rPr>
          <w:rFonts w:ascii="Calibri" w:hAnsi="Calibri"/>
        </w:rPr>
        <w:t>Výnosy od ZP se na celkových výnosech z poskytnutých zdravotních služeb podílely v kontrolovaném období v průměru u SLL Bludov ve výši 91,4 %, u SLL Janské Lázně ve výši 81,4 % a u HL Karlova Studánka ve výši 56,3 %.</w:t>
      </w:r>
    </w:p>
    <w:p w14:paraId="6FBC9EC6" w14:textId="2CEDA814" w:rsidR="009443FF" w:rsidRPr="00337D0D" w:rsidRDefault="0024693B" w:rsidP="0002290A">
      <w:pPr>
        <w:spacing w:before="40"/>
        <w:jc w:val="both"/>
        <w:rPr>
          <w:rFonts w:asciiTheme="minorHAnsi" w:hAnsiTheme="minorHAnsi" w:cs="Calibri"/>
          <w:bCs/>
          <w:szCs w:val="20"/>
          <w:lang w:eastAsia="cs-CZ"/>
        </w:rPr>
      </w:pPr>
      <w:r w:rsidRPr="00C9657D">
        <w:rPr>
          <w:rFonts w:ascii="Calibri" w:hAnsi="Calibri"/>
        </w:rPr>
        <w:t xml:space="preserve">Celkový počet klientů </w:t>
      </w:r>
      <w:r>
        <w:rPr>
          <w:rFonts w:ascii="Calibri" w:hAnsi="Calibri"/>
        </w:rPr>
        <w:t>lázeňské péče</w:t>
      </w:r>
      <w:r w:rsidRPr="00C9657D">
        <w:rPr>
          <w:rFonts w:ascii="Calibri" w:hAnsi="Calibri"/>
        </w:rPr>
        <w:t xml:space="preserve"> v</w:t>
      </w:r>
      <w:r>
        <w:rPr>
          <w:rFonts w:ascii="Calibri" w:hAnsi="Calibri"/>
        </w:rPr>
        <w:t xml:space="preserve"> průběhu kontrolovaného </w:t>
      </w:r>
      <w:r w:rsidRPr="00C9657D">
        <w:rPr>
          <w:rFonts w:ascii="Calibri" w:hAnsi="Calibri"/>
        </w:rPr>
        <w:t>období</w:t>
      </w:r>
      <w:r>
        <w:rPr>
          <w:rFonts w:ascii="Calibri" w:hAnsi="Calibri"/>
        </w:rPr>
        <w:t xml:space="preserve"> </w:t>
      </w:r>
      <w:r w:rsidR="009F56C5">
        <w:rPr>
          <w:rFonts w:ascii="Calibri" w:hAnsi="Calibri"/>
        </w:rPr>
        <w:t xml:space="preserve">narůstal </w:t>
      </w:r>
      <w:r w:rsidRPr="00C9657D">
        <w:rPr>
          <w:rFonts w:ascii="Calibri" w:hAnsi="Calibri"/>
        </w:rPr>
        <w:t xml:space="preserve">u všech lázní. </w:t>
      </w:r>
      <w:r w:rsidR="009443FF" w:rsidRPr="00337D0D">
        <w:rPr>
          <w:rFonts w:asciiTheme="minorHAnsi" w:hAnsiTheme="minorHAnsi" w:cs="Calibri"/>
          <w:bCs/>
          <w:szCs w:val="20"/>
          <w:lang w:eastAsia="cs-CZ"/>
        </w:rPr>
        <w:t xml:space="preserve">Nejvyšší celkový počet klientů v letech 2013 a 2014 vykázaly HL Karlova Studánka, což bylo </w:t>
      </w:r>
      <w:r w:rsidR="00DF673C">
        <w:rPr>
          <w:rFonts w:asciiTheme="minorHAnsi" w:hAnsiTheme="minorHAnsi" w:cs="Calibri"/>
          <w:bCs/>
          <w:szCs w:val="20"/>
          <w:lang w:eastAsia="cs-CZ"/>
        </w:rPr>
        <w:t>ovlivněno</w:t>
      </w:r>
      <w:r w:rsidR="00DF673C" w:rsidRPr="00337D0D">
        <w:rPr>
          <w:rFonts w:asciiTheme="minorHAnsi" w:hAnsiTheme="minorHAnsi" w:cs="Calibri"/>
          <w:bCs/>
          <w:szCs w:val="20"/>
          <w:lang w:eastAsia="cs-CZ"/>
        </w:rPr>
        <w:t xml:space="preserve"> </w:t>
      </w:r>
      <w:r w:rsidR="00DF673C">
        <w:rPr>
          <w:rFonts w:asciiTheme="minorHAnsi" w:hAnsiTheme="minorHAnsi" w:cs="Calibri"/>
          <w:bCs/>
          <w:szCs w:val="20"/>
          <w:lang w:eastAsia="cs-CZ"/>
        </w:rPr>
        <w:t xml:space="preserve">vyšším </w:t>
      </w:r>
      <w:r w:rsidR="009443FF" w:rsidRPr="00337D0D">
        <w:rPr>
          <w:rFonts w:asciiTheme="minorHAnsi" w:hAnsiTheme="minorHAnsi" w:cs="Calibri"/>
          <w:bCs/>
          <w:szCs w:val="20"/>
          <w:lang w:eastAsia="cs-CZ"/>
        </w:rPr>
        <w:t xml:space="preserve">počtem </w:t>
      </w:r>
      <w:r w:rsidR="009F56C5">
        <w:rPr>
          <w:rFonts w:asciiTheme="minorHAnsi" w:hAnsiTheme="minorHAnsi" w:cs="Calibri"/>
          <w:bCs/>
          <w:szCs w:val="20"/>
          <w:lang w:eastAsia="cs-CZ"/>
        </w:rPr>
        <w:t xml:space="preserve">krátkodobých </w:t>
      </w:r>
      <w:r w:rsidR="009443FF" w:rsidRPr="00337D0D">
        <w:rPr>
          <w:rFonts w:asciiTheme="minorHAnsi" w:hAnsiTheme="minorHAnsi" w:cs="Calibri"/>
          <w:bCs/>
          <w:szCs w:val="20"/>
          <w:lang w:eastAsia="cs-CZ"/>
        </w:rPr>
        <w:t>pobytů hrazených samoplátci.</w:t>
      </w:r>
      <w:r w:rsidR="00255813">
        <w:rPr>
          <w:rFonts w:asciiTheme="minorHAnsi" w:hAnsiTheme="minorHAnsi" w:cs="Calibri"/>
          <w:bCs/>
          <w:szCs w:val="20"/>
          <w:lang w:eastAsia="cs-CZ"/>
        </w:rPr>
        <w:t xml:space="preserve"> </w:t>
      </w:r>
      <w:r w:rsidR="00255813" w:rsidRPr="00C9657D">
        <w:rPr>
          <w:rFonts w:ascii="Calibri" w:hAnsi="Calibri"/>
        </w:rPr>
        <w:t>Tabulka č. 7 uvádí statistické údaje o podílu klientů na ošetřovacích dnech.</w:t>
      </w:r>
    </w:p>
    <w:p w14:paraId="32240F23" w14:textId="77777777" w:rsidR="00004843" w:rsidRDefault="00004843">
      <w:pPr>
        <w:rPr>
          <w:rFonts w:asciiTheme="minorHAnsi" w:hAnsiTheme="minorHAnsi" w:cs="Calibri"/>
          <w:b/>
        </w:rPr>
      </w:pPr>
      <w:r>
        <w:rPr>
          <w:rFonts w:asciiTheme="minorHAnsi" w:hAnsiTheme="minorHAnsi" w:cs="Calibri"/>
          <w:b/>
        </w:rPr>
        <w:br w:type="page"/>
      </w:r>
    </w:p>
    <w:p w14:paraId="2C657946" w14:textId="77777777" w:rsidR="00D55F31" w:rsidRPr="00C9657D" w:rsidRDefault="0024693B" w:rsidP="003D1C64">
      <w:pPr>
        <w:tabs>
          <w:tab w:val="left" w:pos="7938"/>
        </w:tabs>
        <w:spacing w:before="240" w:after="40"/>
        <w:jc w:val="both"/>
        <w:rPr>
          <w:rFonts w:asciiTheme="minorHAnsi" w:hAnsiTheme="minorHAnsi" w:cs="Calibri"/>
          <w:b/>
        </w:rPr>
      </w:pPr>
      <w:r w:rsidRPr="00C9657D">
        <w:rPr>
          <w:rFonts w:asciiTheme="minorHAnsi" w:hAnsiTheme="minorHAnsi" w:cs="Calibri"/>
          <w:b/>
        </w:rPr>
        <w:lastRenderedPageBreak/>
        <w:t xml:space="preserve">Tabulka č. 7 </w:t>
      </w:r>
      <w:r>
        <w:rPr>
          <w:rFonts w:asciiTheme="minorHAnsi" w:hAnsiTheme="minorHAnsi" w:cs="Calibri"/>
          <w:b/>
        </w:rPr>
        <w:t>–</w:t>
      </w:r>
      <w:r w:rsidRPr="00C9657D">
        <w:rPr>
          <w:rFonts w:asciiTheme="minorHAnsi" w:hAnsiTheme="minorHAnsi" w:cs="Calibri"/>
          <w:b/>
        </w:rPr>
        <w:t xml:space="preserve"> Podíl klientů na ošetřovacích dnech </w:t>
      </w:r>
      <w:r>
        <w:rPr>
          <w:rFonts w:asciiTheme="minorHAnsi" w:hAnsiTheme="minorHAnsi" w:cs="Calibri"/>
          <w:b/>
        </w:rPr>
        <w:t xml:space="preserve">v letech </w:t>
      </w:r>
      <w:r w:rsidRPr="00C9657D">
        <w:rPr>
          <w:rFonts w:asciiTheme="minorHAnsi" w:hAnsiTheme="minorHAnsi" w:cs="Calibri"/>
          <w:b/>
        </w:rPr>
        <w:t>2013–2015</w:t>
      </w:r>
      <w:r w:rsidRPr="00C9657D">
        <w:rPr>
          <w:rFonts w:asciiTheme="minorHAnsi" w:hAnsiTheme="minorHAnsi" w:cs="Calibri"/>
          <w:b/>
        </w:rPr>
        <w:tab/>
      </w:r>
    </w:p>
    <w:tbl>
      <w:tblPr>
        <w:tblW w:w="495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720"/>
        <w:gridCol w:w="2016"/>
        <w:gridCol w:w="1073"/>
        <w:gridCol w:w="1073"/>
        <w:gridCol w:w="1071"/>
      </w:tblGrid>
      <w:tr w:rsidR="00C425F2" w14:paraId="70E6AA4B" w14:textId="77777777" w:rsidTr="00F17372">
        <w:trPr>
          <w:trHeight w:val="227"/>
          <w:jc w:val="center"/>
        </w:trPr>
        <w:tc>
          <w:tcPr>
            <w:tcW w:w="3204" w:type="pct"/>
            <w:gridSpan w:val="2"/>
            <w:tcBorders>
              <w:top w:val="single" w:sz="12" w:space="0" w:color="auto"/>
            </w:tcBorders>
            <w:shd w:val="clear" w:color="auto" w:fill="C6D9F1" w:themeFill="text2" w:themeFillTint="33"/>
            <w:noWrap/>
            <w:vAlign w:val="center"/>
            <w:hideMark/>
          </w:tcPr>
          <w:p w14:paraId="4BEA37D0" w14:textId="77777777" w:rsidR="00D55F31" w:rsidRPr="00C9657D" w:rsidRDefault="00D55F31" w:rsidP="0002290A">
            <w:pPr>
              <w:jc w:val="center"/>
              <w:rPr>
                <w:rFonts w:asciiTheme="minorHAnsi" w:hAnsiTheme="minorHAnsi" w:cs="Calibri"/>
                <w:b/>
                <w:i/>
                <w:color w:val="000000"/>
                <w:sz w:val="20"/>
                <w:szCs w:val="20"/>
                <w:lang w:eastAsia="cs-CZ"/>
              </w:rPr>
            </w:pPr>
          </w:p>
        </w:tc>
        <w:tc>
          <w:tcPr>
            <w:tcW w:w="599" w:type="pct"/>
            <w:tcBorders>
              <w:top w:val="single" w:sz="12" w:space="0" w:color="auto"/>
            </w:tcBorders>
            <w:shd w:val="clear" w:color="auto" w:fill="C6D9F1" w:themeFill="text2" w:themeFillTint="33"/>
            <w:noWrap/>
            <w:vAlign w:val="center"/>
            <w:hideMark/>
          </w:tcPr>
          <w:p w14:paraId="736C080B" w14:textId="77777777" w:rsidR="00D55F31" w:rsidRPr="00C9657D" w:rsidRDefault="0024693B" w:rsidP="0002290A">
            <w:pPr>
              <w:jc w:val="center"/>
              <w:rPr>
                <w:rFonts w:asciiTheme="minorHAnsi" w:hAnsiTheme="minorHAnsi" w:cs="Calibri"/>
                <w:b/>
                <w:color w:val="000000"/>
                <w:sz w:val="20"/>
                <w:szCs w:val="20"/>
                <w:lang w:eastAsia="cs-CZ"/>
              </w:rPr>
            </w:pPr>
            <w:r w:rsidRPr="00C9657D">
              <w:rPr>
                <w:rFonts w:asciiTheme="minorHAnsi" w:hAnsiTheme="minorHAnsi" w:cs="Calibri"/>
                <w:b/>
                <w:color w:val="000000"/>
                <w:sz w:val="20"/>
                <w:szCs w:val="20"/>
                <w:lang w:eastAsia="cs-CZ"/>
              </w:rPr>
              <w:t>2013</w:t>
            </w:r>
          </w:p>
        </w:tc>
        <w:tc>
          <w:tcPr>
            <w:tcW w:w="599" w:type="pct"/>
            <w:tcBorders>
              <w:top w:val="single" w:sz="12" w:space="0" w:color="auto"/>
            </w:tcBorders>
            <w:shd w:val="clear" w:color="auto" w:fill="C6D9F1" w:themeFill="text2" w:themeFillTint="33"/>
            <w:noWrap/>
            <w:vAlign w:val="center"/>
            <w:hideMark/>
          </w:tcPr>
          <w:p w14:paraId="127D73E7" w14:textId="77777777" w:rsidR="00D55F31" w:rsidRPr="00C9657D" w:rsidRDefault="0024693B" w:rsidP="0002290A">
            <w:pPr>
              <w:jc w:val="center"/>
              <w:rPr>
                <w:rFonts w:asciiTheme="minorHAnsi" w:hAnsiTheme="minorHAnsi" w:cs="Calibri"/>
                <w:b/>
                <w:color w:val="000000"/>
                <w:sz w:val="20"/>
                <w:szCs w:val="20"/>
                <w:lang w:eastAsia="cs-CZ"/>
              </w:rPr>
            </w:pPr>
            <w:r w:rsidRPr="00C9657D">
              <w:rPr>
                <w:rFonts w:asciiTheme="minorHAnsi" w:hAnsiTheme="minorHAnsi" w:cs="Calibri"/>
                <w:b/>
                <w:color w:val="000000"/>
                <w:sz w:val="20"/>
                <w:szCs w:val="20"/>
                <w:lang w:eastAsia="cs-CZ"/>
              </w:rPr>
              <w:t>2014</w:t>
            </w:r>
          </w:p>
        </w:tc>
        <w:tc>
          <w:tcPr>
            <w:tcW w:w="598" w:type="pct"/>
            <w:tcBorders>
              <w:top w:val="single" w:sz="12" w:space="0" w:color="auto"/>
            </w:tcBorders>
            <w:shd w:val="clear" w:color="auto" w:fill="C6D9F1" w:themeFill="text2" w:themeFillTint="33"/>
            <w:noWrap/>
            <w:vAlign w:val="center"/>
            <w:hideMark/>
          </w:tcPr>
          <w:p w14:paraId="71D41997" w14:textId="77777777" w:rsidR="00D55F31" w:rsidRPr="00C9657D" w:rsidRDefault="0024693B" w:rsidP="0002290A">
            <w:pPr>
              <w:jc w:val="center"/>
              <w:rPr>
                <w:rFonts w:asciiTheme="minorHAnsi" w:hAnsiTheme="minorHAnsi" w:cs="Calibri"/>
                <w:b/>
                <w:color w:val="000000"/>
                <w:sz w:val="20"/>
                <w:szCs w:val="20"/>
                <w:lang w:eastAsia="cs-CZ"/>
              </w:rPr>
            </w:pPr>
            <w:r w:rsidRPr="00C9657D">
              <w:rPr>
                <w:rFonts w:asciiTheme="minorHAnsi" w:hAnsiTheme="minorHAnsi" w:cs="Calibri"/>
                <w:b/>
                <w:color w:val="000000"/>
                <w:sz w:val="20"/>
                <w:szCs w:val="20"/>
                <w:lang w:eastAsia="cs-CZ"/>
              </w:rPr>
              <w:t>2015</w:t>
            </w:r>
          </w:p>
        </w:tc>
      </w:tr>
      <w:tr w:rsidR="00C425F2" w14:paraId="4BC584A4" w14:textId="77777777" w:rsidTr="00F17372">
        <w:trPr>
          <w:trHeight w:val="227"/>
          <w:jc w:val="center"/>
        </w:trPr>
        <w:tc>
          <w:tcPr>
            <w:tcW w:w="2078" w:type="pct"/>
            <w:vMerge w:val="restart"/>
            <w:tcBorders>
              <w:top w:val="single" w:sz="12" w:space="0" w:color="auto"/>
            </w:tcBorders>
            <w:noWrap/>
            <w:vAlign w:val="center"/>
            <w:hideMark/>
          </w:tcPr>
          <w:p w14:paraId="5C1FE393" w14:textId="77777777" w:rsidR="00D55F31" w:rsidRPr="00C9657D" w:rsidRDefault="0024693B" w:rsidP="0002290A">
            <w:pPr>
              <w:rPr>
                <w:rFonts w:asciiTheme="minorHAnsi" w:hAnsiTheme="minorHAnsi" w:cs="Calibri"/>
                <w:b/>
                <w:color w:val="000000"/>
                <w:sz w:val="20"/>
                <w:szCs w:val="20"/>
                <w:lang w:eastAsia="cs-CZ"/>
              </w:rPr>
            </w:pPr>
            <w:r w:rsidRPr="00C9657D">
              <w:rPr>
                <w:rFonts w:asciiTheme="minorHAnsi" w:hAnsiTheme="minorHAnsi" w:cs="Calibri"/>
                <w:b/>
                <w:color w:val="000000"/>
                <w:sz w:val="20"/>
                <w:szCs w:val="20"/>
                <w:lang w:eastAsia="cs-CZ"/>
              </w:rPr>
              <w:t>Celkový počet klientů</w:t>
            </w:r>
          </w:p>
        </w:tc>
        <w:tc>
          <w:tcPr>
            <w:tcW w:w="1125" w:type="pct"/>
            <w:tcBorders>
              <w:top w:val="single" w:sz="12" w:space="0" w:color="auto"/>
            </w:tcBorders>
            <w:vAlign w:val="center"/>
          </w:tcPr>
          <w:p w14:paraId="4E6A60A2" w14:textId="77777777" w:rsidR="00D55F31" w:rsidRPr="00C9657D" w:rsidRDefault="0024693B" w:rsidP="0002290A">
            <w:pPr>
              <w:ind w:right="64" w:hanging="11"/>
              <w:jc w:val="center"/>
              <w:rPr>
                <w:rFonts w:asciiTheme="minorHAnsi" w:hAnsiTheme="minorHAnsi" w:cs="Calibri"/>
                <w:b/>
                <w:i/>
                <w:color w:val="000000"/>
                <w:sz w:val="20"/>
                <w:szCs w:val="20"/>
              </w:rPr>
            </w:pPr>
            <w:r w:rsidRPr="00C9657D">
              <w:rPr>
                <w:rFonts w:asciiTheme="minorHAnsi" w:hAnsiTheme="minorHAnsi" w:cs="Calibri"/>
                <w:b/>
                <w:i/>
                <w:color w:val="000000"/>
                <w:sz w:val="20"/>
                <w:szCs w:val="20"/>
              </w:rPr>
              <w:t>SLL Janské Lázně</w:t>
            </w:r>
          </w:p>
        </w:tc>
        <w:tc>
          <w:tcPr>
            <w:tcW w:w="599" w:type="pct"/>
            <w:tcBorders>
              <w:top w:val="single" w:sz="12" w:space="0" w:color="auto"/>
            </w:tcBorders>
            <w:noWrap/>
            <w:vAlign w:val="center"/>
          </w:tcPr>
          <w:p w14:paraId="620A05B6" w14:textId="77777777" w:rsidR="00D55F31" w:rsidRPr="00C9657D" w:rsidRDefault="0024693B" w:rsidP="0002290A">
            <w:pPr>
              <w:jc w:val="right"/>
              <w:rPr>
                <w:rFonts w:asciiTheme="minorHAnsi" w:hAnsiTheme="minorHAnsi"/>
                <w:b/>
                <w:i/>
                <w:sz w:val="20"/>
                <w:szCs w:val="20"/>
              </w:rPr>
            </w:pPr>
            <w:r w:rsidRPr="00C9657D">
              <w:rPr>
                <w:rFonts w:asciiTheme="minorHAnsi" w:hAnsiTheme="minorHAnsi"/>
                <w:b/>
                <w:i/>
                <w:sz w:val="20"/>
                <w:szCs w:val="20"/>
              </w:rPr>
              <w:t>7 303</w:t>
            </w:r>
          </w:p>
        </w:tc>
        <w:tc>
          <w:tcPr>
            <w:tcW w:w="599" w:type="pct"/>
            <w:tcBorders>
              <w:top w:val="single" w:sz="12" w:space="0" w:color="auto"/>
            </w:tcBorders>
            <w:noWrap/>
            <w:vAlign w:val="center"/>
          </w:tcPr>
          <w:p w14:paraId="3589EF4F" w14:textId="77777777" w:rsidR="00D55F31" w:rsidRPr="00C9657D" w:rsidRDefault="0024693B" w:rsidP="0002290A">
            <w:pPr>
              <w:jc w:val="right"/>
              <w:rPr>
                <w:rFonts w:asciiTheme="minorHAnsi" w:hAnsiTheme="minorHAnsi"/>
                <w:b/>
                <w:i/>
                <w:sz w:val="20"/>
                <w:szCs w:val="20"/>
              </w:rPr>
            </w:pPr>
            <w:r w:rsidRPr="00C9657D">
              <w:rPr>
                <w:rFonts w:asciiTheme="minorHAnsi" w:hAnsiTheme="minorHAnsi"/>
                <w:b/>
                <w:i/>
                <w:sz w:val="20"/>
                <w:szCs w:val="20"/>
              </w:rPr>
              <w:t>9 258</w:t>
            </w:r>
          </w:p>
        </w:tc>
        <w:tc>
          <w:tcPr>
            <w:tcW w:w="598" w:type="pct"/>
            <w:tcBorders>
              <w:top w:val="single" w:sz="12" w:space="0" w:color="auto"/>
            </w:tcBorders>
            <w:noWrap/>
            <w:vAlign w:val="center"/>
          </w:tcPr>
          <w:p w14:paraId="07AE7B86" w14:textId="77777777" w:rsidR="00D55F31" w:rsidRPr="00C9657D" w:rsidRDefault="0024693B" w:rsidP="0002290A">
            <w:pPr>
              <w:jc w:val="right"/>
              <w:rPr>
                <w:rFonts w:asciiTheme="minorHAnsi" w:hAnsiTheme="minorHAnsi"/>
                <w:b/>
                <w:i/>
                <w:sz w:val="20"/>
                <w:szCs w:val="20"/>
              </w:rPr>
            </w:pPr>
            <w:r w:rsidRPr="00C9657D">
              <w:rPr>
                <w:rFonts w:asciiTheme="minorHAnsi" w:hAnsiTheme="minorHAnsi"/>
                <w:b/>
                <w:i/>
                <w:sz w:val="20"/>
                <w:szCs w:val="20"/>
              </w:rPr>
              <w:t>11 171</w:t>
            </w:r>
          </w:p>
        </w:tc>
      </w:tr>
      <w:tr w:rsidR="00C425F2" w14:paraId="58979728" w14:textId="77777777" w:rsidTr="00F17372">
        <w:trPr>
          <w:trHeight w:val="227"/>
          <w:jc w:val="center"/>
        </w:trPr>
        <w:tc>
          <w:tcPr>
            <w:tcW w:w="2078" w:type="pct"/>
            <w:vMerge/>
            <w:noWrap/>
            <w:vAlign w:val="center"/>
          </w:tcPr>
          <w:p w14:paraId="737E73EC" w14:textId="77777777" w:rsidR="00D55F31" w:rsidRPr="00C9657D" w:rsidRDefault="00D55F31" w:rsidP="0002290A">
            <w:pPr>
              <w:rPr>
                <w:rFonts w:asciiTheme="minorHAnsi" w:hAnsiTheme="minorHAnsi" w:cs="Calibri"/>
                <w:b/>
                <w:color w:val="000000"/>
                <w:sz w:val="20"/>
                <w:szCs w:val="20"/>
                <w:lang w:eastAsia="cs-CZ"/>
              </w:rPr>
            </w:pPr>
          </w:p>
        </w:tc>
        <w:tc>
          <w:tcPr>
            <w:tcW w:w="1125" w:type="pct"/>
            <w:tcBorders>
              <w:bottom w:val="single" w:sz="4" w:space="0" w:color="auto"/>
            </w:tcBorders>
            <w:vAlign w:val="center"/>
          </w:tcPr>
          <w:p w14:paraId="55321799" w14:textId="77777777" w:rsidR="00D55F31" w:rsidRPr="00C9657D" w:rsidRDefault="0024693B" w:rsidP="0002290A">
            <w:pPr>
              <w:ind w:right="64" w:hanging="11"/>
              <w:jc w:val="center"/>
              <w:rPr>
                <w:rFonts w:asciiTheme="minorHAnsi" w:hAnsiTheme="minorHAnsi" w:cs="Calibri"/>
                <w:b/>
                <w:i/>
                <w:color w:val="000000"/>
                <w:sz w:val="20"/>
                <w:szCs w:val="20"/>
              </w:rPr>
            </w:pPr>
            <w:r w:rsidRPr="00C9657D">
              <w:rPr>
                <w:rFonts w:asciiTheme="minorHAnsi" w:hAnsiTheme="minorHAnsi" w:cs="Calibri"/>
                <w:b/>
                <w:i/>
                <w:color w:val="000000"/>
                <w:sz w:val="20"/>
                <w:szCs w:val="20"/>
              </w:rPr>
              <w:t>HL Karlova Studánka</w:t>
            </w:r>
          </w:p>
        </w:tc>
        <w:tc>
          <w:tcPr>
            <w:tcW w:w="599" w:type="pct"/>
            <w:tcBorders>
              <w:bottom w:val="single" w:sz="4" w:space="0" w:color="auto"/>
            </w:tcBorders>
            <w:noWrap/>
            <w:vAlign w:val="center"/>
          </w:tcPr>
          <w:p w14:paraId="7DC033F3" w14:textId="77777777" w:rsidR="00D55F31" w:rsidRPr="00C9657D" w:rsidRDefault="0024693B" w:rsidP="0002290A">
            <w:pPr>
              <w:jc w:val="right"/>
              <w:rPr>
                <w:rFonts w:asciiTheme="minorHAnsi" w:hAnsiTheme="minorHAnsi"/>
                <w:b/>
                <w:i/>
                <w:sz w:val="20"/>
                <w:szCs w:val="20"/>
                <w:lang w:eastAsia="cs-CZ"/>
              </w:rPr>
            </w:pPr>
            <w:r w:rsidRPr="00C9657D">
              <w:rPr>
                <w:rFonts w:asciiTheme="minorHAnsi" w:hAnsiTheme="minorHAnsi"/>
                <w:b/>
                <w:i/>
                <w:sz w:val="20"/>
                <w:szCs w:val="20"/>
                <w:lang w:eastAsia="cs-CZ"/>
              </w:rPr>
              <w:t>11 387</w:t>
            </w:r>
          </w:p>
        </w:tc>
        <w:tc>
          <w:tcPr>
            <w:tcW w:w="599" w:type="pct"/>
            <w:tcBorders>
              <w:bottom w:val="single" w:sz="4" w:space="0" w:color="auto"/>
            </w:tcBorders>
            <w:noWrap/>
            <w:vAlign w:val="center"/>
          </w:tcPr>
          <w:p w14:paraId="5195FCA5" w14:textId="77777777" w:rsidR="00D55F31" w:rsidRPr="00C9657D" w:rsidRDefault="0024693B" w:rsidP="0002290A">
            <w:pPr>
              <w:jc w:val="right"/>
              <w:rPr>
                <w:rFonts w:asciiTheme="minorHAnsi" w:hAnsiTheme="minorHAnsi"/>
                <w:b/>
                <w:i/>
                <w:sz w:val="20"/>
                <w:szCs w:val="20"/>
                <w:lang w:eastAsia="cs-CZ"/>
              </w:rPr>
            </w:pPr>
            <w:r w:rsidRPr="00C9657D">
              <w:rPr>
                <w:rFonts w:asciiTheme="minorHAnsi" w:hAnsiTheme="minorHAnsi"/>
                <w:b/>
                <w:i/>
                <w:sz w:val="20"/>
                <w:szCs w:val="20"/>
                <w:lang w:eastAsia="cs-CZ"/>
              </w:rPr>
              <w:t>12 374</w:t>
            </w:r>
          </w:p>
        </w:tc>
        <w:tc>
          <w:tcPr>
            <w:tcW w:w="598" w:type="pct"/>
            <w:tcBorders>
              <w:bottom w:val="single" w:sz="4" w:space="0" w:color="auto"/>
            </w:tcBorders>
            <w:noWrap/>
            <w:vAlign w:val="center"/>
          </w:tcPr>
          <w:p w14:paraId="020A1A17" w14:textId="77777777" w:rsidR="00D55F31" w:rsidRPr="00C9657D" w:rsidRDefault="0024693B" w:rsidP="0002290A">
            <w:pPr>
              <w:jc w:val="right"/>
              <w:rPr>
                <w:rFonts w:asciiTheme="minorHAnsi" w:hAnsiTheme="minorHAnsi"/>
                <w:b/>
                <w:i/>
                <w:color w:val="000000"/>
                <w:sz w:val="20"/>
                <w:szCs w:val="20"/>
                <w:lang w:eastAsia="cs-CZ"/>
              </w:rPr>
            </w:pPr>
            <w:r w:rsidRPr="00C9657D">
              <w:rPr>
                <w:rFonts w:asciiTheme="minorHAnsi" w:hAnsiTheme="minorHAnsi"/>
                <w:b/>
                <w:i/>
                <w:color w:val="000000"/>
                <w:sz w:val="20"/>
                <w:szCs w:val="20"/>
                <w:lang w:eastAsia="cs-CZ"/>
              </w:rPr>
              <w:t>8 896</w:t>
            </w:r>
          </w:p>
        </w:tc>
      </w:tr>
      <w:tr w:rsidR="00C425F2" w14:paraId="3ACE70F0" w14:textId="77777777" w:rsidTr="00F17372">
        <w:trPr>
          <w:trHeight w:val="227"/>
          <w:jc w:val="center"/>
        </w:trPr>
        <w:tc>
          <w:tcPr>
            <w:tcW w:w="2078" w:type="pct"/>
            <w:vMerge/>
            <w:noWrap/>
            <w:vAlign w:val="center"/>
          </w:tcPr>
          <w:p w14:paraId="4A8EB937" w14:textId="77777777" w:rsidR="00D55F31" w:rsidRPr="00C9657D" w:rsidRDefault="00D55F31" w:rsidP="0002290A">
            <w:pPr>
              <w:rPr>
                <w:rFonts w:asciiTheme="minorHAnsi" w:hAnsiTheme="minorHAnsi" w:cs="Calibri"/>
                <w:b/>
                <w:color w:val="000000"/>
                <w:sz w:val="20"/>
                <w:szCs w:val="20"/>
                <w:lang w:eastAsia="cs-CZ"/>
              </w:rPr>
            </w:pPr>
          </w:p>
        </w:tc>
        <w:tc>
          <w:tcPr>
            <w:tcW w:w="1125" w:type="pct"/>
            <w:tcBorders>
              <w:top w:val="single" w:sz="4" w:space="0" w:color="auto"/>
              <w:bottom w:val="single" w:sz="4" w:space="0" w:color="auto"/>
            </w:tcBorders>
            <w:vAlign w:val="center"/>
          </w:tcPr>
          <w:p w14:paraId="60646219" w14:textId="77777777" w:rsidR="00D55F31" w:rsidRPr="00C9657D" w:rsidRDefault="0024693B" w:rsidP="0002290A">
            <w:pPr>
              <w:ind w:right="64" w:hanging="11"/>
              <w:jc w:val="center"/>
              <w:rPr>
                <w:rFonts w:asciiTheme="minorHAnsi" w:hAnsiTheme="minorHAnsi" w:cs="Calibri"/>
                <w:b/>
                <w:i/>
                <w:color w:val="000000"/>
                <w:sz w:val="20"/>
                <w:szCs w:val="20"/>
              </w:rPr>
            </w:pPr>
            <w:r w:rsidRPr="00C9657D">
              <w:rPr>
                <w:rFonts w:asciiTheme="minorHAnsi" w:hAnsiTheme="minorHAnsi" w:cs="Calibri"/>
                <w:b/>
                <w:i/>
                <w:color w:val="000000"/>
                <w:sz w:val="20"/>
                <w:szCs w:val="20"/>
              </w:rPr>
              <w:t>SLL Bludov</w:t>
            </w:r>
          </w:p>
        </w:tc>
        <w:tc>
          <w:tcPr>
            <w:tcW w:w="599" w:type="pct"/>
            <w:tcBorders>
              <w:top w:val="single" w:sz="4" w:space="0" w:color="auto"/>
              <w:bottom w:val="single" w:sz="4" w:space="0" w:color="auto"/>
            </w:tcBorders>
            <w:noWrap/>
            <w:vAlign w:val="center"/>
          </w:tcPr>
          <w:p w14:paraId="0614413C" w14:textId="77777777" w:rsidR="00D55F31" w:rsidRPr="00C9657D" w:rsidRDefault="0024693B" w:rsidP="0002290A">
            <w:pPr>
              <w:jc w:val="right"/>
              <w:rPr>
                <w:rFonts w:asciiTheme="minorHAnsi" w:hAnsiTheme="minorHAnsi"/>
                <w:b/>
                <w:i/>
                <w:sz w:val="20"/>
                <w:szCs w:val="20"/>
              </w:rPr>
            </w:pPr>
            <w:r w:rsidRPr="00C9657D">
              <w:rPr>
                <w:rFonts w:asciiTheme="minorHAnsi" w:hAnsiTheme="minorHAnsi"/>
                <w:b/>
                <w:i/>
                <w:sz w:val="20"/>
                <w:szCs w:val="20"/>
              </w:rPr>
              <w:t>1 016</w:t>
            </w:r>
          </w:p>
        </w:tc>
        <w:tc>
          <w:tcPr>
            <w:tcW w:w="599" w:type="pct"/>
            <w:tcBorders>
              <w:top w:val="single" w:sz="4" w:space="0" w:color="auto"/>
              <w:bottom w:val="single" w:sz="4" w:space="0" w:color="auto"/>
            </w:tcBorders>
            <w:noWrap/>
            <w:vAlign w:val="center"/>
          </w:tcPr>
          <w:p w14:paraId="521760B4" w14:textId="77777777" w:rsidR="00D55F31" w:rsidRPr="00C9657D" w:rsidRDefault="0024693B" w:rsidP="0002290A">
            <w:pPr>
              <w:jc w:val="right"/>
              <w:rPr>
                <w:rFonts w:asciiTheme="minorHAnsi" w:hAnsiTheme="minorHAnsi"/>
                <w:b/>
                <w:i/>
                <w:sz w:val="20"/>
                <w:szCs w:val="20"/>
              </w:rPr>
            </w:pPr>
            <w:r w:rsidRPr="00C9657D">
              <w:rPr>
                <w:rFonts w:asciiTheme="minorHAnsi" w:hAnsiTheme="minorHAnsi"/>
                <w:b/>
                <w:i/>
                <w:sz w:val="20"/>
                <w:szCs w:val="20"/>
              </w:rPr>
              <w:t>1 042</w:t>
            </w:r>
          </w:p>
        </w:tc>
        <w:tc>
          <w:tcPr>
            <w:tcW w:w="598" w:type="pct"/>
            <w:tcBorders>
              <w:top w:val="single" w:sz="4" w:space="0" w:color="auto"/>
              <w:bottom w:val="single" w:sz="4" w:space="0" w:color="auto"/>
            </w:tcBorders>
            <w:noWrap/>
            <w:vAlign w:val="center"/>
          </w:tcPr>
          <w:p w14:paraId="65E5C549" w14:textId="77777777" w:rsidR="00D55F31" w:rsidRPr="00C9657D" w:rsidRDefault="0024693B" w:rsidP="0002290A">
            <w:pPr>
              <w:jc w:val="right"/>
              <w:rPr>
                <w:rFonts w:asciiTheme="minorHAnsi" w:hAnsiTheme="minorHAnsi"/>
                <w:b/>
                <w:i/>
                <w:sz w:val="20"/>
                <w:szCs w:val="20"/>
              </w:rPr>
            </w:pPr>
            <w:r w:rsidRPr="00C9657D">
              <w:rPr>
                <w:rFonts w:asciiTheme="minorHAnsi" w:hAnsiTheme="minorHAnsi"/>
                <w:b/>
                <w:i/>
                <w:sz w:val="20"/>
                <w:szCs w:val="20"/>
              </w:rPr>
              <w:t>1 281</w:t>
            </w:r>
          </w:p>
        </w:tc>
      </w:tr>
      <w:tr w:rsidR="00C425F2" w14:paraId="5258E0B6" w14:textId="77777777" w:rsidTr="00F17372">
        <w:trPr>
          <w:trHeight w:val="227"/>
          <w:jc w:val="center"/>
        </w:trPr>
        <w:tc>
          <w:tcPr>
            <w:tcW w:w="2078" w:type="pct"/>
            <w:vMerge w:val="restart"/>
            <w:noWrap/>
            <w:vAlign w:val="center"/>
          </w:tcPr>
          <w:p w14:paraId="1CCF84DA" w14:textId="77777777" w:rsidR="00D55F31" w:rsidRPr="00C9657D" w:rsidRDefault="0024693B" w:rsidP="0002290A">
            <w:pPr>
              <w:ind w:left="1082" w:hanging="1082"/>
              <w:rPr>
                <w:rFonts w:asciiTheme="minorHAnsi" w:hAnsiTheme="minorHAnsi" w:cs="Calibri"/>
                <w:i/>
                <w:color w:val="000000"/>
                <w:sz w:val="20"/>
                <w:szCs w:val="20"/>
                <w:lang w:eastAsia="cs-CZ"/>
              </w:rPr>
            </w:pPr>
            <w:r w:rsidRPr="00C9657D">
              <w:rPr>
                <w:rFonts w:asciiTheme="minorHAnsi" w:hAnsiTheme="minorHAnsi" w:cs="Calibri"/>
                <w:i/>
                <w:color w:val="000000"/>
                <w:sz w:val="20"/>
                <w:szCs w:val="20"/>
                <w:lang w:eastAsia="cs-CZ"/>
              </w:rPr>
              <w:t xml:space="preserve">          z toho: pojištěnci (komplexní, příspěvková lázeňská péče)</w:t>
            </w:r>
          </w:p>
        </w:tc>
        <w:tc>
          <w:tcPr>
            <w:tcW w:w="1125" w:type="pct"/>
            <w:tcBorders>
              <w:bottom w:val="single" w:sz="4" w:space="0" w:color="auto"/>
            </w:tcBorders>
            <w:vAlign w:val="center"/>
          </w:tcPr>
          <w:p w14:paraId="6028549E" w14:textId="77777777" w:rsidR="00D55F31" w:rsidRPr="00C9657D" w:rsidRDefault="0024693B" w:rsidP="0002290A">
            <w:pPr>
              <w:ind w:right="64" w:hanging="11"/>
              <w:jc w:val="center"/>
              <w:rPr>
                <w:rFonts w:asciiTheme="minorHAnsi" w:hAnsiTheme="minorHAnsi" w:cs="Calibri"/>
                <w:i/>
                <w:color w:val="000000"/>
                <w:sz w:val="20"/>
                <w:szCs w:val="20"/>
              </w:rPr>
            </w:pPr>
            <w:r w:rsidRPr="00C9657D">
              <w:rPr>
                <w:rFonts w:asciiTheme="minorHAnsi" w:hAnsiTheme="minorHAnsi" w:cs="Calibri"/>
                <w:i/>
                <w:color w:val="000000"/>
                <w:sz w:val="20"/>
                <w:szCs w:val="20"/>
              </w:rPr>
              <w:t>SLL Janské Lázně</w:t>
            </w:r>
          </w:p>
        </w:tc>
        <w:tc>
          <w:tcPr>
            <w:tcW w:w="599" w:type="pct"/>
            <w:tcBorders>
              <w:bottom w:val="single" w:sz="4" w:space="0" w:color="auto"/>
            </w:tcBorders>
            <w:noWrap/>
            <w:vAlign w:val="center"/>
          </w:tcPr>
          <w:p w14:paraId="06431ECC" w14:textId="77777777" w:rsidR="00D55F31" w:rsidRPr="00C9657D" w:rsidRDefault="0024693B" w:rsidP="0002290A">
            <w:pPr>
              <w:jc w:val="right"/>
              <w:rPr>
                <w:rFonts w:asciiTheme="minorHAnsi" w:hAnsiTheme="minorHAnsi"/>
                <w:i/>
                <w:sz w:val="20"/>
                <w:szCs w:val="20"/>
              </w:rPr>
            </w:pPr>
            <w:r w:rsidRPr="00C9657D">
              <w:rPr>
                <w:rFonts w:asciiTheme="minorHAnsi" w:hAnsiTheme="minorHAnsi"/>
                <w:i/>
                <w:sz w:val="20"/>
                <w:szCs w:val="20"/>
              </w:rPr>
              <w:t>4 274</w:t>
            </w:r>
          </w:p>
        </w:tc>
        <w:tc>
          <w:tcPr>
            <w:tcW w:w="599" w:type="pct"/>
            <w:tcBorders>
              <w:bottom w:val="single" w:sz="4" w:space="0" w:color="auto"/>
            </w:tcBorders>
            <w:noWrap/>
            <w:vAlign w:val="center"/>
          </w:tcPr>
          <w:p w14:paraId="58013314" w14:textId="77777777" w:rsidR="00D55F31" w:rsidRPr="00C9657D" w:rsidRDefault="0024693B" w:rsidP="0002290A">
            <w:pPr>
              <w:jc w:val="right"/>
              <w:rPr>
                <w:rFonts w:asciiTheme="minorHAnsi" w:hAnsiTheme="minorHAnsi"/>
                <w:i/>
                <w:sz w:val="20"/>
                <w:szCs w:val="20"/>
              </w:rPr>
            </w:pPr>
            <w:r w:rsidRPr="00C9657D">
              <w:rPr>
                <w:rFonts w:asciiTheme="minorHAnsi" w:hAnsiTheme="minorHAnsi"/>
                <w:i/>
                <w:sz w:val="20"/>
                <w:szCs w:val="20"/>
              </w:rPr>
              <w:t>5 162</w:t>
            </w:r>
          </w:p>
        </w:tc>
        <w:tc>
          <w:tcPr>
            <w:tcW w:w="598" w:type="pct"/>
            <w:tcBorders>
              <w:bottom w:val="single" w:sz="4" w:space="0" w:color="auto"/>
            </w:tcBorders>
            <w:noWrap/>
            <w:vAlign w:val="center"/>
          </w:tcPr>
          <w:p w14:paraId="41115E3B" w14:textId="77777777" w:rsidR="00D55F31" w:rsidRPr="00C9657D" w:rsidRDefault="0024693B" w:rsidP="0002290A">
            <w:pPr>
              <w:jc w:val="right"/>
              <w:rPr>
                <w:rFonts w:asciiTheme="minorHAnsi" w:hAnsiTheme="minorHAnsi"/>
                <w:i/>
                <w:sz w:val="20"/>
                <w:szCs w:val="20"/>
              </w:rPr>
            </w:pPr>
            <w:r w:rsidRPr="00C9657D">
              <w:rPr>
                <w:rFonts w:asciiTheme="minorHAnsi" w:hAnsiTheme="minorHAnsi"/>
                <w:i/>
                <w:sz w:val="20"/>
                <w:szCs w:val="20"/>
              </w:rPr>
              <w:t>6 024</w:t>
            </w:r>
          </w:p>
        </w:tc>
      </w:tr>
      <w:tr w:rsidR="00C425F2" w14:paraId="18FD818C" w14:textId="77777777" w:rsidTr="00F17372">
        <w:trPr>
          <w:trHeight w:val="227"/>
          <w:jc w:val="center"/>
        </w:trPr>
        <w:tc>
          <w:tcPr>
            <w:tcW w:w="2078" w:type="pct"/>
            <w:vMerge/>
            <w:noWrap/>
            <w:vAlign w:val="center"/>
          </w:tcPr>
          <w:p w14:paraId="36B199CF" w14:textId="77777777" w:rsidR="00D55F31" w:rsidRPr="00C9657D" w:rsidRDefault="00D55F31" w:rsidP="0002290A">
            <w:pPr>
              <w:rPr>
                <w:rFonts w:asciiTheme="minorHAnsi" w:hAnsiTheme="minorHAnsi" w:cs="Calibri"/>
                <w:color w:val="000000"/>
                <w:sz w:val="20"/>
                <w:szCs w:val="20"/>
                <w:lang w:eastAsia="cs-CZ"/>
              </w:rPr>
            </w:pPr>
          </w:p>
        </w:tc>
        <w:tc>
          <w:tcPr>
            <w:tcW w:w="1125" w:type="pct"/>
            <w:tcBorders>
              <w:top w:val="single" w:sz="4" w:space="0" w:color="auto"/>
              <w:bottom w:val="single" w:sz="4" w:space="0" w:color="auto"/>
            </w:tcBorders>
            <w:vAlign w:val="center"/>
          </w:tcPr>
          <w:p w14:paraId="56665F0F" w14:textId="77777777" w:rsidR="00D55F31" w:rsidRPr="00C9657D" w:rsidRDefault="0024693B" w:rsidP="0002290A">
            <w:pPr>
              <w:ind w:right="64" w:hanging="11"/>
              <w:jc w:val="center"/>
              <w:rPr>
                <w:rFonts w:asciiTheme="minorHAnsi" w:hAnsiTheme="minorHAnsi" w:cs="Calibri"/>
                <w:i/>
                <w:color w:val="000000"/>
                <w:sz w:val="20"/>
                <w:szCs w:val="20"/>
              </w:rPr>
            </w:pPr>
            <w:r w:rsidRPr="00C9657D">
              <w:rPr>
                <w:rFonts w:asciiTheme="minorHAnsi" w:hAnsiTheme="minorHAnsi" w:cs="Calibri"/>
                <w:i/>
                <w:color w:val="000000"/>
                <w:sz w:val="20"/>
                <w:szCs w:val="20"/>
              </w:rPr>
              <w:t>HL Karlova Studánka</w:t>
            </w:r>
          </w:p>
        </w:tc>
        <w:tc>
          <w:tcPr>
            <w:tcW w:w="599" w:type="pct"/>
            <w:tcBorders>
              <w:top w:val="single" w:sz="4" w:space="0" w:color="auto"/>
              <w:bottom w:val="single" w:sz="4" w:space="0" w:color="auto"/>
            </w:tcBorders>
            <w:noWrap/>
            <w:vAlign w:val="center"/>
          </w:tcPr>
          <w:p w14:paraId="30599984" w14:textId="77777777" w:rsidR="00D55F31" w:rsidRPr="00C9657D" w:rsidRDefault="0024693B" w:rsidP="0002290A">
            <w:pPr>
              <w:jc w:val="right"/>
              <w:rPr>
                <w:rFonts w:asciiTheme="minorHAnsi" w:hAnsiTheme="minorHAnsi"/>
                <w:i/>
                <w:sz w:val="20"/>
                <w:szCs w:val="20"/>
                <w:lang w:eastAsia="cs-CZ"/>
              </w:rPr>
            </w:pPr>
            <w:r w:rsidRPr="00C9657D">
              <w:rPr>
                <w:rFonts w:asciiTheme="minorHAnsi" w:hAnsiTheme="minorHAnsi"/>
                <w:i/>
                <w:sz w:val="20"/>
                <w:szCs w:val="20"/>
                <w:lang w:eastAsia="cs-CZ"/>
              </w:rPr>
              <w:t>1 747</w:t>
            </w:r>
          </w:p>
        </w:tc>
        <w:tc>
          <w:tcPr>
            <w:tcW w:w="599" w:type="pct"/>
            <w:tcBorders>
              <w:top w:val="single" w:sz="4" w:space="0" w:color="auto"/>
              <w:bottom w:val="single" w:sz="4" w:space="0" w:color="auto"/>
            </w:tcBorders>
            <w:noWrap/>
            <w:vAlign w:val="center"/>
          </w:tcPr>
          <w:p w14:paraId="78633956" w14:textId="77777777" w:rsidR="00D55F31" w:rsidRPr="00C9657D" w:rsidRDefault="0024693B" w:rsidP="0002290A">
            <w:pPr>
              <w:jc w:val="right"/>
              <w:rPr>
                <w:rFonts w:asciiTheme="minorHAnsi" w:hAnsiTheme="minorHAnsi"/>
                <w:i/>
                <w:sz w:val="20"/>
                <w:szCs w:val="20"/>
                <w:lang w:eastAsia="cs-CZ"/>
              </w:rPr>
            </w:pPr>
            <w:r w:rsidRPr="00C9657D">
              <w:rPr>
                <w:rFonts w:asciiTheme="minorHAnsi" w:hAnsiTheme="minorHAnsi"/>
                <w:i/>
                <w:sz w:val="20"/>
                <w:szCs w:val="20"/>
                <w:lang w:eastAsia="cs-CZ"/>
              </w:rPr>
              <w:t>2 242</w:t>
            </w:r>
          </w:p>
        </w:tc>
        <w:tc>
          <w:tcPr>
            <w:tcW w:w="598" w:type="pct"/>
            <w:tcBorders>
              <w:top w:val="single" w:sz="4" w:space="0" w:color="auto"/>
              <w:bottom w:val="single" w:sz="4" w:space="0" w:color="auto"/>
            </w:tcBorders>
            <w:noWrap/>
            <w:vAlign w:val="center"/>
          </w:tcPr>
          <w:p w14:paraId="119B9706" w14:textId="77777777" w:rsidR="00D55F31" w:rsidRPr="00C9657D" w:rsidRDefault="0024693B" w:rsidP="0002290A">
            <w:pPr>
              <w:jc w:val="right"/>
              <w:rPr>
                <w:rFonts w:asciiTheme="minorHAnsi" w:hAnsiTheme="minorHAnsi"/>
                <w:i/>
                <w:color w:val="000000"/>
                <w:sz w:val="20"/>
                <w:szCs w:val="20"/>
                <w:lang w:eastAsia="cs-CZ"/>
              </w:rPr>
            </w:pPr>
            <w:r w:rsidRPr="00C9657D">
              <w:rPr>
                <w:rFonts w:asciiTheme="minorHAnsi" w:hAnsiTheme="minorHAnsi"/>
                <w:i/>
                <w:color w:val="000000"/>
                <w:sz w:val="20"/>
                <w:szCs w:val="20"/>
                <w:lang w:eastAsia="cs-CZ"/>
              </w:rPr>
              <w:t>2 429</w:t>
            </w:r>
          </w:p>
        </w:tc>
      </w:tr>
      <w:tr w:rsidR="00C425F2" w14:paraId="38950738" w14:textId="77777777" w:rsidTr="00F17372">
        <w:trPr>
          <w:trHeight w:val="227"/>
          <w:jc w:val="center"/>
        </w:trPr>
        <w:tc>
          <w:tcPr>
            <w:tcW w:w="2078" w:type="pct"/>
            <w:vMerge/>
            <w:noWrap/>
            <w:vAlign w:val="center"/>
          </w:tcPr>
          <w:p w14:paraId="505F8C75" w14:textId="77777777" w:rsidR="00D55F31" w:rsidRPr="00C9657D" w:rsidRDefault="00D55F31" w:rsidP="0002290A">
            <w:pPr>
              <w:rPr>
                <w:rFonts w:asciiTheme="minorHAnsi" w:hAnsiTheme="minorHAnsi" w:cs="Calibri"/>
                <w:color w:val="000000"/>
                <w:sz w:val="20"/>
                <w:szCs w:val="20"/>
                <w:lang w:eastAsia="cs-CZ"/>
              </w:rPr>
            </w:pPr>
          </w:p>
        </w:tc>
        <w:tc>
          <w:tcPr>
            <w:tcW w:w="1125" w:type="pct"/>
            <w:tcBorders>
              <w:top w:val="single" w:sz="4" w:space="0" w:color="auto"/>
              <w:bottom w:val="single" w:sz="4" w:space="0" w:color="auto"/>
            </w:tcBorders>
            <w:vAlign w:val="center"/>
          </w:tcPr>
          <w:p w14:paraId="7C9C51F9" w14:textId="77777777" w:rsidR="00D55F31" w:rsidRPr="00C9657D" w:rsidRDefault="0024693B" w:rsidP="0002290A">
            <w:pPr>
              <w:ind w:right="64" w:hanging="11"/>
              <w:jc w:val="center"/>
              <w:rPr>
                <w:rFonts w:asciiTheme="minorHAnsi" w:hAnsiTheme="minorHAnsi" w:cs="Calibri"/>
                <w:i/>
                <w:color w:val="000000"/>
                <w:sz w:val="20"/>
                <w:szCs w:val="20"/>
              </w:rPr>
            </w:pPr>
            <w:r w:rsidRPr="00C9657D">
              <w:rPr>
                <w:rFonts w:asciiTheme="minorHAnsi" w:hAnsiTheme="minorHAnsi" w:cs="Calibri"/>
                <w:i/>
                <w:color w:val="000000"/>
                <w:sz w:val="20"/>
                <w:szCs w:val="20"/>
              </w:rPr>
              <w:t>SLL Bludov</w:t>
            </w:r>
          </w:p>
        </w:tc>
        <w:tc>
          <w:tcPr>
            <w:tcW w:w="599" w:type="pct"/>
            <w:tcBorders>
              <w:top w:val="single" w:sz="4" w:space="0" w:color="auto"/>
              <w:bottom w:val="single" w:sz="4" w:space="0" w:color="auto"/>
            </w:tcBorders>
            <w:noWrap/>
            <w:vAlign w:val="center"/>
          </w:tcPr>
          <w:p w14:paraId="1401A5C3" w14:textId="77777777" w:rsidR="00D55F31" w:rsidRPr="00C9657D" w:rsidRDefault="0024693B" w:rsidP="0002290A">
            <w:pPr>
              <w:jc w:val="right"/>
              <w:rPr>
                <w:rFonts w:asciiTheme="minorHAnsi" w:hAnsiTheme="minorHAnsi"/>
                <w:i/>
                <w:sz w:val="20"/>
                <w:szCs w:val="20"/>
              </w:rPr>
            </w:pPr>
            <w:r w:rsidRPr="00C9657D">
              <w:rPr>
                <w:rFonts w:asciiTheme="minorHAnsi" w:hAnsiTheme="minorHAnsi"/>
                <w:i/>
                <w:sz w:val="20"/>
                <w:szCs w:val="20"/>
              </w:rPr>
              <w:t>457</w:t>
            </w:r>
          </w:p>
        </w:tc>
        <w:tc>
          <w:tcPr>
            <w:tcW w:w="599" w:type="pct"/>
            <w:tcBorders>
              <w:top w:val="single" w:sz="4" w:space="0" w:color="auto"/>
              <w:bottom w:val="single" w:sz="4" w:space="0" w:color="auto"/>
            </w:tcBorders>
            <w:noWrap/>
            <w:vAlign w:val="center"/>
          </w:tcPr>
          <w:p w14:paraId="1E40D753" w14:textId="77777777" w:rsidR="00D55F31" w:rsidRPr="00C9657D" w:rsidRDefault="0024693B" w:rsidP="0002290A">
            <w:pPr>
              <w:jc w:val="right"/>
              <w:rPr>
                <w:rFonts w:asciiTheme="minorHAnsi" w:hAnsiTheme="minorHAnsi"/>
                <w:i/>
                <w:sz w:val="20"/>
                <w:szCs w:val="20"/>
              </w:rPr>
            </w:pPr>
            <w:r w:rsidRPr="00C9657D">
              <w:rPr>
                <w:rFonts w:asciiTheme="minorHAnsi" w:hAnsiTheme="minorHAnsi"/>
                <w:i/>
                <w:sz w:val="20"/>
                <w:szCs w:val="20"/>
              </w:rPr>
              <w:t>508</w:t>
            </w:r>
          </w:p>
        </w:tc>
        <w:tc>
          <w:tcPr>
            <w:tcW w:w="598" w:type="pct"/>
            <w:tcBorders>
              <w:top w:val="single" w:sz="4" w:space="0" w:color="auto"/>
              <w:bottom w:val="single" w:sz="4" w:space="0" w:color="auto"/>
            </w:tcBorders>
            <w:noWrap/>
            <w:vAlign w:val="center"/>
          </w:tcPr>
          <w:p w14:paraId="38914872" w14:textId="77777777" w:rsidR="00D55F31" w:rsidRPr="00C9657D" w:rsidRDefault="0024693B" w:rsidP="0002290A">
            <w:pPr>
              <w:jc w:val="right"/>
              <w:rPr>
                <w:rFonts w:asciiTheme="minorHAnsi" w:hAnsiTheme="minorHAnsi"/>
                <w:i/>
                <w:sz w:val="20"/>
                <w:szCs w:val="20"/>
              </w:rPr>
            </w:pPr>
            <w:r w:rsidRPr="00C9657D">
              <w:rPr>
                <w:rFonts w:asciiTheme="minorHAnsi" w:hAnsiTheme="minorHAnsi"/>
                <w:i/>
                <w:sz w:val="20"/>
                <w:szCs w:val="20"/>
              </w:rPr>
              <w:t>761</w:t>
            </w:r>
          </w:p>
        </w:tc>
      </w:tr>
      <w:tr w:rsidR="00C425F2" w14:paraId="52B37C8A" w14:textId="77777777" w:rsidTr="00F17372">
        <w:trPr>
          <w:trHeight w:val="227"/>
          <w:jc w:val="center"/>
        </w:trPr>
        <w:tc>
          <w:tcPr>
            <w:tcW w:w="2078" w:type="pct"/>
            <w:vMerge w:val="restart"/>
            <w:noWrap/>
            <w:vAlign w:val="center"/>
          </w:tcPr>
          <w:p w14:paraId="4842C5F6" w14:textId="77777777" w:rsidR="00D55F31" w:rsidRPr="00C9657D" w:rsidRDefault="0024693B" w:rsidP="00823E31">
            <w:pPr>
              <w:ind w:left="964" w:hanging="964"/>
              <w:rPr>
                <w:rFonts w:asciiTheme="minorHAnsi" w:hAnsiTheme="minorHAnsi" w:cs="Calibri"/>
                <w:i/>
                <w:color w:val="000000"/>
                <w:sz w:val="20"/>
                <w:szCs w:val="20"/>
                <w:lang w:eastAsia="cs-CZ"/>
              </w:rPr>
            </w:pPr>
            <w:r w:rsidRPr="00C9657D">
              <w:rPr>
                <w:rFonts w:asciiTheme="minorHAnsi" w:hAnsiTheme="minorHAnsi" w:cs="Calibri"/>
                <w:color w:val="000000"/>
                <w:sz w:val="20"/>
                <w:szCs w:val="20"/>
                <w:lang w:eastAsia="cs-CZ"/>
              </w:rPr>
              <w:t xml:space="preserve">                     </w:t>
            </w:r>
            <w:r w:rsidRPr="00C9657D">
              <w:rPr>
                <w:rFonts w:asciiTheme="minorHAnsi" w:hAnsiTheme="minorHAnsi" w:cs="Calibri"/>
                <w:i/>
                <w:color w:val="000000"/>
                <w:sz w:val="20"/>
                <w:szCs w:val="20"/>
                <w:lang w:eastAsia="cs-CZ"/>
              </w:rPr>
              <w:t>samoplátci (tuzemsko, zahraničí)</w:t>
            </w:r>
          </w:p>
        </w:tc>
        <w:tc>
          <w:tcPr>
            <w:tcW w:w="1125" w:type="pct"/>
            <w:tcBorders>
              <w:bottom w:val="single" w:sz="4" w:space="0" w:color="auto"/>
            </w:tcBorders>
            <w:vAlign w:val="center"/>
          </w:tcPr>
          <w:p w14:paraId="44B1474F" w14:textId="77777777" w:rsidR="00D55F31" w:rsidRPr="00C9657D" w:rsidRDefault="0024693B" w:rsidP="0002290A">
            <w:pPr>
              <w:ind w:right="64" w:hanging="11"/>
              <w:jc w:val="center"/>
              <w:rPr>
                <w:rFonts w:asciiTheme="minorHAnsi" w:hAnsiTheme="minorHAnsi" w:cs="Calibri"/>
                <w:i/>
                <w:color w:val="000000"/>
                <w:sz w:val="20"/>
                <w:szCs w:val="20"/>
              </w:rPr>
            </w:pPr>
            <w:r w:rsidRPr="00C9657D">
              <w:rPr>
                <w:rFonts w:asciiTheme="minorHAnsi" w:hAnsiTheme="minorHAnsi" w:cs="Calibri"/>
                <w:i/>
                <w:color w:val="000000"/>
                <w:sz w:val="20"/>
                <w:szCs w:val="20"/>
              </w:rPr>
              <w:t>SLL Janské Lázně</w:t>
            </w:r>
          </w:p>
        </w:tc>
        <w:tc>
          <w:tcPr>
            <w:tcW w:w="599" w:type="pct"/>
            <w:tcBorders>
              <w:bottom w:val="single" w:sz="4" w:space="0" w:color="auto"/>
            </w:tcBorders>
            <w:noWrap/>
            <w:vAlign w:val="center"/>
          </w:tcPr>
          <w:p w14:paraId="60096C7A" w14:textId="77777777" w:rsidR="00D55F31" w:rsidRPr="00C9657D" w:rsidRDefault="0024693B" w:rsidP="0002290A">
            <w:pPr>
              <w:jc w:val="right"/>
              <w:rPr>
                <w:rFonts w:asciiTheme="minorHAnsi" w:hAnsiTheme="minorHAnsi" w:cs="Calibri"/>
                <w:sz w:val="20"/>
                <w:szCs w:val="20"/>
              </w:rPr>
            </w:pPr>
            <w:r w:rsidRPr="00C9657D">
              <w:rPr>
                <w:rFonts w:asciiTheme="minorHAnsi" w:hAnsiTheme="minorHAnsi" w:cs="Calibri"/>
                <w:sz w:val="20"/>
                <w:szCs w:val="20"/>
              </w:rPr>
              <w:t>3 029</w:t>
            </w:r>
          </w:p>
        </w:tc>
        <w:tc>
          <w:tcPr>
            <w:tcW w:w="599" w:type="pct"/>
            <w:tcBorders>
              <w:bottom w:val="single" w:sz="4" w:space="0" w:color="auto"/>
            </w:tcBorders>
            <w:noWrap/>
            <w:vAlign w:val="center"/>
          </w:tcPr>
          <w:p w14:paraId="649368CC" w14:textId="77777777" w:rsidR="00D55F31" w:rsidRPr="00C9657D" w:rsidRDefault="0024693B" w:rsidP="0002290A">
            <w:pPr>
              <w:jc w:val="right"/>
              <w:rPr>
                <w:rFonts w:asciiTheme="minorHAnsi" w:hAnsiTheme="minorHAnsi" w:cs="Calibri"/>
                <w:sz w:val="20"/>
                <w:szCs w:val="20"/>
              </w:rPr>
            </w:pPr>
            <w:r w:rsidRPr="00C9657D">
              <w:rPr>
                <w:rFonts w:asciiTheme="minorHAnsi" w:hAnsiTheme="minorHAnsi" w:cs="Calibri"/>
                <w:sz w:val="20"/>
                <w:szCs w:val="20"/>
              </w:rPr>
              <w:t>4 096</w:t>
            </w:r>
          </w:p>
        </w:tc>
        <w:tc>
          <w:tcPr>
            <w:tcW w:w="598" w:type="pct"/>
            <w:tcBorders>
              <w:bottom w:val="single" w:sz="4" w:space="0" w:color="auto"/>
            </w:tcBorders>
            <w:noWrap/>
            <w:vAlign w:val="center"/>
          </w:tcPr>
          <w:p w14:paraId="06284A35" w14:textId="77777777" w:rsidR="00D55F31" w:rsidRPr="00C9657D" w:rsidRDefault="0024693B" w:rsidP="0002290A">
            <w:pPr>
              <w:jc w:val="right"/>
              <w:rPr>
                <w:rFonts w:asciiTheme="minorHAnsi" w:hAnsiTheme="minorHAnsi" w:cs="Calibri"/>
                <w:sz w:val="20"/>
                <w:szCs w:val="20"/>
              </w:rPr>
            </w:pPr>
            <w:r w:rsidRPr="00C9657D">
              <w:rPr>
                <w:rFonts w:asciiTheme="minorHAnsi" w:hAnsiTheme="minorHAnsi" w:cs="Calibri"/>
                <w:sz w:val="20"/>
                <w:szCs w:val="20"/>
              </w:rPr>
              <w:t>5 147</w:t>
            </w:r>
          </w:p>
        </w:tc>
      </w:tr>
      <w:tr w:rsidR="00C425F2" w14:paraId="3CF40B80" w14:textId="77777777" w:rsidTr="00F17372">
        <w:trPr>
          <w:trHeight w:val="227"/>
          <w:jc w:val="center"/>
        </w:trPr>
        <w:tc>
          <w:tcPr>
            <w:tcW w:w="2078" w:type="pct"/>
            <w:vMerge/>
            <w:noWrap/>
            <w:vAlign w:val="center"/>
          </w:tcPr>
          <w:p w14:paraId="4ABD9732" w14:textId="77777777" w:rsidR="00D55F31" w:rsidRPr="00C9657D" w:rsidRDefault="00D55F31" w:rsidP="0002290A">
            <w:pPr>
              <w:rPr>
                <w:rFonts w:asciiTheme="minorHAnsi" w:hAnsiTheme="minorHAnsi" w:cs="Calibri"/>
                <w:color w:val="000000"/>
                <w:sz w:val="20"/>
                <w:szCs w:val="20"/>
                <w:lang w:eastAsia="cs-CZ"/>
              </w:rPr>
            </w:pPr>
          </w:p>
        </w:tc>
        <w:tc>
          <w:tcPr>
            <w:tcW w:w="1125" w:type="pct"/>
            <w:tcBorders>
              <w:bottom w:val="single" w:sz="4" w:space="0" w:color="auto"/>
            </w:tcBorders>
            <w:vAlign w:val="center"/>
          </w:tcPr>
          <w:p w14:paraId="665E2391" w14:textId="77777777" w:rsidR="00D55F31" w:rsidRPr="00C9657D" w:rsidRDefault="0024693B" w:rsidP="0002290A">
            <w:pPr>
              <w:ind w:right="64" w:hanging="11"/>
              <w:jc w:val="center"/>
              <w:rPr>
                <w:rFonts w:asciiTheme="minorHAnsi" w:hAnsiTheme="minorHAnsi" w:cs="Calibri"/>
                <w:i/>
                <w:color w:val="000000"/>
                <w:sz w:val="20"/>
                <w:szCs w:val="20"/>
              </w:rPr>
            </w:pPr>
            <w:r w:rsidRPr="00C9657D">
              <w:rPr>
                <w:rFonts w:asciiTheme="minorHAnsi" w:hAnsiTheme="minorHAnsi" w:cs="Calibri"/>
                <w:i/>
                <w:color w:val="000000"/>
                <w:sz w:val="20"/>
                <w:szCs w:val="20"/>
              </w:rPr>
              <w:t>HL Karlova Studánka</w:t>
            </w:r>
          </w:p>
        </w:tc>
        <w:tc>
          <w:tcPr>
            <w:tcW w:w="599" w:type="pct"/>
            <w:tcBorders>
              <w:bottom w:val="single" w:sz="4" w:space="0" w:color="auto"/>
            </w:tcBorders>
            <w:noWrap/>
            <w:vAlign w:val="center"/>
          </w:tcPr>
          <w:p w14:paraId="448759AD" w14:textId="77777777" w:rsidR="00D55F31" w:rsidRPr="00C9657D" w:rsidRDefault="0024693B" w:rsidP="0002290A">
            <w:pPr>
              <w:jc w:val="right"/>
              <w:rPr>
                <w:rFonts w:asciiTheme="minorHAnsi" w:hAnsiTheme="minorHAnsi" w:cs="Calibri"/>
                <w:color w:val="000000"/>
                <w:sz w:val="20"/>
                <w:szCs w:val="20"/>
                <w:lang w:eastAsia="cs-CZ"/>
              </w:rPr>
            </w:pPr>
            <w:r w:rsidRPr="00C9657D">
              <w:rPr>
                <w:rFonts w:asciiTheme="minorHAnsi" w:hAnsiTheme="minorHAnsi" w:cs="Calibri"/>
                <w:color w:val="000000"/>
                <w:sz w:val="20"/>
                <w:szCs w:val="20"/>
                <w:lang w:eastAsia="cs-CZ"/>
              </w:rPr>
              <w:t>9 640</w:t>
            </w:r>
          </w:p>
        </w:tc>
        <w:tc>
          <w:tcPr>
            <w:tcW w:w="599" w:type="pct"/>
            <w:tcBorders>
              <w:bottom w:val="single" w:sz="4" w:space="0" w:color="auto"/>
            </w:tcBorders>
            <w:noWrap/>
            <w:vAlign w:val="center"/>
          </w:tcPr>
          <w:p w14:paraId="1788202F" w14:textId="77777777" w:rsidR="00D55F31" w:rsidRPr="00C9657D" w:rsidRDefault="0024693B" w:rsidP="0002290A">
            <w:pPr>
              <w:jc w:val="right"/>
              <w:rPr>
                <w:rFonts w:asciiTheme="minorHAnsi" w:hAnsiTheme="minorHAnsi" w:cs="Calibri"/>
                <w:color w:val="000000"/>
                <w:sz w:val="20"/>
                <w:szCs w:val="20"/>
                <w:lang w:eastAsia="cs-CZ"/>
              </w:rPr>
            </w:pPr>
            <w:r w:rsidRPr="00C9657D">
              <w:rPr>
                <w:rFonts w:asciiTheme="minorHAnsi" w:hAnsiTheme="minorHAnsi" w:cs="Calibri"/>
                <w:color w:val="000000"/>
                <w:sz w:val="20"/>
                <w:szCs w:val="20"/>
                <w:lang w:eastAsia="cs-CZ"/>
              </w:rPr>
              <w:t>10 132</w:t>
            </w:r>
          </w:p>
        </w:tc>
        <w:tc>
          <w:tcPr>
            <w:tcW w:w="598" w:type="pct"/>
            <w:tcBorders>
              <w:bottom w:val="single" w:sz="4" w:space="0" w:color="auto"/>
            </w:tcBorders>
            <w:noWrap/>
            <w:vAlign w:val="center"/>
          </w:tcPr>
          <w:p w14:paraId="5C4778D9" w14:textId="77777777" w:rsidR="00D55F31" w:rsidRPr="00C9657D" w:rsidRDefault="0024693B" w:rsidP="0002290A">
            <w:pPr>
              <w:jc w:val="right"/>
              <w:rPr>
                <w:rFonts w:asciiTheme="minorHAnsi" w:hAnsiTheme="minorHAnsi" w:cs="Calibri"/>
                <w:color w:val="000000"/>
                <w:sz w:val="20"/>
                <w:szCs w:val="20"/>
                <w:lang w:eastAsia="cs-CZ"/>
              </w:rPr>
            </w:pPr>
            <w:r w:rsidRPr="00C9657D">
              <w:rPr>
                <w:rFonts w:asciiTheme="minorHAnsi" w:hAnsiTheme="minorHAnsi" w:cs="Calibri"/>
                <w:color w:val="000000"/>
                <w:sz w:val="20"/>
                <w:szCs w:val="20"/>
                <w:lang w:eastAsia="cs-CZ"/>
              </w:rPr>
              <w:t>6 473</w:t>
            </w:r>
          </w:p>
        </w:tc>
      </w:tr>
      <w:tr w:rsidR="00C425F2" w14:paraId="29894414" w14:textId="77777777" w:rsidTr="00F17372">
        <w:trPr>
          <w:trHeight w:val="227"/>
          <w:jc w:val="center"/>
        </w:trPr>
        <w:tc>
          <w:tcPr>
            <w:tcW w:w="2078" w:type="pct"/>
            <w:vMerge/>
            <w:noWrap/>
            <w:vAlign w:val="center"/>
          </w:tcPr>
          <w:p w14:paraId="796A1233" w14:textId="77777777" w:rsidR="00D55F31" w:rsidRPr="00C9657D" w:rsidRDefault="00D55F31" w:rsidP="0002290A">
            <w:pPr>
              <w:rPr>
                <w:rFonts w:asciiTheme="minorHAnsi" w:hAnsiTheme="minorHAnsi" w:cs="Calibri"/>
                <w:color w:val="000000"/>
                <w:sz w:val="20"/>
                <w:szCs w:val="20"/>
                <w:lang w:eastAsia="cs-CZ"/>
              </w:rPr>
            </w:pPr>
          </w:p>
        </w:tc>
        <w:tc>
          <w:tcPr>
            <w:tcW w:w="1125" w:type="pct"/>
            <w:tcBorders>
              <w:bottom w:val="single" w:sz="4" w:space="0" w:color="auto"/>
            </w:tcBorders>
            <w:vAlign w:val="center"/>
          </w:tcPr>
          <w:p w14:paraId="75493386" w14:textId="77777777" w:rsidR="00D55F31" w:rsidRPr="00C9657D" w:rsidRDefault="0024693B" w:rsidP="0002290A">
            <w:pPr>
              <w:ind w:right="64" w:hanging="11"/>
              <w:jc w:val="center"/>
              <w:rPr>
                <w:rFonts w:asciiTheme="minorHAnsi" w:hAnsiTheme="minorHAnsi" w:cs="Calibri"/>
                <w:i/>
                <w:color w:val="000000"/>
                <w:sz w:val="20"/>
                <w:szCs w:val="20"/>
              </w:rPr>
            </w:pPr>
            <w:r w:rsidRPr="00C9657D">
              <w:rPr>
                <w:rFonts w:asciiTheme="minorHAnsi" w:hAnsiTheme="minorHAnsi" w:cs="Calibri"/>
                <w:i/>
                <w:color w:val="000000"/>
                <w:sz w:val="20"/>
                <w:szCs w:val="20"/>
              </w:rPr>
              <w:t>SLL Bludov</w:t>
            </w:r>
          </w:p>
        </w:tc>
        <w:tc>
          <w:tcPr>
            <w:tcW w:w="599" w:type="pct"/>
            <w:tcBorders>
              <w:bottom w:val="single" w:sz="4" w:space="0" w:color="auto"/>
            </w:tcBorders>
            <w:noWrap/>
            <w:vAlign w:val="center"/>
          </w:tcPr>
          <w:p w14:paraId="144A8568" w14:textId="77777777" w:rsidR="00D55F31" w:rsidRPr="00C9657D" w:rsidRDefault="0024693B" w:rsidP="0002290A">
            <w:pPr>
              <w:jc w:val="right"/>
              <w:rPr>
                <w:rFonts w:asciiTheme="minorHAnsi" w:hAnsiTheme="minorHAnsi" w:cs="Calibri"/>
                <w:sz w:val="20"/>
                <w:szCs w:val="20"/>
              </w:rPr>
            </w:pPr>
            <w:r w:rsidRPr="00C9657D">
              <w:rPr>
                <w:rFonts w:asciiTheme="minorHAnsi" w:hAnsiTheme="minorHAnsi" w:cs="Calibri"/>
                <w:sz w:val="20"/>
                <w:szCs w:val="20"/>
              </w:rPr>
              <w:t>559</w:t>
            </w:r>
          </w:p>
        </w:tc>
        <w:tc>
          <w:tcPr>
            <w:tcW w:w="599" w:type="pct"/>
            <w:tcBorders>
              <w:bottom w:val="single" w:sz="4" w:space="0" w:color="auto"/>
            </w:tcBorders>
            <w:noWrap/>
            <w:vAlign w:val="center"/>
          </w:tcPr>
          <w:p w14:paraId="09ECA5A6" w14:textId="77777777" w:rsidR="00D55F31" w:rsidRPr="00C9657D" w:rsidRDefault="0024693B" w:rsidP="0002290A">
            <w:pPr>
              <w:jc w:val="right"/>
              <w:rPr>
                <w:rFonts w:asciiTheme="minorHAnsi" w:hAnsiTheme="minorHAnsi" w:cs="Calibri"/>
                <w:sz w:val="20"/>
                <w:szCs w:val="20"/>
              </w:rPr>
            </w:pPr>
            <w:r w:rsidRPr="00C9657D">
              <w:rPr>
                <w:rFonts w:asciiTheme="minorHAnsi" w:hAnsiTheme="minorHAnsi" w:cs="Calibri"/>
                <w:sz w:val="20"/>
                <w:szCs w:val="20"/>
              </w:rPr>
              <w:t>534</w:t>
            </w:r>
          </w:p>
        </w:tc>
        <w:tc>
          <w:tcPr>
            <w:tcW w:w="598" w:type="pct"/>
            <w:tcBorders>
              <w:bottom w:val="single" w:sz="4" w:space="0" w:color="auto"/>
            </w:tcBorders>
            <w:noWrap/>
            <w:vAlign w:val="center"/>
          </w:tcPr>
          <w:p w14:paraId="569B93FD" w14:textId="77777777" w:rsidR="00D55F31" w:rsidRPr="00C9657D" w:rsidRDefault="0024693B" w:rsidP="0002290A">
            <w:pPr>
              <w:jc w:val="right"/>
              <w:rPr>
                <w:rFonts w:asciiTheme="minorHAnsi" w:hAnsiTheme="minorHAnsi" w:cs="Calibri"/>
                <w:sz w:val="20"/>
                <w:szCs w:val="20"/>
              </w:rPr>
            </w:pPr>
            <w:r w:rsidRPr="00C9657D">
              <w:rPr>
                <w:rFonts w:asciiTheme="minorHAnsi" w:hAnsiTheme="minorHAnsi" w:cs="Calibri"/>
                <w:sz w:val="20"/>
                <w:szCs w:val="20"/>
              </w:rPr>
              <w:t>520</w:t>
            </w:r>
          </w:p>
        </w:tc>
      </w:tr>
      <w:tr w:rsidR="00C425F2" w14:paraId="40A6BCFC" w14:textId="77777777" w:rsidTr="00F17372">
        <w:trPr>
          <w:trHeight w:val="227"/>
          <w:jc w:val="center"/>
        </w:trPr>
        <w:tc>
          <w:tcPr>
            <w:tcW w:w="2078" w:type="pct"/>
            <w:vMerge w:val="restart"/>
            <w:tcBorders>
              <w:top w:val="single" w:sz="12" w:space="0" w:color="auto"/>
            </w:tcBorders>
            <w:noWrap/>
            <w:vAlign w:val="center"/>
          </w:tcPr>
          <w:p w14:paraId="12056DB6" w14:textId="77777777" w:rsidR="00D55F31" w:rsidRPr="00C9657D" w:rsidRDefault="0024693B" w:rsidP="0002290A">
            <w:pPr>
              <w:rPr>
                <w:rFonts w:asciiTheme="minorHAnsi" w:hAnsiTheme="minorHAnsi" w:cs="Calibri"/>
                <w:b/>
                <w:color w:val="000000"/>
                <w:sz w:val="20"/>
                <w:szCs w:val="20"/>
                <w:lang w:eastAsia="cs-CZ"/>
              </w:rPr>
            </w:pPr>
            <w:r w:rsidRPr="00C9657D">
              <w:rPr>
                <w:rFonts w:asciiTheme="minorHAnsi" w:hAnsiTheme="minorHAnsi" w:cs="Calibri"/>
                <w:b/>
                <w:color w:val="000000"/>
                <w:sz w:val="20"/>
                <w:szCs w:val="20"/>
                <w:lang w:eastAsia="cs-CZ"/>
              </w:rPr>
              <w:t xml:space="preserve">Celkový počet </w:t>
            </w:r>
            <w:r w:rsidR="009443FF">
              <w:rPr>
                <w:rFonts w:asciiTheme="minorHAnsi" w:hAnsiTheme="minorHAnsi" w:cs="Calibri"/>
                <w:b/>
                <w:color w:val="000000"/>
                <w:sz w:val="20"/>
                <w:szCs w:val="20"/>
                <w:lang w:eastAsia="cs-CZ"/>
              </w:rPr>
              <w:t>–</w:t>
            </w:r>
            <w:r w:rsidRPr="00C9657D">
              <w:rPr>
                <w:rFonts w:asciiTheme="minorHAnsi" w:hAnsiTheme="minorHAnsi" w:cs="Calibri"/>
                <w:b/>
                <w:color w:val="000000"/>
                <w:sz w:val="20"/>
                <w:szCs w:val="20"/>
                <w:lang w:eastAsia="cs-CZ"/>
              </w:rPr>
              <w:t xml:space="preserve"> </w:t>
            </w:r>
            <w:r w:rsidR="009443FF">
              <w:rPr>
                <w:rFonts w:asciiTheme="minorHAnsi" w:hAnsiTheme="minorHAnsi" w:cs="Calibri"/>
                <w:b/>
                <w:color w:val="000000"/>
                <w:sz w:val="20"/>
                <w:szCs w:val="20"/>
                <w:lang w:eastAsia="cs-CZ"/>
              </w:rPr>
              <w:t>ošetřovací dny</w:t>
            </w:r>
          </w:p>
        </w:tc>
        <w:tc>
          <w:tcPr>
            <w:tcW w:w="1125" w:type="pct"/>
            <w:tcBorders>
              <w:top w:val="single" w:sz="12" w:space="0" w:color="auto"/>
              <w:bottom w:val="single" w:sz="4" w:space="0" w:color="auto"/>
            </w:tcBorders>
            <w:vAlign w:val="center"/>
          </w:tcPr>
          <w:p w14:paraId="754EACAA" w14:textId="77777777" w:rsidR="00D55F31" w:rsidRPr="00C9657D" w:rsidRDefault="0024693B" w:rsidP="0002290A">
            <w:pPr>
              <w:ind w:right="64" w:hanging="11"/>
              <w:jc w:val="center"/>
              <w:rPr>
                <w:rFonts w:asciiTheme="minorHAnsi" w:hAnsiTheme="minorHAnsi" w:cs="Calibri"/>
                <w:b/>
                <w:i/>
                <w:color w:val="000000"/>
                <w:sz w:val="20"/>
                <w:szCs w:val="20"/>
              </w:rPr>
            </w:pPr>
            <w:r w:rsidRPr="00C9657D">
              <w:rPr>
                <w:rFonts w:asciiTheme="minorHAnsi" w:hAnsiTheme="minorHAnsi" w:cs="Calibri"/>
                <w:b/>
                <w:i/>
                <w:color w:val="000000"/>
                <w:sz w:val="20"/>
                <w:szCs w:val="20"/>
              </w:rPr>
              <w:t>SLL Janské Lázně</w:t>
            </w:r>
          </w:p>
        </w:tc>
        <w:tc>
          <w:tcPr>
            <w:tcW w:w="599" w:type="pct"/>
            <w:tcBorders>
              <w:top w:val="single" w:sz="12" w:space="0" w:color="auto"/>
              <w:bottom w:val="single" w:sz="4" w:space="0" w:color="auto"/>
            </w:tcBorders>
            <w:noWrap/>
            <w:vAlign w:val="center"/>
          </w:tcPr>
          <w:p w14:paraId="6642F5E2" w14:textId="77777777" w:rsidR="00D55F31" w:rsidRPr="00C9657D" w:rsidRDefault="0024693B" w:rsidP="0002290A">
            <w:pPr>
              <w:jc w:val="right"/>
              <w:rPr>
                <w:rFonts w:asciiTheme="minorHAnsi" w:hAnsiTheme="minorHAnsi" w:cs="Calibri"/>
                <w:b/>
                <w:sz w:val="20"/>
                <w:szCs w:val="20"/>
              </w:rPr>
            </w:pPr>
            <w:r w:rsidRPr="00C9657D">
              <w:rPr>
                <w:rFonts w:asciiTheme="minorHAnsi" w:hAnsiTheme="minorHAnsi" w:cs="Calibri"/>
                <w:b/>
                <w:sz w:val="20"/>
                <w:szCs w:val="20"/>
              </w:rPr>
              <w:t>139 414</w:t>
            </w:r>
          </w:p>
        </w:tc>
        <w:tc>
          <w:tcPr>
            <w:tcW w:w="599" w:type="pct"/>
            <w:tcBorders>
              <w:top w:val="single" w:sz="12" w:space="0" w:color="auto"/>
              <w:bottom w:val="single" w:sz="4" w:space="0" w:color="auto"/>
            </w:tcBorders>
            <w:noWrap/>
            <w:vAlign w:val="center"/>
          </w:tcPr>
          <w:p w14:paraId="31DFD052" w14:textId="77777777" w:rsidR="00D55F31" w:rsidRPr="00C9657D" w:rsidRDefault="0024693B" w:rsidP="0002290A">
            <w:pPr>
              <w:jc w:val="right"/>
              <w:rPr>
                <w:rFonts w:asciiTheme="minorHAnsi" w:hAnsiTheme="minorHAnsi" w:cs="Calibri"/>
                <w:b/>
                <w:sz w:val="20"/>
                <w:szCs w:val="20"/>
              </w:rPr>
            </w:pPr>
            <w:r w:rsidRPr="00C9657D">
              <w:rPr>
                <w:rFonts w:asciiTheme="minorHAnsi" w:hAnsiTheme="minorHAnsi" w:cs="Calibri"/>
                <w:b/>
                <w:sz w:val="20"/>
                <w:szCs w:val="20"/>
              </w:rPr>
              <w:t>178 141</w:t>
            </w:r>
          </w:p>
        </w:tc>
        <w:tc>
          <w:tcPr>
            <w:tcW w:w="598" w:type="pct"/>
            <w:tcBorders>
              <w:top w:val="single" w:sz="12" w:space="0" w:color="auto"/>
              <w:bottom w:val="single" w:sz="4" w:space="0" w:color="auto"/>
            </w:tcBorders>
            <w:noWrap/>
            <w:vAlign w:val="center"/>
          </w:tcPr>
          <w:p w14:paraId="72479EDF" w14:textId="77777777" w:rsidR="00D55F31" w:rsidRPr="00C9657D" w:rsidRDefault="0024693B" w:rsidP="0002290A">
            <w:pPr>
              <w:jc w:val="right"/>
              <w:rPr>
                <w:rFonts w:asciiTheme="minorHAnsi" w:hAnsiTheme="minorHAnsi" w:cs="Calibri"/>
                <w:b/>
                <w:sz w:val="20"/>
                <w:szCs w:val="20"/>
              </w:rPr>
            </w:pPr>
            <w:r w:rsidRPr="00C9657D">
              <w:rPr>
                <w:rFonts w:asciiTheme="minorHAnsi" w:hAnsiTheme="minorHAnsi" w:cs="Calibri"/>
                <w:b/>
                <w:sz w:val="20"/>
                <w:szCs w:val="20"/>
              </w:rPr>
              <w:t>205 207</w:t>
            </w:r>
          </w:p>
        </w:tc>
      </w:tr>
      <w:tr w:rsidR="00C425F2" w14:paraId="0430BFE6" w14:textId="77777777" w:rsidTr="00F17372">
        <w:trPr>
          <w:trHeight w:val="227"/>
          <w:jc w:val="center"/>
        </w:trPr>
        <w:tc>
          <w:tcPr>
            <w:tcW w:w="2078" w:type="pct"/>
            <w:vMerge/>
            <w:tcBorders>
              <w:top w:val="single" w:sz="12" w:space="0" w:color="auto"/>
            </w:tcBorders>
            <w:noWrap/>
            <w:vAlign w:val="center"/>
          </w:tcPr>
          <w:p w14:paraId="57ACDFA5" w14:textId="77777777" w:rsidR="00D55F31" w:rsidRPr="00C9657D" w:rsidRDefault="00D55F31" w:rsidP="0002290A">
            <w:pPr>
              <w:rPr>
                <w:rFonts w:asciiTheme="minorHAnsi" w:hAnsiTheme="minorHAnsi" w:cs="Calibri"/>
                <w:color w:val="000000"/>
                <w:sz w:val="20"/>
                <w:szCs w:val="20"/>
                <w:lang w:eastAsia="cs-CZ"/>
              </w:rPr>
            </w:pPr>
          </w:p>
        </w:tc>
        <w:tc>
          <w:tcPr>
            <w:tcW w:w="1125" w:type="pct"/>
            <w:tcBorders>
              <w:top w:val="single" w:sz="4" w:space="0" w:color="auto"/>
              <w:bottom w:val="single" w:sz="4" w:space="0" w:color="auto"/>
            </w:tcBorders>
            <w:vAlign w:val="center"/>
          </w:tcPr>
          <w:p w14:paraId="1E0C9D74" w14:textId="77777777" w:rsidR="00D55F31" w:rsidRPr="00C9657D" w:rsidRDefault="0024693B" w:rsidP="0002290A">
            <w:pPr>
              <w:ind w:right="64" w:hanging="11"/>
              <w:jc w:val="center"/>
              <w:rPr>
                <w:rFonts w:asciiTheme="minorHAnsi" w:hAnsiTheme="minorHAnsi" w:cs="Calibri"/>
                <w:b/>
                <w:i/>
                <w:color w:val="000000"/>
                <w:sz w:val="20"/>
                <w:szCs w:val="20"/>
              </w:rPr>
            </w:pPr>
            <w:r w:rsidRPr="00C9657D">
              <w:rPr>
                <w:rFonts w:asciiTheme="minorHAnsi" w:hAnsiTheme="minorHAnsi" w:cs="Calibri"/>
                <w:b/>
                <w:i/>
                <w:color w:val="000000"/>
                <w:sz w:val="20"/>
                <w:szCs w:val="20"/>
              </w:rPr>
              <w:t>HL Karlova Studánka</w:t>
            </w:r>
          </w:p>
        </w:tc>
        <w:tc>
          <w:tcPr>
            <w:tcW w:w="599" w:type="pct"/>
            <w:tcBorders>
              <w:top w:val="single" w:sz="4" w:space="0" w:color="auto"/>
              <w:bottom w:val="single" w:sz="4" w:space="0" w:color="auto"/>
            </w:tcBorders>
            <w:noWrap/>
            <w:vAlign w:val="center"/>
          </w:tcPr>
          <w:p w14:paraId="65011CD1" w14:textId="77777777" w:rsidR="00D55F31" w:rsidRPr="00C9657D" w:rsidRDefault="0024693B" w:rsidP="0002290A">
            <w:pPr>
              <w:jc w:val="right"/>
              <w:rPr>
                <w:rFonts w:asciiTheme="minorHAnsi" w:hAnsiTheme="minorHAnsi" w:cs="Calibri"/>
                <w:b/>
                <w:color w:val="000000"/>
                <w:sz w:val="20"/>
                <w:szCs w:val="20"/>
                <w:lang w:eastAsia="cs-CZ"/>
              </w:rPr>
            </w:pPr>
            <w:r w:rsidRPr="00C9657D">
              <w:rPr>
                <w:rFonts w:asciiTheme="minorHAnsi" w:hAnsiTheme="minorHAnsi" w:cs="Calibri"/>
                <w:b/>
                <w:color w:val="000000"/>
                <w:sz w:val="20"/>
                <w:szCs w:val="20"/>
                <w:lang w:eastAsia="cs-CZ"/>
              </w:rPr>
              <w:t>67 066</w:t>
            </w:r>
          </w:p>
        </w:tc>
        <w:tc>
          <w:tcPr>
            <w:tcW w:w="599" w:type="pct"/>
            <w:tcBorders>
              <w:top w:val="single" w:sz="4" w:space="0" w:color="auto"/>
              <w:bottom w:val="single" w:sz="4" w:space="0" w:color="auto"/>
            </w:tcBorders>
            <w:noWrap/>
            <w:vAlign w:val="center"/>
          </w:tcPr>
          <w:p w14:paraId="76BB682C" w14:textId="77777777" w:rsidR="00D55F31" w:rsidRPr="00C9657D" w:rsidRDefault="0024693B" w:rsidP="0002290A">
            <w:pPr>
              <w:jc w:val="right"/>
              <w:rPr>
                <w:rFonts w:asciiTheme="minorHAnsi" w:hAnsiTheme="minorHAnsi" w:cs="Calibri"/>
                <w:b/>
                <w:color w:val="000000"/>
                <w:sz w:val="20"/>
                <w:szCs w:val="20"/>
                <w:lang w:eastAsia="cs-CZ"/>
              </w:rPr>
            </w:pPr>
            <w:r w:rsidRPr="00C9657D">
              <w:rPr>
                <w:rFonts w:asciiTheme="minorHAnsi" w:hAnsiTheme="minorHAnsi" w:cs="Calibri"/>
                <w:b/>
                <w:color w:val="000000"/>
                <w:sz w:val="20"/>
                <w:szCs w:val="20"/>
                <w:lang w:eastAsia="cs-CZ"/>
              </w:rPr>
              <w:t>60 246</w:t>
            </w:r>
          </w:p>
        </w:tc>
        <w:tc>
          <w:tcPr>
            <w:tcW w:w="598" w:type="pct"/>
            <w:tcBorders>
              <w:top w:val="single" w:sz="4" w:space="0" w:color="auto"/>
              <w:bottom w:val="single" w:sz="4" w:space="0" w:color="auto"/>
            </w:tcBorders>
            <w:noWrap/>
            <w:vAlign w:val="center"/>
          </w:tcPr>
          <w:p w14:paraId="0E984F8E" w14:textId="77777777" w:rsidR="00D55F31" w:rsidRPr="00C9657D" w:rsidRDefault="0024693B" w:rsidP="0002290A">
            <w:pPr>
              <w:jc w:val="right"/>
              <w:rPr>
                <w:rFonts w:asciiTheme="minorHAnsi" w:hAnsiTheme="minorHAnsi" w:cs="Calibri"/>
                <w:b/>
                <w:color w:val="000000"/>
                <w:sz w:val="20"/>
                <w:szCs w:val="20"/>
                <w:lang w:eastAsia="cs-CZ"/>
              </w:rPr>
            </w:pPr>
            <w:r w:rsidRPr="00C9657D">
              <w:rPr>
                <w:rFonts w:asciiTheme="minorHAnsi" w:hAnsiTheme="minorHAnsi" w:cs="Calibri"/>
                <w:b/>
                <w:color w:val="000000"/>
                <w:sz w:val="20"/>
                <w:szCs w:val="20"/>
                <w:lang w:eastAsia="cs-CZ"/>
              </w:rPr>
              <w:t>93 955</w:t>
            </w:r>
          </w:p>
        </w:tc>
      </w:tr>
      <w:tr w:rsidR="00C425F2" w14:paraId="3D9BAC92" w14:textId="77777777" w:rsidTr="00F17372">
        <w:trPr>
          <w:trHeight w:val="227"/>
          <w:jc w:val="center"/>
        </w:trPr>
        <w:tc>
          <w:tcPr>
            <w:tcW w:w="2078" w:type="pct"/>
            <w:vMerge/>
            <w:tcBorders>
              <w:top w:val="single" w:sz="12" w:space="0" w:color="auto"/>
              <w:bottom w:val="single" w:sz="4" w:space="0" w:color="auto"/>
            </w:tcBorders>
            <w:noWrap/>
            <w:vAlign w:val="center"/>
          </w:tcPr>
          <w:p w14:paraId="5D3E8EB4" w14:textId="77777777" w:rsidR="00D55F31" w:rsidRPr="00C9657D" w:rsidRDefault="00D55F31" w:rsidP="0002290A">
            <w:pPr>
              <w:rPr>
                <w:rFonts w:asciiTheme="minorHAnsi" w:hAnsiTheme="minorHAnsi" w:cs="Calibri"/>
                <w:color w:val="000000"/>
                <w:sz w:val="20"/>
                <w:szCs w:val="20"/>
                <w:lang w:eastAsia="cs-CZ"/>
              </w:rPr>
            </w:pPr>
          </w:p>
        </w:tc>
        <w:tc>
          <w:tcPr>
            <w:tcW w:w="1125" w:type="pct"/>
            <w:tcBorders>
              <w:top w:val="single" w:sz="4" w:space="0" w:color="auto"/>
              <w:bottom w:val="single" w:sz="4" w:space="0" w:color="auto"/>
            </w:tcBorders>
            <w:vAlign w:val="center"/>
          </w:tcPr>
          <w:p w14:paraId="43F5796A" w14:textId="77777777" w:rsidR="00D55F31" w:rsidRPr="00C9657D" w:rsidRDefault="0024693B" w:rsidP="0002290A">
            <w:pPr>
              <w:ind w:right="64" w:hanging="11"/>
              <w:jc w:val="center"/>
              <w:rPr>
                <w:rFonts w:asciiTheme="minorHAnsi" w:hAnsiTheme="minorHAnsi" w:cs="Calibri"/>
                <w:b/>
                <w:i/>
                <w:color w:val="000000"/>
                <w:sz w:val="20"/>
                <w:szCs w:val="20"/>
              </w:rPr>
            </w:pPr>
            <w:r w:rsidRPr="00C9657D">
              <w:rPr>
                <w:rFonts w:asciiTheme="minorHAnsi" w:hAnsiTheme="minorHAnsi" w:cs="Calibri"/>
                <w:b/>
                <w:i/>
                <w:color w:val="000000"/>
                <w:sz w:val="20"/>
                <w:szCs w:val="20"/>
              </w:rPr>
              <w:t>SLL Bludov</w:t>
            </w:r>
          </w:p>
        </w:tc>
        <w:tc>
          <w:tcPr>
            <w:tcW w:w="599" w:type="pct"/>
            <w:tcBorders>
              <w:top w:val="single" w:sz="4" w:space="0" w:color="auto"/>
              <w:bottom w:val="single" w:sz="4" w:space="0" w:color="auto"/>
            </w:tcBorders>
            <w:noWrap/>
            <w:vAlign w:val="center"/>
          </w:tcPr>
          <w:p w14:paraId="3B3FB22C" w14:textId="77777777" w:rsidR="00D55F31" w:rsidRPr="00C9657D" w:rsidRDefault="0024693B" w:rsidP="0002290A">
            <w:pPr>
              <w:jc w:val="right"/>
              <w:rPr>
                <w:rFonts w:asciiTheme="minorHAnsi" w:hAnsiTheme="minorHAnsi" w:cs="Calibri"/>
                <w:b/>
                <w:sz w:val="20"/>
                <w:szCs w:val="20"/>
              </w:rPr>
            </w:pPr>
            <w:r w:rsidRPr="00C9657D">
              <w:rPr>
                <w:rFonts w:asciiTheme="minorHAnsi" w:hAnsiTheme="minorHAnsi" w:cs="Calibri"/>
                <w:b/>
                <w:sz w:val="20"/>
                <w:szCs w:val="20"/>
              </w:rPr>
              <w:t>13 970</w:t>
            </w:r>
          </w:p>
        </w:tc>
        <w:tc>
          <w:tcPr>
            <w:tcW w:w="599" w:type="pct"/>
            <w:tcBorders>
              <w:top w:val="single" w:sz="4" w:space="0" w:color="auto"/>
              <w:bottom w:val="single" w:sz="4" w:space="0" w:color="auto"/>
            </w:tcBorders>
            <w:noWrap/>
            <w:vAlign w:val="center"/>
          </w:tcPr>
          <w:p w14:paraId="15A31396" w14:textId="77777777" w:rsidR="00D55F31" w:rsidRPr="00C9657D" w:rsidRDefault="0024693B" w:rsidP="0002290A">
            <w:pPr>
              <w:jc w:val="right"/>
              <w:rPr>
                <w:rFonts w:asciiTheme="minorHAnsi" w:hAnsiTheme="minorHAnsi" w:cs="Calibri"/>
                <w:b/>
                <w:sz w:val="20"/>
                <w:szCs w:val="20"/>
              </w:rPr>
            </w:pPr>
            <w:r w:rsidRPr="00C9657D">
              <w:rPr>
                <w:rFonts w:asciiTheme="minorHAnsi" w:hAnsiTheme="minorHAnsi" w:cs="Calibri"/>
                <w:b/>
                <w:sz w:val="20"/>
                <w:szCs w:val="20"/>
              </w:rPr>
              <w:t>17 216</w:t>
            </w:r>
          </w:p>
        </w:tc>
        <w:tc>
          <w:tcPr>
            <w:tcW w:w="598" w:type="pct"/>
            <w:tcBorders>
              <w:top w:val="single" w:sz="4" w:space="0" w:color="auto"/>
              <w:bottom w:val="single" w:sz="4" w:space="0" w:color="auto"/>
            </w:tcBorders>
            <w:noWrap/>
            <w:vAlign w:val="center"/>
          </w:tcPr>
          <w:p w14:paraId="2C330D8D" w14:textId="77777777" w:rsidR="00D55F31" w:rsidRPr="00C9657D" w:rsidRDefault="0024693B" w:rsidP="0002290A">
            <w:pPr>
              <w:jc w:val="right"/>
              <w:rPr>
                <w:rFonts w:asciiTheme="minorHAnsi" w:hAnsiTheme="minorHAnsi" w:cs="Calibri"/>
                <w:b/>
                <w:sz w:val="20"/>
                <w:szCs w:val="20"/>
              </w:rPr>
            </w:pPr>
            <w:r w:rsidRPr="00C9657D">
              <w:rPr>
                <w:rFonts w:asciiTheme="minorHAnsi" w:hAnsiTheme="minorHAnsi" w:cs="Calibri"/>
                <w:b/>
                <w:sz w:val="20"/>
                <w:szCs w:val="20"/>
              </w:rPr>
              <w:t>23 146</w:t>
            </w:r>
          </w:p>
        </w:tc>
      </w:tr>
      <w:tr w:rsidR="00C425F2" w14:paraId="6A898E5C" w14:textId="77777777" w:rsidTr="00F17372">
        <w:trPr>
          <w:trHeight w:val="227"/>
          <w:jc w:val="center"/>
        </w:trPr>
        <w:tc>
          <w:tcPr>
            <w:tcW w:w="2078" w:type="pct"/>
            <w:vMerge w:val="restart"/>
            <w:tcBorders>
              <w:top w:val="single" w:sz="4" w:space="0" w:color="auto"/>
            </w:tcBorders>
            <w:noWrap/>
            <w:vAlign w:val="center"/>
          </w:tcPr>
          <w:p w14:paraId="1838286B" w14:textId="77777777" w:rsidR="00D55F31" w:rsidRPr="00C9657D" w:rsidRDefault="0024693B" w:rsidP="0002290A">
            <w:pPr>
              <w:rPr>
                <w:rFonts w:asciiTheme="minorHAnsi" w:hAnsiTheme="minorHAnsi" w:cs="Calibri"/>
                <w:i/>
                <w:color w:val="000000"/>
                <w:sz w:val="20"/>
                <w:szCs w:val="20"/>
                <w:lang w:eastAsia="cs-CZ"/>
              </w:rPr>
            </w:pPr>
            <w:r w:rsidRPr="00C9657D">
              <w:rPr>
                <w:rFonts w:asciiTheme="minorHAnsi" w:hAnsiTheme="minorHAnsi" w:cs="Calibri"/>
                <w:i/>
                <w:color w:val="000000"/>
                <w:sz w:val="20"/>
                <w:szCs w:val="20"/>
                <w:lang w:eastAsia="cs-CZ"/>
              </w:rPr>
              <w:t xml:space="preserve">         z toho: pojištěnci</w:t>
            </w:r>
          </w:p>
        </w:tc>
        <w:tc>
          <w:tcPr>
            <w:tcW w:w="1125" w:type="pct"/>
            <w:tcBorders>
              <w:top w:val="single" w:sz="4" w:space="0" w:color="auto"/>
              <w:bottom w:val="single" w:sz="4" w:space="0" w:color="auto"/>
            </w:tcBorders>
            <w:vAlign w:val="center"/>
          </w:tcPr>
          <w:p w14:paraId="3D73605F" w14:textId="77777777" w:rsidR="00D55F31" w:rsidRPr="00C9657D" w:rsidRDefault="0024693B" w:rsidP="0002290A">
            <w:pPr>
              <w:ind w:right="64" w:hanging="11"/>
              <w:jc w:val="center"/>
              <w:rPr>
                <w:rFonts w:asciiTheme="minorHAnsi" w:hAnsiTheme="minorHAnsi" w:cs="Calibri"/>
                <w:i/>
                <w:color w:val="000000"/>
                <w:sz w:val="20"/>
                <w:szCs w:val="20"/>
              </w:rPr>
            </w:pPr>
            <w:r w:rsidRPr="00C9657D">
              <w:rPr>
                <w:rFonts w:asciiTheme="minorHAnsi" w:hAnsiTheme="minorHAnsi" w:cs="Calibri"/>
                <w:i/>
                <w:color w:val="000000"/>
                <w:sz w:val="20"/>
                <w:szCs w:val="20"/>
              </w:rPr>
              <w:t>SLL Janské Lázně</w:t>
            </w:r>
          </w:p>
        </w:tc>
        <w:tc>
          <w:tcPr>
            <w:tcW w:w="599" w:type="pct"/>
            <w:tcBorders>
              <w:top w:val="single" w:sz="4" w:space="0" w:color="auto"/>
              <w:bottom w:val="single" w:sz="4" w:space="0" w:color="auto"/>
            </w:tcBorders>
            <w:noWrap/>
            <w:vAlign w:val="center"/>
          </w:tcPr>
          <w:p w14:paraId="0E44EBA4" w14:textId="77777777" w:rsidR="00D55F31" w:rsidRPr="00C9657D" w:rsidRDefault="0024693B" w:rsidP="0002290A">
            <w:pPr>
              <w:jc w:val="right"/>
              <w:rPr>
                <w:rFonts w:asciiTheme="minorHAnsi" w:hAnsiTheme="minorHAnsi" w:cs="Calibri"/>
                <w:sz w:val="20"/>
                <w:szCs w:val="20"/>
              </w:rPr>
            </w:pPr>
            <w:r w:rsidRPr="00C9657D">
              <w:rPr>
                <w:rFonts w:asciiTheme="minorHAnsi" w:hAnsiTheme="minorHAnsi" w:cs="Calibri"/>
                <w:sz w:val="20"/>
                <w:szCs w:val="20"/>
              </w:rPr>
              <w:t>115 980</w:t>
            </w:r>
          </w:p>
        </w:tc>
        <w:tc>
          <w:tcPr>
            <w:tcW w:w="599" w:type="pct"/>
            <w:tcBorders>
              <w:top w:val="single" w:sz="4" w:space="0" w:color="auto"/>
              <w:bottom w:val="single" w:sz="4" w:space="0" w:color="auto"/>
            </w:tcBorders>
            <w:noWrap/>
            <w:vAlign w:val="center"/>
          </w:tcPr>
          <w:p w14:paraId="05109EDD" w14:textId="77777777" w:rsidR="00D55F31" w:rsidRPr="00C9657D" w:rsidRDefault="0024693B" w:rsidP="0002290A">
            <w:pPr>
              <w:jc w:val="right"/>
              <w:rPr>
                <w:rFonts w:asciiTheme="minorHAnsi" w:hAnsiTheme="minorHAnsi" w:cs="Calibri"/>
                <w:sz w:val="20"/>
                <w:szCs w:val="20"/>
              </w:rPr>
            </w:pPr>
            <w:r w:rsidRPr="00C9657D">
              <w:rPr>
                <w:rFonts w:asciiTheme="minorHAnsi" w:hAnsiTheme="minorHAnsi" w:cs="Calibri"/>
                <w:sz w:val="20"/>
                <w:szCs w:val="20"/>
              </w:rPr>
              <w:t>149 960</w:t>
            </w:r>
          </w:p>
        </w:tc>
        <w:tc>
          <w:tcPr>
            <w:tcW w:w="598" w:type="pct"/>
            <w:tcBorders>
              <w:top w:val="single" w:sz="4" w:space="0" w:color="auto"/>
              <w:bottom w:val="single" w:sz="4" w:space="0" w:color="auto"/>
            </w:tcBorders>
            <w:noWrap/>
            <w:vAlign w:val="center"/>
          </w:tcPr>
          <w:p w14:paraId="69AB452C" w14:textId="77777777" w:rsidR="00D55F31" w:rsidRPr="00C9657D" w:rsidRDefault="0024693B" w:rsidP="0002290A">
            <w:pPr>
              <w:jc w:val="right"/>
              <w:rPr>
                <w:rFonts w:asciiTheme="minorHAnsi" w:hAnsiTheme="minorHAnsi" w:cs="Calibri"/>
                <w:sz w:val="20"/>
                <w:szCs w:val="20"/>
              </w:rPr>
            </w:pPr>
            <w:r w:rsidRPr="00C9657D">
              <w:rPr>
                <w:rFonts w:asciiTheme="minorHAnsi" w:hAnsiTheme="minorHAnsi" w:cs="Calibri"/>
                <w:sz w:val="20"/>
                <w:szCs w:val="20"/>
              </w:rPr>
              <w:t>176 161</w:t>
            </w:r>
          </w:p>
        </w:tc>
      </w:tr>
      <w:tr w:rsidR="00C425F2" w14:paraId="73A6D6A2" w14:textId="77777777" w:rsidTr="00F17372">
        <w:trPr>
          <w:trHeight w:val="227"/>
          <w:jc w:val="center"/>
        </w:trPr>
        <w:tc>
          <w:tcPr>
            <w:tcW w:w="2078" w:type="pct"/>
            <w:vMerge/>
            <w:noWrap/>
            <w:vAlign w:val="center"/>
          </w:tcPr>
          <w:p w14:paraId="3A275669" w14:textId="77777777" w:rsidR="00D55F31" w:rsidRPr="00C9657D" w:rsidRDefault="00D55F31" w:rsidP="0002290A">
            <w:pPr>
              <w:rPr>
                <w:rFonts w:asciiTheme="minorHAnsi" w:hAnsiTheme="minorHAnsi" w:cs="Calibri"/>
                <w:i/>
                <w:color w:val="000000"/>
                <w:sz w:val="20"/>
                <w:szCs w:val="20"/>
                <w:lang w:eastAsia="cs-CZ"/>
              </w:rPr>
            </w:pPr>
          </w:p>
        </w:tc>
        <w:tc>
          <w:tcPr>
            <w:tcW w:w="1125" w:type="pct"/>
            <w:tcBorders>
              <w:top w:val="single" w:sz="4" w:space="0" w:color="auto"/>
              <w:bottom w:val="single" w:sz="4" w:space="0" w:color="auto"/>
            </w:tcBorders>
            <w:vAlign w:val="center"/>
          </w:tcPr>
          <w:p w14:paraId="122ABEB5" w14:textId="77777777" w:rsidR="00D55F31" w:rsidRPr="00C9657D" w:rsidRDefault="0024693B" w:rsidP="0002290A">
            <w:pPr>
              <w:ind w:right="64" w:hanging="11"/>
              <w:jc w:val="center"/>
              <w:rPr>
                <w:rFonts w:asciiTheme="minorHAnsi" w:hAnsiTheme="minorHAnsi" w:cs="Calibri"/>
                <w:i/>
                <w:color w:val="000000"/>
                <w:sz w:val="20"/>
                <w:szCs w:val="20"/>
              </w:rPr>
            </w:pPr>
            <w:r w:rsidRPr="00C9657D">
              <w:rPr>
                <w:rFonts w:asciiTheme="minorHAnsi" w:hAnsiTheme="minorHAnsi" w:cs="Calibri"/>
                <w:i/>
                <w:color w:val="000000"/>
                <w:sz w:val="20"/>
                <w:szCs w:val="20"/>
              </w:rPr>
              <w:t>HL Karlova Studánka</w:t>
            </w:r>
          </w:p>
        </w:tc>
        <w:tc>
          <w:tcPr>
            <w:tcW w:w="599" w:type="pct"/>
            <w:tcBorders>
              <w:top w:val="single" w:sz="4" w:space="0" w:color="auto"/>
              <w:bottom w:val="single" w:sz="4" w:space="0" w:color="auto"/>
            </w:tcBorders>
            <w:noWrap/>
            <w:vAlign w:val="center"/>
          </w:tcPr>
          <w:p w14:paraId="0CE2E0F3" w14:textId="77777777" w:rsidR="00D55F31" w:rsidRPr="00C9657D" w:rsidRDefault="0024693B" w:rsidP="0002290A">
            <w:pPr>
              <w:jc w:val="right"/>
              <w:rPr>
                <w:rFonts w:asciiTheme="minorHAnsi" w:hAnsiTheme="minorHAnsi" w:cs="Calibri"/>
                <w:sz w:val="20"/>
                <w:szCs w:val="20"/>
              </w:rPr>
            </w:pPr>
            <w:r w:rsidRPr="00C9657D">
              <w:rPr>
                <w:rFonts w:asciiTheme="minorHAnsi" w:hAnsiTheme="minorHAnsi" w:cs="Calibri"/>
                <w:sz w:val="20"/>
                <w:szCs w:val="20"/>
              </w:rPr>
              <w:t>36 343</w:t>
            </w:r>
          </w:p>
        </w:tc>
        <w:tc>
          <w:tcPr>
            <w:tcW w:w="599" w:type="pct"/>
            <w:tcBorders>
              <w:top w:val="single" w:sz="4" w:space="0" w:color="auto"/>
              <w:bottom w:val="single" w:sz="4" w:space="0" w:color="auto"/>
            </w:tcBorders>
            <w:noWrap/>
            <w:vAlign w:val="center"/>
          </w:tcPr>
          <w:p w14:paraId="76DC90C8" w14:textId="77777777" w:rsidR="00D55F31" w:rsidRPr="00C9657D" w:rsidRDefault="0024693B" w:rsidP="0002290A">
            <w:pPr>
              <w:jc w:val="right"/>
              <w:rPr>
                <w:rFonts w:asciiTheme="minorHAnsi" w:hAnsiTheme="minorHAnsi" w:cs="Calibri"/>
                <w:sz w:val="20"/>
                <w:szCs w:val="20"/>
              </w:rPr>
            </w:pPr>
            <w:r w:rsidRPr="00C9657D">
              <w:rPr>
                <w:rFonts w:asciiTheme="minorHAnsi" w:hAnsiTheme="minorHAnsi" w:cs="Calibri"/>
                <w:sz w:val="20"/>
                <w:szCs w:val="20"/>
              </w:rPr>
              <w:t>46 791</w:t>
            </w:r>
          </w:p>
        </w:tc>
        <w:tc>
          <w:tcPr>
            <w:tcW w:w="598" w:type="pct"/>
            <w:tcBorders>
              <w:top w:val="single" w:sz="4" w:space="0" w:color="auto"/>
              <w:bottom w:val="single" w:sz="4" w:space="0" w:color="auto"/>
            </w:tcBorders>
            <w:noWrap/>
            <w:vAlign w:val="center"/>
          </w:tcPr>
          <w:p w14:paraId="06AB45F1" w14:textId="77777777" w:rsidR="00D55F31" w:rsidRPr="00C9657D" w:rsidRDefault="0024693B" w:rsidP="0002290A">
            <w:pPr>
              <w:jc w:val="right"/>
              <w:rPr>
                <w:rFonts w:asciiTheme="minorHAnsi" w:hAnsiTheme="minorHAnsi" w:cs="Calibri"/>
                <w:sz w:val="20"/>
                <w:szCs w:val="20"/>
              </w:rPr>
            </w:pPr>
            <w:r w:rsidRPr="00C9657D">
              <w:rPr>
                <w:rFonts w:asciiTheme="minorHAnsi" w:hAnsiTheme="minorHAnsi" w:cs="Calibri"/>
                <w:sz w:val="20"/>
                <w:szCs w:val="20"/>
              </w:rPr>
              <w:t>59 958</w:t>
            </w:r>
          </w:p>
        </w:tc>
      </w:tr>
      <w:tr w:rsidR="00C425F2" w14:paraId="09576231" w14:textId="77777777" w:rsidTr="00F17372">
        <w:trPr>
          <w:trHeight w:val="227"/>
          <w:jc w:val="center"/>
        </w:trPr>
        <w:tc>
          <w:tcPr>
            <w:tcW w:w="2078" w:type="pct"/>
            <w:vMerge/>
            <w:noWrap/>
            <w:vAlign w:val="center"/>
          </w:tcPr>
          <w:p w14:paraId="62850BDF" w14:textId="77777777" w:rsidR="00D55F31" w:rsidRPr="00C9657D" w:rsidRDefault="00D55F31" w:rsidP="0002290A">
            <w:pPr>
              <w:rPr>
                <w:rFonts w:asciiTheme="minorHAnsi" w:hAnsiTheme="minorHAnsi" w:cs="Calibri"/>
                <w:i/>
                <w:color w:val="000000"/>
                <w:sz w:val="20"/>
                <w:szCs w:val="20"/>
                <w:lang w:eastAsia="cs-CZ"/>
              </w:rPr>
            </w:pPr>
          </w:p>
        </w:tc>
        <w:tc>
          <w:tcPr>
            <w:tcW w:w="1125" w:type="pct"/>
            <w:tcBorders>
              <w:top w:val="single" w:sz="4" w:space="0" w:color="auto"/>
              <w:bottom w:val="single" w:sz="4" w:space="0" w:color="auto"/>
            </w:tcBorders>
            <w:vAlign w:val="center"/>
          </w:tcPr>
          <w:p w14:paraId="25255024" w14:textId="77777777" w:rsidR="00D55F31" w:rsidRPr="00C9657D" w:rsidRDefault="0024693B" w:rsidP="0002290A">
            <w:pPr>
              <w:ind w:right="64" w:hanging="11"/>
              <w:jc w:val="center"/>
              <w:rPr>
                <w:rFonts w:asciiTheme="minorHAnsi" w:hAnsiTheme="minorHAnsi" w:cs="Calibri"/>
                <w:i/>
                <w:color w:val="000000"/>
                <w:sz w:val="20"/>
                <w:szCs w:val="20"/>
              </w:rPr>
            </w:pPr>
            <w:r w:rsidRPr="00C9657D">
              <w:rPr>
                <w:rFonts w:asciiTheme="minorHAnsi" w:hAnsiTheme="minorHAnsi" w:cs="Calibri"/>
                <w:i/>
                <w:color w:val="000000"/>
                <w:sz w:val="20"/>
                <w:szCs w:val="20"/>
              </w:rPr>
              <w:t>SLL Bludov</w:t>
            </w:r>
          </w:p>
        </w:tc>
        <w:tc>
          <w:tcPr>
            <w:tcW w:w="599" w:type="pct"/>
            <w:tcBorders>
              <w:top w:val="single" w:sz="4" w:space="0" w:color="auto"/>
              <w:bottom w:val="single" w:sz="4" w:space="0" w:color="auto"/>
            </w:tcBorders>
            <w:noWrap/>
            <w:vAlign w:val="center"/>
          </w:tcPr>
          <w:p w14:paraId="23803EA9" w14:textId="77777777" w:rsidR="00D55F31" w:rsidRPr="00C9657D" w:rsidRDefault="0024693B" w:rsidP="0002290A">
            <w:pPr>
              <w:jc w:val="right"/>
              <w:rPr>
                <w:rFonts w:asciiTheme="minorHAnsi" w:hAnsiTheme="minorHAnsi" w:cs="Calibri"/>
                <w:sz w:val="20"/>
                <w:szCs w:val="20"/>
              </w:rPr>
            </w:pPr>
            <w:r w:rsidRPr="00C9657D">
              <w:rPr>
                <w:rFonts w:asciiTheme="minorHAnsi" w:hAnsiTheme="minorHAnsi" w:cs="Calibri"/>
                <w:sz w:val="20"/>
                <w:szCs w:val="20"/>
              </w:rPr>
              <w:t>12 187</w:t>
            </w:r>
          </w:p>
        </w:tc>
        <w:tc>
          <w:tcPr>
            <w:tcW w:w="599" w:type="pct"/>
            <w:tcBorders>
              <w:top w:val="single" w:sz="4" w:space="0" w:color="auto"/>
              <w:bottom w:val="single" w:sz="4" w:space="0" w:color="auto"/>
            </w:tcBorders>
            <w:noWrap/>
            <w:vAlign w:val="center"/>
          </w:tcPr>
          <w:p w14:paraId="09F09B1C" w14:textId="77777777" w:rsidR="00D55F31" w:rsidRPr="00C9657D" w:rsidRDefault="0024693B" w:rsidP="0002290A">
            <w:pPr>
              <w:jc w:val="right"/>
              <w:rPr>
                <w:rFonts w:asciiTheme="minorHAnsi" w:hAnsiTheme="minorHAnsi" w:cs="Calibri"/>
                <w:sz w:val="20"/>
                <w:szCs w:val="20"/>
              </w:rPr>
            </w:pPr>
            <w:r w:rsidRPr="00C9657D">
              <w:rPr>
                <w:rFonts w:asciiTheme="minorHAnsi" w:hAnsiTheme="minorHAnsi" w:cs="Calibri"/>
                <w:sz w:val="20"/>
                <w:szCs w:val="20"/>
              </w:rPr>
              <w:t>13 978</w:t>
            </w:r>
          </w:p>
        </w:tc>
        <w:tc>
          <w:tcPr>
            <w:tcW w:w="598" w:type="pct"/>
            <w:tcBorders>
              <w:top w:val="single" w:sz="4" w:space="0" w:color="auto"/>
              <w:bottom w:val="single" w:sz="4" w:space="0" w:color="auto"/>
            </w:tcBorders>
            <w:noWrap/>
            <w:vAlign w:val="center"/>
          </w:tcPr>
          <w:p w14:paraId="6E7B401C" w14:textId="77777777" w:rsidR="00D55F31" w:rsidRPr="00C9657D" w:rsidRDefault="0024693B" w:rsidP="0002290A">
            <w:pPr>
              <w:jc w:val="right"/>
              <w:rPr>
                <w:rFonts w:asciiTheme="minorHAnsi" w:hAnsiTheme="minorHAnsi" w:cs="Calibri"/>
                <w:sz w:val="20"/>
                <w:szCs w:val="20"/>
              </w:rPr>
            </w:pPr>
            <w:r w:rsidRPr="00C9657D">
              <w:rPr>
                <w:rFonts w:asciiTheme="minorHAnsi" w:hAnsiTheme="minorHAnsi" w:cs="Calibri"/>
                <w:sz w:val="20"/>
                <w:szCs w:val="20"/>
              </w:rPr>
              <w:t>20 843</w:t>
            </w:r>
          </w:p>
        </w:tc>
      </w:tr>
      <w:tr w:rsidR="00C425F2" w14:paraId="03A7F593" w14:textId="77777777" w:rsidTr="00F17372">
        <w:trPr>
          <w:trHeight w:val="227"/>
          <w:jc w:val="center"/>
        </w:trPr>
        <w:tc>
          <w:tcPr>
            <w:tcW w:w="2078" w:type="pct"/>
            <w:vMerge w:val="restart"/>
            <w:noWrap/>
            <w:vAlign w:val="center"/>
          </w:tcPr>
          <w:p w14:paraId="785EBA8E" w14:textId="77777777" w:rsidR="00D55F31" w:rsidRPr="00C9657D" w:rsidRDefault="0024693B" w:rsidP="0002290A">
            <w:pPr>
              <w:ind w:firstLine="709"/>
              <w:rPr>
                <w:rFonts w:asciiTheme="minorHAnsi" w:hAnsiTheme="minorHAnsi" w:cs="Calibri"/>
                <w:i/>
                <w:color w:val="000000"/>
                <w:sz w:val="20"/>
                <w:szCs w:val="20"/>
                <w:lang w:eastAsia="cs-CZ"/>
              </w:rPr>
            </w:pPr>
            <w:r w:rsidRPr="00C9657D">
              <w:rPr>
                <w:rFonts w:asciiTheme="minorHAnsi" w:hAnsiTheme="minorHAnsi" w:cs="Calibri"/>
                <w:i/>
                <w:color w:val="000000"/>
                <w:sz w:val="20"/>
                <w:szCs w:val="20"/>
                <w:lang w:eastAsia="cs-CZ"/>
              </w:rPr>
              <w:t xml:space="preserve">     samoplátci</w:t>
            </w:r>
          </w:p>
        </w:tc>
        <w:tc>
          <w:tcPr>
            <w:tcW w:w="1125" w:type="pct"/>
            <w:tcBorders>
              <w:top w:val="single" w:sz="4" w:space="0" w:color="auto"/>
              <w:bottom w:val="single" w:sz="4" w:space="0" w:color="auto"/>
            </w:tcBorders>
            <w:vAlign w:val="center"/>
          </w:tcPr>
          <w:p w14:paraId="6527C1BC" w14:textId="77777777" w:rsidR="00D55F31" w:rsidRPr="00C9657D" w:rsidRDefault="0024693B" w:rsidP="0002290A">
            <w:pPr>
              <w:ind w:right="64" w:hanging="11"/>
              <w:jc w:val="center"/>
              <w:rPr>
                <w:rFonts w:asciiTheme="minorHAnsi" w:hAnsiTheme="minorHAnsi" w:cs="Calibri"/>
                <w:i/>
                <w:color w:val="000000"/>
                <w:sz w:val="20"/>
                <w:szCs w:val="20"/>
              </w:rPr>
            </w:pPr>
            <w:r w:rsidRPr="00C9657D">
              <w:rPr>
                <w:rFonts w:asciiTheme="minorHAnsi" w:hAnsiTheme="minorHAnsi" w:cs="Calibri"/>
                <w:i/>
                <w:color w:val="000000"/>
                <w:sz w:val="20"/>
                <w:szCs w:val="20"/>
              </w:rPr>
              <w:t>SLL Janské Lázně</w:t>
            </w:r>
          </w:p>
        </w:tc>
        <w:tc>
          <w:tcPr>
            <w:tcW w:w="599" w:type="pct"/>
            <w:tcBorders>
              <w:top w:val="single" w:sz="4" w:space="0" w:color="auto"/>
              <w:bottom w:val="single" w:sz="4" w:space="0" w:color="auto"/>
            </w:tcBorders>
            <w:noWrap/>
            <w:vAlign w:val="center"/>
          </w:tcPr>
          <w:p w14:paraId="414035B8" w14:textId="77777777" w:rsidR="00D55F31" w:rsidRPr="00C9657D" w:rsidRDefault="0024693B" w:rsidP="0002290A">
            <w:pPr>
              <w:jc w:val="right"/>
              <w:rPr>
                <w:rFonts w:asciiTheme="minorHAnsi" w:hAnsiTheme="minorHAnsi" w:cs="Calibri"/>
                <w:sz w:val="20"/>
                <w:szCs w:val="20"/>
              </w:rPr>
            </w:pPr>
            <w:r w:rsidRPr="00C9657D">
              <w:rPr>
                <w:rFonts w:asciiTheme="minorHAnsi" w:hAnsiTheme="minorHAnsi" w:cs="Calibri"/>
                <w:sz w:val="20"/>
                <w:szCs w:val="20"/>
              </w:rPr>
              <w:t>23 434</w:t>
            </w:r>
          </w:p>
        </w:tc>
        <w:tc>
          <w:tcPr>
            <w:tcW w:w="599" w:type="pct"/>
            <w:tcBorders>
              <w:top w:val="single" w:sz="4" w:space="0" w:color="auto"/>
              <w:bottom w:val="single" w:sz="4" w:space="0" w:color="auto"/>
            </w:tcBorders>
            <w:noWrap/>
            <w:vAlign w:val="center"/>
          </w:tcPr>
          <w:p w14:paraId="5759A750" w14:textId="77777777" w:rsidR="00D55F31" w:rsidRPr="00C9657D" w:rsidRDefault="0024693B" w:rsidP="0002290A">
            <w:pPr>
              <w:jc w:val="right"/>
              <w:rPr>
                <w:rFonts w:asciiTheme="minorHAnsi" w:hAnsiTheme="minorHAnsi" w:cs="Calibri"/>
                <w:sz w:val="20"/>
                <w:szCs w:val="20"/>
              </w:rPr>
            </w:pPr>
            <w:r w:rsidRPr="00C9657D">
              <w:rPr>
                <w:rFonts w:asciiTheme="minorHAnsi" w:hAnsiTheme="minorHAnsi" w:cs="Calibri"/>
                <w:sz w:val="20"/>
                <w:szCs w:val="20"/>
              </w:rPr>
              <w:t>28 181</w:t>
            </w:r>
          </w:p>
        </w:tc>
        <w:tc>
          <w:tcPr>
            <w:tcW w:w="598" w:type="pct"/>
            <w:tcBorders>
              <w:top w:val="single" w:sz="4" w:space="0" w:color="auto"/>
              <w:bottom w:val="single" w:sz="4" w:space="0" w:color="auto"/>
            </w:tcBorders>
            <w:noWrap/>
            <w:vAlign w:val="center"/>
          </w:tcPr>
          <w:p w14:paraId="25748F3E" w14:textId="77777777" w:rsidR="00D55F31" w:rsidRPr="00C9657D" w:rsidRDefault="0024693B" w:rsidP="0002290A">
            <w:pPr>
              <w:jc w:val="right"/>
              <w:rPr>
                <w:rFonts w:asciiTheme="minorHAnsi" w:hAnsiTheme="minorHAnsi" w:cs="Calibri"/>
                <w:sz w:val="20"/>
                <w:szCs w:val="20"/>
              </w:rPr>
            </w:pPr>
            <w:r w:rsidRPr="00C9657D">
              <w:rPr>
                <w:rFonts w:asciiTheme="minorHAnsi" w:hAnsiTheme="minorHAnsi" w:cs="Calibri"/>
                <w:sz w:val="20"/>
                <w:szCs w:val="20"/>
              </w:rPr>
              <w:t>29 046</w:t>
            </w:r>
          </w:p>
        </w:tc>
      </w:tr>
      <w:tr w:rsidR="00C425F2" w14:paraId="03FB5AAC" w14:textId="77777777" w:rsidTr="00F17372">
        <w:trPr>
          <w:trHeight w:val="227"/>
          <w:jc w:val="center"/>
        </w:trPr>
        <w:tc>
          <w:tcPr>
            <w:tcW w:w="2078" w:type="pct"/>
            <w:vMerge/>
            <w:noWrap/>
            <w:vAlign w:val="center"/>
          </w:tcPr>
          <w:p w14:paraId="5D84B6C8" w14:textId="77777777" w:rsidR="00D55F31" w:rsidRPr="00C9657D" w:rsidRDefault="00D55F31" w:rsidP="0002290A">
            <w:pPr>
              <w:rPr>
                <w:rFonts w:asciiTheme="minorHAnsi" w:hAnsiTheme="minorHAnsi" w:cs="Calibri"/>
                <w:color w:val="000000"/>
                <w:sz w:val="20"/>
                <w:szCs w:val="20"/>
                <w:lang w:eastAsia="cs-CZ"/>
              </w:rPr>
            </w:pPr>
          </w:p>
        </w:tc>
        <w:tc>
          <w:tcPr>
            <w:tcW w:w="1125" w:type="pct"/>
            <w:tcBorders>
              <w:top w:val="single" w:sz="4" w:space="0" w:color="auto"/>
              <w:bottom w:val="single" w:sz="4" w:space="0" w:color="auto"/>
            </w:tcBorders>
            <w:vAlign w:val="center"/>
          </w:tcPr>
          <w:p w14:paraId="47650134" w14:textId="77777777" w:rsidR="00D55F31" w:rsidRPr="00C9657D" w:rsidRDefault="0024693B" w:rsidP="0002290A">
            <w:pPr>
              <w:ind w:right="64" w:hanging="11"/>
              <w:jc w:val="center"/>
              <w:rPr>
                <w:rFonts w:asciiTheme="minorHAnsi" w:hAnsiTheme="minorHAnsi" w:cs="Calibri"/>
                <w:i/>
                <w:color w:val="000000"/>
                <w:sz w:val="20"/>
                <w:szCs w:val="20"/>
              </w:rPr>
            </w:pPr>
            <w:r w:rsidRPr="00C9657D">
              <w:rPr>
                <w:rFonts w:asciiTheme="minorHAnsi" w:hAnsiTheme="minorHAnsi" w:cs="Calibri"/>
                <w:i/>
                <w:color w:val="000000"/>
                <w:sz w:val="20"/>
                <w:szCs w:val="20"/>
              </w:rPr>
              <w:t>HL Karlova Studánka</w:t>
            </w:r>
          </w:p>
        </w:tc>
        <w:tc>
          <w:tcPr>
            <w:tcW w:w="599" w:type="pct"/>
            <w:tcBorders>
              <w:top w:val="single" w:sz="4" w:space="0" w:color="auto"/>
              <w:bottom w:val="single" w:sz="4" w:space="0" w:color="auto"/>
            </w:tcBorders>
            <w:noWrap/>
            <w:vAlign w:val="center"/>
          </w:tcPr>
          <w:p w14:paraId="08EC0CF9" w14:textId="77777777" w:rsidR="00D55F31" w:rsidRPr="00C9657D" w:rsidRDefault="0024693B" w:rsidP="0002290A">
            <w:pPr>
              <w:jc w:val="right"/>
              <w:rPr>
                <w:rFonts w:asciiTheme="minorHAnsi" w:hAnsiTheme="minorHAnsi" w:cs="Calibri"/>
                <w:sz w:val="20"/>
                <w:szCs w:val="20"/>
              </w:rPr>
            </w:pPr>
            <w:r w:rsidRPr="00C9657D">
              <w:rPr>
                <w:rFonts w:asciiTheme="minorHAnsi" w:hAnsiTheme="minorHAnsi" w:cs="Calibri"/>
                <w:sz w:val="20"/>
                <w:szCs w:val="20"/>
              </w:rPr>
              <w:t>30 723</w:t>
            </w:r>
          </w:p>
        </w:tc>
        <w:tc>
          <w:tcPr>
            <w:tcW w:w="599" w:type="pct"/>
            <w:tcBorders>
              <w:top w:val="single" w:sz="4" w:space="0" w:color="auto"/>
              <w:bottom w:val="single" w:sz="4" w:space="0" w:color="auto"/>
            </w:tcBorders>
            <w:noWrap/>
            <w:vAlign w:val="center"/>
          </w:tcPr>
          <w:p w14:paraId="62BA6134" w14:textId="77777777" w:rsidR="00D55F31" w:rsidRPr="00C9657D" w:rsidRDefault="0024693B" w:rsidP="0002290A">
            <w:pPr>
              <w:jc w:val="right"/>
              <w:rPr>
                <w:rFonts w:asciiTheme="minorHAnsi" w:hAnsiTheme="minorHAnsi" w:cs="Calibri"/>
                <w:sz w:val="20"/>
                <w:szCs w:val="20"/>
              </w:rPr>
            </w:pPr>
            <w:r w:rsidRPr="00C9657D">
              <w:rPr>
                <w:rFonts w:asciiTheme="minorHAnsi" w:hAnsiTheme="minorHAnsi" w:cs="Calibri"/>
                <w:sz w:val="20"/>
                <w:szCs w:val="20"/>
              </w:rPr>
              <w:t>13 455</w:t>
            </w:r>
          </w:p>
        </w:tc>
        <w:tc>
          <w:tcPr>
            <w:tcW w:w="598" w:type="pct"/>
            <w:tcBorders>
              <w:top w:val="single" w:sz="4" w:space="0" w:color="auto"/>
            </w:tcBorders>
            <w:noWrap/>
            <w:vAlign w:val="center"/>
          </w:tcPr>
          <w:p w14:paraId="2330034D" w14:textId="77777777" w:rsidR="00D55F31" w:rsidRPr="00C9657D" w:rsidRDefault="0024693B" w:rsidP="0002290A">
            <w:pPr>
              <w:jc w:val="right"/>
              <w:rPr>
                <w:rFonts w:asciiTheme="minorHAnsi" w:hAnsiTheme="minorHAnsi" w:cs="Calibri"/>
                <w:sz w:val="20"/>
                <w:szCs w:val="20"/>
              </w:rPr>
            </w:pPr>
            <w:r w:rsidRPr="00C9657D">
              <w:rPr>
                <w:rFonts w:asciiTheme="minorHAnsi" w:hAnsiTheme="minorHAnsi" w:cs="Calibri"/>
                <w:sz w:val="20"/>
                <w:szCs w:val="20"/>
              </w:rPr>
              <w:t>33 997</w:t>
            </w:r>
          </w:p>
        </w:tc>
      </w:tr>
      <w:tr w:rsidR="00C425F2" w14:paraId="2F75044C" w14:textId="77777777" w:rsidTr="00F17372">
        <w:trPr>
          <w:trHeight w:val="227"/>
          <w:jc w:val="center"/>
        </w:trPr>
        <w:tc>
          <w:tcPr>
            <w:tcW w:w="2078" w:type="pct"/>
            <w:vMerge/>
            <w:tcBorders>
              <w:bottom w:val="single" w:sz="12" w:space="0" w:color="auto"/>
            </w:tcBorders>
            <w:noWrap/>
            <w:vAlign w:val="center"/>
          </w:tcPr>
          <w:p w14:paraId="5CD226B7" w14:textId="77777777" w:rsidR="00D55F31" w:rsidRPr="00C9657D" w:rsidRDefault="00D55F31" w:rsidP="0002290A">
            <w:pPr>
              <w:rPr>
                <w:rFonts w:asciiTheme="minorHAnsi" w:hAnsiTheme="minorHAnsi" w:cs="Calibri"/>
                <w:color w:val="000000"/>
                <w:sz w:val="20"/>
                <w:szCs w:val="20"/>
                <w:lang w:eastAsia="cs-CZ"/>
              </w:rPr>
            </w:pPr>
          </w:p>
        </w:tc>
        <w:tc>
          <w:tcPr>
            <w:tcW w:w="1125" w:type="pct"/>
            <w:tcBorders>
              <w:top w:val="single" w:sz="4" w:space="0" w:color="auto"/>
              <w:bottom w:val="single" w:sz="12" w:space="0" w:color="auto"/>
            </w:tcBorders>
            <w:vAlign w:val="center"/>
          </w:tcPr>
          <w:p w14:paraId="05241719" w14:textId="77777777" w:rsidR="00D55F31" w:rsidRPr="00C9657D" w:rsidRDefault="0024693B" w:rsidP="0002290A">
            <w:pPr>
              <w:ind w:right="64" w:hanging="11"/>
              <w:jc w:val="center"/>
              <w:rPr>
                <w:rFonts w:asciiTheme="minorHAnsi" w:hAnsiTheme="minorHAnsi" w:cs="Calibri"/>
                <w:i/>
                <w:color w:val="000000"/>
                <w:sz w:val="20"/>
                <w:szCs w:val="20"/>
              </w:rPr>
            </w:pPr>
            <w:r w:rsidRPr="00C9657D">
              <w:rPr>
                <w:rFonts w:asciiTheme="minorHAnsi" w:hAnsiTheme="minorHAnsi" w:cs="Calibri"/>
                <w:i/>
                <w:color w:val="000000"/>
                <w:sz w:val="20"/>
                <w:szCs w:val="20"/>
              </w:rPr>
              <w:t>SLL Bludov</w:t>
            </w:r>
          </w:p>
        </w:tc>
        <w:tc>
          <w:tcPr>
            <w:tcW w:w="599" w:type="pct"/>
            <w:tcBorders>
              <w:top w:val="single" w:sz="4" w:space="0" w:color="auto"/>
              <w:bottom w:val="single" w:sz="12" w:space="0" w:color="auto"/>
            </w:tcBorders>
            <w:noWrap/>
            <w:vAlign w:val="center"/>
          </w:tcPr>
          <w:p w14:paraId="5496BAAD" w14:textId="77777777" w:rsidR="00D55F31" w:rsidRPr="00C9657D" w:rsidRDefault="0024693B" w:rsidP="0002290A">
            <w:pPr>
              <w:jc w:val="right"/>
              <w:rPr>
                <w:rFonts w:asciiTheme="minorHAnsi" w:hAnsiTheme="minorHAnsi" w:cs="Calibri"/>
                <w:sz w:val="20"/>
                <w:szCs w:val="20"/>
              </w:rPr>
            </w:pPr>
            <w:r w:rsidRPr="00C9657D">
              <w:rPr>
                <w:rFonts w:asciiTheme="minorHAnsi" w:hAnsiTheme="minorHAnsi" w:cs="Calibri"/>
                <w:sz w:val="20"/>
                <w:szCs w:val="20"/>
              </w:rPr>
              <w:t>1 783</w:t>
            </w:r>
          </w:p>
        </w:tc>
        <w:tc>
          <w:tcPr>
            <w:tcW w:w="599" w:type="pct"/>
            <w:tcBorders>
              <w:top w:val="single" w:sz="4" w:space="0" w:color="auto"/>
              <w:bottom w:val="single" w:sz="12" w:space="0" w:color="auto"/>
            </w:tcBorders>
            <w:noWrap/>
            <w:vAlign w:val="center"/>
          </w:tcPr>
          <w:p w14:paraId="35845936" w14:textId="77777777" w:rsidR="00D55F31" w:rsidRPr="00C9657D" w:rsidRDefault="0024693B" w:rsidP="0002290A">
            <w:pPr>
              <w:jc w:val="right"/>
              <w:rPr>
                <w:rFonts w:asciiTheme="minorHAnsi" w:hAnsiTheme="minorHAnsi" w:cs="Calibri"/>
                <w:sz w:val="20"/>
                <w:szCs w:val="20"/>
              </w:rPr>
            </w:pPr>
            <w:r w:rsidRPr="00C9657D">
              <w:rPr>
                <w:rFonts w:asciiTheme="minorHAnsi" w:hAnsiTheme="minorHAnsi" w:cs="Calibri"/>
                <w:sz w:val="20"/>
                <w:szCs w:val="20"/>
              </w:rPr>
              <w:t>3 238</w:t>
            </w:r>
          </w:p>
        </w:tc>
        <w:tc>
          <w:tcPr>
            <w:tcW w:w="598" w:type="pct"/>
            <w:tcBorders>
              <w:bottom w:val="single" w:sz="12" w:space="0" w:color="auto"/>
            </w:tcBorders>
            <w:noWrap/>
            <w:vAlign w:val="center"/>
          </w:tcPr>
          <w:p w14:paraId="315F48B5" w14:textId="77777777" w:rsidR="00D55F31" w:rsidRPr="00C9657D" w:rsidRDefault="0024693B" w:rsidP="0002290A">
            <w:pPr>
              <w:jc w:val="right"/>
              <w:rPr>
                <w:rFonts w:asciiTheme="minorHAnsi" w:hAnsiTheme="minorHAnsi" w:cs="Calibri"/>
                <w:sz w:val="20"/>
                <w:szCs w:val="20"/>
              </w:rPr>
            </w:pPr>
            <w:r w:rsidRPr="00C9657D">
              <w:rPr>
                <w:rFonts w:asciiTheme="minorHAnsi" w:hAnsiTheme="minorHAnsi" w:cs="Calibri"/>
                <w:sz w:val="20"/>
                <w:szCs w:val="20"/>
              </w:rPr>
              <w:t>2 303</w:t>
            </w:r>
          </w:p>
        </w:tc>
      </w:tr>
    </w:tbl>
    <w:p w14:paraId="3732A875" w14:textId="77777777" w:rsidR="00D55F31" w:rsidRDefault="0024693B" w:rsidP="0002290A">
      <w:pPr>
        <w:spacing w:before="40"/>
        <w:jc w:val="both"/>
        <w:rPr>
          <w:rFonts w:asciiTheme="minorHAnsi" w:hAnsiTheme="minorHAnsi" w:cs="Calibri"/>
          <w:bCs/>
          <w:sz w:val="20"/>
          <w:szCs w:val="20"/>
          <w:lang w:eastAsia="cs-CZ"/>
        </w:rPr>
      </w:pPr>
      <w:r w:rsidRPr="00C9657D">
        <w:rPr>
          <w:rFonts w:asciiTheme="minorHAnsi" w:hAnsiTheme="minorHAnsi" w:cs="Calibri"/>
          <w:b/>
          <w:bCs/>
          <w:sz w:val="20"/>
          <w:szCs w:val="20"/>
          <w:lang w:eastAsia="cs-CZ"/>
        </w:rPr>
        <w:t>Zdroj:</w:t>
      </w:r>
      <w:r w:rsidRPr="00C9657D">
        <w:rPr>
          <w:rFonts w:asciiTheme="minorHAnsi" w:hAnsiTheme="minorHAnsi" w:cs="Calibri"/>
          <w:bCs/>
          <w:sz w:val="20"/>
          <w:szCs w:val="20"/>
          <w:lang w:eastAsia="cs-CZ"/>
        </w:rPr>
        <w:t xml:space="preserve"> data poskytnutá jednotlivými státními podniky (SLL Bludov, SLL Janské Lázně a HL Karlova Studánka).</w:t>
      </w:r>
    </w:p>
    <w:p w14:paraId="2D7569F8" w14:textId="77777777" w:rsidR="00D55F31" w:rsidRPr="00D10606" w:rsidRDefault="0024693B" w:rsidP="00F17372">
      <w:pPr>
        <w:spacing w:before="240"/>
        <w:jc w:val="both"/>
        <w:rPr>
          <w:rFonts w:asciiTheme="minorHAnsi" w:hAnsiTheme="minorHAnsi" w:cs="Calibri"/>
          <w:bCs/>
          <w:lang w:eastAsia="cs-CZ"/>
        </w:rPr>
      </w:pPr>
      <w:r w:rsidRPr="00D10606">
        <w:rPr>
          <w:rFonts w:asciiTheme="minorHAnsi" w:hAnsiTheme="minorHAnsi" w:cs="Calibri"/>
          <w:bCs/>
          <w:lang w:eastAsia="cs-CZ"/>
        </w:rPr>
        <w:t xml:space="preserve">V roce 2015 tvořil počet </w:t>
      </w:r>
      <w:r w:rsidR="00D55F31">
        <w:rPr>
          <w:rFonts w:asciiTheme="minorHAnsi" w:hAnsiTheme="minorHAnsi" w:cs="Calibri"/>
          <w:bCs/>
          <w:lang w:eastAsia="cs-CZ"/>
        </w:rPr>
        <w:t>pojištěnců</w:t>
      </w:r>
      <w:r w:rsidR="00D55F31" w:rsidRPr="00D10606">
        <w:rPr>
          <w:rFonts w:asciiTheme="minorHAnsi" w:hAnsiTheme="minorHAnsi" w:cs="Calibri"/>
          <w:bCs/>
          <w:lang w:eastAsia="cs-CZ"/>
        </w:rPr>
        <w:t xml:space="preserve"> </w:t>
      </w:r>
      <w:r w:rsidRPr="00D10606">
        <w:rPr>
          <w:rFonts w:asciiTheme="minorHAnsi" w:hAnsiTheme="minorHAnsi" w:cs="Calibri"/>
          <w:bCs/>
          <w:lang w:eastAsia="cs-CZ"/>
        </w:rPr>
        <w:t xml:space="preserve">ZP u HL Karlova Studánka 27,3 % z celkového počtu klientů, v letech 2013 a 2014 bylo procento </w:t>
      </w:r>
      <w:r w:rsidR="00D55F31">
        <w:rPr>
          <w:rFonts w:asciiTheme="minorHAnsi" w:hAnsiTheme="minorHAnsi" w:cs="Calibri"/>
          <w:bCs/>
          <w:lang w:eastAsia="cs-CZ"/>
        </w:rPr>
        <w:t>pojištěnců</w:t>
      </w:r>
      <w:r w:rsidR="00D55F31" w:rsidRPr="00D10606">
        <w:rPr>
          <w:rFonts w:asciiTheme="minorHAnsi" w:hAnsiTheme="minorHAnsi" w:cs="Calibri"/>
          <w:bCs/>
          <w:lang w:eastAsia="cs-CZ"/>
        </w:rPr>
        <w:t xml:space="preserve"> </w:t>
      </w:r>
      <w:r w:rsidRPr="00D10606">
        <w:rPr>
          <w:rFonts w:asciiTheme="minorHAnsi" w:hAnsiTheme="minorHAnsi" w:cs="Calibri"/>
          <w:bCs/>
          <w:lang w:eastAsia="cs-CZ"/>
        </w:rPr>
        <w:t>ZP ještě nižší (</w:t>
      </w:r>
      <w:r>
        <w:rPr>
          <w:rFonts w:asciiTheme="minorHAnsi" w:hAnsiTheme="minorHAnsi" w:cs="Calibri"/>
          <w:bCs/>
          <w:lang w:eastAsia="cs-CZ"/>
        </w:rPr>
        <w:t>v roce 2013 jen 15,3 % a </w:t>
      </w:r>
      <w:r w:rsidR="00D55F31">
        <w:rPr>
          <w:rFonts w:asciiTheme="minorHAnsi" w:hAnsiTheme="minorHAnsi" w:cs="Calibri"/>
          <w:bCs/>
          <w:lang w:eastAsia="cs-CZ"/>
        </w:rPr>
        <w:t xml:space="preserve">18,1 % </w:t>
      </w:r>
      <w:r>
        <w:rPr>
          <w:rFonts w:asciiTheme="minorHAnsi" w:hAnsiTheme="minorHAnsi" w:cs="Calibri"/>
          <w:bCs/>
          <w:lang w:eastAsia="cs-CZ"/>
        </w:rPr>
        <w:t>v roce </w:t>
      </w:r>
      <w:r w:rsidRPr="00D10606">
        <w:rPr>
          <w:rFonts w:asciiTheme="minorHAnsi" w:hAnsiTheme="minorHAnsi" w:cs="Calibri"/>
          <w:bCs/>
          <w:lang w:eastAsia="cs-CZ"/>
        </w:rPr>
        <w:t xml:space="preserve">2014). V propočtu ošetřovacích dnů však </w:t>
      </w:r>
      <w:r w:rsidR="00D55F31">
        <w:rPr>
          <w:rFonts w:asciiTheme="minorHAnsi" w:hAnsiTheme="minorHAnsi" w:cs="Calibri"/>
          <w:bCs/>
          <w:lang w:eastAsia="cs-CZ"/>
        </w:rPr>
        <w:t xml:space="preserve">pojištěnci </w:t>
      </w:r>
      <w:r>
        <w:rPr>
          <w:rFonts w:asciiTheme="minorHAnsi" w:hAnsiTheme="minorHAnsi" w:cs="Calibri"/>
          <w:bCs/>
          <w:lang w:eastAsia="cs-CZ"/>
        </w:rPr>
        <w:t>ZP čerpali v roce 2015 téměř </w:t>
      </w:r>
      <w:r w:rsidRPr="00D10606">
        <w:rPr>
          <w:rFonts w:asciiTheme="minorHAnsi" w:hAnsiTheme="minorHAnsi" w:cs="Calibri"/>
          <w:bCs/>
          <w:lang w:eastAsia="cs-CZ"/>
        </w:rPr>
        <w:t>64 % z celkového počtu ošetřovacích dnů.</w:t>
      </w:r>
    </w:p>
    <w:p w14:paraId="0C6F244A" w14:textId="77777777" w:rsidR="00D55F31" w:rsidRDefault="0024693B" w:rsidP="0002290A">
      <w:pPr>
        <w:spacing w:before="120"/>
        <w:jc w:val="both"/>
        <w:rPr>
          <w:rFonts w:asciiTheme="minorHAnsi" w:hAnsiTheme="minorHAnsi" w:cs="Calibri"/>
          <w:bCs/>
          <w:lang w:eastAsia="cs-CZ"/>
        </w:rPr>
      </w:pPr>
      <w:r w:rsidRPr="00D10606">
        <w:rPr>
          <w:rFonts w:asciiTheme="minorHAnsi" w:hAnsiTheme="minorHAnsi" w:cs="Calibri"/>
          <w:bCs/>
          <w:lang w:eastAsia="cs-CZ"/>
        </w:rPr>
        <w:t xml:space="preserve">U dalších dvou lázní tvořili </w:t>
      </w:r>
      <w:r w:rsidR="00D55F31">
        <w:rPr>
          <w:rFonts w:asciiTheme="minorHAnsi" w:hAnsiTheme="minorHAnsi" w:cs="Calibri"/>
          <w:bCs/>
          <w:lang w:eastAsia="cs-CZ"/>
        </w:rPr>
        <w:t>pojištěnci</w:t>
      </w:r>
      <w:r w:rsidR="00D55F31" w:rsidRPr="00D10606">
        <w:rPr>
          <w:rFonts w:asciiTheme="minorHAnsi" w:hAnsiTheme="minorHAnsi" w:cs="Calibri"/>
          <w:bCs/>
          <w:lang w:eastAsia="cs-CZ"/>
        </w:rPr>
        <w:t xml:space="preserve"> </w:t>
      </w:r>
      <w:r w:rsidRPr="00D10606">
        <w:rPr>
          <w:rFonts w:asciiTheme="minorHAnsi" w:hAnsiTheme="minorHAnsi" w:cs="Calibri"/>
          <w:bCs/>
          <w:lang w:eastAsia="cs-CZ"/>
        </w:rPr>
        <w:t>ZP výraznější podíl na ce</w:t>
      </w:r>
      <w:r>
        <w:rPr>
          <w:rFonts w:asciiTheme="minorHAnsi" w:hAnsiTheme="minorHAnsi" w:cs="Calibri"/>
          <w:bCs/>
          <w:lang w:eastAsia="cs-CZ"/>
        </w:rPr>
        <w:t>l</w:t>
      </w:r>
      <w:r w:rsidRPr="00D10606">
        <w:rPr>
          <w:rFonts w:asciiTheme="minorHAnsi" w:hAnsiTheme="minorHAnsi" w:cs="Calibri"/>
          <w:bCs/>
          <w:lang w:eastAsia="cs-CZ"/>
        </w:rPr>
        <w:t>kovém počt</w:t>
      </w:r>
      <w:r>
        <w:rPr>
          <w:rFonts w:asciiTheme="minorHAnsi" w:hAnsiTheme="minorHAnsi" w:cs="Calibri"/>
          <w:bCs/>
          <w:lang w:eastAsia="cs-CZ"/>
        </w:rPr>
        <w:t>u klientů (u SLL Bludov v průměr</w:t>
      </w:r>
      <w:r w:rsidRPr="00D10606">
        <w:rPr>
          <w:rFonts w:asciiTheme="minorHAnsi" w:hAnsiTheme="minorHAnsi" w:cs="Calibri"/>
          <w:bCs/>
          <w:lang w:eastAsia="cs-CZ"/>
        </w:rPr>
        <w:t>u 51,1</w:t>
      </w:r>
      <w:r>
        <w:rPr>
          <w:rFonts w:asciiTheme="minorHAnsi" w:hAnsiTheme="minorHAnsi" w:cs="Calibri"/>
          <w:bCs/>
          <w:lang w:eastAsia="cs-CZ"/>
        </w:rPr>
        <w:t xml:space="preserve"> % a u SLL Janské Lázně v průměr</w:t>
      </w:r>
      <w:r w:rsidRPr="00D10606">
        <w:rPr>
          <w:rFonts w:asciiTheme="minorHAnsi" w:hAnsiTheme="minorHAnsi" w:cs="Calibri"/>
          <w:bCs/>
          <w:lang w:eastAsia="cs-CZ"/>
        </w:rPr>
        <w:t>u 56,1 %)</w:t>
      </w:r>
      <w:r w:rsidR="00D55F31">
        <w:rPr>
          <w:rFonts w:asciiTheme="minorHAnsi" w:hAnsiTheme="minorHAnsi" w:cs="Calibri"/>
          <w:bCs/>
          <w:lang w:eastAsia="cs-CZ"/>
        </w:rPr>
        <w:t xml:space="preserve"> a</w:t>
      </w:r>
      <w:r w:rsidRPr="00D10606">
        <w:rPr>
          <w:rFonts w:asciiTheme="minorHAnsi" w:hAnsiTheme="minorHAnsi" w:cs="Calibri"/>
          <w:bCs/>
          <w:lang w:eastAsia="cs-CZ"/>
        </w:rPr>
        <w:t xml:space="preserve"> </w:t>
      </w:r>
      <w:r w:rsidR="00D55F31" w:rsidRPr="00D10606">
        <w:rPr>
          <w:rFonts w:asciiTheme="minorHAnsi" w:hAnsiTheme="minorHAnsi" w:cs="Calibri"/>
          <w:bCs/>
          <w:lang w:eastAsia="cs-CZ"/>
        </w:rPr>
        <w:t>celkové</w:t>
      </w:r>
      <w:r w:rsidR="00D55F31">
        <w:rPr>
          <w:rFonts w:asciiTheme="minorHAnsi" w:hAnsiTheme="minorHAnsi" w:cs="Calibri"/>
          <w:bCs/>
          <w:lang w:eastAsia="cs-CZ"/>
        </w:rPr>
        <w:t>m</w:t>
      </w:r>
      <w:r w:rsidR="00D55F31" w:rsidRPr="00D10606">
        <w:rPr>
          <w:rFonts w:asciiTheme="minorHAnsi" w:hAnsiTheme="minorHAnsi" w:cs="Calibri"/>
          <w:bCs/>
          <w:lang w:eastAsia="cs-CZ"/>
        </w:rPr>
        <w:t xml:space="preserve"> </w:t>
      </w:r>
      <w:r w:rsidRPr="00D10606">
        <w:rPr>
          <w:rFonts w:asciiTheme="minorHAnsi" w:hAnsiTheme="minorHAnsi" w:cs="Calibri"/>
          <w:bCs/>
          <w:lang w:eastAsia="cs-CZ"/>
        </w:rPr>
        <w:t xml:space="preserve">počtu </w:t>
      </w:r>
      <w:r w:rsidR="00D55F31">
        <w:rPr>
          <w:rFonts w:asciiTheme="minorHAnsi" w:hAnsiTheme="minorHAnsi" w:cs="Calibri"/>
          <w:bCs/>
          <w:lang w:eastAsia="cs-CZ"/>
        </w:rPr>
        <w:t>ošetřovacích dnů</w:t>
      </w:r>
      <w:r w:rsidRPr="00D10606">
        <w:rPr>
          <w:rFonts w:asciiTheme="minorHAnsi" w:hAnsiTheme="minorHAnsi" w:cs="Calibri"/>
          <w:bCs/>
          <w:lang w:eastAsia="cs-CZ"/>
        </w:rPr>
        <w:t>.</w:t>
      </w:r>
    </w:p>
    <w:p w14:paraId="1ECFF284" w14:textId="3E0C36A1" w:rsidR="009443FF" w:rsidRPr="00741161" w:rsidRDefault="009443FF" w:rsidP="0002290A">
      <w:pPr>
        <w:shd w:val="clear" w:color="auto" w:fill="DBE5F1" w:themeFill="accent1" w:themeFillTint="33"/>
        <w:spacing w:before="120"/>
        <w:jc w:val="both"/>
        <w:rPr>
          <w:rFonts w:asciiTheme="minorHAnsi" w:hAnsiTheme="minorHAnsi" w:cs="Calibri"/>
          <w:bCs/>
          <w:lang w:eastAsia="cs-CZ"/>
        </w:rPr>
      </w:pPr>
      <w:r w:rsidRPr="00741161">
        <w:rPr>
          <w:rFonts w:asciiTheme="minorHAnsi" w:hAnsiTheme="minorHAnsi" w:cs="Calibri"/>
          <w:bCs/>
          <w:lang w:eastAsia="cs-CZ"/>
        </w:rPr>
        <w:t>Rozšíření lázeňské péče pro pojištěnce ZP</w:t>
      </w:r>
      <w:r w:rsidR="00DF673C" w:rsidRPr="00741161">
        <w:rPr>
          <w:rFonts w:asciiTheme="minorHAnsi" w:hAnsiTheme="minorHAnsi" w:cs="Calibri"/>
          <w:bCs/>
          <w:lang w:eastAsia="cs-CZ"/>
        </w:rPr>
        <w:t xml:space="preserve"> a stabil</w:t>
      </w:r>
      <w:r w:rsidR="00247741">
        <w:rPr>
          <w:rFonts w:asciiTheme="minorHAnsi" w:hAnsiTheme="minorHAnsi" w:cs="Calibri"/>
          <w:bCs/>
          <w:lang w:eastAsia="cs-CZ"/>
        </w:rPr>
        <w:t>izace právních norem vztahujících</w:t>
      </w:r>
      <w:r w:rsidR="00DF673C" w:rsidRPr="00741161">
        <w:rPr>
          <w:rFonts w:asciiTheme="minorHAnsi" w:hAnsiTheme="minorHAnsi" w:cs="Calibri"/>
          <w:bCs/>
          <w:lang w:eastAsia="cs-CZ"/>
        </w:rPr>
        <w:t xml:space="preserve"> se k lázeňské péči</w:t>
      </w:r>
      <w:r w:rsidRPr="00741161">
        <w:rPr>
          <w:rFonts w:asciiTheme="minorHAnsi" w:hAnsiTheme="minorHAnsi" w:cs="Calibri"/>
          <w:bCs/>
          <w:lang w:eastAsia="cs-CZ"/>
        </w:rPr>
        <w:t xml:space="preserve"> </w:t>
      </w:r>
      <w:r w:rsidR="00DF673C" w:rsidRPr="00741161">
        <w:rPr>
          <w:rFonts w:asciiTheme="minorHAnsi" w:hAnsiTheme="minorHAnsi" w:cs="Calibri"/>
          <w:bCs/>
          <w:lang w:eastAsia="cs-CZ"/>
        </w:rPr>
        <w:t xml:space="preserve">by </w:t>
      </w:r>
      <w:r w:rsidRPr="00741161">
        <w:rPr>
          <w:rFonts w:asciiTheme="minorHAnsi" w:hAnsiTheme="minorHAnsi" w:cs="Calibri"/>
          <w:bCs/>
          <w:lang w:eastAsia="cs-CZ"/>
        </w:rPr>
        <w:t>dle názoru NKÚ přispě</w:t>
      </w:r>
      <w:r w:rsidR="00DF673C" w:rsidRPr="00741161">
        <w:rPr>
          <w:rFonts w:asciiTheme="minorHAnsi" w:hAnsiTheme="minorHAnsi" w:cs="Calibri"/>
          <w:bCs/>
          <w:lang w:eastAsia="cs-CZ"/>
        </w:rPr>
        <w:t>lo</w:t>
      </w:r>
      <w:r w:rsidRPr="00741161">
        <w:rPr>
          <w:rFonts w:asciiTheme="minorHAnsi" w:hAnsiTheme="minorHAnsi" w:cs="Calibri"/>
          <w:bCs/>
          <w:lang w:eastAsia="cs-CZ"/>
        </w:rPr>
        <w:t xml:space="preserve"> ke zlepšení výsledků hospodaření státních podniků.</w:t>
      </w:r>
    </w:p>
    <w:p w14:paraId="2A977E4F" w14:textId="77777777" w:rsidR="00D55F31" w:rsidRPr="00471ABD" w:rsidRDefault="0024693B" w:rsidP="00AA225D">
      <w:pPr>
        <w:spacing w:before="240"/>
        <w:rPr>
          <w:rFonts w:asciiTheme="minorHAnsi" w:hAnsiTheme="minorHAnsi" w:cstheme="minorHAnsi"/>
          <w:b/>
        </w:rPr>
      </w:pPr>
      <w:r w:rsidRPr="00471ABD">
        <w:rPr>
          <w:rFonts w:asciiTheme="minorHAnsi" w:hAnsiTheme="minorHAnsi" w:cstheme="minorHAnsi"/>
          <w:b/>
        </w:rPr>
        <w:t xml:space="preserve">2.3 </w:t>
      </w:r>
      <w:bookmarkEnd w:id="1"/>
      <w:r w:rsidRPr="00471ABD">
        <w:rPr>
          <w:rFonts w:asciiTheme="minorHAnsi" w:hAnsiTheme="minorHAnsi" w:cstheme="minorHAnsi"/>
          <w:b/>
        </w:rPr>
        <w:t>Náklady státních podniků</w:t>
      </w:r>
    </w:p>
    <w:p w14:paraId="10D553B3" w14:textId="77777777" w:rsidR="00D55F31" w:rsidRPr="00C9657D" w:rsidRDefault="0024693B" w:rsidP="0002290A">
      <w:pPr>
        <w:spacing w:before="120"/>
        <w:jc w:val="both"/>
        <w:rPr>
          <w:rFonts w:asciiTheme="minorHAnsi" w:hAnsiTheme="minorHAnsi"/>
        </w:rPr>
      </w:pPr>
      <w:r w:rsidRPr="00C9657D">
        <w:rPr>
          <w:rFonts w:asciiTheme="minorHAnsi" w:hAnsiTheme="minorHAnsi"/>
        </w:rPr>
        <w:t xml:space="preserve">Kontrolou peněžních prostředků vynaložených podniky na vybrané náklady (opravy a udržování, </w:t>
      </w:r>
      <w:r w:rsidR="00D55F31" w:rsidRPr="00C9657D">
        <w:rPr>
          <w:rFonts w:asciiTheme="minorHAnsi" w:hAnsiTheme="minorHAnsi"/>
        </w:rPr>
        <w:t>reprezentac</w:t>
      </w:r>
      <w:r w:rsidR="00D55F31">
        <w:rPr>
          <w:rFonts w:asciiTheme="minorHAnsi" w:hAnsiTheme="minorHAnsi"/>
        </w:rPr>
        <w:t>i</w:t>
      </w:r>
      <w:r w:rsidRPr="00C9657D">
        <w:rPr>
          <w:rFonts w:asciiTheme="minorHAnsi" w:hAnsiTheme="minorHAnsi"/>
        </w:rPr>
        <w:t xml:space="preserve">, právní a poradenské služby, dary, pokuty a penále, odpisy pohledávek, zmařené investice a další vybrané provozní náklady) byly zjištěny nedostatky zejména u veřejných zakázek </w:t>
      </w:r>
      <w:r w:rsidR="004704F4">
        <w:rPr>
          <w:rFonts w:asciiTheme="minorHAnsi" w:hAnsiTheme="minorHAnsi"/>
        </w:rPr>
        <w:t>(</w:t>
      </w:r>
      <w:r w:rsidRPr="00C9657D">
        <w:rPr>
          <w:rFonts w:asciiTheme="minorHAnsi" w:hAnsiTheme="minorHAnsi"/>
        </w:rPr>
        <w:t>dále také „VZ</w:t>
      </w:r>
      <w:r w:rsidR="004704F4" w:rsidRPr="00C9657D">
        <w:rPr>
          <w:rFonts w:asciiTheme="minorHAnsi" w:hAnsiTheme="minorHAnsi"/>
        </w:rPr>
        <w:t>“</w:t>
      </w:r>
      <w:r w:rsidR="004704F4">
        <w:rPr>
          <w:rFonts w:asciiTheme="minorHAnsi" w:hAnsiTheme="minorHAnsi"/>
        </w:rPr>
        <w:t>)</w:t>
      </w:r>
      <w:r w:rsidR="004704F4" w:rsidRPr="00C9657D">
        <w:rPr>
          <w:rFonts w:asciiTheme="minorHAnsi" w:hAnsiTheme="minorHAnsi"/>
        </w:rPr>
        <w:t xml:space="preserve"> </w:t>
      </w:r>
      <w:r w:rsidRPr="00C9657D">
        <w:rPr>
          <w:rFonts w:asciiTheme="minorHAnsi" w:hAnsiTheme="minorHAnsi"/>
        </w:rPr>
        <w:t xml:space="preserve">týkajících se výběrů dodavatelů (podrobněji </w:t>
      </w:r>
      <w:r>
        <w:rPr>
          <w:rFonts w:asciiTheme="minorHAnsi" w:hAnsiTheme="minorHAnsi"/>
        </w:rPr>
        <w:t xml:space="preserve">dále </w:t>
      </w:r>
      <w:r w:rsidRPr="00C9657D">
        <w:rPr>
          <w:rFonts w:asciiTheme="minorHAnsi" w:hAnsiTheme="minorHAnsi"/>
        </w:rPr>
        <w:t>viz bod 2.</w:t>
      </w:r>
      <w:r>
        <w:rPr>
          <w:rFonts w:asciiTheme="minorHAnsi" w:hAnsiTheme="minorHAnsi"/>
        </w:rPr>
        <w:t>4</w:t>
      </w:r>
      <w:r w:rsidRPr="00C9657D">
        <w:rPr>
          <w:rFonts w:asciiTheme="minorHAnsi" w:hAnsiTheme="minorHAnsi"/>
        </w:rPr>
        <w:t xml:space="preserve"> tohoto kontrolního závěru). Dále bylo zjištěno, že:</w:t>
      </w:r>
    </w:p>
    <w:p w14:paraId="62F8B9F0" w14:textId="77777777" w:rsidR="00D55F31" w:rsidRPr="00C9657D" w:rsidRDefault="0024693B" w:rsidP="000D68D3">
      <w:pPr>
        <w:numPr>
          <w:ilvl w:val="0"/>
          <w:numId w:val="25"/>
        </w:numPr>
        <w:ind w:left="284" w:hanging="284"/>
        <w:contextualSpacing/>
        <w:jc w:val="both"/>
        <w:rPr>
          <w:rFonts w:asciiTheme="minorHAnsi" w:hAnsiTheme="minorHAnsi"/>
          <w:szCs w:val="20"/>
        </w:rPr>
      </w:pPr>
      <w:r w:rsidRPr="00C9657D">
        <w:rPr>
          <w:rFonts w:asciiTheme="minorHAnsi" w:hAnsiTheme="minorHAnsi"/>
          <w:szCs w:val="20"/>
        </w:rPr>
        <w:t xml:space="preserve">BALMED Praha v roce 2013 vynaložil neefektivně 320 tis. Kč </w:t>
      </w:r>
      <w:r w:rsidR="004704F4">
        <w:rPr>
          <w:rFonts w:asciiTheme="minorHAnsi" w:hAnsiTheme="minorHAnsi"/>
          <w:szCs w:val="20"/>
        </w:rPr>
        <w:t>s</w:t>
      </w:r>
      <w:r w:rsidR="00953532">
        <w:rPr>
          <w:rFonts w:asciiTheme="minorHAnsi" w:hAnsiTheme="minorHAnsi"/>
          <w:szCs w:val="20"/>
        </w:rPr>
        <w:t> daní z přidané hodnoty (dále také „</w:t>
      </w:r>
      <w:r w:rsidR="004704F4">
        <w:rPr>
          <w:rFonts w:asciiTheme="minorHAnsi" w:hAnsiTheme="minorHAnsi"/>
          <w:szCs w:val="20"/>
        </w:rPr>
        <w:t>DPH</w:t>
      </w:r>
      <w:r w:rsidR="00953532">
        <w:rPr>
          <w:rFonts w:asciiTheme="minorHAnsi" w:hAnsiTheme="minorHAnsi"/>
          <w:szCs w:val="20"/>
        </w:rPr>
        <w:t>“)</w:t>
      </w:r>
      <w:r w:rsidR="004704F4">
        <w:rPr>
          <w:rFonts w:asciiTheme="minorHAnsi" w:hAnsiTheme="minorHAnsi"/>
          <w:szCs w:val="20"/>
        </w:rPr>
        <w:t xml:space="preserve"> </w:t>
      </w:r>
      <w:r w:rsidRPr="00C9657D">
        <w:rPr>
          <w:rFonts w:asciiTheme="minorHAnsi" w:hAnsiTheme="minorHAnsi"/>
          <w:szCs w:val="20"/>
        </w:rPr>
        <w:t>na poradenské služby související s prodejem nemovitého majetku (pozemků). Poskytnuté služby z hlediska NKÚ neměly odpovídající rozsah a</w:t>
      </w:r>
      <w:r>
        <w:rPr>
          <w:rFonts w:asciiTheme="minorHAnsi" w:hAnsiTheme="minorHAnsi"/>
          <w:szCs w:val="20"/>
        </w:rPr>
        <w:t>ni</w:t>
      </w:r>
      <w:r w:rsidRPr="00C9657D">
        <w:rPr>
          <w:rFonts w:asciiTheme="minorHAnsi" w:hAnsiTheme="minorHAnsi"/>
          <w:szCs w:val="20"/>
        </w:rPr>
        <w:t xml:space="preserve"> kvalitu</w:t>
      </w:r>
      <w:r w:rsidR="000C64A3">
        <w:rPr>
          <w:rFonts w:asciiTheme="minorHAnsi" w:hAnsiTheme="minorHAnsi"/>
          <w:szCs w:val="20"/>
        </w:rPr>
        <w:t>, protože státní podnik obdržel za čtyři roky trvání smlouvy pouze čtyři obecná doporučení</w:t>
      </w:r>
      <w:r w:rsidRPr="00C9657D">
        <w:rPr>
          <w:rFonts w:asciiTheme="minorHAnsi" w:hAnsiTheme="minorHAnsi"/>
          <w:szCs w:val="20"/>
        </w:rPr>
        <w:t>;</w:t>
      </w:r>
    </w:p>
    <w:p w14:paraId="7B022A10" w14:textId="633137B5" w:rsidR="00D476B1" w:rsidRDefault="0024693B" w:rsidP="000D68D3">
      <w:pPr>
        <w:numPr>
          <w:ilvl w:val="0"/>
          <w:numId w:val="25"/>
        </w:numPr>
        <w:ind w:left="284" w:hanging="284"/>
        <w:contextualSpacing/>
        <w:jc w:val="both"/>
        <w:rPr>
          <w:rFonts w:asciiTheme="minorHAnsi" w:hAnsiTheme="minorHAnsi"/>
          <w:szCs w:val="20"/>
        </w:rPr>
      </w:pPr>
      <w:r w:rsidRPr="00C9657D">
        <w:rPr>
          <w:rFonts w:asciiTheme="minorHAnsi" w:hAnsiTheme="minorHAnsi"/>
          <w:szCs w:val="20"/>
        </w:rPr>
        <w:t>HL Karlova Studánka nepostupovaly hospodárně, když v letech 2013 až 2015 uhradily za</w:t>
      </w:r>
      <w:r w:rsidR="00CD1416">
        <w:rPr>
          <w:rFonts w:asciiTheme="minorHAnsi" w:hAnsiTheme="minorHAnsi"/>
          <w:szCs w:val="20"/>
        </w:rPr>
        <w:t xml:space="preserve"> </w:t>
      </w:r>
      <w:r w:rsidRPr="00C9657D">
        <w:rPr>
          <w:rFonts w:asciiTheme="minorHAnsi" w:hAnsiTheme="minorHAnsi"/>
          <w:szCs w:val="20"/>
        </w:rPr>
        <w:t>dodávky přírodního léčivého zdroje (koupelový peloid) celkem 157 tis. Kč s DPH nad</w:t>
      </w:r>
      <w:r w:rsidR="00CD1416">
        <w:rPr>
          <w:rFonts w:asciiTheme="minorHAnsi" w:hAnsiTheme="minorHAnsi"/>
          <w:szCs w:val="20"/>
        </w:rPr>
        <w:t xml:space="preserve"> </w:t>
      </w:r>
      <w:r w:rsidRPr="00C9657D">
        <w:rPr>
          <w:rFonts w:asciiTheme="minorHAnsi" w:hAnsiTheme="minorHAnsi"/>
          <w:szCs w:val="20"/>
        </w:rPr>
        <w:t>rámec smluvně sjednané ceny. Dále měly se třemi dodavateli uzavřené kupní smlouvy (</w:t>
      </w:r>
      <w:r w:rsidR="00CD1416">
        <w:rPr>
          <w:rFonts w:asciiTheme="minorHAnsi" w:hAnsiTheme="minorHAnsi"/>
          <w:szCs w:val="20"/>
        </w:rPr>
        <w:t xml:space="preserve">na </w:t>
      </w:r>
      <w:r w:rsidRPr="00C9657D">
        <w:rPr>
          <w:rFonts w:asciiTheme="minorHAnsi" w:hAnsiTheme="minorHAnsi"/>
          <w:szCs w:val="20"/>
        </w:rPr>
        <w:t>nákup potravin), aniž by v</w:t>
      </w:r>
      <w:r w:rsidR="00CD1416">
        <w:rPr>
          <w:rFonts w:asciiTheme="minorHAnsi" w:hAnsiTheme="minorHAnsi"/>
          <w:szCs w:val="20"/>
        </w:rPr>
        <w:t> </w:t>
      </w:r>
      <w:r w:rsidRPr="00C9657D">
        <w:rPr>
          <w:rFonts w:asciiTheme="minorHAnsi" w:hAnsiTheme="minorHAnsi"/>
          <w:szCs w:val="20"/>
        </w:rPr>
        <w:t>nich přesně definovaly předmět smlouvy a cenu.</w:t>
      </w:r>
    </w:p>
    <w:p w14:paraId="1D14AE03" w14:textId="77777777" w:rsidR="00D55F31" w:rsidRPr="00C9657D" w:rsidRDefault="00D55F31" w:rsidP="00D476B1">
      <w:pPr>
        <w:contextualSpacing/>
        <w:jc w:val="both"/>
        <w:rPr>
          <w:rFonts w:asciiTheme="minorHAnsi" w:hAnsiTheme="minorHAnsi"/>
          <w:szCs w:val="20"/>
        </w:rPr>
      </w:pPr>
    </w:p>
    <w:p w14:paraId="3D6468DB" w14:textId="15E0BE80" w:rsidR="00D55F31" w:rsidRPr="00CD1416" w:rsidRDefault="00CD1416" w:rsidP="00CD1416">
      <w:pPr>
        <w:spacing w:before="360"/>
        <w:jc w:val="both"/>
        <w:rPr>
          <w:rFonts w:asciiTheme="minorHAnsi" w:hAnsiTheme="minorHAnsi" w:cstheme="minorHAnsi"/>
          <w:b/>
          <w:bCs/>
          <w:lang w:eastAsia="cs-CZ"/>
        </w:rPr>
      </w:pPr>
      <w:r>
        <w:rPr>
          <w:rFonts w:asciiTheme="minorHAnsi" w:hAnsiTheme="minorHAnsi" w:cstheme="minorHAnsi"/>
          <w:b/>
          <w:bCs/>
          <w:lang w:eastAsia="cs-CZ"/>
        </w:rPr>
        <w:lastRenderedPageBreak/>
        <w:t xml:space="preserve">2.4 </w:t>
      </w:r>
      <w:r w:rsidR="0024693B" w:rsidRPr="00CD1416">
        <w:rPr>
          <w:rFonts w:asciiTheme="minorHAnsi" w:hAnsiTheme="minorHAnsi" w:cstheme="minorHAnsi"/>
          <w:b/>
          <w:bCs/>
          <w:lang w:eastAsia="cs-CZ"/>
        </w:rPr>
        <w:t>Zadávání veřejných zakázek</w:t>
      </w:r>
    </w:p>
    <w:p w14:paraId="50176323" w14:textId="77777777" w:rsidR="00D55F31" w:rsidRPr="00C9657D" w:rsidRDefault="0024693B" w:rsidP="0002290A">
      <w:pPr>
        <w:spacing w:before="120"/>
        <w:jc w:val="both"/>
        <w:rPr>
          <w:rFonts w:asciiTheme="minorHAnsi" w:hAnsiTheme="minorHAnsi" w:cs="Calibri"/>
          <w:lang w:eastAsia="cs-CZ"/>
        </w:rPr>
      </w:pPr>
      <w:r w:rsidRPr="00C9657D">
        <w:rPr>
          <w:rFonts w:asciiTheme="minorHAnsi" w:hAnsiTheme="minorHAnsi" w:cs="Calibri"/>
          <w:bCs/>
          <w:lang w:eastAsia="cs-CZ"/>
        </w:rPr>
        <w:t>Kontrolované státní podniky jsou veřejnými zadavateli podle zákona o veřejných zakázkách (dále také „ZVZ“)</w:t>
      </w:r>
      <w:r>
        <w:rPr>
          <w:rStyle w:val="Znakapoznpodarou"/>
          <w:rFonts w:asciiTheme="minorHAnsi" w:hAnsiTheme="minorHAnsi" w:cs="Calibri"/>
          <w:bCs/>
          <w:lang w:eastAsia="cs-CZ"/>
        </w:rPr>
        <w:footnoteReference w:id="30"/>
      </w:r>
      <w:r w:rsidRPr="00C9657D">
        <w:rPr>
          <w:rFonts w:asciiTheme="minorHAnsi" w:hAnsiTheme="minorHAnsi" w:cs="Calibri"/>
          <w:bCs/>
          <w:lang w:eastAsia="cs-CZ"/>
        </w:rPr>
        <w:t xml:space="preserve">. Veřejné zakázky </w:t>
      </w:r>
      <w:r w:rsidRPr="00C9657D">
        <w:rPr>
          <w:rFonts w:asciiTheme="minorHAnsi" w:hAnsiTheme="minorHAnsi" w:cs="Calibri"/>
          <w:lang w:eastAsia="cs-CZ"/>
        </w:rPr>
        <w:t xml:space="preserve">se týkaly převážně nákupu majetku, služeb, dodávek potravin a stavebních prací. </w:t>
      </w:r>
    </w:p>
    <w:p w14:paraId="2C431DCB" w14:textId="77777777" w:rsidR="00D55F31" w:rsidRPr="00C9657D" w:rsidRDefault="0024693B" w:rsidP="0002290A">
      <w:pPr>
        <w:spacing w:before="120"/>
        <w:jc w:val="both"/>
        <w:rPr>
          <w:rFonts w:asciiTheme="minorHAnsi" w:hAnsiTheme="minorHAnsi" w:cs="Arial"/>
        </w:rPr>
      </w:pPr>
      <w:r w:rsidRPr="00C9657D">
        <w:rPr>
          <w:rFonts w:asciiTheme="minorHAnsi" w:hAnsiTheme="minorHAnsi" w:cs="Arial"/>
        </w:rPr>
        <w:t xml:space="preserve">V oblasti zadávání VZ bylo například zjištěno, že: </w:t>
      </w:r>
    </w:p>
    <w:p w14:paraId="25DAB3B0" w14:textId="2CA9A5AC" w:rsidR="00D55F31" w:rsidRPr="00C9657D" w:rsidRDefault="0024693B" w:rsidP="000D68D3">
      <w:pPr>
        <w:numPr>
          <w:ilvl w:val="0"/>
          <w:numId w:val="26"/>
        </w:numPr>
        <w:ind w:left="284" w:hanging="284"/>
        <w:contextualSpacing/>
        <w:jc w:val="both"/>
        <w:rPr>
          <w:rFonts w:asciiTheme="minorHAnsi" w:hAnsiTheme="minorHAnsi"/>
        </w:rPr>
      </w:pPr>
      <w:r w:rsidRPr="00C9657D">
        <w:rPr>
          <w:rFonts w:asciiTheme="minorHAnsi" w:hAnsiTheme="minorHAnsi"/>
        </w:rPr>
        <w:t>BALMED Praha nerealizoval výběr z více nabídek při</w:t>
      </w:r>
      <w:r w:rsidR="00CD1416">
        <w:rPr>
          <w:rFonts w:asciiTheme="minorHAnsi" w:hAnsiTheme="minorHAnsi"/>
        </w:rPr>
        <w:t xml:space="preserve"> </w:t>
      </w:r>
      <w:r w:rsidRPr="00C9657D">
        <w:rPr>
          <w:rFonts w:asciiTheme="minorHAnsi" w:hAnsiTheme="minorHAnsi"/>
        </w:rPr>
        <w:t>pořizování služeb. HL Karlova Studánka nerealizovaly výběr z více nabídek při</w:t>
      </w:r>
      <w:r w:rsidR="00CD1416">
        <w:rPr>
          <w:rFonts w:asciiTheme="minorHAnsi" w:hAnsiTheme="minorHAnsi"/>
        </w:rPr>
        <w:t xml:space="preserve"> </w:t>
      </w:r>
      <w:r w:rsidRPr="00C9657D">
        <w:rPr>
          <w:rFonts w:asciiTheme="minorHAnsi" w:hAnsiTheme="minorHAnsi"/>
        </w:rPr>
        <w:t xml:space="preserve">pořizování služeb a dodávek potravin. U státních podniků tak </w:t>
      </w:r>
      <w:r w:rsidR="00D55F31">
        <w:rPr>
          <w:rFonts w:asciiTheme="minorHAnsi" w:hAnsiTheme="minorHAnsi"/>
        </w:rPr>
        <w:t>vzniklo</w:t>
      </w:r>
      <w:r w:rsidR="00D55F31" w:rsidRPr="00C9657D">
        <w:rPr>
          <w:rFonts w:asciiTheme="minorHAnsi" w:hAnsiTheme="minorHAnsi"/>
        </w:rPr>
        <w:t xml:space="preserve"> </w:t>
      </w:r>
      <w:r w:rsidRPr="00C9657D">
        <w:rPr>
          <w:rFonts w:asciiTheme="minorHAnsi" w:hAnsiTheme="minorHAnsi"/>
        </w:rPr>
        <w:t>riziko nehospodárnosti při vynaložení peněžních prostředků na tyto služby a dodávky, protože uvedeným postupem si nezajistily dostatečně konkurenční prostředí a tím možnost finanční úspory a lepších podmínek od dodavatelů;</w:t>
      </w:r>
    </w:p>
    <w:p w14:paraId="522C3097" w14:textId="19D76906" w:rsidR="00D55F31" w:rsidRPr="00C9657D" w:rsidRDefault="0024693B" w:rsidP="000D68D3">
      <w:pPr>
        <w:numPr>
          <w:ilvl w:val="0"/>
          <w:numId w:val="26"/>
        </w:numPr>
        <w:ind w:left="284" w:hanging="284"/>
        <w:contextualSpacing/>
        <w:jc w:val="both"/>
        <w:rPr>
          <w:rFonts w:asciiTheme="minorHAnsi" w:hAnsiTheme="minorHAnsi"/>
        </w:rPr>
      </w:pPr>
      <w:r w:rsidRPr="00C9657D">
        <w:rPr>
          <w:rFonts w:asciiTheme="minorHAnsi" w:hAnsiTheme="minorHAnsi" w:cs="Arial"/>
        </w:rPr>
        <w:t>SLL Bludov p</w:t>
      </w:r>
      <w:r w:rsidRPr="00C9657D">
        <w:rPr>
          <w:rFonts w:asciiTheme="minorHAnsi" w:hAnsiTheme="minorHAnsi"/>
        </w:rPr>
        <w:t>ři zadání VZ na dodávky potravin nepostupovaly v souladu se ZVZ, když</w:t>
      </w:r>
      <w:r w:rsidR="00CD1416">
        <w:rPr>
          <w:rFonts w:asciiTheme="minorHAnsi" w:hAnsiTheme="minorHAnsi"/>
        </w:rPr>
        <w:t xml:space="preserve"> </w:t>
      </w:r>
      <w:r w:rsidRPr="00C9657D">
        <w:rPr>
          <w:rFonts w:asciiTheme="minorHAnsi" w:hAnsiTheme="minorHAnsi"/>
        </w:rPr>
        <w:t xml:space="preserve">nestanovily před zahájením </w:t>
      </w:r>
      <w:r w:rsidR="00D55F31">
        <w:rPr>
          <w:rFonts w:asciiTheme="minorHAnsi" w:hAnsiTheme="minorHAnsi"/>
        </w:rPr>
        <w:t>zadávacích</w:t>
      </w:r>
      <w:r w:rsidR="00D55F31" w:rsidRPr="00C9657D">
        <w:rPr>
          <w:rFonts w:asciiTheme="minorHAnsi" w:hAnsiTheme="minorHAnsi"/>
        </w:rPr>
        <w:t xml:space="preserve"> </w:t>
      </w:r>
      <w:r w:rsidRPr="00C9657D">
        <w:rPr>
          <w:rFonts w:asciiTheme="minorHAnsi" w:hAnsiTheme="minorHAnsi"/>
        </w:rPr>
        <w:t>řízení předpokládanou hodnotu zakázek</w:t>
      </w:r>
      <w:r>
        <w:rPr>
          <w:rFonts w:asciiTheme="minorHAnsi" w:hAnsiTheme="minorHAnsi"/>
          <w:vertAlign w:val="superscript"/>
        </w:rPr>
        <w:footnoteReference w:id="31"/>
      </w:r>
      <w:r w:rsidRPr="00C9657D">
        <w:rPr>
          <w:rFonts w:asciiTheme="minorHAnsi" w:hAnsiTheme="minorHAnsi"/>
        </w:rPr>
        <w:t>;</w:t>
      </w:r>
      <w:r w:rsidRPr="00C9657D">
        <w:rPr>
          <w:rFonts w:asciiTheme="minorHAnsi" w:hAnsiTheme="minorHAnsi" w:cs="Arial"/>
        </w:rPr>
        <w:t xml:space="preserve"> dále </w:t>
      </w:r>
      <w:r w:rsidRPr="00C9657D">
        <w:rPr>
          <w:rFonts w:asciiTheme="minorHAnsi" w:hAnsiTheme="minorHAnsi"/>
        </w:rPr>
        <w:t>v  jednom případě nepoužily pro</w:t>
      </w:r>
      <w:r w:rsidR="00CD1416">
        <w:rPr>
          <w:rFonts w:asciiTheme="minorHAnsi" w:hAnsiTheme="minorHAnsi"/>
        </w:rPr>
        <w:t xml:space="preserve"> </w:t>
      </w:r>
      <w:r w:rsidRPr="00C9657D">
        <w:rPr>
          <w:rFonts w:asciiTheme="minorHAnsi" w:hAnsiTheme="minorHAnsi"/>
        </w:rPr>
        <w:t>výběr dodavatele služeb odpovídající druh zadávacího řízení a uzavřely smlouvu o dílo, přestože by se při dodržení zásad pro stanovení předpokládané hodnoty VZ jednalo o podlimitní VZ</w:t>
      </w:r>
      <w:r>
        <w:rPr>
          <w:rFonts w:asciiTheme="minorHAnsi" w:hAnsiTheme="minorHAnsi"/>
          <w:vertAlign w:val="superscript"/>
        </w:rPr>
        <w:footnoteReference w:id="32"/>
      </w:r>
      <w:r w:rsidRPr="00C9657D">
        <w:rPr>
          <w:rFonts w:asciiTheme="minorHAnsi" w:hAnsiTheme="minorHAnsi"/>
        </w:rPr>
        <w:t xml:space="preserve">; </w:t>
      </w:r>
    </w:p>
    <w:p w14:paraId="0450FFE7" w14:textId="77777777" w:rsidR="00D55F31" w:rsidRPr="00C9657D" w:rsidRDefault="0024693B" w:rsidP="000D68D3">
      <w:pPr>
        <w:numPr>
          <w:ilvl w:val="0"/>
          <w:numId w:val="26"/>
        </w:numPr>
        <w:ind w:left="284" w:hanging="284"/>
        <w:contextualSpacing/>
        <w:jc w:val="both"/>
        <w:rPr>
          <w:rFonts w:asciiTheme="minorHAnsi" w:hAnsiTheme="minorHAnsi"/>
        </w:rPr>
      </w:pPr>
      <w:r w:rsidRPr="00C9657D">
        <w:rPr>
          <w:rFonts w:asciiTheme="minorHAnsi" w:hAnsiTheme="minorHAnsi" w:cs="Arial"/>
        </w:rPr>
        <w:t xml:space="preserve">SLL Janské Lázně </w:t>
      </w:r>
      <w:r w:rsidRPr="00C9657D">
        <w:rPr>
          <w:rFonts w:asciiTheme="minorHAnsi" w:hAnsiTheme="minorHAnsi"/>
        </w:rPr>
        <w:t>v jednom případě zjednodušeného podlimitního řízení nepostupovaly v souladu se ZVZ</w:t>
      </w:r>
      <w:r>
        <w:rPr>
          <w:rFonts w:asciiTheme="minorHAnsi" w:hAnsiTheme="minorHAnsi"/>
          <w:vertAlign w:val="superscript"/>
        </w:rPr>
        <w:footnoteReference w:id="33"/>
      </w:r>
      <w:r w:rsidRPr="00C9657D">
        <w:rPr>
          <w:rFonts w:asciiTheme="minorHAnsi" w:hAnsiTheme="minorHAnsi"/>
        </w:rPr>
        <w:t xml:space="preserve">, když nezahájily VZ na služby písemnou výzvou zájemcům k podání nabídky a prokázání splnění kvalifikace; dále v otevřeném nadlimitním řízení </w:t>
      </w:r>
      <w:r w:rsidRPr="00C9657D">
        <w:rPr>
          <w:rFonts w:asciiTheme="minorHAnsi" w:hAnsiTheme="minorHAnsi" w:cs="Arial"/>
        </w:rPr>
        <w:t>neuzavřely tři smlouvy na dodávky potravin v termínu stanoveném ZVZ</w:t>
      </w:r>
      <w:r>
        <w:rPr>
          <w:rFonts w:asciiTheme="minorHAnsi" w:hAnsiTheme="minorHAnsi" w:cs="Arial"/>
          <w:vertAlign w:val="superscript"/>
        </w:rPr>
        <w:footnoteReference w:id="34"/>
      </w:r>
      <w:r w:rsidRPr="00C9657D">
        <w:rPr>
          <w:rFonts w:asciiTheme="minorHAnsi" w:hAnsiTheme="minorHAnsi" w:cs="Arial"/>
        </w:rPr>
        <w:t xml:space="preserve">. </w:t>
      </w:r>
    </w:p>
    <w:p w14:paraId="3275FBBD" w14:textId="77E4CB3E" w:rsidR="00D55F31" w:rsidRPr="00C9657D" w:rsidRDefault="00295369" w:rsidP="0002290A">
      <w:pPr>
        <w:spacing w:before="120"/>
        <w:jc w:val="both"/>
        <w:rPr>
          <w:rFonts w:asciiTheme="minorHAnsi" w:hAnsiTheme="minorHAnsi" w:cs="Calibri"/>
          <w:bCs/>
        </w:rPr>
      </w:pPr>
      <w:r>
        <w:rPr>
          <w:rFonts w:asciiTheme="minorHAnsi" w:hAnsiTheme="minorHAnsi" w:cs="Calibri"/>
          <w:bCs/>
        </w:rPr>
        <w:t>V případě SLL Janské Lázně byl zpracován p</w:t>
      </w:r>
      <w:r w:rsidR="0024693B" w:rsidRPr="00C9657D">
        <w:rPr>
          <w:rFonts w:asciiTheme="minorHAnsi" w:hAnsiTheme="minorHAnsi" w:cs="Calibri"/>
          <w:bCs/>
        </w:rPr>
        <w:t>řehled VZ malého rozsahu, podlimitních a</w:t>
      </w:r>
      <w:r w:rsidR="00F64128">
        <w:rPr>
          <w:rFonts w:asciiTheme="minorHAnsi" w:hAnsiTheme="minorHAnsi" w:cs="Calibri"/>
          <w:bCs/>
        </w:rPr>
        <w:t> </w:t>
      </w:r>
      <w:r w:rsidR="0024693B" w:rsidRPr="00C9657D">
        <w:rPr>
          <w:rFonts w:asciiTheme="minorHAnsi" w:hAnsiTheme="minorHAnsi" w:cs="Calibri"/>
          <w:bCs/>
        </w:rPr>
        <w:t xml:space="preserve">nadlimitních zakázek při porovnání nejvýhodnější cenové nabídky v poměru k předpokládané hodnotě </w:t>
      </w:r>
      <w:r>
        <w:rPr>
          <w:rFonts w:asciiTheme="minorHAnsi" w:hAnsiTheme="minorHAnsi" w:cs="Calibri"/>
          <w:bCs/>
        </w:rPr>
        <w:t>(</w:t>
      </w:r>
      <w:r w:rsidR="00CD1416">
        <w:rPr>
          <w:rFonts w:asciiTheme="minorHAnsi" w:hAnsiTheme="minorHAnsi" w:cs="Calibri"/>
          <w:bCs/>
        </w:rPr>
        <w:t xml:space="preserve">viz </w:t>
      </w:r>
      <w:r>
        <w:rPr>
          <w:rFonts w:asciiTheme="minorHAnsi" w:hAnsiTheme="minorHAnsi" w:cs="Calibri"/>
          <w:bCs/>
        </w:rPr>
        <w:t>příloha</w:t>
      </w:r>
      <w:r w:rsidRPr="00C9657D">
        <w:rPr>
          <w:rFonts w:asciiTheme="minorHAnsi" w:hAnsiTheme="minorHAnsi" w:cs="Calibri"/>
          <w:bCs/>
        </w:rPr>
        <w:t xml:space="preserve"> </w:t>
      </w:r>
      <w:r w:rsidR="0024693B" w:rsidRPr="00C9657D">
        <w:rPr>
          <w:rFonts w:asciiTheme="minorHAnsi" w:hAnsiTheme="minorHAnsi" w:cs="Calibri"/>
          <w:bCs/>
        </w:rPr>
        <w:t>č. 2 k tomuto kontrolnímu závěru</w:t>
      </w:r>
      <w:r>
        <w:rPr>
          <w:rFonts w:asciiTheme="minorHAnsi" w:hAnsiTheme="minorHAnsi" w:cs="Calibri"/>
          <w:bCs/>
        </w:rPr>
        <w:t>)</w:t>
      </w:r>
      <w:r w:rsidR="0024693B" w:rsidRPr="00C9657D">
        <w:rPr>
          <w:rFonts w:asciiTheme="minorHAnsi" w:hAnsiTheme="minorHAnsi" w:cs="Calibri"/>
          <w:bCs/>
        </w:rPr>
        <w:t>.</w:t>
      </w:r>
      <w:r>
        <w:rPr>
          <w:rFonts w:asciiTheme="minorHAnsi" w:hAnsiTheme="minorHAnsi" w:cs="Calibri"/>
          <w:bCs/>
        </w:rPr>
        <w:t xml:space="preserve"> Z vyhodnocení vyplynulo, že většina realizovaných zakázek byla </w:t>
      </w:r>
      <w:proofErr w:type="spellStart"/>
      <w:r>
        <w:rPr>
          <w:rFonts w:asciiTheme="minorHAnsi" w:hAnsiTheme="minorHAnsi" w:cs="Calibri"/>
          <w:bCs/>
        </w:rPr>
        <w:t>vysoutěžena</w:t>
      </w:r>
      <w:proofErr w:type="spellEnd"/>
      <w:r>
        <w:rPr>
          <w:rFonts w:asciiTheme="minorHAnsi" w:hAnsiTheme="minorHAnsi" w:cs="Calibri"/>
          <w:bCs/>
        </w:rPr>
        <w:t xml:space="preserve"> za ceny na úrovni 80</w:t>
      </w:r>
      <w:r w:rsidR="00CD1416">
        <w:rPr>
          <w:rFonts w:asciiTheme="minorHAnsi" w:hAnsiTheme="minorHAnsi" w:cs="Calibri"/>
          <w:bCs/>
        </w:rPr>
        <w:t>–</w:t>
      </w:r>
      <w:r>
        <w:rPr>
          <w:rFonts w:asciiTheme="minorHAnsi" w:hAnsiTheme="minorHAnsi" w:cs="Calibri"/>
          <w:bCs/>
        </w:rPr>
        <w:t>100 % předpokládané hodnoty.</w:t>
      </w:r>
      <w:r w:rsidR="0024693B" w:rsidRPr="00C9657D">
        <w:rPr>
          <w:rFonts w:asciiTheme="minorHAnsi" w:hAnsiTheme="minorHAnsi" w:cs="Calibri"/>
          <w:bCs/>
        </w:rPr>
        <w:t xml:space="preserve"> </w:t>
      </w:r>
    </w:p>
    <w:p w14:paraId="73474BB0" w14:textId="1BC9A0BA" w:rsidR="00D55F31" w:rsidRPr="00471ABD" w:rsidRDefault="00CD1416" w:rsidP="00CD1416">
      <w:pPr>
        <w:pStyle w:val="Odstavecseseznamem"/>
        <w:spacing w:before="240"/>
        <w:ind w:left="0"/>
        <w:jc w:val="both"/>
        <w:rPr>
          <w:rFonts w:asciiTheme="minorHAnsi" w:hAnsiTheme="minorHAnsi" w:cstheme="minorHAnsi"/>
          <w:b/>
          <w:bCs/>
          <w:lang w:eastAsia="cs-CZ"/>
        </w:rPr>
      </w:pPr>
      <w:r>
        <w:rPr>
          <w:rFonts w:asciiTheme="minorHAnsi" w:hAnsiTheme="minorHAnsi" w:cstheme="minorHAnsi"/>
          <w:b/>
          <w:bCs/>
          <w:lang w:eastAsia="cs-CZ"/>
        </w:rPr>
        <w:t xml:space="preserve">2.5 </w:t>
      </w:r>
      <w:r w:rsidR="0024693B" w:rsidRPr="00471ABD">
        <w:rPr>
          <w:rFonts w:asciiTheme="minorHAnsi" w:hAnsiTheme="minorHAnsi" w:cstheme="minorHAnsi"/>
          <w:b/>
          <w:bCs/>
          <w:lang w:eastAsia="cs-CZ"/>
        </w:rPr>
        <w:t>Pronájem majetku</w:t>
      </w:r>
    </w:p>
    <w:p w14:paraId="112F8A76" w14:textId="77777777" w:rsidR="00D55F31" w:rsidRPr="00C9657D" w:rsidRDefault="0024693B" w:rsidP="0002290A">
      <w:pPr>
        <w:spacing w:before="120"/>
        <w:jc w:val="both"/>
        <w:rPr>
          <w:rFonts w:asciiTheme="minorHAnsi" w:hAnsiTheme="minorHAnsi" w:cs="Calibri"/>
        </w:rPr>
      </w:pPr>
      <w:r w:rsidRPr="00C9657D">
        <w:rPr>
          <w:rFonts w:asciiTheme="minorHAnsi" w:hAnsiTheme="minorHAnsi" w:cs="Calibri"/>
        </w:rPr>
        <w:t xml:space="preserve">Předmětem kontroly byly </w:t>
      </w:r>
      <w:r w:rsidR="000C64A3">
        <w:rPr>
          <w:rFonts w:asciiTheme="minorHAnsi" w:hAnsiTheme="minorHAnsi" w:cs="Calibri"/>
        </w:rPr>
        <w:t>mj.</w:t>
      </w:r>
      <w:r w:rsidR="004779AC">
        <w:rPr>
          <w:rFonts w:asciiTheme="minorHAnsi" w:hAnsiTheme="minorHAnsi" w:cs="Calibri"/>
        </w:rPr>
        <w:t xml:space="preserve"> </w:t>
      </w:r>
      <w:r w:rsidRPr="00C9657D">
        <w:rPr>
          <w:rFonts w:asciiTheme="minorHAnsi" w:hAnsiTheme="minorHAnsi" w:cs="Calibri"/>
        </w:rPr>
        <w:t xml:space="preserve">peněžní prostředky získané státními podniky z pronájmu majetku státu. V této oblasti bylo například zjištěno, že: </w:t>
      </w:r>
    </w:p>
    <w:p w14:paraId="67DF9D84" w14:textId="45DAC310" w:rsidR="00D55F31" w:rsidRPr="00C9657D" w:rsidRDefault="0024693B" w:rsidP="000D68D3">
      <w:pPr>
        <w:numPr>
          <w:ilvl w:val="0"/>
          <w:numId w:val="27"/>
        </w:numPr>
        <w:ind w:left="284" w:hanging="284"/>
        <w:jc w:val="both"/>
        <w:rPr>
          <w:rFonts w:asciiTheme="minorHAnsi" w:hAnsiTheme="minorHAnsi" w:cs="Calibri"/>
        </w:rPr>
      </w:pPr>
      <w:r w:rsidRPr="00C9657D">
        <w:rPr>
          <w:rFonts w:asciiTheme="minorHAnsi" w:hAnsiTheme="minorHAnsi" w:cs="Calibri"/>
        </w:rPr>
        <w:t>všechny státní podniky nepostupovaly v souladu se zákonem o státním podniku, když</w:t>
      </w:r>
      <w:r w:rsidR="00CD1416">
        <w:rPr>
          <w:rFonts w:asciiTheme="minorHAnsi" w:hAnsiTheme="minorHAnsi" w:cs="Calibri"/>
        </w:rPr>
        <w:t xml:space="preserve"> </w:t>
      </w:r>
      <w:r w:rsidRPr="00C9657D">
        <w:rPr>
          <w:rFonts w:asciiTheme="minorHAnsi" w:hAnsiTheme="minorHAnsi" w:cs="Calibri"/>
        </w:rPr>
        <w:t>pronajímaly určený majetek bez souhlasu zakladatele</w:t>
      </w:r>
      <w:r>
        <w:rPr>
          <w:rStyle w:val="Znakapoznpodarou"/>
          <w:rFonts w:asciiTheme="minorHAnsi" w:hAnsiTheme="minorHAnsi" w:cs="Calibri"/>
        </w:rPr>
        <w:footnoteReference w:id="35"/>
      </w:r>
      <w:r w:rsidRPr="00C9657D">
        <w:rPr>
          <w:rFonts w:asciiTheme="minorHAnsi" w:hAnsiTheme="minorHAnsi" w:cs="Calibri"/>
        </w:rPr>
        <w:t xml:space="preserve">. </w:t>
      </w:r>
      <w:proofErr w:type="spellStart"/>
      <w:r w:rsidRPr="00C9657D">
        <w:rPr>
          <w:rFonts w:asciiTheme="minorHAnsi" w:hAnsiTheme="minorHAnsi" w:cs="Calibri"/>
        </w:rPr>
        <w:t>MZdr</w:t>
      </w:r>
      <w:proofErr w:type="spellEnd"/>
      <w:r w:rsidRPr="00C9657D">
        <w:rPr>
          <w:rFonts w:asciiTheme="minorHAnsi" w:hAnsiTheme="minorHAnsi" w:cs="Calibri"/>
        </w:rPr>
        <w:t xml:space="preserve"> o této skutečnosti nebylo informováno;</w:t>
      </w:r>
    </w:p>
    <w:p w14:paraId="08AACA31" w14:textId="11E91925" w:rsidR="00D55F31" w:rsidRPr="00C9657D" w:rsidRDefault="0024693B" w:rsidP="000D68D3">
      <w:pPr>
        <w:numPr>
          <w:ilvl w:val="0"/>
          <w:numId w:val="27"/>
        </w:numPr>
        <w:ind w:left="284" w:hanging="284"/>
        <w:jc w:val="both"/>
        <w:rPr>
          <w:rFonts w:asciiTheme="minorHAnsi" w:hAnsiTheme="minorHAnsi" w:cs="Calibri"/>
        </w:rPr>
      </w:pPr>
      <w:r w:rsidRPr="00C9657D">
        <w:rPr>
          <w:rFonts w:asciiTheme="minorHAnsi" w:hAnsiTheme="minorHAnsi" w:cs="Calibri"/>
        </w:rPr>
        <w:t xml:space="preserve">HL Karlova Studánka uzavřely se čtyřmi zaměstnanci smlouvy na pronájem bytů v režimu ubytoven, čímž snížily příjmy z pronájmu cca o 80 tis. Kč </w:t>
      </w:r>
      <w:r w:rsidR="00C945FA">
        <w:rPr>
          <w:rFonts w:asciiTheme="minorHAnsi" w:hAnsiTheme="minorHAnsi" w:cs="Calibri"/>
        </w:rPr>
        <w:t>bez DPH</w:t>
      </w:r>
      <w:r w:rsidR="00CD1416">
        <w:rPr>
          <w:rFonts w:asciiTheme="minorHAnsi" w:hAnsiTheme="minorHAnsi" w:cs="Calibri"/>
        </w:rPr>
        <w:t>,</w:t>
      </w:r>
      <w:r w:rsidR="00C945FA">
        <w:rPr>
          <w:rFonts w:asciiTheme="minorHAnsi" w:hAnsiTheme="minorHAnsi" w:cs="Calibri"/>
        </w:rPr>
        <w:t xml:space="preserve"> </w:t>
      </w:r>
      <w:r w:rsidRPr="00C9657D">
        <w:rPr>
          <w:rFonts w:asciiTheme="minorHAnsi" w:hAnsiTheme="minorHAnsi" w:cs="Calibri"/>
        </w:rPr>
        <w:t xml:space="preserve">a za nájemce rovněž uhradily částku ve výši 189 tis. Kč bez DPH za služby související s bydlením. Podnik tak nepostupoval hospodárně; </w:t>
      </w:r>
    </w:p>
    <w:p w14:paraId="1B1B693C" w14:textId="77777777" w:rsidR="00D55F31" w:rsidRPr="00C9657D" w:rsidRDefault="0024693B" w:rsidP="000D68D3">
      <w:pPr>
        <w:numPr>
          <w:ilvl w:val="0"/>
          <w:numId w:val="27"/>
        </w:numPr>
        <w:ind w:left="284" w:hanging="284"/>
        <w:jc w:val="both"/>
        <w:rPr>
          <w:rFonts w:asciiTheme="minorHAnsi" w:hAnsiTheme="minorHAnsi" w:cs="Calibri"/>
        </w:rPr>
      </w:pPr>
      <w:r w:rsidRPr="00C9657D">
        <w:rPr>
          <w:rFonts w:asciiTheme="minorHAnsi" w:hAnsiTheme="minorHAnsi" w:cs="Calibri"/>
        </w:rPr>
        <w:t>BALMED Praha nedefinoval v jedné nájemní smlouvě na pronájem pozemků předmět nájmu přesně a jednoznačně a dále u dvou nájemních smluv na nájem skladovacích prostor prodloužil jejich platnost v rozporu s ustanovením smlouvy, a to ústní dohodou.</w:t>
      </w:r>
    </w:p>
    <w:p w14:paraId="05A0D574" w14:textId="3F17FAAE" w:rsidR="00D55F31" w:rsidRPr="00CD1416" w:rsidRDefault="00CD1416" w:rsidP="00CD1416">
      <w:pPr>
        <w:spacing w:before="360"/>
        <w:jc w:val="both"/>
        <w:rPr>
          <w:rFonts w:asciiTheme="minorHAnsi" w:hAnsiTheme="minorHAnsi" w:cstheme="minorHAnsi"/>
          <w:b/>
          <w:bCs/>
          <w:lang w:eastAsia="cs-CZ"/>
        </w:rPr>
      </w:pPr>
      <w:r>
        <w:rPr>
          <w:rFonts w:asciiTheme="minorHAnsi" w:hAnsiTheme="minorHAnsi" w:cstheme="minorHAnsi"/>
          <w:b/>
          <w:bCs/>
          <w:lang w:eastAsia="cs-CZ"/>
        </w:rPr>
        <w:lastRenderedPageBreak/>
        <w:t xml:space="preserve">2.6 </w:t>
      </w:r>
      <w:r w:rsidR="0024693B" w:rsidRPr="00CD1416">
        <w:rPr>
          <w:rFonts w:asciiTheme="minorHAnsi" w:hAnsiTheme="minorHAnsi" w:cstheme="minorHAnsi"/>
          <w:b/>
          <w:bCs/>
          <w:lang w:eastAsia="cs-CZ"/>
        </w:rPr>
        <w:t>Pohledávky po lhůtě splatnosti</w:t>
      </w:r>
    </w:p>
    <w:p w14:paraId="06296E87" w14:textId="28AF3B5B" w:rsidR="00D55F31" w:rsidRPr="00C9657D" w:rsidRDefault="0024693B" w:rsidP="0002290A">
      <w:pPr>
        <w:spacing w:before="120"/>
        <w:jc w:val="both"/>
        <w:rPr>
          <w:rFonts w:asciiTheme="minorHAnsi" w:hAnsiTheme="minorHAnsi" w:cstheme="minorHAnsi"/>
        </w:rPr>
      </w:pPr>
      <w:r w:rsidRPr="00C9657D">
        <w:rPr>
          <w:rFonts w:asciiTheme="minorHAnsi" w:hAnsiTheme="minorHAnsi" w:cstheme="minorHAnsi"/>
        </w:rPr>
        <w:t>Kontrolou pohledávek po lhůtě splatnosti bylo u HL Karlova Studánka zjištěno, že celková výše neuhrazených pohledávek za dvěma dlužníky činila 981 tis. Kč. Pokud by HL Karlova Studánka využily příslušná ustanovení smluv o poskytování služeb (prováděly zálohovou fakturaci) a</w:t>
      </w:r>
      <w:r w:rsidR="00F64128">
        <w:rPr>
          <w:rFonts w:asciiTheme="minorHAnsi" w:hAnsiTheme="minorHAnsi" w:cstheme="minorHAnsi"/>
        </w:rPr>
        <w:t> </w:t>
      </w:r>
      <w:r w:rsidRPr="00C9657D">
        <w:rPr>
          <w:rFonts w:asciiTheme="minorHAnsi" w:hAnsiTheme="minorHAnsi" w:cstheme="minorHAnsi"/>
        </w:rPr>
        <w:t>pohledávky po lhůtě splatnosti průběžně sledovaly, mohly jejich výši podstatně snížit, popřípadě jejich vzniku zcela zamezit. Z</w:t>
      </w:r>
      <w:r w:rsidR="00CD1416">
        <w:rPr>
          <w:rFonts w:asciiTheme="minorHAnsi" w:hAnsiTheme="minorHAnsi" w:cstheme="minorHAnsi"/>
        </w:rPr>
        <w:t> </w:t>
      </w:r>
      <w:r w:rsidRPr="00C9657D">
        <w:rPr>
          <w:rFonts w:asciiTheme="minorHAnsi" w:hAnsiTheme="minorHAnsi" w:cstheme="minorHAnsi"/>
        </w:rPr>
        <w:t>uvedeného vyplývá, že HL Karlova Studánka nepostupovaly hospodárně, neboť v</w:t>
      </w:r>
      <w:r w:rsidR="00CD1416">
        <w:rPr>
          <w:rFonts w:asciiTheme="minorHAnsi" w:hAnsiTheme="minorHAnsi" w:cstheme="minorHAnsi"/>
        </w:rPr>
        <w:t> </w:t>
      </w:r>
      <w:r w:rsidRPr="00C9657D">
        <w:rPr>
          <w:rFonts w:asciiTheme="minorHAnsi" w:hAnsiTheme="minorHAnsi" w:cstheme="minorHAnsi"/>
        </w:rPr>
        <w:t>důsledku výše uvedeného přístupu nerealizovaly vhledem k</w:t>
      </w:r>
      <w:r w:rsidR="00CD1416">
        <w:rPr>
          <w:rFonts w:asciiTheme="minorHAnsi" w:hAnsiTheme="minorHAnsi" w:cstheme="minorHAnsi"/>
        </w:rPr>
        <w:t> </w:t>
      </w:r>
      <w:r w:rsidRPr="00C9657D">
        <w:rPr>
          <w:rFonts w:asciiTheme="minorHAnsi" w:hAnsiTheme="minorHAnsi" w:cstheme="minorHAnsi"/>
        </w:rPr>
        <w:t>vynaloženým majetkovým vstupům (poskytnuté ubytování, strava, procedury) adekvátní majetkový peněžní výstup.</w:t>
      </w:r>
    </w:p>
    <w:p w14:paraId="7E81EB09" w14:textId="6584E2AE" w:rsidR="00D55F31" w:rsidRPr="00CD1416" w:rsidRDefault="00CD1416" w:rsidP="00CD1416">
      <w:pPr>
        <w:spacing w:before="360"/>
        <w:jc w:val="both"/>
        <w:rPr>
          <w:rFonts w:asciiTheme="minorHAnsi" w:hAnsiTheme="minorHAnsi" w:cstheme="minorHAnsi"/>
          <w:b/>
          <w:bCs/>
          <w:lang w:eastAsia="cs-CZ"/>
        </w:rPr>
      </w:pPr>
      <w:r>
        <w:rPr>
          <w:rFonts w:asciiTheme="minorHAnsi" w:hAnsiTheme="minorHAnsi" w:cstheme="minorHAnsi"/>
          <w:b/>
          <w:bCs/>
          <w:lang w:eastAsia="cs-CZ"/>
        </w:rPr>
        <w:t xml:space="preserve">3. </w:t>
      </w:r>
      <w:r w:rsidR="0024693B" w:rsidRPr="00CD1416">
        <w:rPr>
          <w:rFonts w:asciiTheme="minorHAnsi" w:hAnsiTheme="minorHAnsi" w:cstheme="minorHAnsi"/>
          <w:b/>
          <w:bCs/>
          <w:lang w:eastAsia="cs-CZ"/>
        </w:rPr>
        <w:t>Poskytování lázeňské léčebně rehabilitační péče</w:t>
      </w:r>
    </w:p>
    <w:p w14:paraId="5922A8BC" w14:textId="747A2748" w:rsidR="00D55F31" w:rsidRPr="00C9657D" w:rsidRDefault="0024693B" w:rsidP="0002290A">
      <w:pPr>
        <w:autoSpaceDE w:val="0"/>
        <w:autoSpaceDN w:val="0"/>
        <w:adjustRightInd w:val="0"/>
        <w:spacing w:before="120"/>
        <w:jc w:val="both"/>
        <w:rPr>
          <w:rFonts w:asciiTheme="minorHAnsi" w:hAnsiTheme="minorHAnsi"/>
        </w:rPr>
      </w:pPr>
      <w:r w:rsidRPr="00C9657D">
        <w:rPr>
          <w:rFonts w:asciiTheme="minorHAnsi" w:hAnsiTheme="minorHAnsi"/>
        </w:rPr>
        <w:t>Lázeňská péče je službou hrazenou z</w:t>
      </w:r>
      <w:r w:rsidR="00C945FA">
        <w:rPr>
          <w:rFonts w:asciiTheme="minorHAnsi" w:hAnsiTheme="minorHAnsi"/>
        </w:rPr>
        <w:t xml:space="preserve"> veřejného</w:t>
      </w:r>
      <w:r w:rsidR="00CD1416">
        <w:rPr>
          <w:rFonts w:asciiTheme="minorHAnsi" w:hAnsiTheme="minorHAnsi"/>
        </w:rPr>
        <w:t xml:space="preserve"> </w:t>
      </w:r>
      <w:r w:rsidRPr="00C9657D">
        <w:rPr>
          <w:rFonts w:asciiTheme="minorHAnsi" w:hAnsiTheme="minorHAnsi"/>
        </w:rPr>
        <w:t>zdravotního pojištění a je poskytována jako následná lůžková péče ve zdravotnických zařízeních</w:t>
      </w:r>
      <w:r w:rsidR="006851F6">
        <w:rPr>
          <w:rFonts w:asciiTheme="minorHAnsi" w:hAnsiTheme="minorHAnsi"/>
        </w:rPr>
        <w:t xml:space="preserve"> </w:t>
      </w:r>
      <w:r w:rsidR="006851F6">
        <w:rPr>
          <w:rFonts w:asciiTheme="minorHAnsi" w:hAnsiTheme="minorHAnsi"/>
          <w:color w:val="000000" w:themeColor="text1"/>
        </w:rPr>
        <w:t>(SLL Bludov, SLL Janské Lázně a HL Karlova Studánka)</w:t>
      </w:r>
      <w:r w:rsidRPr="00C9657D">
        <w:rPr>
          <w:rFonts w:asciiTheme="minorHAnsi" w:hAnsiTheme="minorHAnsi"/>
        </w:rPr>
        <w:t>, která se nacházejí v místě výskytu přírodního léčivého zdroje</w:t>
      </w:r>
      <w:r>
        <w:rPr>
          <w:rStyle w:val="Znakapoznpodarou"/>
          <w:rFonts w:asciiTheme="minorHAnsi" w:hAnsiTheme="minorHAnsi"/>
        </w:rPr>
        <w:footnoteReference w:id="36"/>
      </w:r>
      <w:r w:rsidRPr="00C9657D">
        <w:rPr>
          <w:rFonts w:asciiTheme="minorHAnsi" w:hAnsiTheme="minorHAnsi"/>
        </w:rPr>
        <w:t xml:space="preserve"> (např. zdroj přírodní minerální vody, peloid</w:t>
      </w:r>
      <w:r>
        <w:rPr>
          <w:rStyle w:val="Znakapoznpodarou"/>
          <w:rFonts w:asciiTheme="minorHAnsi" w:hAnsiTheme="minorHAnsi"/>
        </w:rPr>
        <w:footnoteReference w:id="37"/>
      </w:r>
      <w:r w:rsidRPr="00C9657D">
        <w:rPr>
          <w:rFonts w:asciiTheme="minorHAnsi" w:hAnsiTheme="minorHAnsi"/>
        </w:rPr>
        <w:t>, zdroj přírodního zřídelního plynu nebo území s klimatickými podmínkami příznivými k léčení).</w:t>
      </w:r>
    </w:p>
    <w:p w14:paraId="21B026DD" w14:textId="0D41F9A2" w:rsidR="00D55F31" w:rsidRPr="00C9657D" w:rsidRDefault="0024693B" w:rsidP="0002290A">
      <w:pPr>
        <w:spacing w:before="120"/>
        <w:jc w:val="both"/>
        <w:rPr>
          <w:rFonts w:asciiTheme="minorHAnsi" w:hAnsiTheme="minorHAnsi"/>
        </w:rPr>
      </w:pPr>
      <w:r w:rsidRPr="00C9657D">
        <w:rPr>
          <w:rFonts w:asciiTheme="minorHAnsi" w:hAnsiTheme="minorHAnsi"/>
        </w:rPr>
        <w:t xml:space="preserve">Lázeňskou péči doporučuje ošetřující lékař a potvrzuje revizní lékař a je poskytována a hrazena jako </w:t>
      </w:r>
      <w:r w:rsidRPr="00D131E4">
        <w:rPr>
          <w:rFonts w:asciiTheme="minorHAnsi" w:hAnsiTheme="minorHAnsi"/>
          <w:i/>
        </w:rPr>
        <w:t>komplexní</w:t>
      </w:r>
      <w:r w:rsidRPr="00C9657D">
        <w:rPr>
          <w:rFonts w:asciiTheme="minorHAnsi" w:hAnsiTheme="minorHAnsi"/>
        </w:rPr>
        <w:t>, která navazuje na lůžkovou péči nebo specializovanou ambulantní zdravotní péči a je zaměřena na doléčení, zabránění vzniku invalidity a nesoběstačnosti nebo na</w:t>
      </w:r>
      <w:r w:rsidR="00CD1416">
        <w:rPr>
          <w:rFonts w:asciiTheme="minorHAnsi" w:hAnsiTheme="minorHAnsi"/>
        </w:rPr>
        <w:t xml:space="preserve"> </w:t>
      </w:r>
      <w:r w:rsidRPr="00C9657D">
        <w:rPr>
          <w:rFonts w:asciiTheme="minorHAnsi" w:hAnsiTheme="minorHAnsi"/>
        </w:rPr>
        <w:t xml:space="preserve">minimalizaci rozsahu invalidity, nebo </w:t>
      </w:r>
      <w:r w:rsidRPr="00D131E4">
        <w:rPr>
          <w:rFonts w:asciiTheme="minorHAnsi" w:hAnsiTheme="minorHAnsi"/>
          <w:i/>
        </w:rPr>
        <w:t>příspěvková</w:t>
      </w:r>
      <w:r w:rsidRPr="00C9657D">
        <w:rPr>
          <w:rFonts w:asciiTheme="minorHAnsi" w:hAnsiTheme="minorHAnsi"/>
        </w:rPr>
        <w:t>, která je poskytována především pojištěncům s chronickým onemocněním.</w:t>
      </w:r>
    </w:p>
    <w:p w14:paraId="7DCFBBB5" w14:textId="371274B9" w:rsidR="00D55F31" w:rsidRPr="00D131E4" w:rsidRDefault="0024693B" w:rsidP="0002290A">
      <w:pPr>
        <w:autoSpaceDE w:val="0"/>
        <w:autoSpaceDN w:val="0"/>
        <w:adjustRightInd w:val="0"/>
        <w:spacing w:before="120" w:line="240" w:lineRule="atLeast"/>
        <w:jc w:val="both"/>
        <w:rPr>
          <w:rFonts w:asciiTheme="minorHAnsi" w:hAnsiTheme="minorHAnsi" w:cs="Calibri"/>
          <w:lang w:eastAsia="cs-CZ"/>
        </w:rPr>
      </w:pPr>
      <w:r w:rsidRPr="00C9657D">
        <w:rPr>
          <w:rFonts w:asciiTheme="minorHAnsi" w:hAnsiTheme="minorHAnsi" w:cs="Calibri"/>
          <w:lang w:eastAsia="cs-CZ"/>
        </w:rPr>
        <w:t>Problematika ochrany a využívání přírodních léčivých zdrojů a zdrojů přírodních minerálních vod je v Č</w:t>
      </w:r>
      <w:r>
        <w:rPr>
          <w:rFonts w:asciiTheme="minorHAnsi" w:hAnsiTheme="minorHAnsi" w:cs="Calibri"/>
          <w:lang w:eastAsia="cs-CZ"/>
        </w:rPr>
        <w:t>R</w:t>
      </w:r>
      <w:r w:rsidRPr="00C9657D">
        <w:rPr>
          <w:rFonts w:asciiTheme="minorHAnsi" w:hAnsiTheme="minorHAnsi" w:cs="Calibri"/>
          <w:lang w:eastAsia="cs-CZ"/>
        </w:rPr>
        <w:t xml:space="preserve"> upravena lázeňským zákonem</w:t>
      </w:r>
      <w:r>
        <w:rPr>
          <w:rStyle w:val="Znakapoznpodarou"/>
          <w:rFonts w:asciiTheme="minorHAnsi" w:hAnsiTheme="minorHAnsi" w:cs="Calibri"/>
          <w:lang w:eastAsia="cs-CZ"/>
        </w:rPr>
        <w:footnoteReference w:id="38"/>
      </w:r>
      <w:r w:rsidRPr="00C9657D">
        <w:rPr>
          <w:rFonts w:asciiTheme="minorHAnsi" w:hAnsiTheme="minorHAnsi" w:cs="Calibri"/>
          <w:lang w:eastAsia="cs-CZ"/>
        </w:rPr>
        <w:t xml:space="preserve"> včetně navazujících prováděcích vyhlášek. </w:t>
      </w:r>
      <w:r w:rsidRPr="00C9657D">
        <w:rPr>
          <w:rFonts w:asciiTheme="minorHAnsi" w:hAnsiTheme="minorHAnsi"/>
        </w:rPr>
        <w:t>Při</w:t>
      </w:r>
      <w:r w:rsidR="00CD1416">
        <w:rPr>
          <w:rFonts w:asciiTheme="minorHAnsi" w:hAnsiTheme="minorHAnsi"/>
        </w:rPr>
        <w:t xml:space="preserve"> </w:t>
      </w:r>
      <w:r w:rsidRPr="00C9657D">
        <w:rPr>
          <w:rFonts w:asciiTheme="minorHAnsi" w:hAnsiTheme="minorHAnsi"/>
        </w:rPr>
        <w:t>kontrole bylo zjištěno, že:</w:t>
      </w:r>
    </w:p>
    <w:p w14:paraId="2560FD46" w14:textId="703596D6" w:rsidR="00D55F31" w:rsidRPr="00C9657D" w:rsidRDefault="0024693B" w:rsidP="000D68D3">
      <w:pPr>
        <w:pStyle w:val="Odstavecseseznamem"/>
        <w:numPr>
          <w:ilvl w:val="0"/>
          <w:numId w:val="28"/>
        </w:numPr>
        <w:autoSpaceDE w:val="0"/>
        <w:autoSpaceDN w:val="0"/>
        <w:adjustRightInd w:val="0"/>
        <w:ind w:left="284" w:hanging="284"/>
        <w:jc w:val="both"/>
        <w:rPr>
          <w:rFonts w:asciiTheme="minorHAnsi" w:hAnsiTheme="minorHAnsi"/>
        </w:rPr>
      </w:pPr>
      <w:r w:rsidRPr="00305FA8">
        <w:rPr>
          <w:rFonts w:asciiTheme="minorHAnsi" w:hAnsiTheme="minorHAnsi"/>
          <w:i/>
        </w:rPr>
        <w:t>statuty lázeňských míst</w:t>
      </w:r>
      <w:r>
        <w:rPr>
          <w:rStyle w:val="Znakapoznpodarou"/>
          <w:rFonts w:asciiTheme="minorHAnsi" w:hAnsiTheme="minorHAnsi"/>
          <w:i/>
        </w:rPr>
        <w:footnoteReference w:id="39"/>
      </w:r>
      <w:r w:rsidRPr="00C9657D">
        <w:rPr>
          <w:rFonts w:asciiTheme="minorHAnsi" w:hAnsiTheme="minorHAnsi"/>
        </w:rPr>
        <w:t xml:space="preserve"> jsou zastaralé (vývojem legislativy, změnou společenských poměrů apod.) a </w:t>
      </w:r>
      <w:r>
        <w:rPr>
          <w:rFonts w:asciiTheme="minorHAnsi" w:hAnsiTheme="minorHAnsi"/>
        </w:rPr>
        <w:t>některá</w:t>
      </w:r>
      <w:r w:rsidR="00CD1416">
        <w:rPr>
          <w:rFonts w:asciiTheme="minorHAnsi" w:hAnsiTheme="minorHAnsi"/>
        </w:rPr>
        <w:t xml:space="preserve"> </w:t>
      </w:r>
      <w:r w:rsidRPr="00C9657D">
        <w:rPr>
          <w:rFonts w:asciiTheme="minorHAnsi" w:hAnsiTheme="minorHAnsi"/>
        </w:rPr>
        <w:t>jejich ustanovení lze v současnosti obtížně naplnit jak ze</w:t>
      </w:r>
      <w:r w:rsidR="00CD1416">
        <w:rPr>
          <w:rFonts w:asciiTheme="minorHAnsi" w:hAnsiTheme="minorHAnsi"/>
        </w:rPr>
        <w:t xml:space="preserve"> </w:t>
      </w:r>
      <w:r w:rsidRPr="00C9657D">
        <w:rPr>
          <w:rFonts w:asciiTheme="minorHAnsi" w:hAnsiTheme="minorHAnsi"/>
        </w:rPr>
        <w:t xml:space="preserve">strany poskytovatelů lázeňské péče, tak ze strany vydavatelů statutu lázeňského místa; </w:t>
      </w:r>
    </w:p>
    <w:p w14:paraId="14E13D46" w14:textId="77777777" w:rsidR="00D55F31" w:rsidRPr="00C9657D" w:rsidRDefault="0024693B" w:rsidP="000D68D3">
      <w:pPr>
        <w:pStyle w:val="Odstavecseseznamem"/>
        <w:numPr>
          <w:ilvl w:val="0"/>
          <w:numId w:val="28"/>
        </w:numPr>
        <w:autoSpaceDE w:val="0"/>
        <w:autoSpaceDN w:val="0"/>
        <w:adjustRightInd w:val="0"/>
        <w:ind w:left="284" w:hanging="284"/>
        <w:jc w:val="both"/>
        <w:rPr>
          <w:rFonts w:asciiTheme="minorHAnsi" w:hAnsiTheme="minorHAnsi"/>
        </w:rPr>
      </w:pPr>
      <w:r w:rsidRPr="00305FA8">
        <w:rPr>
          <w:rFonts w:asciiTheme="minorHAnsi" w:hAnsiTheme="minorHAnsi"/>
          <w:i/>
        </w:rPr>
        <w:t>osvědčení o přírodních léčivých zdrojích</w:t>
      </w:r>
      <w:r w:rsidRPr="00C9657D">
        <w:rPr>
          <w:rFonts w:asciiTheme="minorHAnsi" w:hAnsiTheme="minorHAnsi"/>
          <w:b/>
        </w:rPr>
        <w:t xml:space="preserve"> </w:t>
      </w:r>
      <w:r w:rsidRPr="00C9657D">
        <w:rPr>
          <w:rFonts w:asciiTheme="minorHAnsi" w:hAnsiTheme="minorHAnsi"/>
        </w:rPr>
        <w:t>byla vydána</w:t>
      </w:r>
      <w:r w:rsidRPr="00C9657D">
        <w:rPr>
          <w:rFonts w:asciiTheme="minorHAnsi" w:hAnsiTheme="minorHAnsi"/>
          <w:b/>
        </w:rPr>
        <w:t xml:space="preserve"> </w:t>
      </w:r>
      <w:r w:rsidRPr="00C9657D">
        <w:rPr>
          <w:rFonts w:asciiTheme="minorHAnsi" w:hAnsiTheme="minorHAnsi"/>
        </w:rPr>
        <w:t xml:space="preserve">výnosy </w:t>
      </w:r>
      <w:proofErr w:type="spellStart"/>
      <w:r w:rsidRPr="00C9657D">
        <w:rPr>
          <w:rFonts w:asciiTheme="minorHAnsi" w:hAnsiTheme="minorHAnsi"/>
        </w:rPr>
        <w:t>MZdr</w:t>
      </w:r>
      <w:proofErr w:type="spellEnd"/>
      <w:r w:rsidRPr="00C9657D">
        <w:rPr>
          <w:rFonts w:asciiTheme="minorHAnsi" w:hAnsiTheme="minorHAnsi"/>
        </w:rPr>
        <w:t xml:space="preserve"> a osvědčením Českého inspektorátu lázní a zřídel o přírodním léčivém zdroji </w:t>
      </w:r>
      <w:r w:rsidR="00986D17">
        <w:rPr>
          <w:rFonts w:asciiTheme="minorHAnsi" w:hAnsiTheme="minorHAnsi"/>
        </w:rPr>
        <w:t>(</w:t>
      </w:r>
      <w:r w:rsidRPr="00C9657D">
        <w:rPr>
          <w:rFonts w:asciiTheme="minorHAnsi" w:hAnsiTheme="minorHAnsi"/>
        </w:rPr>
        <w:t>dále také „PLZ“</w:t>
      </w:r>
      <w:r w:rsidR="00986D17">
        <w:rPr>
          <w:rFonts w:asciiTheme="minorHAnsi" w:hAnsiTheme="minorHAnsi"/>
        </w:rPr>
        <w:t>)</w:t>
      </w:r>
      <w:r w:rsidRPr="00C9657D">
        <w:rPr>
          <w:rFonts w:asciiTheme="minorHAnsi" w:hAnsiTheme="minorHAnsi"/>
        </w:rPr>
        <w:t xml:space="preserve"> pro všechny PLZ, jejichž správci jsou kontrolované státní podniky</w:t>
      </w:r>
      <w:r>
        <w:rPr>
          <w:rFonts w:asciiTheme="minorHAnsi" w:hAnsiTheme="minorHAnsi"/>
        </w:rPr>
        <w:t>.</w:t>
      </w:r>
    </w:p>
    <w:p w14:paraId="1FF86DEA" w14:textId="3F09871C" w:rsidR="00D55F31" w:rsidRPr="006B7D57" w:rsidRDefault="0024693B" w:rsidP="0002290A">
      <w:pPr>
        <w:autoSpaceDE w:val="0"/>
        <w:autoSpaceDN w:val="0"/>
        <w:adjustRightInd w:val="0"/>
        <w:jc w:val="both"/>
        <w:rPr>
          <w:rFonts w:asciiTheme="minorHAnsi" w:hAnsiTheme="minorHAnsi"/>
          <w:b/>
        </w:rPr>
      </w:pPr>
      <w:r w:rsidRPr="006B7D57">
        <w:rPr>
          <w:rFonts w:asciiTheme="minorHAnsi" w:hAnsiTheme="minorHAnsi"/>
        </w:rPr>
        <w:lastRenderedPageBreak/>
        <w:t>Lázeňská péče byla poskytována v indikacích v souladu s platnou právní úpravou</w:t>
      </w:r>
      <w:r>
        <w:rPr>
          <w:rStyle w:val="Znakapoznpodarou"/>
          <w:rFonts w:asciiTheme="minorHAnsi" w:hAnsiTheme="minorHAnsi"/>
        </w:rPr>
        <w:footnoteReference w:id="40"/>
      </w:r>
      <w:r w:rsidRPr="006B7D57">
        <w:rPr>
          <w:rFonts w:asciiTheme="minorHAnsi" w:hAnsiTheme="minorHAnsi"/>
        </w:rPr>
        <w:t>. Pro</w:t>
      </w:r>
      <w:r w:rsidR="005D3209">
        <w:rPr>
          <w:rFonts w:asciiTheme="minorHAnsi" w:hAnsiTheme="minorHAnsi"/>
        </w:rPr>
        <w:t xml:space="preserve"> </w:t>
      </w:r>
      <w:r w:rsidRPr="006B7D57">
        <w:rPr>
          <w:rFonts w:asciiTheme="minorHAnsi" w:hAnsiTheme="minorHAnsi"/>
        </w:rPr>
        <w:t>jednotlivé indikační skupiny</w:t>
      </w:r>
      <w:r>
        <w:rPr>
          <w:rStyle w:val="Znakapoznpodarou"/>
          <w:rFonts w:asciiTheme="minorHAnsi" w:hAnsiTheme="minorHAnsi"/>
        </w:rPr>
        <w:footnoteReference w:id="41"/>
      </w:r>
      <w:r w:rsidRPr="006B7D57">
        <w:rPr>
          <w:rFonts w:asciiTheme="minorHAnsi" w:hAnsiTheme="minorHAnsi"/>
        </w:rPr>
        <w:t xml:space="preserve"> zpracovaly </w:t>
      </w:r>
      <w:r w:rsidR="000751B8">
        <w:rPr>
          <w:rFonts w:asciiTheme="minorHAnsi" w:hAnsiTheme="minorHAnsi"/>
        </w:rPr>
        <w:t xml:space="preserve">státní </w:t>
      </w:r>
      <w:r w:rsidRPr="006B7D57">
        <w:rPr>
          <w:rFonts w:asciiTheme="minorHAnsi" w:hAnsiTheme="minorHAnsi"/>
        </w:rPr>
        <w:t xml:space="preserve">podniky </w:t>
      </w:r>
      <w:r w:rsidR="000751B8">
        <w:rPr>
          <w:rFonts w:asciiTheme="minorHAnsi" w:hAnsiTheme="minorHAnsi"/>
        </w:rPr>
        <w:t xml:space="preserve">rámcové a individuální </w:t>
      </w:r>
      <w:r w:rsidRPr="006B7D57">
        <w:rPr>
          <w:rFonts w:asciiTheme="minorHAnsi" w:hAnsiTheme="minorHAnsi"/>
        </w:rPr>
        <w:t xml:space="preserve">léčebné plány obsahující počty léčebných procedur a jejich specifikaci dle PLZ. </w:t>
      </w:r>
    </w:p>
    <w:p w14:paraId="189D686D" w14:textId="77777777" w:rsidR="00D55F31" w:rsidRPr="00C9657D" w:rsidRDefault="0024693B" w:rsidP="0002290A">
      <w:pPr>
        <w:autoSpaceDE w:val="0"/>
        <w:autoSpaceDN w:val="0"/>
        <w:adjustRightInd w:val="0"/>
        <w:spacing w:before="120"/>
        <w:jc w:val="both"/>
        <w:rPr>
          <w:rFonts w:asciiTheme="minorHAnsi" w:hAnsiTheme="minorHAnsi"/>
          <w:color w:val="000000" w:themeColor="text1"/>
        </w:rPr>
      </w:pPr>
      <w:r w:rsidRPr="00C9657D">
        <w:rPr>
          <w:rFonts w:asciiTheme="minorHAnsi" w:hAnsiTheme="minorHAnsi"/>
          <w:color w:val="000000" w:themeColor="text1"/>
        </w:rPr>
        <w:t xml:space="preserve">V kontrolovaném období státní podniky poskytovaly lázeňskou péči na základě uzavřených </w:t>
      </w:r>
      <w:r w:rsidRPr="00C9657D">
        <w:rPr>
          <w:rFonts w:asciiTheme="minorHAnsi" w:hAnsiTheme="minorHAnsi"/>
          <w:i/>
          <w:color w:val="000000" w:themeColor="text1"/>
        </w:rPr>
        <w:t>rámcových smluv</w:t>
      </w:r>
      <w:r>
        <w:rPr>
          <w:rStyle w:val="Znakapoznpodarou"/>
          <w:rFonts w:asciiTheme="minorHAnsi" w:hAnsiTheme="minorHAnsi"/>
          <w:color w:val="000000" w:themeColor="text1"/>
        </w:rPr>
        <w:footnoteReference w:id="42"/>
      </w:r>
      <w:r w:rsidRPr="00C9657D">
        <w:rPr>
          <w:rFonts w:asciiTheme="minorHAnsi" w:hAnsiTheme="minorHAnsi"/>
          <w:color w:val="000000" w:themeColor="text1"/>
        </w:rPr>
        <w:t xml:space="preserve"> se všemi sedmi zdravotními pojišťovnami. Každoročně pak byly uzavírány </w:t>
      </w:r>
      <w:r w:rsidRPr="00C9657D">
        <w:rPr>
          <w:rFonts w:asciiTheme="minorHAnsi" w:hAnsiTheme="minorHAnsi"/>
          <w:i/>
          <w:color w:val="000000" w:themeColor="text1"/>
        </w:rPr>
        <w:t>dodatky</w:t>
      </w:r>
      <w:r w:rsidRPr="00C9657D">
        <w:rPr>
          <w:rFonts w:asciiTheme="minorHAnsi" w:hAnsiTheme="minorHAnsi"/>
          <w:color w:val="000000" w:themeColor="text1"/>
        </w:rPr>
        <w:t xml:space="preserve"> (tzv. cenová ujednání) obsahující výši úhrady za jeden ošetřovací den (tj. léčení, stravování a ubytování) dle jednotlivých indikací. </w:t>
      </w:r>
    </w:p>
    <w:p w14:paraId="69BBDCD6" w14:textId="77777777" w:rsidR="00D55F31" w:rsidRPr="00433A75" w:rsidRDefault="00433A75" w:rsidP="00433A75">
      <w:pPr>
        <w:spacing w:before="240"/>
        <w:jc w:val="both"/>
        <w:rPr>
          <w:rFonts w:asciiTheme="minorHAnsi" w:hAnsiTheme="minorHAnsi" w:cstheme="minorHAnsi"/>
          <w:b/>
          <w:bCs/>
          <w:lang w:eastAsia="cs-CZ"/>
        </w:rPr>
      </w:pPr>
      <w:r>
        <w:rPr>
          <w:rFonts w:asciiTheme="minorHAnsi" w:hAnsiTheme="minorHAnsi" w:cstheme="minorHAnsi"/>
          <w:b/>
          <w:bCs/>
          <w:lang w:eastAsia="cs-CZ"/>
        </w:rPr>
        <w:t>3.1</w:t>
      </w:r>
      <w:r w:rsidR="000D68D3">
        <w:rPr>
          <w:rFonts w:asciiTheme="minorHAnsi" w:hAnsiTheme="minorHAnsi" w:cstheme="minorHAnsi"/>
          <w:b/>
          <w:bCs/>
          <w:lang w:eastAsia="cs-CZ"/>
        </w:rPr>
        <w:t xml:space="preserve"> </w:t>
      </w:r>
      <w:r w:rsidR="0024693B" w:rsidRPr="00433A75">
        <w:rPr>
          <w:rFonts w:asciiTheme="minorHAnsi" w:hAnsiTheme="minorHAnsi" w:cstheme="minorHAnsi"/>
          <w:b/>
          <w:bCs/>
          <w:lang w:eastAsia="cs-CZ"/>
        </w:rPr>
        <w:t>Úhrady za lázeňskou péči</w:t>
      </w:r>
    </w:p>
    <w:p w14:paraId="6713E345" w14:textId="6B911270" w:rsidR="006D7080" w:rsidRDefault="0024693B" w:rsidP="0002290A">
      <w:pPr>
        <w:autoSpaceDE w:val="0"/>
        <w:autoSpaceDN w:val="0"/>
        <w:adjustRightInd w:val="0"/>
        <w:spacing w:before="120"/>
        <w:jc w:val="both"/>
        <w:rPr>
          <w:rFonts w:asciiTheme="minorHAnsi" w:hAnsiTheme="minorHAnsi"/>
        </w:rPr>
      </w:pPr>
      <w:r w:rsidRPr="00C9657D">
        <w:rPr>
          <w:rFonts w:asciiTheme="minorHAnsi" w:hAnsiTheme="minorHAnsi"/>
        </w:rPr>
        <w:t xml:space="preserve">Z kontroly dodatků </w:t>
      </w:r>
      <w:r w:rsidR="00DC3945">
        <w:rPr>
          <w:rFonts w:asciiTheme="minorHAnsi" w:hAnsiTheme="minorHAnsi"/>
        </w:rPr>
        <w:t>(</w:t>
      </w:r>
      <w:r w:rsidR="00DC3945" w:rsidRPr="00C9657D">
        <w:rPr>
          <w:rFonts w:asciiTheme="minorHAnsi" w:hAnsiTheme="minorHAnsi"/>
        </w:rPr>
        <w:t>rámcových</w:t>
      </w:r>
      <w:r w:rsidR="00DC3945">
        <w:rPr>
          <w:rFonts w:asciiTheme="minorHAnsi" w:hAnsiTheme="minorHAnsi"/>
        </w:rPr>
        <w:t>)</w:t>
      </w:r>
      <w:r w:rsidR="005D3209" w:rsidRPr="005D3209">
        <w:rPr>
          <w:rFonts w:asciiTheme="minorHAnsi" w:hAnsiTheme="minorHAnsi"/>
        </w:rPr>
        <w:t xml:space="preserve"> </w:t>
      </w:r>
      <w:r w:rsidR="005D3209" w:rsidRPr="00C9657D">
        <w:rPr>
          <w:rFonts w:asciiTheme="minorHAnsi" w:hAnsiTheme="minorHAnsi"/>
        </w:rPr>
        <w:t>smluv</w:t>
      </w:r>
      <w:r w:rsidR="00DC3945" w:rsidRPr="00C9657D">
        <w:rPr>
          <w:rFonts w:asciiTheme="minorHAnsi" w:hAnsiTheme="minorHAnsi"/>
        </w:rPr>
        <w:t xml:space="preserve"> </w:t>
      </w:r>
      <w:r w:rsidR="000751B8">
        <w:rPr>
          <w:rFonts w:asciiTheme="minorHAnsi" w:hAnsiTheme="minorHAnsi"/>
        </w:rPr>
        <w:t xml:space="preserve">uzavřených </w:t>
      </w:r>
      <w:r w:rsidRPr="00C9657D">
        <w:rPr>
          <w:rFonts w:asciiTheme="minorHAnsi" w:hAnsiTheme="minorHAnsi"/>
        </w:rPr>
        <w:t xml:space="preserve">pro rok 2015 </w:t>
      </w:r>
      <w:r w:rsidR="000751B8">
        <w:rPr>
          <w:rFonts w:asciiTheme="minorHAnsi" w:hAnsiTheme="minorHAnsi"/>
        </w:rPr>
        <w:t>kontrolovanými</w:t>
      </w:r>
      <w:r w:rsidR="000751B8" w:rsidRPr="00C9657D">
        <w:rPr>
          <w:rFonts w:asciiTheme="minorHAnsi" w:hAnsiTheme="minorHAnsi"/>
        </w:rPr>
        <w:t xml:space="preserve"> poskytovatel</w:t>
      </w:r>
      <w:r w:rsidR="000751B8">
        <w:rPr>
          <w:rFonts w:asciiTheme="minorHAnsi" w:hAnsiTheme="minorHAnsi"/>
        </w:rPr>
        <w:t>i</w:t>
      </w:r>
      <w:r w:rsidR="000751B8" w:rsidRPr="00C9657D">
        <w:rPr>
          <w:rFonts w:asciiTheme="minorHAnsi" w:hAnsiTheme="minorHAnsi"/>
        </w:rPr>
        <w:t xml:space="preserve"> </w:t>
      </w:r>
      <w:r w:rsidRPr="00C9657D">
        <w:rPr>
          <w:rFonts w:asciiTheme="minorHAnsi" w:hAnsiTheme="minorHAnsi"/>
        </w:rPr>
        <w:t xml:space="preserve">lázeňské péče </w:t>
      </w:r>
      <w:r w:rsidR="000751B8">
        <w:rPr>
          <w:rFonts w:asciiTheme="minorHAnsi" w:hAnsiTheme="minorHAnsi"/>
        </w:rPr>
        <w:t>s jednotlivými zdravotními pojišťovnami vyplynulo</w:t>
      </w:r>
      <w:r w:rsidRPr="00C9657D">
        <w:rPr>
          <w:rFonts w:asciiTheme="minorHAnsi" w:hAnsiTheme="minorHAnsi"/>
        </w:rPr>
        <w:t xml:space="preserve">, že u shodných indikací byly sjednány rozdílné ceny úhrad za jeden ošetřovací den (viz příloha č. 3 k tomuto kontrolnímu závěru). </w:t>
      </w:r>
    </w:p>
    <w:p w14:paraId="0102ACA1" w14:textId="5C3299F9" w:rsidR="00D55F31" w:rsidRPr="00C9657D" w:rsidRDefault="0024693B" w:rsidP="0002290A">
      <w:pPr>
        <w:autoSpaceDE w:val="0"/>
        <w:autoSpaceDN w:val="0"/>
        <w:adjustRightInd w:val="0"/>
        <w:spacing w:before="120"/>
        <w:jc w:val="both"/>
        <w:rPr>
          <w:rFonts w:asciiTheme="minorHAnsi" w:hAnsiTheme="minorHAnsi"/>
        </w:rPr>
      </w:pPr>
      <w:r w:rsidRPr="00C9657D">
        <w:rPr>
          <w:rFonts w:asciiTheme="minorHAnsi" w:hAnsiTheme="minorHAnsi"/>
        </w:rPr>
        <w:t xml:space="preserve">Např. u indikace pro dospělé </w:t>
      </w:r>
      <w:r w:rsidR="00784E92">
        <w:rPr>
          <w:rFonts w:asciiTheme="minorHAnsi" w:hAnsiTheme="minorHAnsi"/>
        </w:rPr>
        <w:t xml:space="preserve">VII/11 </w:t>
      </w:r>
      <w:r w:rsidRPr="00C9657D">
        <w:rPr>
          <w:rFonts w:asciiTheme="minorHAnsi" w:hAnsiTheme="minorHAnsi"/>
        </w:rPr>
        <w:t xml:space="preserve">(nemoci pohybového ústrojí) se </w:t>
      </w:r>
      <w:r w:rsidR="000751B8" w:rsidRPr="00C9657D">
        <w:rPr>
          <w:rFonts w:asciiTheme="minorHAnsi" w:hAnsiTheme="minorHAnsi"/>
        </w:rPr>
        <w:t>úhrad</w:t>
      </w:r>
      <w:r w:rsidR="000751B8">
        <w:rPr>
          <w:rFonts w:asciiTheme="minorHAnsi" w:hAnsiTheme="minorHAnsi"/>
        </w:rPr>
        <w:t>y</w:t>
      </w:r>
      <w:r w:rsidR="000751B8" w:rsidRPr="00C9657D">
        <w:rPr>
          <w:rFonts w:asciiTheme="minorHAnsi" w:hAnsiTheme="minorHAnsi"/>
        </w:rPr>
        <w:t xml:space="preserve"> </w:t>
      </w:r>
      <w:r w:rsidRPr="00C9657D">
        <w:rPr>
          <w:rFonts w:asciiTheme="minorHAnsi" w:hAnsiTheme="minorHAnsi"/>
        </w:rPr>
        <w:t>zdravotních pojišťoven za</w:t>
      </w:r>
      <w:r w:rsidR="005D3209">
        <w:rPr>
          <w:rFonts w:asciiTheme="minorHAnsi" w:hAnsiTheme="minorHAnsi"/>
        </w:rPr>
        <w:t xml:space="preserve"> </w:t>
      </w:r>
      <w:r w:rsidRPr="00C9657D">
        <w:rPr>
          <w:rFonts w:asciiTheme="minorHAnsi" w:hAnsiTheme="minorHAnsi"/>
        </w:rPr>
        <w:t>ošetřovací den</w:t>
      </w:r>
      <w:r w:rsidR="000751B8">
        <w:rPr>
          <w:rFonts w:asciiTheme="minorHAnsi" w:hAnsiTheme="minorHAnsi"/>
        </w:rPr>
        <w:t xml:space="preserve">, hrazené kontrolovaným poskytovatelům lázeňské péče, </w:t>
      </w:r>
      <w:r w:rsidRPr="00C9657D">
        <w:rPr>
          <w:rFonts w:asciiTheme="minorHAnsi" w:hAnsiTheme="minorHAnsi"/>
        </w:rPr>
        <w:t>pohyboval</w:t>
      </w:r>
      <w:r w:rsidR="000751B8">
        <w:rPr>
          <w:rFonts w:asciiTheme="minorHAnsi" w:hAnsiTheme="minorHAnsi"/>
        </w:rPr>
        <w:t>y</w:t>
      </w:r>
      <w:r w:rsidRPr="00C9657D">
        <w:rPr>
          <w:rFonts w:asciiTheme="minorHAnsi" w:hAnsiTheme="minorHAnsi"/>
        </w:rPr>
        <w:t xml:space="preserve"> v</w:t>
      </w:r>
      <w:r w:rsidR="006D7080">
        <w:rPr>
          <w:rFonts w:asciiTheme="minorHAnsi" w:hAnsiTheme="minorHAnsi"/>
        </w:rPr>
        <w:t> </w:t>
      </w:r>
      <w:r w:rsidRPr="00C9657D">
        <w:rPr>
          <w:rFonts w:asciiTheme="minorHAnsi" w:hAnsiTheme="minorHAnsi"/>
        </w:rPr>
        <w:t>rozpětí</w:t>
      </w:r>
      <w:r w:rsidR="006D7080">
        <w:rPr>
          <w:rFonts w:asciiTheme="minorHAnsi" w:hAnsiTheme="minorHAnsi"/>
        </w:rPr>
        <w:t xml:space="preserve"> od 950 Kč (</w:t>
      </w:r>
      <w:r w:rsidR="00953532">
        <w:rPr>
          <w:rFonts w:asciiTheme="minorHAnsi" w:hAnsiTheme="minorHAnsi"/>
        </w:rPr>
        <w:t xml:space="preserve">u </w:t>
      </w:r>
      <w:r w:rsidR="006D7080">
        <w:rPr>
          <w:rFonts w:asciiTheme="minorHAnsi" w:hAnsiTheme="minorHAnsi"/>
        </w:rPr>
        <w:t>SLL Bludov) do 1 248 Kč (</w:t>
      </w:r>
      <w:r w:rsidR="00953532">
        <w:rPr>
          <w:rFonts w:asciiTheme="minorHAnsi" w:hAnsiTheme="minorHAnsi"/>
        </w:rPr>
        <w:t xml:space="preserve">u </w:t>
      </w:r>
      <w:r w:rsidR="00784E92">
        <w:rPr>
          <w:rFonts w:asciiTheme="minorHAnsi" w:hAnsiTheme="minorHAnsi"/>
        </w:rPr>
        <w:t xml:space="preserve">SLL Janské Lázně) </w:t>
      </w:r>
      <w:r w:rsidR="005D3209">
        <w:rPr>
          <w:rFonts w:asciiTheme="minorHAnsi" w:hAnsiTheme="minorHAnsi"/>
        </w:rPr>
        <w:t>–</w:t>
      </w:r>
      <w:r w:rsidR="00784E92">
        <w:rPr>
          <w:rFonts w:asciiTheme="minorHAnsi" w:hAnsiTheme="minorHAnsi"/>
        </w:rPr>
        <w:t xml:space="preserve"> podrobněji</w:t>
      </w:r>
      <w:r w:rsidR="006D7080">
        <w:rPr>
          <w:rFonts w:asciiTheme="minorHAnsi" w:hAnsiTheme="minorHAnsi"/>
        </w:rPr>
        <w:t xml:space="preserve"> </w:t>
      </w:r>
      <w:r w:rsidR="00784E92">
        <w:rPr>
          <w:rFonts w:asciiTheme="minorHAnsi" w:hAnsiTheme="minorHAnsi"/>
        </w:rPr>
        <w:t>viz tabulka</w:t>
      </w:r>
      <w:r w:rsidR="006D7080">
        <w:rPr>
          <w:rFonts w:asciiTheme="minorHAnsi" w:hAnsiTheme="minorHAnsi"/>
        </w:rPr>
        <w:t xml:space="preserve"> č. 8.</w:t>
      </w:r>
    </w:p>
    <w:p w14:paraId="5EA558CE" w14:textId="77777777" w:rsidR="00D55F31" w:rsidRPr="00C9657D" w:rsidRDefault="0024693B" w:rsidP="00BD1905">
      <w:pPr>
        <w:autoSpaceDE w:val="0"/>
        <w:autoSpaceDN w:val="0"/>
        <w:spacing w:before="240"/>
        <w:jc w:val="both"/>
        <w:rPr>
          <w:rFonts w:ascii="Calibri" w:hAnsi="Calibri" w:cs="Calibri"/>
          <w:b/>
        </w:rPr>
      </w:pPr>
      <w:r w:rsidRPr="00C9657D">
        <w:rPr>
          <w:rFonts w:ascii="Calibri" w:hAnsi="Calibri" w:cs="Calibri"/>
          <w:b/>
        </w:rPr>
        <w:t xml:space="preserve">Tabulka č. 8 </w:t>
      </w:r>
      <w:r>
        <w:rPr>
          <w:rFonts w:ascii="Calibri" w:hAnsi="Calibri" w:cs="Calibri"/>
          <w:b/>
        </w:rPr>
        <w:t>–</w:t>
      </w:r>
      <w:r w:rsidRPr="00C9657D">
        <w:rPr>
          <w:rFonts w:ascii="Calibri" w:hAnsi="Calibri" w:cs="Calibri"/>
          <w:b/>
        </w:rPr>
        <w:t xml:space="preserve"> Úhrady od ZP za ošetřovací den u komplexní lázeňské péče (indikace VII/11)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356"/>
        <w:gridCol w:w="956"/>
        <w:gridCol w:w="955"/>
        <w:gridCol w:w="955"/>
        <w:gridCol w:w="955"/>
        <w:gridCol w:w="955"/>
        <w:gridCol w:w="955"/>
        <w:gridCol w:w="955"/>
      </w:tblGrid>
      <w:tr w:rsidR="00C425F2" w14:paraId="32D4312B" w14:textId="77777777" w:rsidTr="00D55F31">
        <w:tc>
          <w:tcPr>
            <w:tcW w:w="1301" w:type="pct"/>
            <w:shd w:val="clear" w:color="auto" w:fill="DEEAF6"/>
            <w:tcMar>
              <w:top w:w="0" w:type="dxa"/>
              <w:left w:w="108" w:type="dxa"/>
              <w:bottom w:w="0" w:type="dxa"/>
              <w:right w:w="108" w:type="dxa"/>
            </w:tcMar>
            <w:hideMark/>
          </w:tcPr>
          <w:p w14:paraId="084CB926" w14:textId="77777777" w:rsidR="00D55F31" w:rsidRPr="00C9657D" w:rsidRDefault="0024693B" w:rsidP="0002290A">
            <w:pPr>
              <w:autoSpaceDE w:val="0"/>
              <w:autoSpaceDN w:val="0"/>
              <w:jc w:val="center"/>
              <w:rPr>
                <w:rFonts w:asciiTheme="minorHAnsi" w:hAnsiTheme="minorHAnsi"/>
                <w:b/>
                <w:i/>
                <w:sz w:val="20"/>
                <w:szCs w:val="20"/>
                <w:lang w:eastAsia="cs-CZ"/>
              </w:rPr>
            </w:pPr>
            <w:r w:rsidRPr="00C9657D">
              <w:rPr>
                <w:rFonts w:asciiTheme="minorHAnsi" w:hAnsiTheme="minorHAnsi"/>
                <w:b/>
                <w:i/>
                <w:sz w:val="20"/>
                <w:szCs w:val="20"/>
                <w:lang w:eastAsia="cs-CZ"/>
              </w:rPr>
              <w:t>Poskytovatel</w:t>
            </w:r>
          </w:p>
        </w:tc>
        <w:tc>
          <w:tcPr>
            <w:tcW w:w="528" w:type="pct"/>
            <w:shd w:val="clear" w:color="auto" w:fill="DEEAF6"/>
            <w:tcMar>
              <w:top w:w="0" w:type="dxa"/>
              <w:left w:w="108" w:type="dxa"/>
              <w:bottom w:w="0" w:type="dxa"/>
              <w:right w:w="108" w:type="dxa"/>
            </w:tcMar>
            <w:hideMark/>
          </w:tcPr>
          <w:p w14:paraId="02678B60" w14:textId="77777777" w:rsidR="00D55F31" w:rsidRPr="00C9657D" w:rsidRDefault="0024693B" w:rsidP="0002290A">
            <w:pPr>
              <w:autoSpaceDE w:val="0"/>
              <w:autoSpaceDN w:val="0"/>
              <w:jc w:val="center"/>
              <w:rPr>
                <w:rFonts w:asciiTheme="minorHAnsi" w:hAnsiTheme="minorHAnsi"/>
                <w:b/>
                <w:i/>
                <w:sz w:val="20"/>
                <w:szCs w:val="20"/>
                <w:lang w:eastAsia="cs-CZ"/>
              </w:rPr>
            </w:pPr>
            <w:r w:rsidRPr="00C9657D">
              <w:rPr>
                <w:rFonts w:asciiTheme="minorHAnsi" w:hAnsiTheme="minorHAnsi"/>
                <w:b/>
                <w:i/>
                <w:sz w:val="20"/>
                <w:szCs w:val="20"/>
                <w:lang w:eastAsia="cs-CZ"/>
              </w:rPr>
              <w:t>ZP1</w:t>
            </w:r>
          </w:p>
        </w:tc>
        <w:tc>
          <w:tcPr>
            <w:tcW w:w="528" w:type="pct"/>
            <w:shd w:val="clear" w:color="auto" w:fill="DEEAF6"/>
            <w:tcMar>
              <w:top w:w="0" w:type="dxa"/>
              <w:left w:w="108" w:type="dxa"/>
              <w:bottom w:w="0" w:type="dxa"/>
              <w:right w:w="108" w:type="dxa"/>
            </w:tcMar>
            <w:hideMark/>
          </w:tcPr>
          <w:p w14:paraId="595A8790" w14:textId="77777777" w:rsidR="00D55F31" w:rsidRPr="00C9657D" w:rsidRDefault="0024693B" w:rsidP="0002290A">
            <w:pPr>
              <w:autoSpaceDE w:val="0"/>
              <w:autoSpaceDN w:val="0"/>
              <w:jc w:val="center"/>
              <w:rPr>
                <w:rFonts w:asciiTheme="minorHAnsi" w:hAnsiTheme="minorHAnsi"/>
                <w:b/>
                <w:i/>
                <w:sz w:val="20"/>
                <w:szCs w:val="20"/>
                <w:lang w:eastAsia="cs-CZ"/>
              </w:rPr>
            </w:pPr>
            <w:r w:rsidRPr="00C9657D">
              <w:rPr>
                <w:rFonts w:asciiTheme="minorHAnsi" w:hAnsiTheme="minorHAnsi"/>
                <w:b/>
                <w:i/>
                <w:sz w:val="20"/>
                <w:szCs w:val="20"/>
                <w:lang w:eastAsia="cs-CZ"/>
              </w:rPr>
              <w:t>ZP2</w:t>
            </w:r>
          </w:p>
        </w:tc>
        <w:tc>
          <w:tcPr>
            <w:tcW w:w="528" w:type="pct"/>
            <w:shd w:val="clear" w:color="auto" w:fill="DEEAF6"/>
            <w:tcMar>
              <w:top w:w="0" w:type="dxa"/>
              <w:left w:w="108" w:type="dxa"/>
              <w:bottom w:w="0" w:type="dxa"/>
              <w:right w:w="108" w:type="dxa"/>
            </w:tcMar>
            <w:hideMark/>
          </w:tcPr>
          <w:p w14:paraId="010F872B" w14:textId="77777777" w:rsidR="00D55F31" w:rsidRPr="00C9657D" w:rsidRDefault="0024693B" w:rsidP="0002290A">
            <w:pPr>
              <w:autoSpaceDE w:val="0"/>
              <w:autoSpaceDN w:val="0"/>
              <w:jc w:val="center"/>
              <w:rPr>
                <w:rFonts w:asciiTheme="minorHAnsi" w:hAnsiTheme="minorHAnsi"/>
                <w:b/>
                <w:i/>
                <w:sz w:val="20"/>
                <w:szCs w:val="20"/>
                <w:lang w:eastAsia="cs-CZ"/>
              </w:rPr>
            </w:pPr>
            <w:r w:rsidRPr="00C9657D">
              <w:rPr>
                <w:rFonts w:asciiTheme="minorHAnsi" w:hAnsiTheme="minorHAnsi"/>
                <w:b/>
                <w:i/>
                <w:sz w:val="20"/>
                <w:szCs w:val="20"/>
                <w:lang w:eastAsia="cs-CZ"/>
              </w:rPr>
              <w:t>ZP3</w:t>
            </w:r>
          </w:p>
        </w:tc>
        <w:tc>
          <w:tcPr>
            <w:tcW w:w="528" w:type="pct"/>
            <w:shd w:val="clear" w:color="auto" w:fill="DEEAF6"/>
            <w:tcMar>
              <w:top w:w="0" w:type="dxa"/>
              <w:left w:w="108" w:type="dxa"/>
              <w:bottom w:w="0" w:type="dxa"/>
              <w:right w:w="108" w:type="dxa"/>
            </w:tcMar>
            <w:hideMark/>
          </w:tcPr>
          <w:p w14:paraId="4BC13DA9" w14:textId="77777777" w:rsidR="00D55F31" w:rsidRPr="00C9657D" w:rsidRDefault="0024693B" w:rsidP="0002290A">
            <w:pPr>
              <w:autoSpaceDE w:val="0"/>
              <w:autoSpaceDN w:val="0"/>
              <w:jc w:val="center"/>
              <w:rPr>
                <w:rFonts w:asciiTheme="minorHAnsi" w:hAnsiTheme="minorHAnsi"/>
                <w:b/>
                <w:i/>
                <w:sz w:val="20"/>
                <w:szCs w:val="20"/>
                <w:lang w:eastAsia="cs-CZ"/>
              </w:rPr>
            </w:pPr>
            <w:r w:rsidRPr="00C9657D">
              <w:rPr>
                <w:rFonts w:asciiTheme="minorHAnsi" w:hAnsiTheme="minorHAnsi"/>
                <w:b/>
                <w:i/>
                <w:sz w:val="20"/>
                <w:szCs w:val="20"/>
                <w:lang w:eastAsia="cs-CZ"/>
              </w:rPr>
              <w:t>ZP4</w:t>
            </w:r>
          </w:p>
        </w:tc>
        <w:tc>
          <w:tcPr>
            <w:tcW w:w="528" w:type="pct"/>
            <w:shd w:val="clear" w:color="auto" w:fill="DEEAF6"/>
            <w:tcMar>
              <w:top w:w="0" w:type="dxa"/>
              <w:left w:w="108" w:type="dxa"/>
              <w:bottom w:w="0" w:type="dxa"/>
              <w:right w:w="108" w:type="dxa"/>
            </w:tcMar>
            <w:hideMark/>
          </w:tcPr>
          <w:p w14:paraId="4F674959" w14:textId="77777777" w:rsidR="00D55F31" w:rsidRPr="00C9657D" w:rsidRDefault="0024693B" w:rsidP="0002290A">
            <w:pPr>
              <w:autoSpaceDE w:val="0"/>
              <w:autoSpaceDN w:val="0"/>
              <w:jc w:val="center"/>
              <w:rPr>
                <w:rFonts w:asciiTheme="minorHAnsi" w:hAnsiTheme="minorHAnsi"/>
                <w:b/>
                <w:i/>
                <w:sz w:val="20"/>
                <w:szCs w:val="20"/>
                <w:lang w:eastAsia="cs-CZ"/>
              </w:rPr>
            </w:pPr>
            <w:r w:rsidRPr="00C9657D">
              <w:rPr>
                <w:rFonts w:asciiTheme="minorHAnsi" w:hAnsiTheme="minorHAnsi"/>
                <w:b/>
                <w:i/>
                <w:sz w:val="20"/>
                <w:szCs w:val="20"/>
                <w:lang w:eastAsia="cs-CZ"/>
              </w:rPr>
              <w:t>ZP5</w:t>
            </w:r>
          </w:p>
        </w:tc>
        <w:tc>
          <w:tcPr>
            <w:tcW w:w="528" w:type="pct"/>
            <w:shd w:val="clear" w:color="auto" w:fill="DEEAF6"/>
            <w:tcMar>
              <w:top w:w="0" w:type="dxa"/>
              <w:left w:w="108" w:type="dxa"/>
              <w:bottom w:w="0" w:type="dxa"/>
              <w:right w:w="108" w:type="dxa"/>
            </w:tcMar>
            <w:hideMark/>
          </w:tcPr>
          <w:p w14:paraId="4875AF2D" w14:textId="77777777" w:rsidR="00D55F31" w:rsidRPr="00C9657D" w:rsidRDefault="0024693B" w:rsidP="0002290A">
            <w:pPr>
              <w:autoSpaceDE w:val="0"/>
              <w:autoSpaceDN w:val="0"/>
              <w:jc w:val="center"/>
              <w:rPr>
                <w:rFonts w:asciiTheme="minorHAnsi" w:hAnsiTheme="minorHAnsi"/>
                <w:b/>
                <w:i/>
                <w:sz w:val="20"/>
                <w:szCs w:val="20"/>
                <w:lang w:eastAsia="cs-CZ"/>
              </w:rPr>
            </w:pPr>
            <w:r w:rsidRPr="00C9657D">
              <w:rPr>
                <w:rFonts w:asciiTheme="minorHAnsi" w:hAnsiTheme="minorHAnsi"/>
                <w:b/>
                <w:i/>
                <w:sz w:val="20"/>
                <w:szCs w:val="20"/>
                <w:lang w:eastAsia="cs-CZ"/>
              </w:rPr>
              <w:t>ZP6</w:t>
            </w:r>
          </w:p>
        </w:tc>
        <w:tc>
          <w:tcPr>
            <w:tcW w:w="528" w:type="pct"/>
            <w:shd w:val="clear" w:color="auto" w:fill="DEEAF6"/>
            <w:tcMar>
              <w:top w:w="0" w:type="dxa"/>
              <w:left w:w="108" w:type="dxa"/>
              <w:bottom w:w="0" w:type="dxa"/>
              <w:right w:w="108" w:type="dxa"/>
            </w:tcMar>
            <w:hideMark/>
          </w:tcPr>
          <w:p w14:paraId="65CE3500" w14:textId="77777777" w:rsidR="00D55F31" w:rsidRPr="00C9657D" w:rsidRDefault="0024693B" w:rsidP="0002290A">
            <w:pPr>
              <w:autoSpaceDE w:val="0"/>
              <w:autoSpaceDN w:val="0"/>
              <w:jc w:val="center"/>
              <w:rPr>
                <w:rFonts w:asciiTheme="minorHAnsi" w:hAnsiTheme="minorHAnsi"/>
                <w:b/>
                <w:i/>
                <w:sz w:val="20"/>
                <w:szCs w:val="20"/>
                <w:lang w:eastAsia="cs-CZ"/>
              </w:rPr>
            </w:pPr>
            <w:r w:rsidRPr="00C9657D">
              <w:rPr>
                <w:rFonts w:asciiTheme="minorHAnsi" w:hAnsiTheme="minorHAnsi"/>
                <w:b/>
                <w:i/>
                <w:sz w:val="20"/>
                <w:szCs w:val="20"/>
                <w:lang w:eastAsia="cs-CZ"/>
              </w:rPr>
              <w:t>ZP7</w:t>
            </w:r>
          </w:p>
        </w:tc>
      </w:tr>
      <w:tr w:rsidR="00C425F2" w14:paraId="65C4A324" w14:textId="77777777" w:rsidTr="00D55F31">
        <w:tc>
          <w:tcPr>
            <w:tcW w:w="1301" w:type="pct"/>
            <w:tcMar>
              <w:top w:w="0" w:type="dxa"/>
              <w:left w:w="108" w:type="dxa"/>
              <w:bottom w:w="0" w:type="dxa"/>
              <w:right w:w="108" w:type="dxa"/>
            </w:tcMar>
            <w:hideMark/>
          </w:tcPr>
          <w:p w14:paraId="116F153E" w14:textId="77777777" w:rsidR="00D55F31" w:rsidRPr="00C9657D" w:rsidRDefault="0024693B" w:rsidP="0002290A">
            <w:pPr>
              <w:autoSpaceDE w:val="0"/>
              <w:autoSpaceDN w:val="0"/>
              <w:jc w:val="both"/>
              <w:rPr>
                <w:rFonts w:asciiTheme="minorHAnsi" w:hAnsiTheme="minorHAnsi"/>
                <w:sz w:val="20"/>
                <w:szCs w:val="20"/>
                <w:lang w:eastAsia="cs-CZ"/>
              </w:rPr>
            </w:pPr>
            <w:r w:rsidRPr="00C9657D">
              <w:rPr>
                <w:rFonts w:asciiTheme="minorHAnsi" w:hAnsiTheme="minorHAnsi"/>
                <w:sz w:val="20"/>
                <w:szCs w:val="20"/>
                <w:lang w:eastAsia="cs-CZ"/>
              </w:rPr>
              <w:t>SLL Bludov</w:t>
            </w:r>
          </w:p>
        </w:tc>
        <w:tc>
          <w:tcPr>
            <w:tcW w:w="528" w:type="pct"/>
            <w:tcMar>
              <w:top w:w="0" w:type="dxa"/>
              <w:left w:w="108" w:type="dxa"/>
              <w:bottom w:w="0" w:type="dxa"/>
              <w:right w:w="108" w:type="dxa"/>
            </w:tcMar>
            <w:hideMark/>
          </w:tcPr>
          <w:p w14:paraId="6D8E9E19" w14:textId="77777777" w:rsidR="00D55F31" w:rsidRPr="00C9657D" w:rsidRDefault="0024693B" w:rsidP="0002290A">
            <w:pPr>
              <w:autoSpaceDE w:val="0"/>
              <w:autoSpaceDN w:val="0"/>
              <w:jc w:val="right"/>
              <w:rPr>
                <w:rFonts w:asciiTheme="minorHAnsi" w:hAnsiTheme="minorHAnsi"/>
                <w:sz w:val="20"/>
                <w:szCs w:val="20"/>
                <w:lang w:eastAsia="cs-CZ"/>
              </w:rPr>
            </w:pPr>
            <w:r w:rsidRPr="00C9657D">
              <w:rPr>
                <w:rFonts w:asciiTheme="minorHAnsi" w:hAnsiTheme="minorHAnsi"/>
                <w:sz w:val="20"/>
                <w:szCs w:val="20"/>
                <w:lang w:eastAsia="cs-CZ"/>
              </w:rPr>
              <w:t>1 075</w:t>
            </w:r>
          </w:p>
        </w:tc>
        <w:tc>
          <w:tcPr>
            <w:tcW w:w="528" w:type="pct"/>
            <w:tcMar>
              <w:top w:w="0" w:type="dxa"/>
              <w:left w:w="108" w:type="dxa"/>
              <w:bottom w:w="0" w:type="dxa"/>
              <w:right w:w="108" w:type="dxa"/>
            </w:tcMar>
            <w:hideMark/>
          </w:tcPr>
          <w:p w14:paraId="1354163A" w14:textId="77777777" w:rsidR="00D55F31" w:rsidRPr="00C9657D" w:rsidRDefault="0024693B" w:rsidP="0002290A">
            <w:pPr>
              <w:autoSpaceDE w:val="0"/>
              <w:autoSpaceDN w:val="0"/>
              <w:jc w:val="right"/>
              <w:rPr>
                <w:rFonts w:asciiTheme="minorHAnsi" w:hAnsiTheme="minorHAnsi"/>
                <w:sz w:val="20"/>
                <w:szCs w:val="20"/>
                <w:lang w:eastAsia="cs-CZ"/>
              </w:rPr>
            </w:pPr>
            <w:r w:rsidRPr="00C9657D">
              <w:rPr>
                <w:rFonts w:asciiTheme="minorHAnsi" w:hAnsiTheme="minorHAnsi"/>
                <w:sz w:val="20"/>
                <w:szCs w:val="20"/>
                <w:lang w:eastAsia="cs-CZ"/>
              </w:rPr>
              <w:t>950</w:t>
            </w:r>
          </w:p>
        </w:tc>
        <w:tc>
          <w:tcPr>
            <w:tcW w:w="528" w:type="pct"/>
            <w:tcMar>
              <w:top w:w="0" w:type="dxa"/>
              <w:left w:w="108" w:type="dxa"/>
              <w:bottom w:w="0" w:type="dxa"/>
              <w:right w:w="108" w:type="dxa"/>
            </w:tcMar>
            <w:hideMark/>
          </w:tcPr>
          <w:p w14:paraId="1BE56D57" w14:textId="77777777" w:rsidR="00D55F31" w:rsidRPr="00C9657D" w:rsidRDefault="0024693B" w:rsidP="0002290A">
            <w:pPr>
              <w:autoSpaceDE w:val="0"/>
              <w:autoSpaceDN w:val="0"/>
              <w:jc w:val="right"/>
              <w:rPr>
                <w:rFonts w:asciiTheme="minorHAnsi" w:hAnsiTheme="minorHAnsi"/>
                <w:sz w:val="20"/>
                <w:szCs w:val="20"/>
                <w:lang w:eastAsia="cs-CZ"/>
              </w:rPr>
            </w:pPr>
            <w:r w:rsidRPr="00C9657D">
              <w:rPr>
                <w:rFonts w:asciiTheme="minorHAnsi" w:hAnsiTheme="minorHAnsi"/>
                <w:sz w:val="20"/>
                <w:szCs w:val="20"/>
                <w:lang w:eastAsia="cs-CZ"/>
              </w:rPr>
              <w:t>1 000</w:t>
            </w:r>
          </w:p>
        </w:tc>
        <w:tc>
          <w:tcPr>
            <w:tcW w:w="528" w:type="pct"/>
            <w:tcMar>
              <w:top w:w="0" w:type="dxa"/>
              <w:left w:w="108" w:type="dxa"/>
              <w:bottom w:w="0" w:type="dxa"/>
              <w:right w:w="108" w:type="dxa"/>
            </w:tcMar>
            <w:hideMark/>
          </w:tcPr>
          <w:p w14:paraId="4BA053E8" w14:textId="77777777" w:rsidR="00D55F31" w:rsidRPr="00C9657D" w:rsidRDefault="0024693B" w:rsidP="0002290A">
            <w:pPr>
              <w:autoSpaceDE w:val="0"/>
              <w:autoSpaceDN w:val="0"/>
              <w:jc w:val="right"/>
              <w:rPr>
                <w:rFonts w:asciiTheme="minorHAnsi" w:hAnsiTheme="minorHAnsi"/>
                <w:sz w:val="20"/>
                <w:szCs w:val="20"/>
                <w:lang w:eastAsia="cs-CZ"/>
              </w:rPr>
            </w:pPr>
            <w:r w:rsidRPr="00C9657D">
              <w:rPr>
                <w:rFonts w:asciiTheme="minorHAnsi" w:hAnsiTheme="minorHAnsi"/>
                <w:sz w:val="20"/>
                <w:szCs w:val="20"/>
                <w:lang w:eastAsia="cs-CZ"/>
              </w:rPr>
              <w:t>1 111</w:t>
            </w:r>
          </w:p>
        </w:tc>
        <w:tc>
          <w:tcPr>
            <w:tcW w:w="528" w:type="pct"/>
            <w:tcMar>
              <w:top w:w="0" w:type="dxa"/>
              <w:left w:w="108" w:type="dxa"/>
              <w:bottom w:w="0" w:type="dxa"/>
              <w:right w:w="108" w:type="dxa"/>
            </w:tcMar>
            <w:hideMark/>
          </w:tcPr>
          <w:p w14:paraId="60BFD90D" w14:textId="77777777" w:rsidR="00D55F31" w:rsidRPr="00C9657D" w:rsidRDefault="0024693B" w:rsidP="0002290A">
            <w:pPr>
              <w:autoSpaceDE w:val="0"/>
              <w:autoSpaceDN w:val="0"/>
              <w:jc w:val="right"/>
              <w:rPr>
                <w:rFonts w:asciiTheme="minorHAnsi" w:hAnsiTheme="minorHAnsi"/>
                <w:sz w:val="20"/>
                <w:szCs w:val="20"/>
                <w:lang w:eastAsia="cs-CZ"/>
              </w:rPr>
            </w:pPr>
            <w:r w:rsidRPr="00C9657D">
              <w:rPr>
                <w:rFonts w:asciiTheme="minorHAnsi" w:hAnsiTheme="minorHAnsi"/>
                <w:sz w:val="20"/>
                <w:szCs w:val="20"/>
                <w:lang w:eastAsia="cs-CZ"/>
              </w:rPr>
              <w:t>1 118</w:t>
            </w:r>
          </w:p>
        </w:tc>
        <w:tc>
          <w:tcPr>
            <w:tcW w:w="528" w:type="pct"/>
            <w:tcMar>
              <w:top w:w="0" w:type="dxa"/>
              <w:left w:w="108" w:type="dxa"/>
              <w:bottom w:w="0" w:type="dxa"/>
              <w:right w:w="108" w:type="dxa"/>
            </w:tcMar>
            <w:hideMark/>
          </w:tcPr>
          <w:p w14:paraId="3AF6A589" w14:textId="77777777" w:rsidR="00D55F31" w:rsidRPr="00C9657D" w:rsidRDefault="0024693B" w:rsidP="0002290A">
            <w:pPr>
              <w:autoSpaceDE w:val="0"/>
              <w:autoSpaceDN w:val="0"/>
              <w:jc w:val="right"/>
              <w:rPr>
                <w:rFonts w:asciiTheme="minorHAnsi" w:hAnsiTheme="minorHAnsi"/>
                <w:sz w:val="20"/>
                <w:szCs w:val="20"/>
                <w:lang w:eastAsia="cs-CZ"/>
              </w:rPr>
            </w:pPr>
            <w:r w:rsidRPr="00C9657D">
              <w:rPr>
                <w:rFonts w:asciiTheme="minorHAnsi" w:hAnsiTheme="minorHAnsi"/>
                <w:sz w:val="20"/>
                <w:szCs w:val="20"/>
                <w:lang w:eastAsia="cs-CZ"/>
              </w:rPr>
              <w:t>1 120</w:t>
            </w:r>
          </w:p>
        </w:tc>
        <w:tc>
          <w:tcPr>
            <w:tcW w:w="528" w:type="pct"/>
            <w:tcMar>
              <w:top w:w="0" w:type="dxa"/>
              <w:left w:w="108" w:type="dxa"/>
              <w:bottom w:w="0" w:type="dxa"/>
              <w:right w:w="108" w:type="dxa"/>
            </w:tcMar>
            <w:hideMark/>
          </w:tcPr>
          <w:p w14:paraId="23393C22" w14:textId="77777777" w:rsidR="00D55F31" w:rsidRPr="00C9657D" w:rsidRDefault="0024693B" w:rsidP="0002290A">
            <w:pPr>
              <w:autoSpaceDE w:val="0"/>
              <w:autoSpaceDN w:val="0"/>
              <w:jc w:val="right"/>
              <w:rPr>
                <w:rFonts w:asciiTheme="minorHAnsi" w:hAnsiTheme="minorHAnsi"/>
                <w:sz w:val="20"/>
                <w:szCs w:val="20"/>
                <w:lang w:eastAsia="cs-CZ"/>
              </w:rPr>
            </w:pPr>
            <w:r w:rsidRPr="00C9657D">
              <w:rPr>
                <w:rFonts w:asciiTheme="minorHAnsi" w:hAnsiTheme="minorHAnsi"/>
                <w:sz w:val="20"/>
                <w:szCs w:val="20"/>
                <w:lang w:eastAsia="cs-CZ"/>
              </w:rPr>
              <w:t>-</w:t>
            </w:r>
          </w:p>
        </w:tc>
      </w:tr>
      <w:tr w:rsidR="00C425F2" w14:paraId="6991F1EB" w14:textId="77777777" w:rsidTr="00D55F31">
        <w:tc>
          <w:tcPr>
            <w:tcW w:w="1301" w:type="pct"/>
            <w:tcMar>
              <w:top w:w="0" w:type="dxa"/>
              <w:left w:w="108" w:type="dxa"/>
              <w:bottom w:w="0" w:type="dxa"/>
              <w:right w:w="108" w:type="dxa"/>
            </w:tcMar>
            <w:hideMark/>
          </w:tcPr>
          <w:p w14:paraId="43B37E29" w14:textId="77777777" w:rsidR="00D55F31" w:rsidRPr="00C9657D" w:rsidRDefault="0024693B" w:rsidP="0002290A">
            <w:pPr>
              <w:autoSpaceDE w:val="0"/>
              <w:autoSpaceDN w:val="0"/>
              <w:jc w:val="both"/>
              <w:rPr>
                <w:rFonts w:asciiTheme="minorHAnsi" w:hAnsiTheme="minorHAnsi"/>
                <w:sz w:val="20"/>
                <w:szCs w:val="20"/>
                <w:lang w:eastAsia="cs-CZ"/>
              </w:rPr>
            </w:pPr>
            <w:r w:rsidRPr="00C9657D">
              <w:rPr>
                <w:rFonts w:asciiTheme="minorHAnsi" w:hAnsiTheme="minorHAnsi"/>
                <w:sz w:val="20"/>
                <w:szCs w:val="20"/>
                <w:lang w:eastAsia="cs-CZ"/>
              </w:rPr>
              <w:t>SLL Janské Lázně</w:t>
            </w:r>
          </w:p>
        </w:tc>
        <w:tc>
          <w:tcPr>
            <w:tcW w:w="528" w:type="pct"/>
            <w:tcMar>
              <w:top w:w="0" w:type="dxa"/>
              <w:left w:w="108" w:type="dxa"/>
              <w:bottom w:w="0" w:type="dxa"/>
              <w:right w:w="108" w:type="dxa"/>
            </w:tcMar>
            <w:hideMark/>
          </w:tcPr>
          <w:p w14:paraId="57FBBBD1" w14:textId="77777777" w:rsidR="00D55F31" w:rsidRPr="00C9657D" w:rsidRDefault="0024693B" w:rsidP="0002290A">
            <w:pPr>
              <w:autoSpaceDE w:val="0"/>
              <w:autoSpaceDN w:val="0"/>
              <w:jc w:val="right"/>
              <w:rPr>
                <w:rFonts w:asciiTheme="minorHAnsi" w:hAnsiTheme="minorHAnsi"/>
                <w:sz w:val="20"/>
                <w:szCs w:val="20"/>
                <w:lang w:eastAsia="cs-CZ"/>
              </w:rPr>
            </w:pPr>
            <w:r w:rsidRPr="00C9657D">
              <w:rPr>
                <w:rFonts w:asciiTheme="minorHAnsi" w:hAnsiTheme="minorHAnsi"/>
                <w:sz w:val="20"/>
                <w:szCs w:val="20"/>
                <w:lang w:eastAsia="cs-CZ"/>
              </w:rPr>
              <w:t>1 148</w:t>
            </w:r>
          </w:p>
        </w:tc>
        <w:tc>
          <w:tcPr>
            <w:tcW w:w="528" w:type="pct"/>
            <w:tcMar>
              <w:top w:w="0" w:type="dxa"/>
              <w:left w:w="108" w:type="dxa"/>
              <w:bottom w:w="0" w:type="dxa"/>
              <w:right w:w="108" w:type="dxa"/>
            </w:tcMar>
            <w:hideMark/>
          </w:tcPr>
          <w:p w14:paraId="6F61215B" w14:textId="77777777" w:rsidR="00D55F31" w:rsidRPr="00C9657D" w:rsidRDefault="0024693B" w:rsidP="0002290A">
            <w:pPr>
              <w:autoSpaceDE w:val="0"/>
              <w:autoSpaceDN w:val="0"/>
              <w:jc w:val="right"/>
              <w:rPr>
                <w:rFonts w:asciiTheme="minorHAnsi" w:hAnsiTheme="minorHAnsi"/>
                <w:sz w:val="20"/>
                <w:szCs w:val="20"/>
                <w:lang w:eastAsia="cs-CZ"/>
              </w:rPr>
            </w:pPr>
            <w:r w:rsidRPr="00C9657D">
              <w:rPr>
                <w:rFonts w:asciiTheme="minorHAnsi" w:hAnsiTheme="minorHAnsi"/>
                <w:sz w:val="20"/>
                <w:szCs w:val="20"/>
                <w:lang w:eastAsia="cs-CZ"/>
              </w:rPr>
              <w:t>1 179</w:t>
            </w:r>
          </w:p>
        </w:tc>
        <w:tc>
          <w:tcPr>
            <w:tcW w:w="528" w:type="pct"/>
            <w:tcMar>
              <w:top w:w="0" w:type="dxa"/>
              <w:left w:w="108" w:type="dxa"/>
              <w:bottom w:w="0" w:type="dxa"/>
              <w:right w:w="108" w:type="dxa"/>
            </w:tcMar>
            <w:hideMark/>
          </w:tcPr>
          <w:p w14:paraId="7C49977E" w14:textId="77777777" w:rsidR="00D55F31" w:rsidRPr="00C9657D" w:rsidRDefault="0024693B" w:rsidP="0002290A">
            <w:pPr>
              <w:autoSpaceDE w:val="0"/>
              <w:autoSpaceDN w:val="0"/>
              <w:jc w:val="right"/>
              <w:rPr>
                <w:rFonts w:asciiTheme="minorHAnsi" w:hAnsiTheme="minorHAnsi"/>
                <w:sz w:val="20"/>
                <w:szCs w:val="20"/>
                <w:lang w:eastAsia="cs-CZ"/>
              </w:rPr>
            </w:pPr>
            <w:r w:rsidRPr="00C9657D">
              <w:rPr>
                <w:rFonts w:asciiTheme="minorHAnsi" w:hAnsiTheme="minorHAnsi"/>
                <w:sz w:val="20"/>
                <w:szCs w:val="20"/>
                <w:lang w:eastAsia="cs-CZ"/>
              </w:rPr>
              <w:t>1 202</w:t>
            </w:r>
          </w:p>
        </w:tc>
        <w:tc>
          <w:tcPr>
            <w:tcW w:w="528" w:type="pct"/>
            <w:tcMar>
              <w:top w:w="0" w:type="dxa"/>
              <w:left w:w="108" w:type="dxa"/>
              <w:bottom w:w="0" w:type="dxa"/>
              <w:right w:w="108" w:type="dxa"/>
            </w:tcMar>
            <w:hideMark/>
          </w:tcPr>
          <w:p w14:paraId="2E45AB4B" w14:textId="77777777" w:rsidR="00D55F31" w:rsidRPr="00C9657D" w:rsidRDefault="0024693B" w:rsidP="0002290A">
            <w:pPr>
              <w:autoSpaceDE w:val="0"/>
              <w:autoSpaceDN w:val="0"/>
              <w:jc w:val="right"/>
              <w:rPr>
                <w:rFonts w:asciiTheme="minorHAnsi" w:hAnsiTheme="minorHAnsi"/>
                <w:sz w:val="20"/>
                <w:szCs w:val="20"/>
                <w:lang w:eastAsia="cs-CZ"/>
              </w:rPr>
            </w:pPr>
            <w:r w:rsidRPr="00C9657D">
              <w:rPr>
                <w:rFonts w:asciiTheme="minorHAnsi" w:hAnsiTheme="minorHAnsi"/>
                <w:sz w:val="20"/>
                <w:szCs w:val="20"/>
                <w:lang w:eastAsia="cs-CZ"/>
              </w:rPr>
              <w:t>1 171</w:t>
            </w:r>
          </w:p>
        </w:tc>
        <w:tc>
          <w:tcPr>
            <w:tcW w:w="528" w:type="pct"/>
            <w:tcMar>
              <w:top w:w="0" w:type="dxa"/>
              <w:left w:w="108" w:type="dxa"/>
              <w:bottom w:w="0" w:type="dxa"/>
              <w:right w:w="108" w:type="dxa"/>
            </w:tcMar>
            <w:hideMark/>
          </w:tcPr>
          <w:p w14:paraId="41C93317" w14:textId="77777777" w:rsidR="00D55F31" w:rsidRPr="00C9657D" w:rsidRDefault="0024693B" w:rsidP="0002290A">
            <w:pPr>
              <w:autoSpaceDE w:val="0"/>
              <w:autoSpaceDN w:val="0"/>
              <w:jc w:val="right"/>
              <w:rPr>
                <w:rFonts w:asciiTheme="minorHAnsi" w:hAnsiTheme="minorHAnsi"/>
                <w:sz w:val="20"/>
                <w:szCs w:val="20"/>
                <w:lang w:eastAsia="cs-CZ"/>
              </w:rPr>
            </w:pPr>
            <w:r w:rsidRPr="00C9657D">
              <w:rPr>
                <w:rFonts w:asciiTheme="minorHAnsi" w:hAnsiTheme="minorHAnsi"/>
                <w:sz w:val="20"/>
                <w:szCs w:val="20"/>
                <w:lang w:eastAsia="cs-CZ"/>
              </w:rPr>
              <w:t>1 196</w:t>
            </w:r>
          </w:p>
        </w:tc>
        <w:tc>
          <w:tcPr>
            <w:tcW w:w="528" w:type="pct"/>
            <w:tcMar>
              <w:top w:w="0" w:type="dxa"/>
              <w:left w:w="108" w:type="dxa"/>
              <w:bottom w:w="0" w:type="dxa"/>
              <w:right w:w="108" w:type="dxa"/>
            </w:tcMar>
            <w:hideMark/>
          </w:tcPr>
          <w:p w14:paraId="5EB9C0D6" w14:textId="77777777" w:rsidR="00D55F31" w:rsidRPr="00C9657D" w:rsidRDefault="0024693B" w:rsidP="0002290A">
            <w:pPr>
              <w:autoSpaceDE w:val="0"/>
              <w:autoSpaceDN w:val="0"/>
              <w:jc w:val="right"/>
              <w:rPr>
                <w:rFonts w:asciiTheme="minorHAnsi" w:hAnsiTheme="minorHAnsi"/>
                <w:sz w:val="20"/>
                <w:szCs w:val="20"/>
                <w:lang w:eastAsia="cs-CZ"/>
              </w:rPr>
            </w:pPr>
            <w:r w:rsidRPr="00C9657D">
              <w:rPr>
                <w:rFonts w:asciiTheme="minorHAnsi" w:hAnsiTheme="minorHAnsi"/>
                <w:sz w:val="20"/>
                <w:szCs w:val="20"/>
                <w:lang w:eastAsia="cs-CZ"/>
              </w:rPr>
              <w:t>1 185</w:t>
            </w:r>
          </w:p>
        </w:tc>
        <w:tc>
          <w:tcPr>
            <w:tcW w:w="528" w:type="pct"/>
            <w:tcMar>
              <w:top w:w="0" w:type="dxa"/>
              <w:left w:w="108" w:type="dxa"/>
              <w:bottom w:w="0" w:type="dxa"/>
              <w:right w:w="108" w:type="dxa"/>
            </w:tcMar>
            <w:hideMark/>
          </w:tcPr>
          <w:p w14:paraId="1727B686" w14:textId="77777777" w:rsidR="00D55F31" w:rsidRPr="00C9657D" w:rsidRDefault="0024693B" w:rsidP="0002290A">
            <w:pPr>
              <w:autoSpaceDE w:val="0"/>
              <w:autoSpaceDN w:val="0"/>
              <w:jc w:val="right"/>
              <w:rPr>
                <w:rFonts w:asciiTheme="minorHAnsi" w:hAnsiTheme="minorHAnsi"/>
                <w:sz w:val="20"/>
                <w:szCs w:val="20"/>
                <w:lang w:eastAsia="cs-CZ"/>
              </w:rPr>
            </w:pPr>
            <w:r w:rsidRPr="00C9657D">
              <w:rPr>
                <w:rFonts w:asciiTheme="minorHAnsi" w:hAnsiTheme="minorHAnsi"/>
                <w:sz w:val="20"/>
                <w:szCs w:val="20"/>
                <w:lang w:eastAsia="cs-CZ"/>
              </w:rPr>
              <w:t>1 248</w:t>
            </w:r>
          </w:p>
        </w:tc>
      </w:tr>
      <w:tr w:rsidR="00C425F2" w14:paraId="428ABCB8" w14:textId="77777777" w:rsidTr="00D55F31">
        <w:tc>
          <w:tcPr>
            <w:tcW w:w="1301" w:type="pct"/>
            <w:tcMar>
              <w:top w:w="0" w:type="dxa"/>
              <w:left w:w="108" w:type="dxa"/>
              <w:bottom w:w="0" w:type="dxa"/>
              <w:right w:w="108" w:type="dxa"/>
            </w:tcMar>
            <w:hideMark/>
          </w:tcPr>
          <w:p w14:paraId="1EFAA9E7" w14:textId="77777777" w:rsidR="00D55F31" w:rsidRPr="00C9657D" w:rsidRDefault="0024693B" w:rsidP="0002290A">
            <w:pPr>
              <w:autoSpaceDE w:val="0"/>
              <w:autoSpaceDN w:val="0"/>
              <w:jc w:val="both"/>
              <w:rPr>
                <w:rFonts w:asciiTheme="minorHAnsi" w:hAnsiTheme="minorHAnsi"/>
                <w:sz w:val="20"/>
                <w:szCs w:val="20"/>
                <w:lang w:eastAsia="cs-CZ"/>
              </w:rPr>
            </w:pPr>
            <w:r w:rsidRPr="00C9657D">
              <w:rPr>
                <w:rFonts w:asciiTheme="minorHAnsi" w:hAnsiTheme="minorHAnsi"/>
                <w:sz w:val="20"/>
                <w:szCs w:val="20"/>
                <w:lang w:eastAsia="cs-CZ"/>
              </w:rPr>
              <w:t xml:space="preserve">HL Karlova Studánka </w:t>
            </w:r>
          </w:p>
        </w:tc>
        <w:tc>
          <w:tcPr>
            <w:tcW w:w="528" w:type="pct"/>
            <w:tcMar>
              <w:top w:w="0" w:type="dxa"/>
              <w:left w:w="108" w:type="dxa"/>
              <w:bottom w:w="0" w:type="dxa"/>
              <w:right w:w="108" w:type="dxa"/>
            </w:tcMar>
            <w:hideMark/>
          </w:tcPr>
          <w:p w14:paraId="1154BB1E" w14:textId="77777777" w:rsidR="00D55F31" w:rsidRPr="00C9657D" w:rsidRDefault="0024693B" w:rsidP="0002290A">
            <w:pPr>
              <w:autoSpaceDE w:val="0"/>
              <w:autoSpaceDN w:val="0"/>
              <w:jc w:val="right"/>
              <w:rPr>
                <w:rFonts w:asciiTheme="minorHAnsi" w:hAnsiTheme="minorHAnsi"/>
                <w:sz w:val="20"/>
                <w:szCs w:val="20"/>
                <w:lang w:eastAsia="cs-CZ"/>
              </w:rPr>
            </w:pPr>
            <w:r w:rsidRPr="00C9657D">
              <w:rPr>
                <w:rFonts w:asciiTheme="minorHAnsi" w:hAnsiTheme="minorHAnsi"/>
                <w:sz w:val="20"/>
                <w:szCs w:val="20"/>
                <w:lang w:eastAsia="cs-CZ"/>
              </w:rPr>
              <w:t>-</w:t>
            </w:r>
          </w:p>
        </w:tc>
        <w:tc>
          <w:tcPr>
            <w:tcW w:w="528" w:type="pct"/>
            <w:tcMar>
              <w:top w:w="0" w:type="dxa"/>
              <w:left w:w="108" w:type="dxa"/>
              <w:bottom w:w="0" w:type="dxa"/>
              <w:right w:w="108" w:type="dxa"/>
            </w:tcMar>
            <w:hideMark/>
          </w:tcPr>
          <w:p w14:paraId="7A9B2A36" w14:textId="77777777" w:rsidR="00D55F31" w:rsidRPr="00C9657D" w:rsidRDefault="0024693B" w:rsidP="0002290A">
            <w:pPr>
              <w:autoSpaceDE w:val="0"/>
              <w:autoSpaceDN w:val="0"/>
              <w:jc w:val="right"/>
              <w:rPr>
                <w:rFonts w:asciiTheme="minorHAnsi" w:hAnsiTheme="minorHAnsi"/>
                <w:sz w:val="20"/>
                <w:szCs w:val="20"/>
                <w:lang w:eastAsia="cs-CZ"/>
              </w:rPr>
            </w:pPr>
            <w:r w:rsidRPr="00C9657D">
              <w:rPr>
                <w:rFonts w:asciiTheme="minorHAnsi" w:hAnsiTheme="minorHAnsi"/>
                <w:sz w:val="20"/>
                <w:szCs w:val="20"/>
                <w:lang w:eastAsia="cs-CZ"/>
              </w:rPr>
              <w:t>-</w:t>
            </w:r>
          </w:p>
        </w:tc>
        <w:tc>
          <w:tcPr>
            <w:tcW w:w="528" w:type="pct"/>
            <w:tcMar>
              <w:top w:w="0" w:type="dxa"/>
              <w:left w:w="108" w:type="dxa"/>
              <w:bottom w:w="0" w:type="dxa"/>
              <w:right w:w="108" w:type="dxa"/>
            </w:tcMar>
            <w:hideMark/>
          </w:tcPr>
          <w:p w14:paraId="2DAF624A" w14:textId="77777777" w:rsidR="00D55F31" w:rsidRPr="00C9657D" w:rsidRDefault="0024693B" w:rsidP="0002290A">
            <w:pPr>
              <w:autoSpaceDE w:val="0"/>
              <w:autoSpaceDN w:val="0"/>
              <w:jc w:val="right"/>
              <w:rPr>
                <w:rFonts w:asciiTheme="minorHAnsi" w:hAnsiTheme="minorHAnsi"/>
                <w:sz w:val="20"/>
                <w:szCs w:val="20"/>
                <w:lang w:eastAsia="cs-CZ"/>
              </w:rPr>
            </w:pPr>
            <w:r w:rsidRPr="00C9657D">
              <w:rPr>
                <w:rFonts w:asciiTheme="minorHAnsi" w:hAnsiTheme="minorHAnsi"/>
                <w:sz w:val="20"/>
                <w:szCs w:val="20"/>
                <w:lang w:eastAsia="cs-CZ"/>
              </w:rPr>
              <w:t>1 082</w:t>
            </w:r>
          </w:p>
        </w:tc>
        <w:tc>
          <w:tcPr>
            <w:tcW w:w="528" w:type="pct"/>
            <w:tcMar>
              <w:top w:w="0" w:type="dxa"/>
              <w:left w:w="108" w:type="dxa"/>
              <w:bottom w:w="0" w:type="dxa"/>
              <w:right w:w="108" w:type="dxa"/>
            </w:tcMar>
            <w:hideMark/>
          </w:tcPr>
          <w:p w14:paraId="3C5A7059" w14:textId="77777777" w:rsidR="00D55F31" w:rsidRPr="00C9657D" w:rsidRDefault="0024693B" w:rsidP="0002290A">
            <w:pPr>
              <w:autoSpaceDE w:val="0"/>
              <w:autoSpaceDN w:val="0"/>
              <w:jc w:val="right"/>
              <w:rPr>
                <w:rFonts w:asciiTheme="minorHAnsi" w:hAnsiTheme="minorHAnsi"/>
                <w:sz w:val="20"/>
                <w:szCs w:val="20"/>
                <w:lang w:eastAsia="cs-CZ"/>
              </w:rPr>
            </w:pPr>
            <w:r w:rsidRPr="00C9657D">
              <w:rPr>
                <w:rFonts w:asciiTheme="minorHAnsi" w:hAnsiTheme="minorHAnsi"/>
                <w:sz w:val="20"/>
                <w:szCs w:val="20"/>
                <w:lang w:eastAsia="cs-CZ"/>
              </w:rPr>
              <w:t>1 087</w:t>
            </w:r>
          </w:p>
        </w:tc>
        <w:tc>
          <w:tcPr>
            <w:tcW w:w="528" w:type="pct"/>
            <w:tcMar>
              <w:top w:w="0" w:type="dxa"/>
              <w:left w:w="108" w:type="dxa"/>
              <w:bottom w:w="0" w:type="dxa"/>
              <w:right w:w="108" w:type="dxa"/>
            </w:tcMar>
            <w:hideMark/>
          </w:tcPr>
          <w:p w14:paraId="7494DA66" w14:textId="77777777" w:rsidR="00D55F31" w:rsidRPr="00C9657D" w:rsidRDefault="0024693B" w:rsidP="0002290A">
            <w:pPr>
              <w:autoSpaceDE w:val="0"/>
              <w:autoSpaceDN w:val="0"/>
              <w:jc w:val="right"/>
              <w:rPr>
                <w:rFonts w:asciiTheme="minorHAnsi" w:hAnsiTheme="minorHAnsi"/>
                <w:sz w:val="20"/>
                <w:szCs w:val="20"/>
                <w:lang w:eastAsia="cs-CZ"/>
              </w:rPr>
            </w:pPr>
            <w:r w:rsidRPr="00C9657D">
              <w:rPr>
                <w:rFonts w:asciiTheme="minorHAnsi" w:hAnsiTheme="minorHAnsi"/>
                <w:sz w:val="20"/>
                <w:szCs w:val="20"/>
                <w:lang w:eastAsia="cs-CZ"/>
              </w:rPr>
              <w:t>1 128</w:t>
            </w:r>
          </w:p>
        </w:tc>
        <w:tc>
          <w:tcPr>
            <w:tcW w:w="528" w:type="pct"/>
            <w:tcMar>
              <w:top w:w="0" w:type="dxa"/>
              <w:left w:w="108" w:type="dxa"/>
              <w:bottom w:w="0" w:type="dxa"/>
              <w:right w:w="108" w:type="dxa"/>
            </w:tcMar>
            <w:hideMark/>
          </w:tcPr>
          <w:p w14:paraId="0D8B739E" w14:textId="77777777" w:rsidR="00D55F31" w:rsidRPr="00C9657D" w:rsidRDefault="0024693B" w:rsidP="0002290A">
            <w:pPr>
              <w:autoSpaceDE w:val="0"/>
              <w:autoSpaceDN w:val="0"/>
              <w:jc w:val="right"/>
              <w:rPr>
                <w:rFonts w:asciiTheme="minorHAnsi" w:hAnsiTheme="minorHAnsi"/>
                <w:sz w:val="20"/>
                <w:szCs w:val="20"/>
                <w:lang w:eastAsia="cs-CZ"/>
              </w:rPr>
            </w:pPr>
            <w:r w:rsidRPr="00C9657D">
              <w:rPr>
                <w:rFonts w:asciiTheme="minorHAnsi" w:hAnsiTheme="minorHAnsi"/>
                <w:sz w:val="20"/>
                <w:szCs w:val="20"/>
                <w:lang w:eastAsia="cs-CZ"/>
              </w:rPr>
              <w:t>1 085</w:t>
            </w:r>
          </w:p>
        </w:tc>
        <w:tc>
          <w:tcPr>
            <w:tcW w:w="528" w:type="pct"/>
            <w:tcMar>
              <w:top w:w="0" w:type="dxa"/>
              <w:left w:w="108" w:type="dxa"/>
              <w:bottom w:w="0" w:type="dxa"/>
              <w:right w:w="108" w:type="dxa"/>
            </w:tcMar>
            <w:hideMark/>
          </w:tcPr>
          <w:p w14:paraId="39DF31EA" w14:textId="77777777" w:rsidR="00D55F31" w:rsidRPr="00C9657D" w:rsidRDefault="0024693B" w:rsidP="0002290A">
            <w:pPr>
              <w:autoSpaceDE w:val="0"/>
              <w:autoSpaceDN w:val="0"/>
              <w:jc w:val="right"/>
              <w:rPr>
                <w:rFonts w:asciiTheme="minorHAnsi" w:hAnsiTheme="minorHAnsi"/>
                <w:sz w:val="20"/>
                <w:szCs w:val="20"/>
                <w:lang w:eastAsia="cs-CZ"/>
              </w:rPr>
            </w:pPr>
            <w:r w:rsidRPr="00C9657D">
              <w:rPr>
                <w:rFonts w:asciiTheme="minorHAnsi" w:hAnsiTheme="minorHAnsi"/>
                <w:sz w:val="20"/>
                <w:szCs w:val="20"/>
                <w:lang w:eastAsia="cs-CZ"/>
              </w:rPr>
              <w:t>1 080</w:t>
            </w:r>
          </w:p>
        </w:tc>
      </w:tr>
    </w:tbl>
    <w:p w14:paraId="5F76A919" w14:textId="1C49CA2A" w:rsidR="00D55F31" w:rsidRPr="00BD1905" w:rsidRDefault="0024693B" w:rsidP="0002290A">
      <w:pPr>
        <w:autoSpaceDE w:val="0"/>
        <w:autoSpaceDN w:val="0"/>
        <w:jc w:val="both"/>
        <w:rPr>
          <w:rFonts w:ascii="Calibri" w:hAnsi="Calibri" w:cs="Calibri"/>
          <w:sz w:val="20"/>
          <w:szCs w:val="20"/>
        </w:rPr>
      </w:pPr>
      <w:r w:rsidRPr="00BD1905">
        <w:rPr>
          <w:rFonts w:ascii="Calibri" w:hAnsi="Calibri" w:cs="Calibri"/>
          <w:b/>
          <w:sz w:val="20"/>
          <w:szCs w:val="20"/>
        </w:rPr>
        <w:t>Zdroj:</w:t>
      </w:r>
      <w:r w:rsidRPr="00BD1905">
        <w:rPr>
          <w:rFonts w:ascii="Calibri" w:hAnsi="Calibri" w:cs="Calibri"/>
          <w:sz w:val="20"/>
          <w:szCs w:val="20"/>
        </w:rPr>
        <w:t xml:space="preserve"> </w:t>
      </w:r>
      <w:r w:rsidR="005D3209">
        <w:rPr>
          <w:rFonts w:ascii="Calibri" w:hAnsi="Calibri" w:cs="Calibri"/>
          <w:sz w:val="20"/>
          <w:szCs w:val="20"/>
        </w:rPr>
        <w:t>c</w:t>
      </w:r>
      <w:r w:rsidRPr="00BD1905">
        <w:rPr>
          <w:rFonts w:ascii="Calibri" w:hAnsi="Calibri" w:cs="Calibri"/>
          <w:sz w:val="20"/>
          <w:szCs w:val="20"/>
        </w:rPr>
        <w:t xml:space="preserve">enová ujednání se ZP za rok 2015. </w:t>
      </w:r>
    </w:p>
    <w:p w14:paraId="6641FE25" w14:textId="77777777" w:rsidR="00D55F31" w:rsidRPr="00BD1905" w:rsidRDefault="0024693B" w:rsidP="0002290A">
      <w:pPr>
        <w:autoSpaceDE w:val="0"/>
        <w:autoSpaceDN w:val="0"/>
        <w:jc w:val="both"/>
        <w:rPr>
          <w:rFonts w:ascii="Calibri" w:hAnsi="Calibri" w:cs="Calibri"/>
          <w:sz w:val="20"/>
          <w:szCs w:val="20"/>
        </w:rPr>
      </w:pPr>
      <w:r w:rsidRPr="00BD1905">
        <w:rPr>
          <w:rFonts w:ascii="Calibri" w:hAnsi="Calibri" w:cs="Calibri"/>
          <w:b/>
          <w:sz w:val="20"/>
          <w:szCs w:val="20"/>
        </w:rPr>
        <w:t>Pozn.:</w:t>
      </w:r>
      <w:r w:rsidRPr="00BD1905">
        <w:rPr>
          <w:rFonts w:ascii="Calibri" w:hAnsi="Calibri" w:cs="Calibri"/>
          <w:sz w:val="20"/>
          <w:szCs w:val="20"/>
        </w:rPr>
        <w:t xml:space="preserve"> ZP1 až ZP7 – zdravotní pojišťovny; cena za ošetřovací den (léčení, ubytování kategorie A, strava). </w:t>
      </w:r>
    </w:p>
    <w:p w14:paraId="0CBFB806" w14:textId="77777777" w:rsidR="00D55F31" w:rsidRDefault="00E96825" w:rsidP="00BD1905">
      <w:pPr>
        <w:autoSpaceDE w:val="0"/>
        <w:autoSpaceDN w:val="0"/>
        <w:adjustRightInd w:val="0"/>
        <w:spacing w:before="240"/>
        <w:jc w:val="both"/>
        <w:rPr>
          <w:rFonts w:asciiTheme="minorHAnsi" w:hAnsiTheme="minorHAnsi"/>
        </w:rPr>
      </w:pPr>
      <w:r>
        <w:rPr>
          <w:rFonts w:asciiTheme="minorHAnsi" w:hAnsiTheme="minorHAnsi"/>
        </w:rPr>
        <w:t xml:space="preserve">Z tabulky č. 8 </w:t>
      </w:r>
      <w:r w:rsidR="006D7080">
        <w:rPr>
          <w:rFonts w:asciiTheme="minorHAnsi" w:hAnsiTheme="minorHAnsi"/>
        </w:rPr>
        <w:t xml:space="preserve">dále </w:t>
      </w:r>
      <w:r>
        <w:rPr>
          <w:rFonts w:asciiTheme="minorHAnsi" w:hAnsiTheme="minorHAnsi"/>
        </w:rPr>
        <w:t>vyplývá, že se lišila výše úhrad prováděná:</w:t>
      </w:r>
    </w:p>
    <w:p w14:paraId="320364D8" w14:textId="77777777" w:rsidR="00E96825" w:rsidRPr="00632820" w:rsidRDefault="00E96825" w:rsidP="00E7138D">
      <w:pPr>
        <w:pStyle w:val="Odstavecseseznamem"/>
        <w:numPr>
          <w:ilvl w:val="0"/>
          <w:numId w:val="18"/>
        </w:numPr>
        <w:autoSpaceDE w:val="0"/>
        <w:autoSpaceDN w:val="0"/>
        <w:adjustRightInd w:val="0"/>
        <w:ind w:left="284" w:hanging="284"/>
        <w:jc w:val="both"/>
        <w:rPr>
          <w:rFonts w:asciiTheme="minorHAnsi" w:hAnsiTheme="minorHAnsi"/>
        </w:rPr>
      </w:pPr>
      <w:r w:rsidRPr="00632820">
        <w:rPr>
          <w:rFonts w:asciiTheme="minorHAnsi" w:hAnsiTheme="minorHAnsi"/>
        </w:rPr>
        <w:t xml:space="preserve">různým poskytovatelům lázeňské péče </w:t>
      </w:r>
      <w:r w:rsidR="006D7080" w:rsidRPr="00632820">
        <w:rPr>
          <w:rFonts w:asciiTheme="minorHAnsi" w:hAnsiTheme="minorHAnsi"/>
        </w:rPr>
        <w:t xml:space="preserve">stejnou </w:t>
      </w:r>
      <w:r w:rsidRPr="00632820">
        <w:rPr>
          <w:rFonts w:asciiTheme="minorHAnsi" w:hAnsiTheme="minorHAnsi"/>
        </w:rPr>
        <w:t>ZP</w:t>
      </w:r>
      <w:r w:rsidR="006D7080" w:rsidRPr="00632820">
        <w:rPr>
          <w:rFonts w:asciiTheme="minorHAnsi" w:hAnsiTheme="minorHAnsi"/>
        </w:rPr>
        <w:t xml:space="preserve"> (</w:t>
      </w:r>
      <w:r w:rsidRPr="00632820">
        <w:rPr>
          <w:rFonts w:asciiTheme="minorHAnsi" w:hAnsiTheme="minorHAnsi"/>
        </w:rPr>
        <w:t>např. v případě ZP3 činil tento rozdíl za</w:t>
      </w:r>
      <w:r w:rsidR="006D0253" w:rsidRPr="00632820">
        <w:rPr>
          <w:rFonts w:asciiTheme="minorHAnsi" w:hAnsiTheme="minorHAnsi"/>
        </w:rPr>
        <w:t> </w:t>
      </w:r>
      <w:r w:rsidRPr="00632820">
        <w:rPr>
          <w:rFonts w:asciiTheme="minorHAnsi" w:hAnsiTheme="minorHAnsi"/>
        </w:rPr>
        <w:t>ošetřovací den až 202 Kč</w:t>
      </w:r>
      <w:r w:rsidR="006D7080" w:rsidRPr="00632820">
        <w:rPr>
          <w:rFonts w:asciiTheme="minorHAnsi" w:hAnsiTheme="minorHAnsi"/>
        </w:rPr>
        <w:t>)</w:t>
      </w:r>
      <w:r w:rsidRPr="00632820">
        <w:rPr>
          <w:rFonts w:asciiTheme="minorHAnsi" w:hAnsiTheme="minorHAnsi"/>
        </w:rPr>
        <w:t>;</w:t>
      </w:r>
    </w:p>
    <w:p w14:paraId="474081D1" w14:textId="77777777" w:rsidR="00E96825" w:rsidRPr="00632820" w:rsidRDefault="00E96825" w:rsidP="00E7138D">
      <w:pPr>
        <w:pStyle w:val="Odstavecseseznamem"/>
        <w:numPr>
          <w:ilvl w:val="0"/>
          <w:numId w:val="18"/>
        </w:numPr>
        <w:autoSpaceDE w:val="0"/>
        <w:autoSpaceDN w:val="0"/>
        <w:adjustRightInd w:val="0"/>
        <w:ind w:left="284" w:hanging="284"/>
        <w:jc w:val="both"/>
        <w:rPr>
          <w:rFonts w:asciiTheme="minorHAnsi" w:hAnsiTheme="minorHAnsi"/>
        </w:rPr>
      </w:pPr>
      <w:r w:rsidRPr="00632820">
        <w:rPr>
          <w:rFonts w:asciiTheme="minorHAnsi" w:hAnsiTheme="minorHAnsi"/>
        </w:rPr>
        <w:t>různým</w:t>
      </w:r>
      <w:r w:rsidR="005B2A6A" w:rsidRPr="00632820">
        <w:rPr>
          <w:rFonts w:asciiTheme="minorHAnsi" w:hAnsiTheme="minorHAnsi"/>
        </w:rPr>
        <w:t>i</w:t>
      </w:r>
      <w:r w:rsidRPr="00632820">
        <w:rPr>
          <w:rFonts w:asciiTheme="minorHAnsi" w:hAnsiTheme="minorHAnsi"/>
        </w:rPr>
        <w:t xml:space="preserve"> ZP stejnému poskytovateli lázeňské péče</w:t>
      </w:r>
      <w:r w:rsidR="006D7080" w:rsidRPr="00632820">
        <w:rPr>
          <w:rFonts w:asciiTheme="minorHAnsi" w:hAnsiTheme="minorHAnsi"/>
        </w:rPr>
        <w:t xml:space="preserve"> (</w:t>
      </w:r>
      <w:r w:rsidRPr="00632820">
        <w:rPr>
          <w:rFonts w:asciiTheme="minorHAnsi" w:hAnsiTheme="minorHAnsi"/>
        </w:rPr>
        <w:t>např. v případě SLL Bludov činil tento rozdíl za ošetřovací den až 170 Kč</w:t>
      </w:r>
      <w:r w:rsidR="006D7080" w:rsidRPr="00632820">
        <w:rPr>
          <w:rFonts w:asciiTheme="minorHAnsi" w:hAnsiTheme="minorHAnsi"/>
        </w:rPr>
        <w:t>)</w:t>
      </w:r>
      <w:r w:rsidRPr="00632820">
        <w:rPr>
          <w:rFonts w:asciiTheme="minorHAnsi" w:hAnsiTheme="minorHAnsi"/>
        </w:rPr>
        <w:t>.</w:t>
      </w:r>
    </w:p>
    <w:p w14:paraId="10C1167B" w14:textId="77777777" w:rsidR="006D7080" w:rsidRDefault="006D7080" w:rsidP="0002290A">
      <w:pPr>
        <w:autoSpaceDE w:val="0"/>
        <w:autoSpaceDN w:val="0"/>
        <w:adjustRightInd w:val="0"/>
        <w:spacing w:before="120"/>
        <w:jc w:val="both"/>
        <w:rPr>
          <w:rFonts w:asciiTheme="minorHAnsi" w:hAnsiTheme="minorHAnsi"/>
        </w:rPr>
      </w:pPr>
      <w:r>
        <w:rPr>
          <w:rFonts w:asciiTheme="minorHAnsi" w:hAnsiTheme="minorHAnsi"/>
        </w:rPr>
        <w:t>U SLL Bludov a SLL Janské Lázně byly zjištěny rozdíly v úhradách za jeden ošetřovací den také u indikací pro děti (viz příloha č. 3 k tomuto kontrolnímu závěru).</w:t>
      </w:r>
    </w:p>
    <w:p w14:paraId="5A882135" w14:textId="77777777" w:rsidR="006D7080" w:rsidRDefault="006D7080" w:rsidP="0002290A">
      <w:pPr>
        <w:autoSpaceDE w:val="0"/>
        <w:autoSpaceDN w:val="0"/>
        <w:adjustRightInd w:val="0"/>
        <w:spacing w:before="120"/>
        <w:jc w:val="both"/>
        <w:rPr>
          <w:rFonts w:asciiTheme="minorHAnsi" w:hAnsiTheme="minorHAnsi"/>
        </w:rPr>
      </w:pPr>
      <w:r w:rsidRPr="00F86229">
        <w:rPr>
          <w:rFonts w:asciiTheme="minorHAnsi" w:hAnsiTheme="minorHAnsi"/>
        </w:rPr>
        <w:t>Výše úhrad za jeden ošetřovací den jsou výsledkem individuálních ujednání</w:t>
      </w:r>
      <w:r>
        <w:rPr>
          <w:rFonts w:asciiTheme="minorHAnsi" w:hAnsiTheme="minorHAnsi"/>
        </w:rPr>
        <w:t xml:space="preserve"> poskytovatelů lázeňské péče se ZP, a to i přesto, že tyto úhrady jsou prováděny převážně z prostředků </w:t>
      </w:r>
      <w:r>
        <w:rPr>
          <w:rFonts w:asciiTheme="minorHAnsi" w:hAnsiTheme="minorHAnsi"/>
        </w:rPr>
        <w:lastRenderedPageBreak/>
        <w:t>pojištěnců vybíraných na základě zákona</w:t>
      </w:r>
      <w:r w:rsidR="007923C6">
        <w:rPr>
          <w:rStyle w:val="Znakapoznpodarou"/>
          <w:rFonts w:asciiTheme="minorHAnsi" w:hAnsiTheme="minorHAnsi"/>
        </w:rPr>
        <w:footnoteReference w:id="43"/>
      </w:r>
      <w:r>
        <w:rPr>
          <w:rFonts w:asciiTheme="minorHAnsi" w:hAnsiTheme="minorHAnsi"/>
        </w:rPr>
        <w:t xml:space="preserve">. </w:t>
      </w:r>
      <w:r w:rsidR="00F86229">
        <w:rPr>
          <w:rFonts w:asciiTheme="minorHAnsi" w:hAnsiTheme="minorHAnsi"/>
        </w:rPr>
        <w:t>Úhradové v</w:t>
      </w:r>
      <w:r>
        <w:rPr>
          <w:rFonts w:asciiTheme="minorHAnsi" w:hAnsiTheme="minorHAnsi"/>
        </w:rPr>
        <w:t>yhlášk</w:t>
      </w:r>
      <w:r w:rsidR="00F86229">
        <w:rPr>
          <w:rFonts w:asciiTheme="minorHAnsi" w:hAnsiTheme="minorHAnsi"/>
        </w:rPr>
        <w:t>y</w:t>
      </w:r>
      <w:r w:rsidR="007923C6">
        <w:rPr>
          <w:rStyle w:val="Znakapoznpodarou"/>
          <w:rFonts w:asciiTheme="minorHAnsi" w:hAnsiTheme="minorHAnsi"/>
        </w:rPr>
        <w:footnoteReference w:id="44"/>
      </w:r>
      <w:r>
        <w:rPr>
          <w:rFonts w:asciiTheme="minorHAnsi" w:hAnsiTheme="minorHAnsi"/>
        </w:rPr>
        <w:t xml:space="preserve"> stanovuj</w:t>
      </w:r>
      <w:r w:rsidR="00F86229">
        <w:rPr>
          <w:rFonts w:asciiTheme="minorHAnsi" w:hAnsiTheme="minorHAnsi"/>
        </w:rPr>
        <w:t>í</w:t>
      </w:r>
      <w:r>
        <w:rPr>
          <w:rFonts w:asciiTheme="minorHAnsi" w:hAnsiTheme="minorHAnsi"/>
        </w:rPr>
        <w:t xml:space="preserve"> pouze minimální výši úhrady za ošetřovací den; maximální výši úhrady ani kritéria pro navyšování úhrady právní úprava nestanoví.</w:t>
      </w:r>
    </w:p>
    <w:p w14:paraId="336ED4C2" w14:textId="77777777" w:rsidR="006D7080" w:rsidRDefault="006D7080" w:rsidP="0002290A">
      <w:pPr>
        <w:shd w:val="clear" w:color="auto" w:fill="DBE5F1" w:themeFill="accent1" w:themeFillTint="33"/>
        <w:autoSpaceDE w:val="0"/>
        <w:autoSpaceDN w:val="0"/>
        <w:adjustRightInd w:val="0"/>
        <w:spacing w:before="120"/>
        <w:jc w:val="both"/>
        <w:rPr>
          <w:rFonts w:asciiTheme="minorHAnsi" w:hAnsiTheme="minorHAnsi"/>
        </w:rPr>
      </w:pPr>
      <w:r>
        <w:rPr>
          <w:rFonts w:asciiTheme="minorHAnsi" w:hAnsiTheme="minorHAnsi"/>
        </w:rPr>
        <w:t xml:space="preserve">NKÚ je toho názoru, že na základě odpovídajícího zdůvodnění (splnění stanovených kritérií) lze akceptovat sjednanou výši úhrad, které konkrétní ZP </w:t>
      </w:r>
      <w:r w:rsidR="007923C6">
        <w:rPr>
          <w:rFonts w:asciiTheme="minorHAnsi" w:hAnsiTheme="minorHAnsi"/>
        </w:rPr>
        <w:t>hradí</w:t>
      </w:r>
      <w:r>
        <w:rPr>
          <w:rFonts w:asciiTheme="minorHAnsi" w:hAnsiTheme="minorHAnsi"/>
        </w:rPr>
        <w:t xml:space="preserve"> různým poskytovatelům lázeňské péče, neboť mezi těmito poskytovateli mohou existovat rozdíly (</w:t>
      </w:r>
      <w:r w:rsidR="007923C6">
        <w:rPr>
          <w:rFonts w:asciiTheme="minorHAnsi" w:hAnsiTheme="minorHAnsi"/>
        </w:rPr>
        <w:t>např. cena za PLZ).</w:t>
      </w:r>
    </w:p>
    <w:p w14:paraId="3DE4DC89" w14:textId="77777777" w:rsidR="007923C6" w:rsidRDefault="007923C6" w:rsidP="0002290A">
      <w:pPr>
        <w:shd w:val="clear" w:color="auto" w:fill="DBE5F1" w:themeFill="accent1" w:themeFillTint="33"/>
        <w:autoSpaceDE w:val="0"/>
        <w:autoSpaceDN w:val="0"/>
        <w:adjustRightInd w:val="0"/>
        <w:spacing w:before="120"/>
        <w:jc w:val="both"/>
        <w:rPr>
          <w:rFonts w:asciiTheme="minorHAnsi" w:hAnsiTheme="minorHAnsi"/>
        </w:rPr>
      </w:pPr>
      <w:r>
        <w:rPr>
          <w:rFonts w:asciiTheme="minorHAnsi" w:hAnsiTheme="minorHAnsi"/>
        </w:rPr>
        <w:t>NKÚ nevidí důvody, proč by se měly výrazně lišit úhrady od jednotlivých ZP prováděné stejnému poskytovateli lázeňské péče za shodnou indikaci při identické ceně vstupu (např. cena PLZ, cena jednotného stravování pojištěnců).</w:t>
      </w:r>
    </w:p>
    <w:p w14:paraId="0FED473E" w14:textId="77777777" w:rsidR="007923C6" w:rsidRPr="00F86229" w:rsidRDefault="007923C6" w:rsidP="0002290A">
      <w:pPr>
        <w:shd w:val="clear" w:color="auto" w:fill="DBE5F1" w:themeFill="accent1" w:themeFillTint="33"/>
        <w:autoSpaceDE w:val="0"/>
        <w:autoSpaceDN w:val="0"/>
        <w:adjustRightInd w:val="0"/>
        <w:spacing w:before="120"/>
        <w:jc w:val="both"/>
        <w:rPr>
          <w:rFonts w:asciiTheme="minorHAnsi" w:hAnsiTheme="minorHAnsi"/>
        </w:rPr>
      </w:pPr>
      <w:r>
        <w:rPr>
          <w:rFonts w:asciiTheme="minorHAnsi" w:hAnsiTheme="minorHAnsi"/>
        </w:rPr>
        <w:t>V této souvislosti NKÚ opakovaně upozorňuje</w:t>
      </w:r>
      <w:r w:rsidR="005B2A6A">
        <w:rPr>
          <w:rStyle w:val="Znakapoznpodarou"/>
          <w:rFonts w:asciiTheme="minorHAnsi" w:hAnsiTheme="minorHAnsi"/>
        </w:rPr>
        <w:footnoteReference w:id="45"/>
      </w:r>
      <w:r>
        <w:rPr>
          <w:rFonts w:asciiTheme="minorHAnsi" w:hAnsiTheme="minorHAnsi"/>
        </w:rPr>
        <w:t xml:space="preserve"> na neexistenci kritérií pro stanovování individuální výše úhrad.</w:t>
      </w:r>
    </w:p>
    <w:p w14:paraId="1CD2D657" w14:textId="77777777" w:rsidR="00D55F31" w:rsidRPr="00471ABD" w:rsidRDefault="0024693B" w:rsidP="0002290A">
      <w:pPr>
        <w:spacing w:before="240"/>
        <w:jc w:val="both"/>
        <w:rPr>
          <w:rFonts w:asciiTheme="minorHAnsi" w:hAnsiTheme="minorHAnsi" w:cstheme="minorHAnsi"/>
          <w:b/>
        </w:rPr>
      </w:pPr>
      <w:r w:rsidRPr="00471ABD">
        <w:rPr>
          <w:rFonts w:asciiTheme="minorHAnsi" w:hAnsiTheme="minorHAnsi" w:cstheme="minorHAnsi"/>
          <w:b/>
        </w:rPr>
        <w:t xml:space="preserve">3.2 </w:t>
      </w:r>
      <w:r w:rsidRPr="00471ABD">
        <w:rPr>
          <w:rFonts w:asciiTheme="minorHAnsi" w:hAnsiTheme="minorHAnsi" w:cstheme="minorHAnsi"/>
          <w:b/>
          <w:bCs/>
          <w:lang w:eastAsia="cs-CZ"/>
        </w:rPr>
        <w:t>Akreditační karty</w:t>
      </w:r>
      <w:r w:rsidRPr="00471ABD">
        <w:rPr>
          <w:rFonts w:asciiTheme="minorHAnsi" w:hAnsiTheme="minorHAnsi" w:cstheme="minorHAnsi"/>
          <w:b/>
        </w:rPr>
        <w:t xml:space="preserve"> </w:t>
      </w:r>
    </w:p>
    <w:p w14:paraId="5F757FA6" w14:textId="23D6925D" w:rsidR="00D55F31" w:rsidRPr="00C9657D" w:rsidRDefault="0024693B" w:rsidP="0002290A">
      <w:pPr>
        <w:autoSpaceDE w:val="0"/>
        <w:autoSpaceDN w:val="0"/>
        <w:adjustRightInd w:val="0"/>
        <w:spacing w:before="120"/>
        <w:jc w:val="both"/>
        <w:rPr>
          <w:rFonts w:asciiTheme="minorHAnsi" w:hAnsiTheme="minorHAnsi"/>
        </w:rPr>
      </w:pPr>
      <w:r w:rsidRPr="00C9657D">
        <w:rPr>
          <w:rFonts w:asciiTheme="minorHAnsi" w:hAnsiTheme="minorHAnsi"/>
        </w:rPr>
        <w:t xml:space="preserve">Součástí smluvní dokumentace se ZP byla </w:t>
      </w:r>
      <w:r w:rsidR="00C025C7">
        <w:rPr>
          <w:rFonts w:asciiTheme="minorHAnsi" w:hAnsiTheme="minorHAnsi"/>
          <w:i/>
        </w:rPr>
        <w:t>a</w:t>
      </w:r>
      <w:r w:rsidRPr="006B7111">
        <w:rPr>
          <w:rFonts w:asciiTheme="minorHAnsi" w:hAnsiTheme="minorHAnsi"/>
          <w:i/>
        </w:rPr>
        <w:t>kreditační karta lázeňského zařízení</w:t>
      </w:r>
      <w:r w:rsidRPr="00C9657D">
        <w:rPr>
          <w:rFonts w:asciiTheme="minorHAnsi" w:hAnsiTheme="minorHAnsi"/>
        </w:rPr>
        <w:t xml:space="preserve"> </w:t>
      </w:r>
      <w:r w:rsidR="00986D17">
        <w:rPr>
          <w:rFonts w:asciiTheme="minorHAnsi" w:hAnsiTheme="minorHAnsi"/>
        </w:rPr>
        <w:t>(</w:t>
      </w:r>
      <w:r w:rsidRPr="00C9657D">
        <w:rPr>
          <w:rFonts w:asciiTheme="minorHAnsi" w:hAnsiTheme="minorHAnsi"/>
        </w:rPr>
        <w:t>dále také „AK</w:t>
      </w:r>
      <w:r w:rsidR="00986D17" w:rsidRPr="00C9657D">
        <w:rPr>
          <w:rFonts w:asciiTheme="minorHAnsi" w:hAnsiTheme="minorHAnsi"/>
        </w:rPr>
        <w:t>“</w:t>
      </w:r>
      <w:r w:rsidR="00986D17">
        <w:rPr>
          <w:rFonts w:asciiTheme="minorHAnsi" w:hAnsiTheme="minorHAnsi"/>
        </w:rPr>
        <w:t>)</w:t>
      </w:r>
      <w:r w:rsidR="00986D17" w:rsidRPr="00C9657D">
        <w:rPr>
          <w:rFonts w:asciiTheme="minorHAnsi" w:hAnsiTheme="minorHAnsi"/>
        </w:rPr>
        <w:t xml:space="preserve">, </w:t>
      </w:r>
      <w:r w:rsidRPr="00C9657D">
        <w:rPr>
          <w:rFonts w:asciiTheme="minorHAnsi" w:hAnsiTheme="minorHAnsi"/>
        </w:rPr>
        <w:t>která obsahuje základní informace o poskytovateli lázeňské péče (dle vyhlášky</w:t>
      </w:r>
      <w:r>
        <w:rPr>
          <w:rStyle w:val="Znakapoznpodarou"/>
          <w:rFonts w:asciiTheme="minorHAnsi" w:hAnsiTheme="minorHAnsi"/>
        </w:rPr>
        <w:footnoteReference w:id="46"/>
      </w:r>
      <w:r w:rsidRPr="00C9657D">
        <w:rPr>
          <w:rFonts w:asciiTheme="minorHAnsi" w:hAnsiTheme="minorHAnsi"/>
        </w:rPr>
        <w:t xml:space="preserve"> zejména rozsah poskytované zdravotní péče včetně věcného a technického vybavení a personálního zajištění). Dle </w:t>
      </w:r>
      <w:r w:rsidRPr="006B7111">
        <w:rPr>
          <w:rFonts w:asciiTheme="minorHAnsi" w:hAnsiTheme="minorHAnsi"/>
          <w:i/>
        </w:rPr>
        <w:t>metodiky</w:t>
      </w:r>
      <w:r w:rsidRPr="00C9657D">
        <w:rPr>
          <w:rFonts w:asciiTheme="minorHAnsi" w:hAnsiTheme="minorHAnsi"/>
        </w:rPr>
        <w:t xml:space="preserve">, kterou na základě </w:t>
      </w:r>
      <w:r w:rsidR="000751B8">
        <w:rPr>
          <w:rFonts w:asciiTheme="minorHAnsi" w:hAnsiTheme="minorHAnsi"/>
        </w:rPr>
        <w:t xml:space="preserve">výše uvedené </w:t>
      </w:r>
      <w:r w:rsidRPr="00C9657D">
        <w:rPr>
          <w:rFonts w:asciiTheme="minorHAnsi" w:hAnsiTheme="minorHAnsi"/>
        </w:rPr>
        <w:t xml:space="preserve">vyhlášky vydává Všeobecná zdravotní pojišťovna ČR, musí poskytovatel lázeňské péče uvést další informace. </w:t>
      </w:r>
    </w:p>
    <w:p w14:paraId="39AEFE6A" w14:textId="77777777" w:rsidR="00D55F31" w:rsidRPr="00C9657D" w:rsidRDefault="0024693B" w:rsidP="0002290A">
      <w:pPr>
        <w:autoSpaceDE w:val="0"/>
        <w:autoSpaceDN w:val="0"/>
        <w:adjustRightInd w:val="0"/>
        <w:spacing w:before="120"/>
        <w:jc w:val="both"/>
        <w:rPr>
          <w:rFonts w:asciiTheme="minorHAnsi" w:hAnsiTheme="minorHAnsi"/>
        </w:rPr>
      </w:pPr>
      <w:r w:rsidRPr="00C9657D">
        <w:rPr>
          <w:rFonts w:asciiTheme="minorHAnsi" w:hAnsiTheme="minorHAnsi"/>
        </w:rPr>
        <w:t xml:space="preserve">Při kontrole AK bylo například zjištěno, že: </w:t>
      </w:r>
    </w:p>
    <w:p w14:paraId="0962ECB2" w14:textId="77777777" w:rsidR="00D55F31" w:rsidRPr="00C9657D" w:rsidRDefault="0024693B" w:rsidP="000D68D3">
      <w:pPr>
        <w:pStyle w:val="Odstavecseseznamem"/>
        <w:numPr>
          <w:ilvl w:val="0"/>
          <w:numId w:val="29"/>
        </w:numPr>
        <w:autoSpaceDE w:val="0"/>
        <w:autoSpaceDN w:val="0"/>
        <w:adjustRightInd w:val="0"/>
        <w:ind w:left="284" w:hanging="284"/>
        <w:jc w:val="both"/>
        <w:rPr>
          <w:rFonts w:asciiTheme="minorHAnsi" w:hAnsiTheme="minorHAnsi"/>
        </w:rPr>
      </w:pPr>
      <w:r w:rsidRPr="00C9657D">
        <w:rPr>
          <w:rFonts w:asciiTheme="minorHAnsi" w:hAnsiTheme="minorHAnsi"/>
        </w:rPr>
        <w:t xml:space="preserve">SLL Janské Lázně a HL Karlova Studánka v letech 2013 až 2015 neuvedly úplné a správné informace o umístění PLZ (pramenů);  </w:t>
      </w:r>
    </w:p>
    <w:p w14:paraId="331F2761" w14:textId="79B9AD08" w:rsidR="00D55F31" w:rsidRPr="00C9657D" w:rsidRDefault="0024693B" w:rsidP="000D68D3">
      <w:pPr>
        <w:pStyle w:val="Odstavecseseznamem"/>
        <w:numPr>
          <w:ilvl w:val="0"/>
          <w:numId w:val="29"/>
        </w:numPr>
        <w:autoSpaceDE w:val="0"/>
        <w:autoSpaceDN w:val="0"/>
        <w:adjustRightInd w:val="0"/>
        <w:ind w:left="284" w:hanging="284"/>
        <w:jc w:val="both"/>
        <w:rPr>
          <w:rFonts w:asciiTheme="minorHAnsi" w:hAnsiTheme="minorHAnsi"/>
        </w:rPr>
      </w:pPr>
      <w:r w:rsidRPr="00C9657D">
        <w:rPr>
          <w:rFonts w:asciiTheme="minorHAnsi" w:hAnsiTheme="minorHAnsi"/>
        </w:rPr>
        <w:t>HL Karlova Studánka v případě peloidu neuvedly informaci o nákupu PLZ od jiného dodavatele, tj. smlouvu a pravidelné čtvrtletní kvantifikace odebraného objemu od</w:t>
      </w:r>
      <w:r w:rsidR="00C025C7">
        <w:rPr>
          <w:rFonts w:asciiTheme="minorHAnsi" w:hAnsiTheme="minorHAnsi"/>
        </w:rPr>
        <w:t xml:space="preserve"> </w:t>
      </w:r>
      <w:r w:rsidRPr="00C9657D">
        <w:rPr>
          <w:rFonts w:asciiTheme="minorHAnsi" w:hAnsiTheme="minorHAnsi"/>
        </w:rPr>
        <w:t>společnosti, od které peloid od roku 2012 nakupovaly;</w:t>
      </w:r>
    </w:p>
    <w:p w14:paraId="4D368F5A" w14:textId="77777777" w:rsidR="00D55F31" w:rsidRPr="00C9657D" w:rsidRDefault="0024693B" w:rsidP="000D68D3">
      <w:pPr>
        <w:pStyle w:val="Odstavecseseznamem"/>
        <w:numPr>
          <w:ilvl w:val="0"/>
          <w:numId w:val="29"/>
        </w:numPr>
        <w:autoSpaceDE w:val="0"/>
        <w:autoSpaceDN w:val="0"/>
        <w:adjustRightInd w:val="0"/>
        <w:ind w:left="284" w:hanging="284"/>
        <w:jc w:val="both"/>
        <w:rPr>
          <w:rFonts w:asciiTheme="minorHAnsi" w:hAnsiTheme="minorHAnsi"/>
        </w:rPr>
      </w:pPr>
      <w:r w:rsidRPr="00C9657D">
        <w:rPr>
          <w:rFonts w:asciiTheme="minorHAnsi" w:hAnsiTheme="minorHAnsi"/>
        </w:rPr>
        <w:t>SLL Janské Lázně a HL Karlova Studánka v letech 2013 až 2015 neuvedly údaje o roku pořízení a datum zařazení do provozu u přístrojů pro fyzikální terapii nebo balneoterapii;</w:t>
      </w:r>
    </w:p>
    <w:p w14:paraId="412644BD" w14:textId="46B1CFE2" w:rsidR="00D55F31" w:rsidRPr="00C9657D" w:rsidRDefault="0024693B" w:rsidP="000D68D3">
      <w:pPr>
        <w:pStyle w:val="Odstavecseseznamem"/>
        <w:numPr>
          <w:ilvl w:val="0"/>
          <w:numId w:val="29"/>
        </w:numPr>
        <w:autoSpaceDE w:val="0"/>
        <w:autoSpaceDN w:val="0"/>
        <w:adjustRightInd w:val="0"/>
        <w:ind w:left="284" w:hanging="284"/>
        <w:jc w:val="both"/>
        <w:rPr>
          <w:rFonts w:asciiTheme="minorHAnsi" w:hAnsiTheme="minorHAnsi"/>
        </w:rPr>
      </w:pPr>
      <w:r w:rsidRPr="00C9657D">
        <w:rPr>
          <w:rFonts w:asciiTheme="minorHAnsi" w:hAnsiTheme="minorHAnsi"/>
        </w:rPr>
        <w:t>SLL Bludov a HL Karlova Studánka uvedly v AK nesprávné údaje o kategorii ubytování. Pokoje bez samostatného WC a sprchy či vany na pokoji zařadily do</w:t>
      </w:r>
      <w:r w:rsidR="00C025C7">
        <w:rPr>
          <w:rFonts w:asciiTheme="minorHAnsi" w:hAnsiTheme="minorHAnsi"/>
        </w:rPr>
        <w:t xml:space="preserve"> </w:t>
      </w:r>
      <w:r w:rsidRPr="00C9657D">
        <w:rPr>
          <w:rFonts w:asciiTheme="minorHAnsi" w:hAnsiTheme="minorHAnsi"/>
        </w:rPr>
        <w:t>kategorie A</w:t>
      </w:r>
      <w:r>
        <w:rPr>
          <w:rStyle w:val="Znakapoznpodarou"/>
          <w:rFonts w:asciiTheme="minorHAnsi" w:hAnsiTheme="minorHAnsi"/>
        </w:rPr>
        <w:footnoteReference w:id="47"/>
      </w:r>
      <w:r w:rsidRPr="00C9657D">
        <w:rPr>
          <w:rFonts w:asciiTheme="minorHAnsi" w:hAnsiTheme="minorHAnsi"/>
        </w:rPr>
        <w:t xml:space="preserve"> místo do</w:t>
      </w:r>
      <w:r w:rsidR="00C025C7">
        <w:rPr>
          <w:rFonts w:asciiTheme="minorHAnsi" w:hAnsiTheme="minorHAnsi"/>
        </w:rPr>
        <w:t xml:space="preserve"> </w:t>
      </w:r>
      <w:proofErr w:type="spellStart"/>
      <w:r w:rsidRPr="00C9657D">
        <w:rPr>
          <w:rFonts w:asciiTheme="minorHAnsi" w:hAnsiTheme="minorHAnsi"/>
        </w:rPr>
        <w:t>kategoie</w:t>
      </w:r>
      <w:proofErr w:type="spellEnd"/>
      <w:r w:rsidRPr="00C9657D">
        <w:rPr>
          <w:rFonts w:asciiTheme="minorHAnsi" w:hAnsiTheme="minorHAnsi"/>
        </w:rPr>
        <w:t xml:space="preserve"> B</w:t>
      </w:r>
      <w:r>
        <w:rPr>
          <w:rStyle w:val="Znakapoznpodarou"/>
          <w:rFonts w:asciiTheme="minorHAnsi" w:hAnsiTheme="minorHAnsi"/>
        </w:rPr>
        <w:footnoteReference w:id="48"/>
      </w:r>
      <w:r w:rsidRPr="00C9657D">
        <w:rPr>
          <w:rFonts w:asciiTheme="minorHAnsi" w:hAnsiTheme="minorHAnsi"/>
        </w:rPr>
        <w:t xml:space="preserve">. </w:t>
      </w:r>
      <w:r w:rsidR="000751B8">
        <w:rPr>
          <w:rFonts w:asciiTheme="minorHAnsi" w:hAnsiTheme="minorHAnsi"/>
        </w:rPr>
        <w:t xml:space="preserve">Státní podniky v kontrolovaném období fakturovaly zdravotním pojišťovnám </w:t>
      </w:r>
      <w:r w:rsidRPr="00C9657D">
        <w:rPr>
          <w:rFonts w:asciiTheme="minorHAnsi" w:hAnsiTheme="minorHAnsi"/>
        </w:rPr>
        <w:lastRenderedPageBreak/>
        <w:t>ubytování kategorie A (pro kterou byla se ZP sjednána vyšší úhrada), přestože poskytovaly ubytování kategorie B.</w:t>
      </w:r>
    </w:p>
    <w:p w14:paraId="7427E6B7" w14:textId="77777777" w:rsidR="00D55F31" w:rsidRPr="00C9657D" w:rsidRDefault="0024693B" w:rsidP="00613588">
      <w:pPr>
        <w:autoSpaceDE w:val="0"/>
        <w:autoSpaceDN w:val="0"/>
        <w:spacing w:before="120"/>
        <w:jc w:val="both"/>
        <w:rPr>
          <w:rFonts w:asciiTheme="minorHAnsi" w:hAnsiTheme="minorHAnsi"/>
        </w:rPr>
      </w:pPr>
      <w:r w:rsidRPr="00C9657D">
        <w:rPr>
          <w:rFonts w:asciiTheme="minorHAnsi" w:hAnsiTheme="minorHAnsi"/>
        </w:rPr>
        <w:t xml:space="preserve">SLL Bludov a SLL Janské Lázně sjednaly se ZP veškerou svou ubytovací kapacitu pro lázeňskou péči. HL Karlova Studánka pro lázeňskou péči hrazenou ZP vyčlenily cca 32 % lůžek ze své ubytovací kapacity a </w:t>
      </w:r>
      <w:r>
        <w:rPr>
          <w:rFonts w:asciiTheme="minorHAnsi" w:hAnsiTheme="minorHAnsi"/>
        </w:rPr>
        <w:t xml:space="preserve">z toho </w:t>
      </w:r>
      <w:r w:rsidRPr="00C9657D">
        <w:rPr>
          <w:rFonts w:asciiTheme="minorHAnsi" w:hAnsiTheme="minorHAnsi"/>
        </w:rPr>
        <w:t xml:space="preserve">bez doplatku pouze 13 % lůžek (viz tabulka č. 9). </w:t>
      </w:r>
      <w:r w:rsidRPr="00DC3945">
        <w:rPr>
          <w:rFonts w:asciiTheme="minorHAnsi" w:hAnsiTheme="minorHAnsi"/>
          <w:shd w:val="clear" w:color="auto" w:fill="DBE5F1" w:themeFill="accent1" w:themeFillTint="33"/>
        </w:rPr>
        <w:t xml:space="preserve">Takto omezený počet pokojů bez doplatků, </w:t>
      </w:r>
      <w:r w:rsidRPr="00DC3945">
        <w:rPr>
          <w:rFonts w:ascii="Calibri" w:hAnsi="Calibri"/>
          <w:shd w:val="clear" w:color="auto" w:fill="DBE5F1" w:themeFill="accent1" w:themeFillTint="33"/>
        </w:rPr>
        <w:t>dle názoru NKÚ,</w:t>
      </w:r>
      <w:r w:rsidRPr="00DC3945">
        <w:rPr>
          <w:rFonts w:asciiTheme="minorHAnsi" w:hAnsiTheme="minorHAnsi"/>
          <w:shd w:val="clear" w:color="auto" w:fill="DBE5F1" w:themeFill="accent1" w:themeFillTint="33"/>
        </w:rPr>
        <w:t xml:space="preserve"> nekoresponduje </w:t>
      </w:r>
      <w:r w:rsidRPr="00DC3945">
        <w:rPr>
          <w:rFonts w:ascii="Calibri" w:hAnsi="Calibri"/>
          <w:shd w:val="clear" w:color="auto" w:fill="DBE5F1" w:themeFill="accent1" w:themeFillTint="33"/>
        </w:rPr>
        <w:t xml:space="preserve">se zařazením komplexní lázeňské péče do péče plně hrazené ze zdravotního pojištění ve smyslu </w:t>
      </w:r>
      <w:r w:rsidRPr="00DC3945">
        <w:rPr>
          <w:rFonts w:asciiTheme="minorHAnsi" w:hAnsiTheme="minorHAnsi"/>
          <w:shd w:val="clear" w:color="auto" w:fill="DBE5F1" w:themeFill="accent1" w:themeFillTint="33"/>
        </w:rPr>
        <w:t>zákona o veřejném zdravotním pojištění</w:t>
      </w:r>
      <w:r w:rsidRPr="00DC3945">
        <w:rPr>
          <w:rStyle w:val="Znakapoznpodarou"/>
          <w:rFonts w:asciiTheme="minorHAnsi" w:hAnsiTheme="minorHAnsi"/>
          <w:shd w:val="clear" w:color="auto" w:fill="DBE5F1" w:themeFill="accent1" w:themeFillTint="33"/>
        </w:rPr>
        <w:footnoteReference w:id="49"/>
      </w:r>
      <w:r w:rsidRPr="00DC3945">
        <w:rPr>
          <w:rFonts w:ascii="Calibri" w:hAnsi="Calibri"/>
          <w:shd w:val="clear" w:color="auto" w:fill="DBE5F1" w:themeFill="accent1" w:themeFillTint="33"/>
        </w:rPr>
        <w:t xml:space="preserve"> a může mít i dopad na zvyšující se počet odmítnutých návrhů na lázeňskou péči.</w:t>
      </w:r>
      <w:r w:rsidRPr="00C9657D">
        <w:rPr>
          <w:rFonts w:ascii="Calibri" w:hAnsi="Calibri"/>
        </w:rPr>
        <w:t xml:space="preserve"> </w:t>
      </w:r>
    </w:p>
    <w:p w14:paraId="39CAF570" w14:textId="75BD135E" w:rsidR="00D55F31" w:rsidRPr="00C9657D" w:rsidRDefault="0024693B" w:rsidP="00613588">
      <w:pPr>
        <w:autoSpaceDE w:val="0"/>
        <w:autoSpaceDN w:val="0"/>
        <w:adjustRightInd w:val="0"/>
        <w:spacing w:before="240" w:after="40"/>
        <w:jc w:val="both"/>
        <w:rPr>
          <w:rFonts w:asciiTheme="minorHAnsi" w:hAnsiTheme="minorHAnsi"/>
          <w:b/>
        </w:rPr>
      </w:pPr>
      <w:r w:rsidRPr="00C9657D">
        <w:rPr>
          <w:rFonts w:asciiTheme="minorHAnsi" w:hAnsiTheme="minorHAnsi"/>
          <w:b/>
        </w:rPr>
        <w:t xml:space="preserve">Tabulka č. 9 </w:t>
      </w:r>
      <w:r>
        <w:rPr>
          <w:rFonts w:asciiTheme="minorHAnsi" w:hAnsiTheme="minorHAnsi"/>
          <w:b/>
        </w:rPr>
        <w:t>–</w:t>
      </w:r>
      <w:r w:rsidRPr="00C9657D">
        <w:rPr>
          <w:rFonts w:asciiTheme="minorHAnsi" w:hAnsiTheme="minorHAnsi"/>
          <w:b/>
        </w:rPr>
        <w:t xml:space="preserve"> Ubytovací kapacity dle </w:t>
      </w:r>
      <w:r w:rsidR="00276FDB">
        <w:rPr>
          <w:rFonts w:asciiTheme="minorHAnsi" w:hAnsiTheme="minorHAnsi"/>
          <w:b/>
        </w:rPr>
        <w:t>a</w:t>
      </w:r>
      <w:r w:rsidRPr="00C9657D">
        <w:rPr>
          <w:rFonts w:asciiTheme="minorHAnsi" w:hAnsiTheme="minorHAnsi"/>
          <w:b/>
        </w:rPr>
        <w:t>kreditační karty v letech 2013</w:t>
      </w:r>
      <w:r w:rsidRPr="00C9657D">
        <w:rPr>
          <w:rFonts w:asciiTheme="minorHAnsi" w:hAnsiTheme="minorHAnsi" w:cs="Calibri"/>
          <w:b/>
          <w:color w:val="000000"/>
        </w:rPr>
        <w:t>–</w:t>
      </w:r>
      <w:r w:rsidRPr="00C9657D">
        <w:rPr>
          <w:rFonts w:asciiTheme="minorHAnsi" w:hAnsiTheme="minorHAnsi"/>
          <w:b/>
        </w:rPr>
        <w:t>2015</w:t>
      </w:r>
    </w:p>
    <w:tbl>
      <w:tblPr>
        <w:tblStyle w:val="Mkatabulky"/>
        <w:tblW w:w="5000" w:type="pct"/>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3382"/>
        <w:gridCol w:w="622"/>
        <w:gridCol w:w="622"/>
        <w:gridCol w:w="628"/>
        <w:gridCol w:w="622"/>
        <w:gridCol w:w="622"/>
        <w:gridCol w:w="629"/>
        <w:gridCol w:w="622"/>
        <w:gridCol w:w="622"/>
        <w:gridCol w:w="671"/>
      </w:tblGrid>
      <w:tr w:rsidR="00C425F2" w14:paraId="7AFB18EE" w14:textId="77777777" w:rsidTr="00613588">
        <w:trPr>
          <w:trHeight w:val="172"/>
        </w:trPr>
        <w:tc>
          <w:tcPr>
            <w:tcW w:w="1870" w:type="pct"/>
            <w:vMerge w:val="restart"/>
            <w:shd w:val="clear" w:color="auto" w:fill="C6D9F1" w:themeFill="text2" w:themeFillTint="33"/>
            <w:vAlign w:val="center"/>
          </w:tcPr>
          <w:p w14:paraId="3A36A660" w14:textId="77777777" w:rsidR="00D55F31" w:rsidRPr="00C9657D" w:rsidRDefault="0024693B" w:rsidP="00613588">
            <w:pPr>
              <w:autoSpaceDE w:val="0"/>
              <w:autoSpaceDN w:val="0"/>
              <w:adjustRightInd w:val="0"/>
              <w:jc w:val="center"/>
              <w:rPr>
                <w:rFonts w:asciiTheme="minorHAnsi" w:hAnsiTheme="minorHAnsi"/>
                <w:b/>
                <w:sz w:val="20"/>
                <w:szCs w:val="20"/>
              </w:rPr>
            </w:pPr>
            <w:r w:rsidRPr="00C9657D">
              <w:rPr>
                <w:rFonts w:asciiTheme="minorHAnsi" w:hAnsiTheme="minorHAnsi"/>
                <w:b/>
                <w:sz w:val="20"/>
                <w:szCs w:val="20"/>
              </w:rPr>
              <w:t>Ubytovací kapacity</w:t>
            </w:r>
          </w:p>
        </w:tc>
        <w:tc>
          <w:tcPr>
            <w:tcW w:w="1035" w:type="pct"/>
            <w:gridSpan w:val="3"/>
            <w:shd w:val="clear" w:color="auto" w:fill="C6D9F1" w:themeFill="text2" w:themeFillTint="33"/>
          </w:tcPr>
          <w:p w14:paraId="5D997ECD" w14:textId="77777777" w:rsidR="00D55F31" w:rsidRPr="00C9657D" w:rsidRDefault="0024693B" w:rsidP="00613588">
            <w:pPr>
              <w:autoSpaceDE w:val="0"/>
              <w:autoSpaceDN w:val="0"/>
              <w:adjustRightInd w:val="0"/>
              <w:jc w:val="center"/>
              <w:rPr>
                <w:rFonts w:asciiTheme="minorHAnsi" w:hAnsiTheme="minorHAnsi"/>
                <w:b/>
                <w:sz w:val="20"/>
                <w:szCs w:val="20"/>
              </w:rPr>
            </w:pPr>
            <w:r w:rsidRPr="00C9657D">
              <w:rPr>
                <w:rFonts w:asciiTheme="minorHAnsi" w:hAnsiTheme="minorHAnsi"/>
                <w:b/>
                <w:sz w:val="20"/>
                <w:szCs w:val="20"/>
              </w:rPr>
              <w:t>SLL Bludov</w:t>
            </w:r>
          </w:p>
        </w:tc>
        <w:tc>
          <w:tcPr>
            <w:tcW w:w="1036" w:type="pct"/>
            <w:gridSpan w:val="3"/>
            <w:shd w:val="clear" w:color="auto" w:fill="C6D9F1" w:themeFill="text2" w:themeFillTint="33"/>
          </w:tcPr>
          <w:p w14:paraId="64A254B7" w14:textId="77777777" w:rsidR="00D55F31" w:rsidRPr="00C9657D" w:rsidRDefault="0024693B" w:rsidP="00613588">
            <w:pPr>
              <w:autoSpaceDE w:val="0"/>
              <w:autoSpaceDN w:val="0"/>
              <w:adjustRightInd w:val="0"/>
              <w:jc w:val="center"/>
              <w:rPr>
                <w:rFonts w:asciiTheme="minorHAnsi" w:hAnsiTheme="minorHAnsi"/>
                <w:b/>
                <w:sz w:val="20"/>
                <w:szCs w:val="20"/>
              </w:rPr>
            </w:pPr>
            <w:r w:rsidRPr="00C9657D">
              <w:rPr>
                <w:rFonts w:asciiTheme="minorHAnsi" w:hAnsiTheme="minorHAnsi"/>
                <w:b/>
                <w:sz w:val="20"/>
                <w:szCs w:val="20"/>
              </w:rPr>
              <w:t>SLL Janské Lázně</w:t>
            </w:r>
          </w:p>
        </w:tc>
        <w:tc>
          <w:tcPr>
            <w:tcW w:w="1060" w:type="pct"/>
            <w:gridSpan w:val="3"/>
            <w:shd w:val="clear" w:color="auto" w:fill="C6D9F1" w:themeFill="text2" w:themeFillTint="33"/>
          </w:tcPr>
          <w:p w14:paraId="4298CCF1" w14:textId="77777777" w:rsidR="00D55F31" w:rsidRPr="00C9657D" w:rsidRDefault="0024693B" w:rsidP="00613588">
            <w:pPr>
              <w:autoSpaceDE w:val="0"/>
              <w:autoSpaceDN w:val="0"/>
              <w:adjustRightInd w:val="0"/>
              <w:jc w:val="center"/>
              <w:rPr>
                <w:rFonts w:asciiTheme="minorHAnsi" w:hAnsiTheme="minorHAnsi"/>
                <w:b/>
                <w:sz w:val="20"/>
                <w:szCs w:val="20"/>
              </w:rPr>
            </w:pPr>
            <w:r w:rsidRPr="00C9657D">
              <w:rPr>
                <w:rFonts w:asciiTheme="minorHAnsi" w:hAnsiTheme="minorHAnsi"/>
                <w:b/>
                <w:sz w:val="20"/>
                <w:szCs w:val="20"/>
              </w:rPr>
              <w:t>HL Karlova Studánka</w:t>
            </w:r>
          </w:p>
        </w:tc>
      </w:tr>
      <w:tr w:rsidR="00C425F2" w14:paraId="6292E548" w14:textId="77777777" w:rsidTr="00613588">
        <w:tc>
          <w:tcPr>
            <w:tcW w:w="1870" w:type="pct"/>
            <w:vMerge/>
            <w:shd w:val="clear" w:color="auto" w:fill="C6D9F1" w:themeFill="text2" w:themeFillTint="33"/>
          </w:tcPr>
          <w:p w14:paraId="0DF86B6F" w14:textId="77777777" w:rsidR="00D55F31" w:rsidRPr="00C9657D" w:rsidRDefault="00D55F31" w:rsidP="00613588">
            <w:pPr>
              <w:autoSpaceDE w:val="0"/>
              <w:autoSpaceDN w:val="0"/>
              <w:adjustRightInd w:val="0"/>
              <w:jc w:val="both"/>
              <w:rPr>
                <w:rFonts w:asciiTheme="minorHAnsi" w:hAnsiTheme="minorHAnsi"/>
                <w:b/>
                <w:i/>
                <w:sz w:val="20"/>
                <w:szCs w:val="20"/>
              </w:rPr>
            </w:pPr>
          </w:p>
        </w:tc>
        <w:tc>
          <w:tcPr>
            <w:tcW w:w="344" w:type="pct"/>
            <w:shd w:val="clear" w:color="auto" w:fill="C6D9F1" w:themeFill="text2" w:themeFillTint="33"/>
          </w:tcPr>
          <w:p w14:paraId="0E3E364D" w14:textId="77777777" w:rsidR="00D55F31" w:rsidRPr="00021783" w:rsidRDefault="0024693B" w:rsidP="00613588">
            <w:pPr>
              <w:autoSpaceDE w:val="0"/>
              <w:autoSpaceDN w:val="0"/>
              <w:adjustRightInd w:val="0"/>
              <w:jc w:val="right"/>
              <w:rPr>
                <w:rFonts w:asciiTheme="minorHAnsi" w:hAnsiTheme="minorHAnsi"/>
                <w:b/>
                <w:sz w:val="20"/>
                <w:szCs w:val="20"/>
              </w:rPr>
            </w:pPr>
            <w:r w:rsidRPr="00021783">
              <w:rPr>
                <w:rFonts w:asciiTheme="minorHAnsi" w:hAnsiTheme="minorHAnsi"/>
                <w:b/>
                <w:sz w:val="20"/>
                <w:szCs w:val="20"/>
              </w:rPr>
              <w:t>2013</w:t>
            </w:r>
          </w:p>
        </w:tc>
        <w:tc>
          <w:tcPr>
            <w:tcW w:w="344" w:type="pct"/>
            <w:shd w:val="clear" w:color="auto" w:fill="C6D9F1" w:themeFill="text2" w:themeFillTint="33"/>
          </w:tcPr>
          <w:p w14:paraId="03B5EB90" w14:textId="77777777" w:rsidR="00D55F31" w:rsidRPr="00021783" w:rsidRDefault="0024693B" w:rsidP="00613588">
            <w:pPr>
              <w:autoSpaceDE w:val="0"/>
              <w:autoSpaceDN w:val="0"/>
              <w:adjustRightInd w:val="0"/>
              <w:jc w:val="right"/>
              <w:rPr>
                <w:rFonts w:asciiTheme="minorHAnsi" w:hAnsiTheme="minorHAnsi"/>
                <w:b/>
                <w:sz w:val="20"/>
                <w:szCs w:val="20"/>
              </w:rPr>
            </w:pPr>
            <w:r w:rsidRPr="00021783">
              <w:rPr>
                <w:rFonts w:asciiTheme="minorHAnsi" w:hAnsiTheme="minorHAnsi"/>
                <w:b/>
                <w:sz w:val="20"/>
                <w:szCs w:val="20"/>
              </w:rPr>
              <w:t>2014</w:t>
            </w:r>
          </w:p>
        </w:tc>
        <w:tc>
          <w:tcPr>
            <w:tcW w:w="346" w:type="pct"/>
            <w:shd w:val="clear" w:color="auto" w:fill="C6D9F1" w:themeFill="text2" w:themeFillTint="33"/>
          </w:tcPr>
          <w:p w14:paraId="751AA0A4" w14:textId="77777777" w:rsidR="00D55F31" w:rsidRPr="00021783" w:rsidRDefault="0024693B" w:rsidP="00613588">
            <w:pPr>
              <w:autoSpaceDE w:val="0"/>
              <w:autoSpaceDN w:val="0"/>
              <w:adjustRightInd w:val="0"/>
              <w:jc w:val="right"/>
              <w:rPr>
                <w:rFonts w:asciiTheme="minorHAnsi" w:hAnsiTheme="minorHAnsi"/>
                <w:b/>
                <w:sz w:val="20"/>
                <w:szCs w:val="20"/>
              </w:rPr>
            </w:pPr>
            <w:r w:rsidRPr="00021783">
              <w:rPr>
                <w:rFonts w:asciiTheme="minorHAnsi" w:hAnsiTheme="minorHAnsi"/>
                <w:b/>
                <w:sz w:val="20"/>
                <w:szCs w:val="20"/>
              </w:rPr>
              <w:t>2015</w:t>
            </w:r>
          </w:p>
        </w:tc>
        <w:tc>
          <w:tcPr>
            <w:tcW w:w="344" w:type="pct"/>
            <w:shd w:val="clear" w:color="auto" w:fill="C6D9F1" w:themeFill="text2" w:themeFillTint="33"/>
          </w:tcPr>
          <w:p w14:paraId="1991AFA9" w14:textId="77777777" w:rsidR="00D55F31" w:rsidRPr="00021783" w:rsidRDefault="0024693B" w:rsidP="00613588">
            <w:pPr>
              <w:autoSpaceDE w:val="0"/>
              <w:autoSpaceDN w:val="0"/>
              <w:adjustRightInd w:val="0"/>
              <w:jc w:val="right"/>
              <w:rPr>
                <w:rFonts w:asciiTheme="minorHAnsi" w:hAnsiTheme="minorHAnsi"/>
                <w:b/>
                <w:sz w:val="20"/>
                <w:szCs w:val="20"/>
              </w:rPr>
            </w:pPr>
            <w:r w:rsidRPr="00021783">
              <w:rPr>
                <w:rFonts w:asciiTheme="minorHAnsi" w:hAnsiTheme="minorHAnsi"/>
                <w:b/>
                <w:sz w:val="20"/>
                <w:szCs w:val="20"/>
              </w:rPr>
              <w:t>2013</w:t>
            </w:r>
          </w:p>
        </w:tc>
        <w:tc>
          <w:tcPr>
            <w:tcW w:w="344" w:type="pct"/>
            <w:shd w:val="clear" w:color="auto" w:fill="C6D9F1" w:themeFill="text2" w:themeFillTint="33"/>
          </w:tcPr>
          <w:p w14:paraId="050CB872" w14:textId="77777777" w:rsidR="00D55F31" w:rsidRPr="00021783" w:rsidRDefault="0024693B" w:rsidP="00613588">
            <w:pPr>
              <w:autoSpaceDE w:val="0"/>
              <w:autoSpaceDN w:val="0"/>
              <w:adjustRightInd w:val="0"/>
              <w:jc w:val="right"/>
              <w:rPr>
                <w:rFonts w:asciiTheme="minorHAnsi" w:hAnsiTheme="minorHAnsi"/>
                <w:b/>
                <w:sz w:val="20"/>
                <w:szCs w:val="20"/>
              </w:rPr>
            </w:pPr>
            <w:r w:rsidRPr="00021783">
              <w:rPr>
                <w:rFonts w:asciiTheme="minorHAnsi" w:hAnsiTheme="minorHAnsi"/>
                <w:b/>
                <w:sz w:val="20"/>
                <w:szCs w:val="20"/>
              </w:rPr>
              <w:t>2014</w:t>
            </w:r>
          </w:p>
        </w:tc>
        <w:tc>
          <w:tcPr>
            <w:tcW w:w="347" w:type="pct"/>
            <w:shd w:val="clear" w:color="auto" w:fill="C6D9F1" w:themeFill="text2" w:themeFillTint="33"/>
          </w:tcPr>
          <w:p w14:paraId="540C9CEB" w14:textId="77777777" w:rsidR="00D55F31" w:rsidRPr="00021783" w:rsidRDefault="0024693B" w:rsidP="00613588">
            <w:pPr>
              <w:autoSpaceDE w:val="0"/>
              <w:autoSpaceDN w:val="0"/>
              <w:adjustRightInd w:val="0"/>
              <w:jc w:val="right"/>
              <w:rPr>
                <w:rFonts w:asciiTheme="minorHAnsi" w:hAnsiTheme="minorHAnsi"/>
                <w:b/>
                <w:sz w:val="20"/>
                <w:szCs w:val="20"/>
              </w:rPr>
            </w:pPr>
            <w:r w:rsidRPr="00021783">
              <w:rPr>
                <w:rFonts w:asciiTheme="minorHAnsi" w:hAnsiTheme="minorHAnsi"/>
                <w:b/>
                <w:sz w:val="20"/>
                <w:szCs w:val="20"/>
              </w:rPr>
              <w:t>2015</w:t>
            </w:r>
          </w:p>
        </w:tc>
        <w:tc>
          <w:tcPr>
            <w:tcW w:w="344" w:type="pct"/>
            <w:shd w:val="clear" w:color="auto" w:fill="C6D9F1" w:themeFill="text2" w:themeFillTint="33"/>
          </w:tcPr>
          <w:p w14:paraId="02ECC35C" w14:textId="77777777" w:rsidR="00D55F31" w:rsidRPr="00021783" w:rsidRDefault="0024693B" w:rsidP="00613588">
            <w:pPr>
              <w:autoSpaceDE w:val="0"/>
              <w:autoSpaceDN w:val="0"/>
              <w:adjustRightInd w:val="0"/>
              <w:jc w:val="right"/>
              <w:rPr>
                <w:rFonts w:asciiTheme="minorHAnsi" w:hAnsiTheme="minorHAnsi"/>
                <w:b/>
                <w:sz w:val="20"/>
                <w:szCs w:val="20"/>
              </w:rPr>
            </w:pPr>
            <w:r w:rsidRPr="00021783">
              <w:rPr>
                <w:rFonts w:asciiTheme="minorHAnsi" w:hAnsiTheme="minorHAnsi"/>
                <w:b/>
                <w:sz w:val="20"/>
                <w:szCs w:val="20"/>
              </w:rPr>
              <w:t>2013</w:t>
            </w:r>
          </w:p>
        </w:tc>
        <w:tc>
          <w:tcPr>
            <w:tcW w:w="344" w:type="pct"/>
            <w:shd w:val="clear" w:color="auto" w:fill="C6D9F1" w:themeFill="text2" w:themeFillTint="33"/>
          </w:tcPr>
          <w:p w14:paraId="500F47AF" w14:textId="77777777" w:rsidR="00D55F31" w:rsidRPr="00021783" w:rsidRDefault="0024693B" w:rsidP="00613588">
            <w:pPr>
              <w:autoSpaceDE w:val="0"/>
              <w:autoSpaceDN w:val="0"/>
              <w:adjustRightInd w:val="0"/>
              <w:jc w:val="right"/>
              <w:rPr>
                <w:rFonts w:asciiTheme="minorHAnsi" w:hAnsiTheme="minorHAnsi"/>
                <w:b/>
                <w:sz w:val="20"/>
                <w:szCs w:val="20"/>
              </w:rPr>
            </w:pPr>
            <w:r w:rsidRPr="00021783">
              <w:rPr>
                <w:rFonts w:asciiTheme="minorHAnsi" w:hAnsiTheme="minorHAnsi"/>
                <w:b/>
                <w:sz w:val="20"/>
                <w:szCs w:val="20"/>
              </w:rPr>
              <w:t>2014</w:t>
            </w:r>
          </w:p>
        </w:tc>
        <w:tc>
          <w:tcPr>
            <w:tcW w:w="371" w:type="pct"/>
            <w:shd w:val="clear" w:color="auto" w:fill="C6D9F1" w:themeFill="text2" w:themeFillTint="33"/>
          </w:tcPr>
          <w:p w14:paraId="753DE54E" w14:textId="77777777" w:rsidR="00D55F31" w:rsidRPr="00021783" w:rsidRDefault="0024693B" w:rsidP="00613588">
            <w:pPr>
              <w:autoSpaceDE w:val="0"/>
              <w:autoSpaceDN w:val="0"/>
              <w:adjustRightInd w:val="0"/>
              <w:jc w:val="right"/>
              <w:rPr>
                <w:rFonts w:asciiTheme="minorHAnsi" w:hAnsiTheme="minorHAnsi"/>
                <w:b/>
                <w:sz w:val="20"/>
                <w:szCs w:val="20"/>
              </w:rPr>
            </w:pPr>
            <w:r w:rsidRPr="00021783">
              <w:rPr>
                <w:rFonts w:asciiTheme="minorHAnsi" w:hAnsiTheme="minorHAnsi"/>
                <w:b/>
                <w:sz w:val="20"/>
                <w:szCs w:val="20"/>
              </w:rPr>
              <w:t>2015</w:t>
            </w:r>
          </w:p>
        </w:tc>
      </w:tr>
      <w:tr w:rsidR="00C425F2" w14:paraId="1332F437" w14:textId="77777777" w:rsidTr="00613588">
        <w:tc>
          <w:tcPr>
            <w:tcW w:w="1870" w:type="pct"/>
            <w:shd w:val="clear" w:color="auto" w:fill="auto"/>
          </w:tcPr>
          <w:p w14:paraId="3872F66A" w14:textId="77777777" w:rsidR="00D55F31" w:rsidRPr="00C9657D" w:rsidRDefault="0024693B" w:rsidP="00613588">
            <w:pPr>
              <w:autoSpaceDE w:val="0"/>
              <w:autoSpaceDN w:val="0"/>
              <w:adjustRightInd w:val="0"/>
              <w:jc w:val="both"/>
              <w:rPr>
                <w:rFonts w:asciiTheme="minorHAnsi" w:hAnsiTheme="minorHAnsi"/>
                <w:sz w:val="20"/>
                <w:szCs w:val="20"/>
              </w:rPr>
            </w:pPr>
            <w:r w:rsidRPr="00C9657D">
              <w:rPr>
                <w:rFonts w:asciiTheme="minorHAnsi" w:hAnsiTheme="minorHAnsi"/>
                <w:sz w:val="20"/>
                <w:szCs w:val="20"/>
              </w:rPr>
              <w:t>Počet pokojů celkem:</w:t>
            </w:r>
          </w:p>
        </w:tc>
        <w:tc>
          <w:tcPr>
            <w:tcW w:w="344" w:type="pct"/>
          </w:tcPr>
          <w:p w14:paraId="2D6412A1" w14:textId="77777777" w:rsidR="00D55F31" w:rsidRPr="00C9657D" w:rsidRDefault="0024693B" w:rsidP="00613588">
            <w:pPr>
              <w:autoSpaceDE w:val="0"/>
              <w:autoSpaceDN w:val="0"/>
              <w:adjustRightInd w:val="0"/>
              <w:jc w:val="right"/>
              <w:rPr>
                <w:rFonts w:asciiTheme="minorHAnsi" w:hAnsiTheme="minorHAnsi"/>
                <w:sz w:val="20"/>
                <w:szCs w:val="20"/>
              </w:rPr>
            </w:pPr>
            <w:r w:rsidRPr="00C9657D">
              <w:rPr>
                <w:rFonts w:asciiTheme="minorHAnsi" w:hAnsiTheme="minorHAnsi"/>
                <w:sz w:val="20"/>
                <w:szCs w:val="20"/>
              </w:rPr>
              <w:t>61</w:t>
            </w:r>
          </w:p>
        </w:tc>
        <w:tc>
          <w:tcPr>
            <w:tcW w:w="344" w:type="pct"/>
          </w:tcPr>
          <w:p w14:paraId="732B8752" w14:textId="77777777" w:rsidR="00D55F31" w:rsidRPr="00C9657D" w:rsidRDefault="0024693B" w:rsidP="00613588">
            <w:pPr>
              <w:autoSpaceDE w:val="0"/>
              <w:autoSpaceDN w:val="0"/>
              <w:adjustRightInd w:val="0"/>
              <w:jc w:val="right"/>
              <w:rPr>
                <w:rFonts w:asciiTheme="minorHAnsi" w:hAnsiTheme="minorHAnsi"/>
                <w:sz w:val="20"/>
                <w:szCs w:val="20"/>
              </w:rPr>
            </w:pPr>
            <w:r w:rsidRPr="00C9657D">
              <w:rPr>
                <w:rFonts w:asciiTheme="minorHAnsi" w:hAnsiTheme="minorHAnsi"/>
                <w:sz w:val="20"/>
                <w:szCs w:val="20"/>
              </w:rPr>
              <w:t>61</w:t>
            </w:r>
          </w:p>
        </w:tc>
        <w:tc>
          <w:tcPr>
            <w:tcW w:w="346" w:type="pct"/>
          </w:tcPr>
          <w:p w14:paraId="67F35703" w14:textId="77777777" w:rsidR="00D55F31" w:rsidRPr="00C9657D" w:rsidRDefault="0024693B" w:rsidP="00613588">
            <w:pPr>
              <w:autoSpaceDE w:val="0"/>
              <w:autoSpaceDN w:val="0"/>
              <w:adjustRightInd w:val="0"/>
              <w:jc w:val="right"/>
              <w:rPr>
                <w:rFonts w:asciiTheme="minorHAnsi" w:hAnsiTheme="minorHAnsi"/>
                <w:sz w:val="20"/>
                <w:szCs w:val="20"/>
              </w:rPr>
            </w:pPr>
            <w:r w:rsidRPr="00C9657D">
              <w:rPr>
                <w:rFonts w:asciiTheme="minorHAnsi" w:hAnsiTheme="minorHAnsi"/>
                <w:sz w:val="20"/>
                <w:szCs w:val="20"/>
              </w:rPr>
              <w:t>61</w:t>
            </w:r>
          </w:p>
        </w:tc>
        <w:tc>
          <w:tcPr>
            <w:tcW w:w="344" w:type="pct"/>
          </w:tcPr>
          <w:p w14:paraId="7D5E029A" w14:textId="77777777" w:rsidR="00D55F31" w:rsidRPr="00C9657D" w:rsidRDefault="0024693B" w:rsidP="00613588">
            <w:pPr>
              <w:autoSpaceDE w:val="0"/>
              <w:autoSpaceDN w:val="0"/>
              <w:adjustRightInd w:val="0"/>
              <w:jc w:val="right"/>
              <w:rPr>
                <w:rFonts w:asciiTheme="minorHAnsi" w:hAnsiTheme="minorHAnsi"/>
                <w:sz w:val="20"/>
                <w:szCs w:val="20"/>
              </w:rPr>
            </w:pPr>
            <w:r w:rsidRPr="00C9657D">
              <w:rPr>
                <w:rFonts w:asciiTheme="minorHAnsi" w:hAnsiTheme="minorHAnsi"/>
                <w:sz w:val="20"/>
                <w:szCs w:val="20"/>
              </w:rPr>
              <w:t>344</w:t>
            </w:r>
          </w:p>
        </w:tc>
        <w:tc>
          <w:tcPr>
            <w:tcW w:w="344" w:type="pct"/>
          </w:tcPr>
          <w:p w14:paraId="1A96B918" w14:textId="77777777" w:rsidR="00D55F31" w:rsidRPr="00C9657D" w:rsidRDefault="0024693B" w:rsidP="00613588">
            <w:pPr>
              <w:autoSpaceDE w:val="0"/>
              <w:autoSpaceDN w:val="0"/>
              <w:adjustRightInd w:val="0"/>
              <w:jc w:val="right"/>
              <w:rPr>
                <w:rFonts w:asciiTheme="minorHAnsi" w:hAnsiTheme="minorHAnsi"/>
                <w:sz w:val="20"/>
                <w:szCs w:val="20"/>
              </w:rPr>
            </w:pPr>
            <w:r w:rsidRPr="00C9657D">
              <w:rPr>
                <w:rFonts w:asciiTheme="minorHAnsi" w:hAnsiTheme="minorHAnsi"/>
                <w:sz w:val="20"/>
                <w:szCs w:val="20"/>
              </w:rPr>
              <w:t>186</w:t>
            </w:r>
          </w:p>
        </w:tc>
        <w:tc>
          <w:tcPr>
            <w:tcW w:w="347" w:type="pct"/>
          </w:tcPr>
          <w:p w14:paraId="23479DF8" w14:textId="77777777" w:rsidR="00D55F31" w:rsidRPr="00C9657D" w:rsidRDefault="0024693B" w:rsidP="00613588">
            <w:pPr>
              <w:autoSpaceDE w:val="0"/>
              <w:autoSpaceDN w:val="0"/>
              <w:adjustRightInd w:val="0"/>
              <w:jc w:val="right"/>
              <w:rPr>
                <w:rFonts w:asciiTheme="minorHAnsi" w:hAnsiTheme="minorHAnsi"/>
                <w:sz w:val="20"/>
                <w:szCs w:val="20"/>
              </w:rPr>
            </w:pPr>
            <w:r w:rsidRPr="00C9657D">
              <w:rPr>
                <w:rFonts w:asciiTheme="minorHAnsi" w:hAnsiTheme="minorHAnsi"/>
                <w:sz w:val="20"/>
                <w:szCs w:val="20"/>
              </w:rPr>
              <w:t>202</w:t>
            </w:r>
          </w:p>
        </w:tc>
        <w:tc>
          <w:tcPr>
            <w:tcW w:w="344" w:type="pct"/>
          </w:tcPr>
          <w:p w14:paraId="0D83FB2E" w14:textId="77777777" w:rsidR="00D55F31" w:rsidRPr="00C9657D" w:rsidRDefault="0024693B" w:rsidP="00613588">
            <w:pPr>
              <w:autoSpaceDE w:val="0"/>
              <w:autoSpaceDN w:val="0"/>
              <w:adjustRightInd w:val="0"/>
              <w:jc w:val="right"/>
              <w:rPr>
                <w:rFonts w:asciiTheme="minorHAnsi" w:hAnsiTheme="minorHAnsi"/>
                <w:sz w:val="20"/>
                <w:szCs w:val="20"/>
              </w:rPr>
            </w:pPr>
            <w:r w:rsidRPr="00C9657D">
              <w:rPr>
                <w:rFonts w:asciiTheme="minorHAnsi" w:hAnsiTheme="minorHAnsi"/>
                <w:sz w:val="20"/>
                <w:szCs w:val="20"/>
              </w:rPr>
              <w:t>302</w:t>
            </w:r>
          </w:p>
        </w:tc>
        <w:tc>
          <w:tcPr>
            <w:tcW w:w="344" w:type="pct"/>
          </w:tcPr>
          <w:p w14:paraId="1B47BD26" w14:textId="77777777" w:rsidR="00D55F31" w:rsidRPr="00C9657D" w:rsidRDefault="0024693B" w:rsidP="00613588">
            <w:pPr>
              <w:autoSpaceDE w:val="0"/>
              <w:autoSpaceDN w:val="0"/>
              <w:adjustRightInd w:val="0"/>
              <w:jc w:val="right"/>
              <w:rPr>
                <w:rFonts w:asciiTheme="minorHAnsi" w:hAnsiTheme="minorHAnsi"/>
                <w:sz w:val="20"/>
                <w:szCs w:val="20"/>
              </w:rPr>
            </w:pPr>
            <w:r w:rsidRPr="00C9657D">
              <w:rPr>
                <w:rFonts w:asciiTheme="minorHAnsi" w:hAnsiTheme="minorHAnsi"/>
                <w:sz w:val="20"/>
                <w:szCs w:val="20"/>
              </w:rPr>
              <w:t>302</w:t>
            </w:r>
          </w:p>
        </w:tc>
        <w:tc>
          <w:tcPr>
            <w:tcW w:w="371" w:type="pct"/>
          </w:tcPr>
          <w:p w14:paraId="2A301F71" w14:textId="77777777" w:rsidR="00D55F31" w:rsidRPr="00C9657D" w:rsidRDefault="0024693B" w:rsidP="00613588">
            <w:pPr>
              <w:autoSpaceDE w:val="0"/>
              <w:autoSpaceDN w:val="0"/>
              <w:adjustRightInd w:val="0"/>
              <w:jc w:val="right"/>
              <w:rPr>
                <w:rFonts w:asciiTheme="minorHAnsi" w:hAnsiTheme="minorHAnsi"/>
                <w:sz w:val="20"/>
                <w:szCs w:val="20"/>
              </w:rPr>
            </w:pPr>
            <w:r w:rsidRPr="00C9657D">
              <w:rPr>
                <w:rFonts w:asciiTheme="minorHAnsi" w:hAnsiTheme="minorHAnsi"/>
                <w:sz w:val="20"/>
                <w:szCs w:val="20"/>
              </w:rPr>
              <w:t>302</w:t>
            </w:r>
          </w:p>
        </w:tc>
      </w:tr>
      <w:tr w:rsidR="00C425F2" w14:paraId="63599FFE" w14:textId="77777777" w:rsidTr="00613588">
        <w:tc>
          <w:tcPr>
            <w:tcW w:w="1870" w:type="pct"/>
          </w:tcPr>
          <w:p w14:paraId="24CFA45E" w14:textId="77777777" w:rsidR="00D55F31" w:rsidRPr="00C9657D" w:rsidRDefault="0024693B" w:rsidP="00613588">
            <w:pPr>
              <w:autoSpaceDE w:val="0"/>
              <w:autoSpaceDN w:val="0"/>
              <w:adjustRightInd w:val="0"/>
              <w:ind w:firstLine="993"/>
              <w:rPr>
                <w:rFonts w:asciiTheme="minorHAnsi" w:hAnsiTheme="minorHAnsi"/>
                <w:i/>
                <w:sz w:val="20"/>
                <w:szCs w:val="20"/>
              </w:rPr>
            </w:pPr>
            <w:r w:rsidRPr="00C9657D">
              <w:rPr>
                <w:rFonts w:asciiTheme="minorHAnsi" w:hAnsiTheme="minorHAnsi"/>
                <w:i/>
                <w:sz w:val="20"/>
                <w:szCs w:val="20"/>
              </w:rPr>
              <w:t>z toho pro ZP:</w:t>
            </w:r>
          </w:p>
        </w:tc>
        <w:tc>
          <w:tcPr>
            <w:tcW w:w="344" w:type="pct"/>
          </w:tcPr>
          <w:p w14:paraId="4CE18170" w14:textId="77777777" w:rsidR="00D55F31" w:rsidRPr="00C9657D" w:rsidRDefault="0024693B" w:rsidP="00613588">
            <w:pPr>
              <w:autoSpaceDE w:val="0"/>
              <w:autoSpaceDN w:val="0"/>
              <w:adjustRightInd w:val="0"/>
              <w:jc w:val="right"/>
              <w:rPr>
                <w:rFonts w:asciiTheme="minorHAnsi" w:hAnsiTheme="minorHAnsi"/>
                <w:i/>
                <w:sz w:val="20"/>
                <w:szCs w:val="20"/>
              </w:rPr>
            </w:pPr>
            <w:r w:rsidRPr="00C9657D">
              <w:rPr>
                <w:rFonts w:asciiTheme="minorHAnsi" w:hAnsiTheme="minorHAnsi"/>
                <w:i/>
                <w:sz w:val="20"/>
                <w:szCs w:val="20"/>
              </w:rPr>
              <w:t>61</w:t>
            </w:r>
          </w:p>
        </w:tc>
        <w:tc>
          <w:tcPr>
            <w:tcW w:w="344" w:type="pct"/>
          </w:tcPr>
          <w:p w14:paraId="022F96FC" w14:textId="77777777" w:rsidR="00D55F31" w:rsidRPr="00C9657D" w:rsidRDefault="0024693B" w:rsidP="00613588">
            <w:pPr>
              <w:autoSpaceDE w:val="0"/>
              <w:autoSpaceDN w:val="0"/>
              <w:adjustRightInd w:val="0"/>
              <w:jc w:val="right"/>
              <w:rPr>
                <w:rFonts w:asciiTheme="minorHAnsi" w:hAnsiTheme="minorHAnsi"/>
                <w:i/>
                <w:sz w:val="20"/>
                <w:szCs w:val="20"/>
              </w:rPr>
            </w:pPr>
            <w:r w:rsidRPr="00C9657D">
              <w:rPr>
                <w:rFonts w:asciiTheme="minorHAnsi" w:hAnsiTheme="minorHAnsi"/>
                <w:i/>
                <w:sz w:val="20"/>
                <w:szCs w:val="20"/>
              </w:rPr>
              <w:t>61</w:t>
            </w:r>
          </w:p>
        </w:tc>
        <w:tc>
          <w:tcPr>
            <w:tcW w:w="346" w:type="pct"/>
          </w:tcPr>
          <w:p w14:paraId="76BFE73C" w14:textId="77777777" w:rsidR="00D55F31" w:rsidRPr="00C9657D" w:rsidRDefault="0024693B" w:rsidP="00613588">
            <w:pPr>
              <w:autoSpaceDE w:val="0"/>
              <w:autoSpaceDN w:val="0"/>
              <w:adjustRightInd w:val="0"/>
              <w:jc w:val="right"/>
              <w:rPr>
                <w:rFonts w:asciiTheme="minorHAnsi" w:hAnsiTheme="minorHAnsi"/>
                <w:i/>
                <w:sz w:val="20"/>
                <w:szCs w:val="20"/>
              </w:rPr>
            </w:pPr>
            <w:r w:rsidRPr="00C9657D">
              <w:rPr>
                <w:rFonts w:asciiTheme="minorHAnsi" w:hAnsiTheme="minorHAnsi"/>
                <w:i/>
                <w:sz w:val="20"/>
                <w:szCs w:val="20"/>
              </w:rPr>
              <w:t>61</w:t>
            </w:r>
          </w:p>
        </w:tc>
        <w:tc>
          <w:tcPr>
            <w:tcW w:w="344" w:type="pct"/>
          </w:tcPr>
          <w:p w14:paraId="3B16D0A7" w14:textId="77777777" w:rsidR="00D55F31" w:rsidRPr="00C9657D" w:rsidRDefault="0024693B" w:rsidP="00613588">
            <w:pPr>
              <w:autoSpaceDE w:val="0"/>
              <w:autoSpaceDN w:val="0"/>
              <w:adjustRightInd w:val="0"/>
              <w:jc w:val="right"/>
              <w:rPr>
                <w:rFonts w:asciiTheme="minorHAnsi" w:hAnsiTheme="minorHAnsi"/>
                <w:i/>
                <w:sz w:val="20"/>
                <w:szCs w:val="20"/>
              </w:rPr>
            </w:pPr>
            <w:r w:rsidRPr="00C9657D">
              <w:rPr>
                <w:rFonts w:asciiTheme="minorHAnsi" w:hAnsiTheme="minorHAnsi"/>
                <w:i/>
                <w:sz w:val="20"/>
                <w:szCs w:val="20"/>
              </w:rPr>
              <w:t>344</w:t>
            </w:r>
          </w:p>
        </w:tc>
        <w:tc>
          <w:tcPr>
            <w:tcW w:w="344" w:type="pct"/>
          </w:tcPr>
          <w:p w14:paraId="754F57C7" w14:textId="77777777" w:rsidR="00D55F31" w:rsidRPr="00C9657D" w:rsidRDefault="0024693B" w:rsidP="00613588">
            <w:pPr>
              <w:autoSpaceDE w:val="0"/>
              <w:autoSpaceDN w:val="0"/>
              <w:adjustRightInd w:val="0"/>
              <w:jc w:val="right"/>
              <w:rPr>
                <w:rFonts w:asciiTheme="minorHAnsi" w:hAnsiTheme="minorHAnsi"/>
                <w:i/>
                <w:sz w:val="20"/>
                <w:szCs w:val="20"/>
              </w:rPr>
            </w:pPr>
            <w:r w:rsidRPr="00C9657D">
              <w:rPr>
                <w:rFonts w:asciiTheme="minorHAnsi" w:hAnsiTheme="minorHAnsi"/>
                <w:i/>
                <w:sz w:val="20"/>
                <w:szCs w:val="20"/>
              </w:rPr>
              <w:t>186</w:t>
            </w:r>
          </w:p>
        </w:tc>
        <w:tc>
          <w:tcPr>
            <w:tcW w:w="347" w:type="pct"/>
          </w:tcPr>
          <w:p w14:paraId="7FE76793" w14:textId="77777777" w:rsidR="00D55F31" w:rsidRPr="00C9657D" w:rsidRDefault="0024693B" w:rsidP="00613588">
            <w:pPr>
              <w:autoSpaceDE w:val="0"/>
              <w:autoSpaceDN w:val="0"/>
              <w:adjustRightInd w:val="0"/>
              <w:jc w:val="right"/>
              <w:rPr>
                <w:rFonts w:asciiTheme="minorHAnsi" w:hAnsiTheme="minorHAnsi"/>
                <w:i/>
                <w:sz w:val="20"/>
                <w:szCs w:val="20"/>
              </w:rPr>
            </w:pPr>
            <w:r w:rsidRPr="00C9657D">
              <w:rPr>
                <w:rFonts w:asciiTheme="minorHAnsi" w:hAnsiTheme="minorHAnsi"/>
                <w:i/>
                <w:sz w:val="20"/>
                <w:szCs w:val="20"/>
              </w:rPr>
              <w:t>202</w:t>
            </w:r>
          </w:p>
        </w:tc>
        <w:tc>
          <w:tcPr>
            <w:tcW w:w="344" w:type="pct"/>
          </w:tcPr>
          <w:p w14:paraId="6B7D5D06" w14:textId="77777777" w:rsidR="00D55F31" w:rsidRPr="00C9657D" w:rsidRDefault="0024693B" w:rsidP="00613588">
            <w:pPr>
              <w:autoSpaceDE w:val="0"/>
              <w:autoSpaceDN w:val="0"/>
              <w:adjustRightInd w:val="0"/>
              <w:jc w:val="right"/>
              <w:rPr>
                <w:rFonts w:asciiTheme="minorHAnsi" w:hAnsiTheme="minorHAnsi"/>
                <w:i/>
                <w:sz w:val="20"/>
                <w:szCs w:val="20"/>
              </w:rPr>
            </w:pPr>
            <w:r w:rsidRPr="00C9657D">
              <w:rPr>
                <w:rFonts w:asciiTheme="minorHAnsi" w:hAnsiTheme="minorHAnsi"/>
                <w:i/>
                <w:sz w:val="20"/>
                <w:szCs w:val="20"/>
              </w:rPr>
              <w:t>129</w:t>
            </w:r>
          </w:p>
        </w:tc>
        <w:tc>
          <w:tcPr>
            <w:tcW w:w="344" w:type="pct"/>
          </w:tcPr>
          <w:p w14:paraId="43669B4D" w14:textId="77777777" w:rsidR="00D55F31" w:rsidRPr="00C9657D" w:rsidRDefault="0024693B" w:rsidP="00613588">
            <w:pPr>
              <w:autoSpaceDE w:val="0"/>
              <w:autoSpaceDN w:val="0"/>
              <w:adjustRightInd w:val="0"/>
              <w:jc w:val="right"/>
              <w:rPr>
                <w:rFonts w:asciiTheme="minorHAnsi" w:hAnsiTheme="minorHAnsi"/>
                <w:i/>
                <w:sz w:val="20"/>
                <w:szCs w:val="20"/>
              </w:rPr>
            </w:pPr>
            <w:r w:rsidRPr="00C9657D">
              <w:rPr>
                <w:rFonts w:asciiTheme="minorHAnsi" w:hAnsiTheme="minorHAnsi"/>
                <w:i/>
                <w:sz w:val="20"/>
                <w:szCs w:val="20"/>
              </w:rPr>
              <w:t>129</w:t>
            </w:r>
          </w:p>
        </w:tc>
        <w:tc>
          <w:tcPr>
            <w:tcW w:w="371" w:type="pct"/>
          </w:tcPr>
          <w:p w14:paraId="5260B702" w14:textId="77777777" w:rsidR="00D55F31" w:rsidRPr="00C9657D" w:rsidRDefault="0024693B" w:rsidP="00613588">
            <w:pPr>
              <w:autoSpaceDE w:val="0"/>
              <w:autoSpaceDN w:val="0"/>
              <w:adjustRightInd w:val="0"/>
              <w:jc w:val="right"/>
              <w:rPr>
                <w:rFonts w:asciiTheme="minorHAnsi" w:hAnsiTheme="minorHAnsi"/>
                <w:i/>
                <w:sz w:val="20"/>
                <w:szCs w:val="20"/>
              </w:rPr>
            </w:pPr>
            <w:r w:rsidRPr="00C9657D">
              <w:rPr>
                <w:rFonts w:asciiTheme="minorHAnsi" w:hAnsiTheme="minorHAnsi"/>
                <w:i/>
                <w:sz w:val="20"/>
                <w:szCs w:val="20"/>
              </w:rPr>
              <w:t>129</w:t>
            </w:r>
          </w:p>
        </w:tc>
      </w:tr>
      <w:tr w:rsidR="00C425F2" w14:paraId="28E42631" w14:textId="77777777" w:rsidTr="00613588">
        <w:tc>
          <w:tcPr>
            <w:tcW w:w="1870" w:type="pct"/>
            <w:shd w:val="clear" w:color="auto" w:fill="auto"/>
          </w:tcPr>
          <w:p w14:paraId="005BAC11" w14:textId="77777777" w:rsidR="00D55F31" w:rsidRPr="00C9657D" w:rsidRDefault="0024693B" w:rsidP="00613588">
            <w:pPr>
              <w:autoSpaceDE w:val="0"/>
              <w:autoSpaceDN w:val="0"/>
              <w:adjustRightInd w:val="0"/>
              <w:jc w:val="both"/>
              <w:rPr>
                <w:rFonts w:asciiTheme="minorHAnsi" w:hAnsiTheme="minorHAnsi"/>
                <w:sz w:val="20"/>
                <w:szCs w:val="20"/>
              </w:rPr>
            </w:pPr>
            <w:r w:rsidRPr="00C9657D">
              <w:rPr>
                <w:rFonts w:asciiTheme="minorHAnsi" w:hAnsiTheme="minorHAnsi"/>
                <w:sz w:val="20"/>
                <w:szCs w:val="20"/>
              </w:rPr>
              <w:t>Počet lůžek celkem</w:t>
            </w:r>
          </w:p>
        </w:tc>
        <w:tc>
          <w:tcPr>
            <w:tcW w:w="344" w:type="pct"/>
            <w:shd w:val="clear" w:color="auto" w:fill="auto"/>
          </w:tcPr>
          <w:p w14:paraId="57E4C504" w14:textId="77777777" w:rsidR="00D55F31" w:rsidRPr="00C9657D" w:rsidRDefault="0024693B" w:rsidP="00613588">
            <w:pPr>
              <w:autoSpaceDE w:val="0"/>
              <w:autoSpaceDN w:val="0"/>
              <w:adjustRightInd w:val="0"/>
              <w:jc w:val="right"/>
              <w:rPr>
                <w:rFonts w:asciiTheme="minorHAnsi" w:hAnsiTheme="minorHAnsi"/>
                <w:sz w:val="20"/>
                <w:szCs w:val="20"/>
              </w:rPr>
            </w:pPr>
            <w:r w:rsidRPr="00C9657D">
              <w:rPr>
                <w:rFonts w:asciiTheme="minorHAnsi" w:hAnsiTheme="minorHAnsi"/>
                <w:sz w:val="20"/>
                <w:szCs w:val="20"/>
              </w:rPr>
              <w:t>131</w:t>
            </w:r>
          </w:p>
        </w:tc>
        <w:tc>
          <w:tcPr>
            <w:tcW w:w="344" w:type="pct"/>
            <w:shd w:val="clear" w:color="auto" w:fill="auto"/>
          </w:tcPr>
          <w:p w14:paraId="7E67172C" w14:textId="77777777" w:rsidR="00D55F31" w:rsidRPr="00C9657D" w:rsidRDefault="0024693B" w:rsidP="00613588">
            <w:pPr>
              <w:autoSpaceDE w:val="0"/>
              <w:autoSpaceDN w:val="0"/>
              <w:adjustRightInd w:val="0"/>
              <w:jc w:val="right"/>
              <w:rPr>
                <w:rFonts w:asciiTheme="minorHAnsi" w:hAnsiTheme="minorHAnsi"/>
                <w:sz w:val="20"/>
                <w:szCs w:val="20"/>
              </w:rPr>
            </w:pPr>
            <w:r w:rsidRPr="00C9657D">
              <w:rPr>
                <w:rFonts w:asciiTheme="minorHAnsi" w:hAnsiTheme="minorHAnsi"/>
                <w:sz w:val="20"/>
                <w:szCs w:val="20"/>
              </w:rPr>
              <w:t>131</w:t>
            </w:r>
          </w:p>
        </w:tc>
        <w:tc>
          <w:tcPr>
            <w:tcW w:w="346" w:type="pct"/>
            <w:shd w:val="clear" w:color="auto" w:fill="auto"/>
          </w:tcPr>
          <w:p w14:paraId="53F0F0B7" w14:textId="77777777" w:rsidR="00D55F31" w:rsidRPr="00C9657D" w:rsidRDefault="0024693B" w:rsidP="00613588">
            <w:pPr>
              <w:autoSpaceDE w:val="0"/>
              <w:autoSpaceDN w:val="0"/>
              <w:adjustRightInd w:val="0"/>
              <w:jc w:val="right"/>
              <w:rPr>
                <w:rFonts w:asciiTheme="minorHAnsi" w:hAnsiTheme="minorHAnsi"/>
                <w:sz w:val="20"/>
                <w:szCs w:val="20"/>
              </w:rPr>
            </w:pPr>
            <w:r w:rsidRPr="00C9657D">
              <w:rPr>
                <w:rFonts w:asciiTheme="minorHAnsi" w:hAnsiTheme="minorHAnsi"/>
                <w:sz w:val="20"/>
                <w:szCs w:val="20"/>
              </w:rPr>
              <w:t>131</w:t>
            </w:r>
          </w:p>
        </w:tc>
        <w:tc>
          <w:tcPr>
            <w:tcW w:w="344" w:type="pct"/>
            <w:shd w:val="clear" w:color="auto" w:fill="auto"/>
          </w:tcPr>
          <w:p w14:paraId="5D4F6E87" w14:textId="77777777" w:rsidR="00D55F31" w:rsidRPr="00C9657D" w:rsidRDefault="0024693B" w:rsidP="00613588">
            <w:pPr>
              <w:autoSpaceDE w:val="0"/>
              <w:autoSpaceDN w:val="0"/>
              <w:adjustRightInd w:val="0"/>
              <w:jc w:val="right"/>
              <w:rPr>
                <w:rFonts w:asciiTheme="minorHAnsi" w:hAnsiTheme="minorHAnsi"/>
                <w:sz w:val="20"/>
                <w:szCs w:val="20"/>
              </w:rPr>
            </w:pPr>
            <w:r w:rsidRPr="00C9657D">
              <w:rPr>
                <w:rFonts w:asciiTheme="minorHAnsi" w:hAnsiTheme="minorHAnsi"/>
                <w:sz w:val="20"/>
                <w:szCs w:val="20"/>
              </w:rPr>
              <w:t>639</w:t>
            </w:r>
          </w:p>
        </w:tc>
        <w:tc>
          <w:tcPr>
            <w:tcW w:w="344" w:type="pct"/>
            <w:shd w:val="clear" w:color="auto" w:fill="auto"/>
          </w:tcPr>
          <w:p w14:paraId="4B5006E9" w14:textId="77777777" w:rsidR="00D55F31" w:rsidRPr="00C9657D" w:rsidRDefault="0024693B" w:rsidP="00613588">
            <w:pPr>
              <w:autoSpaceDE w:val="0"/>
              <w:autoSpaceDN w:val="0"/>
              <w:adjustRightInd w:val="0"/>
              <w:jc w:val="right"/>
              <w:rPr>
                <w:rFonts w:asciiTheme="minorHAnsi" w:hAnsiTheme="minorHAnsi"/>
                <w:sz w:val="20"/>
                <w:szCs w:val="20"/>
              </w:rPr>
            </w:pPr>
            <w:r w:rsidRPr="00C9657D">
              <w:rPr>
                <w:rFonts w:asciiTheme="minorHAnsi" w:hAnsiTheme="minorHAnsi"/>
                <w:sz w:val="20"/>
                <w:szCs w:val="20"/>
              </w:rPr>
              <w:t>370</w:t>
            </w:r>
          </w:p>
        </w:tc>
        <w:tc>
          <w:tcPr>
            <w:tcW w:w="347" w:type="pct"/>
            <w:shd w:val="clear" w:color="auto" w:fill="auto"/>
          </w:tcPr>
          <w:p w14:paraId="5825F8A0" w14:textId="77777777" w:rsidR="00D55F31" w:rsidRPr="00C9657D" w:rsidRDefault="0024693B" w:rsidP="00613588">
            <w:pPr>
              <w:autoSpaceDE w:val="0"/>
              <w:autoSpaceDN w:val="0"/>
              <w:adjustRightInd w:val="0"/>
              <w:jc w:val="right"/>
              <w:rPr>
                <w:rFonts w:asciiTheme="minorHAnsi" w:hAnsiTheme="minorHAnsi"/>
                <w:sz w:val="20"/>
                <w:szCs w:val="20"/>
              </w:rPr>
            </w:pPr>
            <w:r w:rsidRPr="00C9657D">
              <w:rPr>
                <w:rFonts w:asciiTheme="minorHAnsi" w:hAnsiTheme="minorHAnsi"/>
                <w:sz w:val="20"/>
                <w:szCs w:val="20"/>
              </w:rPr>
              <w:t>370</w:t>
            </w:r>
          </w:p>
        </w:tc>
        <w:tc>
          <w:tcPr>
            <w:tcW w:w="344" w:type="pct"/>
            <w:shd w:val="clear" w:color="auto" w:fill="auto"/>
          </w:tcPr>
          <w:p w14:paraId="43C0061D" w14:textId="77777777" w:rsidR="00D55F31" w:rsidRPr="00C9657D" w:rsidRDefault="0024693B" w:rsidP="00613588">
            <w:pPr>
              <w:autoSpaceDE w:val="0"/>
              <w:autoSpaceDN w:val="0"/>
              <w:adjustRightInd w:val="0"/>
              <w:jc w:val="right"/>
              <w:rPr>
                <w:rFonts w:asciiTheme="minorHAnsi" w:hAnsiTheme="minorHAnsi"/>
                <w:sz w:val="20"/>
                <w:szCs w:val="20"/>
              </w:rPr>
            </w:pPr>
            <w:r w:rsidRPr="00C9657D">
              <w:rPr>
                <w:rFonts w:asciiTheme="minorHAnsi" w:hAnsiTheme="minorHAnsi"/>
                <w:sz w:val="20"/>
                <w:szCs w:val="20"/>
              </w:rPr>
              <w:t>474</w:t>
            </w:r>
          </w:p>
        </w:tc>
        <w:tc>
          <w:tcPr>
            <w:tcW w:w="344" w:type="pct"/>
            <w:shd w:val="clear" w:color="auto" w:fill="auto"/>
          </w:tcPr>
          <w:p w14:paraId="38B76745" w14:textId="77777777" w:rsidR="00D55F31" w:rsidRPr="00C9657D" w:rsidRDefault="0024693B" w:rsidP="00613588">
            <w:pPr>
              <w:autoSpaceDE w:val="0"/>
              <w:autoSpaceDN w:val="0"/>
              <w:adjustRightInd w:val="0"/>
              <w:jc w:val="right"/>
              <w:rPr>
                <w:rFonts w:asciiTheme="minorHAnsi" w:hAnsiTheme="minorHAnsi"/>
                <w:sz w:val="20"/>
                <w:szCs w:val="20"/>
              </w:rPr>
            </w:pPr>
            <w:r w:rsidRPr="00C9657D">
              <w:rPr>
                <w:rFonts w:asciiTheme="minorHAnsi" w:hAnsiTheme="minorHAnsi"/>
                <w:sz w:val="20"/>
                <w:szCs w:val="20"/>
              </w:rPr>
              <w:t>474</w:t>
            </w:r>
          </w:p>
        </w:tc>
        <w:tc>
          <w:tcPr>
            <w:tcW w:w="371" w:type="pct"/>
            <w:shd w:val="clear" w:color="auto" w:fill="auto"/>
          </w:tcPr>
          <w:p w14:paraId="6F0188A5" w14:textId="77777777" w:rsidR="00D55F31" w:rsidRPr="00C9657D" w:rsidRDefault="0024693B" w:rsidP="00613588">
            <w:pPr>
              <w:autoSpaceDE w:val="0"/>
              <w:autoSpaceDN w:val="0"/>
              <w:adjustRightInd w:val="0"/>
              <w:jc w:val="right"/>
              <w:rPr>
                <w:rFonts w:asciiTheme="minorHAnsi" w:hAnsiTheme="minorHAnsi"/>
                <w:sz w:val="20"/>
                <w:szCs w:val="20"/>
              </w:rPr>
            </w:pPr>
            <w:r w:rsidRPr="00C9657D">
              <w:rPr>
                <w:rFonts w:asciiTheme="minorHAnsi" w:hAnsiTheme="minorHAnsi"/>
                <w:sz w:val="20"/>
                <w:szCs w:val="20"/>
              </w:rPr>
              <w:t>474</w:t>
            </w:r>
          </w:p>
        </w:tc>
      </w:tr>
      <w:tr w:rsidR="00C425F2" w14:paraId="4019CBCD" w14:textId="77777777" w:rsidTr="00613588">
        <w:tc>
          <w:tcPr>
            <w:tcW w:w="1870" w:type="pct"/>
          </w:tcPr>
          <w:p w14:paraId="5399F034" w14:textId="77777777" w:rsidR="00D55F31" w:rsidRPr="00C9657D" w:rsidRDefault="0024693B" w:rsidP="00613588">
            <w:pPr>
              <w:autoSpaceDE w:val="0"/>
              <w:autoSpaceDN w:val="0"/>
              <w:adjustRightInd w:val="0"/>
              <w:ind w:firstLine="993"/>
              <w:rPr>
                <w:rFonts w:asciiTheme="minorHAnsi" w:hAnsiTheme="minorHAnsi"/>
                <w:i/>
                <w:sz w:val="20"/>
                <w:szCs w:val="20"/>
              </w:rPr>
            </w:pPr>
            <w:r w:rsidRPr="00C9657D">
              <w:rPr>
                <w:rFonts w:asciiTheme="minorHAnsi" w:hAnsiTheme="minorHAnsi"/>
                <w:i/>
                <w:sz w:val="20"/>
                <w:szCs w:val="20"/>
              </w:rPr>
              <w:t>z toho pro ZP:</w:t>
            </w:r>
          </w:p>
        </w:tc>
        <w:tc>
          <w:tcPr>
            <w:tcW w:w="344" w:type="pct"/>
          </w:tcPr>
          <w:p w14:paraId="53A0E2E4" w14:textId="77777777" w:rsidR="00D55F31" w:rsidRPr="00C9657D" w:rsidRDefault="0024693B" w:rsidP="00613588">
            <w:pPr>
              <w:autoSpaceDE w:val="0"/>
              <w:autoSpaceDN w:val="0"/>
              <w:adjustRightInd w:val="0"/>
              <w:jc w:val="right"/>
              <w:rPr>
                <w:rFonts w:asciiTheme="minorHAnsi" w:hAnsiTheme="minorHAnsi"/>
                <w:i/>
                <w:sz w:val="20"/>
                <w:szCs w:val="20"/>
              </w:rPr>
            </w:pPr>
            <w:r w:rsidRPr="00C9657D">
              <w:rPr>
                <w:rFonts w:asciiTheme="minorHAnsi" w:hAnsiTheme="minorHAnsi"/>
                <w:i/>
                <w:sz w:val="20"/>
                <w:szCs w:val="20"/>
              </w:rPr>
              <w:t>131</w:t>
            </w:r>
          </w:p>
        </w:tc>
        <w:tc>
          <w:tcPr>
            <w:tcW w:w="344" w:type="pct"/>
          </w:tcPr>
          <w:p w14:paraId="5E2D2329" w14:textId="77777777" w:rsidR="00D55F31" w:rsidRPr="00C9657D" w:rsidRDefault="0024693B" w:rsidP="00613588">
            <w:pPr>
              <w:autoSpaceDE w:val="0"/>
              <w:autoSpaceDN w:val="0"/>
              <w:adjustRightInd w:val="0"/>
              <w:jc w:val="right"/>
              <w:rPr>
                <w:rFonts w:asciiTheme="minorHAnsi" w:hAnsiTheme="minorHAnsi"/>
                <w:i/>
                <w:sz w:val="20"/>
                <w:szCs w:val="20"/>
              </w:rPr>
            </w:pPr>
            <w:r w:rsidRPr="00C9657D">
              <w:rPr>
                <w:rFonts w:asciiTheme="minorHAnsi" w:hAnsiTheme="minorHAnsi"/>
                <w:i/>
                <w:sz w:val="20"/>
                <w:szCs w:val="20"/>
              </w:rPr>
              <w:t>131</w:t>
            </w:r>
          </w:p>
        </w:tc>
        <w:tc>
          <w:tcPr>
            <w:tcW w:w="346" w:type="pct"/>
          </w:tcPr>
          <w:p w14:paraId="04AAD00A" w14:textId="77777777" w:rsidR="00D55F31" w:rsidRPr="00C9657D" w:rsidRDefault="0024693B" w:rsidP="00613588">
            <w:pPr>
              <w:autoSpaceDE w:val="0"/>
              <w:autoSpaceDN w:val="0"/>
              <w:adjustRightInd w:val="0"/>
              <w:jc w:val="right"/>
              <w:rPr>
                <w:rFonts w:asciiTheme="minorHAnsi" w:hAnsiTheme="minorHAnsi"/>
                <w:i/>
                <w:sz w:val="20"/>
                <w:szCs w:val="20"/>
              </w:rPr>
            </w:pPr>
            <w:r w:rsidRPr="00C9657D">
              <w:rPr>
                <w:rFonts w:asciiTheme="minorHAnsi" w:hAnsiTheme="minorHAnsi"/>
                <w:i/>
                <w:sz w:val="20"/>
                <w:szCs w:val="20"/>
              </w:rPr>
              <w:t>131</w:t>
            </w:r>
          </w:p>
        </w:tc>
        <w:tc>
          <w:tcPr>
            <w:tcW w:w="344" w:type="pct"/>
          </w:tcPr>
          <w:p w14:paraId="27FBB194" w14:textId="77777777" w:rsidR="00D55F31" w:rsidRPr="00C9657D" w:rsidRDefault="0024693B" w:rsidP="00613588">
            <w:pPr>
              <w:autoSpaceDE w:val="0"/>
              <w:autoSpaceDN w:val="0"/>
              <w:adjustRightInd w:val="0"/>
              <w:jc w:val="right"/>
              <w:rPr>
                <w:rFonts w:asciiTheme="minorHAnsi" w:hAnsiTheme="minorHAnsi"/>
                <w:i/>
                <w:sz w:val="20"/>
                <w:szCs w:val="20"/>
              </w:rPr>
            </w:pPr>
            <w:r w:rsidRPr="00C9657D">
              <w:rPr>
                <w:rFonts w:asciiTheme="minorHAnsi" w:hAnsiTheme="minorHAnsi"/>
                <w:i/>
                <w:sz w:val="20"/>
                <w:szCs w:val="20"/>
              </w:rPr>
              <w:t>639</w:t>
            </w:r>
          </w:p>
        </w:tc>
        <w:tc>
          <w:tcPr>
            <w:tcW w:w="344" w:type="pct"/>
          </w:tcPr>
          <w:p w14:paraId="7DD8391A" w14:textId="77777777" w:rsidR="00D55F31" w:rsidRPr="00C9657D" w:rsidRDefault="0024693B" w:rsidP="00613588">
            <w:pPr>
              <w:autoSpaceDE w:val="0"/>
              <w:autoSpaceDN w:val="0"/>
              <w:adjustRightInd w:val="0"/>
              <w:jc w:val="right"/>
              <w:rPr>
                <w:rFonts w:asciiTheme="minorHAnsi" w:hAnsiTheme="minorHAnsi"/>
                <w:i/>
                <w:sz w:val="20"/>
                <w:szCs w:val="20"/>
              </w:rPr>
            </w:pPr>
            <w:r w:rsidRPr="00C9657D">
              <w:rPr>
                <w:rFonts w:asciiTheme="minorHAnsi" w:hAnsiTheme="minorHAnsi"/>
                <w:i/>
                <w:sz w:val="20"/>
                <w:szCs w:val="20"/>
              </w:rPr>
              <w:t>370</w:t>
            </w:r>
          </w:p>
        </w:tc>
        <w:tc>
          <w:tcPr>
            <w:tcW w:w="347" w:type="pct"/>
          </w:tcPr>
          <w:p w14:paraId="6B139F71" w14:textId="77777777" w:rsidR="00D55F31" w:rsidRPr="00C9657D" w:rsidRDefault="0024693B" w:rsidP="00613588">
            <w:pPr>
              <w:autoSpaceDE w:val="0"/>
              <w:autoSpaceDN w:val="0"/>
              <w:adjustRightInd w:val="0"/>
              <w:jc w:val="right"/>
              <w:rPr>
                <w:rFonts w:asciiTheme="minorHAnsi" w:hAnsiTheme="minorHAnsi"/>
                <w:i/>
                <w:sz w:val="20"/>
                <w:szCs w:val="20"/>
              </w:rPr>
            </w:pPr>
            <w:r w:rsidRPr="00C9657D">
              <w:rPr>
                <w:rFonts w:asciiTheme="minorHAnsi" w:hAnsiTheme="minorHAnsi"/>
                <w:i/>
                <w:sz w:val="20"/>
                <w:szCs w:val="20"/>
              </w:rPr>
              <w:t>370</w:t>
            </w:r>
          </w:p>
        </w:tc>
        <w:tc>
          <w:tcPr>
            <w:tcW w:w="344" w:type="pct"/>
          </w:tcPr>
          <w:p w14:paraId="6AD89BC6" w14:textId="77777777" w:rsidR="00D55F31" w:rsidRPr="00C9657D" w:rsidRDefault="0024693B" w:rsidP="00613588">
            <w:pPr>
              <w:autoSpaceDE w:val="0"/>
              <w:autoSpaceDN w:val="0"/>
              <w:adjustRightInd w:val="0"/>
              <w:jc w:val="right"/>
              <w:rPr>
                <w:rFonts w:asciiTheme="minorHAnsi" w:hAnsiTheme="minorHAnsi"/>
                <w:i/>
                <w:sz w:val="20"/>
                <w:szCs w:val="20"/>
              </w:rPr>
            </w:pPr>
            <w:r w:rsidRPr="00C9657D">
              <w:rPr>
                <w:rFonts w:asciiTheme="minorHAnsi" w:hAnsiTheme="minorHAnsi"/>
                <w:i/>
                <w:sz w:val="20"/>
                <w:szCs w:val="20"/>
              </w:rPr>
              <w:t>180</w:t>
            </w:r>
          </w:p>
        </w:tc>
        <w:tc>
          <w:tcPr>
            <w:tcW w:w="344" w:type="pct"/>
          </w:tcPr>
          <w:p w14:paraId="12DCE029" w14:textId="77777777" w:rsidR="00D55F31" w:rsidRPr="00C9657D" w:rsidRDefault="0024693B" w:rsidP="00613588">
            <w:pPr>
              <w:autoSpaceDE w:val="0"/>
              <w:autoSpaceDN w:val="0"/>
              <w:adjustRightInd w:val="0"/>
              <w:jc w:val="right"/>
              <w:rPr>
                <w:rFonts w:asciiTheme="minorHAnsi" w:hAnsiTheme="minorHAnsi"/>
                <w:i/>
                <w:sz w:val="20"/>
                <w:szCs w:val="20"/>
              </w:rPr>
            </w:pPr>
            <w:r w:rsidRPr="00C9657D">
              <w:rPr>
                <w:rFonts w:asciiTheme="minorHAnsi" w:hAnsiTheme="minorHAnsi"/>
                <w:i/>
                <w:sz w:val="20"/>
                <w:szCs w:val="20"/>
              </w:rPr>
              <w:t>180</w:t>
            </w:r>
          </w:p>
        </w:tc>
        <w:tc>
          <w:tcPr>
            <w:tcW w:w="371" w:type="pct"/>
          </w:tcPr>
          <w:p w14:paraId="3E9047A8" w14:textId="77777777" w:rsidR="00D55F31" w:rsidRPr="00C9657D" w:rsidRDefault="0024693B" w:rsidP="00613588">
            <w:pPr>
              <w:autoSpaceDE w:val="0"/>
              <w:autoSpaceDN w:val="0"/>
              <w:adjustRightInd w:val="0"/>
              <w:jc w:val="right"/>
              <w:rPr>
                <w:rFonts w:asciiTheme="minorHAnsi" w:hAnsiTheme="minorHAnsi"/>
                <w:i/>
                <w:sz w:val="20"/>
                <w:szCs w:val="20"/>
              </w:rPr>
            </w:pPr>
            <w:r w:rsidRPr="00C9657D">
              <w:rPr>
                <w:rFonts w:asciiTheme="minorHAnsi" w:hAnsiTheme="minorHAnsi"/>
                <w:i/>
                <w:sz w:val="20"/>
                <w:szCs w:val="20"/>
              </w:rPr>
              <w:t>153</w:t>
            </w:r>
          </w:p>
        </w:tc>
      </w:tr>
      <w:tr w:rsidR="00C425F2" w14:paraId="522B9EAA" w14:textId="77777777" w:rsidTr="00613588">
        <w:tc>
          <w:tcPr>
            <w:tcW w:w="1870" w:type="pct"/>
          </w:tcPr>
          <w:p w14:paraId="38AC5429" w14:textId="77777777" w:rsidR="00D55F31" w:rsidRPr="00C9657D" w:rsidRDefault="0024693B" w:rsidP="00613588">
            <w:pPr>
              <w:autoSpaceDE w:val="0"/>
              <w:autoSpaceDN w:val="0"/>
              <w:adjustRightInd w:val="0"/>
              <w:ind w:firstLine="567"/>
              <w:rPr>
                <w:rFonts w:asciiTheme="minorHAnsi" w:hAnsiTheme="minorHAnsi"/>
                <w:i/>
                <w:sz w:val="20"/>
                <w:szCs w:val="20"/>
              </w:rPr>
            </w:pPr>
            <w:r w:rsidRPr="00C9657D">
              <w:rPr>
                <w:rFonts w:asciiTheme="minorHAnsi" w:hAnsiTheme="minorHAnsi"/>
                <w:i/>
                <w:sz w:val="20"/>
                <w:szCs w:val="20"/>
              </w:rPr>
              <w:t xml:space="preserve">                   z toho bez doplatku:</w:t>
            </w:r>
          </w:p>
        </w:tc>
        <w:tc>
          <w:tcPr>
            <w:tcW w:w="344" w:type="pct"/>
          </w:tcPr>
          <w:p w14:paraId="462576D2" w14:textId="77777777" w:rsidR="00D55F31" w:rsidRPr="00C9657D" w:rsidRDefault="0024693B" w:rsidP="00613588">
            <w:pPr>
              <w:autoSpaceDE w:val="0"/>
              <w:autoSpaceDN w:val="0"/>
              <w:adjustRightInd w:val="0"/>
              <w:jc w:val="right"/>
              <w:rPr>
                <w:rFonts w:asciiTheme="minorHAnsi" w:hAnsiTheme="minorHAnsi"/>
                <w:i/>
                <w:sz w:val="20"/>
                <w:szCs w:val="20"/>
              </w:rPr>
            </w:pPr>
            <w:r w:rsidRPr="00C9657D">
              <w:rPr>
                <w:rFonts w:asciiTheme="minorHAnsi" w:hAnsiTheme="minorHAnsi"/>
                <w:i/>
                <w:sz w:val="20"/>
                <w:szCs w:val="20"/>
              </w:rPr>
              <w:t>131</w:t>
            </w:r>
          </w:p>
        </w:tc>
        <w:tc>
          <w:tcPr>
            <w:tcW w:w="344" w:type="pct"/>
          </w:tcPr>
          <w:p w14:paraId="264C2C89" w14:textId="77777777" w:rsidR="00D55F31" w:rsidRPr="00C9657D" w:rsidRDefault="0024693B" w:rsidP="00613588">
            <w:pPr>
              <w:autoSpaceDE w:val="0"/>
              <w:autoSpaceDN w:val="0"/>
              <w:adjustRightInd w:val="0"/>
              <w:jc w:val="right"/>
              <w:rPr>
                <w:rFonts w:asciiTheme="minorHAnsi" w:hAnsiTheme="minorHAnsi"/>
                <w:i/>
                <w:sz w:val="20"/>
                <w:szCs w:val="20"/>
              </w:rPr>
            </w:pPr>
            <w:r w:rsidRPr="00C9657D">
              <w:rPr>
                <w:rFonts w:asciiTheme="minorHAnsi" w:hAnsiTheme="minorHAnsi"/>
                <w:i/>
                <w:sz w:val="20"/>
                <w:szCs w:val="20"/>
              </w:rPr>
              <w:t>131</w:t>
            </w:r>
          </w:p>
        </w:tc>
        <w:tc>
          <w:tcPr>
            <w:tcW w:w="346" w:type="pct"/>
          </w:tcPr>
          <w:p w14:paraId="535539DE" w14:textId="77777777" w:rsidR="00D55F31" w:rsidRPr="00C9657D" w:rsidRDefault="0024693B" w:rsidP="00613588">
            <w:pPr>
              <w:autoSpaceDE w:val="0"/>
              <w:autoSpaceDN w:val="0"/>
              <w:adjustRightInd w:val="0"/>
              <w:jc w:val="right"/>
              <w:rPr>
                <w:rFonts w:asciiTheme="minorHAnsi" w:hAnsiTheme="minorHAnsi"/>
                <w:i/>
                <w:sz w:val="20"/>
                <w:szCs w:val="20"/>
              </w:rPr>
            </w:pPr>
            <w:r w:rsidRPr="00C9657D">
              <w:rPr>
                <w:rFonts w:asciiTheme="minorHAnsi" w:hAnsiTheme="minorHAnsi"/>
                <w:i/>
                <w:sz w:val="20"/>
                <w:szCs w:val="20"/>
              </w:rPr>
              <w:t>131</w:t>
            </w:r>
          </w:p>
        </w:tc>
        <w:tc>
          <w:tcPr>
            <w:tcW w:w="344" w:type="pct"/>
          </w:tcPr>
          <w:p w14:paraId="0799D909" w14:textId="77777777" w:rsidR="00D55F31" w:rsidRPr="00C9657D" w:rsidRDefault="0024693B" w:rsidP="00613588">
            <w:pPr>
              <w:autoSpaceDE w:val="0"/>
              <w:autoSpaceDN w:val="0"/>
              <w:adjustRightInd w:val="0"/>
              <w:jc w:val="right"/>
              <w:rPr>
                <w:rFonts w:asciiTheme="minorHAnsi" w:hAnsiTheme="minorHAnsi"/>
                <w:i/>
                <w:sz w:val="20"/>
                <w:szCs w:val="20"/>
              </w:rPr>
            </w:pPr>
            <w:r w:rsidRPr="00C9657D">
              <w:rPr>
                <w:rFonts w:asciiTheme="minorHAnsi" w:hAnsiTheme="minorHAnsi"/>
                <w:i/>
                <w:sz w:val="20"/>
                <w:szCs w:val="20"/>
              </w:rPr>
              <w:t>555</w:t>
            </w:r>
          </w:p>
        </w:tc>
        <w:tc>
          <w:tcPr>
            <w:tcW w:w="344" w:type="pct"/>
          </w:tcPr>
          <w:p w14:paraId="3427EA83" w14:textId="77777777" w:rsidR="00D55F31" w:rsidRPr="00C9657D" w:rsidRDefault="0024693B" w:rsidP="00613588">
            <w:pPr>
              <w:autoSpaceDE w:val="0"/>
              <w:autoSpaceDN w:val="0"/>
              <w:adjustRightInd w:val="0"/>
              <w:jc w:val="right"/>
              <w:rPr>
                <w:rFonts w:asciiTheme="minorHAnsi" w:hAnsiTheme="minorHAnsi"/>
                <w:i/>
                <w:sz w:val="20"/>
                <w:szCs w:val="20"/>
              </w:rPr>
            </w:pPr>
            <w:r w:rsidRPr="00C9657D">
              <w:rPr>
                <w:rFonts w:asciiTheme="minorHAnsi" w:hAnsiTheme="minorHAnsi"/>
                <w:i/>
                <w:sz w:val="20"/>
                <w:szCs w:val="20"/>
              </w:rPr>
              <w:t>358</w:t>
            </w:r>
          </w:p>
        </w:tc>
        <w:tc>
          <w:tcPr>
            <w:tcW w:w="347" w:type="pct"/>
          </w:tcPr>
          <w:p w14:paraId="7A5C7EED" w14:textId="77777777" w:rsidR="00D55F31" w:rsidRPr="00C9657D" w:rsidRDefault="0024693B" w:rsidP="00613588">
            <w:pPr>
              <w:autoSpaceDE w:val="0"/>
              <w:autoSpaceDN w:val="0"/>
              <w:adjustRightInd w:val="0"/>
              <w:jc w:val="right"/>
              <w:rPr>
                <w:rFonts w:asciiTheme="minorHAnsi" w:hAnsiTheme="minorHAnsi"/>
                <w:i/>
                <w:sz w:val="20"/>
                <w:szCs w:val="20"/>
              </w:rPr>
            </w:pPr>
            <w:r w:rsidRPr="00C9657D">
              <w:rPr>
                <w:rFonts w:asciiTheme="minorHAnsi" w:hAnsiTheme="minorHAnsi"/>
                <w:i/>
                <w:sz w:val="20"/>
                <w:szCs w:val="20"/>
              </w:rPr>
              <w:t>326</w:t>
            </w:r>
          </w:p>
        </w:tc>
        <w:tc>
          <w:tcPr>
            <w:tcW w:w="344" w:type="pct"/>
          </w:tcPr>
          <w:p w14:paraId="497E340C" w14:textId="77777777" w:rsidR="00D55F31" w:rsidRPr="00C9657D" w:rsidRDefault="0024693B" w:rsidP="00613588">
            <w:pPr>
              <w:autoSpaceDE w:val="0"/>
              <w:autoSpaceDN w:val="0"/>
              <w:adjustRightInd w:val="0"/>
              <w:jc w:val="right"/>
              <w:rPr>
                <w:rFonts w:asciiTheme="minorHAnsi" w:hAnsiTheme="minorHAnsi"/>
                <w:i/>
                <w:sz w:val="20"/>
                <w:szCs w:val="20"/>
              </w:rPr>
            </w:pPr>
            <w:r w:rsidRPr="00C9657D">
              <w:rPr>
                <w:rFonts w:asciiTheme="minorHAnsi" w:hAnsiTheme="minorHAnsi"/>
                <w:i/>
                <w:sz w:val="20"/>
                <w:szCs w:val="20"/>
              </w:rPr>
              <w:t>20</w:t>
            </w:r>
          </w:p>
        </w:tc>
        <w:tc>
          <w:tcPr>
            <w:tcW w:w="344" w:type="pct"/>
          </w:tcPr>
          <w:p w14:paraId="099F8435" w14:textId="77777777" w:rsidR="00D55F31" w:rsidRPr="00C9657D" w:rsidRDefault="0024693B" w:rsidP="00613588">
            <w:pPr>
              <w:autoSpaceDE w:val="0"/>
              <w:autoSpaceDN w:val="0"/>
              <w:adjustRightInd w:val="0"/>
              <w:jc w:val="right"/>
              <w:rPr>
                <w:rFonts w:asciiTheme="minorHAnsi" w:hAnsiTheme="minorHAnsi"/>
                <w:i/>
                <w:sz w:val="20"/>
                <w:szCs w:val="20"/>
              </w:rPr>
            </w:pPr>
            <w:r w:rsidRPr="00C9657D">
              <w:rPr>
                <w:rFonts w:asciiTheme="minorHAnsi" w:hAnsiTheme="minorHAnsi"/>
                <w:i/>
                <w:sz w:val="20"/>
                <w:szCs w:val="20"/>
              </w:rPr>
              <w:t>20</w:t>
            </w:r>
          </w:p>
        </w:tc>
        <w:tc>
          <w:tcPr>
            <w:tcW w:w="371" w:type="pct"/>
          </w:tcPr>
          <w:p w14:paraId="479FA28C" w14:textId="77777777" w:rsidR="00D55F31" w:rsidRPr="00C9657D" w:rsidRDefault="0024693B" w:rsidP="00613588">
            <w:pPr>
              <w:autoSpaceDE w:val="0"/>
              <w:autoSpaceDN w:val="0"/>
              <w:adjustRightInd w:val="0"/>
              <w:jc w:val="right"/>
              <w:rPr>
                <w:rFonts w:asciiTheme="minorHAnsi" w:hAnsiTheme="minorHAnsi"/>
                <w:i/>
                <w:sz w:val="20"/>
                <w:szCs w:val="20"/>
              </w:rPr>
            </w:pPr>
            <w:r w:rsidRPr="00C9657D">
              <w:rPr>
                <w:rFonts w:asciiTheme="minorHAnsi" w:hAnsiTheme="minorHAnsi"/>
                <w:i/>
                <w:sz w:val="20"/>
                <w:szCs w:val="20"/>
              </w:rPr>
              <w:t>20</w:t>
            </w:r>
          </w:p>
        </w:tc>
      </w:tr>
      <w:tr w:rsidR="00C425F2" w14:paraId="24729820" w14:textId="77777777" w:rsidTr="00613588">
        <w:tc>
          <w:tcPr>
            <w:tcW w:w="1870" w:type="pct"/>
          </w:tcPr>
          <w:p w14:paraId="6E72B65F" w14:textId="77777777" w:rsidR="00D55F31" w:rsidRPr="00C9657D" w:rsidRDefault="0024693B" w:rsidP="00613588">
            <w:pPr>
              <w:autoSpaceDE w:val="0"/>
              <w:autoSpaceDN w:val="0"/>
              <w:adjustRightInd w:val="0"/>
              <w:ind w:firstLine="993"/>
              <w:rPr>
                <w:rFonts w:asciiTheme="minorHAnsi" w:hAnsiTheme="minorHAnsi"/>
                <w:i/>
                <w:sz w:val="20"/>
                <w:szCs w:val="20"/>
              </w:rPr>
            </w:pPr>
            <w:r w:rsidRPr="00C9657D">
              <w:rPr>
                <w:rFonts w:asciiTheme="minorHAnsi" w:hAnsiTheme="minorHAnsi"/>
                <w:i/>
                <w:sz w:val="20"/>
                <w:szCs w:val="20"/>
              </w:rPr>
              <w:t>z toho pro samoplátce:</w:t>
            </w:r>
          </w:p>
        </w:tc>
        <w:tc>
          <w:tcPr>
            <w:tcW w:w="344" w:type="pct"/>
          </w:tcPr>
          <w:p w14:paraId="41CB59D1" w14:textId="77777777" w:rsidR="00D55F31" w:rsidRPr="00C9657D" w:rsidRDefault="0024693B" w:rsidP="00613588">
            <w:pPr>
              <w:autoSpaceDE w:val="0"/>
              <w:autoSpaceDN w:val="0"/>
              <w:adjustRightInd w:val="0"/>
              <w:jc w:val="right"/>
              <w:rPr>
                <w:rFonts w:asciiTheme="minorHAnsi" w:hAnsiTheme="minorHAnsi"/>
                <w:i/>
                <w:sz w:val="20"/>
                <w:szCs w:val="20"/>
              </w:rPr>
            </w:pPr>
            <w:r w:rsidRPr="00C9657D">
              <w:rPr>
                <w:rFonts w:asciiTheme="minorHAnsi" w:hAnsiTheme="minorHAnsi"/>
                <w:i/>
                <w:sz w:val="20"/>
                <w:szCs w:val="20"/>
              </w:rPr>
              <w:t>0</w:t>
            </w:r>
          </w:p>
        </w:tc>
        <w:tc>
          <w:tcPr>
            <w:tcW w:w="344" w:type="pct"/>
          </w:tcPr>
          <w:p w14:paraId="314171C8" w14:textId="77777777" w:rsidR="00D55F31" w:rsidRPr="00C9657D" w:rsidRDefault="0024693B" w:rsidP="00613588">
            <w:pPr>
              <w:autoSpaceDE w:val="0"/>
              <w:autoSpaceDN w:val="0"/>
              <w:adjustRightInd w:val="0"/>
              <w:jc w:val="right"/>
              <w:rPr>
                <w:rFonts w:asciiTheme="minorHAnsi" w:hAnsiTheme="minorHAnsi"/>
                <w:i/>
                <w:sz w:val="20"/>
                <w:szCs w:val="20"/>
              </w:rPr>
            </w:pPr>
            <w:r w:rsidRPr="00C9657D">
              <w:rPr>
                <w:rFonts w:asciiTheme="minorHAnsi" w:hAnsiTheme="minorHAnsi"/>
                <w:i/>
                <w:sz w:val="20"/>
                <w:szCs w:val="20"/>
              </w:rPr>
              <w:t>0</w:t>
            </w:r>
          </w:p>
        </w:tc>
        <w:tc>
          <w:tcPr>
            <w:tcW w:w="346" w:type="pct"/>
          </w:tcPr>
          <w:p w14:paraId="36B6CABE" w14:textId="77777777" w:rsidR="00D55F31" w:rsidRPr="00C9657D" w:rsidRDefault="0024693B" w:rsidP="00613588">
            <w:pPr>
              <w:autoSpaceDE w:val="0"/>
              <w:autoSpaceDN w:val="0"/>
              <w:adjustRightInd w:val="0"/>
              <w:jc w:val="right"/>
              <w:rPr>
                <w:rFonts w:asciiTheme="minorHAnsi" w:hAnsiTheme="minorHAnsi"/>
                <w:i/>
                <w:sz w:val="20"/>
                <w:szCs w:val="20"/>
              </w:rPr>
            </w:pPr>
            <w:r w:rsidRPr="00C9657D">
              <w:rPr>
                <w:rFonts w:asciiTheme="minorHAnsi" w:hAnsiTheme="minorHAnsi"/>
                <w:i/>
                <w:sz w:val="20"/>
                <w:szCs w:val="20"/>
              </w:rPr>
              <w:t>0</w:t>
            </w:r>
          </w:p>
        </w:tc>
        <w:tc>
          <w:tcPr>
            <w:tcW w:w="344" w:type="pct"/>
          </w:tcPr>
          <w:p w14:paraId="1D8CA0A2" w14:textId="77777777" w:rsidR="00D55F31" w:rsidRPr="00C9657D" w:rsidRDefault="0024693B" w:rsidP="00613588">
            <w:pPr>
              <w:autoSpaceDE w:val="0"/>
              <w:autoSpaceDN w:val="0"/>
              <w:adjustRightInd w:val="0"/>
              <w:jc w:val="right"/>
              <w:rPr>
                <w:rFonts w:asciiTheme="minorHAnsi" w:hAnsiTheme="minorHAnsi"/>
                <w:i/>
                <w:sz w:val="20"/>
                <w:szCs w:val="20"/>
              </w:rPr>
            </w:pPr>
            <w:r w:rsidRPr="00C9657D">
              <w:rPr>
                <w:rFonts w:asciiTheme="minorHAnsi" w:hAnsiTheme="minorHAnsi"/>
                <w:i/>
                <w:sz w:val="20"/>
                <w:szCs w:val="20"/>
              </w:rPr>
              <w:t>0</w:t>
            </w:r>
          </w:p>
        </w:tc>
        <w:tc>
          <w:tcPr>
            <w:tcW w:w="344" w:type="pct"/>
          </w:tcPr>
          <w:p w14:paraId="36FB36E0" w14:textId="77777777" w:rsidR="00D55F31" w:rsidRPr="00C9657D" w:rsidRDefault="0024693B" w:rsidP="00613588">
            <w:pPr>
              <w:autoSpaceDE w:val="0"/>
              <w:autoSpaceDN w:val="0"/>
              <w:adjustRightInd w:val="0"/>
              <w:jc w:val="right"/>
              <w:rPr>
                <w:rFonts w:asciiTheme="minorHAnsi" w:hAnsiTheme="minorHAnsi"/>
                <w:i/>
                <w:sz w:val="20"/>
                <w:szCs w:val="20"/>
              </w:rPr>
            </w:pPr>
            <w:r w:rsidRPr="00C9657D">
              <w:rPr>
                <w:rFonts w:asciiTheme="minorHAnsi" w:hAnsiTheme="minorHAnsi"/>
                <w:i/>
                <w:sz w:val="20"/>
                <w:szCs w:val="20"/>
              </w:rPr>
              <w:t>0</w:t>
            </w:r>
          </w:p>
        </w:tc>
        <w:tc>
          <w:tcPr>
            <w:tcW w:w="347" w:type="pct"/>
          </w:tcPr>
          <w:p w14:paraId="5E7508EA" w14:textId="77777777" w:rsidR="00D55F31" w:rsidRPr="00C9657D" w:rsidRDefault="0024693B" w:rsidP="00613588">
            <w:pPr>
              <w:autoSpaceDE w:val="0"/>
              <w:autoSpaceDN w:val="0"/>
              <w:adjustRightInd w:val="0"/>
              <w:jc w:val="right"/>
              <w:rPr>
                <w:rFonts w:asciiTheme="minorHAnsi" w:hAnsiTheme="minorHAnsi"/>
                <w:i/>
                <w:sz w:val="20"/>
                <w:szCs w:val="20"/>
              </w:rPr>
            </w:pPr>
            <w:r w:rsidRPr="00C9657D">
              <w:rPr>
                <w:rFonts w:asciiTheme="minorHAnsi" w:hAnsiTheme="minorHAnsi"/>
                <w:i/>
                <w:sz w:val="20"/>
                <w:szCs w:val="20"/>
              </w:rPr>
              <w:t>0</w:t>
            </w:r>
          </w:p>
        </w:tc>
        <w:tc>
          <w:tcPr>
            <w:tcW w:w="344" w:type="pct"/>
          </w:tcPr>
          <w:p w14:paraId="4AE3D52B" w14:textId="77777777" w:rsidR="00D55F31" w:rsidRPr="00C9657D" w:rsidRDefault="0024693B" w:rsidP="00613588">
            <w:pPr>
              <w:autoSpaceDE w:val="0"/>
              <w:autoSpaceDN w:val="0"/>
              <w:adjustRightInd w:val="0"/>
              <w:jc w:val="right"/>
              <w:rPr>
                <w:rFonts w:asciiTheme="minorHAnsi" w:hAnsiTheme="minorHAnsi"/>
                <w:i/>
                <w:sz w:val="20"/>
                <w:szCs w:val="20"/>
              </w:rPr>
            </w:pPr>
            <w:r w:rsidRPr="00C9657D">
              <w:rPr>
                <w:rFonts w:asciiTheme="minorHAnsi" w:hAnsiTheme="minorHAnsi"/>
                <w:i/>
                <w:sz w:val="20"/>
                <w:szCs w:val="20"/>
              </w:rPr>
              <w:t>173</w:t>
            </w:r>
          </w:p>
        </w:tc>
        <w:tc>
          <w:tcPr>
            <w:tcW w:w="344" w:type="pct"/>
          </w:tcPr>
          <w:p w14:paraId="2175BC7F" w14:textId="77777777" w:rsidR="00D55F31" w:rsidRPr="00C9657D" w:rsidRDefault="0024693B" w:rsidP="00613588">
            <w:pPr>
              <w:autoSpaceDE w:val="0"/>
              <w:autoSpaceDN w:val="0"/>
              <w:adjustRightInd w:val="0"/>
              <w:jc w:val="right"/>
              <w:rPr>
                <w:rFonts w:asciiTheme="minorHAnsi" w:hAnsiTheme="minorHAnsi"/>
                <w:i/>
                <w:sz w:val="20"/>
                <w:szCs w:val="20"/>
              </w:rPr>
            </w:pPr>
            <w:r w:rsidRPr="00C9657D">
              <w:rPr>
                <w:rFonts w:asciiTheme="minorHAnsi" w:hAnsiTheme="minorHAnsi"/>
                <w:i/>
                <w:sz w:val="20"/>
                <w:szCs w:val="20"/>
              </w:rPr>
              <w:t>173</w:t>
            </w:r>
          </w:p>
        </w:tc>
        <w:tc>
          <w:tcPr>
            <w:tcW w:w="371" w:type="pct"/>
          </w:tcPr>
          <w:p w14:paraId="3CCD20DD" w14:textId="77777777" w:rsidR="00D55F31" w:rsidRPr="00C9657D" w:rsidRDefault="0024693B" w:rsidP="00613588">
            <w:pPr>
              <w:autoSpaceDE w:val="0"/>
              <w:autoSpaceDN w:val="0"/>
              <w:adjustRightInd w:val="0"/>
              <w:jc w:val="right"/>
              <w:rPr>
                <w:rFonts w:asciiTheme="minorHAnsi" w:hAnsiTheme="minorHAnsi"/>
                <w:i/>
                <w:sz w:val="20"/>
                <w:szCs w:val="20"/>
              </w:rPr>
            </w:pPr>
            <w:r w:rsidRPr="00C9657D">
              <w:rPr>
                <w:rFonts w:asciiTheme="minorHAnsi" w:hAnsiTheme="minorHAnsi"/>
                <w:i/>
                <w:sz w:val="20"/>
                <w:szCs w:val="20"/>
              </w:rPr>
              <w:t>173</w:t>
            </w:r>
          </w:p>
        </w:tc>
      </w:tr>
    </w:tbl>
    <w:p w14:paraId="5B42D54C" w14:textId="77777777" w:rsidR="00D55F31" w:rsidRPr="00C9657D" w:rsidRDefault="0024693B" w:rsidP="00613588">
      <w:pPr>
        <w:autoSpaceDE w:val="0"/>
        <w:autoSpaceDN w:val="0"/>
        <w:adjustRightInd w:val="0"/>
        <w:spacing w:before="40"/>
        <w:jc w:val="both"/>
        <w:rPr>
          <w:rFonts w:asciiTheme="minorHAnsi" w:hAnsiTheme="minorHAnsi"/>
          <w:sz w:val="20"/>
          <w:szCs w:val="16"/>
        </w:rPr>
      </w:pPr>
      <w:r w:rsidRPr="00C9657D">
        <w:rPr>
          <w:rFonts w:asciiTheme="minorHAnsi" w:hAnsiTheme="minorHAnsi"/>
          <w:b/>
          <w:sz w:val="20"/>
          <w:szCs w:val="16"/>
        </w:rPr>
        <w:t>Zdroj:</w:t>
      </w:r>
      <w:r w:rsidRPr="00C9657D">
        <w:rPr>
          <w:rFonts w:asciiTheme="minorHAnsi" w:hAnsiTheme="minorHAnsi"/>
          <w:sz w:val="20"/>
          <w:szCs w:val="16"/>
        </w:rPr>
        <w:t xml:space="preserve"> akreditační karty pro rok 2015 (SLL Bludov, SLL Janské Lázně, HL Karlova Studánka).</w:t>
      </w:r>
    </w:p>
    <w:p w14:paraId="2DFD9E00" w14:textId="719CE599" w:rsidR="00D55F31" w:rsidRPr="006F0BA5" w:rsidRDefault="0024693B" w:rsidP="00613588">
      <w:pPr>
        <w:autoSpaceDE w:val="0"/>
        <w:autoSpaceDN w:val="0"/>
        <w:spacing w:before="240"/>
        <w:jc w:val="both"/>
        <w:rPr>
          <w:rFonts w:ascii="Calibri" w:hAnsi="Calibri" w:cs="Calibri"/>
        </w:rPr>
      </w:pPr>
      <w:r w:rsidRPr="00C9657D">
        <w:rPr>
          <w:rFonts w:ascii="Calibri" w:hAnsi="Calibri" w:cs="Calibri"/>
        </w:rPr>
        <w:t xml:space="preserve">Nedílnou součástí AK byl rovněž ceník nadstandardů. SLL Bludov </w:t>
      </w:r>
      <w:r w:rsidRPr="00C9657D">
        <w:rPr>
          <w:rFonts w:ascii="Calibri" w:hAnsi="Calibri" w:cs="Calibri"/>
          <w:bCs/>
        </w:rPr>
        <w:t>účtovaly pojištěncům doplatky za</w:t>
      </w:r>
      <w:r w:rsidR="00276FDB">
        <w:rPr>
          <w:rFonts w:ascii="Calibri" w:hAnsi="Calibri" w:cs="Calibri"/>
          <w:bCs/>
        </w:rPr>
        <w:t xml:space="preserve"> </w:t>
      </w:r>
      <w:r w:rsidRPr="00C9657D">
        <w:rPr>
          <w:rFonts w:ascii="Calibri" w:hAnsi="Calibri" w:cs="Calibri"/>
          <w:bCs/>
        </w:rPr>
        <w:t>nadstandard jen za ubytování v </w:t>
      </w:r>
      <w:r w:rsidR="000D44D5">
        <w:rPr>
          <w:rFonts w:ascii="Calibri" w:hAnsi="Calibri" w:cs="Calibri"/>
          <w:bCs/>
        </w:rPr>
        <w:t>samostatném</w:t>
      </w:r>
      <w:r w:rsidR="000D44D5" w:rsidRPr="00C9657D">
        <w:rPr>
          <w:rFonts w:ascii="Calibri" w:hAnsi="Calibri" w:cs="Calibri"/>
          <w:bCs/>
        </w:rPr>
        <w:t xml:space="preserve"> </w:t>
      </w:r>
      <w:r w:rsidRPr="00C9657D">
        <w:rPr>
          <w:rFonts w:ascii="Calibri" w:hAnsi="Calibri" w:cs="Calibri"/>
          <w:bCs/>
        </w:rPr>
        <w:t xml:space="preserve">pokoji. </w:t>
      </w:r>
      <w:r w:rsidRPr="00C9657D">
        <w:rPr>
          <w:rFonts w:ascii="Calibri" w:hAnsi="Calibri" w:cs="Calibri"/>
        </w:rPr>
        <w:t xml:space="preserve">HL Karlova Studánka účtovaly doplatky za nadstandard i za ubytování ve dvoulůžkových pokojích až do výše </w:t>
      </w:r>
      <w:r w:rsidR="00296345">
        <w:rPr>
          <w:rFonts w:ascii="Calibri" w:hAnsi="Calibri" w:cs="Calibri"/>
        </w:rPr>
        <w:t>120</w:t>
      </w:r>
      <w:r w:rsidR="00296345" w:rsidRPr="00C9657D">
        <w:rPr>
          <w:rFonts w:ascii="Calibri" w:hAnsi="Calibri" w:cs="Calibri"/>
        </w:rPr>
        <w:t xml:space="preserve"> </w:t>
      </w:r>
      <w:r w:rsidRPr="00C9657D">
        <w:rPr>
          <w:rFonts w:ascii="Calibri" w:hAnsi="Calibri" w:cs="Calibri"/>
        </w:rPr>
        <w:t xml:space="preserve">Kč za </w:t>
      </w:r>
      <w:r w:rsidR="00DC3945">
        <w:rPr>
          <w:rFonts w:ascii="Calibri" w:hAnsi="Calibri" w:cs="Calibri"/>
        </w:rPr>
        <w:t xml:space="preserve">ošetřovací </w:t>
      </w:r>
      <w:r w:rsidRPr="00C9657D">
        <w:rPr>
          <w:rFonts w:ascii="Calibri" w:hAnsi="Calibri" w:cs="Calibri"/>
        </w:rPr>
        <w:t xml:space="preserve">den, </w:t>
      </w:r>
      <w:r w:rsidRPr="006F0BA5">
        <w:rPr>
          <w:rFonts w:ascii="Calibri" w:hAnsi="Calibri" w:cs="Calibri"/>
        </w:rPr>
        <w:t xml:space="preserve">aniž by prokázaly, že nadstandardní ubytování </w:t>
      </w:r>
      <w:r>
        <w:rPr>
          <w:rFonts w:ascii="Calibri" w:hAnsi="Calibri" w:cs="Calibri"/>
        </w:rPr>
        <w:t xml:space="preserve">poskytly na základě požadavku </w:t>
      </w:r>
      <w:r w:rsidR="000751B8">
        <w:rPr>
          <w:rFonts w:ascii="Calibri" w:hAnsi="Calibri" w:cs="Calibri"/>
        </w:rPr>
        <w:t>pojištěnce</w:t>
      </w:r>
      <w:r w:rsidRPr="006F0BA5">
        <w:rPr>
          <w:rFonts w:ascii="Calibri" w:hAnsi="Calibri" w:cs="Calibri"/>
        </w:rPr>
        <w:t xml:space="preserve">. </w:t>
      </w:r>
    </w:p>
    <w:p w14:paraId="75A33439" w14:textId="77777777" w:rsidR="00D55F31" w:rsidRPr="006F0BA5" w:rsidRDefault="0024693B" w:rsidP="00613588">
      <w:pPr>
        <w:spacing w:before="240"/>
        <w:jc w:val="both"/>
        <w:rPr>
          <w:rFonts w:asciiTheme="minorHAnsi" w:hAnsiTheme="minorHAnsi" w:cstheme="minorHAnsi"/>
          <w:b/>
        </w:rPr>
      </w:pPr>
      <w:r w:rsidRPr="006F0BA5">
        <w:rPr>
          <w:rFonts w:asciiTheme="minorHAnsi" w:hAnsiTheme="minorHAnsi" w:cstheme="minorHAnsi"/>
          <w:b/>
        </w:rPr>
        <w:t>3.3 Léčebné plány</w:t>
      </w:r>
    </w:p>
    <w:p w14:paraId="111760D3" w14:textId="77777777" w:rsidR="00D55F31" w:rsidRPr="00C9657D" w:rsidRDefault="0024693B" w:rsidP="00613588">
      <w:pPr>
        <w:autoSpaceDE w:val="0"/>
        <w:autoSpaceDN w:val="0"/>
        <w:spacing w:before="120"/>
        <w:jc w:val="both"/>
        <w:rPr>
          <w:rFonts w:ascii="Calibri" w:hAnsi="Calibri" w:cs="Calibri"/>
        </w:rPr>
      </w:pPr>
      <w:r w:rsidRPr="00C9657D">
        <w:rPr>
          <w:rFonts w:ascii="Calibri" w:hAnsi="Calibri" w:cs="Calibri"/>
        </w:rPr>
        <w:t xml:space="preserve">Kontrolou léčebných plánů bylo prověřeno, zda byl pojištěncům </w:t>
      </w:r>
      <w:r w:rsidR="000751B8">
        <w:rPr>
          <w:rFonts w:ascii="Calibri" w:hAnsi="Calibri" w:cs="Calibri"/>
        </w:rPr>
        <w:t>poskytován</w:t>
      </w:r>
      <w:r w:rsidR="000751B8" w:rsidRPr="00C9657D">
        <w:rPr>
          <w:rFonts w:ascii="Calibri" w:hAnsi="Calibri" w:cs="Calibri"/>
        </w:rPr>
        <w:t xml:space="preserve"> </w:t>
      </w:r>
      <w:r w:rsidRPr="00C9657D">
        <w:rPr>
          <w:rFonts w:ascii="Calibri" w:hAnsi="Calibri" w:cs="Calibri"/>
        </w:rPr>
        <w:t>odpovídající počet léčebných procedur s</w:t>
      </w:r>
      <w:r w:rsidR="00747332">
        <w:rPr>
          <w:rFonts w:ascii="Calibri" w:hAnsi="Calibri" w:cs="Calibri"/>
        </w:rPr>
        <w:t> přihlédnutím k potřebám a možnostem pojištěnců léčebný plán absolvovat</w:t>
      </w:r>
      <w:r w:rsidRPr="00C9657D">
        <w:rPr>
          <w:rFonts w:ascii="Calibri" w:hAnsi="Calibri" w:cs="Calibri"/>
        </w:rPr>
        <w:t xml:space="preserve">. Předložené léčebné plány byly </w:t>
      </w:r>
      <w:r w:rsidR="006B5AE3">
        <w:rPr>
          <w:rFonts w:ascii="Calibri" w:hAnsi="Calibri" w:cs="Calibri"/>
        </w:rPr>
        <w:t>poskytovateli lázeňské péče</w:t>
      </w:r>
      <w:r w:rsidR="006B5AE3" w:rsidRPr="00C9657D">
        <w:rPr>
          <w:rFonts w:ascii="Calibri" w:hAnsi="Calibri" w:cs="Calibri"/>
        </w:rPr>
        <w:t xml:space="preserve"> </w:t>
      </w:r>
      <w:r w:rsidRPr="00C9657D">
        <w:rPr>
          <w:rFonts w:ascii="Calibri" w:hAnsi="Calibri" w:cs="Calibri"/>
        </w:rPr>
        <w:t>zpracovány jako týdenní léčebné cykly a</w:t>
      </w:r>
      <w:r w:rsidR="00DC3945">
        <w:rPr>
          <w:rFonts w:ascii="Calibri" w:hAnsi="Calibri" w:cs="Calibri"/>
        </w:rPr>
        <w:t> </w:t>
      </w:r>
      <w:r w:rsidRPr="00C9657D">
        <w:rPr>
          <w:rFonts w:ascii="Calibri" w:hAnsi="Calibri" w:cs="Calibri"/>
        </w:rPr>
        <w:t>obsahovaly požadovaný počet léčebných procedur</w:t>
      </w:r>
      <w:r>
        <w:rPr>
          <w:rStyle w:val="Znakapoznpodarou"/>
          <w:rFonts w:asciiTheme="minorHAnsi" w:hAnsiTheme="minorHAnsi"/>
        </w:rPr>
        <w:footnoteReference w:id="50"/>
      </w:r>
      <w:r w:rsidRPr="00C9657D">
        <w:rPr>
          <w:rFonts w:asciiTheme="minorHAnsi" w:hAnsiTheme="minorHAnsi"/>
        </w:rPr>
        <w:t xml:space="preserve">. </w:t>
      </w:r>
    </w:p>
    <w:p w14:paraId="48EA4AB4" w14:textId="2B211771" w:rsidR="00D55F31" w:rsidRPr="00C9657D" w:rsidRDefault="0024693B" w:rsidP="00613588">
      <w:pPr>
        <w:autoSpaceDE w:val="0"/>
        <w:autoSpaceDN w:val="0"/>
        <w:adjustRightInd w:val="0"/>
        <w:spacing w:before="120"/>
        <w:jc w:val="both"/>
        <w:rPr>
          <w:rFonts w:asciiTheme="minorHAnsi" w:hAnsiTheme="minorHAnsi"/>
          <w:b/>
        </w:rPr>
      </w:pPr>
      <w:r w:rsidRPr="00C9657D">
        <w:rPr>
          <w:rFonts w:asciiTheme="minorHAnsi" w:hAnsiTheme="minorHAnsi"/>
        </w:rPr>
        <w:t xml:space="preserve">Dle smluvního ujednání se ZP </w:t>
      </w:r>
      <w:r>
        <w:rPr>
          <w:rFonts w:asciiTheme="minorHAnsi" w:hAnsiTheme="minorHAnsi"/>
        </w:rPr>
        <w:t>měli</w:t>
      </w:r>
      <w:r w:rsidRPr="00C9657D">
        <w:rPr>
          <w:rFonts w:asciiTheme="minorHAnsi" w:hAnsiTheme="minorHAnsi"/>
        </w:rPr>
        <w:t xml:space="preserve"> poskytovatelé lázeňské péče poskytovat procedury s aplikací PLZ v četnosti </w:t>
      </w:r>
      <w:r>
        <w:rPr>
          <w:rFonts w:asciiTheme="minorHAnsi" w:hAnsiTheme="minorHAnsi"/>
        </w:rPr>
        <w:t xml:space="preserve">tři až šestkrát </w:t>
      </w:r>
      <w:r w:rsidRPr="00C9657D">
        <w:rPr>
          <w:rFonts w:asciiTheme="minorHAnsi" w:hAnsiTheme="minorHAnsi"/>
        </w:rPr>
        <w:t xml:space="preserve">týdně, </w:t>
      </w:r>
      <w:proofErr w:type="spellStart"/>
      <w:r w:rsidRPr="00C9657D">
        <w:rPr>
          <w:rFonts w:asciiTheme="minorHAnsi" w:hAnsiTheme="minorHAnsi"/>
        </w:rPr>
        <w:t>peloidní</w:t>
      </w:r>
      <w:proofErr w:type="spellEnd"/>
      <w:r w:rsidRPr="00C9657D">
        <w:rPr>
          <w:rFonts w:asciiTheme="minorHAnsi" w:hAnsiTheme="minorHAnsi"/>
        </w:rPr>
        <w:t xml:space="preserve"> procedury minimálně </w:t>
      </w:r>
      <w:r>
        <w:rPr>
          <w:rFonts w:asciiTheme="minorHAnsi" w:hAnsiTheme="minorHAnsi"/>
        </w:rPr>
        <w:t>třikrát</w:t>
      </w:r>
      <w:r w:rsidRPr="00C9657D">
        <w:rPr>
          <w:rFonts w:asciiTheme="minorHAnsi" w:hAnsiTheme="minorHAnsi"/>
        </w:rPr>
        <w:t xml:space="preserve"> týdně. U</w:t>
      </w:r>
      <w:r>
        <w:rPr>
          <w:rFonts w:asciiTheme="minorHAnsi" w:hAnsiTheme="minorHAnsi"/>
        </w:rPr>
        <w:t> </w:t>
      </w:r>
      <w:r w:rsidR="00170FBD">
        <w:rPr>
          <w:rFonts w:asciiTheme="minorHAnsi" w:hAnsiTheme="minorHAnsi"/>
        </w:rPr>
        <w:t>HL Karlova Studánka</w:t>
      </w:r>
      <w:r w:rsidRPr="00C9657D">
        <w:rPr>
          <w:rFonts w:asciiTheme="minorHAnsi" w:hAnsiTheme="minorHAnsi"/>
        </w:rPr>
        <w:t xml:space="preserve"> </w:t>
      </w:r>
      <w:r w:rsidR="00170FBD">
        <w:rPr>
          <w:rFonts w:asciiTheme="minorHAnsi" w:hAnsiTheme="minorHAnsi"/>
        </w:rPr>
        <w:t xml:space="preserve">některé </w:t>
      </w:r>
      <w:r w:rsidRPr="00C9657D">
        <w:rPr>
          <w:rFonts w:asciiTheme="minorHAnsi" w:hAnsiTheme="minorHAnsi"/>
        </w:rPr>
        <w:t xml:space="preserve">léčebné plány </w:t>
      </w:r>
      <w:r w:rsidR="00170FBD" w:rsidRPr="00C9657D">
        <w:rPr>
          <w:rFonts w:asciiTheme="minorHAnsi" w:hAnsiTheme="minorHAnsi"/>
        </w:rPr>
        <w:t>obsahovaly</w:t>
      </w:r>
      <w:r w:rsidR="00276FDB">
        <w:rPr>
          <w:rFonts w:asciiTheme="minorHAnsi" w:hAnsiTheme="minorHAnsi"/>
        </w:rPr>
        <w:t xml:space="preserve"> </w:t>
      </w:r>
      <w:r w:rsidRPr="00C9657D">
        <w:rPr>
          <w:rFonts w:asciiTheme="minorHAnsi" w:hAnsiTheme="minorHAnsi"/>
        </w:rPr>
        <w:t xml:space="preserve">nižší četnost léčebných procedur s peloidem, než vyplynulo ze smluvního ujednání se ZP.  </w:t>
      </w:r>
    </w:p>
    <w:p w14:paraId="5F40C33D" w14:textId="77777777" w:rsidR="00D55F31" w:rsidRPr="006F0BA5" w:rsidRDefault="0024693B" w:rsidP="00613588">
      <w:pPr>
        <w:spacing w:before="240"/>
        <w:jc w:val="both"/>
        <w:rPr>
          <w:rFonts w:asciiTheme="minorHAnsi" w:hAnsiTheme="minorHAnsi" w:cstheme="minorHAnsi"/>
          <w:b/>
        </w:rPr>
      </w:pPr>
      <w:r w:rsidRPr="006F0BA5">
        <w:rPr>
          <w:rFonts w:asciiTheme="minorHAnsi" w:hAnsiTheme="minorHAnsi" w:cstheme="minorHAnsi"/>
          <w:b/>
        </w:rPr>
        <w:t>3.4 Odmítnuté návrhy na lázeňskou péči</w:t>
      </w:r>
    </w:p>
    <w:p w14:paraId="528EF1EC" w14:textId="02396D93" w:rsidR="00D55F31" w:rsidRPr="00C9657D" w:rsidRDefault="0024693B" w:rsidP="00613588">
      <w:pPr>
        <w:autoSpaceDE w:val="0"/>
        <w:autoSpaceDN w:val="0"/>
        <w:spacing w:before="120"/>
        <w:jc w:val="both"/>
        <w:rPr>
          <w:rFonts w:ascii="Calibri" w:hAnsi="Calibri" w:cs="Calibri"/>
        </w:rPr>
      </w:pPr>
      <w:r w:rsidRPr="00C9657D">
        <w:rPr>
          <w:rFonts w:ascii="Calibri" w:hAnsi="Calibri" w:cs="Calibri"/>
        </w:rPr>
        <w:t xml:space="preserve">Kontrolou bylo </w:t>
      </w:r>
      <w:r w:rsidR="00747332">
        <w:rPr>
          <w:rFonts w:ascii="Calibri" w:hAnsi="Calibri" w:cs="Calibri"/>
        </w:rPr>
        <w:t>zjištěno</w:t>
      </w:r>
      <w:r w:rsidRPr="00C9657D">
        <w:rPr>
          <w:rFonts w:ascii="Calibri" w:hAnsi="Calibri" w:cs="Calibri"/>
        </w:rPr>
        <w:t>, že v letech 2014 a 2015 odmítly SLL Bludov šest návrhů na</w:t>
      </w:r>
      <w:r w:rsidR="00276FDB">
        <w:rPr>
          <w:rFonts w:ascii="Calibri" w:hAnsi="Calibri" w:cs="Calibri"/>
        </w:rPr>
        <w:t xml:space="preserve"> </w:t>
      </w:r>
      <w:r w:rsidRPr="00C9657D">
        <w:rPr>
          <w:rFonts w:ascii="Calibri" w:hAnsi="Calibri" w:cs="Calibri"/>
        </w:rPr>
        <w:t>lázeňskou péči</w:t>
      </w:r>
      <w:r w:rsidR="00747332">
        <w:rPr>
          <w:rFonts w:ascii="Calibri" w:hAnsi="Calibri" w:cs="Calibri"/>
        </w:rPr>
        <w:t xml:space="preserve"> z důvodu nedostatečného zajištění lázeňské péče v příslušné indikaci</w:t>
      </w:r>
      <w:r w:rsidRPr="00C9657D">
        <w:rPr>
          <w:rFonts w:ascii="Calibri" w:hAnsi="Calibri" w:cs="Calibri"/>
        </w:rPr>
        <w:t>. SLL Janské Lázně evidovaly rostoucí počet odmítnutých návrhů z důvodu nedostatečné ubytovací a personální kapacity. Nedostatkem odborných pracovníků</w:t>
      </w:r>
      <w:r>
        <w:rPr>
          <w:rFonts w:ascii="Calibri" w:hAnsi="Calibri" w:cs="Calibri"/>
          <w:vertAlign w:val="superscript"/>
        </w:rPr>
        <w:footnoteReference w:id="51"/>
      </w:r>
      <w:r w:rsidRPr="00C9657D">
        <w:rPr>
          <w:rFonts w:ascii="Calibri" w:hAnsi="Calibri" w:cs="Calibri"/>
        </w:rPr>
        <w:t xml:space="preserve">, </w:t>
      </w:r>
      <w:proofErr w:type="spellStart"/>
      <w:r w:rsidRPr="00C9657D">
        <w:rPr>
          <w:rFonts w:ascii="Calibri" w:hAnsi="Calibri" w:cs="Calibri"/>
        </w:rPr>
        <w:t>nedostkem</w:t>
      </w:r>
      <w:proofErr w:type="spellEnd"/>
      <w:r w:rsidRPr="00C9657D">
        <w:rPr>
          <w:rFonts w:ascii="Calibri" w:hAnsi="Calibri" w:cs="Calibri"/>
        </w:rPr>
        <w:t xml:space="preserve"> léčebných prostor a na to </w:t>
      </w:r>
      <w:r w:rsidRPr="00C9657D">
        <w:rPr>
          <w:rFonts w:ascii="Calibri" w:hAnsi="Calibri" w:cs="Calibri"/>
        </w:rPr>
        <w:lastRenderedPageBreak/>
        <w:t>navazující omezenou stravovací kapacitou v nejžádanějších měsících (</w:t>
      </w:r>
      <w:r w:rsidR="00DC3945">
        <w:rPr>
          <w:rFonts w:ascii="Calibri" w:hAnsi="Calibri" w:cs="Calibri"/>
        </w:rPr>
        <w:t>květen až říjen</w:t>
      </w:r>
      <w:r w:rsidRPr="00C9657D">
        <w:rPr>
          <w:rFonts w:ascii="Calibri" w:hAnsi="Calibri" w:cs="Calibri"/>
        </w:rPr>
        <w:t>) zdůvodnily nárůst odmítnutých návrhů i HL Karlova Studánka (viz tabulka č. 10).</w:t>
      </w:r>
    </w:p>
    <w:p w14:paraId="50E3C0C0" w14:textId="5AE83B25" w:rsidR="00D55F31" w:rsidRPr="00C9657D" w:rsidRDefault="0024693B" w:rsidP="00613588">
      <w:pPr>
        <w:autoSpaceDE w:val="0"/>
        <w:autoSpaceDN w:val="0"/>
        <w:adjustRightInd w:val="0"/>
        <w:spacing w:before="120"/>
        <w:jc w:val="both"/>
        <w:rPr>
          <w:rFonts w:asciiTheme="minorHAnsi" w:hAnsiTheme="minorHAnsi"/>
          <w:b/>
        </w:rPr>
      </w:pPr>
      <w:r w:rsidRPr="00C9657D">
        <w:rPr>
          <w:rFonts w:asciiTheme="minorHAnsi" w:hAnsiTheme="minorHAnsi"/>
          <w:b/>
        </w:rPr>
        <w:t xml:space="preserve">Tabulka č. 10 </w:t>
      </w:r>
      <w:r>
        <w:rPr>
          <w:rFonts w:asciiTheme="minorHAnsi" w:hAnsiTheme="minorHAnsi"/>
          <w:b/>
        </w:rPr>
        <w:t>–</w:t>
      </w:r>
      <w:r w:rsidRPr="00C9657D">
        <w:rPr>
          <w:rFonts w:asciiTheme="minorHAnsi" w:hAnsiTheme="minorHAnsi"/>
          <w:b/>
        </w:rPr>
        <w:t xml:space="preserve"> Počet doručených odmítnutých návrhů v letech 2014</w:t>
      </w:r>
      <w:r w:rsidR="00276FDB">
        <w:rPr>
          <w:rFonts w:asciiTheme="minorHAnsi" w:hAnsiTheme="minorHAnsi"/>
          <w:b/>
        </w:rPr>
        <w:t>–</w:t>
      </w:r>
      <w:r w:rsidRPr="00C9657D">
        <w:rPr>
          <w:rFonts w:asciiTheme="minorHAnsi" w:hAnsiTheme="minorHAnsi"/>
          <w:b/>
        </w:rPr>
        <w:t>2015</w:t>
      </w:r>
    </w:p>
    <w:tbl>
      <w:tblPr>
        <w:tblStyle w:val="Mkatabulky"/>
        <w:tblW w:w="9082"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3318"/>
        <w:gridCol w:w="977"/>
        <w:gridCol w:w="885"/>
        <w:gridCol w:w="931"/>
        <w:gridCol w:w="931"/>
        <w:gridCol w:w="1038"/>
        <w:gridCol w:w="1002"/>
      </w:tblGrid>
      <w:tr w:rsidR="00C425F2" w14:paraId="071F90DF" w14:textId="77777777" w:rsidTr="006457FE">
        <w:trPr>
          <w:trHeight w:val="172"/>
        </w:trPr>
        <w:tc>
          <w:tcPr>
            <w:tcW w:w="3318" w:type="dxa"/>
            <w:vMerge w:val="restart"/>
            <w:shd w:val="clear" w:color="auto" w:fill="C6D9F1" w:themeFill="text2" w:themeFillTint="33"/>
            <w:vAlign w:val="center"/>
          </w:tcPr>
          <w:p w14:paraId="4C6673AB" w14:textId="77777777" w:rsidR="00D55F31" w:rsidRPr="00C9657D" w:rsidRDefault="0024693B" w:rsidP="00613588">
            <w:pPr>
              <w:autoSpaceDE w:val="0"/>
              <w:autoSpaceDN w:val="0"/>
              <w:adjustRightInd w:val="0"/>
              <w:jc w:val="center"/>
              <w:rPr>
                <w:rFonts w:asciiTheme="minorHAnsi" w:hAnsiTheme="minorHAnsi"/>
                <w:b/>
                <w:sz w:val="20"/>
                <w:szCs w:val="20"/>
              </w:rPr>
            </w:pPr>
            <w:r w:rsidRPr="00C9657D">
              <w:rPr>
                <w:rFonts w:asciiTheme="minorHAnsi" w:hAnsiTheme="minorHAnsi"/>
                <w:b/>
                <w:sz w:val="20"/>
                <w:szCs w:val="20"/>
              </w:rPr>
              <w:t>Návrhy na lázeňskou péči</w:t>
            </w:r>
          </w:p>
        </w:tc>
        <w:tc>
          <w:tcPr>
            <w:tcW w:w="1862" w:type="dxa"/>
            <w:gridSpan w:val="2"/>
            <w:shd w:val="clear" w:color="auto" w:fill="C6D9F1" w:themeFill="text2" w:themeFillTint="33"/>
          </w:tcPr>
          <w:p w14:paraId="117052DF" w14:textId="77777777" w:rsidR="00D55F31" w:rsidRPr="00C9657D" w:rsidRDefault="0024693B" w:rsidP="00613588">
            <w:pPr>
              <w:autoSpaceDE w:val="0"/>
              <w:autoSpaceDN w:val="0"/>
              <w:adjustRightInd w:val="0"/>
              <w:jc w:val="center"/>
              <w:rPr>
                <w:rFonts w:asciiTheme="minorHAnsi" w:hAnsiTheme="minorHAnsi"/>
                <w:b/>
                <w:sz w:val="20"/>
                <w:szCs w:val="20"/>
              </w:rPr>
            </w:pPr>
            <w:r w:rsidRPr="00C9657D">
              <w:rPr>
                <w:rFonts w:asciiTheme="minorHAnsi" w:hAnsiTheme="minorHAnsi"/>
                <w:b/>
                <w:sz w:val="20"/>
                <w:szCs w:val="20"/>
              </w:rPr>
              <w:t>SLL Bludov</w:t>
            </w:r>
          </w:p>
        </w:tc>
        <w:tc>
          <w:tcPr>
            <w:tcW w:w="1862" w:type="dxa"/>
            <w:gridSpan w:val="2"/>
            <w:shd w:val="clear" w:color="auto" w:fill="C6D9F1" w:themeFill="text2" w:themeFillTint="33"/>
          </w:tcPr>
          <w:p w14:paraId="1D27F022" w14:textId="77777777" w:rsidR="00D55F31" w:rsidRPr="00C9657D" w:rsidRDefault="0024693B" w:rsidP="00613588">
            <w:pPr>
              <w:autoSpaceDE w:val="0"/>
              <w:autoSpaceDN w:val="0"/>
              <w:adjustRightInd w:val="0"/>
              <w:jc w:val="center"/>
              <w:rPr>
                <w:rFonts w:asciiTheme="minorHAnsi" w:hAnsiTheme="minorHAnsi"/>
                <w:b/>
                <w:sz w:val="20"/>
                <w:szCs w:val="20"/>
              </w:rPr>
            </w:pPr>
            <w:r w:rsidRPr="00C9657D">
              <w:rPr>
                <w:rFonts w:asciiTheme="minorHAnsi" w:hAnsiTheme="minorHAnsi"/>
                <w:b/>
                <w:sz w:val="20"/>
                <w:szCs w:val="20"/>
              </w:rPr>
              <w:t>SLL Jánské Lázně</w:t>
            </w:r>
          </w:p>
        </w:tc>
        <w:tc>
          <w:tcPr>
            <w:tcW w:w="2040" w:type="dxa"/>
            <w:gridSpan w:val="2"/>
            <w:shd w:val="clear" w:color="auto" w:fill="C6D9F1" w:themeFill="text2" w:themeFillTint="33"/>
          </w:tcPr>
          <w:p w14:paraId="203407E5" w14:textId="77777777" w:rsidR="00D55F31" w:rsidRPr="00C9657D" w:rsidRDefault="0024693B" w:rsidP="00613588">
            <w:pPr>
              <w:autoSpaceDE w:val="0"/>
              <w:autoSpaceDN w:val="0"/>
              <w:adjustRightInd w:val="0"/>
              <w:jc w:val="center"/>
              <w:rPr>
                <w:rFonts w:asciiTheme="minorHAnsi" w:hAnsiTheme="minorHAnsi"/>
                <w:b/>
                <w:sz w:val="20"/>
                <w:szCs w:val="20"/>
              </w:rPr>
            </w:pPr>
            <w:r w:rsidRPr="00C9657D">
              <w:rPr>
                <w:rFonts w:asciiTheme="minorHAnsi" w:hAnsiTheme="minorHAnsi"/>
                <w:b/>
                <w:sz w:val="20"/>
                <w:szCs w:val="20"/>
              </w:rPr>
              <w:t>HL Karlova Studánka</w:t>
            </w:r>
          </w:p>
        </w:tc>
      </w:tr>
      <w:tr w:rsidR="00C425F2" w14:paraId="375DC3BC" w14:textId="77777777" w:rsidTr="006457FE">
        <w:tc>
          <w:tcPr>
            <w:tcW w:w="3318" w:type="dxa"/>
            <w:vMerge/>
            <w:shd w:val="clear" w:color="auto" w:fill="DBE5F1" w:themeFill="accent1" w:themeFillTint="33"/>
          </w:tcPr>
          <w:p w14:paraId="610562B9" w14:textId="77777777" w:rsidR="00D55F31" w:rsidRPr="00C9657D" w:rsidRDefault="00D55F31" w:rsidP="00613588">
            <w:pPr>
              <w:autoSpaceDE w:val="0"/>
              <w:autoSpaceDN w:val="0"/>
              <w:adjustRightInd w:val="0"/>
              <w:jc w:val="both"/>
              <w:rPr>
                <w:rFonts w:asciiTheme="minorHAnsi" w:hAnsiTheme="minorHAnsi"/>
                <w:b/>
                <w:i/>
                <w:sz w:val="20"/>
                <w:szCs w:val="20"/>
              </w:rPr>
            </w:pPr>
          </w:p>
        </w:tc>
        <w:tc>
          <w:tcPr>
            <w:tcW w:w="977" w:type="dxa"/>
            <w:shd w:val="clear" w:color="auto" w:fill="C6D9F1" w:themeFill="text2" w:themeFillTint="33"/>
          </w:tcPr>
          <w:p w14:paraId="26A93763" w14:textId="77777777" w:rsidR="00D55F31" w:rsidRPr="00964FAD" w:rsidRDefault="0024693B" w:rsidP="00613588">
            <w:pPr>
              <w:autoSpaceDE w:val="0"/>
              <w:autoSpaceDN w:val="0"/>
              <w:adjustRightInd w:val="0"/>
              <w:jc w:val="center"/>
              <w:rPr>
                <w:rFonts w:asciiTheme="minorHAnsi" w:hAnsiTheme="minorHAnsi"/>
                <w:b/>
                <w:sz w:val="20"/>
                <w:szCs w:val="20"/>
              </w:rPr>
            </w:pPr>
            <w:r w:rsidRPr="00964FAD">
              <w:rPr>
                <w:rFonts w:asciiTheme="minorHAnsi" w:hAnsiTheme="minorHAnsi"/>
                <w:b/>
                <w:sz w:val="20"/>
                <w:szCs w:val="20"/>
              </w:rPr>
              <w:t>2014</w:t>
            </w:r>
          </w:p>
        </w:tc>
        <w:tc>
          <w:tcPr>
            <w:tcW w:w="885" w:type="dxa"/>
            <w:shd w:val="clear" w:color="auto" w:fill="C6D9F1" w:themeFill="text2" w:themeFillTint="33"/>
          </w:tcPr>
          <w:p w14:paraId="44BEA52F" w14:textId="77777777" w:rsidR="00D55F31" w:rsidRPr="00964FAD" w:rsidRDefault="0024693B" w:rsidP="00613588">
            <w:pPr>
              <w:autoSpaceDE w:val="0"/>
              <w:autoSpaceDN w:val="0"/>
              <w:adjustRightInd w:val="0"/>
              <w:jc w:val="center"/>
              <w:rPr>
                <w:rFonts w:asciiTheme="minorHAnsi" w:hAnsiTheme="minorHAnsi"/>
                <w:b/>
                <w:sz w:val="20"/>
                <w:szCs w:val="20"/>
              </w:rPr>
            </w:pPr>
            <w:r w:rsidRPr="00964FAD">
              <w:rPr>
                <w:rFonts w:asciiTheme="minorHAnsi" w:hAnsiTheme="minorHAnsi"/>
                <w:b/>
                <w:sz w:val="20"/>
                <w:szCs w:val="20"/>
              </w:rPr>
              <w:t>2015</w:t>
            </w:r>
          </w:p>
        </w:tc>
        <w:tc>
          <w:tcPr>
            <w:tcW w:w="931" w:type="dxa"/>
            <w:shd w:val="clear" w:color="auto" w:fill="C6D9F1" w:themeFill="text2" w:themeFillTint="33"/>
          </w:tcPr>
          <w:p w14:paraId="60D3DC35" w14:textId="77777777" w:rsidR="00D55F31" w:rsidRPr="00964FAD" w:rsidRDefault="0024693B" w:rsidP="00613588">
            <w:pPr>
              <w:autoSpaceDE w:val="0"/>
              <w:autoSpaceDN w:val="0"/>
              <w:adjustRightInd w:val="0"/>
              <w:jc w:val="center"/>
              <w:rPr>
                <w:rFonts w:asciiTheme="minorHAnsi" w:hAnsiTheme="minorHAnsi"/>
                <w:b/>
                <w:sz w:val="20"/>
                <w:szCs w:val="20"/>
              </w:rPr>
            </w:pPr>
            <w:r w:rsidRPr="00964FAD">
              <w:rPr>
                <w:rFonts w:asciiTheme="minorHAnsi" w:hAnsiTheme="minorHAnsi"/>
                <w:b/>
                <w:sz w:val="20"/>
                <w:szCs w:val="20"/>
              </w:rPr>
              <w:t>2014</w:t>
            </w:r>
          </w:p>
        </w:tc>
        <w:tc>
          <w:tcPr>
            <w:tcW w:w="931" w:type="dxa"/>
            <w:shd w:val="clear" w:color="auto" w:fill="C6D9F1" w:themeFill="text2" w:themeFillTint="33"/>
          </w:tcPr>
          <w:p w14:paraId="3AB3B8D1" w14:textId="77777777" w:rsidR="00D55F31" w:rsidRPr="00964FAD" w:rsidRDefault="0024693B" w:rsidP="00613588">
            <w:pPr>
              <w:autoSpaceDE w:val="0"/>
              <w:autoSpaceDN w:val="0"/>
              <w:adjustRightInd w:val="0"/>
              <w:jc w:val="center"/>
              <w:rPr>
                <w:rFonts w:asciiTheme="minorHAnsi" w:hAnsiTheme="minorHAnsi"/>
                <w:b/>
                <w:sz w:val="20"/>
                <w:szCs w:val="20"/>
              </w:rPr>
            </w:pPr>
            <w:r w:rsidRPr="00964FAD">
              <w:rPr>
                <w:rFonts w:asciiTheme="minorHAnsi" w:hAnsiTheme="minorHAnsi"/>
                <w:b/>
                <w:sz w:val="20"/>
                <w:szCs w:val="20"/>
              </w:rPr>
              <w:t>2015</w:t>
            </w:r>
          </w:p>
        </w:tc>
        <w:tc>
          <w:tcPr>
            <w:tcW w:w="1038" w:type="dxa"/>
            <w:shd w:val="clear" w:color="auto" w:fill="C6D9F1" w:themeFill="text2" w:themeFillTint="33"/>
          </w:tcPr>
          <w:p w14:paraId="1BC6026B" w14:textId="77777777" w:rsidR="00D55F31" w:rsidRPr="00964FAD" w:rsidRDefault="0024693B" w:rsidP="00613588">
            <w:pPr>
              <w:autoSpaceDE w:val="0"/>
              <w:autoSpaceDN w:val="0"/>
              <w:adjustRightInd w:val="0"/>
              <w:jc w:val="center"/>
              <w:rPr>
                <w:rFonts w:asciiTheme="minorHAnsi" w:hAnsiTheme="minorHAnsi"/>
                <w:b/>
                <w:sz w:val="20"/>
                <w:szCs w:val="20"/>
              </w:rPr>
            </w:pPr>
            <w:r w:rsidRPr="00964FAD">
              <w:rPr>
                <w:rFonts w:asciiTheme="minorHAnsi" w:hAnsiTheme="minorHAnsi"/>
                <w:b/>
                <w:sz w:val="20"/>
                <w:szCs w:val="20"/>
              </w:rPr>
              <w:t>2014</w:t>
            </w:r>
          </w:p>
        </w:tc>
        <w:tc>
          <w:tcPr>
            <w:tcW w:w="1002" w:type="dxa"/>
            <w:shd w:val="clear" w:color="auto" w:fill="C6D9F1" w:themeFill="text2" w:themeFillTint="33"/>
          </w:tcPr>
          <w:p w14:paraId="16578A35" w14:textId="77777777" w:rsidR="00D55F31" w:rsidRPr="00964FAD" w:rsidRDefault="0024693B" w:rsidP="00613588">
            <w:pPr>
              <w:autoSpaceDE w:val="0"/>
              <w:autoSpaceDN w:val="0"/>
              <w:adjustRightInd w:val="0"/>
              <w:jc w:val="center"/>
              <w:rPr>
                <w:rFonts w:asciiTheme="minorHAnsi" w:hAnsiTheme="minorHAnsi"/>
                <w:b/>
                <w:sz w:val="20"/>
                <w:szCs w:val="20"/>
              </w:rPr>
            </w:pPr>
            <w:r w:rsidRPr="00964FAD">
              <w:rPr>
                <w:rFonts w:asciiTheme="minorHAnsi" w:hAnsiTheme="minorHAnsi"/>
                <w:b/>
                <w:sz w:val="20"/>
                <w:szCs w:val="20"/>
              </w:rPr>
              <w:t>2015</w:t>
            </w:r>
          </w:p>
        </w:tc>
      </w:tr>
      <w:tr w:rsidR="00C425F2" w14:paraId="4D31A01E" w14:textId="77777777" w:rsidTr="006457FE">
        <w:tc>
          <w:tcPr>
            <w:tcW w:w="3318" w:type="dxa"/>
            <w:shd w:val="clear" w:color="auto" w:fill="auto"/>
          </w:tcPr>
          <w:p w14:paraId="232ACAC8" w14:textId="77777777" w:rsidR="00D55F31" w:rsidRPr="00C9657D" w:rsidRDefault="0024693B" w:rsidP="00613588">
            <w:pPr>
              <w:autoSpaceDE w:val="0"/>
              <w:autoSpaceDN w:val="0"/>
              <w:adjustRightInd w:val="0"/>
              <w:jc w:val="both"/>
              <w:rPr>
                <w:rFonts w:asciiTheme="minorHAnsi" w:hAnsiTheme="minorHAnsi"/>
                <w:sz w:val="20"/>
                <w:szCs w:val="20"/>
              </w:rPr>
            </w:pPr>
            <w:r w:rsidRPr="00C9657D">
              <w:rPr>
                <w:rFonts w:asciiTheme="minorHAnsi" w:hAnsiTheme="minorHAnsi"/>
                <w:sz w:val="20"/>
                <w:szCs w:val="20"/>
              </w:rPr>
              <w:t>Počet doručených návrhů</w:t>
            </w:r>
          </w:p>
        </w:tc>
        <w:tc>
          <w:tcPr>
            <w:tcW w:w="977" w:type="dxa"/>
            <w:vAlign w:val="center"/>
          </w:tcPr>
          <w:p w14:paraId="3BB21912" w14:textId="77777777" w:rsidR="00D55F31" w:rsidRPr="00170FBD" w:rsidRDefault="0024693B" w:rsidP="00613588">
            <w:pPr>
              <w:autoSpaceDE w:val="0"/>
              <w:autoSpaceDN w:val="0"/>
              <w:adjustRightInd w:val="0"/>
              <w:jc w:val="right"/>
              <w:rPr>
                <w:rFonts w:asciiTheme="minorHAnsi" w:hAnsiTheme="minorHAnsi"/>
                <w:sz w:val="20"/>
                <w:szCs w:val="20"/>
              </w:rPr>
            </w:pPr>
            <w:r w:rsidRPr="00170FBD">
              <w:rPr>
                <w:rFonts w:asciiTheme="minorHAnsi" w:hAnsiTheme="minorHAnsi"/>
                <w:sz w:val="20"/>
                <w:szCs w:val="20"/>
              </w:rPr>
              <w:t>499</w:t>
            </w:r>
          </w:p>
        </w:tc>
        <w:tc>
          <w:tcPr>
            <w:tcW w:w="885" w:type="dxa"/>
            <w:vAlign w:val="center"/>
          </w:tcPr>
          <w:p w14:paraId="3A78AD24" w14:textId="77777777" w:rsidR="00D55F31" w:rsidRPr="00747332" w:rsidRDefault="0024693B" w:rsidP="00613588">
            <w:pPr>
              <w:autoSpaceDE w:val="0"/>
              <w:autoSpaceDN w:val="0"/>
              <w:adjustRightInd w:val="0"/>
              <w:jc w:val="right"/>
              <w:rPr>
                <w:rFonts w:asciiTheme="minorHAnsi" w:hAnsiTheme="minorHAnsi"/>
                <w:sz w:val="20"/>
                <w:szCs w:val="20"/>
              </w:rPr>
            </w:pPr>
            <w:r w:rsidRPr="00170FBD">
              <w:rPr>
                <w:rFonts w:asciiTheme="minorHAnsi" w:hAnsiTheme="minorHAnsi"/>
                <w:sz w:val="20"/>
                <w:szCs w:val="20"/>
              </w:rPr>
              <w:t>749</w:t>
            </w:r>
          </w:p>
        </w:tc>
        <w:tc>
          <w:tcPr>
            <w:tcW w:w="931" w:type="dxa"/>
            <w:vAlign w:val="center"/>
          </w:tcPr>
          <w:p w14:paraId="4297239B" w14:textId="77777777" w:rsidR="00D55F31" w:rsidRPr="00747332" w:rsidRDefault="0024693B" w:rsidP="00613588">
            <w:pPr>
              <w:autoSpaceDE w:val="0"/>
              <w:autoSpaceDN w:val="0"/>
              <w:adjustRightInd w:val="0"/>
              <w:jc w:val="right"/>
              <w:rPr>
                <w:rFonts w:asciiTheme="minorHAnsi" w:hAnsiTheme="minorHAnsi"/>
                <w:sz w:val="20"/>
                <w:szCs w:val="20"/>
              </w:rPr>
            </w:pPr>
            <w:r w:rsidRPr="00170FBD">
              <w:rPr>
                <w:rFonts w:asciiTheme="minorHAnsi" w:hAnsiTheme="minorHAnsi"/>
                <w:sz w:val="20"/>
                <w:szCs w:val="20"/>
              </w:rPr>
              <w:t>4 840</w:t>
            </w:r>
          </w:p>
        </w:tc>
        <w:tc>
          <w:tcPr>
            <w:tcW w:w="931" w:type="dxa"/>
            <w:vAlign w:val="center"/>
          </w:tcPr>
          <w:p w14:paraId="3B3DCFDE" w14:textId="77777777" w:rsidR="00D55F31" w:rsidRPr="00747332" w:rsidRDefault="0024693B" w:rsidP="00613588">
            <w:pPr>
              <w:autoSpaceDE w:val="0"/>
              <w:autoSpaceDN w:val="0"/>
              <w:adjustRightInd w:val="0"/>
              <w:jc w:val="right"/>
              <w:rPr>
                <w:rFonts w:asciiTheme="minorHAnsi" w:hAnsiTheme="minorHAnsi"/>
                <w:sz w:val="20"/>
                <w:szCs w:val="20"/>
              </w:rPr>
            </w:pPr>
            <w:r w:rsidRPr="00170FBD">
              <w:rPr>
                <w:rFonts w:asciiTheme="minorHAnsi" w:hAnsiTheme="minorHAnsi"/>
                <w:sz w:val="20"/>
                <w:szCs w:val="20"/>
              </w:rPr>
              <w:t xml:space="preserve">6 435 </w:t>
            </w:r>
          </w:p>
        </w:tc>
        <w:tc>
          <w:tcPr>
            <w:tcW w:w="1038" w:type="dxa"/>
            <w:vAlign w:val="center"/>
          </w:tcPr>
          <w:p w14:paraId="4D5C5A54" w14:textId="77777777" w:rsidR="00D55F31" w:rsidRPr="00C9657D" w:rsidRDefault="0024693B" w:rsidP="00613588">
            <w:pPr>
              <w:autoSpaceDE w:val="0"/>
              <w:autoSpaceDN w:val="0"/>
              <w:adjustRightInd w:val="0"/>
              <w:jc w:val="right"/>
              <w:rPr>
                <w:rFonts w:asciiTheme="minorHAnsi" w:hAnsiTheme="minorHAnsi"/>
                <w:sz w:val="20"/>
                <w:szCs w:val="20"/>
              </w:rPr>
            </w:pPr>
            <w:r w:rsidRPr="00C9657D">
              <w:rPr>
                <w:rFonts w:asciiTheme="minorHAnsi" w:hAnsiTheme="minorHAnsi"/>
                <w:sz w:val="20"/>
                <w:szCs w:val="20"/>
              </w:rPr>
              <w:t>2 237</w:t>
            </w:r>
          </w:p>
        </w:tc>
        <w:tc>
          <w:tcPr>
            <w:tcW w:w="1002" w:type="dxa"/>
            <w:vAlign w:val="center"/>
          </w:tcPr>
          <w:p w14:paraId="6B022AD2" w14:textId="77777777" w:rsidR="00D55F31" w:rsidRPr="00C9657D" w:rsidRDefault="0024693B" w:rsidP="00613588">
            <w:pPr>
              <w:autoSpaceDE w:val="0"/>
              <w:autoSpaceDN w:val="0"/>
              <w:adjustRightInd w:val="0"/>
              <w:jc w:val="right"/>
              <w:rPr>
                <w:rFonts w:asciiTheme="minorHAnsi" w:hAnsiTheme="minorHAnsi"/>
                <w:sz w:val="20"/>
                <w:szCs w:val="20"/>
              </w:rPr>
            </w:pPr>
            <w:r w:rsidRPr="00C9657D">
              <w:rPr>
                <w:rFonts w:asciiTheme="minorHAnsi" w:hAnsiTheme="minorHAnsi"/>
                <w:sz w:val="20"/>
                <w:szCs w:val="20"/>
              </w:rPr>
              <w:t>2 423</w:t>
            </w:r>
          </w:p>
        </w:tc>
      </w:tr>
      <w:tr w:rsidR="00C425F2" w14:paraId="41137BCB" w14:textId="77777777" w:rsidTr="006457FE">
        <w:tc>
          <w:tcPr>
            <w:tcW w:w="3318" w:type="dxa"/>
            <w:shd w:val="clear" w:color="auto" w:fill="auto"/>
          </w:tcPr>
          <w:p w14:paraId="03D8730C" w14:textId="77777777" w:rsidR="00D55F31" w:rsidRPr="00C9657D" w:rsidRDefault="0024693B" w:rsidP="00613588">
            <w:pPr>
              <w:autoSpaceDE w:val="0"/>
              <w:autoSpaceDN w:val="0"/>
              <w:adjustRightInd w:val="0"/>
              <w:jc w:val="both"/>
              <w:rPr>
                <w:rFonts w:asciiTheme="minorHAnsi" w:hAnsiTheme="minorHAnsi"/>
                <w:sz w:val="20"/>
                <w:szCs w:val="20"/>
              </w:rPr>
            </w:pPr>
            <w:r w:rsidRPr="00C9657D">
              <w:rPr>
                <w:rFonts w:asciiTheme="minorHAnsi" w:hAnsiTheme="minorHAnsi"/>
                <w:sz w:val="20"/>
                <w:szCs w:val="20"/>
              </w:rPr>
              <w:t>Počet odmítnutých</w:t>
            </w:r>
          </w:p>
        </w:tc>
        <w:tc>
          <w:tcPr>
            <w:tcW w:w="977" w:type="dxa"/>
          </w:tcPr>
          <w:p w14:paraId="21C2462A" w14:textId="77777777" w:rsidR="00D55F31" w:rsidRPr="00747332" w:rsidRDefault="0024693B" w:rsidP="00613588">
            <w:pPr>
              <w:autoSpaceDE w:val="0"/>
              <w:autoSpaceDN w:val="0"/>
              <w:adjustRightInd w:val="0"/>
              <w:jc w:val="right"/>
              <w:rPr>
                <w:rFonts w:asciiTheme="minorHAnsi" w:hAnsiTheme="minorHAnsi"/>
                <w:sz w:val="20"/>
                <w:szCs w:val="20"/>
              </w:rPr>
            </w:pPr>
            <w:r w:rsidRPr="00747332">
              <w:rPr>
                <w:rFonts w:asciiTheme="minorHAnsi" w:hAnsiTheme="minorHAnsi"/>
                <w:sz w:val="20"/>
                <w:szCs w:val="20"/>
              </w:rPr>
              <w:t>0</w:t>
            </w:r>
          </w:p>
        </w:tc>
        <w:tc>
          <w:tcPr>
            <w:tcW w:w="885" w:type="dxa"/>
          </w:tcPr>
          <w:p w14:paraId="350A7294" w14:textId="77777777" w:rsidR="00D55F31" w:rsidRPr="00747332" w:rsidRDefault="0024693B" w:rsidP="00613588">
            <w:pPr>
              <w:autoSpaceDE w:val="0"/>
              <w:autoSpaceDN w:val="0"/>
              <w:adjustRightInd w:val="0"/>
              <w:jc w:val="right"/>
              <w:rPr>
                <w:rFonts w:asciiTheme="minorHAnsi" w:hAnsiTheme="minorHAnsi"/>
                <w:sz w:val="20"/>
                <w:szCs w:val="20"/>
              </w:rPr>
            </w:pPr>
            <w:r w:rsidRPr="00170FBD">
              <w:rPr>
                <w:rFonts w:asciiTheme="minorHAnsi" w:hAnsiTheme="minorHAnsi"/>
                <w:sz w:val="20"/>
                <w:szCs w:val="20"/>
              </w:rPr>
              <w:t>6</w:t>
            </w:r>
          </w:p>
        </w:tc>
        <w:tc>
          <w:tcPr>
            <w:tcW w:w="931" w:type="dxa"/>
          </w:tcPr>
          <w:p w14:paraId="6CDA6FE1" w14:textId="77777777" w:rsidR="00D55F31" w:rsidRPr="000606F4" w:rsidRDefault="0024693B" w:rsidP="00613588">
            <w:pPr>
              <w:autoSpaceDE w:val="0"/>
              <w:autoSpaceDN w:val="0"/>
              <w:adjustRightInd w:val="0"/>
              <w:jc w:val="right"/>
              <w:rPr>
                <w:rFonts w:asciiTheme="minorHAnsi" w:hAnsiTheme="minorHAnsi"/>
                <w:sz w:val="20"/>
                <w:szCs w:val="20"/>
              </w:rPr>
            </w:pPr>
            <w:r w:rsidRPr="000606F4">
              <w:rPr>
                <w:rFonts w:asciiTheme="minorHAnsi" w:hAnsiTheme="minorHAnsi"/>
                <w:sz w:val="20"/>
                <w:szCs w:val="20"/>
              </w:rPr>
              <w:t>516</w:t>
            </w:r>
          </w:p>
        </w:tc>
        <w:tc>
          <w:tcPr>
            <w:tcW w:w="931" w:type="dxa"/>
          </w:tcPr>
          <w:p w14:paraId="1302FBF5" w14:textId="77777777" w:rsidR="00D55F31" w:rsidRPr="00747332" w:rsidRDefault="0024693B" w:rsidP="00613588">
            <w:pPr>
              <w:autoSpaceDE w:val="0"/>
              <w:autoSpaceDN w:val="0"/>
              <w:adjustRightInd w:val="0"/>
              <w:jc w:val="right"/>
              <w:rPr>
                <w:rFonts w:asciiTheme="minorHAnsi" w:hAnsiTheme="minorHAnsi"/>
                <w:sz w:val="20"/>
                <w:szCs w:val="20"/>
              </w:rPr>
            </w:pPr>
            <w:r w:rsidRPr="00747332">
              <w:rPr>
                <w:rFonts w:asciiTheme="minorHAnsi" w:hAnsiTheme="minorHAnsi"/>
                <w:sz w:val="20"/>
                <w:szCs w:val="20"/>
              </w:rPr>
              <w:t xml:space="preserve">1 647 </w:t>
            </w:r>
          </w:p>
        </w:tc>
        <w:tc>
          <w:tcPr>
            <w:tcW w:w="1038" w:type="dxa"/>
          </w:tcPr>
          <w:p w14:paraId="7488AB29" w14:textId="77777777" w:rsidR="00D55F31" w:rsidRPr="00C9657D" w:rsidRDefault="0024693B" w:rsidP="00613588">
            <w:pPr>
              <w:autoSpaceDE w:val="0"/>
              <w:autoSpaceDN w:val="0"/>
              <w:adjustRightInd w:val="0"/>
              <w:jc w:val="right"/>
              <w:rPr>
                <w:rFonts w:asciiTheme="minorHAnsi" w:hAnsiTheme="minorHAnsi"/>
                <w:sz w:val="20"/>
                <w:szCs w:val="20"/>
              </w:rPr>
            </w:pPr>
            <w:r w:rsidRPr="00C9657D">
              <w:rPr>
                <w:rFonts w:asciiTheme="minorHAnsi" w:hAnsiTheme="minorHAnsi"/>
                <w:sz w:val="20"/>
                <w:szCs w:val="20"/>
              </w:rPr>
              <w:t>55</w:t>
            </w:r>
          </w:p>
        </w:tc>
        <w:tc>
          <w:tcPr>
            <w:tcW w:w="1002" w:type="dxa"/>
          </w:tcPr>
          <w:p w14:paraId="3A1B36D6" w14:textId="77777777" w:rsidR="00D55F31" w:rsidRPr="00C9657D" w:rsidRDefault="0024693B" w:rsidP="00613588">
            <w:pPr>
              <w:autoSpaceDE w:val="0"/>
              <w:autoSpaceDN w:val="0"/>
              <w:adjustRightInd w:val="0"/>
              <w:jc w:val="right"/>
              <w:rPr>
                <w:rFonts w:asciiTheme="minorHAnsi" w:hAnsiTheme="minorHAnsi"/>
                <w:sz w:val="20"/>
                <w:szCs w:val="20"/>
              </w:rPr>
            </w:pPr>
            <w:r w:rsidRPr="00C9657D">
              <w:rPr>
                <w:rFonts w:asciiTheme="minorHAnsi" w:hAnsiTheme="minorHAnsi"/>
                <w:sz w:val="20"/>
                <w:szCs w:val="20"/>
              </w:rPr>
              <w:t>859</w:t>
            </w:r>
          </w:p>
        </w:tc>
      </w:tr>
      <w:tr w:rsidR="00C425F2" w14:paraId="3471D855" w14:textId="77777777" w:rsidTr="006457FE">
        <w:tc>
          <w:tcPr>
            <w:tcW w:w="3318" w:type="dxa"/>
            <w:shd w:val="clear" w:color="auto" w:fill="auto"/>
          </w:tcPr>
          <w:p w14:paraId="23810299" w14:textId="77777777" w:rsidR="00D55F31" w:rsidRPr="00C9657D" w:rsidRDefault="0024693B" w:rsidP="00613588">
            <w:pPr>
              <w:autoSpaceDE w:val="0"/>
              <w:autoSpaceDN w:val="0"/>
              <w:adjustRightInd w:val="0"/>
              <w:ind w:firstLine="993"/>
              <w:rPr>
                <w:rFonts w:asciiTheme="minorHAnsi" w:hAnsiTheme="minorHAnsi"/>
                <w:i/>
                <w:sz w:val="20"/>
                <w:szCs w:val="20"/>
              </w:rPr>
            </w:pPr>
            <w:r w:rsidRPr="00C9657D">
              <w:rPr>
                <w:rFonts w:asciiTheme="minorHAnsi" w:hAnsiTheme="minorHAnsi"/>
                <w:i/>
                <w:sz w:val="20"/>
                <w:szCs w:val="20"/>
              </w:rPr>
              <w:t>z toho: kapacitní důvody</w:t>
            </w:r>
          </w:p>
        </w:tc>
        <w:tc>
          <w:tcPr>
            <w:tcW w:w="977" w:type="dxa"/>
          </w:tcPr>
          <w:p w14:paraId="274D77FB" w14:textId="77777777" w:rsidR="00D55F31" w:rsidRPr="00C9657D" w:rsidRDefault="0024693B" w:rsidP="00613588">
            <w:pPr>
              <w:autoSpaceDE w:val="0"/>
              <w:autoSpaceDN w:val="0"/>
              <w:adjustRightInd w:val="0"/>
              <w:jc w:val="right"/>
              <w:rPr>
                <w:rFonts w:asciiTheme="minorHAnsi" w:hAnsiTheme="minorHAnsi"/>
                <w:i/>
                <w:sz w:val="20"/>
                <w:szCs w:val="20"/>
              </w:rPr>
            </w:pPr>
            <w:r w:rsidRPr="00C9657D">
              <w:rPr>
                <w:rFonts w:asciiTheme="minorHAnsi" w:hAnsiTheme="minorHAnsi"/>
                <w:i/>
                <w:sz w:val="20"/>
                <w:szCs w:val="20"/>
              </w:rPr>
              <w:t>0</w:t>
            </w:r>
          </w:p>
        </w:tc>
        <w:tc>
          <w:tcPr>
            <w:tcW w:w="885" w:type="dxa"/>
          </w:tcPr>
          <w:p w14:paraId="6200AE33" w14:textId="77777777" w:rsidR="00D55F31" w:rsidRPr="00C9657D" w:rsidRDefault="0024693B" w:rsidP="00613588">
            <w:pPr>
              <w:autoSpaceDE w:val="0"/>
              <w:autoSpaceDN w:val="0"/>
              <w:adjustRightInd w:val="0"/>
              <w:jc w:val="right"/>
              <w:rPr>
                <w:rFonts w:asciiTheme="minorHAnsi" w:hAnsiTheme="minorHAnsi"/>
                <w:i/>
                <w:sz w:val="20"/>
                <w:szCs w:val="20"/>
              </w:rPr>
            </w:pPr>
            <w:r w:rsidRPr="00C9657D">
              <w:rPr>
                <w:rFonts w:asciiTheme="minorHAnsi" w:hAnsiTheme="minorHAnsi"/>
                <w:i/>
                <w:sz w:val="20"/>
                <w:szCs w:val="20"/>
              </w:rPr>
              <w:t>0</w:t>
            </w:r>
          </w:p>
        </w:tc>
        <w:tc>
          <w:tcPr>
            <w:tcW w:w="931" w:type="dxa"/>
          </w:tcPr>
          <w:p w14:paraId="4F27C872" w14:textId="77777777" w:rsidR="00D55F31" w:rsidRPr="00C9657D" w:rsidRDefault="0024693B" w:rsidP="00613588">
            <w:pPr>
              <w:autoSpaceDE w:val="0"/>
              <w:autoSpaceDN w:val="0"/>
              <w:adjustRightInd w:val="0"/>
              <w:jc w:val="right"/>
              <w:rPr>
                <w:rFonts w:asciiTheme="minorHAnsi" w:hAnsiTheme="minorHAnsi"/>
                <w:i/>
                <w:sz w:val="20"/>
                <w:szCs w:val="20"/>
              </w:rPr>
            </w:pPr>
            <w:r w:rsidRPr="00C9657D">
              <w:rPr>
                <w:rFonts w:asciiTheme="minorHAnsi" w:hAnsiTheme="minorHAnsi"/>
                <w:i/>
                <w:sz w:val="20"/>
                <w:szCs w:val="20"/>
              </w:rPr>
              <w:t>117</w:t>
            </w:r>
          </w:p>
        </w:tc>
        <w:tc>
          <w:tcPr>
            <w:tcW w:w="931" w:type="dxa"/>
          </w:tcPr>
          <w:p w14:paraId="4441A929" w14:textId="77777777" w:rsidR="00D55F31" w:rsidRPr="00C9657D" w:rsidRDefault="0024693B" w:rsidP="00613588">
            <w:pPr>
              <w:autoSpaceDE w:val="0"/>
              <w:autoSpaceDN w:val="0"/>
              <w:adjustRightInd w:val="0"/>
              <w:jc w:val="right"/>
              <w:rPr>
                <w:rFonts w:asciiTheme="minorHAnsi" w:hAnsiTheme="minorHAnsi"/>
                <w:i/>
                <w:sz w:val="20"/>
                <w:szCs w:val="20"/>
              </w:rPr>
            </w:pPr>
            <w:r w:rsidRPr="00C9657D">
              <w:rPr>
                <w:rFonts w:asciiTheme="minorHAnsi" w:hAnsiTheme="minorHAnsi"/>
                <w:i/>
                <w:sz w:val="20"/>
                <w:szCs w:val="20"/>
              </w:rPr>
              <w:t>1 097</w:t>
            </w:r>
          </w:p>
        </w:tc>
        <w:tc>
          <w:tcPr>
            <w:tcW w:w="1038" w:type="dxa"/>
          </w:tcPr>
          <w:p w14:paraId="26036B61" w14:textId="77777777" w:rsidR="00D55F31" w:rsidRPr="00C9657D" w:rsidRDefault="0024693B" w:rsidP="00613588">
            <w:pPr>
              <w:autoSpaceDE w:val="0"/>
              <w:autoSpaceDN w:val="0"/>
              <w:adjustRightInd w:val="0"/>
              <w:jc w:val="right"/>
              <w:rPr>
                <w:rFonts w:asciiTheme="minorHAnsi" w:hAnsiTheme="minorHAnsi"/>
                <w:i/>
                <w:sz w:val="20"/>
                <w:szCs w:val="20"/>
              </w:rPr>
            </w:pPr>
            <w:r w:rsidRPr="00C9657D">
              <w:rPr>
                <w:rFonts w:asciiTheme="minorHAnsi" w:hAnsiTheme="minorHAnsi"/>
                <w:i/>
                <w:sz w:val="20"/>
                <w:szCs w:val="20"/>
              </w:rPr>
              <w:t>55</w:t>
            </w:r>
          </w:p>
        </w:tc>
        <w:tc>
          <w:tcPr>
            <w:tcW w:w="1002" w:type="dxa"/>
          </w:tcPr>
          <w:p w14:paraId="6C3B27C6" w14:textId="77777777" w:rsidR="00D55F31" w:rsidRPr="00C9657D" w:rsidRDefault="0024693B" w:rsidP="00613588">
            <w:pPr>
              <w:autoSpaceDE w:val="0"/>
              <w:autoSpaceDN w:val="0"/>
              <w:adjustRightInd w:val="0"/>
              <w:jc w:val="right"/>
              <w:rPr>
                <w:rFonts w:asciiTheme="minorHAnsi" w:hAnsiTheme="minorHAnsi"/>
                <w:i/>
                <w:sz w:val="20"/>
                <w:szCs w:val="20"/>
              </w:rPr>
            </w:pPr>
            <w:r w:rsidRPr="00C9657D">
              <w:rPr>
                <w:rFonts w:asciiTheme="minorHAnsi" w:hAnsiTheme="minorHAnsi"/>
                <w:i/>
                <w:sz w:val="20"/>
                <w:szCs w:val="20"/>
              </w:rPr>
              <w:t>859</w:t>
            </w:r>
          </w:p>
        </w:tc>
      </w:tr>
      <w:tr w:rsidR="00C425F2" w14:paraId="30DD8A3D" w14:textId="77777777" w:rsidTr="006457FE">
        <w:tc>
          <w:tcPr>
            <w:tcW w:w="3318" w:type="dxa"/>
          </w:tcPr>
          <w:p w14:paraId="0E850308" w14:textId="77777777" w:rsidR="00D55F31" w:rsidRPr="00C9657D" w:rsidRDefault="0024693B" w:rsidP="0002290A">
            <w:pPr>
              <w:autoSpaceDE w:val="0"/>
              <w:autoSpaceDN w:val="0"/>
              <w:adjustRightInd w:val="0"/>
              <w:ind w:firstLine="851"/>
              <w:rPr>
                <w:rFonts w:asciiTheme="minorHAnsi" w:hAnsiTheme="minorHAnsi"/>
                <w:i/>
                <w:sz w:val="20"/>
                <w:szCs w:val="20"/>
              </w:rPr>
            </w:pPr>
            <w:r w:rsidRPr="00C9657D">
              <w:rPr>
                <w:rFonts w:asciiTheme="minorHAnsi" w:hAnsiTheme="minorHAnsi"/>
                <w:i/>
                <w:sz w:val="20"/>
                <w:szCs w:val="20"/>
              </w:rPr>
              <w:t xml:space="preserve">                jiné důvody</w:t>
            </w:r>
          </w:p>
        </w:tc>
        <w:tc>
          <w:tcPr>
            <w:tcW w:w="977" w:type="dxa"/>
          </w:tcPr>
          <w:p w14:paraId="1FD20EB1" w14:textId="77777777" w:rsidR="00D55F31" w:rsidRPr="00C9657D" w:rsidRDefault="0024693B" w:rsidP="0002290A">
            <w:pPr>
              <w:autoSpaceDE w:val="0"/>
              <w:autoSpaceDN w:val="0"/>
              <w:adjustRightInd w:val="0"/>
              <w:jc w:val="right"/>
              <w:rPr>
                <w:rFonts w:asciiTheme="minorHAnsi" w:hAnsiTheme="minorHAnsi"/>
                <w:i/>
                <w:sz w:val="20"/>
                <w:szCs w:val="20"/>
              </w:rPr>
            </w:pPr>
            <w:r w:rsidRPr="00C9657D">
              <w:rPr>
                <w:rFonts w:asciiTheme="minorHAnsi" w:hAnsiTheme="minorHAnsi"/>
                <w:i/>
                <w:sz w:val="20"/>
                <w:szCs w:val="20"/>
              </w:rPr>
              <w:t>0</w:t>
            </w:r>
          </w:p>
        </w:tc>
        <w:tc>
          <w:tcPr>
            <w:tcW w:w="885" w:type="dxa"/>
          </w:tcPr>
          <w:p w14:paraId="588A6C66" w14:textId="77777777" w:rsidR="00D55F31" w:rsidRPr="00C9657D" w:rsidRDefault="0024693B" w:rsidP="0002290A">
            <w:pPr>
              <w:autoSpaceDE w:val="0"/>
              <w:autoSpaceDN w:val="0"/>
              <w:adjustRightInd w:val="0"/>
              <w:jc w:val="right"/>
              <w:rPr>
                <w:rFonts w:asciiTheme="minorHAnsi" w:hAnsiTheme="minorHAnsi"/>
                <w:i/>
                <w:sz w:val="20"/>
                <w:szCs w:val="20"/>
              </w:rPr>
            </w:pPr>
            <w:r w:rsidRPr="00C9657D">
              <w:rPr>
                <w:rFonts w:asciiTheme="minorHAnsi" w:hAnsiTheme="minorHAnsi"/>
                <w:i/>
                <w:sz w:val="20"/>
                <w:szCs w:val="20"/>
              </w:rPr>
              <w:t>6</w:t>
            </w:r>
          </w:p>
        </w:tc>
        <w:tc>
          <w:tcPr>
            <w:tcW w:w="931" w:type="dxa"/>
          </w:tcPr>
          <w:p w14:paraId="516D6590" w14:textId="77777777" w:rsidR="00D55F31" w:rsidRPr="00C9657D" w:rsidRDefault="0024693B" w:rsidP="0002290A">
            <w:pPr>
              <w:autoSpaceDE w:val="0"/>
              <w:autoSpaceDN w:val="0"/>
              <w:adjustRightInd w:val="0"/>
              <w:jc w:val="right"/>
              <w:rPr>
                <w:rFonts w:asciiTheme="minorHAnsi" w:hAnsiTheme="minorHAnsi"/>
                <w:i/>
                <w:sz w:val="20"/>
                <w:szCs w:val="20"/>
              </w:rPr>
            </w:pPr>
            <w:r w:rsidRPr="00C9657D">
              <w:rPr>
                <w:rFonts w:asciiTheme="minorHAnsi" w:hAnsiTheme="minorHAnsi"/>
                <w:i/>
                <w:sz w:val="20"/>
                <w:szCs w:val="20"/>
              </w:rPr>
              <w:t>399</w:t>
            </w:r>
          </w:p>
        </w:tc>
        <w:tc>
          <w:tcPr>
            <w:tcW w:w="931" w:type="dxa"/>
          </w:tcPr>
          <w:p w14:paraId="6CDE1D5A" w14:textId="77777777" w:rsidR="00D55F31" w:rsidRPr="00C9657D" w:rsidRDefault="0024693B" w:rsidP="0002290A">
            <w:pPr>
              <w:autoSpaceDE w:val="0"/>
              <w:autoSpaceDN w:val="0"/>
              <w:adjustRightInd w:val="0"/>
              <w:jc w:val="right"/>
              <w:rPr>
                <w:rFonts w:asciiTheme="minorHAnsi" w:hAnsiTheme="minorHAnsi"/>
                <w:i/>
                <w:sz w:val="20"/>
                <w:szCs w:val="20"/>
              </w:rPr>
            </w:pPr>
            <w:r w:rsidRPr="00C9657D">
              <w:rPr>
                <w:rFonts w:asciiTheme="minorHAnsi" w:hAnsiTheme="minorHAnsi"/>
                <w:i/>
                <w:sz w:val="20"/>
                <w:szCs w:val="20"/>
              </w:rPr>
              <w:t>550</w:t>
            </w:r>
          </w:p>
        </w:tc>
        <w:tc>
          <w:tcPr>
            <w:tcW w:w="1038" w:type="dxa"/>
          </w:tcPr>
          <w:p w14:paraId="2018EFF2" w14:textId="40BA17CA" w:rsidR="00D55F31" w:rsidRPr="00C9657D" w:rsidRDefault="0024693B" w:rsidP="0002290A">
            <w:pPr>
              <w:autoSpaceDE w:val="0"/>
              <w:autoSpaceDN w:val="0"/>
              <w:adjustRightInd w:val="0"/>
              <w:jc w:val="right"/>
              <w:rPr>
                <w:rFonts w:asciiTheme="minorHAnsi" w:hAnsiTheme="minorHAnsi"/>
                <w:i/>
                <w:sz w:val="20"/>
                <w:szCs w:val="20"/>
              </w:rPr>
            </w:pPr>
            <w:r w:rsidRPr="00C9657D">
              <w:rPr>
                <w:rFonts w:asciiTheme="minorHAnsi" w:hAnsiTheme="minorHAnsi"/>
                <w:i/>
                <w:sz w:val="20"/>
                <w:szCs w:val="20"/>
              </w:rPr>
              <w:t>nesleduje</w:t>
            </w:r>
          </w:p>
        </w:tc>
        <w:tc>
          <w:tcPr>
            <w:tcW w:w="1002" w:type="dxa"/>
          </w:tcPr>
          <w:p w14:paraId="77B9E044" w14:textId="3E2F6D1C" w:rsidR="00D55F31" w:rsidRPr="00C9657D" w:rsidRDefault="0024693B" w:rsidP="0002290A">
            <w:pPr>
              <w:autoSpaceDE w:val="0"/>
              <w:autoSpaceDN w:val="0"/>
              <w:adjustRightInd w:val="0"/>
              <w:jc w:val="right"/>
              <w:rPr>
                <w:rFonts w:asciiTheme="minorHAnsi" w:hAnsiTheme="minorHAnsi"/>
                <w:i/>
                <w:sz w:val="20"/>
                <w:szCs w:val="20"/>
              </w:rPr>
            </w:pPr>
            <w:r w:rsidRPr="00C9657D">
              <w:rPr>
                <w:rFonts w:asciiTheme="minorHAnsi" w:hAnsiTheme="minorHAnsi"/>
                <w:i/>
                <w:sz w:val="20"/>
                <w:szCs w:val="20"/>
              </w:rPr>
              <w:t>nesleduje</w:t>
            </w:r>
          </w:p>
        </w:tc>
      </w:tr>
    </w:tbl>
    <w:p w14:paraId="3E0D119D" w14:textId="77777777" w:rsidR="00D55F31" w:rsidRPr="00C9657D" w:rsidRDefault="0024693B" w:rsidP="0002290A">
      <w:pPr>
        <w:autoSpaceDE w:val="0"/>
        <w:autoSpaceDN w:val="0"/>
        <w:adjustRightInd w:val="0"/>
        <w:spacing w:before="40"/>
        <w:jc w:val="both"/>
        <w:rPr>
          <w:rFonts w:asciiTheme="minorHAnsi" w:hAnsiTheme="minorHAnsi"/>
          <w:sz w:val="20"/>
          <w:szCs w:val="20"/>
        </w:rPr>
      </w:pPr>
      <w:r w:rsidRPr="00C9657D">
        <w:rPr>
          <w:rFonts w:asciiTheme="minorHAnsi" w:hAnsiTheme="minorHAnsi"/>
          <w:b/>
          <w:sz w:val="20"/>
          <w:szCs w:val="20"/>
        </w:rPr>
        <w:t>Zdroj:</w:t>
      </w:r>
      <w:r w:rsidRPr="00C9657D">
        <w:rPr>
          <w:rFonts w:asciiTheme="minorHAnsi" w:hAnsiTheme="minorHAnsi"/>
          <w:sz w:val="20"/>
          <w:szCs w:val="20"/>
        </w:rPr>
        <w:t xml:space="preserve"> data poskytnutá jednotlivými státními podniky (SLL Bludov, SLL Janské Lázně a HL Karlova Studánka).</w:t>
      </w:r>
    </w:p>
    <w:p w14:paraId="16698A81" w14:textId="32F0CCA9" w:rsidR="00D55F31" w:rsidRPr="00C9657D" w:rsidRDefault="0024693B" w:rsidP="00DA0573">
      <w:pPr>
        <w:autoSpaceDE w:val="0"/>
        <w:autoSpaceDN w:val="0"/>
        <w:adjustRightInd w:val="0"/>
        <w:spacing w:before="240"/>
        <w:jc w:val="both"/>
        <w:rPr>
          <w:rFonts w:ascii="Calibri" w:hAnsi="Calibri" w:cs="Calibri"/>
        </w:rPr>
      </w:pPr>
      <w:r w:rsidRPr="00C9657D">
        <w:rPr>
          <w:rFonts w:asciiTheme="minorHAnsi" w:hAnsiTheme="minorHAnsi"/>
        </w:rPr>
        <w:t>Počet odmítnutých návrhů však nelze považovat za počet pojištěnců, kterým nebyla poskytnuta lázeňská péče</w:t>
      </w:r>
      <w:r w:rsidR="00276FDB">
        <w:rPr>
          <w:rFonts w:asciiTheme="minorHAnsi" w:hAnsiTheme="minorHAnsi"/>
        </w:rPr>
        <w:t>, neboť</w:t>
      </w:r>
      <w:r w:rsidRPr="00C9657D">
        <w:rPr>
          <w:rFonts w:asciiTheme="minorHAnsi" w:hAnsiTheme="minorHAnsi"/>
        </w:rPr>
        <w:t xml:space="preserve"> </w:t>
      </w:r>
      <w:r w:rsidR="00964FAD">
        <w:rPr>
          <w:rFonts w:asciiTheme="minorHAnsi" w:hAnsiTheme="minorHAnsi"/>
        </w:rPr>
        <w:t>o</w:t>
      </w:r>
      <w:r w:rsidR="00276FDB">
        <w:rPr>
          <w:rFonts w:asciiTheme="minorHAnsi" w:hAnsiTheme="minorHAnsi"/>
        </w:rPr>
        <w:t>dmítnuté</w:t>
      </w:r>
      <w:r w:rsidRPr="00C9657D">
        <w:rPr>
          <w:rFonts w:asciiTheme="minorHAnsi" w:hAnsiTheme="minorHAnsi"/>
        </w:rPr>
        <w:t xml:space="preserve"> návrhy byly </w:t>
      </w:r>
      <w:r w:rsidRPr="00C9657D">
        <w:rPr>
          <w:rFonts w:ascii="Calibri" w:hAnsi="Calibri" w:cs="Calibri"/>
        </w:rPr>
        <w:t xml:space="preserve">předány dalším poskytovatelům lázeňské péče. </w:t>
      </w:r>
    </w:p>
    <w:p w14:paraId="69F341DD" w14:textId="77777777" w:rsidR="00D55F31" w:rsidRPr="00632820" w:rsidRDefault="00632820" w:rsidP="00632820">
      <w:pPr>
        <w:spacing w:before="480"/>
        <w:jc w:val="center"/>
        <w:rPr>
          <w:rFonts w:asciiTheme="minorHAnsi" w:hAnsiTheme="minorHAnsi" w:cstheme="minorHAnsi"/>
          <w:b/>
          <w:sz w:val="28"/>
          <w:szCs w:val="28"/>
        </w:rPr>
      </w:pPr>
      <w:r>
        <w:rPr>
          <w:rFonts w:asciiTheme="minorHAnsi" w:hAnsiTheme="minorHAnsi" w:cstheme="minorHAnsi"/>
          <w:b/>
          <w:sz w:val="28"/>
          <w:szCs w:val="28"/>
        </w:rPr>
        <w:t xml:space="preserve">III. </w:t>
      </w:r>
      <w:r w:rsidR="0024693B" w:rsidRPr="00632820">
        <w:rPr>
          <w:rFonts w:asciiTheme="minorHAnsi" w:hAnsiTheme="minorHAnsi" w:cstheme="minorHAnsi"/>
          <w:b/>
          <w:sz w:val="28"/>
          <w:szCs w:val="28"/>
        </w:rPr>
        <w:t>Vyhodnocení skutečností zjištěných při kontrole</w:t>
      </w:r>
    </w:p>
    <w:p w14:paraId="3432B4AC" w14:textId="77777777" w:rsidR="00D55F31" w:rsidRPr="00C9657D" w:rsidRDefault="00D55F31" w:rsidP="0002290A">
      <w:pPr>
        <w:jc w:val="both"/>
        <w:rPr>
          <w:rFonts w:asciiTheme="minorHAnsi" w:hAnsiTheme="minorHAnsi" w:cstheme="minorHAnsi"/>
          <w:u w:val="single"/>
        </w:rPr>
      </w:pPr>
    </w:p>
    <w:p w14:paraId="1849E7DA" w14:textId="77777777" w:rsidR="00D55F31" w:rsidRPr="00C9657D" w:rsidRDefault="0024693B" w:rsidP="0002290A">
      <w:pPr>
        <w:jc w:val="both"/>
        <w:rPr>
          <w:rFonts w:asciiTheme="minorHAnsi" w:hAnsiTheme="minorHAnsi" w:cstheme="minorHAnsi"/>
          <w:b/>
        </w:rPr>
      </w:pPr>
      <w:r>
        <w:rPr>
          <w:rFonts w:asciiTheme="minorHAnsi" w:hAnsiTheme="minorHAnsi" w:cstheme="minorHAnsi"/>
          <w:b/>
        </w:rPr>
        <w:t>Kontrolou bylo prověřeno, jak</w:t>
      </w:r>
      <w:r w:rsidRPr="00C9657D">
        <w:rPr>
          <w:rFonts w:asciiTheme="minorHAnsi" w:hAnsiTheme="minorHAnsi" w:cstheme="minorHAnsi"/>
          <w:b/>
        </w:rPr>
        <w:t xml:space="preserve"> </w:t>
      </w:r>
      <w:proofErr w:type="spellStart"/>
      <w:r w:rsidRPr="00C9657D">
        <w:rPr>
          <w:rFonts w:asciiTheme="minorHAnsi" w:hAnsiTheme="minorHAnsi" w:cstheme="minorHAnsi"/>
          <w:b/>
        </w:rPr>
        <w:t>MZdr</w:t>
      </w:r>
      <w:proofErr w:type="spellEnd"/>
      <w:r w:rsidRPr="00C9657D">
        <w:rPr>
          <w:rFonts w:asciiTheme="minorHAnsi" w:hAnsiTheme="minorHAnsi" w:cstheme="minorHAnsi"/>
          <w:b/>
        </w:rPr>
        <w:t xml:space="preserve"> uplatňuje práva a plní povinnosti zakladatele státních podniků.</w:t>
      </w:r>
      <w:r>
        <w:rPr>
          <w:rFonts w:asciiTheme="minorHAnsi" w:hAnsiTheme="minorHAnsi" w:cstheme="minorHAnsi"/>
          <w:b/>
        </w:rPr>
        <w:t xml:space="preserve"> </w:t>
      </w:r>
      <w:r w:rsidRPr="00C9657D">
        <w:rPr>
          <w:rFonts w:asciiTheme="minorHAnsi" w:hAnsiTheme="minorHAnsi" w:cstheme="minorHAnsi"/>
          <w:b/>
        </w:rPr>
        <w:t>Kontrola hospodaření státních podniků byla zaměřena zejména na nakládání s určeným majetkem, zadávání veřejných zakázek a poskytování lázeňské péče.</w:t>
      </w:r>
    </w:p>
    <w:p w14:paraId="665066F7" w14:textId="77777777" w:rsidR="00D55F31" w:rsidRPr="00C9657D" w:rsidRDefault="00D55F31" w:rsidP="0002290A">
      <w:pPr>
        <w:jc w:val="both"/>
        <w:rPr>
          <w:rFonts w:asciiTheme="minorHAnsi" w:hAnsiTheme="minorHAnsi" w:cstheme="minorHAnsi"/>
          <w:b/>
        </w:rPr>
      </w:pPr>
    </w:p>
    <w:p w14:paraId="358B0A97" w14:textId="77777777" w:rsidR="00D55F31" w:rsidRDefault="0024693B" w:rsidP="00E7138D">
      <w:pPr>
        <w:pStyle w:val="Odstavecseseznamem"/>
        <w:numPr>
          <w:ilvl w:val="0"/>
          <w:numId w:val="16"/>
        </w:numPr>
        <w:ind w:left="284" w:hanging="284"/>
        <w:jc w:val="both"/>
        <w:rPr>
          <w:rFonts w:asciiTheme="minorHAnsi" w:hAnsiTheme="minorHAnsi" w:cstheme="minorHAnsi"/>
          <w:b/>
        </w:rPr>
      </w:pPr>
      <w:r w:rsidRPr="00C9657D">
        <w:rPr>
          <w:rFonts w:asciiTheme="minorHAnsi" w:hAnsiTheme="minorHAnsi" w:cstheme="minorHAnsi"/>
          <w:b/>
        </w:rPr>
        <w:t xml:space="preserve">V oblasti zakladatelské činnosti </w:t>
      </w:r>
      <w:proofErr w:type="spellStart"/>
      <w:r w:rsidRPr="00C9657D">
        <w:rPr>
          <w:rFonts w:asciiTheme="minorHAnsi" w:hAnsiTheme="minorHAnsi" w:cstheme="minorHAnsi"/>
          <w:b/>
        </w:rPr>
        <w:t>MZdr</w:t>
      </w:r>
      <w:proofErr w:type="spellEnd"/>
      <w:r w:rsidRPr="00C9657D">
        <w:rPr>
          <w:rFonts w:asciiTheme="minorHAnsi" w:hAnsiTheme="minorHAnsi" w:cstheme="minorHAnsi"/>
          <w:b/>
        </w:rPr>
        <w:t xml:space="preserve"> a evidence majetku bylo zjištěno, že:</w:t>
      </w:r>
    </w:p>
    <w:p w14:paraId="32221C2C" w14:textId="77777777" w:rsidR="00D55F31" w:rsidRPr="0087714A" w:rsidRDefault="0024693B" w:rsidP="00E7138D">
      <w:pPr>
        <w:pStyle w:val="Odstavecseseznamem"/>
        <w:numPr>
          <w:ilvl w:val="1"/>
          <w:numId w:val="19"/>
        </w:numPr>
        <w:ind w:left="567" w:hanging="283"/>
        <w:jc w:val="both"/>
        <w:rPr>
          <w:rFonts w:asciiTheme="minorHAnsi" w:hAnsiTheme="minorHAnsi" w:cstheme="minorHAnsi"/>
          <w:b/>
        </w:rPr>
      </w:pPr>
      <w:proofErr w:type="spellStart"/>
      <w:r>
        <w:rPr>
          <w:rFonts w:asciiTheme="minorHAnsi" w:hAnsiTheme="minorHAnsi" w:cstheme="minorHAnsi"/>
          <w:b/>
        </w:rPr>
        <w:t>MZdr</w:t>
      </w:r>
      <w:proofErr w:type="spellEnd"/>
      <w:r>
        <w:rPr>
          <w:rFonts w:asciiTheme="minorHAnsi" w:hAnsiTheme="minorHAnsi" w:cstheme="minorHAnsi"/>
          <w:b/>
        </w:rPr>
        <w:t xml:space="preserve"> nestanovilo podnikům </w:t>
      </w:r>
      <w:r w:rsidR="00337D35">
        <w:rPr>
          <w:rFonts w:asciiTheme="minorHAnsi" w:hAnsiTheme="minorHAnsi" w:cstheme="minorHAnsi"/>
          <w:b/>
        </w:rPr>
        <w:t xml:space="preserve">poskytujícím lázeňskou péči </w:t>
      </w:r>
      <w:r>
        <w:rPr>
          <w:rFonts w:asciiTheme="minorHAnsi" w:hAnsiTheme="minorHAnsi" w:cstheme="minorHAnsi"/>
          <w:b/>
        </w:rPr>
        <w:t>rozsah zásadních otázek koncepc</w:t>
      </w:r>
      <w:r w:rsidR="00E96825">
        <w:rPr>
          <w:rFonts w:asciiTheme="minorHAnsi" w:hAnsiTheme="minorHAnsi" w:cstheme="minorHAnsi"/>
          <w:b/>
        </w:rPr>
        <w:t>e</w:t>
      </w:r>
      <w:r>
        <w:rPr>
          <w:rFonts w:asciiTheme="minorHAnsi" w:hAnsiTheme="minorHAnsi" w:cstheme="minorHAnsi"/>
          <w:b/>
        </w:rPr>
        <w:t xml:space="preserve"> </w:t>
      </w:r>
      <w:r w:rsidR="00747332">
        <w:rPr>
          <w:rFonts w:asciiTheme="minorHAnsi" w:hAnsiTheme="minorHAnsi" w:cstheme="minorHAnsi"/>
          <w:b/>
        </w:rPr>
        <w:t>rozvoje</w:t>
      </w:r>
      <w:r w:rsidR="00E96825">
        <w:rPr>
          <w:rFonts w:asciiTheme="minorHAnsi" w:hAnsiTheme="minorHAnsi" w:cstheme="minorHAnsi"/>
          <w:b/>
        </w:rPr>
        <w:t>, jak předpokládá zákon o státním podniku</w:t>
      </w:r>
      <w:r>
        <w:rPr>
          <w:rFonts w:asciiTheme="minorHAnsi" w:hAnsiTheme="minorHAnsi" w:cstheme="minorHAnsi"/>
          <w:b/>
        </w:rPr>
        <w:t>;</w:t>
      </w:r>
    </w:p>
    <w:p w14:paraId="619F8B3D" w14:textId="77777777" w:rsidR="00D55F31" w:rsidRPr="00C9657D" w:rsidRDefault="0024693B" w:rsidP="00E7138D">
      <w:pPr>
        <w:pStyle w:val="Odstavecseseznamem"/>
        <w:numPr>
          <w:ilvl w:val="1"/>
          <w:numId w:val="19"/>
        </w:numPr>
        <w:ind w:left="567" w:hanging="283"/>
        <w:jc w:val="both"/>
        <w:rPr>
          <w:rFonts w:asciiTheme="minorHAnsi" w:hAnsiTheme="minorHAnsi" w:cstheme="minorHAnsi"/>
          <w:b/>
        </w:rPr>
      </w:pPr>
      <w:r w:rsidRPr="00C9657D">
        <w:rPr>
          <w:rFonts w:asciiTheme="minorHAnsi" w:hAnsiTheme="minorHAnsi" w:cstheme="minorHAnsi"/>
          <w:b/>
        </w:rPr>
        <w:t xml:space="preserve">zakládací listiny </w:t>
      </w:r>
      <w:r>
        <w:rPr>
          <w:rFonts w:asciiTheme="minorHAnsi" w:hAnsiTheme="minorHAnsi" w:cstheme="minorHAnsi"/>
          <w:b/>
        </w:rPr>
        <w:t xml:space="preserve">státních podniků </w:t>
      </w:r>
      <w:r w:rsidRPr="00C9657D">
        <w:rPr>
          <w:rFonts w:asciiTheme="minorHAnsi" w:hAnsiTheme="minorHAnsi" w:cstheme="minorHAnsi"/>
          <w:b/>
        </w:rPr>
        <w:t>neobsahovaly aktuální údaje;</w:t>
      </w:r>
    </w:p>
    <w:p w14:paraId="40AD9966" w14:textId="73DEAF23" w:rsidR="00D55F31" w:rsidRPr="00C9657D" w:rsidRDefault="0024693B" w:rsidP="00E7138D">
      <w:pPr>
        <w:pStyle w:val="Odstavecseseznamem"/>
        <w:numPr>
          <w:ilvl w:val="1"/>
          <w:numId w:val="19"/>
        </w:numPr>
        <w:ind w:left="567" w:hanging="283"/>
        <w:jc w:val="both"/>
        <w:rPr>
          <w:rFonts w:asciiTheme="minorHAnsi" w:hAnsiTheme="minorHAnsi" w:cstheme="minorHAnsi"/>
          <w:b/>
        </w:rPr>
      </w:pPr>
      <w:r w:rsidRPr="00C9657D">
        <w:rPr>
          <w:rFonts w:asciiTheme="minorHAnsi" w:hAnsiTheme="minorHAnsi" w:cstheme="minorHAnsi"/>
          <w:b/>
        </w:rPr>
        <w:t xml:space="preserve">vymezení a ocenění určeného majetku státních podniků proběhlo v jednom případě v roce 2008, u ostatních podniků před </w:t>
      </w:r>
      <w:r>
        <w:rPr>
          <w:rFonts w:asciiTheme="minorHAnsi" w:hAnsiTheme="minorHAnsi" w:cstheme="minorHAnsi"/>
          <w:b/>
        </w:rPr>
        <w:t>třemi</w:t>
      </w:r>
      <w:r w:rsidRPr="00C9657D">
        <w:rPr>
          <w:rFonts w:asciiTheme="minorHAnsi" w:hAnsiTheme="minorHAnsi" w:cstheme="minorHAnsi"/>
          <w:b/>
        </w:rPr>
        <w:t xml:space="preserve"> až </w:t>
      </w:r>
      <w:r>
        <w:rPr>
          <w:rFonts w:asciiTheme="minorHAnsi" w:hAnsiTheme="minorHAnsi" w:cstheme="minorHAnsi"/>
          <w:b/>
        </w:rPr>
        <w:t>pěti</w:t>
      </w:r>
      <w:r w:rsidRPr="00C9657D">
        <w:rPr>
          <w:rFonts w:asciiTheme="minorHAnsi" w:hAnsiTheme="minorHAnsi" w:cstheme="minorHAnsi"/>
          <w:b/>
        </w:rPr>
        <w:t xml:space="preserve"> l</w:t>
      </w:r>
      <w:r>
        <w:rPr>
          <w:rFonts w:asciiTheme="minorHAnsi" w:hAnsiTheme="minorHAnsi" w:cstheme="minorHAnsi"/>
          <w:b/>
        </w:rPr>
        <w:t>e</w:t>
      </w:r>
      <w:r w:rsidRPr="00C9657D">
        <w:rPr>
          <w:rFonts w:asciiTheme="minorHAnsi" w:hAnsiTheme="minorHAnsi" w:cstheme="minorHAnsi"/>
          <w:b/>
        </w:rPr>
        <w:t>ty</w:t>
      </w:r>
      <w:r>
        <w:rPr>
          <w:rFonts w:asciiTheme="minorHAnsi" w:hAnsiTheme="minorHAnsi" w:cstheme="minorHAnsi"/>
          <w:b/>
        </w:rPr>
        <w:t xml:space="preserve">. Zákon o státním podniku v kontrolovaném období aktualizaci určeného majetku jednoznačně neřešil. Novela </w:t>
      </w:r>
      <w:r w:rsidR="00747332">
        <w:rPr>
          <w:rFonts w:asciiTheme="minorHAnsi" w:hAnsiTheme="minorHAnsi" w:cstheme="minorHAnsi"/>
          <w:b/>
        </w:rPr>
        <w:t>zákona</w:t>
      </w:r>
      <w:r w:rsidR="00B96289">
        <w:rPr>
          <w:rFonts w:asciiTheme="minorHAnsi" w:hAnsiTheme="minorHAnsi" w:cstheme="minorHAnsi"/>
          <w:b/>
        </w:rPr>
        <w:t xml:space="preserve"> o státním podniku</w:t>
      </w:r>
      <w:r w:rsidR="00747332">
        <w:rPr>
          <w:rFonts w:asciiTheme="minorHAnsi" w:hAnsiTheme="minorHAnsi" w:cstheme="minorHAnsi"/>
          <w:b/>
        </w:rPr>
        <w:t xml:space="preserve"> </w:t>
      </w:r>
      <w:r>
        <w:rPr>
          <w:rFonts w:asciiTheme="minorHAnsi" w:hAnsiTheme="minorHAnsi" w:cstheme="minorHAnsi"/>
          <w:b/>
        </w:rPr>
        <w:t xml:space="preserve">s účinností od 1. 1. 2017 upravuje povinnost zakladatele </w:t>
      </w:r>
      <w:r w:rsidR="00B96289">
        <w:rPr>
          <w:rFonts w:asciiTheme="minorHAnsi" w:hAnsiTheme="minorHAnsi" w:cstheme="minorHAnsi"/>
          <w:b/>
        </w:rPr>
        <w:t>státního podniku při vymezení</w:t>
      </w:r>
      <w:r w:rsidR="00276FDB">
        <w:rPr>
          <w:rFonts w:asciiTheme="minorHAnsi" w:hAnsiTheme="minorHAnsi" w:cstheme="minorHAnsi"/>
          <w:b/>
        </w:rPr>
        <w:t xml:space="preserve"> určeného majetku</w:t>
      </w:r>
      <w:r w:rsidR="00B96289">
        <w:rPr>
          <w:rFonts w:asciiTheme="minorHAnsi" w:hAnsiTheme="minorHAnsi" w:cstheme="minorHAnsi"/>
          <w:b/>
        </w:rPr>
        <w:t xml:space="preserve">, resp. sledování určeného majetku </w:t>
      </w:r>
      <w:r>
        <w:rPr>
          <w:rFonts w:asciiTheme="minorHAnsi" w:hAnsiTheme="minorHAnsi" w:cstheme="minorHAnsi"/>
          <w:b/>
        </w:rPr>
        <w:t>odděleně na samostatných analytických účtech;</w:t>
      </w:r>
    </w:p>
    <w:p w14:paraId="5EE2A9A8" w14:textId="40F1D211" w:rsidR="00D55F31" w:rsidRPr="00C9657D" w:rsidRDefault="0024693B" w:rsidP="00E7138D">
      <w:pPr>
        <w:pStyle w:val="Odstavecseseznamem"/>
        <w:numPr>
          <w:ilvl w:val="1"/>
          <w:numId w:val="19"/>
        </w:numPr>
        <w:ind w:left="567" w:hanging="283"/>
        <w:jc w:val="both"/>
        <w:rPr>
          <w:rFonts w:asciiTheme="minorHAnsi" w:hAnsiTheme="minorHAnsi" w:cstheme="minorHAnsi"/>
          <w:b/>
        </w:rPr>
      </w:pPr>
      <w:r w:rsidRPr="00C9657D">
        <w:rPr>
          <w:rFonts w:asciiTheme="minorHAnsi" w:hAnsiTheme="minorHAnsi" w:cstheme="minorHAnsi"/>
          <w:b/>
        </w:rPr>
        <w:t>v době ukončení kontroly neměla dozorčí rada žádného z kontrolovaných podniků minimálně tři členy, jak stanoví zákon</w:t>
      </w:r>
      <w:r w:rsidR="00E96825">
        <w:rPr>
          <w:rFonts w:asciiTheme="minorHAnsi" w:hAnsiTheme="minorHAnsi" w:cstheme="minorHAnsi"/>
          <w:b/>
        </w:rPr>
        <w:t xml:space="preserve"> o státním podniku</w:t>
      </w:r>
      <w:r w:rsidR="00276FDB">
        <w:rPr>
          <w:rFonts w:asciiTheme="minorHAnsi" w:hAnsiTheme="minorHAnsi" w:cstheme="minorHAnsi"/>
          <w:b/>
        </w:rPr>
        <w:t>,</w:t>
      </w:r>
      <w:r w:rsidRPr="00C9657D">
        <w:rPr>
          <w:rFonts w:asciiTheme="minorHAnsi" w:hAnsiTheme="minorHAnsi" w:cstheme="minorHAnsi"/>
          <w:b/>
        </w:rPr>
        <w:t xml:space="preserve"> </w:t>
      </w:r>
      <w:proofErr w:type="spellStart"/>
      <w:r w:rsidRPr="00C9657D">
        <w:rPr>
          <w:rFonts w:asciiTheme="minorHAnsi" w:hAnsiTheme="minorHAnsi" w:cstheme="minorHAnsi"/>
          <w:b/>
        </w:rPr>
        <w:t>MZdr</w:t>
      </w:r>
      <w:proofErr w:type="spellEnd"/>
      <w:r w:rsidRPr="00C9657D">
        <w:rPr>
          <w:rFonts w:asciiTheme="minorHAnsi" w:hAnsiTheme="minorHAnsi" w:cstheme="minorHAnsi"/>
          <w:b/>
        </w:rPr>
        <w:t xml:space="preserve"> </w:t>
      </w:r>
      <w:r w:rsidRPr="00571612">
        <w:rPr>
          <w:rFonts w:asciiTheme="minorHAnsi" w:hAnsiTheme="minorHAnsi" w:cstheme="minorHAnsi"/>
          <w:b/>
        </w:rPr>
        <w:t xml:space="preserve">tak </w:t>
      </w:r>
      <w:r w:rsidR="00571612" w:rsidRPr="00571612">
        <w:rPr>
          <w:rFonts w:asciiTheme="minorHAnsi" w:hAnsiTheme="minorHAnsi" w:cstheme="minorHAnsi"/>
          <w:b/>
          <w:noProof/>
          <w:color w:val="000000"/>
        </w:rPr>
        <w:t>znemožnilo činnost tohoto dozorčího orgánu</w:t>
      </w:r>
      <w:r w:rsidR="00571612" w:rsidRPr="00571612">
        <w:rPr>
          <w:rFonts w:asciiTheme="minorHAnsi" w:hAnsiTheme="minorHAnsi" w:cstheme="minorHAnsi"/>
          <w:b/>
        </w:rPr>
        <w:t xml:space="preserve"> </w:t>
      </w:r>
      <w:r w:rsidR="00E96825" w:rsidRPr="00571612">
        <w:rPr>
          <w:rFonts w:asciiTheme="minorHAnsi" w:hAnsiTheme="minorHAnsi" w:cstheme="minorHAnsi"/>
          <w:b/>
        </w:rPr>
        <w:t xml:space="preserve">a </w:t>
      </w:r>
      <w:r w:rsidR="00760D50" w:rsidRPr="00571612">
        <w:rPr>
          <w:rFonts w:asciiTheme="minorHAnsi" w:hAnsiTheme="minorHAnsi" w:cstheme="minorHAnsi"/>
          <w:b/>
        </w:rPr>
        <w:t>ani řádně neprověřovalo</w:t>
      </w:r>
      <w:r w:rsidRPr="00571612">
        <w:rPr>
          <w:rFonts w:asciiTheme="minorHAnsi" w:hAnsiTheme="minorHAnsi" w:cstheme="minorHAnsi"/>
          <w:b/>
        </w:rPr>
        <w:t xml:space="preserve">, zda podniky </w:t>
      </w:r>
      <w:r w:rsidR="00760D50" w:rsidRPr="00571612">
        <w:rPr>
          <w:rFonts w:asciiTheme="minorHAnsi" w:hAnsiTheme="minorHAnsi" w:cstheme="minorHAnsi"/>
          <w:b/>
        </w:rPr>
        <w:t xml:space="preserve">zajišťovaly </w:t>
      </w:r>
      <w:r w:rsidRPr="00571612">
        <w:rPr>
          <w:rFonts w:asciiTheme="minorHAnsi" w:hAnsiTheme="minorHAnsi" w:cstheme="minorHAnsi"/>
          <w:b/>
        </w:rPr>
        <w:t>potřeby</w:t>
      </w:r>
      <w:r w:rsidRPr="00C9657D">
        <w:rPr>
          <w:rFonts w:asciiTheme="minorHAnsi" w:hAnsiTheme="minorHAnsi" w:cstheme="minorHAnsi"/>
          <w:b/>
        </w:rPr>
        <w:t xml:space="preserve"> státu účelně a hospodárně;</w:t>
      </w:r>
    </w:p>
    <w:p w14:paraId="38937670" w14:textId="77777777" w:rsidR="00D55F31" w:rsidRPr="00C9657D" w:rsidRDefault="0024693B" w:rsidP="00E7138D">
      <w:pPr>
        <w:pStyle w:val="Odstavecseseznamem"/>
        <w:numPr>
          <w:ilvl w:val="1"/>
          <w:numId w:val="19"/>
        </w:numPr>
        <w:ind w:left="567" w:hanging="283"/>
        <w:jc w:val="both"/>
        <w:rPr>
          <w:rFonts w:asciiTheme="minorHAnsi" w:hAnsiTheme="minorHAnsi" w:cstheme="minorHAnsi"/>
          <w:b/>
        </w:rPr>
      </w:pPr>
      <w:r w:rsidRPr="00C9657D">
        <w:rPr>
          <w:rFonts w:asciiTheme="minorHAnsi" w:hAnsiTheme="minorHAnsi" w:cstheme="minorHAnsi"/>
          <w:b/>
        </w:rPr>
        <w:t xml:space="preserve">u státních podniků </w:t>
      </w:r>
      <w:r w:rsidR="00C279E0" w:rsidRPr="00C9657D">
        <w:rPr>
          <w:rFonts w:asciiTheme="minorHAnsi" w:hAnsiTheme="minorHAnsi" w:cstheme="minorHAnsi"/>
          <w:b/>
        </w:rPr>
        <w:t>sbír</w:t>
      </w:r>
      <w:r w:rsidR="00C279E0">
        <w:rPr>
          <w:rFonts w:asciiTheme="minorHAnsi" w:hAnsiTheme="minorHAnsi" w:cstheme="minorHAnsi"/>
          <w:b/>
        </w:rPr>
        <w:t>ky</w:t>
      </w:r>
      <w:r w:rsidR="00C279E0" w:rsidRPr="00C9657D">
        <w:rPr>
          <w:rFonts w:asciiTheme="minorHAnsi" w:hAnsiTheme="minorHAnsi" w:cstheme="minorHAnsi"/>
          <w:b/>
        </w:rPr>
        <w:t xml:space="preserve"> </w:t>
      </w:r>
      <w:r w:rsidRPr="00C9657D">
        <w:rPr>
          <w:rFonts w:asciiTheme="minorHAnsi" w:hAnsiTheme="minorHAnsi" w:cstheme="minorHAnsi"/>
          <w:b/>
        </w:rPr>
        <w:t xml:space="preserve">listin obchodního rejstříku </w:t>
      </w:r>
      <w:r w:rsidR="00C279E0">
        <w:rPr>
          <w:rFonts w:asciiTheme="minorHAnsi" w:hAnsiTheme="minorHAnsi" w:cstheme="minorHAnsi"/>
          <w:b/>
        </w:rPr>
        <w:t>ne</w:t>
      </w:r>
      <w:r w:rsidR="00C279E0" w:rsidRPr="00C9657D">
        <w:rPr>
          <w:rFonts w:asciiTheme="minorHAnsi" w:hAnsiTheme="minorHAnsi" w:cstheme="minorHAnsi"/>
          <w:b/>
        </w:rPr>
        <w:t>obsa</w:t>
      </w:r>
      <w:r w:rsidR="00C279E0">
        <w:rPr>
          <w:rFonts w:asciiTheme="minorHAnsi" w:hAnsiTheme="minorHAnsi" w:cstheme="minorHAnsi"/>
          <w:b/>
        </w:rPr>
        <w:t>hovaly</w:t>
      </w:r>
      <w:r w:rsidR="00C279E0" w:rsidRPr="00C9657D">
        <w:rPr>
          <w:rFonts w:asciiTheme="minorHAnsi" w:hAnsiTheme="minorHAnsi" w:cstheme="minorHAnsi"/>
          <w:b/>
        </w:rPr>
        <w:t xml:space="preserve"> </w:t>
      </w:r>
      <w:r w:rsidRPr="00C9657D">
        <w:rPr>
          <w:rFonts w:asciiTheme="minorHAnsi" w:hAnsiTheme="minorHAnsi" w:cstheme="minorHAnsi"/>
          <w:b/>
        </w:rPr>
        <w:t>některé zákonem stanovené dokumenty;</w:t>
      </w:r>
    </w:p>
    <w:p w14:paraId="0C336974" w14:textId="77777777" w:rsidR="00D55F31" w:rsidRPr="00C9657D" w:rsidRDefault="0024693B" w:rsidP="00E7138D">
      <w:pPr>
        <w:pStyle w:val="Odstavecseseznamem"/>
        <w:numPr>
          <w:ilvl w:val="1"/>
          <w:numId w:val="19"/>
        </w:numPr>
        <w:ind w:left="567" w:hanging="283"/>
        <w:jc w:val="both"/>
        <w:rPr>
          <w:rFonts w:asciiTheme="minorHAnsi" w:hAnsiTheme="minorHAnsi" w:cstheme="minorHAnsi"/>
          <w:b/>
        </w:rPr>
      </w:pPr>
      <w:proofErr w:type="spellStart"/>
      <w:r w:rsidRPr="00C9657D">
        <w:rPr>
          <w:rFonts w:asciiTheme="minorHAnsi" w:hAnsiTheme="minorHAnsi" w:cstheme="minorHAnsi"/>
          <w:b/>
        </w:rPr>
        <w:t>MZdr</w:t>
      </w:r>
      <w:proofErr w:type="spellEnd"/>
      <w:r w:rsidRPr="00C9657D">
        <w:rPr>
          <w:rFonts w:asciiTheme="minorHAnsi" w:hAnsiTheme="minorHAnsi" w:cstheme="minorHAnsi"/>
          <w:b/>
        </w:rPr>
        <w:t xml:space="preserve"> každoročně oddalovalo </w:t>
      </w:r>
      <w:r>
        <w:rPr>
          <w:rFonts w:asciiTheme="minorHAnsi" w:hAnsiTheme="minorHAnsi" w:cstheme="minorHAnsi"/>
          <w:b/>
        </w:rPr>
        <w:t xml:space="preserve">termín </w:t>
      </w:r>
      <w:r w:rsidRPr="00C9657D">
        <w:rPr>
          <w:rFonts w:asciiTheme="minorHAnsi" w:hAnsiTheme="minorHAnsi" w:cstheme="minorHAnsi"/>
          <w:b/>
        </w:rPr>
        <w:t xml:space="preserve">ukončení činnosti </w:t>
      </w:r>
      <w:r w:rsidR="00747332">
        <w:rPr>
          <w:rFonts w:asciiTheme="minorHAnsi" w:hAnsiTheme="minorHAnsi" w:cstheme="minorHAnsi"/>
          <w:b/>
        </w:rPr>
        <w:t xml:space="preserve">dlouhodobě ztrátového </w:t>
      </w:r>
      <w:r w:rsidRPr="00C9657D">
        <w:rPr>
          <w:rFonts w:asciiTheme="minorHAnsi" w:hAnsiTheme="minorHAnsi" w:cstheme="minorHAnsi"/>
          <w:b/>
        </w:rPr>
        <w:t xml:space="preserve">státního podniku BALMED Praha, </w:t>
      </w:r>
      <w:proofErr w:type="gramStart"/>
      <w:r w:rsidRPr="00C9657D">
        <w:rPr>
          <w:rFonts w:asciiTheme="minorHAnsi" w:hAnsiTheme="minorHAnsi" w:cstheme="minorHAnsi"/>
          <w:b/>
        </w:rPr>
        <w:t>jež</w:t>
      </w:r>
      <w:proofErr w:type="gramEnd"/>
      <w:r w:rsidRPr="00C9657D">
        <w:rPr>
          <w:rFonts w:asciiTheme="minorHAnsi" w:hAnsiTheme="minorHAnsi" w:cstheme="minorHAnsi"/>
          <w:b/>
        </w:rPr>
        <w:t xml:space="preserve"> dlouhodobě vypořádává </w:t>
      </w:r>
      <w:proofErr w:type="gramStart"/>
      <w:r w:rsidRPr="00C9657D">
        <w:rPr>
          <w:rFonts w:asciiTheme="minorHAnsi" w:hAnsiTheme="minorHAnsi" w:cstheme="minorHAnsi"/>
          <w:b/>
        </w:rPr>
        <w:t>majetek</w:t>
      </w:r>
      <w:proofErr w:type="gramEnd"/>
      <w:r w:rsidRPr="00C9657D">
        <w:rPr>
          <w:rFonts w:asciiTheme="minorHAnsi" w:hAnsiTheme="minorHAnsi" w:cstheme="minorHAnsi"/>
          <w:b/>
        </w:rPr>
        <w:t xml:space="preserve"> zbytkových státních podniků.</w:t>
      </w:r>
    </w:p>
    <w:p w14:paraId="2B61348C" w14:textId="77777777" w:rsidR="00D55F31" w:rsidRPr="00C9657D" w:rsidRDefault="0024693B" w:rsidP="00E7138D">
      <w:pPr>
        <w:pStyle w:val="Odstavecseseznamem"/>
        <w:numPr>
          <w:ilvl w:val="0"/>
          <w:numId w:val="16"/>
        </w:numPr>
        <w:spacing w:before="120"/>
        <w:ind w:left="284" w:hanging="284"/>
        <w:jc w:val="both"/>
        <w:rPr>
          <w:rFonts w:asciiTheme="minorHAnsi" w:hAnsiTheme="minorHAnsi" w:cstheme="minorHAnsi"/>
          <w:b/>
        </w:rPr>
      </w:pPr>
      <w:r w:rsidRPr="00C9657D">
        <w:rPr>
          <w:rFonts w:asciiTheme="minorHAnsi" w:hAnsiTheme="minorHAnsi" w:cstheme="minorHAnsi"/>
          <w:b/>
        </w:rPr>
        <w:t>V oblasti hospodaření s majetkem bylo zjištěno, že:</w:t>
      </w:r>
    </w:p>
    <w:p w14:paraId="4B29BB8C" w14:textId="77777777" w:rsidR="00D55F31" w:rsidRPr="00C9657D" w:rsidRDefault="0024693B" w:rsidP="00E7138D">
      <w:pPr>
        <w:pStyle w:val="Odstavecseseznamem"/>
        <w:numPr>
          <w:ilvl w:val="1"/>
          <w:numId w:val="20"/>
        </w:numPr>
        <w:ind w:left="567" w:hanging="283"/>
        <w:jc w:val="both"/>
        <w:rPr>
          <w:rFonts w:asciiTheme="minorHAnsi" w:hAnsiTheme="minorHAnsi" w:cstheme="minorHAnsi"/>
          <w:b/>
        </w:rPr>
      </w:pPr>
      <w:r w:rsidRPr="00C9657D">
        <w:rPr>
          <w:rFonts w:asciiTheme="minorHAnsi" w:hAnsiTheme="minorHAnsi" w:cstheme="minorHAnsi"/>
          <w:b/>
        </w:rPr>
        <w:t xml:space="preserve">všechny </w:t>
      </w:r>
      <w:r w:rsidR="00C279E0">
        <w:rPr>
          <w:rFonts w:asciiTheme="minorHAnsi" w:hAnsiTheme="minorHAnsi" w:cstheme="minorHAnsi"/>
          <w:b/>
        </w:rPr>
        <w:t xml:space="preserve">kontrolované </w:t>
      </w:r>
      <w:r w:rsidR="006851F6">
        <w:rPr>
          <w:rFonts w:asciiTheme="minorHAnsi" w:hAnsiTheme="minorHAnsi" w:cstheme="minorHAnsi"/>
          <w:b/>
        </w:rPr>
        <w:t xml:space="preserve">státní </w:t>
      </w:r>
      <w:r w:rsidRPr="00C9657D">
        <w:rPr>
          <w:rFonts w:asciiTheme="minorHAnsi" w:hAnsiTheme="minorHAnsi" w:cstheme="minorHAnsi"/>
          <w:b/>
        </w:rPr>
        <w:t xml:space="preserve">podniky pronajímaly určený majetek </w:t>
      </w:r>
      <w:r w:rsidR="00C279E0">
        <w:rPr>
          <w:rFonts w:asciiTheme="minorHAnsi" w:hAnsiTheme="minorHAnsi" w:cstheme="minorHAnsi"/>
          <w:b/>
        </w:rPr>
        <w:t xml:space="preserve">v rozporu se zákonem o státním podniku </w:t>
      </w:r>
      <w:r w:rsidRPr="00C9657D">
        <w:rPr>
          <w:rFonts w:asciiTheme="minorHAnsi" w:hAnsiTheme="minorHAnsi" w:cstheme="minorHAnsi"/>
          <w:b/>
        </w:rPr>
        <w:t>bez souhlasu zakladatele;</w:t>
      </w:r>
    </w:p>
    <w:p w14:paraId="1B0CB7CA" w14:textId="77777777" w:rsidR="00D55F31" w:rsidRPr="00C9657D" w:rsidRDefault="0024693B" w:rsidP="00E7138D">
      <w:pPr>
        <w:pStyle w:val="Odstavecseseznamem"/>
        <w:numPr>
          <w:ilvl w:val="1"/>
          <w:numId w:val="20"/>
        </w:numPr>
        <w:ind w:left="567" w:hanging="283"/>
        <w:jc w:val="both"/>
        <w:rPr>
          <w:rFonts w:asciiTheme="minorHAnsi" w:hAnsiTheme="minorHAnsi" w:cstheme="minorHAnsi"/>
          <w:b/>
        </w:rPr>
      </w:pPr>
      <w:r w:rsidRPr="00C9657D">
        <w:rPr>
          <w:rFonts w:asciiTheme="minorHAnsi" w:hAnsiTheme="minorHAnsi" w:cstheme="minorHAnsi"/>
          <w:b/>
        </w:rPr>
        <w:t>dva státní podniky nepostupovaly hospodárně, neboť vzhledem k vynaloženým majetkovým vstupům nerealizovaly adekvátní majetkový výstup;</w:t>
      </w:r>
    </w:p>
    <w:p w14:paraId="51F37043" w14:textId="49393FE2" w:rsidR="00D55F31" w:rsidRDefault="0024693B" w:rsidP="00E7138D">
      <w:pPr>
        <w:pStyle w:val="Odstavecseseznamem"/>
        <w:numPr>
          <w:ilvl w:val="1"/>
          <w:numId w:val="20"/>
        </w:numPr>
        <w:ind w:left="567" w:hanging="283"/>
        <w:jc w:val="both"/>
        <w:rPr>
          <w:rFonts w:asciiTheme="minorHAnsi" w:hAnsiTheme="minorHAnsi" w:cstheme="minorHAnsi"/>
          <w:b/>
        </w:rPr>
      </w:pPr>
      <w:r w:rsidRPr="00C9657D">
        <w:rPr>
          <w:rFonts w:asciiTheme="minorHAnsi" w:hAnsiTheme="minorHAnsi" w:cstheme="minorHAnsi"/>
          <w:b/>
        </w:rPr>
        <w:lastRenderedPageBreak/>
        <w:t>při zadávání veřejných zakázek státní podniky nepostupovaly v souladu se zákonem o veřejných zakázkách</w:t>
      </w:r>
      <w:r w:rsidR="008B22AA">
        <w:rPr>
          <w:rFonts w:asciiTheme="minorHAnsi" w:hAnsiTheme="minorHAnsi" w:cstheme="minorHAnsi"/>
          <w:b/>
        </w:rPr>
        <w:t>, čímž hrozilo</w:t>
      </w:r>
      <w:r w:rsidRPr="00C9657D">
        <w:rPr>
          <w:rFonts w:asciiTheme="minorHAnsi" w:hAnsiTheme="minorHAnsi" w:cstheme="minorHAnsi"/>
          <w:b/>
        </w:rPr>
        <w:t xml:space="preserve"> riziko nehospodárnosti při vynaložení peněžních prostředků, neboť si podniky nezajistily d</w:t>
      </w:r>
      <w:r>
        <w:rPr>
          <w:rFonts w:asciiTheme="minorHAnsi" w:hAnsiTheme="minorHAnsi" w:cstheme="minorHAnsi"/>
          <w:b/>
        </w:rPr>
        <w:t>ostatečně konkurenční prostředí;</w:t>
      </w:r>
    </w:p>
    <w:p w14:paraId="032696CE" w14:textId="77777777" w:rsidR="00D55F31" w:rsidRDefault="0024693B" w:rsidP="00E7138D">
      <w:pPr>
        <w:pStyle w:val="Odstavecseseznamem"/>
        <w:numPr>
          <w:ilvl w:val="1"/>
          <w:numId w:val="20"/>
        </w:numPr>
        <w:ind w:left="567" w:hanging="283"/>
        <w:jc w:val="both"/>
        <w:rPr>
          <w:rFonts w:asciiTheme="minorHAnsi" w:hAnsiTheme="minorHAnsi" w:cstheme="minorHAnsi"/>
          <w:b/>
        </w:rPr>
      </w:pPr>
      <w:r>
        <w:rPr>
          <w:rFonts w:asciiTheme="minorHAnsi" w:hAnsiTheme="minorHAnsi" w:cstheme="minorHAnsi"/>
          <w:b/>
        </w:rPr>
        <w:t xml:space="preserve">výsledky hospodaření v letech 2012 a 2013 negativně ovlivnil pokles tržeb od zdravotních pojišťoven a v roce 2014 naopak hospodaření kladně ovlivnilo navýšení úhrady </w:t>
      </w:r>
      <w:r w:rsidR="00747332">
        <w:rPr>
          <w:rFonts w:asciiTheme="minorHAnsi" w:hAnsiTheme="minorHAnsi" w:cstheme="minorHAnsi"/>
          <w:b/>
        </w:rPr>
        <w:t xml:space="preserve">za </w:t>
      </w:r>
      <w:r>
        <w:rPr>
          <w:rFonts w:asciiTheme="minorHAnsi" w:hAnsiTheme="minorHAnsi" w:cstheme="minorHAnsi"/>
          <w:b/>
        </w:rPr>
        <w:t>lázeňskou péči;</w:t>
      </w:r>
    </w:p>
    <w:p w14:paraId="7A7415DA" w14:textId="1814B5DD" w:rsidR="00D55F31" w:rsidRPr="00C9657D" w:rsidRDefault="0024693B" w:rsidP="00E7138D">
      <w:pPr>
        <w:pStyle w:val="Odstavecseseznamem"/>
        <w:numPr>
          <w:ilvl w:val="1"/>
          <w:numId w:val="20"/>
        </w:numPr>
        <w:ind w:left="567" w:hanging="283"/>
        <w:jc w:val="both"/>
        <w:rPr>
          <w:rFonts w:asciiTheme="minorHAnsi" w:hAnsiTheme="minorHAnsi" w:cstheme="minorHAnsi"/>
          <w:b/>
        </w:rPr>
      </w:pPr>
      <w:r>
        <w:rPr>
          <w:rFonts w:asciiTheme="minorHAnsi" w:hAnsiTheme="minorHAnsi" w:cstheme="minorHAnsi"/>
          <w:b/>
        </w:rPr>
        <w:t>z finanční analýzy vyplynulo, že z hlediska splácení závazků lze finanční pozici státních podniků k 31. 12. 2015 hodnotit jako dobrou.</w:t>
      </w:r>
    </w:p>
    <w:p w14:paraId="5277552A" w14:textId="77777777" w:rsidR="00D55F31" w:rsidRPr="00C9657D" w:rsidRDefault="0024693B" w:rsidP="00E7138D">
      <w:pPr>
        <w:pStyle w:val="Odstavecseseznamem"/>
        <w:numPr>
          <w:ilvl w:val="0"/>
          <w:numId w:val="16"/>
        </w:numPr>
        <w:spacing w:before="120"/>
        <w:ind w:left="284" w:hanging="284"/>
        <w:jc w:val="both"/>
        <w:rPr>
          <w:rFonts w:asciiTheme="minorHAnsi" w:hAnsiTheme="minorHAnsi" w:cstheme="minorHAnsi"/>
          <w:b/>
        </w:rPr>
      </w:pPr>
      <w:r w:rsidRPr="00C9657D">
        <w:rPr>
          <w:rFonts w:asciiTheme="minorHAnsi" w:hAnsiTheme="minorHAnsi" w:cstheme="minorHAnsi"/>
          <w:b/>
        </w:rPr>
        <w:t>V oblasti poskytování lázeňské péče bylo zjištěno, že:</w:t>
      </w:r>
    </w:p>
    <w:p w14:paraId="470B1EAC" w14:textId="77777777" w:rsidR="00D55F31" w:rsidRPr="00C9657D" w:rsidRDefault="0024693B" w:rsidP="00E7138D">
      <w:pPr>
        <w:pStyle w:val="Odstavecseseznamem"/>
        <w:numPr>
          <w:ilvl w:val="0"/>
          <w:numId w:val="21"/>
        </w:numPr>
        <w:ind w:left="567" w:hanging="283"/>
        <w:jc w:val="both"/>
        <w:rPr>
          <w:rFonts w:asciiTheme="minorHAnsi" w:hAnsiTheme="minorHAnsi" w:cstheme="minorHAnsi"/>
          <w:b/>
          <w:u w:val="single"/>
        </w:rPr>
      </w:pPr>
      <w:r w:rsidRPr="00C9657D">
        <w:rPr>
          <w:rFonts w:asciiTheme="minorHAnsi" w:hAnsiTheme="minorHAnsi" w:cstheme="minorHAnsi"/>
          <w:b/>
        </w:rPr>
        <w:t>statuty lázeňských míst jsou zastaralé;</w:t>
      </w:r>
    </w:p>
    <w:p w14:paraId="10A49457" w14:textId="77777777" w:rsidR="00D55F31" w:rsidRPr="00C9657D" w:rsidRDefault="0024693B" w:rsidP="00E7138D">
      <w:pPr>
        <w:pStyle w:val="Odstavecseseznamem"/>
        <w:numPr>
          <w:ilvl w:val="0"/>
          <w:numId w:val="21"/>
        </w:numPr>
        <w:ind w:left="567" w:hanging="283"/>
        <w:jc w:val="both"/>
        <w:rPr>
          <w:rFonts w:asciiTheme="minorHAnsi" w:hAnsiTheme="minorHAnsi" w:cstheme="minorHAnsi"/>
          <w:b/>
          <w:u w:val="single"/>
        </w:rPr>
      </w:pPr>
      <w:r w:rsidRPr="00C9657D">
        <w:rPr>
          <w:rFonts w:asciiTheme="minorHAnsi" w:hAnsiTheme="minorHAnsi" w:cstheme="minorHAnsi"/>
          <w:b/>
        </w:rPr>
        <w:t xml:space="preserve">u shodných indikací měli poskytovatelé lázeňské péče sjednány se zdravotními pojišťovnami rozdílné </w:t>
      </w:r>
      <w:r w:rsidR="00673CC9">
        <w:rPr>
          <w:rFonts w:asciiTheme="minorHAnsi" w:hAnsiTheme="minorHAnsi" w:cstheme="minorHAnsi"/>
          <w:b/>
        </w:rPr>
        <w:t>výše úhrad za ošetřovací den, aniž by existovala kritéria pro takovéto individuální dohody</w:t>
      </w:r>
      <w:r w:rsidRPr="00C9657D">
        <w:rPr>
          <w:rFonts w:asciiTheme="minorHAnsi" w:hAnsiTheme="minorHAnsi" w:cstheme="minorHAnsi"/>
          <w:b/>
        </w:rPr>
        <w:t>; n</w:t>
      </w:r>
      <w:r>
        <w:rPr>
          <w:rFonts w:asciiTheme="minorHAnsi" w:hAnsiTheme="minorHAnsi" w:cstheme="minorHAnsi"/>
          <w:b/>
        </w:rPr>
        <w:t xml:space="preserve">a </w:t>
      </w:r>
      <w:r w:rsidR="00673CC9">
        <w:rPr>
          <w:rFonts w:asciiTheme="minorHAnsi" w:hAnsiTheme="minorHAnsi" w:cstheme="minorHAnsi"/>
          <w:b/>
        </w:rPr>
        <w:t xml:space="preserve">tento stav </w:t>
      </w:r>
      <w:r>
        <w:rPr>
          <w:rFonts w:asciiTheme="minorHAnsi" w:hAnsiTheme="minorHAnsi" w:cstheme="minorHAnsi"/>
          <w:b/>
        </w:rPr>
        <w:t>NKÚ upozor</w:t>
      </w:r>
      <w:r w:rsidR="00673CC9">
        <w:rPr>
          <w:rFonts w:asciiTheme="minorHAnsi" w:hAnsiTheme="minorHAnsi" w:cstheme="minorHAnsi"/>
          <w:b/>
        </w:rPr>
        <w:t>n</w:t>
      </w:r>
      <w:r>
        <w:rPr>
          <w:rFonts w:asciiTheme="minorHAnsi" w:hAnsiTheme="minorHAnsi" w:cstheme="minorHAnsi"/>
          <w:b/>
        </w:rPr>
        <w:t>il</w:t>
      </w:r>
      <w:r w:rsidRPr="00C9657D">
        <w:rPr>
          <w:rFonts w:asciiTheme="minorHAnsi" w:hAnsiTheme="minorHAnsi" w:cstheme="minorHAnsi"/>
          <w:b/>
        </w:rPr>
        <w:t xml:space="preserve"> již </w:t>
      </w:r>
      <w:r w:rsidR="00673CC9">
        <w:rPr>
          <w:rFonts w:asciiTheme="minorHAnsi" w:hAnsiTheme="minorHAnsi" w:cstheme="minorHAnsi"/>
          <w:b/>
        </w:rPr>
        <w:t>ve výstupech z předchozích kontrolních akcí</w:t>
      </w:r>
      <w:r w:rsidRPr="00C9657D">
        <w:rPr>
          <w:rFonts w:asciiTheme="minorHAnsi" w:hAnsiTheme="minorHAnsi" w:cstheme="minorHAnsi"/>
          <w:b/>
        </w:rPr>
        <w:t>;</w:t>
      </w:r>
    </w:p>
    <w:p w14:paraId="14DB77A5" w14:textId="77777777" w:rsidR="00D55F31" w:rsidRPr="00AA5F1A" w:rsidRDefault="0024693B" w:rsidP="00E7138D">
      <w:pPr>
        <w:pStyle w:val="Odstavecseseznamem"/>
        <w:numPr>
          <w:ilvl w:val="0"/>
          <w:numId w:val="21"/>
        </w:numPr>
        <w:ind w:left="567" w:hanging="283"/>
        <w:jc w:val="both"/>
        <w:rPr>
          <w:rFonts w:asciiTheme="minorHAnsi" w:hAnsiTheme="minorHAnsi" w:cstheme="minorHAnsi"/>
          <w:b/>
          <w:u w:val="single"/>
        </w:rPr>
      </w:pPr>
      <w:r w:rsidRPr="00C9657D">
        <w:rPr>
          <w:rFonts w:asciiTheme="minorHAnsi" w:hAnsiTheme="minorHAnsi" w:cstheme="minorHAnsi"/>
          <w:b/>
        </w:rPr>
        <w:t>státní podniky fakturovaly zdravotním pojišťovnám ubytování ve vyšší k</w:t>
      </w:r>
      <w:r>
        <w:rPr>
          <w:rFonts w:asciiTheme="minorHAnsi" w:hAnsiTheme="minorHAnsi" w:cstheme="minorHAnsi"/>
          <w:b/>
        </w:rPr>
        <w:t>ategorii, než skutečně poskytly</w:t>
      </w:r>
      <w:r w:rsidR="00673CC9">
        <w:rPr>
          <w:rFonts w:asciiTheme="minorHAnsi" w:hAnsiTheme="minorHAnsi" w:cstheme="minorHAnsi"/>
          <w:b/>
        </w:rPr>
        <w:t>.</w:t>
      </w:r>
    </w:p>
    <w:p w14:paraId="4289A499" w14:textId="77777777" w:rsidR="00D55F31" w:rsidRPr="00C9657D" w:rsidRDefault="0024693B" w:rsidP="0002290A">
      <w:pPr>
        <w:spacing w:before="120"/>
        <w:jc w:val="both"/>
        <w:rPr>
          <w:rFonts w:asciiTheme="minorHAnsi" w:hAnsiTheme="minorHAnsi" w:cstheme="minorHAnsi"/>
          <w:b/>
        </w:rPr>
      </w:pPr>
      <w:r w:rsidRPr="00C9657D">
        <w:rPr>
          <w:rFonts w:asciiTheme="minorHAnsi" w:hAnsiTheme="minorHAnsi" w:cstheme="minorHAnsi"/>
          <w:b/>
        </w:rPr>
        <w:t>Na základě výsledků kontroly NKÚ doporučuje, aby</w:t>
      </w:r>
      <w:r>
        <w:rPr>
          <w:rFonts w:asciiTheme="minorHAnsi" w:hAnsiTheme="minorHAnsi" w:cstheme="minorHAnsi"/>
          <w:b/>
        </w:rPr>
        <w:t xml:space="preserve"> </w:t>
      </w:r>
      <w:r w:rsidR="00747332">
        <w:rPr>
          <w:rFonts w:asciiTheme="minorHAnsi" w:hAnsiTheme="minorHAnsi" w:cstheme="minorHAnsi"/>
          <w:b/>
        </w:rPr>
        <w:t>Ministerstvo zdravotnictví</w:t>
      </w:r>
      <w:r w:rsidRPr="00C9657D">
        <w:rPr>
          <w:rFonts w:asciiTheme="minorHAnsi" w:hAnsiTheme="minorHAnsi" w:cstheme="minorHAnsi"/>
          <w:b/>
        </w:rPr>
        <w:t>:</w:t>
      </w:r>
    </w:p>
    <w:p w14:paraId="357C4924" w14:textId="6D919109" w:rsidR="00D55F31" w:rsidRDefault="00747332" w:rsidP="00E7138D">
      <w:pPr>
        <w:pStyle w:val="Odstavecseseznamem"/>
        <w:numPr>
          <w:ilvl w:val="0"/>
          <w:numId w:val="22"/>
        </w:numPr>
        <w:ind w:left="567" w:hanging="283"/>
        <w:jc w:val="both"/>
        <w:rPr>
          <w:rFonts w:asciiTheme="minorHAnsi" w:hAnsiTheme="minorHAnsi" w:cstheme="minorHAnsi"/>
          <w:b/>
        </w:rPr>
      </w:pPr>
      <w:r>
        <w:rPr>
          <w:rFonts w:asciiTheme="minorHAnsi" w:hAnsiTheme="minorHAnsi" w:cstheme="minorHAnsi"/>
          <w:b/>
        </w:rPr>
        <w:t>neprodleně</w:t>
      </w:r>
      <w:r w:rsidR="0024693B" w:rsidRPr="00C9657D">
        <w:rPr>
          <w:rFonts w:asciiTheme="minorHAnsi" w:hAnsiTheme="minorHAnsi" w:cstheme="minorHAnsi"/>
          <w:b/>
        </w:rPr>
        <w:t xml:space="preserve"> jmenovalo své zástupce do dozorčích rad, aby </w:t>
      </w:r>
      <w:r w:rsidR="00276FDB">
        <w:rPr>
          <w:rFonts w:asciiTheme="minorHAnsi" w:hAnsiTheme="minorHAnsi" w:cstheme="minorHAnsi"/>
          <w:b/>
        </w:rPr>
        <w:t>tyto orgány</w:t>
      </w:r>
      <w:r w:rsidR="0024693B" w:rsidRPr="00C9657D">
        <w:rPr>
          <w:rFonts w:asciiTheme="minorHAnsi" w:hAnsiTheme="minorHAnsi" w:cstheme="minorHAnsi"/>
          <w:b/>
        </w:rPr>
        <w:t xml:space="preserve"> státních podniků mohl</w:t>
      </w:r>
      <w:r w:rsidR="00276FDB">
        <w:rPr>
          <w:rFonts w:asciiTheme="minorHAnsi" w:hAnsiTheme="minorHAnsi" w:cstheme="minorHAnsi"/>
          <w:b/>
        </w:rPr>
        <w:t>y</w:t>
      </w:r>
      <w:r w:rsidR="0024693B" w:rsidRPr="00C9657D">
        <w:rPr>
          <w:rFonts w:asciiTheme="minorHAnsi" w:hAnsiTheme="minorHAnsi" w:cstheme="minorHAnsi"/>
          <w:b/>
        </w:rPr>
        <w:t xml:space="preserve"> </w:t>
      </w:r>
      <w:r w:rsidR="0024693B">
        <w:rPr>
          <w:rFonts w:asciiTheme="minorHAnsi" w:hAnsiTheme="minorHAnsi" w:cstheme="minorHAnsi"/>
          <w:b/>
        </w:rPr>
        <w:t xml:space="preserve">řádně </w:t>
      </w:r>
      <w:r w:rsidR="0024693B" w:rsidRPr="00C9657D">
        <w:rPr>
          <w:rFonts w:asciiTheme="minorHAnsi" w:hAnsiTheme="minorHAnsi" w:cstheme="minorHAnsi"/>
          <w:b/>
        </w:rPr>
        <w:t xml:space="preserve">plnit svou </w:t>
      </w:r>
      <w:r w:rsidR="0024693B">
        <w:rPr>
          <w:rFonts w:asciiTheme="minorHAnsi" w:hAnsiTheme="minorHAnsi" w:cstheme="minorHAnsi"/>
          <w:b/>
        </w:rPr>
        <w:t xml:space="preserve">kontrolní </w:t>
      </w:r>
      <w:r w:rsidR="0024693B" w:rsidRPr="00C9657D">
        <w:rPr>
          <w:rFonts w:asciiTheme="minorHAnsi" w:hAnsiTheme="minorHAnsi" w:cstheme="minorHAnsi"/>
          <w:b/>
        </w:rPr>
        <w:t>funkci;</w:t>
      </w:r>
    </w:p>
    <w:p w14:paraId="7C0EAF75" w14:textId="77777777" w:rsidR="00922B9E" w:rsidRPr="00C9657D" w:rsidRDefault="00922B9E" w:rsidP="00E7138D">
      <w:pPr>
        <w:pStyle w:val="Odstavecseseznamem"/>
        <w:numPr>
          <w:ilvl w:val="0"/>
          <w:numId w:val="22"/>
        </w:numPr>
        <w:ind w:left="567" w:hanging="283"/>
        <w:jc w:val="both"/>
        <w:rPr>
          <w:rFonts w:asciiTheme="minorHAnsi" w:hAnsiTheme="minorHAnsi" w:cstheme="minorHAnsi"/>
          <w:b/>
        </w:rPr>
      </w:pPr>
      <w:r>
        <w:rPr>
          <w:rFonts w:asciiTheme="minorHAnsi" w:hAnsiTheme="minorHAnsi" w:cstheme="minorHAnsi"/>
          <w:b/>
        </w:rPr>
        <w:t xml:space="preserve">při stanovení rozsahu zásadních otázek koncepce rozvoje státních lázní </w:t>
      </w:r>
      <w:r w:rsidR="00F83481">
        <w:rPr>
          <w:rFonts w:asciiTheme="minorHAnsi" w:hAnsiTheme="minorHAnsi" w:cstheme="minorHAnsi"/>
          <w:b/>
        </w:rPr>
        <w:t>určilo</w:t>
      </w:r>
      <w:r>
        <w:rPr>
          <w:rFonts w:asciiTheme="minorHAnsi" w:hAnsiTheme="minorHAnsi" w:cstheme="minorHAnsi"/>
          <w:b/>
        </w:rPr>
        <w:t xml:space="preserve"> minimální rozsah kapacity vymezený pro poskytování lázeňské péče hrazené z veřejného zdravotního pojištění</w:t>
      </w:r>
      <w:r w:rsidR="00F83481">
        <w:rPr>
          <w:rFonts w:asciiTheme="minorHAnsi" w:hAnsiTheme="minorHAnsi" w:cstheme="minorHAnsi"/>
          <w:b/>
        </w:rPr>
        <w:t>;</w:t>
      </w:r>
    </w:p>
    <w:p w14:paraId="5A6E2359" w14:textId="0475F77D" w:rsidR="00D55F31" w:rsidRDefault="00747332" w:rsidP="00E7138D">
      <w:pPr>
        <w:pStyle w:val="Odstavecseseznamem"/>
        <w:numPr>
          <w:ilvl w:val="0"/>
          <w:numId w:val="22"/>
        </w:numPr>
        <w:ind w:left="567" w:hanging="283"/>
        <w:jc w:val="both"/>
        <w:rPr>
          <w:rFonts w:asciiTheme="minorHAnsi" w:hAnsiTheme="minorHAnsi" w:cstheme="minorHAnsi"/>
          <w:b/>
        </w:rPr>
      </w:pPr>
      <w:r>
        <w:rPr>
          <w:rFonts w:asciiTheme="minorHAnsi" w:hAnsiTheme="minorHAnsi" w:cstheme="minorHAnsi"/>
          <w:b/>
        </w:rPr>
        <w:t xml:space="preserve">iniciovalo a spolupodílelo se na stanovení kritérií aplikovatelných pro celou oblast individuálních úhrad tak, aby se financování </w:t>
      </w:r>
      <w:r w:rsidR="00DE226B">
        <w:rPr>
          <w:rFonts w:asciiTheme="minorHAnsi" w:hAnsiTheme="minorHAnsi" w:cstheme="minorHAnsi"/>
          <w:b/>
        </w:rPr>
        <w:t>zdravotní péče (mezi n</w:t>
      </w:r>
      <w:r w:rsidR="00276FDB">
        <w:rPr>
          <w:rFonts w:asciiTheme="minorHAnsi" w:hAnsiTheme="minorHAnsi" w:cstheme="minorHAnsi"/>
          <w:b/>
        </w:rPr>
        <w:t>i</w:t>
      </w:r>
      <w:r w:rsidR="00DE226B">
        <w:rPr>
          <w:rFonts w:asciiTheme="minorHAnsi" w:hAnsiTheme="minorHAnsi" w:cstheme="minorHAnsi"/>
          <w:b/>
        </w:rPr>
        <w:t>ž náleží i lázeňská péče)</w:t>
      </w:r>
      <w:r>
        <w:rPr>
          <w:rFonts w:asciiTheme="minorHAnsi" w:hAnsiTheme="minorHAnsi" w:cstheme="minorHAnsi"/>
          <w:b/>
        </w:rPr>
        <w:t xml:space="preserve"> z veřejných prostředků stalo transparentní a přezkoumatelné</w:t>
      </w:r>
      <w:r w:rsidR="00F83481">
        <w:rPr>
          <w:rFonts w:asciiTheme="minorHAnsi" w:hAnsiTheme="minorHAnsi" w:cstheme="minorHAnsi"/>
          <w:b/>
        </w:rPr>
        <w:t>;</w:t>
      </w:r>
    </w:p>
    <w:p w14:paraId="4E4EF34F" w14:textId="77777777" w:rsidR="00F83481" w:rsidRPr="00C9657D" w:rsidRDefault="00F83481" w:rsidP="00E7138D">
      <w:pPr>
        <w:pStyle w:val="Odstavecseseznamem"/>
        <w:numPr>
          <w:ilvl w:val="0"/>
          <w:numId w:val="22"/>
        </w:numPr>
        <w:ind w:left="567" w:hanging="283"/>
        <w:jc w:val="both"/>
        <w:rPr>
          <w:rFonts w:asciiTheme="minorHAnsi" w:hAnsiTheme="minorHAnsi" w:cstheme="minorHAnsi"/>
          <w:b/>
        </w:rPr>
      </w:pPr>
      <w:r w:rsidRPr="00C9657D">
        <w:rPr>
          <w:rFonts w:asciiTheme="minorHAnsi" w:hAnsiTheme="minorHAnsi" w:cstheme="minorHAnsi"/>
          <w:b/>
        </w:rPr>
        <w:t xml:space="preserve">ukončilo </w:t>
      </w:r>
      <w:r>
        <w:rPr>
          <w:rFonts w:asciiTheme="minorHAnsi" w:hAnsiTheme="minorHAnsi" w:cstheme="minorHAnsi"/>
          <w:b/>
        </w:rPr>
        <w:t xml:space="preserve">ztrátovou </w:t>
      </w:r>
      <w:r w:rsidRPr="00C9657D">
        <w:rPr>
          <w:rFonts w:asciiTheme="minorHAnsi" w:hAnsiTheme="minorHAnsi" w:cstheme="minorHAnsi"/>
          <w:b/>
        </w:rPr>
        <w:t>činnost státního podniku BALMED Praha a zbytkový majetek, který tento podnik spravuje, převedlo na Úřad pro zastupování státu ve věcech majetkových</w:t>
      </w:r>
      <w:r>
        <w:rPr>
          <w:rFonts w:asciiTheme="minorHAnsi" w:hAnsiTheme="minorHAnsi" w:cstheme="minorHAnsi"/>
          <w:b/>
        </w:rPr>
        <w:t>.</w:t>
      </w:r>
    </w:p>
    <w:p w14:paraId="45D8FFB5" w14:textId="77777777" w:rsidR="00D55F31" w:rsidRPr="00C9657D" w:rsidRDefault="00D55F31" w:rsidP="0002290A">
      <w:pPr>
        <w:jc w:val="both"/>
        <w:rPr>
          <w:rFonts w:asciiTheme="minorHAnsi" w:hAnsiTheme="minorHAnsi" w:cstheme="minorHAnsi"/>
          <w:u w:val="single"/>
        </w:rPr>
      </w:pPr>
    </w:p>
    <w:p w14:paraId="30D68CB6" w14:textId="77777777" w:rsidR="00D55F31" w:rsidRPr="00C9657D" w:rsidRDefault="0024693B" w:rsidP="0002290A">
      <w:pPr>
        <w:rPr>
          <w:rFonts w:asciiTheme="minorHAnsi" w:hAnsiTheme="minorHAnsi" w:cstheme="minorHAnsi"/>
          <w:u w:val="single"/>
        </w:rPr>
      </w:pPr>
      <w:r w:rsidRPr="00C9657D">
        <w:rPr>
          <w:rFonts w:asciiTheme="minorHAnsi" w:hAnsiTheme="minorHAnsi" w:cstheme="minorHAnsi"/>
          <w:u w:val="single"/>
        </w:rPr>
        <w:br w:type="page"/>
      </w:r>
    </w:p>
    <w:p w14:paraId="31E0E04F" w14:textId="77777777" w:rsidR="00D55F31" w:rsidRPr="006F0BA5" w:rsidRDefault="0024693B" w:rsidP="0002290A">
      <w:pPr>
        <w:jc w:val="center"/>
        <w:rPr>
          <w:rFonts w:asciiTheme="minorHAnsi" w:hAnsiTheme="minorHAnsi" w:cstheme="minorHAnsi"/>
          <w:b/>
        </w:rPr>
      </w:pPr>
      <w:r w:rsidRPr="006F0BA5">
        <w:rPr>
          <w:rFonts w:asciiTheme="minorHAnsi" w:hAnsiTheme="minorHAnsi" w:cstheme="minorHAnsi"/>
          <w:b/>
        </w:rPr>
        <w:lastRenderedPageBreak/>
        <w:t>Seznam zkratek</w:t>
      </w:r>
    </w:p>
    <w:p w14:paraId="1B0A0766" w14:textId="77777777" w:rsidR="00D55F31" w:rsidRPr="00C9657D" w:rsidRDefault="00D55F31" w:rsidP="0002290A">
      <w:pPr>
        <w:jc w:val="both"/>
        <w:rPr>
          <w:rFonts w:asciiTheme="minorHAnsi" w:hAnsiTheme="minorHAnsi" w:cstheme="minorHAnsi"/>
          <w:u w:val="single"/>
        </w:rPr>
      </w:pPr>
    </w:p>
    <w:p w14:paraId="6ACA9F95" w14:textId="77777777" w:rsidR="00D55F31" w:rsidRPr="00C9657D" w:rsidRDefault="0024693B" w:rsidP="0002290A">
      <w:pPr>
        <w:autoSpaceDE w:val="0"/>
        <w:autoSpaceDN w:val="0"/>
        <w:adjustRightInd w:val="0"/>
        <w:jc w:val="both"/>
        <w:rPr>
          <w:rFonts w:asciiTheme="minorHAnsi" w:hAnsiTheme="minorHAnsi" w:cstheme="minorHAnsi"/>
          <w:bCs/>
          <w:lang w:eastAsia="cs-CZ"/>
        </w:rPr>
      </w:pPr>
      <w:r w:rsidRPr="00C9657D">
        <w:rPr>
          <w:rFonts w:asciiTheme="minorHAnsi" w:hAnsiTheme="minorHAnsi" w:cstheme="minorHAnsi"/>
          <w:bCs/>
          <w:lang w:eastAsia="cs-CZ"/>
        </w:rPr>
        <w:t>AK</w:t>
      </w:r>
      <w:r w:rsidRPr="00C9657D">
        <w:rPr>
          <w:rFonts w:asciiTheme="minorHAnsi" w:hAnsiTheme="minorHAnsi" w:cstheme="minorHAnsi"/>
          <w:bCs/>
          <w:lang w:eastAsia="cs-CZ"/>
        </w:rPr>
        <w:tab/>
      </w:r>
      <w:r w:rsidRPr="00C9657D">
        <w:rPr>
          <w:rFonts w:asciiTheme="minorHAnsi" w:hAnsiTheme="minorHAnsi" w:cstheme="minorHAnsi"/>
          <w:bCs/>
          <w:lang w:eastAsia="cs-CZ"/>
        </w:rPr>
        <w:tab/>
      </w:r>
      <w:r w:rsidRPr="00C9657D">
        <w:rPr>
          <w:rFonts w:asciiTheme="minorHAnsi" w:hAnsiTheme="minorHAnsi" w:cstheme="minorHAnsi"/>
          <w:bCs/>
          <w:lang w:eastAsia="cs-CZ"/>
        </w:rPr>
        <w:tab/>
        <w:t>akreditační karta lázeňského zařízení</w:t>
      </w:r>
    </w:p>
    <w:p w14:paraId="7A58F490" w14:textId="77777777" w:rsidR="00D55F31" w:rsidRPr="00C9657D" w:rsidRDefault="0024693B" w:rsidP="0002290A">
      <w:pPr>
        <w:autoSpaceDE w:val="0"/>
        <w:autoSpaceDN w:val="0"/>
        <w:adjustRightInd w:val="0"/>
        <w:jc w:val="both"/>
        <w:rPr>
          <w:rFonts w:asciiTheme="minorHAnsi" w:hAnsiTheme="minorHAnsi" w:cstheme="minorHAnsi"/>
          <w:lang w:eastAsia="cs-CZ"/>
        </w:rPr>
      </w:pPr>
      <w:r w:rsidRPr="00C9657D">
        <w:rPr>
          <w:rFonts w:asciiTheme="minorHAnsi" w:hAnsiTheme="minorHAnsi" w:cstheme="minorHAnsi"/>
          <w:bCs/>
          <w:lang w:eastAsia="cs-CZ"/>
        </w:rPr>
        <w:t>BALMED Praha</w:t>
      </w:r>
      <w:r w:rsidRPr="00C9657D">
        <w:rPr>
          <w:rFonts w:asciiTheme="minorHAnsi" w:hAnsiTheme="minorHAnsi" w:cstheme="minorHAnsi"/>
          <w:bCs/>
          <w:lang w:eastAsia="cs-CZ"/>
        </w:rPr>
        <w:tab/>
        <w:t>BALMED Praha, státní podnik</w:t>
      </w:r>
    </w:p>
    <w:p w14:paraId="41AB25A2" w14:textId="77777777" w:rsidR="00D55F31" w:rsidRPr="00C9657D" w:rsidRDefault="0024693B" w:rsidP="0002290A">
      <w:pPr>
        <w:jc w:val="both"/>
        <w:rPr>
          <w:rFonts w:asciiTheme="minorHAnsi" w:hAnsiTheme="minorHAnsi" w:cstheme="minorHAnsi"/>
        </w:rPr>
      </w:pPr>
      <w:r w:rsidRPr="00C9657D">
        <w:rPr>
          <w:rFonts w:asciiTheme="minorHAnsi" w:hAnsiTheme="minorHAnsi" w:cstheme="minorHAnsi"/>
        </w:rPr>
        <w:t>ČIL</w:t>
      </w:r>
      <w:r w:rsidRPr="00C9657D">
        <w:rPr>
          <w:rFonts w:asciiTheme="minorHAnsi" w:hAnsiTheme="minorHAnsi" w:cstheme="minorHAnsi"/>
        </w:rPr>
        <w:tab/>
      </w:r>
      <w:r w:rsidRPr="00C9657D">
        <w:rPr>
          <w:rFonts w:asciiTheme="minorHAnsi" w:hAnsiTheme="minorHAnsi" w:cstheme="minorHAnsi"/>
        </w:rPr>
        <w:tab/>
      </w:r>
      <w:r w:rsidRPr="00C9657D">
        <w:rPr>
          <w:rFonts w:asciiTheme="minorHAnsi" w:hAnsiTheme="minorHAnsi" w:cstheme="minorHAnsi"/>
        </w:rPr>
        <w:tab/>
        <w:t>Český inspektorát lázní a zřídel (</w:t>
      </w:r>
      <w:proofErr w:type="spellStart"/>
      <w:r w:rsidRPr="00C9657D">
        <w:rPr>
          <w:rFonts w:asciiTheme="minorHAnsi" w:hAnsiTheme="minorHAnsi" w:cstheme="minorHAnsi"/>
        </w:rPr>
        <w:t>MZdr</w:t>
      </w:r>
      <w:proofErr w:type="spellEnd"/>
      <w:r w:rsidRPr="00C9657D">
        <w:rPr>
          <w:rFonts w:asciiTheme="minorHAnsi" w:hAnsiTheme="minorHAnsi" w:cstheme="minorHAnsi"/>
        </w:rPr>
        <w:t>)</w:t>
      </w:r>
    </w:p>
    <w:p w14:paraId="5DCF924A" w14:textId="77777777" w:rsidR="00D55F31" w:rsidRPr="00C9657D" w:rsidRDefault="0024693B" w:rsidP="0002290A">
      <w:pPr>
        <w:jc w:val="both"/>
        <w:rPr>
          <w:rFonts w:asciiTheme="minorHAnsi" w:hAnsiTheme="minorHAnsi" w:cstheme="minorHAnsi"/>
        </w:rPr>
      </w:pPr>
      <w:r w:rsidRPr="00C9657D">
        <w:rPr>
          <w:rFonts w:asciiTheme="minorHAnsi" w:hAnsiTheme="minorHAnsi" w:cstheme="minorHAnsi"/>
        </w:rPr>
        <w:t>ČR</w:t>
      </w:r>
      <w:r w:rsidRPr="00C9657D">
        <w:rPr>
          <w:rFonts w:asciiTheme="minorHAnsi" w:hAnsiTheme="minorHAnsi" w:cstheme="minorHAnsi"/>
        </w:rPr>
        <w:tab/>
      </w:r>
      <w:r w:rsidRPr="00C9657D">
        <w:rPr>
          <w:rFonts w:asciiTheme="minorHAnsi" w:hAnsiTheme="minorHAnsi" w:cstheme="minorHAnsi"/>
        </w:rPr>
        <w:tab/>
      </w:r>
      <w:r w:rsidRPr="00C9657D">
        <w:rPr>
          <w:rFonts w:asciiTheme="minorHAnsi" w:hAnsiTheme="minorHAnsi" w:cstheme="minorHAnsi"/>
        </w:rPr>
        <w:tab/>
        <w:t>Česká republika</w:t>
      </w:r>
    </w:p>
    <w:p w14:paraId="7F2C03EF" w14:textId="77777777" w:rsidR="008B22AA" w:rsidRDefault="008B22AA" w:rsidP="0002290A">
      <w:pPr>
        <w:jc w:val="both"/>
        <w:rPr>
          <w:rFonts w:asciiTheme="minorHAnsi" w:hAnsiTheme="minorHAnsi" w:cstheme="minorHAnsi"/>
        </w:rPr>
      </w:pPr>
      <w:r>
        <w:rPr>
          <w:rFonts w:asciiTheme="minorHAnsi" w:hAnsiTheme="minorHAnsi" w:cstheme="minorHAnsi"/>
        </w:rPr>
        <w:t>DPH</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daň z přidané hodnoty</w:t>
      </w:r>
    </w:p>
    <w:p w14:paraId="569FECF9" w14:textId="77777777" w:rsidR="00D55F31" w:rsidRPr="00C9657D" w:rsidRDefault="0024693B" w:rsidP="0002290A">
      <w:pPr>
        <w:jc w:val="both"/>
        <w:rPr>
          <w:rFonts w:asciiTheme="minorHAnsi" w:hAnsiTheme="minorHAnsi" w:cstheme="minorHAnsi"/>
        </w:rPr>
      </w:pPr>
      <w:r w:rsidRPr="00C9657D">
        <w:rPr>
          <w:rFonts w:asciiTheme="minorHAnsi" w:hAnsiTheme="minorHAnsi" w:cstheme="minorHAnsi"/>
        </w:rPr>
        <w:t>DR</w:t>
      </w:r>
      <w:r w:rsidRPr="00C9657D">
        <w:rPr>
          <w:rFonts w:asciiTheme="minorHAnsi" w:hAnsiTheme="minorHAnsi" w:cstheme="minorHAnsi"/>
        </w:rPr>
        <w:tab/>
      </w:r>
      <w:r w:rsidRPr="00C9657D">
        <w:rPr>
          <w:rFonts w:asciiTheme="minorHAnsi" w:hAnsiTheme="minorHAnsi" w:cstheme="minorHAnsi"/>
        </w:rPr>
        <w:tab/>
      </w:r>
      <w:r w:rsidRPr="00C9657D">
        <w:rPr>
          <w:rFonts w:asciiTheme="minorHAnsi" w:hAnsiTheme="minorHAnsi" w:cstheme="minorHAnsi"/>
        </w:rPr>
        <w:tab/>
        <w:t>dozorčí rada</w:t>
      </w:r>
    </w:p>
    <w:p w14:paraId="5052DDC1" w14:textId="77777777" w:rsidR="00D55F31" w:rsidRPr="00C9657D" w:rsidRDefault="0024693B" w:rsidP="0002290A">
      <w:pPr>
        <w:pStyle w:val="BodyText21"/>
        <w:overflowPunct/>
        <w:autoSpaceDE/>
        <w:autoSpaceDN/>
        <w:adjustRightInd/>
        <w:spacing w:after="0"/>
        <w:textAlignment w:val="auto"/>
        <w:rPr>
          <w:rFonts w:asciiTheme="minorHAnsi" w:hAnsiTheme="minorHAnsi" w:cstheme="minorHAnsi"/>
          <w:bCs/>
        </w:rPr>
      </w:pPr>
      <w:r w:rsidRPr="00C9657D">
        <w:rPr>
          <w:rFonts w:asciiTheme="minorHAnsi" w:hAnsiTheme="minorHAnsi" w:cstheme="minorHAnsi"/>
        </w:rPr>
        <w:t>HL Karlova Studánka</w:t>
      </w:r>
      <w:r w:rsidRPr="00C9657D">
        <w:rPr>
          <w:rFonts w:asciiTheme="minorHAnsi" w:hAnsiTheme="minorHAnsi" w:cstheme="minorHAnsi"/>
          <w:bCs/>
        </w:rPr>
        <w:t xml:space="preserve"> </w:t>
      </w:r>
      <w:r w:rsidRPr="00C9657D">
        <w:rPr>
          <w:rFonts w:asciiTheme="minorHAnsi" w:hAnsiTheme="minorHAnsi" w:cstheme="minorHAnsi"/>
          <w:bCs/>
        </w:rPr>
        <w:tab/>
        <w:t>Horské lázně Karlova Studánka, státní podnik</w:t>
      </w:r>
    </w:p>
    <w:p w14:paraId="16121207" w14:textId="77777777" w:rsidR="00D55F31" w:rsidRPr="00C9657D" w:rsidRDefault="0024693B" w:rsidP="0002290A">
      <w:pPr>
        <w:pStyle w:val="BodyText21"/>
        <w:overflowPunct/>
        <w:autoSpaceDE/>
        <w:autoSpaceDN/>
        <w:adjustRightInd/>
        <w:spacing w:after="0"/>
        <w:textAlignment w:val="auto"/>
        <w:rPr>
          <w:rFonts w:asciiTheme="minorHAnsi" w:hAnsiTheme="minorHAnsi" w:cstheme="minorHAnsi"/>
          <w:szCs w:val="24"/>
          <w:lang w:eastAsia="en-US"/>
        </w:rPr>
      </w:pPr>
      <w:r w:rsidRPr="00C9657D">
        <w:rPr>
          <w:rFonts w:asciiTheme="minorHAnsi" w:hAnsiTheme="minorHAnsi"/>
        </w:rPr>
        <w:t>lázeňská péče</w:t>
      </w:r>
      <w:r w:rsidRPr="00C9657D">
        <w:rPr>
          <w:rFonts w:asciiTheme="minorHAnsi" w:hAnsiTheme="minorHAnsi"/>
        </w:rPr>
        <w:tab/>
      </w:r>
      <w:r w:rsidRPr="00C9657D">
        <w:rPr>
          <w:rFonts w:asciiTheme="minorHAnsi" w:hAnsiTheme="minorHAnsi"/>
        </w:rPr>
        <w:tab/>
        <w:t>lázeňská léčebně rehabilitační péče</w:t>
      </w:r>
      <w:r w:rsidRPr="00C9657D">
        <w:rPr>
          <w:rFonts w:asciiTheme="minorHAnsi" w:hAnsiTheme="minorHAnsi" w:cstheme="minorHAnsi"/>
          <w:szCs w:val="24"/>
          <w:lang w:eastAsia="en-US"/>
        </w:rPr>
        <w:t xml:space="preserve"> </w:t>
      </w:r>
    </w:p>
    <w:p w14:paraId="4E4A5302" w14:textId="77777777" w:rsidR="00D55F31" w:rsidRPr="00C9657D" w:rsidRDefault="0024693B" w:rsidP="0002290A">
      <w:pPr>
        <w:pStyle w:val="BodyText21"/>
        <w:overflowPunct/>
        <w:autoSpaceDE/>
        <w:autoSpaceDN/>
        <w:adjustRightInd/>
        <w:spacing w:after="0"/>
        <w:textAlignment w:val="auto"/>
        <w:rPr>
          <w:rFonts w:asciiTheme="minorHAnsi" w:hAnsiTheme="minorHAnsi" w:cstheme="minorHAnsi"/>
          <w:szCs w:val="24"/>
          <w:lang w:eastAsia="en-US"/>
        </w:rPr>
      </w:pPr>
      <w:proofErr w:type="spellStart"/>
      <w:r w:rsidRPr="00C9657D">
        <w:rPr>
          <w:rFonts w:asciiTheme="minorHAnsi" w:hAnsiTheme="minorHAnsi" w:cstheme="minorHAnsi"/>
          <w:szCs w:val="24"/>
          <w:lang w:eastAsia="en-US"/>
        </w:rPr>
        <w:t>MZdr</w:t>
      </w:r>
      <w:proofErr w:type="spellEnd"/>
      <w:r w:rsidRPr="00C9657D">
        <w:rPr>
          <w:rFonts w:asciiTheme="minorHAnsi" w:hAnsiTheme="minorHAnsi" w:cstheme="minorHAnsi"/>
          <w:szCs w:val="24"/>
          <w:lang w:eastAsia="en-US"/>
        </w:rPr>
        <w:tab/>
      </w:r>
      <w:r w:rsidRPr="00C9657D">
        <w:rPr>
          <w:rFonts w:asciiTheme="minorHAnsi" w:hAnsiTheme="minorHAnsi" w:cstheme="minorHAnsi"/>
          <w:szCs w:val="24"/>
          <w:lang w:eastAsia="en-US"/>
        </w:rPr>
        <w:tab/>
      </w:r>
      <w:r w:rsidRPr="00C9657D">
        <w:rPr>
          <w:rFonts w:asciiTheme="minorHAnsi" w:hAnsiTheme="minorHAnsi" w:cstheme="minorHAnsi"/>
          <w:szCs w:val="24"/>
          <w:lang w:eastAsia="en-US"/>
        </w:rPr>
        <w:tab/>
        <w:t xml:space="preserve">Ministerstvo zdravotnictví </w:t>
      </w:r>
    </w:p>
    <w:p w14:paraId="145F63F9" w14:textId="77777777" w:rsidR="00D55F31" w:rsidRPr="00C9657D" w:rsidRDefault="0024693B" w:rsidP="0002290A">
      <w:pPr>
        <w:jc w:val="both"/>
        <w:rPr>
          <w:rFonts w:asciiTheme="minorHAnsi" w:hAnsiTheme="minorHAnsi" w:cstheme="minorHAnsi"/>
        </w:rPr>
      </w:pPr>
      <w:r w:rsidRPr="00C9657D">
        <w:rPr>
          <w:rFonts w:asciiTheme="minorHAnsi" w:hAnsiTheme="minorHAnsi" w:cstheme="minorHAnsi"/>
        </w:rPr>
        <w:t>NKÚ</w:t>
      </w:r>
      <w:r w:rsidRPr="00C9657D">
        <w:rPr>
          <w:rFonts w:asciiTheme="minorHAnsi" w:hAnsiTheme="minorHAnsi" w:cstheme="minorHAnsi"/>
        </w:rPr>
        <w:tab/>
      </w:r>
      <w:r w:rsidRPr="00C9657D">
        <w:rPr>
          <w:rFonts w:asciiTheme="minorHAnsi" w:hAnsiTheme="minorHAnsi" w:cstheme="minorHAnsi"/>
        </w:rPr>
        <w:tab/>
      </w:r>
      <w:r w:rsidRPr="00C9657D">
        <w:rPr>
          <w:rFonts w:asciiTheme="minorHAnsi" w:hAnsiTheme="minorHAnsi" w:cstheme="minorHAnsi"/>
        </w:rPr>
        <w:tab/>
        <w:t>Nejvyšší kontrolní úřad</w:t>
      </w:r>
    </w:p>
    <w:p w14:paraId="5C3CC1D9" w14:textId="77777777" w:rsidR="00826683" w:rsidRDefault="00826683" w:rsidP="0002290A">
      <w:pPr>
        <w:jc w:val="both"/>
        <w:rPr>
          <w:rFonts w:asciiTheme="minorHAnsi" w:hAnsiTheme="minorHAnsi" w:cs="Calibri"/>
        </w:rPr>
      </w:pPr>
      <w:r w:rsidRPr="00C9657D">
        <w:rPr>
          <w:rFonts w:asciiTheme="minorHAnsi" w:hAnsiTheme="minorHAnsi" w:cs="Calibri"/>
        </w:rPr>
        <w:t>ošetřovací den</w:t>
      </w:r>
      <w:r>
        <w:rPr>
          <w:rFonts w:asciiTheme="minorHAnsi" w:hAnsiTheme="minorHAnsi" w:cs="Calibri"/>
        </w:rPr>
        <w:tab/>
      </w:r>
      <w:r>
        <w:rPr>
          <w:rFonts w:asciiTheme="minorHAnsi" w:hAnsiTheme="minorHAnsi" w:cs="Calibri"/>
        </w:rPr>
        <w:tab/>
      </w:r>
      <w:r w:rsidRPr="00C9657D">
        <w:rPr>
          <w:rFonts w:asciiTheme="minorHAnsi" w:hAnsiTheme="minorHAnsi" w:cs="Calibri"/>
        </w:rPr>
        <w:t>ošetřovací den</w:t>
      </w:r>
      <w:r>
        <w:rPr>
          <w:rFonts w:asciiTheme="minorHAnsi" w:hAnsiTheme="minorHAnsi" w:cs="Calibri"/>
        </w:rPr>
        <w:t xml:space="preserve"> pobytu</w:t>
      </w:r>
    </w:p>
    <w:p w14:paraId="2A8AFEAE" w14:textId="21E58617" w:rsidR="00D55F31" w:rsidRPr="00C9657D" w:rsidRDefault="0024693B" w:rsidP="0002290A">
      <w:pPr>
        <w:jc w:val="both"/>
        <w:rPr>
          <w:rFonts w:asciiTheme="minorHAnsi" w:hAnsiTheme="minorHAnsi" w:cstheme="minorHAnsi"/>
        </w:rPr>
      </w:pPr>
      <w:r w:rsidRPr="00C9657D">
        <w:rPr>
          <w:rFonts w:asciiTheme="minorHAnsi" w:hAnsiTheme="minorHAnsi" w:cstheme="minorHAnsi"/>
        </w:rPr>
        <w:t>PLP</w:t>
      </w:r>
      <w:r w:rsidRPr="00C9657D">
        <w:rPr>
          <w:rFonts w:asciiTheme="minorHAnsi" w:hAnsiTheme="minorHAnsi" w:cstheme="minorHAnsi"/>
        </w:rPr>
        <w:tab/>
      </w:r>
      <w:r w:rsidRPr="00C9657D">
        <w:rPr>
          <w:rFonts w:asciiTheme="minorHAnsi" w:hAnsiTheme="minorHAnsi" w:cstheme="minorHAnsi"/>
        </w:rPr>
        <w:tab/>
      </w:r>
      <w:r w:rsidRPr="00C9657D">
        <w:rPr>
          <w:rFonts w:asciiTheme="minorHAnsi" w:hAnsiTheme="minorHAnsi" w:cstheme="minorHAnsi"/>
        </w:rPr>
        <w:tab/>
        <w:t>příspěvková lázeňská péče</w:t>
      </w:r>
    </w:p>
    <w:p w14:paraId="31592E08" w14:textId="77777777" w:rsidR="00D55F31" w:rsidRPr="00C9657D" w:rsidRDefault="0024693B" w:rsidP="0002290A">
      <w:pPr>
        <w:jc w:val="both"/>
        <w:rPr>
          <w:rFonts w:asciiTheme="minorHAnsi" w:hAnsiTheme="minorHAnsi" w:cstheme="minorHAnsi"/>
        </w:rPr>
      </w:pPr>
      <w:r w:rsidRPr="00C9657D">
        <w:rPr>
          <w:rFonts w:asciiTheme="minorHAnsi" w:hAnsiTheme="minorHAnsi" w:cstheme="minorHAnsi"/>
        </w:rPr>
        <w:t>PLZ</w:t>
      </w:r>
      <w:r w:rsidRPr="00C9657D">
        <w:rPr>
          <w:rFonts w:asciiTheme="minorHAnsi" w:hAnsiTheme="minorHAnsi" w:cstheme="minorHAnsi"/>
        </w:rPr>
        <w:tab/>
      </w:r>
      <w:r w:rsidRPr="00C9657D">
        <w:rPr>
          <w:rFonts w:asciiTheme="minorHAnsi" w:hAnsiTheme="minorHAnsi" w:cstheme="minorHAnsi"/>
        </w:rPr>
        <w:tab/>
      </w:r>
      <w:r w:rsidRPr="00C9657D">
        <w:rPr>
          <w:rFonts w:asciiTheme="minorHAnsi" w:hAnsiTheme="minorHAnsi" w:cstheme="minorHAnsi"/>
        </w:rPr>
        <w:tab/>
        <w:t>přírodní léčivý zdroj</w:t>
      </w:r>
    </w:p>
    <w:p w14:paraId="4547B40F" w14:textId="77777777" w:rsidR="00D55F31" w:rsidRPr="00C9657D" w:rsidRDefault="0024693B" w:rsidP="0002290A">
      <w:pPr>
        <w:jc w:val="both"/>
        <w:rPr>
          <w:rFonts w:asciiTheme="minorHAnsi" w:hAnsiTheme="minorHAnsi" w:cstheme="minorHAnsi"/>
        </w:rPr>
      </w:pPr>
      <w:r w:rsidRPr="00C9657D">
        <w:rPr>
          <w:rFonts w:asciiTheme="minorHAnsi" w:hAnsiTheme="minorHAnsi" w:cstheme="minorHAnsi"/>
        </w:rPr>
        <w:t>VZ</w:t>
      </w:r>
      <w:r w:rsidRPr="00C9657D">
        <w:rPr>
          <w:rFonts w:asciiTheme="minorHAnsi" w:hAnsiTheme="minorHAnsi" w:cstheme="minorHAnsi"/>
        </w:rPr>
        <w:tab/>
      </w:r>
      <w:r w:rsidRPr="00C9657D">
        <w:rPr>
          <w:rFonts w:asciiTheme="minorHAnsi" w:hAnsiTheme="minorHAnsi" w:cstheme="minorHAnsi"/>
        </w:rPr>
        <w:tab/>
      </w:r>
      <w:r w:rsidRPr="00C9657D">
        <w:rPr>
          <w:rFonts w:asciiTheme="minorHAnsi" w:hAnsiTheme="minorHAnsi" w:cstheme="minorHAnsi"/>
        </w:rPr>
        <w:tab/>
        <w:t>veřejné zakázky</w:t>
      </w:r>
    </w:p>
    <w:p w14:paraId="6AD38467" w14:textId="77777777" w:rsidR="00D55F31" w:rsidRPr="00C9657D" w:rsidRDefault="0024693B" w:rsidP="0002290A">
      <w:pPr>
        <w:autoSpaceDE w:val="0"/>
        <w:autoSpaceDN w:val="0"/>
        <w:adjustRightInd w:val="0"/>
        <w:jc w:val="both"/>
        <w:rPr>
          <w:rFonts w:asciiTheme="minorHAnsi" w:hAnsiTheme="minorHAnsi" w:cstheme="minorHAnsi"/>
          <w:lang w:eastAsia="cs-CZ"/>
        </w:rPr>
      </w:pPr>
      <w:r w:rsidRPr="00C9657D">
        <w:rPr>
          <w:rFonts w:asciiTheme="minorHAnsi" w:hAnsiTheme="minorHAnsi" w:cstheme="minorHAnsi"/>
          <w:bCs/>
          <w:lang w:eastAsia="cs-CZ"/>
        </w:rPr>
        <w:t>SLL Bludov</w:t>
      </w:r>
      <w:r w:rsidRPr="00C9657D">
        <w:rPr>
          <w:rFonts w:asciiTheme="minorHAnsi" w:hAnsiTheme="minorHAnsi" w:cstheme="minorHAnsi"/>
          <w:bCs/>
          <w:lang w:eastAsia="cs-CZ"/>
        </w:rPr>
        <w:tab/>
      </w:r>
      <w:r w:rsidRPr="00C9657D">
        <w:rPr>
          <w:rFonts w:asciiTheme="minorHAnsi" w:hAnsiTheme="minorHAnsi" w:cstheme="minorHAnsi"/>
          <w:bCs/>
          <w:lang w:eastAsia="cs-CZ"/>
        </w:rPr>
        <w:tab/>
        <w:t>Státní léčebné lázně Bludov, státní podnik</w:t>
      </w:r>
    </w:p>
    <w:p w14:paraId="4F8B6545" w14:textId="77777777" w:rsidR="00D55F31" w:rsidRPr="00C9657D" w:rsidRDefault="0024693B" w:rsidP="0002290A">
      <w:pPr>
        <w:autoSpaceDE w:val="0"/>
        <w:autoSpaceDN w:val="0"/>
        <w:adjustRightInd w:val="0"/>
        <w:jc w:val="both"/>
        <w:rPr>
          <w:rFonts w:asciiTheme="minorHAnsi" w:hAnsiTheme="minorHAnsi" w:cstheme="minorHAnsi"/>
          <w:bCs/>
          <w:lang w:eastAsia="cs-CZ"/>
        </w:rPr>
      </w:pPr>
      <w:r w:rsidRPr="00C9657D">
        <w:rPr>
          <w:rFonts w:asciiTheme="minorHAnsi" w:hAnsiTheme="minorHAnsi" w:cstheme="minorHAnsi"/>
          <w:bCs/>
          <w:lang w:eastAsia="cs-CZ"/>
        </w:rPr>
        <w:t>SLL Janské Lázně</w:t>
      </w:r>
      <w:r w:rsidRPr="00C9657D">
        <w:rPr>
          <w:rFonts w:asciiTheme="minorHAnsi" w:hAnsiTheme="minorHAnsi" w:cstheme="minorHAnsi"/>
          <w:bCs/>
          <w:lang w:eastAsia="cs-CZ"/>
        </w:rPr>
        <w:tab/>
        <w:t>Státní léčebné lázně Janské Lázně, státní podnik</w:t>
      </w:r>
    </w:p>
    <w:p w14:paraId="31B8D9AA" w14:textId="77777777" w:rsidR="00D55F31" w:rsidRDefault="0024693B" w:rsidP="0002290A">
      <w:pPr>
        <w:autoSpaceDE w:val="0"/>
        <w:autoSpaceDN w:val="0"/>
        <w:adjustRightInd w:val="0"/>
        <w:jc w:val="both"/>
        <w:rPr>
          <w:rFonts w:asciiTheme="minorHAnsi" w:hAnsiTheme="minorHAnsi" w:cstheme="minorHAnsi"/>
          <w:bCs/>
          <w:lang w:eastAsia="cs-CZ"/>
        </w:rPr>
      </w:pPr>
      <w:r w:rsidRPr="00C9657D">
        <w:rPr>
          <w:rFonts w:asciiTheme="minorHAnsi" w:hAnsiTheme="minorHAnsi" w:cstheme="minorHAnsi"/>
          <w:bCs/>
          <w:lang w:eastAsia="cs-CZ"/>
        </w:rPr>
        <w:t>ZP</w:t>
      </w:r>
      <w:r w:rsidRPr="00C9657D">
        <w:rPr>
          <w:rFonts w:asciiTheme="minorHAnsi" w:hAnsiTheme="minorHAnsi" w:cstheme="minorHAnsi"/>
          <w:bCs/>
          <w:lang w:eastAsia="cs-CZ"/>
        </w:rPr>
        <w:tab/>
      </w:r>
      <w:r w:rsidRPr="00C9657D">
        <w:rPr>
          <w:rFonts w:asciiTheme="minorHAnsi" w:hAnsiTheme="minorHAnsi" w:cstheme="minorHAnsi"/>
          <w:bCs/>
          <w:lang w:eastAsia="cs-CZ"/>
        </w:rPr>
        <w:tab/>
      </w:r>
      <w:r w:rsidRPr="00C9657D">
        <w:rPr>
          <w:rFonts w:asciiTheme="minorHAnsi" w:hAnsiTheme="minorHAnsi" w:cstheme="minorHAnsi"/>
          <w:bCs/>
          <w:lang w:eastAsia="cs-CZ"/>
        </w:rPr>
        <w:tab/>
        <w:t>zdravotní pojišťovna</w:t>
      </w:r>
    </w:p>
    <w:p w14:paraId="46ADD022" w14:textId="519D710A" w:rsidR="00826683" w:rsidRDefault="00826683" w:rsidP="0002290A">
      <w:pPr>
        <w:autoSpaceDE w:val="0"/>
        <w:autoSpaceDN w:val="0"/>
        <w:adjustRightInd w:val="0"/>
        <w:jc w:val="both"/>
        <w:rPr>
          <w:rFonts w:asciiTheme="minorHAnsi" w:hAnsiTheme="minorHAnsi" w:cstheme="minorHAnsi"/>
          <w:bCs/>
          <w:lang w:eastAsia="cs-CZ"/>
        </w:rPr>
      </w:pPr>
      <w:r>
        <w:rPr>
          <w:rFonts w:asciiTheme="minorHAnsi" w:hAnsiTheme="minorHAnsi" w:cstheme="minorHAnsi"/>
          <w:bCs/>
          <w:lang w:eastAsia="cs-CZ"/>
        </w:rPr>
        <w:t>ZVZ</w:t>
      </w:r>
      <w:r>
        <w:rPr>
          <w:rFonts w:asciiTheme="minorHAnsi" w:hAnsiTheme="minorHAnsi" w:cstheme="minorHAnsi"/>
          <w:bCs/>
          <w:lang w:eastAsia="cs-CZ"/>
        </w:rPr>
        <w:tab/>
      </w:r>
      <w:r>
        <w:rPr>
          <w:rFonts w:asciiTheme="minorHAnsi" w:hAnsiTheme="minorHAnsi" w:cstheme="minorHAnsi"/>
          <w:bCs/>
          <w:lang w:eastAsia="cs-CZ"/>
        </w:rPr>
        <w:tab/>
      </w:r>
      <w:r>
        <w:rPr>
          <w:rFonts w:asciiTheme="minorHAnsi" w:hAnsiTheme="minorHAnsi" w:cstheme="minorHAnsi"/>
          <w:bCs/>
          <w:lang w:eastAsia="cs-CZ"/>
        </w:rPr>
        <w:tab/>
        <w:t xml:space="preserve">zákon </w:t>
      </w:r>
      <w:r w:rsidRPr="00471ABD">
        <w:rPr>
          <w:rFonts w:asciiTheme="minorHAnsi" w:hAnsiTheme="minorHAnsi" w:cstheme="minorHAnsi"/>
          <w:lang w:eastAsia="cs-CZ"/>
        </w:rPr>
        <w:t>č. 137/2006 Sb.</w:t>
      </w:r>
      <w:r>
        <w:rPr>
          <w:rFonts w:asciiTheme="minorHAnsi" w:hAnsiTheme="minorHAnsi" w:cstheme="minorHAnsi"/>
          <w:lang w:eastAsia="cs-CZ"/>
        </w:rPr>
        <w:t>,</w:t>
      </w:r>
      <w:r>
        <w:rPr>
          <w:rFonts w:asciiTheme="minorHAnsi" w:hAnsiTheme="minorHAnsi" w:cstheme="minorHAnsi"/>
          <w:bCs/>
          <w:lang w:eastAsia="cs-CZ"/>
        </w:rPr>
        <w:t xml:space="preserve"> o veřejných zakázkách</w:t>
      </w:r>
    </w:p>
    <w:p w14:paraId="16704AD4" w14:textId="77777777" w:rsidR="00826683" w:rsidRPr="00C9657D" w:rsidRDefault="00826683" w:rsidP="0002290A">
      <w:pPr>
        <w:autoSpaceDE w:val="0"/>
        <w:autoSpaceDN w:val="0"/>
        <w:adjustRightInd w:val="0"/>
        <w:jc w:val="both"/>
        <w:rPr>
          <w:rFonts w:asciiTheme="minorHAnsi" w:hAnsiTheme="minorHAnsi" w:cstheme="minorHAnsi"/>
          <w:bCs/>
          <w:lang w:eastAsia="cs-CZ"/>
        </w:rPr>
      </w:pPr>
    </w:p>
    <w:p w14:paraId="1B83212E" w14:textId="77777777" w:rsidR="00D55F31" w:rsidRPr="00C9657D" w:rsidRDefault="0024693B" w:rsidP="0002290A">
      <w:pPr>
        <w:rPr>
          <w:rFonts w:asciiTheme="minorHAnsi" w:eastAsia="Calibri" w:hAnsiTheme="minorHAnsi" w:cs="Calibri"/>
          <w:b/>
        </w:rPr>
      </w:pPr>
      <w:r w:rsidRPr="00C9657D">
        <w:rPr>
          <w:rFonts w:asciiTheme="minorHAnsi" w:eastAsia="Calibri" w:hAnsiTheme="minorHAnsi" w:cs="Calibri"/>
          <w:b/>
        </w:rPr>
        <w:br w:type="page"/>
      </w:r>
    </w:p>
    <w:p w14:paraId="109CB40F" w14:textId="77777777" w:rsidR="00D55F31" w:rsidRPr="00E7138D" w:rsidRDefault="0024693B" w:rsidP="0002290A">
      <w:pPr>
        <w:tabs>
          <w:tab w:val="left" w:pos="284"/>
        </w:tabs>
        <w:spacing w:after="120"/>
        <w:jc w:val="right"/>
        <w:rPr>
          <w:rFonts w:ascii="Calibri" w:eastAsia="Calibri" w:hAnsi="Calibri" w:cs="Calibri"/>
          <w:b/>
        </w:rPr>
      </w:pPr>
      <w:r w:rsidRPr="00E7138D">
        <w:rPr>
          <w:rFonts w:ascii="Calibri" w:eastAsia="Calibri" w:hAnsi="Calibri" w:cs="Calibri"/>
          <w:b/>
        </w:rPr>
        <w:lastRenderedPageBreak/>
        <w:t xml:space="preserve">PŘÍLOHA č. 1 </w:t>
      </w:r>
    </w:p>
    <w:p w14:paraId="66B46ED3" w14:textId="77777777" w:rsidR="00D55F31" w:rsidRPr="00E7138D" w:rsidRDefault="0024693B" w:rsidP="0002290A">
      <w:pPr>
        <w:spacing w:before="120" w:after="40"/>
        <w:jc w:val="both"/>
        <w:rPr>
          <w:rFonts w:ascii="Calibri" w:hAnsi="Calibri" w:cs="Calibri"/>
          <w:b/>
          <w:bCs/>
          <w:color w:val="000000"/>
        </w:rPr>
      </w:pPr>
      <w:r w:rsidRPr="00E7138D">
        <w:rPr>
          <w:rFonts w:ascii="Calibri" w:hAnsi="Calibri" w:cs="Calibri"/>
          <w:b/>
          <w:color w:val="000000"/>
        </w:rPr>
        <w:t>Tabulka č. 1 – Vybrané ukazatele finanční analýzy kontrolovaných státních podniků</w:t>
      </w:r>
    </w:p>
    <w:tbl>
      <w:tblPr>
        <w:tblW w:w="4936"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116"/>
        <w:gridCol w:w="1848"/>
        <w:gridCol w:w="848"/>
        <w:gridCol w:w="146"/>
        <w:gridCol w:w="885"/>
        <w:gridCol w:w="109"/>
        <w:gridCol w:w="923"/>
        <w:gridCol w:w="71"/>
        <w:gridCol w:w="960"/>
        <w:gridCol w:w="36"/>
        <w:gridCol w:w="984"/>
      </w:tblGrid>
      <w:tr w:rsidR="00C425F2" w:rsidRPr="00E7138D" w14:paraId="2007E8C1" w14:textId="77777777" w:rsidTr="00D55F31">
        <w:trPr>
          <w:trHeight w:val="283"/>
          <w:jc w:val="center"/>
        </w:trPr>
        <w:tc>
          <w:tcPr>
            <w:tcW w:w="2220" w:type="pct"/>
            <w:gridSpan w:val="2"/>
            <w:tcBorders>
              <w:top w:val="single" w:sz="12" w:space="0" w:color="auto"/>
            </w:tcBorders>
            <w:shd w:val="clear" w:color="auto" w:fill="C6D9F1" w:themeFill="text2" w:themeFillTint="33"/>
            <w:noWrap/>
            <w:vAlign w:val="center"/>
            <w:hideMark/>
          </w:tcPr>
          <w:p w14:paraId="330C8A84" w14:textId="77777777" w:rsidR="00D55F31" w:rsidRPr="00E7138D" w:rsidRDefault="00D55F31" w:rsidP="0002290A">
            <w:pPr>
              <w:jc w:val="center"/>
              <w:rPr>
                <w:rFonts w:ascii="Calibri" w:hAnsi="Calibri" w:cs="Calibri"/>
                <w:b/>
                <w:color w:val="000000"/>
                <w:sz w:val="18"/>
                <w:szCs w:val="18"/>
                <w:lang w:eastAsia="cs-CZ"/>
              </w:rPr>
            </w:pPr>
          </w:p>
        </w:tc>
        <w:tc>
          <w:tcPr>
            <w:tcW w:w="557" w:type="pct"/>
            <w:gridSpan w:val="2"/>
            <w:tcBorders>
              <w:top w:val="single" w:sz="12" w:space="0" w:color="auto"/>
            </w:tcBorders>
            <w:shd w:val="clear" w:color="auto" w:fill="C6D9F1" w:themeFill="text2" w:themeFillTint="33"/>
            <w:noWrap/>
            <w:vAlign w:val="center"/>
            <w:hideMark/>
          </w:tcPr>
          <w:p w14:paraId="032AB915" w14:textId="77777777" w:rsidR="00D55F31" w:rsidRPr="00E7138D" w:rsidRDefault="0024693B" w:rsidP="0002290A">
            <w:pPr>
              <w:jc w:val="center"/>
              <w:rPr>
                <w:rFonts w:ascii="Calibri" w:hAnsi="Calibri" w:cs="Calibri"/>
                <w:b/>
                <w:color w:val="000000"/>
                <w:sz w:val="18"/>
                <w:szCs w:val="18"/>
                <w:lang w:eastAsia="cs-CZ"/>
              </w:rPr>
            </w:pPr>
            <w:r w:rsidRPr="00E7138D">
              <w:rPr>
                <w:rFonts w:ascii="Calibri" w:hAnsi="Calibri" w:cs="Calibri"/>
                <w:b/>
                <w:color w:val="000000"/>
                <w:sz w:val="18"/>
                <w:szCs w:val="18"/>
                <w:lang w:eastAsia="cs-CZ"/>
              </w:rPr>
              <w:t>2011</w:t>
            </w:r>
          </w:p>
        </w:tc>
        <w:tc>
          <w:tcPr>
            <w:tcW w:w="557" w:type="pct"/>
            <w:gridSpan w:val="2"/>
            <w:tcBorders>
              <w:top w:val="single" w:sz="12" w:space="0" w:color="auto"/>
            </w:tcBorders>
            <w:shd w:val="clear" w:color="auto" w:fill="C6D9F1" w:themeFill="text2" w:themeFillTint="33"/>
            <w:noWrap/>
            <w:vAlign w:val="center"/>
            <w:hideMark/>
          </w:tcPr>
          <w:p w14:paraId="190B06EA" w14:textId="77777777" w:rsidR="00D55F31" w:rsidRPr="00E7138D" w:rsidRDefault="0024693B" w:rsidP="0002290A">
            <w:pPr>
              <w:jc w:val="center"/>
              <w:rPr>
                <w:rFonts w:ascii="Calibri" w:hAnsi="Calibri" w:cs="Calibri"/>
                <w:b/>
                <w:color w:val="000000"/>
                <w:sz w:val="18"/>
                <w:szCs w:val="18"/>
                <w:lang w:eastAsia="cs-CZ"/>
              </w:rPr>
            </w:pPr>
            <w:r w:rsidRPr="00E7138D">
              <w:rPr>
                <w:rFonts w:ascii="Calibri" w:hAnsi="Calibri" w:cs="Calibri"/>
                <w:b/>
                <w:color w:val="000000"/>
                <w:sz w:val="18"/>
                <w:szCs w:val="18"/>
                <w:lang w:eastAsia="cs-CZ"/>
              </w:rPr>
              <w:t>2012</w:t>
            </w:r>
          </w:p>
        </w:tc>
        <w:tc>
          <w:tcPr>
            <w:tcW w:w="557" w:type="pct"/>
            <w:gridSpan w:val="2"/>
            <w:tcBorders>
              <w:top w:val="single" w:sz="12" w:space="0" w:color="auto"/>
            </w:tcBorders>
            <w:shd w:val="clear" w:color="auto" w:fill="C6D9F1" w:themeFill="text2" w:themeFillTint="33"/>
            <w:noWrap/>
            <w:vAlign w:val="center"/>
            <w:hideMark/>
          </w:tcPr>
          <w:p w14:paraId="5714FFE6" w14:textId="77777777" w:rsidR="00D55F31" w:rsidRPr="00E7138D" w:rsidRDefault="0024693B" w:rsidP="0002290A">
            <w:pPr>
              <w:jc w:val="center"/>
              <w:rPr>
                <w:rFonts w:ascii="Calibri" w:hAnsi="Calibri" w:cs="Calibri"/>
                <w:b/>
                <w:color w:val="000000"/>
                <w:sz w:val="18"/>
                <w:szCs w:val="18"/>
                <w:lang w:eastAsia="cs-CZ"/>
              </w:rPr>
            </w:pPr>
            <w:r w:rsidRPr="00E7138D">
              <w:rPr>
                <w:rFonts w:ascii="Calibri" w:hAnsi="Calibri" w:cs="Calibri"/>
                <w:b/>
                <w:color w:val="000000"/>
                <w:sz w:val="18"/>
                <w:szCs w:val="18"/>
                <w:lang w:eastAsia="cs-CZ"/>
              </w:rPr>
              <w:t>2013</w:t>
            </w:r>
          </w:p>
        </w:tc>
        <w:tc>
          <w:tcPr>
            <w:tcW w:w="558" w:type="pct"/>
            <w:gridSpan w:val="2"/>
            <w:tcBorders>
              <w:top w:val="single" w:sz="12" w:space="0" w:color="auto"/>
            </w:tcBorders>
            <w:shd w:val="clear" w:color="auto" w:fill="C6D9F1" w:themeFill="text2" w:themeFillTint="33"/>
            <w:noWrap/>
            <w:vAlign w:val="center"/>
            <w:hideMark/>
          </w:tcPr>
          <w:p w14:paraId="5BA9F092" w14:textId="77777777" w:rsidR="00D55F31" w:rsidRPr="00E7138D" w:rsidRDefault="0024693B" w:rsidP="0002290A">
            <w:pPr>
              <w:jc w:val="center"/>
              <w:rPr>
                <w:rFonts w:ascii="Calibri" w:hAnsi="Calibri" w:cs="Calibri"/>
                <w:b/>
                <w:color w:val="000000"/>
                <w:sz w:val="18"/>
                <w:szCs w:val="18"/>
                <w:lang w:eastAsia="cs-CZ"/>
              </w:rPr>
            </w:pPr>
            <w:r w:rsidRPr="00E7138D">
              <w:rPr>
                <w:rFonts w:ascii="Calibri" w:hAnsi="Calibri" w:cs="Calibri"/>
                <w:b/>
                <w:color w:val="000000"/>
                <w:sz w:val="18"/>
                <w:szCs w:val="18"/>
                <w:lang w:eastAsia="cs-CZ"/>
              </w:rPr>
              <w:t>2014</w:t>
            </w:r>
          </w:p>
        </w:tc>
        <w:tc>
          <w:tcPr>
            <w:tcW w:w="551" w:type="pct"/>
            <w:tcBorders>
              <w:top w:val="single" w:sz="12" w:space="0" w:color="auto"/>
            </w:tcBorders>
            <w:shd w:val="clear" w:color="auto" w:fill="C6D9F1" w:themeFill="text2" w:themeFillTint="33"/>
            <w:noWrap/>
            <w:vAlign w:val="center"/>
            <w:hideMark/>
          </w:tcPr>
          <w:p w14:paraId="217EFEF6" w14:textId="77777777" w:rsidR="00D55F31" w:rsidRPr="00E7138D" w:rsidRDefault="0024693B" w:rsidP="0002290A">
            <w:pPr>
              <w:jc w:val="center"/>
              <w:rPr>
                <w:rFonts w:ascii="Calibri" w:hAnsi="Calibri" w:cs="Calibri"/>
                <w:b/>
                <w:color w:val="000000"/>
                <w:sz w:val="18"/>
                <w:szCs w:val="18"/>
                <w:lang w:eastAsia="cs-CZ"/>
              </w:rPr>
            </w:pPr>
            <w:r w:rsidRPr="00E7138D">
              <w:rPr>
                <w:rFonts w:ascii="Calibri" w:hAnsi="Calibri" w:cs="Calibri"/>
                <w:b/>
                <w:color w:val="000000"/>
                <w:sz w:val="18"/>
                <w:szCs w:val="18"/>
                <w:lang w:eastAsia="cs-CZ"/>
              </w:rPr>
              <w:t>2015</w:t>
            </w:r>
          </w:p>
        </w:tc>
      </w:tr>
      <w:tr w:rsidR="00C425F2" w:rsidRPr="00E7138D" w14:paraId="3C7E9056" w14:textId="77777777" w:rsidTr="00D55F31">
        <w:trPr>
          <w:trHeight w:val="283"/>
          <w:jc w:val="center"/>
        </w:trPr>
        <w:tc>
          <w:tcPr>
            <w:tcW w:w="5000" w:type="pct"/>
            <w:gridSpan w:val="11"/>
            <w:shd w:val="clear" w:color="auto" w:fill="C6D9F1" w:themeFill="text2" w:themeFillTint="33"/>
            <w:vAlign w:val="center"/>
          </w:tcPr>
          <w:p w14:paraId="6A78EF3B" w14:textId="0C56717A" w:rsidR="00D55F31" w:rsidRPr="00E7138D" w:rsidRDefault="0024693B" w:rsidP="00506C42">
            <w:pPr>
              <w:rPr>
                <w:rFonts w:ascii="Calibri" w:hAnsi="Calibri" w:cs="Calibri"/>
                <w:b/>
                <w:color w:val="000000"/>
                <w:sz w:val="18"/>
                <w:szCs w:val="18"/>
                <w:lang w:eastAsia="cs-CZ"/>
              </w:rPr>
            </w:pPr>
            <w:r w:rsidRPr="00E7138D">
              <w:rPr>
                <w:rFonts w:ascii="Calibri" w:hAnsi="Calibri" w:cs="Calibri"/>
                <w:b/>
                <w:color w:val="000000"/>
                <w:sz w:val="18"/>
                <w:szCs w:val="18"/>
                <w:lang w:eastAsia="cs-CZ"/>
              </w:rPr>
              <w:t>Ukazatele platební schopnosti</w:t>
            </w:r>
          </w:p>
        </w:tc>
      </w:tr>
      <w:tr w:rsidR="00C425F2" w:rsidRPr="00E7138D" w14:paraId="01FF49A5" w14:textId="77777777" w:rsidTr="00D55F31">
        <w:trPr>
          <w:trHeight w:val="283"/>
          <w:jc w:val="center"/>
        </w:trPr>
        <w:tc>
          <w:tcPr>
            <w:tcW w:w="1185" w:type="pct"/>
            <w:vMerge w:val="restart"/>
            <w:noWrap/>
            <w:vAlign w:val="center"/>
          </w:tcPr>
          <w:p w14:paraId="5E740E47" w14:textId="77777777" w:rsidR="00D55F31" w:rsidRPr="00E7138D" w:rsidRDefault="0024693B" w:rsidP="0002290A">
            <w:pPr>
              <w:rPr>
                <w:rFonts w:ascii="Calibri" w:hAnsi="Calibri" w:cs="Calibri"/>
                <w:color w:val="000000"/>
                <w:sz w:val="18"/>
                <w:szCs w:val="18"/>
                <w:lang w:eastAsia="cs-CZ"/>
              </w:rPr>
            </w:pPr>
            <w:r w:rsidRPr="00E7138D">
              <w:rPr>
                <w:rFonts w:ascii="Calibri" w:hAnsi="Calibri" w:cs="Calibri"/>
                <w:color w:val="000000"/>
                <w:sz w:val="18"/>
                <w:szCs w:val="18"/>
                <w:lang w:eastAsia="cs-CZ"/>
              </w:rPr>
              <w:t>Provozní kapitál</w:t>
            </w:r>
            <w:r w:rsidRPr="00E7138D">
              <w:rPr>
                <w:rFonts w:ascii="Calibri" w:hAnsi="Calibri" w:cs="Calibri"/>
                <w:color w:val="000000"/>
                <w:sz w:val="18"/>
                <w:szCs w:val="18"/>
                <w:vertAlign w:val="superscript"/>
                <w:lang w:eastAsia="cs-CZ"/>
              </w:rPr>
              <w:footnoteReference w:id="52"/>
            </w:r>
            <w:r w:rsidR="003C4A8B">
              <w:rPr>
                <w:rFonts w:ascii="Calibri" w:hAnsi="Calibri" w:cs="Calibri"/>
                <w:color w:val="000000"/>
                <w:sz w:val="18"/>
                <w:szCs w:val="18"/>
                <w:lang w:eastAsia="cs-CZ"/>
              </w:rPr>
              <w:t xml:space="preserve"> (v tis. </w:t>
            </w:r>
            <w:r w:rsidRPr="00E7138D">
              <w:rPr>
                <w:rFonts w:ascii="Calibri" w:hAnsi="Calibri" w:cs="Calibri"/>
                <w:color w:val="000000"/>
                <w:sz w:val="18"/>
                <w:szCs w:val="18"/>
                <w:lang w:eastAsia="cs-CZ"/>
              </w:rPr>
              <w:t>Kč)</w:t>
            </w:r>
          </w:p>
        </w:tc>
        <w:tc>
          <w:tcPr>
            <w:tcW w:w="1035" w:type="pct"/>
            <w:vAlign w:val="center"/>
          </w:tcPr>
          <w:p w14:paraId="2554AE3C" w14:textId="77777777"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SLL Janské Lázně</w:t>
            </w:r>
          </w:p>
        </w:tc>
        <w:tc>
          <w:tcPr>
            <w:tcW w:w="557" w:type="pct"/>
            <w:gridSpan w:val="2"/>
            <w:noWrap/>
            <w:vAlign w:val="center"/>
          </w:tcPr>
          <w:p w14:paraId="3CACF19D"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70 898</w:t>
            </w:r>
          </w:p>
        </w:tc>
        <w:tc>
          <w:tcPr>
            <w:tcW w:w="557" w:type="pct"/>
            <w:gridSpan w:val="2"/>
            <w:noWrap/>
            <w:vAlign w:val="center"/>
          </w:tcPr>
          <w:p w14:paraId="51BDE841"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62 064</w:t>
            </w:r>
          </w:p>
        </w:tc>
        <w:tc>
          <w:tcPr>
            <w:tcW w:w="557" w:type="pct"/>
            <w:gridSpan w:val="2"/>
            <w:noWrap/>
            <w:vAlign w:val="center"/>
          </w:tcPr>
          <w:p w14:paraId="7D83E5BE"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41 624</w:t>
            </w:r>
          </w:p>
        </w:tc>
        <w:tc>
          <w:tcPr>
            <w:tcW w:w="558" w:type="pct"/>
            <w:gridSpan w:val="2"/>
            <w:noWrap/>
            <w:vAlign w:val="center"/>
          </w:tcPr>
          <w:p w14:paraId="4811ABF3"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65 103</w:t>
            </w:r>
          </w:p>
        </w:tc>
        <w:tc>
          <w:tcPr>
            <w:tcW w:w="551" w:type="pct"/>
            <w:noWrap/>
            <w:vAlign w:val="center"/>
          </w:tcPr>
          <w:p w14:paraId="68FE61EA"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96 169</w:t>
            </w:r>
          </w:p>
        </w:tc>
      </w:tr>
      <w:tr w:rsidR="00C425F2" w:rsidRPr="00E7138D" w14:paraId="58DDFEFE" w14:textId="77777777" w:rsidTr="00D55F31">
        <w:trPr>
          <w:trHeight w:val="283"/>
          <w:jc w:val="center"/>
        </w:trPr>
        <w:tc>
          <w:tcPr>
            <w:tcW w:w="1185" w:type="pct"/>
            <w:vMerge/>
            <w:noWrap/>
            <w:vAlign w:val="center"/>
          </w:tcPr>
          <w:p w14:paraId="39B8E72E" w14:textId="77777777" w:rsidR="00D55F31" w:rsidRPr="00E7138D" w:rsidRDefault="00D55F31" w:rsidP="0002290A">
            <w:pPr>
              <w:rPr>
                <w:rFonts w:ascii="Calibri" w:hAnsi="Calibri" w:cs="Calibri"/>
                <w:color w:val="000000"/>
                <w:sz w:val="18"/>
                <w:szCs w:val="18"/>
                <w:lang w:eastAsia="cs-CZ"/>
              </w:rPr>
            </w:pPr>
          </w:p>
        </w:tc>
        <w:tc>
          <w:tcPr>
            <w:tcW w:w="1035" w:type="pct"/>
            <w:tcBorders>
              <w:bottom w:val="single" w:sz="4" w:space="0" w:color="auto"/>
            </w:tcBorders>
            <w:vAlign w:val="center"/>
          </w:tcPr>
          <w:p w14:paraId="058997F3" w14:textId="77777777"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HL Karlova Studánka</w:t>
            </w:r>
          </w:p>
        </w:tc>
        <w:tc>
          <w:tcPr>
            <w:tcW w:w="557" w:type="pct"/>
            <w:gridSpan w:val="2"/>
            <w:tcBorders>
              <w:bottom w:val="single" w:sz="4" w:space="0" w:color="auto"/>
            </w:tcBorders>
            <w:noWrap/>
            <w:vAlign w:val="center"/>
          </w:tcPr>
          <w:p w14:paraId="0A96ED4B" w14:textId="3CA43B92"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lang w:eastAsia="cs-CZ"/>
              </w:rPr>
              <w:t>12 365</w:t>
            </w:r>
          </w:p>
        </w:tc>
        <w:tc>
          <w:tcPr>
            <w:tcW w:w="557" w:type="pct"/>
            <w:gridSpan w:val="2"/>
            <w:tcBorders>
              <w:bottom w:val="single" w:sz="4" w:space="0" w:color="auto"/>
            </w:tcBorders>
            <w:noWrap/>
            <w:vAlign w:val="center"/>
          </w:tcPr>
          <w:p w14:paraId="5B1A0992" w14:textId="038E1C9F"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lang w:eastAsia="cs-CZ"/>
              </w:rPr>
              <w:t>15 557</w:t>
            </w:r>
          </w:p>
        </w:tc>
        <w:tc>
          <w:tcPr>
            <w:tcW w:w="557" w:type="pct"/>
            <w:gridSpan w:val="2"/>
            <w:tcBorders>
              <w:bottom w:val="single" w:sz="4" w:space="0" w:color="auto"/>
            </w:tcBorders>
            <w:noWrap/>
            <w:vAlign w:val="center"/>
          </w:tcPr>
          <w:p w14:paraId="10EE1024" w14:textId="7DECA54C"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lang w:eastAsia="cs-CZ"/>
              </w:rPr>
              <w:t>13 453</w:t>
            </w:r>
          </w:p>
        </w:tc>
        <w:tc>
          <w:tcPr>
            <w:tcW w:w="558" w:type="pct"/>
            <w:gridSpan w:val="2"/>
            <w:tcBorders>
              <w:bottom w:val="single" w:sz="4" w:space="0" w:color="auto"/>
            </w:tcBorders>
            <w:noWrap/>
            <w:vAlign w:val="center"/>
          </w:tcPr>
          <w:p w14:paraId="17EDF059" w14:textId="7A8E54E2"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lang w:eastAsia="cs-CZ"/>
              </w:rPr>
              <w:t>2 781</w:t>
            </w:r>
          </w:p>
        </w:tc>
        <w:tc>
          <w:tcPr>
            <w:tcW w:w="551" w:type="pct"/>
            <w:tcBorders>
              <w:bottom w:val="single" w:sz="4" w:space="0" w:color="auto"/>
            </w:tcBorders>
            <w:noWrap/>
            <w:vAlign w:val="center"/>
          </w:tcPr>
          <w:p w14:paraId="1E2A53CF"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16 311</w:t>
            </w:r>
          </w:p>
        </w:tc>
      </w:tr>
      <w:tr w:rsidR="00C425F2" w:rsidRPr="00E7138D" w14:paraId="04229FB9" w14:textId="77777777" w:rsidTr="00D55F31">
        <w:trPr>
          <w:trHeight w:val="283"/>
          <w:jc w:val="center"/>
        </w:trPr>
        <w:tc>
          <w:tcPr>
            <w:tcW w:w="1185" w:type="pct"/>
            <w:vMerge/>
            <w:noWrap/>
            <w:vAlign w:val="center"/>
          </w:tcPr>
          <w:p w14:paraId="578C4B76" w14:textId="77777777" w:rsidR="00D55F31" w:rsidRPr="00E7138D" w:rsidRDefault="00D55F31" w:rsidP="0002290A">
            <w:pPr>
              <w:rPr>
                <w:rFonts w:ascii="Calibri" w:hAnsi="Calibri" w:cs="Calibri"/>
                <w:color w:val="000000"/>
                <w:sz w:val="18"/>
                <w:szCs w:val="18"/>
                <w:lang w:eastAsia="cs-CZ"/>
              </w:rPr>
            </w:pPr>
          </w:p>
        </w:tc>
        <w:tc>
          <w:tcPr>
            <w:tcW w:w="1035" w:type="pct"/>
            <w:tcBorders>
              <w:top w:val="single" w:sz="4" w:space="0" w:color="auto"/>
              <w:bottom w:val="single" w:sz="4" w:space="0" w:color="auto"/>
            </w:tcBorders>
            <w:vAlign w:val="center"/>
          </w:tcPr>
          <w:p w14:paraId="3C37CB01" w14:textId="77777777"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SLL Bludov</w:t>
            </w:r>
          </w:p>
        </w:tc>
        <w:tc>
          <w:tcPr>
            <w:tcW w:w="557" w:type="pct"/>
            <w:gridSpan w:val="2"/>
            <w:tcBorders>
              <w:top w:val="single" w:sz="4" w:space="0" w:color="auto"/>
              <w:bottom w:val="single" w:sz="4" w:space="0" w:color="auto"/>
            </w:tcBorders>
            <w:noWrap/>
            <w:vAlign w:val="center"/>
          </w:tcPr>
          <w:p w14:paraId="4373B6BC"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16 015</w:t>
            </w:r>
          </w:p>
        </w:tc>
        <w:tc>
          <w:tcPr>
            <w:tcW w:w="557" w:type="pct"/>
            <w:gridSpan w:val="2"/>
            <w:tcBorders>
              <w:top w:val="single" w:sz="4" w:space="0" w:color="auto"/>
              <w:bottom w:val="single" w:sz="4" w:space="0" w:color="auto"/>
            </w:tcBorders>
            <w:noWrap/>
            <w:vAlign w:val="center"/>
          </w:tcPr>
          <w:p w14:paraId="49362E2D"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14 865</w:t>
            </w:r>
          </w:p>
        </w:tc>
        <w:tc>
          <w:tcPr>
            <w:tcW w:w="557" w:type="pct"/>
            <w:gridSpan w:val="2"/>
            <w:tcBorders>
              <w:top w:val="single" w:sz="4" w:space="0" w:color="auto"/>
              <w:bottom w:val="single" w:sz="4" w:space="0" w:color="auto"/>
            </w:tcBorders>
            <w:noWrap/>
            <w:vAlign w:val="center"/>
          </w:tcPr>
          <w:p w14:paraId="3E96530F"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9 541</w:t>
            </w:r>
          </w:p>
        </w:tc>
        <w:tc>
          <w:tcPr>
            <w:tcW w:w="558" w:type="pct"/>
            <w:gridSpan w:val="2"/>
            <w:tcBorders>
              <w:top w:val="single" w:sz="4" w:space="0" w:color="auto"/>
              <w:bottom w:val="single" w:sz="4" w:space="0" w:color="auto"/>
            </w:tcBorders>
            <w:noWrap/>
            <w:vAlign w:val="center"/>
          </w:tcPr>
          <w:p w14:paraId="27FD30B4"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6 669</w:t>
            </w:r>
          </w:p>
        </w:tc>
        <w:tc>
          <w:tcPr>
            <w:tcW w:w="551" w:type="pct"/>
            <w:tcBorders>
              <w:top w:val="single" w:sz="4" w:space="0" w:color="auto"/>
              <w:bottom w:val="single" w:sz="4" w:space="0" w:color="auto"/>
            </w:tcBorders>
            <w:noWrap/>
            <w:vAlign w:val="center"/>
          </w:tcPr>
          <w:p w14:paraId="37424375"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10 962</w:t>
            </w:r>
          </w:p>
        </w:tc>
      </w:tr>
      <w:tr w:rsidR="00C425F2" w:rsidRPr="00E7138D" w14:paraId="5FC095E9" w14:textId="77777777" w:rsidTr="00D55F31">
        <w:trPr>
          <w:trHeight w:val="283"/>
          <w:jc w:val="center"/>
        </w:trPr>
        <w:tc>
          <w:tcPr>
            <w:tcW w:w="1185" w:type="pct"/>
            <w:vMerge/>
            <w:tcBorders>
              <w:bottom w:val="single" w:sz="12" w:space="0" w:color="auto"/>
            </w:tcBorders>
            <w:noWrap/>
            <w:vAlign w:val="center"/>
          </w:tcPr>
          <w:p w14:paraId="3F5622DF" w14:textId="77777777" w:rsidR="00D55F31" w:rsidRPr="00E7138D" w:rsidRDefault="00D55F31" w:rsidP="0002290A">
            <w:pPr>
              <w:rPr>
                <w:rFonts w:ascii="Calibri" w:hAnsi="Calibri" w:cs="Calibri"/>
                <w:color w:val="000000"/>
                <w:sz w:val="18"/>
                <w:szCs w:val="18"/>
                <w:lang w:eastAsia="cs-CZ"/>
              </w:rPr>
            </w:pPr>
          </w:p>
        </w:tc>
        <w:tc>
          <w:tcPr>
            <w:tcW w:w="1035" w:type="pct"/>
            <w:tcBorders>
              <w:top w:val="single" w:sz="4" w:space="0" w:color="auto"/>
              <w:bottom w:val="single" w:sz="12" w:space="0" w:color="auto"/>
            </w:tcBorders>
            <w:vAlign w:val="center"/>
          </w:tcPr>
          <w:p w14:paraId="6684945C" w14:textId="633D620C"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BALMED</w:t>
            </w:r>
            <w:r w:rsidR="00826683">
              <w:rPr>
                <w:rFonts w:ascii="Calibri" w:hAnsi="Calibri" w:cs="Calibri"/>
                <w:i/>
                <w:color w:val="000000"/>
                <w:sz w:val="18"/>
                <w:szCs w:val="18"/>
              </w:rPr>
              <w:t xml:space="preserve"> Praha</w:t>
            </w:r>
          </w:p>
        </w:tc>
        <w:tc>
          <w:tcPr>
            <w:tcW w:w="557" w:type="pct"/>
            <w:gridSpan w:val="2"/>
            <w:tcBorders>
              <w:top w:val="single" w:sz="4" w:space="0" w:color="auto"/>
              <w:bottom w:val="single" w:sz="12" w:space="0" w:color="auto"/>
            </w:tcBorders>
            <w:noWrap/>
            <w:vAlign w:val="center"/>
          </w:tcPr>
          <w:p w14:paraId="073C74FA"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rPr>
              <w:t>4 914</w:t>
            </w:r>
          </w:p>
        </w:tc>
        <w:tc>
          <w:tcPr>
            <w:tcW w:w="557" w:type="pct"/>
            <w:gridSpan w:val="2"/>
            <w:tcBorders>
              <w:top w:val="single" w:sz="4" w:space="0" w:color="auto"/>
              <w:bottom w:val="single" w:sz="12" w:space="0" w:color="auto"/>
            </w:tcBorders>
            <w:noWrap/>
            <w:vAlign w:val="center"/>
          </w:tcPr>
          <w:p w14:paraId="35604F59"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rPr>
              <w:t>3 843</w:t>
            </w:r>
          </w:p>
        </w:tc>
        <w:tc>
          <w:tcPr>
            <w:tcW w:w="557" w:type="pct"/>
            <w:gridSpan w:val="2"/>
            <w:tcBorders>
              <w:top w:val="single" w:sz="4" w:space="0" w:color="auto"/>
              <w:bottom w:val="single" w:sz="12" w:space="0" w:color="auto"/>
            </w:tcBorders>
            <w:noWrap/>
            <w:vAlign w:val="center"/>
          </w:tcPr>
          <w:p w14:paraId="4AD0C978"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rPr>
              <w:t>6 817</w:t>
            </w:r>
          </w:p>
        </w:tc>
        <w:tc>
          <w:tcPr>
            <w:tcW w:w="558" w:type="pct"/>
            <w:gridSpan w:val="2"/>
            <w:tcBorders>
              <w:top w:val="single" w:sz="4" w:space="0" w:color="auto"/>
              <w:bottom w:val="single" w:sz="12" w:space="0" w:color="auto"/>
            </w:tcBorders>
            <w:noWrap/>
            <w:vAlign w:val="center"/>
          </w:tcPr>
          <w:p w14:paraId="46CDED04"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rPr>
              <w:t>4 344</w:t>
            </w:r>
          </w:p>
        </w:tc>
        <w:tc>
          <w:tcPr>
            <w:tcW w:w="551" w:type="pct"/>
            <w:tcBorders>
              <w:top w:val="single" w:sz="4" w:space="0" w:color="auto"/>
              <w:bottom w:val="single" w:sz="12" w:space="0" w:color="auto"/>
            </w:tcBorders>
            <w:noWrap/>
            <w:vAlign w:val="center"/>
          </w:tcPr>
          <w:p w14:paraId="650A85EC"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rPr>
              <w:t>2 640</w:t>
            </w:r>
          </w:p>
        </w:tc>
      </w:tr>
      <w:tr w:rsidR="00C425F2" w:rsidRPr="00E7138D" w14:paraId="1DE83418" w14:textId="77777777" w:rsidTr="00D55F31">
        <w:trPr>
          <w:trHeight w:val="283"/>
          <w:jc w:val="center"/>
        </w:trPr>
        <w:tc>
          <w:tcPr>
            <w:tcW w:w="1185" w:type="pct"/>
            <w:vMerge w:val="restart"/>
            <w:tcBorders>
              <w:top w:val="single" w:sz="12" w:space="0" w:color="auto"/>
            </w:tcBorders>
            <w:noWrap/>
            <w:vAlign w:val="center"/>
          </w:tcPr>
          <w:p w14:paraId="7A43EA0D" w14:textId="77777777" w:rsidR="00D55F31" w:rsidRPr="00E7138D" w:rsidRDefault="0024693B" w:rsidP="0002290A">
            <w:pPr>
              <w:rPr>
                <w:rFonts w:ascii="Calibri" w:hAnsi="Calibri" w:cs="Calibri"/>
                <w:color w:val="000000"/>
                <w:sz w:val="18"/>
                <w:szCs w:val="18"/>
                <w:lang w:eastAsia="cs-CZ"/>
              </w:rPr>
            </w:pPr>
            <w:r w:rsidRPr="00E7138D">
              <w:rPr>
                <w:rFonts w:ascii="Calibri" w:hAnsi="Calibri" w:cs="Calibri"/>
                <w:color w:val="000000"/>
                <w:sz w:val="18"/>
                <w:szCs w:val="18"/>
                <w:lang w:eastAsia="cs-CZ"/>
              </w:rPr>
              <w:t>Solventnost</w:t>
            </w:r>
            <w:r w:rsidRPr="00E7138D">
              <w:rPr>
                <w:rFonts w:ascii="Calibri" w:hAnsi="Calibri" w:cs="Calibri"/>
                <w:color w:val="000000"/>
                <w:sz w:val="18"/>
                <w:szCs w:val="18"/>
                <w:vertAlign w:val="superscript"/>
                <w:lang w:eastAsia="cs-CZ"/>
              </w:rPr>
              <w:footnoteReference w:id="53"/>
            </w:r>
          </w:p>
        </w:tc>
        <w:tc>
          <w:tcPr>
            <w:tcW w:w="1035" w:type="pct"/>
            <w:tcBorders>
              <w:top w:val="single" w:sz="12" w:space="0" w:color="auto"/>
              <w:bottom w:val="single" w:sz="4" w:space="0" w:color="auto"/>
            </w:tcBorders>
            <w:vAlign w:val="center"/>
          </w:tcPr>
          <w:p w14:paraId="1A76EFD5" w14:textId="77777777"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SLL Janské Lázně</w:t>
            </w:r>
          </w:p>
        </w:tc>
        <w:tc>
          <w:tcPr>
            <w:tcW w:w="557" w:type="pct"/>
            <w:gridSpan w:val="2"/>
            <w:tcBorders>
              <w:top w:val="single" w:sz="12" w:space="0" w:color="auto"/>
              <w:bottom w:val="single" w:sz="4" w:space="0" w:color="auto"/>
            </w:tcBorders>
            <w:noWrap/>
            <w:vAlign w:val="center"/>
          </w:tcPr>
          <w:p w14:paraId="5FDB82A3"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4,06</w:t>
            </w:r>
          </w:p>
        </w:tc>
        <w:tc>
          <w:tcPr>
            <w:tcW w:w="557" w:type="pct"/>
            <w:gridSpan w:val="2"/>
            <w:tcBorders>
              <w:top w:val="single" w:sz="12" w:space="0" w:color="auto"/>
              <w:bottom w:val="single" w:sz="4" w:space="0" w:color="auto"/>
            </w:tcBorders>
            <w:noWrap/>
            <w:vAlign w:val="center"/>
          </w:tcPr>
          <w:p w14:paraId="032F9344"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3,97</w:t>
            </w:r>
          </w:p>
        </w:tc>
        <w:tc>
          <w:tcPr>
            <w:tcW w:w="557" w:type="pct"/>
            <w:gridSpan w:val="2"/>
            <w:tcBorders>
              <w:top w:val="single" w:sz="12" w:space="0" w:color="auto"/>
              <w:bottom w:val="single" w:sz="4" w:space="0" w:color="auto"/>
            </w:tcBorders>
            <w:noWrap/>
            <w:vAlign w:val="center"/>
          </w:tcPr>
          <w:p w14:paraId="53314855"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3,30</w:t>
            </w:r>
          </w:p>
        </w:tc>
        <w:tc>
          <w:tcPr>
            <w:tcW w:w="558" w:type="pct"/>
            <w:gridSpan w:val="2"/>
            <w:tcBorders>
              <w:top w:val="single" w:sz="12" w:space="0" w:color="auto"/>
              <w:bottom w:val="single" w:sz="4" w:space="0" w:color="auto"/>
            </w:tcBorders>
            <w:noWrap/>
            <w:vAlign w:val="center"/>
          </w:tcPr>
          <w:p w14:paraId="24B0BA4D"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3,80</w:t>
            </w:r>
          </w:p>
        </w:tc>
        <w:tc>
          <w:tcPr>
            <w:tcW w:w="551" w:type="pct"/>
            <w:tcBorders>
              <w:top w:val="single" w:sz="12" w:space="0" w:color="auto"/>
              <w:bottom w:val="single" w:sz="4" w:space="0" w:color="auto"/>
            </w:tcBorders>
            <w:noWrap/>
            <w:vAlign w:val="center"/>
          </w:tcPr>
          <w:p w14:paraId="2AE7E927"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4,08</w:t>
            </w:r>
          </w:p>
        </w:tc>
      </w:tr>
      <w:tr w:rsidR="00C425F2" w:rsidRPr="00E7138D" w14:paraId="339121CD" w14:textId="77777777" w:rsidTr="00D55F31">
        <w:trPr>
          <w:trHeight w:val="283"/>
          <w:jc w:val="center"/>
        </w:trPr>
        <w:tc>
          <w:tcPr>
            <w:tcW w:w="1185" w:type="pct"/>
            <w:vMerge/>
            <w:tcBorders>
              <w:top w:val="single" w:sz="12" w:space="0" w:color="auto"/>
              <w:bottom w:val="single" w:sz="4" w:space="0" w:color="auto"/>
            </w:tcBorders>
            <w:noWrap/>
            <w:vAlign w:val="center"/>
          </w:tcPr>
          <w:p w14:paraId="702335A9" w14:textId="77777777" w:rsidR="00D55F31" w:rsidRPr="00E7138D" w:rsidRDefault="00D55F31" w:rsidP="0002290A">
            <w:pPr>
              <w:rPr>
                <w:rFonts w:ascii="Calibri" w:hAnsi="Calibri" w:cs="Calibri"/>
                <w:color w:val="000000"/>
                <w:sz w:val="18"/>
                <w:szCs w:val="18"/>
                <w:lang w:eastAsia="cs-CZ"/>
              </w:rPr>
            </w:pPr>
          </w:p>
        </w:tc>
        <w:tc>
          <w:tcPr>
            <w:tcW w:w="1035" w:type="pct"/>
            <w:tcBorders>
              <w:top w:val="single" w:sz="4" w:space="0" w:color="auto"/>
              <w:bottom w:val="single" w:sz="4" w:space="0" w:color="auto"/>
            </w:tcBorders>
            <w:vAlign w:val="center"/>
          </w:tcPr>
          <w:p w14:paraId="11CE9666" w14:textId="77777777"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HL Karlova Studánka</w:t>
            </w:r>
          </w:p>
        </w:tc>
        <w:tc>
          <w:tcPr>
            <w:tcW w:w="557" w:type="pct"/>
            <w:gridSpan w:val="2"/>
            <w:tcBorders>
              <w:top w:val="single" w:sz="4" w:space="0" w:color="auto"/>
              <w:bottom w:val="single" w:sz="4" w:space="0" w:color="auto"/>
            </w:tcBorders>
            <w:noWrap/>
            <w:vAlign w:val="center"/>
          </w:tcPr>
          <w:p w14:paraId="3D6C803A"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0,45</w:t>
            </w:r>
          </w:p>
        </w:tc>
        <w:tc>
          <w:tcPr>
            <w:tcW w:w="557" w:type="pct"/>
            <w:gridSpan w:val="2"/>
            <w:tcBorders>
              <w:top w:val="single" w:sz="4" w:space="0" w:color="auto"/>
              <w:bottom w:val="single" w:sz="4" w:space="0" w:color="auto"/>
            </w:tcBorders>
            <w:noWrap/>
            <w:vAlign w:val="center"/>
          </w:tcPr>
          <w:p w14:paraId="067FFB41"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0,31</w:t>
            </w:r>
          </w:p>
        </w:tc>
        <w:tc>
          <w:tcPr>
            <w:tcW w:w="557" w:type="pct"/>
            <w:gridSpan w:val="2"/>
            <w:tcBorders>
              <w:top w:val="single" w:sz="4" w:space="0" w:color="auto"/>
              <w:bottom w:val="single" w:sz="4" w:space="0" w:color="auto"/>
            </w:tcBorders>
            <w:noWrap/>
            <w:vAlign w:val="center"/>
          </w:tcPr>
          <w:p w14:paraId="76D69958"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0,33</w:t>
            </w:r>
          </w:p>
        </w:tc>
        <w:tc>
          <w:tcPr>
            <w:tcW w:w="558" w:type="pct"/>
            <w:gridSpan w:val="2"/>
            <w:tcBorders>
              <w:top w:val="single" w:sz="4" w:space="0" w:color="auto"/>
              <w:bottom w:val="single" w:sz="4" w:space="0" w:color="auto"/>
            </w:tcBorders>
            <w:noWrap/>
            <w:vAlign w:val="center"/>
          </w:tcPr>
          <w:p w14:paraId="21C5AFAB"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0,87</w:t>
            </w:r>
          </w:p>
        </w:tc>
        <w:tc>
          <w:tcPr>
            <w:tcW w:w="551" w:type="pct"/>
            <w:tcBorders>
              <w:top w:val="single" w:sz="4" w:space="0" w:color="auto"/>
              <w:bottom w:val="single" w:sz="4" w:space="0" w:color="auto"/>
            </w:tcBorders>
            <w:noWrap/>
            <w:vAlign w:val="center"/>
          </w:tcPr>
          <w:p w14:paraId="37F0FFC6"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2,29</w:t>
            </w:r>
          </w:p>
        </w:tc>
      </w:tr>
      <w:tr w:rsidR="00C425F2" w:rsidRPr="00E7138D" w14:paraId="04792520" w14:textId="77777777" w:rsidTr="00D55F31">
        <w:trPr>
          <w:trHeight w:val="283"/>
          <w:jc w:val="center"/>
        </w:trPr>
        <w:tc>
          <w:tcPr>
            <w:tcW w:w="1185" w:type="pct"/>
            <w:vMerge/>
            <w:tcBorders>
              <w:top w:val="single" w:sz="4" w:space="0" w:color="auto"/>
            </w:tcBorders>
            <w:noWrap/>
            <w:vAlign w:val="center"/>
          </w:tcPr>
          <w:p w14:paraId="61CA8B44" w14:textId="77777777" w:rsidR="00D55F31" w:rsidRPr="00E7138D" w:rsidRDefault="00D55F31" w:rsidP="0002290A">
            <w:pPr>
              <w:rPr>
                <w:rFonts w:ascii="Calibri" w:hAnsi="Calibri" w:cs="Calibri"/>
                <w:color w:val="000000"/>
                <w:sz w:val="18"/>
                <w:szCs w:val="18"/>
                <w:lang w:eastAsia="cs-CZ"/>
              </w:rPr>
            </w:pPr>
          </w:p>
        </w:tc>
        <w:tc>
          <w:tcPr>
            <w:tcW w:w="1035" w:type="pct"/>
            <w:tcBorders>
              <w:top w:val="single" w:sz="4" w:space="0" w:color="auto"/>
            </w:tcBorders>
            <w:vAlign w:val="center"/>
          </w:tcPr>
          <w:p w14:paraId="324D88B8" w14:textId="77777777"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SLL Bludov</w:t>
            </w:r>
          </w:p>
        </w:tc>
        <w:tc>
          <w:tcPr>
            <w:tcW w:w="557" w:type="pct"/>
            <w:gridSpan w:val="2"/>
            <w:tcBorders>
              <w:top w:val="single" w:sz="4" w:space="0" w:color="auto"/>
            </w:tcBorders>
            <w:noWrap/>
            <w:vAlign w:val="center"/>
          </w:tcPr>
          <w:p w14:paraId="6382CC97"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2,60</w:t>
            </w:r>
          </w:p>
        </w:tc>
        <w:tc>
          <w:tcPr>
            <w:tcW w:w="557" w:type="pct"/>
            <w:gridSpan w:val="2"/>
            <w:tcBorders>
              <w:top w:val="single" w:sz="4" w:space="0" w:color="auto"/>
            </w:tcBorders>
            <w:noWrap/>
            <w:vAlign w:val="center"/>
          </w:tcPr>
          <w:p w14:paraId="2BEF9D37"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2,12</w:t>
            </w:r>
          </w:p>
        </w:tc>
        <w:tc>
          <w:tcPr>
            <w:tcW w:w="557" w:type="pct"/>
            <w:gridSpan w:val="2"/>
            <w:tcBorders>
              <w:top w:val="single" w:sz="4" w:space="0" w:color="auto"/>
            </w:tcBorders>
            <w:noWrap/>
            <w:vAlign w:val="center"/>
          </w:tcPr>
          <w:p w14:paraId="226F1116"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1,61</w:t>
            </w:r>
          </w:p>
        </w:tc>
        <w:tc>
          <w:tcPr>
            <w:tcW w:w="558" w:type="pct"/>
            <w:gridSpan w:val="2"/>
            <w:tcBorders>
              <w:top w:val="single" w:sz="4" w:space="0" w:color="auto"/>
            </w:tcBorders>
            <w:noWrap/>
            <w:vAlign w:val="center"/>
          </w:tcPr>
          <w:p w14:paraId="19EF451F"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1,33</w:t>
            </w:r>
          </w:p>
        </w:tc>
        <w:tc>
          <w:tcPr>
            <w:tcW w:w="551" w:type="pct"/>
            <w:tcBorders>
              <w:top w:val="single" w:sz="4" w:space="0" w:color="auto"/>
            </w:tcBorders>
            <w:noWrap/>
            <w:vAlign w:val="center"/>
          </w:tcPr>
          <w:p w14:paraId="0B3B7EB9"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4,94</w:t>
            </w:r>
          </w:p>
        </w:tc>
      </w:tr>
      <w:tr w:rsidR="00C425F2" w:rsidRPr="00E7138D" w14:paraId="05763CF8" w14:textId="77777777" w:rsidTr="00D55F31">
        <w:trPr>
          <w:trHeight w:val="283"/>
          <w:jc w:val="center"/>
        </w:trPr>
        <w:tc>
          <w:tcPr>
            <w:tcW w:w="1185" w:type="pct"/>
            <w:vMerge/>
            <w:tcBorders>
              <w:bottom w:val="single" w:sz="12" w:space="0" w:color="auto"/>
            </w:tcBorders>
            <w:noWrap/>
            <w:vAlign w:val="center"/>
          </w:tcPr>
          <w:p w14:paraId="3691ECA8" w14:textId="77777777" w:rsidR="00D55F31" w:rsidRPr="00E7138D" w:rsidRDefault="00D55F31" w:rsidP="0002290A">
            <w:pPr>
              <w:rPr>
                <w:rFonts w:ascii="Calibri" w:hAnsi="Calibri" w:cs="Calibri"/>
                <w:color w:val="000000"/>
                <w:sz w:val="18"/>
                <w:szCs w:val="18"/>
                <w:lang w:eastAsia="cs-CZ"/>
              </w:rPr>
            </w:pPr>
          </w:p>
        </w:tc>
        <w:tc>
          <w:tcPr>
            <w:tcW w:w="1035" w:type="pct"/>
            <w:tcBorders>
              <w:bottom w:val="single" w:sz="12" w:space="0" w:color="auto"/>
            </w:tcBorders>
            <w:vAlign w:val="center"/>
          </w:tcPr>
          <w:p w14:paraId="1730AD12" w14:textId="44E7448B"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BALMED</w:t>
            </w:r>
            <w:r w:rsidR="00826683">
              <w:rPr>
                <w:rFonts w:ascii="Calibri" w:hAnsi="Calibri" w:cs="Calibri"/>
                <w:i/>
                <w:color w:val="000000"/>
                <w:sz w:val="18"/>
                <w:szCs w:val="18"/>
              </w:rPr>
              <w:t xml:space="preserve"> Praha</w:t>
            </w:r>
          </w:p>
        </w:tc>
        <w:tc>
          <w:tcPr>
            <w:tcW w:w="557" w:type="pct"/>
            <w:gridSpan w:val="2"/>
            <w:tcBorders>
              <w:bottom w:val="single" w:sz="12" w:space="0" w:color="auto"/>
            </w:tcBorders>
            <w:noWrap/>
            <w:vAlign w:val="center"/>
          </w:tcPr>
          <w:p w14:paraId="416C3C51"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rPr>
              <w:t>11,03</w:t>
            </w:r>
          </w:p>
        </w:tc>
        <w:tc>
          <w:tcPr>
            <w:tcW w:w="557" w:type="pct"/>
            <w:gridSpan w:val="2"/>
            <w:tcBorders>
              <w:bottom w:val="single" w:sz="12" w:space="0" w:color="auto"/>
            </w:tcBorders>
            <w:noWrap/>
            <w:vAlign w:val="center"/>
          </w:tcPr>
          <w:p w14:paraId="7052D2C7"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rPr>
              <w:t>11,19</w:t>
            </w:r>
          </w:p>
        </w:tc>
        <w:tc>
          <w:tcPr>
            <w:tcW w:w="557" w:type="pct"/>
            <w:gridSpan w:val="2"/>
            <w:tcBorders>
              <w:bottom w:val="single" w:sz="12" w:space="0" w:color="auto"/>
            </w:tcBorders>
            <w:noWrap/>
            <w:vAlign w:val="center"/>
          </w:tcPr>
          <w:p w14:paraId="346D16F4"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rPr>
              <w:t>18,99</w:t>
            </w:r>
          </w:p>
        </w:tc>
        <w:tc>
          <w:tcPr>
            <w:tcW w:w="558" w:type="pct"/>
            <w:gridSpan w:val="2"/>
            <w:tcBorders>
              <w:bottom w:val="single" w:sz="12" w:space="0" w:color="auto"/>
            </w:tcBorders>
            <w:noWrap/>
            <w:vAlign w:val="center"/>
          </w:tcPr>
          <w:p w14:paraId="58164F74"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rPr>
              <w:t>14,97</w:t>
            </w:r>
          </w:p>
        </w:tc>
        <w:tc>
          <w:tcPr>
            <w:tcW w:w="551" w:type="pct"/>
            <w:tcBorders>
              <w:bottom w:val="single" w:sz="12" w:space="0" w:color="auto"/>
            </w:tcBorders>
            <w:noWrap/>
            <w:vAlign w:val="center"/>
          </w:tcPr>
          <w:p w14:paraId="6AF2F38C"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rPr>
              <w:t>11,15</w:t>
            </w:r>
          </w:p>
        </w:tc>
      </w:tr>
      <w:tr w:rsidR="00C425F2" w:rsidRPr="00E7138D" w14:paraId="5F1A733B" w14:textId="77777777" w:rsidTr="00D55F31">
        <w:trPr>
          <w:trHeight w:val="283"/>
          <w:jc w:val="center"/>
        </w:trPr>
        <w:tc>
          <w:tcPr>
            <w:tcW w:w="1185" w:type="pct"/>
            <w:vMerge w:val="restart"/>
            <w:tcBorders>
              <w:top w:val="single" w:sz="12" w:space="0" w:color="auto"/>
            </w:tcBorders>
            <w:noWrap/>
            <w:vAlign w:val="center"/>
          </w:tcPr>
          <w:p w14:paraId="240DBA5B" w14:textId="77777777" w:rsidR="00D55F31" w:rsidRPr="00E7138D" w:rsidRDefault="0024693B" w:rsidP="0002290A">
            <w:pPr>
              <w:rPr>
                <w:rFonts w:ascii="Calibri" w:hAnsi="Calibri" w:cs="Calibri"/>
                <w:color w:val="000000"/>
                <w:sz w:val="18"/>
                <w:szCs w:val="18"/>
                <w:lang w:eastAsia="cs-CZ"/>
              </w:rPr>
            </w:pPr>
            <w:r w:rsidRPr="00E7138D">
              <w:rPr>
                <w:rFonts w:ascii="Calibri" w:hAnsi="Calibri" w:cs="Calibri"/>
                <w:color w:val="000000"/>
                <w:sz w:val="18"/>
                <w:szCs w:val="18"/>
                <w:lang w:eastAsia="cs-CZ"/>
              </w:rPr>
              <w:t>Pohotová likvidita</w:t>
            </w:r>
            <w:r w:rsidRPr="00E7138D">
              <w:rPr>
                <w:rFonts w:ascii="Calibri" w:hAnsi="Calibri" w:cs="Calibri"/>
                <w:color w:val="000000"/>
                <w:sz w:val="18"/>
                <w:szCs w:val="18"/>
                <w:vertAlign w:val="superscript"/>
                <w:lang w:eastAsia="cs-CZ"/>
              </w:rPr>
              <w:footnoteReference w:id="54"/>
            </w:r>
          </w:p>
        </w:tc>
        <w:tc>
          <w:tcPr>
            <w:tcW w:w="1035" w:type="pct"/>
            <w:tcBorders>
              <w:top w:val="single" w:sz="12" w:space="0" w:color="auto"/>
            </w:tcBorders>
            <w:vAlign w:val="center"/>
          </w:tcPr>
          <w:p w14:paraId="3DB2FABE" w14:textId="77777777"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SLL Janské Lázně</w:t>
            </w:r>
          </w:p>
        </w:tc>
        <w:tc>
          <w:tcPr>
            <w:tcW w:w="557" w:type="pct"/>
            <w:gridSpan w:val="2"/>
            <w:tcBorders>
              <w:top w:val="single" w:sz="12" w:space="0" w:color="auto"/>
            </w:tcBorders>
            <w:noWrap/>
            <w:vAlign w:val="center"/>
          </w:tcPr>
          <w:p w14:paraId="164A2205"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3,61</w:t>
            </w:r>
          </w:p>
        </w:tc>
        <w:tc>
          <w:tcPr>
            <w:tcW w:w="557" w:type="pct"/>
            <w:gridSpan w:val="2"/>
            <w:tcBorders>
              <w:top w:val="single" w:sz="12" w:space="0" w:color="auto"/>
            </w:tcBorders>
            <w:noWrap/>
            <w:vAlign w:val="center"/>
          </w:tcPr>
          <w:p w14:paraId="3507C8DF"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3,59</w:t>
            </w:r>
          </w:p>
        </w:tc>
        <w:tc>
          <w:tcPr>
            <w:tcW w:w="557" w:type="pct"/>
            <w:gridSpan w:val="2"/>
            <w:tcBorders>
              <w:top w:val="single" w:sz="12" w:space="0" w:color="auto"/>
            </w:tcBorders>
            <w:noWrap/>
            <w:vAlign w:val="center"/>
          </w:tcPr>
          <w:p w14:paraId="06B1EF8D"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2,94</w:t>
            </w:r>
          </w:p>
        </w:tc>
        <w:tc>
          <w:tcPr>
            <w:tcW w:w="558" w:type="pct"/>
            <w:gridSpan w:val="2"/>
            <w:tcBorders>
              <w:top w:val="single" w:sz="12" w:space="0" w:color="auto"/>
            </w:tcBorders>
            <w:noWrap/>
            <w:vAlign w:val="center"/>
          </w:tcPr>
          <w:p w14:paraId="733FB435"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3,60</w:t>
            </w:r>
          </w:p>
        </w:tc>
        <w:tc>
          <w:tcPr>
            <w:tcW w:w="551" w:type="pct"/>
            <w:tcBorders>
              <w:top w:val="single" w:sz="12" w:space="0" w:color="auto"/>
            </w:tcBorders>
            <w:noWrap/>
            <w:vAlign w:val="center"/>
          </w:tcPr>
          <w:p w14:paraId="6DF15A19"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3,95</w:t>
            </w:r>
          </w:p>
        </w:tc>
      </w:tr>
      <w:tr w:rsidR="00C425F2" w:rsidRPr="00E7138D" w14:paraId="0B219F01" w14:textId="77777777" w:rsidTr="00D55F31">
        <w:trPr>
          <w:trHeight w:val="283"/>
          <w:jc w:val="center"/>
        </w:trPr>
        <w:tc>
          <w:tcPr>
            <w:tcW w:w="1185" w:type="pct"/>
            <w:vMerge/>
            <w:tcBorders>
              <w:bottom w:val="single" w:sz="12" w:space="0" w:color="auto"/>
            </w:tcBorders>
            <w:noWrap/>
            <w:vAlign w:val="center"/>
          </w:tcPr>
          <w:p w14:paraId="14C38BE8" w14:textId="77777777" w:rsidR="00D55F31" w:rsidRPr="00E7138D" w:rsidRDefault="00D55F31" w:rsidP="0002290A">
            <w:pPr>
              <w:rPr>
                <w:rFonts w:ascii="Calibri" w:hAnsi="Calibri" w:cs="Calibri"/>
                <w:color w:val="000000"/>
                <w:sz w:val="18"/>
                <w:szCs w:val="18"/>
                <w:lang w:eastAsia="cs-CZ"/>
              </w:rPr>
            </w:pPr>
          </w:p>
        </w:tc>
        <w:tc>
          <w:tcPr>
            <w:tcW w:w="1035" w:type="pct"/>
            <w:tcBorders>
              <w:bottom w:val="single" w:sz="4" w:space="0" w:color="auto"/>
            </w:tcBorders>
            <w:vAlign w:val="center"/>
          </w:tcPr>
          <w:p w14:paraId="2CDB0538" w14:textId="77777777"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HL Karlova Studánka</w:t>
            </w:r>
          </w:p>
        </w:tc>
        <w:tc>
          <w:tcPr>
            <w:tcW w:w="557" w:type="pct"/>
            <w:gridSpan w:val="2"/>
            <w:tcBorders>
              <w:bottom w:val="single" w:sz="4" w:space="0" w:color="auto"/>
            </w:tcBorders>
            <w:noWrap/>
            <w:vAlign w:val="center"/>
          </w:tcPr>
          <w:p w14:paraId="69640930"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0,39</w:t>
            </w:r>
          </w:p>
        </w:tc>
        <w:tc>
          <w:tcPr>
            <w:tcW w:w="557" w:type="pct"/>
            <w:gridSpan w:val="2"/>
            <w:tcBorders>
              <w:bottom w:val="single" w:sz="4" w:space="0" w:color="auto"/>
            </w:tcBorders>
            <w:noWrap/>
            <w:vAlign w:val="center"/>
          </w:tcPr>
          <w:p w14:paraId="3DC15A18"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0,26</w:t>
            </w:r>
          </w:p>
        </w:tc>
        <w:tc>
          <w:tcPr>
            <w:tcW w:w="557" w:type="pct"/>
            <w:gridSpan w:val="2"/>
            <w:tcBorders>
              <w:bottom w:val="single" w:sz="4" w:space="0" w:color="auto"/>
            </w:tcBorders>
            <w:noWrap/>
            <w:vAlign w:val="center"/>
          </w:tcPr>
          <w:p w14:paraId="3DAA1486"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0,29</w:t>
            </w:r>
          </w:p>
        </w:tc>
        <w:tc>
          <w:tcPr>
            <w:tcW w:w="558" w:type="pct"/>
            <w:gridSpan w:val="2"/>
            <w:tcBorders>
              <w:bottom w:val="single" w:sz="4" w:space="0" w:color="auto"/>
            </w:tcBorders>
            <w:noWrap/>
            <w:vAlign w:val="center"/>
          </w:tcPr>
          <w:p w14:paraId="40E22F4C"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0,82</w:t>
            </w:r>
          </w:p>
        </w:tc>
        <w:tc>
          <w:tcPr>
            <w:tcW w:w="551" w:type="pct"/>
            <w:tcBorders>
              <w:bottom w:val="single" w:sz="4" w:space="0" w:color="auto"/>
            </w:tcBorders>
            <w:noWrap/>
            <w:vAlign w:val="center"/>
          </w:tcPr>
          <w:p w14:paraId="403D4F8D"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2,18</w:t>
            </w:r>
          </w:p>
        </w:tc>
      </w:tr>
      <w:tr w:rsidR="00C425F2" w:rsidRPr="00E7138D" w14:paraId="3254AF45" w14:textId="77777777" w:rsidTr="00D55F31">
        <w:trPr>
          <w:trHeight w:val="283"/>
          <w:jc w:val="center"/>
        </w:trPr>
        <w:tc>
          <w:tcPr>
            <w:tcW w:w="1185" w:type="pct"/>
            <w:vMerge/>
            <w:tcBorders>
              <w:bottom w:val="single" w:sz="12" w:space="0" w:color="auto"/>
            </w:tcBorders>
            <w:noWrap/>
            <w:vAlign w:val="center"/>
          </w:tcPr>
          <w:p w14:paraId="23DDA77B" w14:textId="77777777" w:rsidR="00D55F31" w:rsidRPr="00E7138D" w:rsidRDefault="00D55F31" w:rsidP="0002290A">
            <w:pPr>
              <w:rPr>
                <w:rFonts w:ascii="Calibri" w:hAnsi="Calibri" w:cs="Calibri"/>
                <w:color w:val="000000"/>
                <w:sz w:val="18"/>
                <w:szCs w:val="18"/>
                <w:lang w:eastAsia="cs-CZ"/>
              </w:rPr>
            </w:pPr>
          </w:p>
        </w:tc>
        <w:tc>
          <w:tcPr>
            <w:tcW w:w="1035" w:type="pct"/>
            <w:tcBorders>
              <w:top w:val="single" w:sz="4" w:space="0" w:color="auto"/>
              <w:bottom w:val="single" w:sz="4" w:space="0" w:color="auto"/>
            </w:tcBorders>
            <w:vAlign w:val="center"/>
          </w:tcPr>
          <w:p w14:paraId="096EE36B" w14:textId="77777777"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SLL Bludov</w:t>
            </w:r>
          </w:p>
        </w:tc>
        <w:tc>
          <w:tcPr>
            <w:tcW w:w="557" w:type="pct"/>
            <w:gridSpan w:val="2"/>
            <w:tcBorders>
              <w:top w:val="single" w:sz="4" w:space="0" w:color="auto"/>
              <w:bottom w:val="single" w:sz="4" w:space="0" w:color="auto"/>
            </w:tcBorders>
            <w:noWrap/>
            <w:vAlign w:val="center"/>
          </w:tcPr>
          <w:p w14:paraId="7E172927"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2,55</w:t>
            </w:r>
          </w:p>
        </w:tc>
        <w:tc>
          <w:tcPr>
            <w:tcW w:w="557" w:type="pct"/>
            <w:gridSpan w:val="2"/>
            <w:tcBorders>
              <w:top w:val="single" w:sz="4" w:space="0" w:color="auto"/>
              <w:bottom w:val="single" w:sz="4" w:space="0" w:color="auto"/>
            </w:tcBorders>
            <w:noWrap/>
            <w:vAlign w:val="center"/>
          </w:tcPr>
          <w:p w14:paraId="5992C097"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2,08</w:t>
            </w:r>
          </w:p>
        </w:tc>
        <w:tc>
          <w:tcPr>
            <w:tcW w:w="557" w:type="pct"/>
            <w:gridSpan w:val="2"/>
            <w:tcBorders>
              <w:top w:val="single" w:sz="4" w:space="0" w:color="auto"/>
              <w:bottom w:val="single" w:sz="4" w:space="0" w:color="auto"/>
            </w:tcBorders>
            <w:noWrap/>
            <w:vAlign w:val="center"/>
          </w:tcPr>
          <w:p w14:paraId="6DF351C5"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1,59</w:t>
            </w:r>
          </w:p>
        </w:tc>
        <w:tc>
          <w:tcPr>
            <w:tcW w:w="558" w:type="pct"/>
            <w:gridSpan w:val="2"/>
            <w:tcBorders>
              <w:top w:val="single" w:sz="4" w:space="0" w:color="auto"/>
              <w:bottom w:val="single" w:sz="4" w:space="0" w:color="auto"/>
            </w:tcBorders>
            <w:noWrap/>
            <w:vAlign w:val="center"/>
          </w:tcPr>
          <w:p w14:paraId="2A94E881"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1,31</w:t>
            </w:r>
          </w:p>
        </w:tc>
        <w:tc>
          <w:tcPr>
            <w:tcW w:w="551" w:type="pct"/>
            <w:tcBorders>
              <w:top w:val="single" w:sz="4" w:space="0" w:color="auto"/>
              <w:bottom w:val="single" w:sz="4" w:space="0" w:color="auto"/>
            </w:tcBorders>
            <w:noWrap/>
            <w:vAlign w:val="center"/>
          </w:tcPr>
          <w:p w14:paraId="2DA8731B"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4,76</w:t>
            </w:r>
          </w:p>
        </w:tc>
      </w:tr>
      <w:tr w:rsidR="00C425F2" w:rsidRPr="00E7138D" w14:paraId="213A2956" w14:textId="77777777" w:rsidTr="00D55F31">
        <w:trPr>
          <w:trHeight w:val="283"/>
          <w:jc w:val="center"/>
        </w:trPr>
        <w:tc>
          <w:tcPr>
            <w:tcW w:w="1185" w:type="pct"/>
            <w:vMerge/>
            <w:tcBorders>
              <w:bottom w:val="single" w:sz="12" w:space="0" w:color="auto"/>
            </w:tcBorders>
            <w:noWrap/>
            <w:vAlign w:val="center"/>
          </w:tcPr>
          <w:p w14:paraId="75D4C972" w14:textId="77777777" w:rsidR="00D55F31" w:rsidRPr="00E7138D" w:rsidRDefault="00D55F31" w:rsidP="0002290A">
            <w:pPr>
              <w:rPr>
                <w:rFonts w:ascii="Calibri" w:hAnsi="Calibri" w:cs="Calibri"/>
                <w:color w:val="000000"/>
                <w:sz w:val="18"/>
                <w:szCs w:val="18"/>
                <w:lang w:eastAsia="cs-CZ"/>
              </w:rPr>
            </w:pPr>
          </w:p>
        </w:tc>
        <w:tc>
          <w:tcPr>
            <w:tcW w:w="1035" w:type="pct"/>
            <w:tcBorders>
              <w:top w:val="single" w:sz="4" w:space="0" w:color="auto"/>
              <w:bottom w:val="single" w:sz="12" w:space="0" w:color="auto"/>
            </w:tcBorders>
            <w:vAlign w:val="center"/>
          </w:tcPr>
          <w:p w14:paraId="7F412361" w14:textId="773D6EB2"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BALMED</w:t>
            </w:r>
            <w:r w:rsidR="00826683">
              <w:rPr>
                <w:rFonts w:ascii="Calibri" w:hAnsi="Calibri" w:cs="Calibri"/>
                <w:i/>
                <w:color w:val="000000"/>
                <w:sz w:val="18"/>
                <w:szCs w:val="18"/>
              </w:rPr>
              <w:t xml:space="preserve"> Praha</w:t>
            </w:r>
          </w:p>
        </w:tc>
        <w:tc>
          <w:tcPr>
            <w:tcW w:w="557" w:type="pct"/>
            <w:gridSpan w:val="2"/>
            <w:tcBorders>
              <w:top w:val="single" w:sz="4" w:space="0" w:color="auto"/>
              <w:bottom w:val="single" w:sz="12" w:space="0" w:color="auto"/>
            </w:tcBorders>
            <w:noWrap/>
            <w:vAlign w:val="center"/>
          </w:tcPr>
          <w:p w14:paraId="00F741F1"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rPr>
              <w:t>11,03</w:t>
            </w:r>
          </w:p>
        </w:tc>
        <w:tc>
          <w:tcPr>
            <w:tcW w:w="557" w:type="pct"/>
            <w:gridSpan w:val="2"/>
            <w:tcBorders>
              <w:top w:val="single" w:sz="4" w:space="0" w:color="auto"/>
              <w:bottom w:val="single" w:sz="12" w:space="0" w:color="auto"/>
            </w:tcBorders>
            <w:noWrap/>
            <w:vAlign w:val="center"/>
          </w:tcPr>
          <w:p w14:paraId="28A97E36"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rPr>
              <w:t>11,19</w:t>
            </w:r>
          </w:p>
        </w:tc>
        <w:tc>
          <w:tcPr>
            <w:tcW w:w="557" w:type="pct"/>
            <w:gridSpan w:val="2"/>
            <w:tcBorders>
              <w:top w:val="single" w:sz="4" w:space="0" w:color="auto"/>
              <w:bottom w:val="single" w:sz="12" w:space="0" w:color="auto"/>
            </w:tcBorders>
            <w:noWrap/>
            <w:vAlign w:val="center"/>
          </w:tcPr>
          <w:p w14:paraId="095BB849"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rPr>
              <w:t>18,99</w:t>
            </w:r>
          </w:p>
        </w:tc>
        <w:tc>
          <w:tcPr>
            <w:tcW w:w="558" w:type="pct"/>
            <w:gridSpan w:val="2"/>
            <w:tcBorders>
              <w:top w:val="single" w:sz="4" w:space="0" w:color="auto"/>
              <w:bottom w:val="single" w:sz="12" w:space="0" w:color="auto"/>
            </w:tcBorders>
            <w:noWrap/>
            <w:vAlign w:val="center"/>
          </w:tcPr>
          <w:p w14:paraId="1EB97F42"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rPr>
              <w:t>14,97</w:t>
            </w:r>
          </w:p>
        </w:tc>
        <w:tc>
          <w:tcPr>
            <w:tcW w:w="551" w:type="pct"/>
            <w:tcBorders>
              <w:top w:val="single" w:sz="4" w:space="0" w:color="auto"/>
              <w:bottom w:val="single" w:sz="12" w:space="0" w:color="auto"/>
            </w:tcBorders>
            <w:noWrap/>
            <w:vAlign w:val="center"/>
          </w:tcPr>
          <w:p w14:paraId="4D53C1AF"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rPr>
              <w:t>11,15</w:t>
            </w:r>
          </w:p>
        </w:tc>
      </w:tr>
      <w:tr w:rsidR="00C425F2" w:rsidRPr="00E7138D" w14:paraId="7026CA4B" w14:textId="77777777" w:rsidTr="00D55F31">
        <w:trPr>
          <w:trHeight w:val="283"/>
          <w:jc w:val="center"/>
        </w:trPr>
        <w:tc>
          <w:tcPr>
            <w:tcW w:w="1185" w:type="pct"/>
            <w:vMerge w:val="restart"/>
            <w:tcBorders>
              <w:top w:val="single" w:sz="12" w:space="0" w:color="auto"/>
            </w:tcBorders>
            <w:noWrap/>
            <w:vAlign w:val="center"/>
          </w:tcPr>
          <w:p w14:paraId="4F508070" w14:textId="77777777" w:rsidR="00D55F31" w:rsidRPr="00E7138D" w:rsidRDefault="0024693B" w:rsidP="0002290A">
            <w:pPr>
              <w:rPr>
                <w:rFonts w:ascii="Calibri" w:hAnsi="Calibri" w:cs="Calibri"/>
                <w:color w:val="000000"/>
                <w:sz w:val="18"/>
                <w:szCs w:val="18"/>
                <w:lang w:eastAsia="cs-CZ"/>
              </w:rPr>
            </w:pPr>
            <w:r w:rsidRPr="00E7138D">
              <w:rPr>
                <w:rFonts w:ascii="Calibri" w:hAnsi="Calibri" w:cs="Calibri"/>
                <w:color w:val="000000"/>
                <w:sz w:val="18"/>
                <w:szCs w:val="18"/>
                <w:lang w:eastAsia="cs-CZ"/>
              </w:rPr>
              <w:t xml:space="preserve">Provozní kapitál k hodnotě </w:t>
            </w:r>
          </w:p>
          <w:p w14:paraId="5E5C2B5E" w14:textId="77777777" w:rsidR="00D55F31" w:rsidRPr="00E7138D" w:rsidRDefault="0024693B" w:rsidP="0002290A">
            <w:pPr>
              <w:rPr>
                <w:rFonts w:ascii="Calibri" w:hAnsi="Calibri" w:cs="Calibri"/>
                <w:color w:val="000000"/>
                <w:sz w:val="18"/>
                <w:szCs w:val="18"/>
                <w:lang w:eastAsia="cs-CZ"/>
              </w:rPr>
            </w:pPr>
            <w:r w:rsidRPr="00E7138D">
              <w:rPr>
                <w:rFonts w:ascii="Calibri" w:hAnsi="Calibri" w:cs="Calibri"/>
                <w:color w:val="000000"/>
                <w:sz w:val="18"/>
                <w:szCs w:val="18"/>
                <w:lang w:eastAsia="cs-CZ"/>
              </w:rPr>
              <w:t>celkových aktiv</w:t>
            </w:r>
            <w:r w:rsidRPr="00E7138D">
              <w:rPr>
                <w:rFonts w:ascii="Calibri" w:hAnsi="Calibri" w:cs="Calibri"/>
                <w:color w:val="000000"/>
                <w:sz w:val="18"/>
                <w:szCs w:val="18"/>
                <w:vertAlign w:val="superscript"/>
                <w:lang w:eastAsia="cs-CZ"/>
              </w:rPr>
              <w:footnoteReference w:id="55"/>
            </w:r>
            <w:r w:rsidRPr="00E7138D">
              <w:rPr>
                <w:rFonts w:ascii="Calibri" w:hAnsi="Calibri" w:cs="Calibri"/>
                <w:color w:val="000000"/>
                <w:sz w:val="18"/>
                <w:szCs w:val="18"/>
                <w:lang w:eastAsia="cs-CZ"/>
              </w:rPr>
              <w:t xml:space="preserve"> (v %)</w:t>
            </w:r>
          </w:p>
        </w:tc>
        <w:tc>
          <w:tcPr>
            <w:tcW w:w="1035" w:type="pct"/>
            <w:tcBorders>
              <w:top w:val="single" w:sz="12" w:space="0" w:color="auto"/>
            </w:tcBorders>
            <w:vAlign w:val="center"/>
          </w:tcPr>
          <w:p w14:paraId="10F89775" w14:textId="77777777"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SLL Janské Lázně</w:t>
            </w:r>
          </w:p>
        </w:tc>
        <w:tc>
          <w:tcPr>
            <w:tcW w:w="557" w:type="pct"/>
            <w:gridSpan w:val="2"/>
            <w:tcBorders>
              <w:top w:val="single" w:sz="12" w:space="0" w:color="auto"/>
            </w:tcBorders>
            <w:noWrap/>
            <w:vAlign w:val="center"/>
          </w:tcPr>
          <w:p w14:paraId="2BD722F8"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12,86</w:t>
            </w:r>
          </w:p>
        </w:tc>
        <w:tc>
          <w:tcPr>
            <w:tcW w:w="557" w:type="pct"/>
            <w:gridSpan w:val="2"/>
            <w:tcBorders>
              <w:top w:val="single" w:sz="12" w:space="0" w:color="auto"/>
            </w:tcBorders>
            <w:noWrap/>
            <w:vAlign w:val="center"/>
          </w:tcPr>
          <w:p w14:paraId="77655829"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12,03</w:t>
            </w:r>
          </w:p>
        </w:tc>
        <w:tc>
          <w:tcPr>
            <w:tcW w:w="557" w:type="pct"/>
            <w:gridSpan w:val="2"/>
            <w:tcBorders>
              <w:top w:val="single" w:sz="12" w:space="0" w:color="auto"/>
            </w:tcBorders>
            <w:noWrap/>
            <w:vAlign w:val="center"/>
          </w:tcPr>
          <w:p w14:paraId="05F41575"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9,60</w:t>
            </w:r>
          </w:p>
        </w:tc>
        <w:tc>
          <w:tcPr>
            <w:tcW w:w="558" w:type="pct"/>
            <w:gridSpan w:val="2"/>
            <w:tcBorders>
              <w:top w:val="single" w:sz="12" w:space="0" w:color="auto"/>
            </w:tcBorders>
            <w:noWrap/>
            <w:vAlign w:val="center"/>
          </w:tcPr>
          <w:p w14:paraId="7FE7E704"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15,03</w:t>
            </w:r>
          </w:p>
        </w:tc>
        <w:tc>
          <w:tcPr>
            <w:tcW w:w="551" w:type="pct"/>
            <w:tcBorders>
              <w:top w:val="single" w:sz="12" w:space="0" w:color="auto"/>
            </w:tcBorders>
            <w:noWrap/>
            <w:vAlign w:val="center"/>
          </w:tcPr>
          <w:p w14:paraId="7E968986"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21,57</w:t>
            </w:r>
          </w:p>
        </w:tc>
      </w:tr>
      <w:tr w:rsidR="00C425F2" w:rsidRPr="00E7138D" w14:paraId="63CDE16C" w14:textId="77777777" w:rsidTr="00D55F31">
        <w:trPr>
          <w:trHeight w:val="283"/>
          <w:jc w:val="center"/>
        </w:trPr>
        <w:tc>
          <w:tcPr>
            <w:tcW w:w="1185" w:type="pct"/>
            <w:vMerge/>
            <w:noWrap/>
            <w:vAlign w:val="center"/>
          </w:tcPr>
          <w:p w14:paraId="1B2B9FC0" w14:textId="77777777" w:rsidR="00D55F31" w:rsidRPr="00E7138D" w:rsidRDefault="00D55F31" w:rsidP="0002290A">
            <w:pPr>
              <w:rPr>
                <w:rFonts w:ascii="Calibri" w:hAnsi="Calibri" w:cs="Calibri"/>
                <w:color w:val="000000"/>
                <w:sz w:val="18"/>
                <w:szCs w:val="18"/>
                <w:lang w:eastAsia="cs-CZ"/>
              </w:rPr>
            </w:pPr>
          </w:p>
        </w:tc>
        <w:tc>
          <w:tcPr>
            <w:tcW w:w="1035" w:type="pct"/>
            <w:vAlign w:val="center"/>
          </w:tcPr>
          <w:p w14:paraId="739C5001" w14:textId="77777777"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HL Karlova Studánka</w:t>
            </w:r>
          </w:p>
        </w:tc>
        <w:tc>
          <w:tcPr>
            <w:tcW w:w="557" w:type="pct"/>
            <w:gridSpan w:val="2"/>
            <w:noWrap/>
            <w:vAlign w:val="center"/>
          </w:tcPr>
          <w:p w14:paraId="4EB62C99" w14:textId="415B611B"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lang w:eastAsia="cs-CZ"/>
              </w:rPr>
              <w:t>7,73</w:t>
            </w:r>
          </w:p>
        </w:tc>
        <w:tc>
          <w:tcPr>
            <w:tcW w:w="557" w:type="pct"/>
            <w:gridSpan w:val="2"/>
            <w:noWrap/>
            <w:vAlign w:val="center"/>
          </w:tcPr>
          <w:p w14:paraId="3DD9DBB3" w14:textId="69A91E26"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lang w:eastAsia="cs-CZ"/>
              </w:rPr>
              <w:t>10,62</w:t>
            </w:r>
          </w:p>
        </w:tc>
        <w:tc>
          <w:tcPr>
            <w:tcW w:w="557" w:type="pct"/>
            <w:gridSpan w:val="2"/>
            <w:noWrap/>
            <w:vAlign w:val="center"/>
          </w:tcPr>
          <w:p w14:paraId="69CE2E01" w14:textId="17F693BD"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lang w:eastAsia="cs-CZ"/>
              </w:rPr>
              <w:t>9,75</w:t>
            </w:r>
          </w:p>
        </w:tc>
        <w:tc>
          <w:tcPr>
            <w:tcW w:w="558" w:type="pct"/>
            <w:gridSpan w:val="2"/>
            <w:noWrap/>
            <w:vAlign w:val="center"/>
          </w:tcPr>
          <w:p w14:paraId="25C7BD3F" w14:textId="698E7DC5"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lang w:eastAsia="cs-CZ"/>
              </w:rPr>
              <w:t>1,90</w:t>
            </w:r>
          </w:p>
        </w:tc>
        <w:tc>
          <w:tcPr>
            <w:tcW w:w="551" w:type="pct"/>
            <w:noWrap/>
            <w:vAlign w:val="center"/>
          </w:tcPr>
          <w:p w14:paraId="7AB3EE67"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11,14</w:t>
            </w:r>
          </w:p>
        </w:tc>
      </w:tr>
      <w:tr w:rsidR="00C425F2" w:rsidRPr="00E7138D" w14:paraId="7D9E5198" w14:textId="77777777" w:rsidTr="00D55F31">
        <w:trPr>
          <w:trHeight w:val="283"/>
          <w:jc w:val="center"/>
        </w:trPr>
        <w:tc>
          <w:tcPr>
            <w:tcW w:w="1185" w:type="pct"/>
            <w:vMerge/>
            <w:noWrap/>
            <w:vAlign w:val="center"/>
          </w:tcPr>
          <w:p w14:paraId="6C4DDDC0" w14:textId="77777777" w:rsidR="00D55F31" w:rsidRPr="00E7138D" w:rsidRDefault="00D55F31" w:rsidP="0002290A">
            <w:pPr>
              <w:rPr>
                <w:rFonts w:ascii="Calibri" w:hAnsi="Calibri" w:cs="Calibri"/>
                <w:color w:val="000000"/>
                <w:sz w:val="18"/>
                <w:szCs w:val="18"/>
                <w:lang w:eastAsia="cs-CZ"/>
              </w:rPr>
            </w:pPr>
          </w:p>
        </w:tc>
        <w:tc>
          <w:tcPr>
            <w:tcW w:w="1035" w:type="pct"/>
            <w:vAlign w:val="center"/>
          </w:tcPr>
          <w:p w14:paraId="0240EFB6" w14:textId="77777777"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SLL Bludov</w:t>
            </w:r>
          </w:p>
        </w:tc>
        <w:tc>
          <w:tcPr>
            <w:tcW w:w="557" w:type="pct"/>
            <w:gridSpan w:val="2"/>
            <w:noWrap/>
            <w:vAlign w:val="center"/>
          </w:tcPr>
          <w:p w14:paraId="1038CE65"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42,11</w:t>
            </w:r>
          </w:p>
        </w:tc>
        <w:tc>
          <w:tcPr>
            <w:tcW w:w="557" w:type="pct"/>
            <w:gridSpan w:val="2"/>
            <w:noWrap/>
            <w:vAlign w:val="center"/>
          </w:tcPr>
          <w:p w14:paraId="6E52B1C9"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37,18</w:t>
            </w:r>
          </w:p>
        </w:tc>
        <w:tc>
          <w:tcPr>
            <w:tcW w:w="557" w:type="pct"/>
            <w:gridSpan w:val="2"/>
            <w:noWrap/>
            <w:vAlign w:val="center"/>
          </w:tcPr>
          <w:p w14:paraId="757B6C98"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26,08</w:t>
            </w:r>
          </w:p>
        </w:tc>
        <w:tc>
          <w:tcPr>
            <w:tcW w:w="558" w:type="pct"/>
            <w:gridSpan w:val="2"/>
            <w:noWrap/>
            <w:vAlign w:val="center"/>
          </w:tcPr>
          <w:p w14:paraId="1B01F7BC"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16,96</w:t>
            </w:r>
          </w:p>
        </w:tc>
        <w:tc>
          <w:tcPr>
            <w:tcW w:w="551" w:type="pct"/>
            <w:noWrap/>
            <w:vAlign w:val="center"/>
          </w:tcPr>
          <w:p w14:paraId="3589AC28"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32,70</w:t>
            </w:r>
          </w:p>
        </w:tc>
      </w:tr>
      <w:tr w:rsidR="00C425F2" w:rsidRPr="00E7138D" w14:paraId="27DB18D7" w14:textId="77777777" w:rsidTr="00D55F31">
        <w:trPr>
          <w:trHeight w:val="283"/>
          <w:jc w:val="center"/>
        </w:trPr>
        <w:tc>
          <w:tcPr>
            <w:tcW w:w="1185" w:type="pct"/>
            <w:vMerge/>
            <w:noWrap/>
            <w:vAlign w:val="center"/>
          </w:tcPr>
          <w:p w14:paraId="3DAD36F8" w14:textId="77777777" w:rsidR="00D55F31" w:rsidRPr="00E7138D" w:rsidRDefault="00D55F31" w:rsidP="0002290A">
            <w:pPr>
              <w:rPr>
                <w:rFonts w:ascii="Calibri" w:hAnsi="Calibri" w:cs="Calibri"/>
                <w:color w:val="000000"/>
                <w:sz w:val="18"/>
                <w:szCs w:val="18"/>
                <w:lang w:eastAsia="cs-CZ"/>
              </w:rPr>
            </w:pPr>
          </w:p>
        </w:tc>
        <w:tc>
          <w:tcPr>
            <w:tcW w:w="1035" w:type="pct"/>
            <w:vAlign w:val="center"/>
          </w:tcPr>
          <w:p w14:paraId="3922A096" w14:textId="0ACC9994"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BALMED</w:t>
            </w:r>
            <w:r w:rsidR="00826683">
              <w:rPr>
                <w:rFonts w:ascii="Calibri" w:hAnsi="Calibri" w:cs="Calibri"/>
                <w:i/>
                <w:color w:val="000000"/>
                <w:sz w:val="18"/>
                <w:szCs w:val="18"/>
              </w:rPr>
              <w:t xml:space="preserve"> Praha</w:t>
            </w:r>
          </w:p>
        </w:tc>
        <w:tc>
          <w:tcPr>
            <w:tcW w:w="557" w:type="pct"/>
            <w:gridSpan w:val="2"/>
            <w:noWrap/>
            <w:vAlign w:val="center"/>
          </w:tcPr>
          <w:p w14:paraId="007761D4"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rPr>
              <w:t>32,11</w:t>
            </w:r>
          </w:p>
        </w:tc>
        <w:tc>
          <w:tcPr>
            <w:tcW w:w="557" w:type="pct"/>
            <w:gridSpan w:val="2"/>
            <w:noWrap/>
            <w:vAlign w:val="center"/>
          </w:tcPr>
          <w:p w14:paraId="7EF0B27E"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rPr>
              <w:t>28,85</w:t>
            </w:r>
          </w:p>
        </w:tc>
        <w:tc>
          <w:tcPr>
            <w:tcW w:w="557" w:type="pct"/>
            <w:gridSpan w:val="2"/>
            <w:noWrap/>
            <w:vAlign w:val="center"/>
          </w:tcPr>
          <w:p w14:paraId="72FC799E"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rPr>
              <w:t>43,51</w:t>
            </w:r>
          </w:p>
        </w:tc>
        <w:tc>
          <w:tcPr>
            <w:tcW w:w="558" w:type="pct"/>
            <w:gridSpan w:val="2"/>
            <w:noWrap/>
            <w:vAlign w:val="center"/>
          </w:tcPr>
          <w:p w14:paraId="5AD292B7"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rPr>
              <w:t>32,62</w:t>
            </w:r>
          </w:p>
        </w:tc>
        <w:tc>
          <w:tcPr>
            <w:tcW w:w="551" w:type="pct"/>
            <w:noWrap/>
            <w:vAlign w:val="center"/>
          </w:tcPr>
          <w:p w14:paraId="5B535B1C"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rPr>
              <w:t>23,40</w:t>
            </w:r>
          </w:p>
        </w:tc>
      </w:tr>
      <w:tr w:rsidR="00C425F2" w:rsidRPr="00E7138D" w14:paraId="1C10FA67" w14:textId="77777777" w:rsidTr="00D55F31">
        <w:trPr>
          <w:trHeight w:val="283"/>
          <w:jc w:val="center"/>
        </w:trPr>
        <w:tc>
          <w:tcPr>
            <w:tcW w:w="5000" w:type="pct"/>
            <w:gridSpan w:val="11"/>
            <w:shd w:val="clear" w:color="auto" w:fill="C6D9F1" w:themeFill="text2" w:themeFillTint="33"/>
            <w:vAlign w:val="center"/>
          </w:tcPr>
          <w:p w14:paraId="1B54B784" w14:textId="6B4C1A41" w:rsidR="00D55F31" w:rsidRPr="00E7138D" w:rsidRDefault="0024693B" w:rsidP="00506C42">
            <w:pPr>
              <w:rPr>
                <w:rFonts w:ascii="Calibri" w:hAnsi="Calibri" w:cs="Calibri"/>
                <w:b/>
                <w:color w:val="000000"/>
                <w:sz w:val="18"/>
                <w:szCs w:val="18"/>
                <w:lang w:eastAsia="cs-CZ"/>
              </w:rPr>
            </w:pPr>
            <w:r w:rsidRPr="00E7138D">
              <w:rPr>
                <w:rFonts w:ascii="Calibri" w:hAnsi="Calibri" w:cs="Calibri"/>
                <w:b/>
                <w:color w:val="000000"/>
                <w:sz w:val="18"/>
                <w:szCs w:val="18"/>
                <w:lang w:eastAsia="cs-CZ"/>
              </w:rPr>
              <w:t>Ukazatele struktury zdrojů</w:t>
            </w:r>
          </w:p>
        </w:tc>
      </w:tr>
      <w:tr w:rsidR="00C425F2" w:rsidRPr="00E7138D" w14:paraId="6E1C22E3" w14:textId="77777777" w:rsidTr="00D55F31">
        <w:trPr>
          <w:trHeight w:val="283"/>
          <w:jc w:val="center"/>
        </w:trPr>
        <w:tc>
          <w:tcPr>
            <w:tcW w:w="1185" w:type="pct"/>
            <w:vMerge w:val="restart"/>
            <w:noWrap/>
            <w:vAlign w:val="center"/>
          </w:tcPr>
          <w:p w14:paraId="526304C7" w14:textId="77777777" w:rsidR="00D55F31" w:rsidRPr="00E7138D" w:rsidRDefault="0024693B" w:rsidP="0002290A">
            <w:pPr>
              <w:rPr>
                <w:rFonts w:ascii="Calibri" w:hAnsi="Calibri" w:cs="Calibri"/>
                <w:color w:val="000000"/>
                <w:sz w:val="18"/>
                <w:szCs w:val="18"/>
                <w:lang w:eastAsia="cs-CZ"/>
              </w:rPr>
            </w:pPr>
            <w:r w:rsidRPr="00E7138D">
              <w:rPr>
                <w:rFonts w:ascii="Calibri" w:hAnsi="Calibri" w:cs="Calibri"/>
                <w:color w:val="000000"/>
                <w:sz w:val="18"/>
                <w:szCs w:val="18"/>
                <w:lang w:eastAsia="cs-CZ"/>
              </w:rPr>
              <w:t>Finanční nezávislost</w:t>
            </w:r>
            <w:r w:rsidRPr="00E7138D">
              <w:rPr>
                <w:rFonts w:ascii="Calibri" w:hAnsi="Calibri" w:cs="Calibri"/>
                <w:color w:val="000000"/>
                <w:sz w:val="18"/>
                <w:szCs w:val="18"/>
                <w:vertAlign w:val="superscript"/>
                <w:lang w:eastAsia="cs-CZ"/>
              </w:rPr>
              <w:footnoteReference w:id="56"/>
            </w:r>
            <w:r w:rsidRPr="00E7138D">
              <w:rPr>
                <w:rFonts w:ascii="Calibri" w:hAnsi="Calibri" w:cs="Calibri"/>
                <w:color w:val="000000"/>
                <w:sz w:val="18"/>
                <w:szCs w:val="18"/>
                <w:lang w:eastAsia="cs-CZ"/>
              </w:rPr>
              <w:t xml:space="preserve"> (v %)</w:t>
            </w:r>
          </w:p>
        </w:tc>
        <w:tc>
          <w:tcPr>
            <w:tcW w:w="1035" w:type="pct"/>
            <w:vAlign w:val="center"/>
          </w:tcPr>
          <w:p w14:paraId="3BBB2B72" w14:textId="77777777"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SLL Janské Lázně</w:t>
            </w:r>
          </w:p>
        </w:tc>
        <w:tc>
          <w:tcPr>
            <w:tcW w:w="557" w:type="pct"/>
            <w:gridSpan w:val="2"/>
            <w:noWrap/>
            <w:vAlign w:val="center"/>
          </w:tcPr>
          <w:p w14:paraId="167E9680"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95,39</w:t>
            </w:r>
          </w:p>
        </w:tc>
        <w:tc>
          <w:tcPr>
            <w:tcW w:w="557" w:type="pct"/>
            <w:gridSpan w:val="2"/>
            <w:noWrap/>
            <w:vAlign w:val="center"/>
          </w:tcPr>
          <w:p w14:paraId="11605710"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95,38</w:t>
            </w:r>
          </w:p>
        </w:tc>
        <w:tc>
          <w:tcPr>
            <w:tcW w:w="557" w:type="pct"/>
            <w:gridSpan w:val="2"/>
            <w:noWrap/>
            <w:vAlign w:val="center"/>
          </w:tcPr>
          <w:p w14:paraId="37F8BAE2"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95,33</w:t>
            </w:r>
          </w:p>
        </w:tc>
        <w:tc>
          <w:tcPr>
            <w:tcW w:w="558" w:type="pct"/>
            <w:gridSpan w:val="2"/>
            <w:noWrap/>
            <w:vAlign w:val="center"/>
          </w:tcPr>
          <w:p w14:paraId="5C26412C"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94,14</w:t>
            </w:r>
          </w:p>
        </w:tc>
        <w:tc>
          <w:tcPr>
            <w:tcW w:w="551" w:type="pct"/>
            <w:noWrap/>
            <w:vAlign w:val="center"/>
          </w:tcPr>
          <w:p w14:paraId="429F235B"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92,36</w:t>
            </w:r>
          </w:p>
        </w:tc>
      </w:tr>
      <w:tr w:rsidR="00C425F2" w:rsidRPr="00E7138D" w14:paraId="3F3C7FA9" w14:textId="77777777" w:rsidTr="00D55F31">
        <w:trPr>
          <w:trHeight w:val="283"/>
          <w:jc w:val="center"/>
        </w:trPr>
        <w:tc>
          <w:tcPr>
            <w:tcW w:w="1185" w:type="pct"/>
            <w:vMerge/>
            <w:noWrap/>
            <w:vAlign w:val="center"/>
          </w:tcPr>
          <w:p w14:paraId="48734D95" w14:textId="77777777" w:rsidR="00D55F31" w:rsidRPr="00E7138D" w:rsidRDefault="00D55F31" w:rsidP="0002290A">
            <w:pPr>
              <w:rPr>
                <w:rFonts w:ascii="Calibri" w:hAnsi="Calibri" w:cs="Calibri"/>
                <w:color w:val="000000"/>
                <w:sz w:val="18"/>
                <w:szCs w:val="18"/>
                <w:lang w:eastAsia="cs-CZ"/>
              </w:rPr>
            </w:pPr>
          </w:p>
        </w:tc>
        <w:tc>
          <w:tcPr>
            <w:tcW w:w="1035" w:type="pct"/>
            <w:tcBorders>
              <w:bottom w:val="single" w:sz="4" w:space="0" w:color="auto"/>
            </w:tcBorders>
            <w:vAlign w:val="center"/>
          </w:tcPr>
          <w:p w14:paraId="0A74355C" w14:textId="77777777"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HL Karlova Studánka</w:t>
            </w:r>
          </w:p>
        </w:tc>
        <w:tc>
          <w:tcPr>
            <w:tcW w:w="557" w:type="pct"/>
            <w:gridSpan w:val="2"/>
            <w:tcBorders>
              <w:bottom w:val="single" w:sz="4" w:space="0" w:color="auto"/>
            </w:tcBorders>
            <w:noWrap/>
            <w:vAlign w:val="center"/>
          </w:tcPr>
          <w:p w14:paraId="272FB0F0"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72,86</w:t>
            </w:r>
          </w:p>
        </w:tc>
        <w:tc>
          <w:tcPr>
            <w:tcW w:w="557" w:type="pct"/>
            <w:gridSpan w:val="2"/>
            <w:tcBorders>
              <w:bottom w:val="single" w:sz="4" w:space="0" w:color="auto"/>
            </w:tcBorders>
            <w:noWrap/>
            <w:vAlign w:val="center"/>
          </w:tcPr>
          <w:p w14:paraId="6BA3A899"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76,08</w:t>
            </w:r>
          </w:p>
        </w:tc>
        <w:tc>
          <w:tcPr>
            <w:tcW w:w="557" w:type="pct"/>
            <w:gridSpan w:val="2"/>
            <w:tcBorders>
              <w:bottom w:val="single" w:sz="4" w:space="0" w:color="auto"/>
            </w:tcBorders>
            <w:noWrap/>
            <w:vAlign w:val="center"/>
          </w:tcPr>
          <w:p w14:paraId="0087E561"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78,85</w:t>
            </w:r>
          </w:p>
        </w:tc>
        <w:tc>
          <w:tcPr>
            <w:tcW w:w="558" w:type="pct"/>
            <w:gridSpan w:val="2"/>
            <w:tcBorders>
              <w:bottom w:val="single" w:sz="4" w:space="0" w:color="auto"/>
            </w:tcBorders>
            <w:noWrap/>
            <w:vAlign w:val="center"/>
          </w:tcPr>
          <w:p w14:paraId="78776E03"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82,35</w:t>
            </w:r>
          </w:p>
        </w:tc>
        <w:tc>
          <w:tcPr>
            <w:tcW w:w="551" w:type="pct"/>
            <w:tcBorders>
              <w:bottom w:val="single" w:sz="4" w:space="0" w:color="auto"/>
            </w:tcBorders>
            <w:noWrap/>
            <w:vAlign w:val="center"/>
          </w:tcPr>
          <w:p w14:paraId="18C456A4"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88,35</w:t>
            </w:r>
          </w:p>
        </w:tc>
      </w:tr>
      <w:tr w:rsidR="00C425F2" w:rsidRPr="00E7138D" w14:paraId="5D1E80A8" w14:textId="77777777" w:rsidTr="00D55F31">
        <w:trPr>
          <w:trHeight w:val="283"/>
          <w:jc w:val="center"/>
        </w:trPr>
        <w:tc>
          <w:tcPr>
            <w:tcW w:w="1185" w:type="pct"/>
            <w:vMerge/>
            <w:noWrap/>
            <w:vAlign w:val="center"/>
          </w:tcPr>
          <w:p w14:paraId="0EFA4513" w14:textId="77777777" w:rsidR="00D55F31" w:rsidRPr="00E7138D" w:rsidRDefault="00D55F31" w:rsidP="0002290A">
            <w:pPr>
              <w:rPr>
                <w:rFonts w:ascii="Calibri" w:hAnsi="Calibri" w:cs="Calibri"/>
                <w:color w:val="000000"/>
                <w:sz w:val="18"/>
                <w:szCs w:val="18"/>
                <w:lang w:eastAsia="cs-CZ"/>
              </w:rPr>
            </w:pPr>
          </w:p>
        </w:tc>
        <w:tc>
          <w:tcPr>
            <w:tcW w:w="1035" w:type="pct"/>
            <w:tcBorders>
              <w:top w:val="single" w:sz="4" w:space="0" w:color="auto"/>
              <w:bottom w:val="single" w:sz="4" w:space="0" w:color="auto"/>
            </w:tcBorders>
            <w:vAlign w:val="center"/>
          </w:tcPr>
          <w:p w14:paraId="323892BD" w14:textId="77777777"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SLL Bludov</w:t>
            </w:r>
          </w:p>
        </w:tc>
        <w:tc>
          <w:tcPr>
            <w:tcW w:w="557" w:type="pct"/>
            <w:gridSpan w:val="2"/>
            <w:tcBorders>
              <w:top w:val="single" w:sz="4" w:space="0" w:color="auto"/>
              <w:bottom w:val="single" w:sz="4" w:space="0" w:color="auto"/>
            </w:tcBorders>
            <w:noWrap/>
            <w:vAlign w:val="center"/>
          </w:tcPr>
          <w:p w14:paraId="3F623646"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46,71</w:t>
            </w:r>
          </w:p>
        </w:tc>
        <w:tc>
          <w:tcPr>
            <w:tcW w:w="557" w:type="pct"/>
            <w:gridSpan w:val="2"/>
            <w:tcBorders>
              <w:top w:val="single" w:sz="4" w:space="0" w:color="auto"/>
              <w:bottom w:val="single" w:sz="4" w:space="0" w:color="auto"/>
            </w:tcBorders>
            <w:noWrap/>
            <w:vAlign w:val="center"/>
          </w:tcPr>
          <w:p w14:paraId="35C8FE90"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40,61</w:t>
            </w:r>
          </w:p>
        </w:tc>
        <w:tc>
          <w:tcPr>
            <w:tcW w:w="557" w:type="pct"/>
            <w:gridSpan w:val="2"/>
            <w:tcBorders>
              <w:top w:val="single" w:sz="4" w:space="0" w:color="auto"/>
              <w:bottom w:val="single" w:sz="4" w:space="0" w:color="auto"/>
            </w:tcBorders>
            <w:noWrap/>
            <w:vAlign w:val="center"/>
          </w:tcPr>
          <w:p w14:paraId="7ADA99B3"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28,64</w:t>
            </w:r>
          </w:p>
        </w:tc>
        <w:tc>
          <w:tcPr>
            <w:tcW w:w="558" w:type="pct"/>
            <w:gridSpan w:val="2"/>
            <w:tcBorders>
              <w:top w:val="single" w:sz="4" w:space="0" w:color="auto"/>
              <w:bottom w:val="single" w:sz="4" w:space="0" w:color="auto"/>
            </w:tcBorders>
            <w:noWrap/>
            <w:vAlign w:val="center"/>
          </w:tcPr>
          <w:p w14:paraId="2F475B7E"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22,96</w:t>
            </w:r>
          </w:p>
        </w:tc>
        <w:tc>
          <w:tcPr>
            <w:tcW w:w="551" w:type="pct"/>
            <w:tcBorders>
              <w:top w:val="single" w:sz="4" w:space="0" w:color="auto"/>
              <w:bottom w:val="single" w:sz="4" w:space="0" w:color="auto"/>
            </w:tcBorders>
            <w:noWrap/>
            <w:vAlign w:val="center"/>
          </w:tcPr>
          <w:p w14:paraId="5F8DC72A"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61,79</w:t>
            </w:r>
          </w:p>
        </w:tc>
      </w:tr>
      <w:tr w:rsidR="00C425F2" w:rsidRPr="00E7138D" w14:paraId="4574435B" w14:textId="77777777" w:rsidTr="00D55F31">
        <w:trPr>
          <w:trHeight w:val="283"/>
          <w:jc w:val="center"/>
        </w:trPr>
        <w:tc>
          <w:tcPr>
            <w:tcW w:w="1185" w:type="pct"/>
            <w:vMerge/>
            <w:tcBorders>
              <w:bottom w:val="single" w:sz="12" w:space="0" w:color="auto"/>
            </w:tcBorders>
            <w:noWrap/>
            <w:vAlign w:val="center"/>
          </w:tcPr>
          <w:p w14:paraId="763A842B" w14:textId="77777777" w:rsidR="00D55F31" w:rsidRPr="00E7138D" w:rsidRDefault="00D55F31" w:rsidP="0002290A">
            <w:pPr>
              <w:rPr>
                <w:rFonts w:ascii="Calibri" w:hAnsi="Calibri" w:cs="Calibri"/>
                <w:color w:val="000000"/>
                <w:sz w:val="18"/>
                <w:szCs w:val="18"/>
                <w:lang w:eastAsia="cs-CZ"/>
              </w:rPr>
            </w:pPr>
          </w:p>
        </w:tc>
        <w:tc>
          <w:tcPr>
            <w:tcW w:w="1035" w:type="pct"/>
            <w:tcBorders>
              <w:top w:val="single" w:sz="4" w:space="0" w:color="auto"/>
              <w:bottom w:val="single" w:sz="12" w:space="0" w:color="auto"/>
            </w:tcBorders>
            <w:vAlign w:val="center"/>
          </w:tcPr>
          <w:p w14:paraId="3DED6F57" w14:textId="3FE34582"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BALMED</w:t>
            </w:r>
            <w:r w:rsidR="00F31B48">
              <w:rPr>
                <w:rFonts w:ascii="Calibri" w:hAnsi="Calibri" w:cs="Calibri"/>
                <w:i/>
                <w:color w:val="000000"/>
                <w:sz w:val="18"/>
                <w:szCs w:val="18"/>
              </w:rPr>
              <w:t xml:space="preserve"> Praha</w:t>
            </w:r>
          </w:p>
        </w:tc>
        <w:tc>
          <w:tcPr>
            <w:tcW w:w="557" w:type="pct"/>
            <w:gridSpan w:val="2"/>
            <w:tcBorders>
              <w:top w:val="single" w:sz="4" w:space="0" w:color="auto"/>
              <w:bottom w:val="single" w:sz="12" w:space="0" w:color="auto"/>
            </w:tcBorders>
            <w:noWrap/>
            <w:vAlign w:val="center"/>
          </w:tcPr>
          <w:p w14:paraId="58D5310C"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rPr>
              <w:t>95,18</w:t>
            </w:r>
          </w:p>
        </w:tc>
        <w:tc>
          <w:tcPr>
            <w:tcW w:w="557" w:type="pct"/>
            <w:gridSpan w:val="2"/>
            <w:tcBorders>
              <w:top w:val="single" w:sz="4" w:space="0" w:color="auto"/>
              <w:bottom w:val="single" w:sz="12" w:space="0" w:color="auto"/>
            </w:tcBorders>
            <w:noWrap/>
            <w:vAlign w:val="center"/>
          </w:tcPr>
          <w:p w14:paraId="05C78E67"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rPr>
              <w:t>93,63</w:t>
            </w:r>
          </w:p>
        </w:tc>
        <w:tc>
          <w:tcPr>
            <w:tcW w:w="557" w:type="pct"/>
            <w:gridSpan w:val="2"/>
            <w:tcBorders>
              <w:top w:val="single" w:sz="4" w:space="0" w:color="auto"/>
              <w:bottom w:val="single" w:sz="12" w:space="0" w:color="auto"/>
            </w:tcBorders>
            <w:noWrap/>
            <w:vAlign w:val="center"/>
          </w:tcPr>
          <w:p w14:paraId="53AEAE41"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rPr>
              <w:t>92,83</w:t>
            </w:r>
          </w:p>
        </w:tc>
        <w:tc>
          <w:tcPr>
            <w:tcW w:w="558" w:type="pct"/>
            <w:gridSpan w:val="2"/>
            <w:tcBorders>
              <w:top w:val="single" w:sz="4" w:space="0" w:color="auto"/>
              <w:bottom w:val="single" w:sz="12" w:space="0" w:color="auto"/>
            </w:tcBorders>
            <w:noWrap/>
            <w:vAlign w:val="center"/>
          </w:tcPr>
          <w:p w14:paraId="6F5FCD3A"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rPr>
              <w:t>91,58</w:t>
            </w:r>
          </w:p>
        </w:tc>
        <w:tc>
          <w:tcPr>
            <w:tcW w:w="551" w:type="pct"/>
            <w:tcBorders>
              <w:top w:val="single" w:sz="4" w:space="0" w:color="auto"/>
              <w:bottom w:val="single" w:sz="12" w:space="0" w:color="auto"/>
            </w:tcBorders>
            <w:noWrap/>
            <w:vAlign w:val="center"/>
          </w:tcPr>
          <w:p w14:paraId="49510D33"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rPr>
              <w:t>92,22</w:t>
            </w:r>
          </w:p>
        </w:tc>
      </w:tr>
      <w:tr w:rsidR="00C425F2" w:rsidRPr="00E7138D" w14:paraId="06968633" w14:textId="77777777" w:rsidTr="00D55F31">
        <w:trPr>
          <w:trHeight w:val="283"/>
          <w:jc w:val="center"/>
        </w:trPr>
        <w:tc>
          <w:tcPr>
            <w:tcW w:w="1185" w:type="pct"/>
            <w:vMerge w:val="restart"/>
            <w:tcBorders>
              <w:top w:val="single" w:sz="12" w:space="0" w:color="auto"/>
            </w:tcBorders>
            <w:noWrap/>
            <w:vAlign w:val="center"/>
          </w:tcPr>
          <w:p w14:paraId="1848CE22" w14:textId="77777777" w:rsidR="00D55F31" w:rsidRPr="00E7138D" w:rsidRDefault="0024693B" w:rsidP="0002290A">
            <w:pPr>
              <w:rPr>
                <w:rFonts w:ascii="Calibri" w:hAnsi="Calibri" w:cs="Calibri"/>
                <w:color w:val="000000"/>
                <w:sz w:val="18"/>
                <w:szCs w:val="18"/>
                <w:lang w:eastAsia="cs-CZ"/>
              </w:rPr>
            </w:pPr>
            <w:r w:rsidRPr="00E7138D">
              <w:rPr>
                <w:rFonts w:ascii="Calibri" w:hAnsi="Calibri" w:cs="Calibri"/>
                <w:color w:val="000000"/>
                <w:sz w:val="18"/>
                <w:szCs w:val="18"/>
                <w:lang w:eastAsia="cs-CZ"/>
              </w:rPr>
              <w:t>Celková zadluženost</w:t>
            </w:r>
            <w:r w:rsidRPr="00E7138D">
              <w:rPr>
                <w:rFonts w:ascii="Calibri" w:hAnsi="Calibri" w:cs="Calibri"/>
                <w:color w:val="000000"/>
                <w:sz w:val="18"/>
                <w:szCs w:val="18"/>
                <w:vertAlign w:val="superscript"/>
                <w:lang w:eastAsia="cs-CZ"/>
              </w:rPr>
              <w:footnoteReference w:id="57"/>
            </w:r>
            <w:r w:rsidRPr="00E7138D">
              <w:rPr>
                <w:rFonts w:ascii="Calibri" w:hAnsi="Calibri" w:cs="Calibri"/>
                <w:color w:val="000000"/>
                <w:sz w:val="18"/>
                <w:szCs w:val="18"/>
                <w:lang w:eastAsia="cs-CZ"/>
              </w:rPr>
              <w:t xml:space="preserve"> (v %)</w:t>
            </w:r>
          </w:p>
        </w:tc>
        <w:tc>
          <w:tcPr>
            <w:tcW w:w="1035" w:type="pct"/>
            <w:tcBorders>
              <w:top w:val="single" w:sz="12" w:space="0" w:color="auto"/>
            </w:tcBorders>
            <w:vAlign w:val="center"/>
          </w:tcPr>
          <w:p w14:paraId="3C189A2F" w14:textId="77777777"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SLL Janské Lázně</w:t>
            </w:r>
          </w:p>
        </w:tc>
        <w:tc>
          <w:tcPr>
            <w:tcW w:w="557" w:type="pct"/>
            <w:gridSpan w:val="2"/>
            <w:tcBorders>
              <w:top w:val="single" w:sz="12" w:space="0" w:color="auto"/>
            </w:tcBorders>
            <w:noWrap/>
            <w:vAlign w:val="center"/>
          </w:tcPr>
          <w:p w14:paraId="16DFE0E2"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4,61</w:t>
            </w:r>
          </w:p>
        </w:tc>
        <w:tc>
          <w:tcPr>
            <w:tcW w:w="557" w:type="pct"/>
            <w:gridSpan w:val="2"/>
            <w:tcBorders>
              <w:top w:val="single" w:sz="12" w:space="0" w:color="auto"/>
            </w:tcBorders>
            <w:noWrap/>
            <w:vAlign w:val="center"/>
          </w:tcPr>
          <w:p w14:paraId="25C2EF7B"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4,62</w:t>
            </w:r>
          </w:p>
        </w:tc>
        <w:tc>
          <w:tcPr>
            <w:tcW w:w="557" w:type="pct"/>
            <w:gridSpan w:val="2"/>
            <w:tcBorders>
              <w:top w:val="single" w:sz="12" w:space="0" w:color="auto"/>
            </w:tcBorders>
            <w:noWrap/>
            <w:vAlign w:val="center"/>
          </w:tcPr>
          <w:p w14:paraId="426A100F"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4,67</w:t>
            </w:r>
          </w:p>
        </w:tc>
        <w:tc>
          <w:tcPr>
            <w:tcW w:w="558" w:type="pct"/>
            <w:gridSpan w:val="2"/>
            <w:tcBorders>
              <w:top w:val="single" w:sz="12" w:space="0" w:color="auto"/>
            </w:tcBorders>
            <w:noWrap/>
            <w:vAlign w:val="center"/>
          </w:tcPr>
          <w:p w14:paraId="79F6E923"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5,86</w:t>
            </w:r>
          </w:p>
        </w:tc>
        <w:tc>
          <w:tcPr>
            <w:tcW w:w="551" w:type="pct"/>
            <w:tcBorders>
              <w:top w:val="single" w:sz="12" w:space="0" w:color="auto"/>
            </w:tcBorders>
            <w:noWrap/>
            <w:vAlign w:val="center"/>
          </w:tcPr>
          <w:p w14:paraId="105ACDD1"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7,49</w:t>
            </w:r>
          </w:p>
        </w:tc>
      </w:tr>
      <w:tr w:rsidR="00C425F2" w:rsidRPr="00E7138D" w14:paraId="5DE6660C" w14:textId="77777777" w:rsidTr="00D55F31">
        <w:trPr>
          <w:trHeight w:val="283"/>
          <w:jc w:val="center"/>
        </w:trPr>
        <w:tc>
          <w:tcPr>
            <w:tcW w:w="1185" w:type="pct"/>
            <w:vMerge/>
            <w:noWrap/>
            <w:vAlign w:val="center"/>
          </w:tcPr>
          <w:p w14:paraId="57A6F9A4" w14:textId="77777777" w:rsidR="00D55F31" w:rsidRPr="00E7138D" w:rsidRDefault="00D55F31" w:rsidP="0002290A">
            <w:pPr>
              <w:rPr>
                <w:rFonts w:ascii="Calibri" w:hAnsi="Calibri" w:cs="Calibri"/>
                <w:color w:val="000000"/>
                <w:sz w:val="18"/>
                <w:szCs w:val="18"/>
                <w:lang w:eastAsia="cs-CZ"/>
              </w:rPr>
            </w:pPr>
          </w:p>
        </w:tc>
        <w:tc>
          <w:tcPr>
            <w:tcW w:w="1035" w:type="pct"/>
            <w:tcBorders>
              <w:bottom w:val="single" w:sz="4" w:space="0" w:color="auto"/>
            </w:tcBorders>
            <w:vAlign w:val="center"/>
          </w:tcPr>
          <w:p w14:paraId="3BC3DB60" w14:textId="77777777"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HL Karlova Studánka</w:t>
            </w:r>
          </w:p>
        </w:tc>
        <w:tc>
          <w:tcPr>
            <w:tcW w:w="557" w:type="pct"/>
            <w:gridSpan w:val="2"/>
            <w:tcBorders>
              <w:bottom w:val="single" w:sz="4" w:space="0" w:color="auto"/>
            </w:tcBorders>
            <w:noWrap/>
            <w:vAlign w:val="center"/>
          </w:tcPr>
          <w:p w14:paraId="63C3C0B3"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26,93</w:t>
            </w:r>
          </w:p>
        </w:tc>
        <w:tc>
          <w:tcPr>
            <w:tcW w:w="557" w:type="pct"/>
            <w:gridSpan w:val="2"/>
            <w:tcBorders>
              <w:bottom w:val="single" w:sz="4" w:space="0" w:color="auto"/>
            </w:tcBorders>
            <w:noWrap/>
            <w:vAlign w:val="center"/>
          </w:tcPr>
          <w:p w14:paraId="67C47029"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23,92</w:t>
            </w:r>
          </w:p>
        </w:tc>
        <w:tc>
          <w:tcPr>
            <w:tcW w:w="557" w:type="pct"/>
            <w:gridSpan w:val="2"/>
            <w:tcBorders>
              <w:bottom w:val="single" w:sz="4" w:space="0" w:color="auto"/>
            </w:tcBorders>
            <w:noWrap/>
            <w:vAlign w:val="center"/>
          </w:tcPr>
          <w:p w14:paraId="760FCCA1"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21,14</w:t>
            </w:r>
          </w:p>
        </w:tc>
        <w:tc>
          <w:tcPr>
            <w:tcW w:w="558" w:type="pct"/>
            <w:gridSpan w:val="2"/>
            <w:tcBorders>
              <w:bottom w:val="single" w:sz="4" w:space="0" w:color="auto"/>
            </w:tcBorders>
            <w:noWrap/>
            <w:vAlign w:val="center"/>
          </w:tcPr>
          <w:p w14:paraId="572A205E"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17,59</w:t>
            </w:r>
          </w:p>
        </w:tc>
        <w:tc>
          <w:tcPr>
            <w:tcW w:w="551" w:type="pct"/>
            <w:tcBorders>
              <w:bottom w:val="single" w:sz="4" w:space="0" w:color="auto"/>
            </w:tcBorders>
            <w:noWrap/>
            <w:vAlign w:val="center"/>
          </w:tcPr>
          <w:p w14:paraId="062894F0"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11,64</w:t>
            </w:r>
          </w:p>
        </w:tc>
      </w:tr>
      <w:tr w:rsidR="00C425F2" w:rsidRPr="00E7138D" w14:paraId="17811867" w14:textId="77777777" w:rsidTr="00D55F31">
        <w:trPr>
          <w:trHeight w:val="283"/>
          <w:jc w:val="center"/>
        </w:trPr>
        <w:tc>
          <w:tcPr>
            <w:tcW w:w="1185" w:type="pct"/>
            <w:vMerge/>
            <w:noWrap/>
            <w:vAlign w:val="center"/>
          </w:tcPr>
          <w:p w14:paraId="6AE5B04D" w14:textId="77777777" w:rsidR="00D55F31" w:rsidRPr="00E7138D" w:rsidRDefault="00D55F31" w:rsidP="0002290A">
            <w:pPr>
              <w:rPr>
                <w:rFonts w:ascii="Calibri" w:hAnsi="Calibri" w:cs="Calibri"/>
                <w:color w:val="000000"/>
                <w:sz w:val="18"/>
                <w:szCs w:val="18"/>
                <w:lang w:eastAsia="cs-CZ"/>
              </w:rPr>
            </w:pPr>
          </w:p>
        </w:tc>
        <w:tc>
          <w:tcPr>
            <w:tcW w:w="1035" w:type="pct"/>
            <w:tcBorders>
              <w:top w:val="single" w:sz="4" w:space="0" w:color="auto"/>
              <w:bottom w:val="single" w:sz="4" w:space="0" w:color="auto"/>
            </w:tcBorders>
            <w:vAlign w:val="center"/>
          </w:tcPr>
          <w:p w14:paraId="08A960EE" w14:textId="77777777"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SLL Bludov</w:t>
            </w:r>
          </w:p>
        </w:tc>
        <w:tc>
          <w:tcPr>
            <w:tcW w:w="557" w:type="pct"/>
            <w:gridSpan w:val="2"/>
            <w:tcBorders>
              <w:top w:val="single" w:sz="4" w:space="0" w:color="auto"/>
              <w:bottom w:val="single" w:sz="4" w:space="0" w:color="auto"/>
            </w:tcBorders>
            <w:noWrap/>
            <w:vAlign w:val="center"/>
          </w:tcPr>
          <w:p w14:paraId="64F82DC0"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26,33</w:t>
            </w:r>
          </w:p>
        </w:tc>
        <w:tc>
          <w:tcPr>
            <w:tcW w:w="557" w:type="pct"/>
            <w:gridSpan w:val="2"/>
            <w:tcBorders>
              <w:top w:val="single" w:sz="4" w:space="0" w:color="auto"/>
              <w:bottom w:val="single" w:sz="4" w:space="0" w:color="auto"/>
            </w:tcBorders>
            <w:noWrap/>
            <w:vAlign w:val="center"/>
          </w:tcPr>
          <w:p w14:paraId="20000DCC"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33,27</w:t>
            </w:r>
          </w:p>
        </w:tc>
        <w:tc>
          <w:tcPr>
            <w:tcW w:w="557" w:type="pct"/>
            <w:gridSpan w:val="2"/>
            <w:tcBorders>
              <w:top w:val="single" w:sz="4" w:space="0" w:color="auto"/>
              <w:bottom w:val="single" w:sz="4" w:space="0" w:color="auto"/>
            </w:tcBorders>
            <w:noWrap/>
            <w:vAlign w:val="center"/>
          </w:tcPr>
          <w:p w14:paraId="3D1E05EE"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42,86</w:t>
            </w:r>
          </w:p>
        </w:tc>
        <w:tc>
          <w:tcPr>
            <w:tcW w:w="558" w:type="pct"/>
            <w:gridSpan w:val="2"/>
            <w:tcBorders>
              <w:top w:val="single" w:sz="4" w:space="0" w:color="auto"/>
              <w:bottom w:val="single" w:sz="4" w:space="0" w:color="auto"/>
            </w:tcBorders>
            <w:noWrap/>
            <w:vAlign w:val="center"/>
          </w:tcPr>
          <w:p w14:paraId="43D6457D"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51,17</w:t>
            </w:r>
          </w:p>
        </w:tc>
        <w:tc>
          <w:tcPr>
            <w:tcW w:w="551" w:type="pct"/>
            <w:tcBorders>
              <w:top w:val="single" w:sz="4" w:space="0" w:color="auto"/>
              <w:bottom w:val="single" w:sz="4" w:space="0" w:color="auto"/>
            </w:tcBorders>
            <w:noWrap/>
            <w:vAlign w:val="center"/>
          </w:tcPr>
          <w:p w14:paraId="0E34B7F0"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8,29</w:t>
            </w:r>
          </w:p>
        </w:tc>
      </w:tr>
      <w:tr w:rsidR="00C425F2" w:rsidRPr="00E7138D" w14:paraId="0A82A288" w14:textId="77777777" w:rsidTr="00D55F31">
        <w:trPr>
          <w:trHeight w:val="283"/>
          <w:jc w:val="center"/>
        </w:trPr>
        <w:tc>
          <w:tcPr>
            <w:tcW w:w="1185" w:type="pct"/>
            <w:vMerge/>
            <w:tcBorders>
              <w:bottom w:val="single" w:sz="12" w:space="0" w:color="auto"/>
            </w:tcBorders>
            <w:noWrap/>
            <w:vAlign w:val="center"/>
          </w:tcPr>
          <w:p w14:paraId="4E91F352" w14:textId="77777777" w:rsidR="00D55F31" w:rsidRPr="00E7138D" w:rsidRDefault="00D55F31" w:rsidP="0002290A">
            <w:pPr>
              <w:rPr>
                <w:rFonts w:ascii="Calibri" w:hAnsi="Calibri" w:cs="Calibri"/>
                <w:color w:val="000000"/>
                <w:sz w:val="18"/>
                <w:szCs w:val="18"/>
                <w:lang w:eastAsia="cs-CZ"/>
              </w:rPr>
            </w:pPr>
          </w:p>
        </w:tc>
        <w:tc>
          <w:tcPr>
            <w:tcW w:w="1035" w:type="pct"/>
            <w:tcBorders>
              <w:top w:val="single" w:sz="4" w:space="0" w:color="auto"/>
              <w:bottom w:val="single" w:sz="12" w:space="0" w:color="auto"/>
            </w:tcBorders>
            <w:vAlign w:val="center"/>
          </w:tcPr>
          <w:p w14:paraId="50306AB4" w14:textId="662C806E"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BALMED</w:t>
            </w:r>
            <w:r w:rsidR="00826683">
              <w:rPr>
                <w:rFonts w:ascii="Calibri" w:hAnsi="Calibri" w:cs="Calibri"/>
                <w:i/>
                <w:color w:val="000000"/>
                <w:sz w:val="18"/>
                <w:szCs w:val="18"/>
              </w:rPr>
              <w:t xml:space="preserve"> Praha</w:t>
            </w:r>
          </w:p>
        </w:tc>
        <w:tc>
          <w:tcPr>
            <w:tcW w:w="557" w:type="pct"/>
            <w:gridSpan w:val="2"/>
            <w:tcBorders>
              <w:top w:val="single" w:sz="4" w:space="0" w:color="auto"/>
              <w:bottom w:val="single" w:sz="12" w:space="0" w:color="auto"/>
            </w:tcBorders>
            <w:noWrap/>
            <w:vAlign w:val="center"/>
          </w:tcPr>
          <w:p w14:paraId="6C7A5407"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rPr>
              <w:t>3,76</w:t>
            </w:r>
          </w:p>
        </w:tc>
        <w:tc>
          <w:tcPr>
            <w:tcW w:w="557" w:type="pct"/>
            <w:gridSpan w:val="2"/>
            <w:tcBorders>
              <w:top w:val="single" w:sz="4" w:space="0" w:color="auto"/>
              <w:bottom w:val="single" w:sz="12" w:space="0" w:color="auto"/>
            </w:tcBorders>
            <w:noWrap/>
            <w:vAlign w:val="center"/>
          </w:tcPr>
          <w:p w14:paraId="2BF68C2D"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rPr>
              <w:t>3,48</w:t>
            </w:r>
          </w:p>
        </w:tc>
        <w:tc>
          <w:tcPr>
            <w:tcW w:w="557" w:type="pct"/>
            <w:gridSpan w:val="2"/>
            <w:tcBorders>
              <w:top w:val="single" w:sz="4" w:space="0" w:color="auto"/>
              <w:bottom w:val="single" w:sz="12" w:space="0" w:color="auto"/>
            </w:tcBorders>
            <w:noWrap/>
            <w:vAlign w:val="center"/>
          </w:tcPr>
          <w:p w14:paraId="2C6C6919"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rPr>
              <w:t>2,97</w:t>
            </w:r>
          </w:p>
        </w:tc>
        <w:tc>
          <w:tcPr>
            <w:tcW w:w="558" w:type="pct"/>
            <w:gridSpan w:val="2"/>
            <w:tcBorders>
              <w:top w:val="single" w:sz="4" w:space="0" w:color="auto"/>
              <w:bottom w:val="single" w:sz="12" w:space="0" w:color="auto"/>
            </w:tcBorders>
            <w:noWrap/>
            <w:vAlign w:val="center"/>
          </w:tcPr>
          <w:p w14:paraId="5608BA40"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rPr>
              <w:t>3,79</w:t>
            </w:r>
          </w:p>
        </w:tc>
        <w:tc>
          <w:tcPr>
            <w:tcW w:w="551" w:type="pct"/>
            <w:tcBorders>
              <w:top w:val="single" w:sz="4" w:space="0" w:color="auto"/>
              <w:bottom w:val="single" w:sz="12" w:space="0" w:color="auto"/>
            </w:tcBorders>
            <w:noWrap/>
            <w:vAlign w:val="center"/>
          </w:tcPr>
          <w:p w14:paraId="27DDFEBF"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rPr>
              <w:t>3,07</w:t>
            </w:r>
          </w:p>
        </w:tc>
      </w:tr>
      <w:tr w:rsidR="00C425F2" w:rsidRPr="00E7138D" w14:paraId="706FE292" w14:textId="77777777" w:rsidTr="00D55F31">
        <w:trPr>
          <w:trHeight w:val="283"/>
          <w:jc w:val="center"/>
        </w:trPr>
        <w:tc>
          <w:tcPr>
            <w:tcW w:w="1185" w:type="pct"/>
            <w:vMerge w:val="restart"/>
            <w:tcBorders>
              <w:top w:val="single" w:sz="12" w:space="0" w:color="auto"/>
            </w:tcBorders>
            <w:noWrap/>
            <w:vAlign w:val="center"/>
          </w:tcPr>
          <w:p w14:paraId="50A1F746" w14:textId="77777777" w:rsidR="00D55F31" w:rsidRPr="00E7138D" w:rsidRDefault="0024693B" w:rsidP="0002290A">
            <w:pPr>
              <w:rPr>
                <w:rFonts w:ascii="Calibri" w:hAnsi="Calibri" w:cs="Calibri"/>
                <w:color w:val="000000"/>
                <w:sz w:val="18"/>
                <w:szCs w:val="18"/>
                <w:lang w:eastAsia="cs-CZ"/>
              </w:rPr>
            </w:pPr>
            <w:r w:rsidRPr="00E7138D">
              <w:rPr>
                <w:rFonts w:ascii="Calibri" w:hAnsi="Calibri" w:cs="Calibri"/>
                <w:color w:val="000000"/>
                <w:sz w:val="18"/>
                <w:szCs w:val="18"/>
                <w:lang w:eastAsia="cs-CZ"/>
              </w:rPr>
              <w:t>Běžná zadluženost</w:t>
            </w:r>
            <w:r w:rsidRPr="00E7138D">
              <w:rPr>
                <w:rFonts w:ascii="Calibri" w:hAnsi="Calibri" w:cs="Calibri"/>
                <w:color w:val="000000"/>
                <w:sz w:val="18"/>
                <w:szCs w:val="18"/>
                <w:vertAlign w:val="superscript"/>
                <w:lang w:eastAsia="cs-CZ"/>
              </w:rPr>
              <w:footnoteReference w:id="58"/>
            </w:r>
            <w:r w:rsidRPr="00E7138D">
              <w:rPr>
                <w:rFonts w:ascii="Calibri" w:hAnsi="Calibri" w:cs="Calibri"/>
                <w:color w:val="000000"/>
                <w:sz w:val="18"/>
                <w:szCs w:val="18"/>
                <w:lang w:eastAsia="cs-CZ"/>
              </w:rPr>
              <w:t xml:space="preserve"> (v %)</w:t>
            </w:r>
          </w:p>
        </w:tc>
        <w:tc>
          <w:tcPr>
            <w:tcW w:w="1035" w:type="pct"/>
            <w:tcBorders>
              <w:top w:val="single" w:sz="12" w:space="0" w:color="auto"/>
            </w:tcBorders>
            <w:vAlign w:val="center"/>
          </w:tcPr>
          <w:p w14:paraId="70981749" w14:textId="77777777"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SLL Janské Lázně</w:t>
            </w:r>
          </w:p>
        </w:tc>
        <w:tc>
          <w:tcPr>
            <w:tcW w:w="557" w:type="pct"/>
            <w:gridSpan w:val="2"/>
            <w:tcBorders>
              <w:top w:val="single" w:sz="12" w:space="0" w:color="auto"/>
            </w:tcBorders>
            <w:noWrap/>
            <w:vAlign w:val="center"/>
          </w:tcPr>
          <w:p w14:paraId="15C24A14"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4,20</w:t>
            </w:r>
          </w:p>
        </w:tc>
        <w:tc>
          <w:tcPr>
            <w:tcW w:w="557" w:type="pct"/>
            <w:gridSpan w:val="2"/>
            <w:tcBorders>
              <w:top w:val="single" w:sz="12" w:space="0" w:color="auto"/>
            </w:tcBorders>
            <w:noWrap/>
            <w:vAlign w:val="center"/>
          </w:tcPr>
          <w:p w14:paraId="59A08CCC"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4,04</w:t>
            </w:r>
          </w:p>
        </w:tc>
        <w:tc>
          <w:tcPr>
            <w:tcW w:w="557" w:type="pct"/>
            <w:gridSpan w:val="2"/>
            <w:tcBorders>
              <w:top w:val="single" w:sz="12" w:space="0" w:color="auto"/>
            </w:tcBorders>
            <w:noWrap/>
            <w:vAlign w:val="center"/>
          </w:tcPr>
          <w:p w14:paraId="7F465C66"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4,18</w:t>
            </w:r>
          </w:p>
        </w:tc>
        <w:tc>
          <w:tcPr>
            <w:tcW w:w="558" w:type="pct"/>
            <w:gridSpan w:val="2"/>
            <w:tcBorders>
              <w:top w:val="single" w:sz="12" w:space="0" w:color="auto"/>
            </w:tcBorders>
            <w:noWrap/>
            <w:vAlign w:val="center"/>
          </w:tcPr>
          <w:p w14:paraId="4953C3A5"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5,38</w:t>
            </w:r>
          </w:p>
        </w:tc>
        <w:tc>
          <w:tcPr>
            <w:tcW w:w="551" w:type="pct"/>
            <w:tcBorders>
              <w:top w:val="single" w:sz="12" w:space="0" w:color="auto"/>
            </w:tcBorders>
            <w:noWrap/>
            <w:vAlign w:val="center"/>
          </w:tcPr>
          <w:p w14:paraId="2D855DE5"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7,01</w:t>
            </w:r>
          </w:p>
        </w:tc>
      </w:tr>
      <w:tr w:rsidR="00C425F2" w:rsidRPr="00E7138D" w14:paraId="56E214E5" w14:textId="77777777" w:rsidTr="00D55F31">
        <w:trPr>
          <w:trHeight w:val="283"/>
          <w:jc w:val="center"/>
        </w:trPr>
        <w:tc>
          <w:tcPr>
            <w:tcW w:w="1185" w:type="pct"/>
            <w:vMerge/>
            <w:noWrap/>
            <w:vAlign w:val="center"/>
          </w:tcPr>
          <w:p w14:paraId="0F53E6B7" w14:textId="77777777" w:rsidR="00D55F31" w:rsidRPr="00E7138D" w:rsidRDefault="00D55F31" w:rsidP="0002290A">
            <w:pPr>
              <w:rPr>
                <w:rFonts w:ascii="Calibri" w:hAnsi="Calibri" w:cs="Calibri"/>
                <w:color w:val="000000"/>
                <w:sz w:val="18"/>
                <w:szCs w:val="18"/>
                <w:lang w:eastAsia="cs-CZ"/>
              </w:rPr>
            </w:pPr>
          </w:p>
        </w:tc>
        <w:tc>
          <w:tcPr>
            <w:tcW w:w="1035" w:type="pct"/>
            <w:tcBorders>
              <w:bottom w:val="single" w:sz="4" w:space="0" w:color="auto"/>
            </w:tcBorders>
            <w:vAlign w:val="center"/>
          </w:tcPr>
          <w:p w14:paraId="20C6AEB5" w14:textId="77777777"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HL Karlova Studánka</w:t>
            </w:r>
          </w:p>
        </w:tc>
        <w:tc>
          <w:tcPr>
            <w:tcW w:w="557" w:type="pct"/>
            <w:gridSpan w:val="2"/>
            <w:tcBorders>
              <w:bottom w:val="single" w:sz="4" w:space="0" w:color="auto"/>
            </w:tcBorders>
            <w:noWrap/>
            <w:vAlign w:val="center"/>
          </w:tcPr>
          <w:p w14:paraId="01292063"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14,12</w:t>
            </w:r>
          </w:p>
        </w:tc>
        <w:tc>
          <w:tcPr>
            <w:tcW w:w="557" w:type="pct"/>
            <w:gridSpan w:val="2"/>
            <w:tcBorders>
              <w:bottom w:val="single" w:sz="4" w:space="0" w:color="auto"/>
            </w:tcBorders>
            <w:noWrap/>
            <w:vAlign w:val="center"/>
          </w:tcPr>
          <w:p w14:paraId="21CC2625"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15,45</w:t>
            </w:r>
          </w:p>
        </w:tc>
        <w:tc>
          <w:tcPr>
            <w:tcW w:w="557" w:type="pct"/>
            <w:gridSpan w:val="2"/>
            <w:tcBorders>
              <w:bottom w:val="single" w:sz="4" w:space="0" w:color="auto"/>
            </w:tcBorders>
            <w:noWrap/>
            <w:vAlign w:val="center"/>
          </w:tcPr>
          <w:p w14:paraId="2FE02B6A"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14,57</w:t>
            </w:r>
          </w:p>
        </w:tc>
        <w:tc>
          <w:tcPr>
            <w:tcW w:w="558" w:type="pct"/>
            <w:gridSpan w:val="2"/>
            <w:tcBorders>
              <w:bottom w:val="single" w:sz="4" w:space="0" w:color="auto"/>
            </w:tcBorders>
            <w:noWrap/>
            <w:vAlign w:val="center"/>
          </w:tcPr>
          <w:p w14:paraId="45EE5BE9"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14,89</w:t>
            </w:r>
          </w:p>
        </w:tc>
        <w:tc>
          <w:tcPr>
            <w:tcW w:w="551" w:type="pct"/>
            <w:tcBorders>
              <w:bottom w:val="single" w:sz="4" w:space="0" w:color="auto"/>
            </w:tcBorders>
            <w:noWrap/>
            <w:vAlign w:val="center"/>
          </w:tcPr>
          <w:p w14:paraId="6448C608"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8,67</w:t>
            </w:r>
          </w:p>
        </w:tc>
      </w:tr>
      <w:tr w:rsidR="00C425F2" w:rsidRPr="00E7138D" w14:paraId="41C6E5FD" w14:textId="77777777" w:rsidTr="00D55F31">
        <w:trPr>
          <w:trHeight w:val="283"/>
          <w:jc w:val="center"/>
        </w:trPr>
        <w:tc>
          <w:tcPr>
            <w:tcW w:w="1185" w:type="pct"/>
            <w:vMerge/>
            <w:noWrap/>
            <w:vAlign w:val="center"/>
          </w:tcPr>
          <w:p w14:paraId="3A4875ED" w14:textId="77777777" w:rsidR="00D55F31" w:rsidRPr="00E7138D" w:rsidRDefault="00D55F31" w:rsidP="0002290A">
            <w:pPr>
              <w:rPr>
                <w:rFonts w:ascii="Calibri" w:hAnsi="Calibri" w:cs="Calibri"/>
                <w:color w:val="000000"/>
                <w:sz w:val="18"/>
                <w:szCs w:val="18"/>
                <w:lang w:eastAsia="cs-CZ"/>
              </w:rPr>
            </w:pPr>
          </w:p>
        </w:tc>
        <w:tc>
          <w:tcPr>
            <w:tcW w:w="1035" w:type="pct"/>
            <w:tcBorders>
              <w:top w:val="single" w:sz="4" w:space="0" w:color="auto"/>
              <w:bottom w:val="single" w:sz="4" w:space="0" w:color="auto"/>
            </w:tcBorders>
            <w:vAlign w:val="center"/>
          </w:tcPr>
          <w:p w14:paraId="08E0CBAF" w14:textId="77777777"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SLL Bludov</w:t>
            </w:r>
          </w:p>
        </w:tc>
        <w:tc>
          <w:tcPr>
            <w:tcW w:w="557" w:type="pct"/>
            <w:gridSpan w:val="2"/>
            <w:tcBorders>
              <w:top w:val="single" w:sz="4" w:space="0" w:color="auto"/>
              <w:bottom w:val="single" w:sz="4" w:space="0" w:color="auto"/>
            </w:tcBorders>
            <w:noWrap/>
            <w:vAlign w:val="center"/>
          </w:tcPr>
          <w:p w14:paraId="32F2B019"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26,33</w:t>
            </w:r>
          </w:p>
        </w:tc>
        <w:tc>
          <w:tcPr>
            <w:tcW w:w="557" w:type="pct"/>
            <w:gridSpan w:val="2"/>
            <w:tcBorders>
              <w:top w:val="single" w:sz="4" w:space="0" w:color="auto"/>
              <w:bottom w:val="single" w:sz="4" w:space="0" w:color="auto"/>
            </w:tcBorders>
            <w:noWrap/>
            <w:vAlign w:val="center"/>
          </w:tcPr>
          <w:p w14:paraId="235A796A"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33,27</w:t>
            </w:r>
          </w:p>
        </w:tc>
        <w:tc>
          <w:tcPr>
            <w:tcW w:w="557" w:type="pct"/>
            <w:gridSpan w:val="2"/>
            <w:tcBorders>
              <w:top w:val="single" w:sz="4" w:space="0" w:color="auto"/>
              <w:bottom w:val="single" w:sz="4" w:space="0" w:color="auto"/>
            </w:tcBorders>
            <w:noWrap/>
            <w:vAlign w:val="center"/>
          </w:tcPr>
          <w:p w14:paraId="60F0922D"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42,86</w:t>
            </w:r>
          </w:p>
        </w:tc>
        <w:tc>
          <w:tcPr>
            <w:tcW w:w="558" w:type="pct"/>
            <w:gridSpan w:val="2"/>
            <w:tcBorders>
              <w:top w:val="single" w:sz="4" w:space="0" w:color="auto"/>
              <w:bottom w:val="single" w:sz="4" w:space="0" w:color="auto"/>
            </w:tcBorders>
            <w:noWrap/>
            <w:vAlign w:val="center"/>
          </w:tcPr>
          <w:p w14:paraId="0824AACF"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51,17</w:t>
            </w:r>
          </w:p>
        </w:tc>
        <w:tc>
          <w:tcPr>
            <w:tcW w:w="551" w:type="pct"/>
            <w:tcBorders>
              <w:top w:val="single" w:sz="4" w:space="0" w:color="auto"/>
              <w:bottom w:val="single" w:sz="4" w:space="0" w:color="auto"/>
            </w:tcBorders>
            <w:noWrap/>
            <w:vAlign w:val="center"/>
          </w:tcPr>
          <w:p w14:paraId="01B96E3E"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8,29</w:t>
            </w:r>
          </w:p>
        </w:tc>
      </w:tr>
      <w:tr w:rsidR="00C425F2" w:rsidRPr="00E7138D" w14:paraId="4C10CBA6" w14:textId="77777777" w:rsidTr="00D55F31">
        <w:trPr>
          <w:trHeight w:val="283"/>
          <w:jc w:val="center"/>
        </w:trPr>
        <w:tc>
          <w:tcPr>
            <w:tcW w:w="1185" w:type="pct"/>
            <w:vMerge/>
            <w:tcBorders>
              <w:bottom w:val="single" w:sz="12" w:space="0" w:color="auto"/>
            </w:tcBorders>
            <w:noWrap/>
            <w:vAlign w:val="center"/>
          </w:tcPr>
          <w:p w14:paraId="0671EDDD" w14:textId="77777777" w:rsidR="00D55F31" w:rsidRPr="00E7138D" w:rsidRDefault="00D55F31" w:rsidP="0002290A">
            <w:pPr>
              <w:rPr>
                <w:rFonts w:ascii="Calibri" w:hAnsi="Calibri" w:cs="Calibri"/>
                <w:color w:val="000000"/>
                <w:sz w:val="18"/>
                <w:szCs w:val="18"/>
                <w:lang w:eastAsia="cs-CZ"/>
              </w:rPr>
            </w:pPr>
          </w:p>
        </w:tc>
        <w:tc>
          <w:tcPr>
            <w:tcW w:w="1035" w:type="pct"/>
            <w:tcBorders>
              <w:top w:val="single" w:sz="4" w:space="0" w:color="auto"/>
              <w:bottom w:val="single" w:sz="12" w:space="0" w:color="auto"/>
            </w:tcBorders>
            <w:vAlign w:val="center"/>
          </w:tcPr>
          <w:p w14:paraId="5BBEDE52" w14:textId="5447E89B"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BALMED</w:t>
            </w:r>
            <w:r w:rsidR="00826683">
              <w:rPr>
                <w:rFonts w:ascii="Calibri" w:hAnsi="Calibri" w:cs="Calibri"/>
                <w:i/>
                <w:color w:val="000000"/>
                <w:sz w:val="18"/>
                <w:szCs w:val="18"/>
              </w:rPr>
              <w:t xml:space="preserve"> Praha</w:t>
            </w:r>
          </w:p>
        </w:tc>
        <w:tc>
          <w:tcPr>
            <w:tcW w:w="557" w:type="pct"/>
            <w:gridSpan w:val="2"/>
            <w:tcBorders>
              <w:top w:val="single" w:sz="4" w:space="0" w:color="auto"/>
              <w:bottom w:val="single" w:sz="12" w:space="0" w:color="auto"/>
            </w:tcBorders>
            <w:noWrap/>
            <w:vAlign w:val="center"/>
          </w:tcPr>
          <w:p w14:paraId="4463E1FB"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rPr>
              <w:t>3,20</w:t>
            </w:r>
          </w:p>
        </w:tc>
        <w:tc>
          <w:tcPr>
            <w:tcW w:w="557" w:type="pct"/>
            <w:gridSpan w:val="2"/>
            <w:tcBorders>
              <w:top w:val="single" w:sz="4" w:space="0" w:color="auto"/>
              <w:bottom w:val="single" w:sz="12" w:space="0" w:color="auto"/>
            </w:tcBorders>
            <w:noWrap/>
            <w:vAlign w:val="center"/>
          </w:tcPr>
          <w:p w14:paraId="46E12D21"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rPr>
              <w:t>2,83</w:t>
            </w:r>
          </w:p>
        </w:tc>
        <w:tc>
          <w:tcPr>
            <w:tcW w:w="557" w:type="pct"/>
            <w:gridSpan w:val="2"/>
            <w:tcBorders>
              <w:top w:val="single" w:sz="4" w:space="0" w:color="auto"/>
              <w:bottom w:val="single" w:sz="12" w:space="0" w:color="auto"/>
            </w:tcBorders>
            <w:noWrap/>
            <w:vAlign w:val="center"/>
          </w:tcPr>
          <w:p w14:paraId="478D27C0"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rPr>
              <w:t>2,42</w:t>
            </w:r>
          </w:p>
        </w:tc>
        <w:tc>
          <w:tcPr>
            <w:tcW w:w="558" w:type="pct"/>
            <w:gridSpan w:val="2"/>
            <w:tcBorders>
              <w:top w:val="single" w:sz="4" w:space="0" w:color="auto"/>
              <w:bottom w:val="single" w:sz="12" w:space="0" w:color="auto"/>
            </w:tcBorders>
            <w:noWrap/>
            <w:vAlign w:val="center"/>
          </w:tcPr>
          <w:p w14:paraId="0D3AC5A6"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rPr>
              <w:t>2,34</w:t>
            </w:r>
          </w:p>
        </w:tc>
        <w:tc>
          <w:tcPr>
            <w:tcW w:w="551" w:type="pct"/>
            <w:tcBorders>
              <w:top w:val="single" w:sz="4" w:space="0" w:color="auto"/>
              <w:bottom w:val="single" w:sz="12" w:space="0" w:color="auto"/>
            </w:tcBorders>
            <w:noWrap/>
            <w:vAlign w:val="center"/>
          </w:tcPr>
          <w:p w14:paraId="22BD1D11"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rPr>
              <w:t>2,30</w:t>
            </w:r>
          </w:p>
        </w:tc>
      </w:tr>
      <w:tr w:rsidR="00C425F2" w:rsidRPr="00E7138D" w14:paraId="3778C55E" w14:textId="77777777" w:rsidTr="00D55F31">
        <w:trPr>
          <w:trHeight w:val="283"/>
          <w:jc w:val="center"/>
        </w:trPr>
        <w:tc>
          <w:tcPr>
            <w:tcW w:w="1185" w:type="pct"/>
            <w:vMerge w:val="restart"/>
            <w:tcBorders>
              <w:top w:val="single" w:sz="12" w:space="0" w:color="auto"/>
            </w:tcBorders>
            <w:noWrap/>
            <w:vAlign w:val="center"/>
          </w:tcPr>
          <w:p w14:paraId="3B617B2B" w14:textId="77777777" w:rsidR="00D55F31" w:rsidRPr="00E7138D" w:rsidRDefault="0024693B" w:rsidP="0002290A">
            <w:pPr>
              <w:rPr>
                <w:rFonts w:ascii="Calibri" w:hAnsi="Calibri" w:cs="Calibri"/>
                <w:color w:val="000000"/>
                <w:sz w:val="18"/>
                <w:szCs w:val="18"/>
                <w:lang w:eastAsia="cs-CZ"/>
              </w:rPr>
            </w:pPr>
            <w:r w:rsidRPr="00E7138D">
              <w:rPr>
                <w:rFonts w:ascii="Calibri" w:hAnsi="Calibri" w:cs="Calibri"/>
                <w:color w:val="000000"/>
                <w:sz w:val="18"/>
                <w:szCs w:val="18"/>
                <w:lang w:eastAsia="cs-CZ"/>
              </w:rPr>
              <w:t>Dlouhodobá zadluženost</w:t>
            </w:r>
            <w:r w:rsidRPr="00E7138D">
              <w:rPr>
                <w:rFonts w:ascii="Calibri" w:hAnsi="Calibri" w:cs="Calibri"/>
                <w:color w:val="000000"/>
                <w:sz w:val="18"/>
                <w:szCs w:val="18"/>
                <w:vertAlign w:val="superscript"/>
                <w:lang w:eastAsia="cs-CZ"/>
              </w:rPr>
              <w:footnoteReference w:id="59"/>
            </w:r>
            <w:r w:rsidRPr="00E7138D">
              <w:rPr>
                <w:rFonts w:ascii="Calibri" w:hAnsi="Calibri" w:cs="Calibri"/>
                <w:color w:val="000000"/>
                <w:sz w:val="18"/>
                <w:szCs w:val="18"/>
                <w:lang w:eastAsia="cs-CZ"/>
              </w:rPr>
              <w:t xml:space="preserve"> (v %)</w:t>
            </w:r>
          </w:p>
        </w:tc>
        <w:tc>
          <w:tcPr>
            <w:tcW w:w="1035" w:type="pct"/>
            <w:tcBorders>
              <w:top w:val="single" w:sz="12" w:space="0" w:color="auto"/>
            </w:tcBorders>
            <w:vAlign w:val="center"/>
          </w:tcPr>
          <w:p w14:paraId="25BEEEA0" w14:textId="77777777"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SLL Janské Lázně</w:t>
            </w:r>
          </w:p>
        </w:tc>
        <w:tc>
          <w:tcPr>
            <w:tcW w:w="557" w:type="pct"/>
            <w:gridSpan w:val="2"/>
            <w:tcBorders>
              <w:top w:val="single" w:sz="12" w:space="0" w:color="auto"/>
            </w:tcBorders>
            <w:noWrap/>
            <w:vAlign w:val="center"/>
          </w:tcPr>
          <w:p w14:paraId="28D526F9"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0,41</w:t>
            </w:r>
          </w:p>
        </w:tc>
        <w:tc>
          <w:tcPr>
            <w:tcW w:w="557" w:type="pct"/>
            <w:gridSpan w:val="2"/>
            <w:tcBorders>
              <w:top w:val="single" w:sz="12" w:space="0" w:color="auto"/>
            </w:tcBorders>
            <w:noWrap/>
            <w:vAlign w:val="center"/>
          </w:tcPr>
          <w:p w14:paraId="1444F6CD"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0,58</w:t>
            </w:r>
          </w:p>
        </w:tc>
        <w:tc>
          <w:tcPr>
            <w:tcW w:w="557" w:type="pct"/>
            <w:gridSpan w:val="2"/>
            <w:tcBorders>
              <w:top w:val="single" w:sz="12" w:space="0" w:color="auto"/>
            </w:tcBorders>
            <w:noWrap/>
            <w:vAlign w:val="center"/>
          </w:tcPr>
          <w:p w14:paraId="34BCCFDE"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0,49</w:t>
            </w:r>
          </w:p>
        </w:tc>
        <w:tc>
          <w:tcPr>
            <w:tcW w:w="558" w:type="pct"/>
            <w:gridSpan w:val="2"/>
            <w:tcBorders>
              <w:top w:val="single" w:sz="12" w:space="0" w:color="auto"/>
            </w:tcBorders>
            <w:noWrap/>
            <w:vAlign w:val="center"/>
          </w:tcPr>
          <w:p w14:paraId="4A7F56BB"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0,49</w:t>
            </w:r>
          </w:p>
        </w:tc>
        <w:tc>
          <w:tcPr>
            <w:tcW w:w="551" w:type="pct"/>
            <w:tcBorders>
              <w:top w:val="single" w:sz="12" w:space="0" w:color="auto"/>
            </w:tcBorders>
            <w:noWrap/>
            <w:vAlign w:val="center"/>
          </w:tcPr>
          <w:p w14:paraId="122F3108"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0,47</w:t>
            </w:r>
          </w:p>
        </w:tc>
      </w:tr>
      <w:tr w:rsidR="00C425F2" w:rsidRPr="00E7138D" w14:paraId="17048852" w14:textId="77777777" w:rsidTr="00D55F31">
        <w:trPr>
          <w:trHeight w:val="283"/>
          <w:jc w:val="center"/>
        </w:trPr>
        <w:tc>
          <w:tcPr>
            <w:tcW w:w="1185" w:type="pct"/>
            <w:vMerge/>
            <w:tcBorders>
              <w:bottom w:val="single" w:sz="12" w:space="0" w:color="auto"/>
            </w:tcBorders>
            <w:noWrap/>
            <w:vAlign w:val="center"/>
          </w:tcPr>
          <w:p w14:paraId="2F38693D" w14:textId="77777777" w:rsidR="00D55F31" w:rsidRPr="00E7138D" w:rsidRDefault="00D55F31" w:rsidP="0002290A">
            <w:pPr>
              <w:rPr>
                <w:rFonts w:ascii="Calibri" w:hAnsi="Calibri" w:cs="Calibri"/>
                <w:color w:val="000000"/>
                <w:sz w:val="18"/>
                <w:szCs w:val="18"/>
                <w:lang w:eastAsia="cs-CZ"/>
              </w:rPr>
            </w:pPr>
          </w:p>
        </w:tc>
        <w:tc>
          <w:tcPr>
            <w:tcW w:w="1035" w:type="pct"/>
            <w:tcBorders>
              <w:bottom w:val="single" w:sz="4" w:space="0" w:color="auto"/>
            </w:tcBorders>
            <w:vAlign w:val="center"/>
          </w:tcPr>
          <w:p w14:paraId="222A0495" w14:textId="77777777"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HL Karlova Studánka</w:t>
            </w:r>
          </w:p>
        </w:tc>
        <w:tc>
          <w:tcPr>
            <w:tcW w:w="557" w:type="pct"/>
            <w:gridSpan w:val="2"/>
            <w:tcBorders>
              <w:bottom w:val="single" w:sz="4" w:space="0" w:color="auto"/>
            </w:tcBorders>
            <w:noWrap/>
            <w:vAlign w:val="center"/>
          </w:tcPr>
          <w:p w14:paraId="40FE7D2E"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12,82</w:t>
            </w:r>
          </w:p>
        </w:tc>
        <w:tc>
          <w:tcPr>
            <w:tcW w:w="557" w:type="pct"/>
            <w:gridSpan w:val="2"/>
            <w:tcBorders>
              <w:bottom w:val="single" w:sz="4" w:space="0" w:color="auto"/>
            </w:tcBorders>
            <w:noWrap/>
            <w:vAlign w:val="center"/>
          </w:tcPr>
          <w:p w14:paraId="7E151843"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8,46</w:t>
            </w:r>
          </w:p>
        </w:tc>
        <w:tc>
          <w:tcPr>
            <w:tcW w:w="557" w:type="pct"/>
            <w:gridSpan w:val="2"/>
            <w:tcBorders>
              <w:bottom w:val="single" w:sz="4" w:space="0" w:color="auto"/>
            </w:tcBorders>
            <w:noWrap/>
            <w:vAlign w:val="center"/>
          </w:tcPr>
          <w:p w14:paraId="0A50B848"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6,57</w:t>
            </w:r>
          </w:p>
        </w:tc>
        <w:tc>
          <w:tcPr>
            <w:tcW w:w="558" w:type="pct"/>
            <w:gridSpan w:val="2"/>
            <w:tcBorders>
              <w:bottom w:val="single" w:sz="4" w:space="0" w:color="auto"/>
            </w:tcBorders>
            <w:noWrap/>
            <w:vAlign w:val="center"/>
          </w:tcPr>
          <w:p w14:paraId="55BA5209"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2,70</w:t>
            </w:r>
          </w:p>
        </w:tc>
        <w:tc>
          <w:tcPr>
            <w:tcW w:w="551" w:type="pct"/>
            <w:tcBorders>
              <w:bottom w:val="single" w:sz="4" w:space="0" w:color="auto"/>
            </w:tcBorders>
            <w:noWrap/>
            <w:vAlign w:val="center"/>
          </w:tcPr>
          <w:p w14:paraId="67E9FFBB"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2,97</w:t>
            </w:r>
          </w:p>
        </w:tc>
      </w:tr>
      <w:tr w:rsidR="00C425F2" w:rsidRPr="00E7138D" w14:paraId="31E87FFD" w14:textId="77777777" w:rsidTr="00D55F31">
        <w:trPr>
          <w:trHeight w:val="283"/>
          <w:jc w:val="center"/>
        </w:trPr>
        <w:tc>
          <w:tcPr>
            <w:tcW w:w="1185" w:type="pct"/>
            <w:vMerge/>
            <w:tcBorders>
              <w:bottom w:val="single" w:sz="12" w:space="0" w:color="auto"/>
            </w:tcBorders>
            <w:noWrap/>
            <w:vAlign w:val="center"/>
          </w:tcPr>
          <w:p w14:paraId="23EE6E09" w14:textId="77777777" w:rsidR="00D55F31" w:rsidRPr="00E7138D" w:rsidRDefault="00D55F31" w:rsidP="0002290A">
            <w:pPr>
              <w:rPr>
                <w:rFonts w:ascii="Calibri" w:hAnsi="Calibri" w:cs="Calibri"/>
                <w:color w:val="000000"/>
                <w:sz w:val="18"/>
                <w:szCs w:val="18"/>
                <w:lang w:eastAsia="cs-CZ"/>
              </w:rPr>
            </w:pPr>
          </w:p>
        </w:tc>
        <w:tc>
          <w:tcPr>
            <w:tcW w:w="1035" w:type="pct"/>
            <w:tcBorders>
              <w:top w:val="single" w:sz="4" w:space="0" w:color="auto"/>
              <w:bottom w:val="single" w:sz="4" w:space="0" w:color="auto"/>
            </w:tcBorders>
            <w:vAlign w:val="center"/>
          </w:tcPr>
          <w:p w14:paraId="0D00043F" w14:textId="77777777"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SLL Bludov</w:t>
            </w:r>
          </w:p>
        </w:tc>
        <w:tc>
          <w:tcPr>
            <w:tcW w:w="557" w:type="pct"/>
            <w:gridSpan w:val="2"/>
            <w:tcBorders>
              <w:top w:val="single" w:sz="4" w:space="0" w:color="auto"/>
              <w:bottom w:val="single" w:sz="4" w:space="0" w:color="auto"/>
            </w:tcBorders>
            <w:noWrap/>
            <w:vAlign w:val="center"/>
          </w:tcPr>
          <w:p w14:paraId="54AFA879"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0,00</w:t>
            </w:r>
          </w:p>
        </w:tc>
        <w:tc>
          <w:tcPr>
            <w:tcW w:w="557" w:type="pct"/>
            <w:gridSpan w:val="2"/>
            <w:tcBorders>
              <w:top w:val="single" w:sz="4" w:space="0" w:color="auto"/>
              <w:bottom w:val="single" w:sz="4" w:space="0" w:color="auto"/>
            </w:tcBorders>
            <w:noWrap/>
            <w:vAlign w:val="center"/>
          </w:tcPr>
          <w:p w14:paraId="71DEFDA6"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0,00</w:t>
            </w:r>
          </w:p>
        </w:tc>
        <w:tc>
          <w:tcPr>
            <w:tcW w:w="557" w:type="pct"/>
            <w:gridSpan w:val="2"/>
            <w:tcBorders>
              <w:top w:val="single" w:sz="4" w:space="0" w:color="auto"/>
              <w:bottom w:val="single" w:sz="4" w:space="0" w:color="auto"/>
            </w:tcBorders>
            <w:noWrap/>
            <w:vAlign w:val="center"/>
          </w:tcPr>
          <w:p w14:paraId="12B5C564"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0,00</w:t>
            </w:r>
          </w:p>
        </w:tc>
        <w:tc>
          <w:tcPr>
            <w:tcW w:w="558" w:type="pct"/>
            <w:gridSpan w:val="2"/>
            <w:tcBorders>
              <w:top w:val="single" w:sz="4" w:space="0" w:color="auto"/>
              <w:bottom w:val="single" w:sz="4" w:space="0" w:color="auto"/>
            </w:tcBorders>
            <w:noWrap/>
            <w:vAlign w:val="center"/>
          </w:tcPr>
          <w:p w14:paraId="62623902"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0,00</w:t>
            </w:r>
          </w:p>
        </w:tc>
        <w:tc>
          <w:tcPr>
            <w:tcW w:w="551" w:type="pct"/>
            <w:tcBorders>
              <w:top w:val="single" w:sz="4" w:space="0" w:color="auto"/>
              <w:bottom w:val="single" w:sz="4" w:space="0" w:color="auto"/>
            </w:tcBorders>
            <w:noWrap/>
            <w:vAlign w:val="center"/>
          </w:tcPr>
          <w:p w14:paraId="6D31FDF5"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0,00</w:t>
            </w:r>
          </w:p>
        </w:tc>
      </w:tr>
      <w:tr w:rsidR="00C425F2" w:rsidRPr="00E7138D" w14:paraId="09D5F7EA" w14:textId="77777777" w:rsidTr="00D55F31">
        <w:trPr>
          <w:trHeight w:val="283"/>
          <w:jc w:val="center"/>
        </w:trPr>
        <w:tc>
          <w:tcPr>
            <w:tcW w:w="1185" w:type="pct"/>
            <w:vMerge/>
            <w:tcBorders>
              <w:bottom w:val="single" w:sz="12" w:space="0" w:color="auto"/>
            </w:tcBorders>
            <w:noWrap/>
            <w:vAlign w:val="center"/>
          </w:tcPr>
          <w:p w14:paraId="3F82DA9C" w14:textId="77777777" w:rsidR="00D55F31" w:rsidRPr="00E7138D" w:rsidRDefault="00D55F31" w:rsidP="0002290A">
            <w:pPr>
              <w:rPr>
                <w:rFonts w:ascii="Calibri" w:hAnsi="Calibri" w:cs="Calibri"/>
                <w:color w:val="000000"/>
                <w:sz w:val="18"/>
                <w:szCs w:val="18"/>
                <w:lang w:eastAsia="cs-CZ"/>
              </w:rPr>
            </w:pPr>
          </w:p>
        </w:tc>
        <w:tc>
          <w:tcPr>
            <w:tcW w:w="1035" w:type="pct"/>
            <w:tcBorders>
              <w:top w:val="single" w:sz="4" w:space="0" w:color="auto"/>
              <w:bottom w:val="single" w:sz="12" w:space="0" w:color="auto"/>
            </w:tcBorders>
            <w:vAlign w:val="center"/>
          </w:tcPr>
          <w:p w14:paraId="1A097A60" w14:textId="65B36AAF"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BALMED</w:t>
            </w:r>
            <w:r w:rsidR="00826683">
              <w:rPr>
                <w:rFonts w:ascii="Calibri" w:hAnsi="Calibri" w:cs="Calibri"/>
                <w:i/>
                <w:color w:val="000000"/>
                <w:sz w:val="18"/>
                <w:szCs w:val="18"/>
              </w:rPr>
              <w:t xml:space="preserve"> Praha</w:t>
            </w:r>
          </w:p>
        </w:tc>
        <w:tc>
          <w:tcPr>
            <w:tcW w:w="557" w:type="pct"/>
            <w:gridSpan w:val="2"/>
            <w:tcBorders>
              <w:top w:val="single" w:sz="4" w:space="0" w:color="auto"/>
              <w:bottom w:val="single" w:sz="12" w:space="0" w:color="auto"/>
            </w:tcBorders>
            <w:noWrap/>
            <w:vAlign w:val="center"/>
          </w:tcPr>
          <w:p w14:paraId="78A87755"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rPr>
              <w:t>0,56</w:t>
            </w:r>
          </w:p>
        </w:tc>
        <w:tc>
          <w:tcPr>
            <w:tcW w:w="557" w:type="pct"/>
            <w:gridSpan w:val="2"/>
            <w:tcBorders>
              <w:top w:val="single" w:sz="4" w:space="0" w:color="auto"/>
              <w:bottom w:val="single" w:sz="12" w:space="0" w:color="auto"/>
            </w:tcBorders>
            <w:noWrap/>
            <w:vAlign w:val="center"/>
          </w:tcPr>
          <w:p w14:paraId="71F6FC80"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rPr>
              <w:t>0,65</w:t>
            </w:r>
          </w:p>
        </w:tc>
        <w:tc>
          <w:tcPr>
            <w:tcW w:w="557" w:type="pct"/>
            <w:gridSpan w:val="2"/>
            <w:tcBorders>
              <w:top w:val="single" w:sz="4" w:space="0" w:color="auto"/>
              <w:bottom w:val="single" w:sz="12" w:space="0" w:color="auto"/>
            </w:tcBorders>
            <w:noWrap/>
            <w:vAlign w:val="center"/>
          </w:tcPr>
          <w:p w14:paraId="2B41A7D2"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rPr>
              <w:t>0,55</w:t>
            </w:r>
          </w:p>
        </w:tc>
        <w:tc>
          <w:tcPr>
            <w:tcW w:w="558" w:type="pct"/>
            <w:gridSpan w:val="2"/>
            <w:tcBorders>
              <w:top w:val="single" w:sz="4" w:space="0" w:color="auto"/>
              <w:bottom w:val="single" w:sz="12" w:space="0" w:color="auto"/>
            </w:tcBorders>
            <w:noWrap/>
            <w:vAlign w:val="center"/>
          </w:tcPr>
          <w:p w14:paraId="10CFFDBB"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rPr>
              <w:t>1,46</w:t>
            </w:r>
          </w:p>
        </w:tc>
        <w:tc>
          <w:tcPr>
            <w:tcW w:w="551" w:type="pct"/>
            <w:tcBorders>
              <w:top w:val="single" w:sz="4" w:space="0" w:color="auto"/>
              <w:bottom w:val="single" w:sz="12" w:space="0" w:color="auto"/>
            </w:tcBorders>
            <w:noWrap/>
            <w:vAlign w:val="center"/>
          </w:tcPr>
          <w:p w14:paraId="1645ABA1"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rPr>
              <w:t>0,76</w:t>
            </w:r>
          </w:p>
        </w:tc>
      </w:tr>
      <w:tr w:rsidR="00C425F2" w:rsidRPr="00E7138D" w14:paraId="69C16703" w14:textId="77777777" w:rsidTr="00D55F31">
        <w:trPr>
          <w:trHeight w:val="50"/>
          <w:jc w:val="center"/>
        </w:trPr>
        <w:tc>
          <w:tcPr>
            <w:tcW w:w="1185" w:type="pct"/>
            <w:tcBorders>
              <w:top w:val="single" w:sz="12" w:space="0" w:color="auto"/>
              <w:left w:val="nil"/>
              <w:bottom w:val="nil"/>
              <w:right w:val="nil"/>
            </w:tcBorders>
            <w:noWrap/>
            <w:vAlign w:val="center"/>
          </w:tcPr>
          <w:p w14:paraId="709476DD" w14:textId="77777777" w:rsidR="00D55F31" w:rsidRPr="00E7138D" w:rsidRDefault="00D55F31" w:rsidP="0002290A">
            <w:pPr>
              <w:rPr>
                <w:rFonts w:ascii="Calibri" w:hAnsi="Calibri" w:cs="Calibri"/>
                <w:color w:val="000000"/>
                <w:sz w:val="18"/>
                <w:szCs w:val="18"/>
                <w:lang w:eastAsia="cs-CZ"/>
              </w:rPr>
            </w:pPr>
          </w:p>
          <w:p w14:paraId="0AA0F898" w14:textId="77777777" w:rsidR="00D55F31" w:rsidRPr="00E7138D" w:rsidRDefault="00D55F31" w:rsidP="0002290A">
            <w:pPr>
              <w:rPr>
                <w:rFonts w:ascii="Calibri" w:hAnsi="Calibri" w:cs="Calibri"/>
                <w:color w:val="000000"/>
                <w:sz w:val="18"/>
                <w:szCs w:val="18"/>
                <w:lang w:eastAsia="cs-CZ"/>
              </w:rPr>
            </w:pPr>
          </w:p>
        </w:tc>
        <w:tc>
          <w:tcPr>
            <w:tcW w:w="1035" w:type="pct"/>
            <w:tcBorders>
              <w:top w:val="single" w:sz="12" w:space="0" w:color="auto"/>
              <w:left w:val="nil"/>
              <w:bottom w:val="nil"/>
              <w:right w:val="nil"/>
            </w:tcBorders>
            <w:vAlign w:val="center"/>
          </w:tcPr>
          <w:p w14:paraId="5C6D9FE1" w14:textId="77777777" w:rsidR="00D55F31" w:rsidRPr="00E7138D" w:rsidRDefault="00D55F31" w:rsidP="0002290A">
            <w:pPr>
              <w:ind w:right="64" w:hanging="11"/>
              <w:jc w:val="center"/>
              <w:rPr>
                <w:rFonts w:ascii="Calibri" w:hAnsi="Calibri" w:cs="Calibri"/>
                <w:i/>
                <w:color w:val="000000"/>
                <w:sz w:val="18"/>
                <w:szCs w:val="18"/>
              </w:rPr>
            </w:pPr>
          </w:p>
        </w:tc>
        <w:tc>
          <w:tcPr>
            <w:tcW w:w="475" w:type="pct"/>
            <w:tcBorders>
              <w:top w:val="single" w:sz="12" w:space="0" w:color="auto"/>
              <w:left w:val="nil"/>
              <w:bottom w:val="nil"/>
              <w:right w:val="nil"/>
            </w:tcBorders>
            <w:noWrap/>
            <w:vAlign w:val="center"/>
          </w:tcPr>
          <w:p w14:paraId="749B7192" w14:textId="77777777" w:rsidR="00D55F31" w:rsidRPr="00E7138D" w:rsidRDefault="00D55F31" w:rsidP="0002290A">
            <w:pPr>
              <w:jc w:val="right"/>
              <w:rPr>
                <w:rFonts w:ascii="Calibri" w:hAnsi="Calibri" w:cs="Calibri"/>
                <w:color w:val="000000"/>
                <w:sz w:val="18"/>
                <w:szCs w:val="18"/>
                <w:lang w:eastAsia="cs-CZ"/>
              </w:rPr>
            </w:pPr>
          </w:p>
        </w:tc>
        <w:tc>
          <w:tcPr>
            <w:tcW w:w="578" w:type="pct"/>
            <w:gridSpan w:val="2"/>
            <w:tcBorders>
              <w:top w:val="single" w:sz="12" w:space="0" w:color="auto"/>
              <w:left w:val="nil"/>
              <w:bottom w:val="nil"/>
              <w:right w:val="nil"/>
            </w:tcBorders>
            <w:noWrap/>
            <w:vAlign w:val="center"/>
          </w:tcPr>
          <w:p w14:paraId="0A60F164" w14:textId="77777777" w:rsidR="00D55F31" w:rsidRPr="00E7138D" w:rsidRDefault="00D55F31" w:rsidP="0002290A">
            <w:pPr>
              <w:jc w:val="right"/>
              <w:rPr>
                <w:rFonts w:ascii="Calibri" w:hAnsi="Calibri" w:cs="Calibri"/>
                <w:color w:val="000000"/>
                <w:sz w:val="18"/>
                <w:szCs w:val="18"/>
                <w:lang w:eastAsia="cs-CZ"/>
              </w:rPr>
            </w:pPr>
          </w:p>
        </w:tc>
        <w:tc>
          <w:tcPr>
            <w:tcW w:w="578" w:type="pct"/>
            <w:gridSpan w:val="2"/>
            <w:tcBorders>
              <w:top w:val="single" w:sz="12" w:space="0" w:color="auto"/>
              <w:left w:val="nil"/>
              <w:bottom w:val="nil"/>
              <w:right w:val="nil"/>
            </w:tcBorders>
            <w:noWrap/>
            <w:vAlign w:val="center"/>
          </w:tcPr>
          <w:p w14:paraId="44194CD7" w14:textId="77777777" w:rsidR="00D55F31" w:rsidRPr="00E7138D" w:rsidRDefault="00D55F31" w:rsidP="0002290A">
            <w:pPr>
              <w:jc w:val="right"/>
              <w:rPr>
                <w:rFonts w:ascii="Calibri" w:hAnsi="Calibri" w:cs="Calibri"/>
                <w:color w:val="000000"/>
                <w:sz w:val="18"/>
                <w:szCs w:val="18"/>
                <w:lang w:eastAsia="cs-CZ"/>
              </w:rPr>
            </w:pPr>
          </w:p>
        </w:tc>
        <w:tc>
          <w:tcPr>
            <w:tcW w:w="578" w:type="pct"/>
            <w:gridSpan w:val="2"/>
            <w:tcBorders>
              <w:top w:val="single" w:sz="12" w:space="0" w:color="auto"/>
              <w:left w:val="nil"/>
              <w:bottom w:val="nil"/>
              <w:right w:val="nil"/>
            </w:tcBorders>
            <w:noWrap/>
            <w:vAlign w:val="center"/>
          </w:tcPr>
          <w:p w14:paraId="19A5A0D6" w14:textId="77777777" w:rsidR="00D55F31" w:rsidRPr="00E7138D" w:rsidRDefault="00D55F31" w:rsidP="0002290A">
            <w:pPr>
              <w:jc w:val="right"/>
              <w:rPr>
                <w:rFonts w:ascii="Calibri" w:hAnsi="Calibri" w:cs="Calibri"/>
                <w:color w:val="000000"/>
                <w:sz w:val="18"/>
                <w:szCs w:val="18"/>
                <w:lang w:eastAsia="cs-CZ"/>
              </w:rPr>
            </w:pPr>
          </w:p>
        </w:tc>
        <w:tc>
          <w:tcPr>
            <w:tcW w:w="571" w:type="pct"/>
            <w:gridSpan w:val="2"/>
            <w:tcBorders>
              <w:top w:val="single" w:sz="12" w:space="0" w:color="auto"/>
              <w:left w:val="nil"/>
              <w:bottom w:val="nil"/>
              <w:right w:val="nil"/>
            </w:tcBorders>
            <w:noWrap/>
            <w:vAlign w:val="center"/>
          </w:tcPr>
          <w:p w14:paraId="0217E539" w14:textId="77777777" w:rsidR="00D55F31" w:rsidRPr="00E7138D" w:rsidRDefault="00D55F31" w:rsidP="0002290A">
            <w:pPr>
              <w:jc w:val="right"/>
              <w:rPr>
                <w:rFonts w:ascii="Calibri" w:hAnsi="Calibri" w:cs="Calibri"/>
                <w:color w:val="000000"/>
                <w:sz w:val="18"/>
                <w:szCs w:val="18"/>
                <w:lang w:eastAsia="cs-CZ"/>
              </w:rPr>
            </w:pPr>
          </w:p>
        </w:tc>
      </w:tr>
      <w:tr w:rsidR="00C425F2" w:rsidRPr="00E7138D" w14:paraId="3C7940B7" w14:textId="77777777" w:rsidTr="00D55F31">
        <w:trPr>
          <w:trHeight w:val="80"/>
          <w:jc w:val="center"/>
        </w:trPr>
        <w:tc>
          <w:tcPr>
            <w:tcW w:w="1185" w:type="pct"/>
            <w:tcBorders>
              <w:top w:val="nil"/>
              <w:left w:val="nil"/>
              <w:bottom w:val="single" w:sz="12" w:space="0" w:color="auto"/>
              <w:right w:val="nil"/>
            </w:tcBorders>
            <w:noWrap/>
            <w:vAlign w:val="center"/>
          </w:tcPr>
          <w:p w14:paraId="3B99DDD8" w14:textId="77777777" w:rsidR="00D55F31" w:rsidRPr="00E7138D" w:rsidRDefault="00D55F31" w:rsidP="0002290A">
            <w:pPr>
              <w:rPr>
                <w:rFonts w:ascii="Calibri" w:hAnsi="Calibri" w:cs="Calibri"/>
                <w:color w:val="000000"/>
                <w:sz w:val="18"/>
                <w:szCs w:val="18"/>
                <w:lang w:eastAsia="cs-CZ"/>
              </w:rPr>
            </w:pPr>
          </w:p>
        </w:tc>
        <w:tc>
          <w:tcPr>
            <w:tcW w:w="1035" w:type="pct"/>
            <w:tcBorders>
              <w:top w:val="nil"/>
              <w:left w:val="nil"/>
              <w:bottom w:val="single" w:sz="12" w:space="0" w:color="auto"/>
              <w:right w:val="nil"/>
            </w:tcBorders>
            <w:vAlign w:val="center"/>
          </w:tcPr>
          <w:p w14:paraId="18E08CB3" w14:textId="77777777" w:rsidR="00D55F31" w:rsidRPr="00E7138D" w:rsidRDefault="00D55F31" w:rsidP="0002290A">
            <w:pPr>
              <w:ind w:right="64" w:hanging="11"/>
              <w:jc w:val="center"/>
              <w:rPr>
                <w:rFonts w:ascii="Calibri" w:hAnsi="Calibri" w:cs="Calibri"/>
                <w:i/>
                <w:color w:val="000000"/>
                <w:sz w:val="18"/>
                <w:szCs w:val="18"/>
              </w:rPr>
            </w:pPr>
          </w:p>
        </w:tc>
        <w:tc>
          <w:tcPr>
            <w:tcW w:w="475" w:type="pct"/>
            <w:tcBorders>
              <w:top w:val="nil"/>
              <w:left w:val="nil"/>
              <w:bottom w:val="single" w:sz="12" w:space="0" w:color="auto"/>
              <w:right w:val="nil"/>
            </w:tcBorders>
            <w:noWrap/>
            <w:vAlign w:val="center"/>
          </w:tcPr>
          <w:p w14:paraId="798271B6" w14:textId="77777777" w:rsidR="00D55F31" w:rsidRPr="00E7138D" w:rsidRDefault="00D55F31" w:rsidP="0002290A">
            <w:pPr>
              <w:jc w:val="right"/>
              <w:rPr>
                <w:rFonts w:ascii="Calibri" w:hAnsi="Calibri" w:cs="Calibri"/>
                <w:color w:val="000000"/>
                <w:sz w:val="18"/>
                <w:szCs w:val="18"/>
                <w:lang w:eastAsia="cs-CZ"/>
              </w:rPr>
            </w:pPr>
          </w:p>
        </w:tc>
        <w:tc>
          <w:tcPr>
            <w:tcW w:w="578" w:type="pct"/>
            <w:gridSpan w:val="2"/>
            <w:tcBorders>
              <w:top w:val="nil"/>
              <w:left w:val="nil"/>
              <w:bottom w:val="single" w:sz="12" w:space="0" w:color="auto"/>
              <w:right w:val="nil"/>
            </w:tcBorders>
            <w:noWrap/>
            <w:vAlign w:val="center"/>
          </w:tcPr>
          <w:p w14:paraId="1C514649" w14:textId="77777777" w:rsidR="00D55F31" w:rsidRPr="00E7138D" w:rsidRDefault="00D55F31" w:rsidP="0002290A">
            <w:pPr>
              <w:jc w:val="right"/>
              <w:rPr>
                <w:rFonts w:ascii="Calibri" w:hAnsi="Calibri" w:cs="Calibri"/>
                <w:color w:val="000000"/>
                <w:sz w:val="18"/>
                <w:szCs w:val="18"/>
                <w:lang w:eastAsia="cs-CZ"/>
              </w:rPr>
            </w:pPr>
          </w:p>
        </w:tc>
        <w:tc>
          <w:tcPr>
            <w:tcW w:w="578" w:type="pct"/>
            <w:gridSpan w:val="2"/>
            <w:tcBorders>
              <w:top w:val="nil"/>
              <w:left w:val="nil"/>
              <w:bottom w:val="single" w:sz="12" w:space="0" w:color="auto"/>
              <w:right w:val="nil"/>
            </w:tcBorders>
            <w:noWrap/>
            <w:vAlign w:val="center"/>
          </w:tcPr>
          <w:p w14:paraId="75021909" w14:textId="77777777" w:rsidR="00D55F31" w:rsidRPr="00E7138D" w:rsidRDefault="00D55F31" w:rsidP="0002290A">
            <w:pPr>
              <w:jc w:val="right"/>
              <w:rPr>
                <w:rFonts w:ascii="Calibri" w:hAnsi="Calibri" w:cs="Calibri"/>
                <w:color w:val="000000"/>
                <w:sz w:val="18"/>
                <w:szCs w:val="18"/>
                <w:lang w:eastAsia="cs-CZ"/>
              </w:rPr>
            </w:pPr>
          </w:p>
        </w:tc>
        <w:tc>
          <w:tcPr>
            <w:tcW w:w="578" w:type="pct"/>
            <w:gridSpan w:val="2"/>
            <w:tcBorders>
              <w:top w:val="nil"/>
              <w:left w:val="nil"/>
              <w:bottom w:val="single" w:sz="12" w:space="0" w:color="auto"/>
              <w:right w:val="nil"/>
            </w:tcBorders>
            <w:noWrap/>
            <w:vAlign w:val="center"/>
          </w:tcPr>
          <w:p w14:paraId="6C876926" w14:textId="77777777" w:rsidR="00D55F31" w:rsidRPr="00E7138D" w:rsidRDefault="00D55F31" w:rsidP="0002290A">
            <w:pPr>
              <w:jc w:val="right"/>
              <w:rPr>
                <w:rFonts w:ascii="Calibri" w:hAnsi="Calibri" w:cs="Calibri"/>
                <w:color w:val="000000"/>
                <w:sz w:val="18"/>
                <w:szCs w:val="18"/>
                <w:lang w:eastAsia="cs-CZ"/>
              </w:rPr>
            </w:pPr>
          </w:p>
        </w:tc>
        <w:tc>
          <w:tcPr>
            <w:tcW w:w="571" w:type="pct"/>
            <w:gridSpan w:val="2"/>
            <w:tcBorders>
              <w:top w:val="nil"/>
              <w:left w:val="nil"/>
              <w:bottom w:val="single" w:sz="12" w:space="0" w:color="auto"/>
              <w:right w:val="nil"/>
            </w:tcBorders>
            <w:noWrap/>
            <w:vAlign w:val="center"/>
          </w:tcPr>
          <w:p w14:paraId="21D9D2D0" w14:textId="77777777" w:rsidR="00D55F31" w:rsidRPr="00E7138D" w:rsidRDefault="00D55F31" w:rsidP="0002290A">
            <w:pPr>
              <w:jc w:val="right"/>
              <w:rPr>
                <w:rFonts w:ascii="Calibri" w:hAnsi="Calibri" w:cs="Calibri"/>
                <w:color w:val="000000"/>
                <w:sz w:val="18"/>
                <w:szCs w:val="18"/>
                <w:lang w:eastAsia="cs-CZ"/>
              </w:rPr>
            </w:pPr>
          </w:p>
        </w:tc>
      </w:tr>
      <w:tr w:rsidR="00C425F2" w:rsidRPr="00E7138D" w14:paraId="3E03ABD4" w14:textId="77777777" w:rsidTr="00D55F31">
        <w:trPr>
          <w:trHeight w:val="283"/>
          <w:jc w:val="center"/>
        </w:trPr>
        <w:tc>
          <w:tcPr>
            <w:tcW w:w="1185" w:type="pct"/>
            <w:vMerge w:val="restart"/>
            <w:tcBorders>
              <w:top w:val="single" w:sz="12" w:space="0" w:color="auto"/>
            </w:tcBorders>
            <w:noWrap/>
            <w:vAlign w:val="center"/>
          </w:tcPr>
          <w:p w14:paraId="12B48D71" w14:textId="77777777" w:rsidR="00D55F31" w:rsidRPr="00E7138D" w:rsidRDefault="0024693B" w:rsidP="0002290A">
            <w:pPr>
              <w:rPr>
                <w:rFonts w:ascii="Calibri" w:hAnsi="Calibri" w:cs="Calibri"/>
                <w:color w:val="000000"/>
                <w:sz w:val="18"/>
                <w:szCs w:val="18"/>
                <w:lang w:eastAsia="cs-CZ"/>
              </w:rPr>
            </w:pPr>
            <w:r w:rsidRPr="00E7138D">
              <w:rPr>
                <w:rFonts w:ascii="Calibri" w:hAnsi="Calibri" w:cs="Calibri"/>
                <w:color w:val="000000"/>
                <w:sz w:val="18"/>
                <w:szCs w:val="18"/>
                <w:lang w:eastAsia="cs-CZ"/>
              </w:rPr>
              <w:t>Podkapitalizace</w:t>
            </w:r>
            <w:r w:rsidRPr="00E7138D">
              <w:rPr>
                <w:rFonts w:ascii="Calibri" w:hAnsi="Calibri" w:cs="Calibri"/>
                <w:color w:val="000000"/>
                <w:sz w:val="18"/>
                <w:szCs w:val="18"/>
                <w:vertAlign w:val="superscript"/>
                <w:lang w:eastAsia="cs-CZ"/>
              </w:rPr>
              <w:footnoteReference w:id="60"/>
            </w:r>
          </w:p>
        </w:tc>
        <w:tc>
          <w:tcPr>
            <w:tcW w:w="1035" w:type="pct"/>
            <w:tcBorders>
              <w:top w:val="single" w:sz="12" w:space="0" w:color="auto"/>
            </w:tcBorders>
            <w:vAlign w:val="center"/>
          </w:tcPr>
          <w:p w14:paraId="33A2DD2D" w14:textId="77777777"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SLL Janské Lázně</w:t>
            </w:r>
          </w:p>
        </w:tc>
        <w:tc>
          <w:tcPr>
            <w:tcW w:w="557" w:type="pct"/>
            <w:gridSpan w:val="2"/>
            <w:tcBorders>
              <w:top w:val="single" w:sz="12" w:space="0" w:color="auto"/>
            </w:tcBorders>
            <w:noWrap/>
            <w:vAlign w:val="center"/>
          </w:tcPr>
          <w:p w14:paraId="0A0BD8E0"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1,16</w:t>
            </w:r>
          </w:p>
        </w:tc>
        <w:tc>
          <w:tcPr>
            <w:tcW w:w="557" w:type="pct"/>
            <w:gridSpan w:val="2"/>
            <w:tcBorders>
              <w:top w:val="single" w:sz="12" w:space="0" w:color="auto"/>
            </w:tcBorders>
            <w:noWrap/>
            <w:vAlign w:val="center"/>
          </w:tcPr>
          <w:p w14:paraId="038BAE78"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1,15</w:t>
            </w:r>
          </w:p>
        </w:tc>
        <w:tc>
          <w:tcPr>
            <w:tcW w:w="557" w:type="pct"/>
            <w:gridSpan w:val="2"/>
            <w:tcBorders>
              <w:top w:val="single" w:sz="12" w:space="0" w:color="auto"/>
            </w:tcBorders>
            <w:noWrap/>
            <w:vAlign w:val="center"/>
          </w:tcPr>
          <w:p w14:paraId="20B0E1B3"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1,11</w:t>
            </w:r>
          </w:p>
        </w:tc>
        <w:tc>
          <w:tcPr>
            <w:tcW w:w="558" w:type="pct"/>
            <w:gridSpan w:val="2"/>
            <w:tcBorders>
              <w:top w:val="single" w:sz="12" w:space="0" w:color="auto"/>
            </w:tcBorders>
            <w:noWrap/>
            <w:vAlign w:val="center"/>
          </w:tcPr>
          <w:p w14:paraId="3CCF5B08"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1,19</w:t>
            </w:r>
          </w:p>
        </w:tc>
        <w:tc>
          <w:tcPr>
            <w:tcW w:w="551" w:type="pct"/>
            <w:tcBorders>
              <w:top w:val="single" w:sz="12" w:space="0" w:color="auto"/>
            </w:tcBorders>
            <w:noWrap/>
            <w:vAlign w:val="center"/>
          </w:tcPr>
          <w:p w14:paraId="79E414EC"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1,30</w:t>
            </w:r>
          </w:p>
        </w:tc>
      </w:tr>
      <w:tr w:rsidR="00C425F2" w:rsidRPr="00E7138D" w14:paraId="365C4699" w14:textId="77777777" w:rsidTr="00D55F31">
        <w:trPr>
          <w:trHeight w:val="283"/>
          <w:jc w:val="center"/>
        </w:trPr>
        <w:tc>
          <w:tcPr>
            <w:tcW w:w="1185" w:type="pct"/>
            <w:vMerge/>
            <w:noWrap/>
            <w:vAlign w:val="center"/>
          </w:tcPr>
          <w:p w14:paraId="2DE3B4DD" w14:textId="77777777" w:rsidR="00D55F31" w:rsidRPr="00E7138D" w:rsidRDefault="00D55F31" w:rsidP="0002290A">
            <w:pPr>
              <w:rPr>
                <w:rFonts w:ascii="Calibri" w:hAnsi="Calibri" w:cs="Calibri"/>
                <w:color w:val="000000"/>
                <w:sz w:val="18"/>
                <w:szCs w:val="18"/>
                <w:lang w:eastAsia="cs-CZ"/>
              </w:rPr>
            </w:pPr>
          </w:p>
        </w:tc>
        <w:tc>
          <w:tcPr>
            <w:tcW w:w="1035" w:type="pct"/>
            <w:vAlign w:val="center"/>
          </w:tcPr>
          <w:p w14:paraId="139E5BC1" w14:textId="77777777"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HL Karlova Studánka</w:t>
            </w:r>
          </w:p>
        </w:tc>
        <w:tc>
          <w:tcPr>
            <w:tcW w:w="557" w:type="pct"/>
            <w:gridSpan w:val="2"/>
            <w:noWrap/>
            <w:vAlign w:val="center"/>
          </w:tcPr>
          <w:p w14:paraId="3D32A9F2"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0,92</w:t>
            </w:r>
          </w:p>
        </w:tc>
        <w:tc>
          <w:tcPr>
            <w:tcW w:w="557" w:type="pct"/>
            <w:gridSpan w:val="2"/>
            <w:noWrap/>
            <w:vAlign w:val="center"/>
          </w:tcPr>
          <w:p w14:paraId="5BAE708B"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0,89</w:t>
            </w:r>
          </w:p>
        </w:tc>
        <w:tc>
          <w:tcPr>
            <w:tcW w:w="557" w:type="pct"/>
            <w:gridSpan w:val="2"/>
            <w:noWrap/>
            <w:vAlign w:val="center"/>
          </w:tcPr>
          <w:p w14:paraId="4E207736"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0,90</w:t>
            </w:r>
          </w:p>
        </w:tc>
        <w:tc>
          <w:tcPr>
            <w:tcW w:w="558" w:type="pct"/>
            <w:gridSpan w:val="2"/>
            <w:noWrap/>
            <w:vAlign w:val="center"/>
          </w:tcPr>
          <w:p w14:paraId="4E8A2FFA"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1,01</w:t>
            </w:r>
          </w:p>
        </w:tc>
        <w:tc>
          <w:tcPr>
            <w:tcW w:w="551" w:type="pct"/>
            <w:noWrap/>
            <w:vAlign w:val="center"/>
          </w:tcPr>
          <w:p w14:paraId="265F7019"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1,15</w:t>
            </w:r>
          </w:p>
        </w:tc>
      </w:tr>
      <w:tr w:rsidR="00C425F2" w:rsidRPr="00E7138D" w14:paraId="7667ED1D" w14:textId="77777777" w:rsidTr="00D55F31">
        <w:trPr>
          <w:trHeight w:val="283"/>
          <w:jc w:val="center"/>
        </w:trPr>
        <w:tc>
          <w:tcPr>
            <w:tcW w:w="1185" w:type="pct"/>
            <w:vMerge/>
            <w:noWrap/>
            <w:vAlign w:val="center"/>
          </w:tcPr>
          <w:p w14:paraId="0D0D3B6B" w14:textId="77777777" w:rsidR="00D55F31" w:rsidRPr="00E7138D" w:rsidRDefault="00D55F31" w:rsidP="0002290A">
            <w:pPr>
              <w:rPr>
                <w:rFonts w:ascii="Calibri" w:hAnsi="Calibri" w:cs="Calibri"/>
                <w:color w:val="000000"/>
                <w:sz w:val="18"/>
                <w:szCs w:val="18"/>
                <w:lang w:eastAsia="cs-CZ"/>
              </w:rPr>
            </w:pPr>
          </w:p>
        </w:tc>
        <w:tc>
          <w:tcPr>
            <w:tcW w:w="1035" w:type="pct"/>
            <w:vAlign w:val="center"/>
          </w:tcPr>
          <w:p w14:paraId="4FAD378F" w14:textId="77777777"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SLL Bludov</w:t>
            </w:r>
          </w:p>
        </w:tc>
        <w:tc>
          <w:tcPr>
            <w:tcW w:w="557" w:type="pct"/>
            <w:gridSpan w:val="2"/>
            <w:noWrap/>
            <w:vAlign w:val="center"/>
          </w:tcPr>
          <w:p w14:paraId="433951ED"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1,49</w:t>
            </w:r>
          </w:p>
        </w:tc>
        <w:tc>
          <w:tcPr>
            <w:tcW w:w="557" w:type="pct"/>
            <w:gridSpan w:val="2"/>
            <w:noWrap/>
            <w:vAlign w:val="center"/>
          </w:tcPr>
          <w:p w14:paraId="0908B6EF"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1,38</w:t>
            </w:r>
          </w:p>
        </w:tc>
        <w:tc>
          <w:tcPr>
            <w:tcW w:w="557" w:type="pct"/>
            <w:gridSpan w:val="2"/>
            <w:noWrap/>
            <w:vAlign w:val="center"/>
          </w:tcPr>
          <w:p w14:paraId="2E5EAD64"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0,93</w:t>
            </w:r>
          </w:p>
        </w:tc>
        <w:tc>
          <w:tcPr>
            <w:tcW w:w="558" w:type="pct"/>
            <w:gridSpan w:val="2"/>
            <w:noWrap/>
            <w:vAlign w:val="center"/>
          </w:tcPr>
          <w:p w14:paraId="012EA282"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0,83</w:t>
            </w:r>
          </w:p>
        </w:tc>
        <w:tc>
          <w:tcPr>
            <w:tcW w:w="551" w:type="pct"/>
            <w:noWrap/>
            <w:vAlign w:val="center"/>
          </w:tcPr>
          <w:p w14:paraId="751D0C25"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1,05</w:t>
            </w:r>
          </w:p>
        </w:tc>
      </w:tr>
      <w:tr w:rsidR="00C425F2" w:rsidRPr="00E7138D" w14:paraId="2933F8C0" w14:textId="77777777" w:rsidTr="00D55F31">
        <w:trPr>
          <w:trHeight w:val="283"/>
          <w:jc w:val="center"/>
        </w:trPr>
        <w:tc>
          <w:tcPr>
            <w:tcW w:w="1185" w:type="pct"/>
            <w:vMerge/>
            <w:noWrap/>
            <w:vAlign w:val="center"/>
          </w:tcPr>
          <w:p w14:paraId="0C0058B7" w14:textId="77777777" w:rsidR="00D55F31" w:rsidRPr="00E7138D" w:rsidRDefault="00D55F31" w:rsidP="0002290A">
            <w:pPr>
              <w:rPr>
                <w:rFonts w:ascii="Calibri" w:hAnsi="Calibri" w:cs="Calibri"/>
                <w:color w:val="000000"/>
                <w:sz w:val="18"/>
                <w:szCs w:val="18"/>
                <w:lang w:eastAsia="cs-CZ"/>
              </w:rPr>
            </w:pPr>
          </w:p>
        </w:tc>
        <w:tc>
          <w:tcPr>
            <w:tcW w:w="1035" w:type="pct"/>
            <w:vAlign w:val="center"/>
          </w:tcPr>
          <w:p w14:paraId="04581C9B" w14:textId="2F109663"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BALMED</w:t>
            </w:r>
            <w:r w:rsidR="00826683">
              <w:rPr>
                <w:rFonts w:ascii="Calibri" w:hAnsi="Calibri" w:cs="Calibri"/>
                <w:i/>
                <w:color w:val="000000"/>
                <w:sz w:val="18"/>
                <w:szCs w:val="18"/>
              </w:rPr>
              <w:t xml:space="preserve"> Praha</w:t>
            </w:r>
          </w:p>
        </w:tc>
        <w:tc>
          <w:tcPr>
            <w:tcW w:w="557" w:type="pct"/>
            <w:gridSpan w:val="2"/>
            <w:noWrap/>
            <w:vAlign w:val="center"/>
          </w:tcPr>
          <w:p w14:paraId="434E1BA8"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rPr>
              <w:t>1,49</w:t>
            </w:r>
          </w:p>
        </w:tc>
        <w:tc>
          <w:tcPr>
            <w:tcW w:w="557" w:type="pct"/>
            <w:gridSpan w:val="2"/>
            <w:noWrap/>
            <w:vAlign w:val="center"/>
          </w:tcPr>
          <w:p w14:paraId="2687E276"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rPr>
              <w:t>1,38</w:t>
            </w:r>
          </w:p>
        </w:tc>
        <w:tc>
          <w:tcPr>
            <w:tcW w:w="557" w:type="pct"/>
            <w:gridSpan w:val="2"/>
            <w:noWrap/>
            <w:vAlign w:val="center"/>
          </w:tcPr>
          <w:p w14:paraId="460787F5"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rPr>
              <w:t>1,73</w:t>
            </w:r>
          </w:p>
        </w:tc>
        <w:tc>
          <w:tcPr>
            <w:tcW w:w="558" w:type="pct"/>
            <w:gridSpan w:val="2"/>
            <w:noWrap/>
            <w:vAlign w:val="center"/>
          </w:tcPr>
          <w:p w14:paraId="29F79999"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rPr>
              <w:t>1,43</w:t>
            </w:r>
          </w:p>
        </w:tc>
        <w:tc>
          <w:tcPr>
            <w:tcW w:w="551" w:type="pct"/>
            <w:noWrap/>
            <w:vAlign w:val="center"/>
          </w:tcPr>
          <w:p w14:paraId="1ACC4306"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rPr>
              <w:t>1,25</w:t>
            </w:r>
          </w:p>
        </w:tc>
      </w:tr>
      <w:tr w:rsidR="00C425F2" w:rsidRPr="00E7138D" w14:paraId="635534F8" w14:textId="77777777" w:rsidTr="00D55F31">
        <w:trPr>
          <w:trHeight w:val="283"/>
          <w:jc w:val="center"/>
        </w:trPr>
        <w:tc>
          <w:tcPr>
            <w:tcW w:w="5000" w:type="pct"/>
            <w:gridSpan w:val="11"/>
            <w:shd w:val="clear" w:color="auto" w:fill="C6D9F1" w:themeFill="text2" w:themeFillTint="33"/>
            <w:vAlign w:val="center"/>
          </w:tcPr>
          <w:p w14:paraId="49DAA0BC" w14:textId="61980DA6" w:rsidR="00D55F31" w:rsidRPr="00E7138D" w:rsidRDefault="0024693B" w:rsidP="00506C42">
            <w:pPr>
              <w:rPr>
                <w:rFonts w:ascii="Calibri" w:hAnsi="Calibri" w:cs="Calibri"/>
                <w:b/>
                <w:color w:val="000000"/>
                <w:sz w:val="18"/>
                <w:szCs w:val="18"/>
                <w:lang w:eastAsia="cs-CZ"/>
              </w:rPr>
            </w:pPr>
            <w:r w:rsidRPr="00E7138D">
              <w:rPr>
                <w:rFonts w:ascii="Calibri" w:hAnsi="Calibri" w:cs="Calibri"/>
                <w:b/>
                <w:color w:val="000000"/>
                <w:sz w:val="18"/>
                <w:szCs w:val="18"/>
                <w:lang w:eastAsia="cs-CZ"/>
              </w:rPr>
              <w:t>Ukazatele ziskovosti</w:t>
            </w:r>
          </w:p>
        </w:tc>
      </w:tr>
      <w:tr w:rsidR="00C425F2" w:rsidRPr="00E7138D" w14:paraId="191654B0" w14:textId="77777777" w:rsidTr="00D55F31">
        <w:trPr>
          <w:trHeight w:val="283"/>
          <w:jc w:val="center"/>
        </w:trPr>
        <w:tc>
          <w:tcPr>
            <w:tcW w:w="1185" w:type="pct"/>
            <w:vMerge w:val="restart"/>
            <w:noWrap/>
            <w:vAlign w:val="center"/>
          </w:tcPr>
          <w:p w14:paraId="56DE04C7" w14:textId="77777777" w:rsidR="00D55F31" w:rsidRPr="00E7138D" w:rsidRDefault="0024693B" w:rsidP="0002290A">
            <w:pPr>
              <w:rPr>
                <w:rFonts w:ascii="Calibri" w:hAnsi="Calibri" w:cs="Calibri"/>
                <w:color w:val="000000"/>
                <w:sz w:val="18"/>
                <w:szCs w:val="18"/>
                <w:lang w:eastAsia="cs-CZ"/>
              </w:rPr>
            </w:pPr>
            <w:r w:rsidRPr="00E7138D">
              <w:rPr>
                <w:rFonts w:ascii="Calibri" w:hAnsi="Calibri" w:cs="Calibri"/>
                <w:color w:val="000000"/>
                <w:sz w:val="18"/>
                <w:szCs w:val="18"/>
                <w:lang w:eastAsia="cs-CZ"/>
              </w:rPr>
              <w:t>Výnosnost celkového kapitálu</w:t>
            </w:r>
            <w:r w:rsidRPr="00E7138D">
              <w:rPr>
                <w:rFonts w:ascii="Calibri" w:hAnsi="Calibri" w:cs="Calibri"/>
                <w:color w:val="000000"/>
                <w:sz w:val="18"/>
                <w:szCs w:val="18"/>
                <w:vertAlign w:val="superscript"/>
                <w:lang w:eastAsia="cs-CZ"/>
              </w:rPr>
              <w:footnoteReference w:id="61"/>
            </w:r>
            <w:r w:rsidRPr="00E7138D">
              <w:rPr>
                <w:rFonts w:ascii="Calibri" w:hAnsi="Calibri" w:cs="Calibri"/>
                <w:color w:val="000000"/>
                <w:sz w:val="18"/>
                <w:szCs w:val="18"/>
                <w:lang w:eastAsia="cs-CZ"/>
              </w:rPr>
              <w:t xml:space="preserve"> (v %)</w:t>
            </w:r>
          </w:p>
        </w:tc>
        <w:tc>
          <w:tcPr>
            <w:tcW w:w="1035" w:type="pct"/>
            <w:vAlign w:val="center"/>
          </w:tcPr>
          <w:p w14:paraId="1E6A3BB5" w14:textId="77777777"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SLL Janské Lázně</w:t>
            </w:r>
          </w:p>
        </w:tc>
        <w:tc>
          <w:tcPr>
            <w:tcW w:w="557" w:type="pct"/>
            <w:gridSpan w:val="2"/>
            <w:noWrap/>
            <w:vAlign w:val="center"/>
          </w:tcPr>
          <w:p w14:paraId="6C815A6E"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0,26</w:t>
            </w:r>
          </w:p>
        </w:tc>
        <w:tc>
          <w:tcPr>
            <w:tcW w:w="557" w:type="pct"/>
            <w:gridSpan w:val="2"/>
            <w:noWrap/>
            <w:vAlign w:val="center"/>
          </w:tcPr>
          <w:p w14:paraId="39771955" w14:textId="1A67E816"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lang w:eastAsia="cs-CZ"/>
              </w:rPr>
              <w:t>6,20</w:t>
            </w:r>
          </w:p>
        </w:tc>
        <w:tc>
          <w:tcPr>
            <w:tcW w:w="557" w:type="pct"/>
            <w:gridSpan w:val="2"/>
            <w:noWrap/>
            <w:vAlign w:val="center"/>
          </w:tcPr>
          <w:p w14:paraId="2913B6F5" w14:textId="1F3F424D"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lang w:eastAsia="cs-CZ"/>
              </w:rPr>
              <w:t>11,44</w:t>
            </w:r>
          </w:p>
        </w:tc>
        <w:tc>
          <w:tcPr>
            <w:tcW w:w="558" w:type="pct"/>
            <w:gridSpan w:val="2"/>
            <w:noWrap/>
            <w:vAlign w:val="center"/>
          </w:tcPr>
          <w:p w14:paraId="745EB01D" w14:textId="58DF4130"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lang w:eastAsia="cs-CZ"/>
              </w:rPr>
              <w:t>1,02</w:t>
            </w:r>
          </w:p>
        </w:tc>
        <w:tc>
          <w:tcPr>
            <w:tcW w:w="551" w:type="pct"/>
            <w:noWrap/>
            <w:vAlign w:val="center"/>
          </w:tcPr>
          <w:p w14:paraId="6F9743F1"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1,20</w:t>
            </w:r>
          </w:p>
        </w:tc>
      </w:tr>
      <w:tr w:rsidR="00C425F2" w:rsidRPr="00E7138D" w14:paraId="2D8B4500" w14:textId="77777777" w:rsidTr="00D55F31">
        <w:trPr>
          <w:trHeight w:val="283"/>
          <w:jc w:val="center"/>
        </w:trPr>
        <w:tc>
          <w:tcPr>
            <w:tcW w:w="1185" w:type="pct"/>
            <w:vMerge/>
            <w:noWrap/>
            <w:vAlign w:val="center"/>
          </w:tcPr>
          <w:p w14:paraId="08BB9937" w14:textId="77777777" w:rsidR="00D55F31" w:rsidRPr="00E7138D" w:rsidRDefault="00D55F31" w:rsidP="0002290A">
            <w:pPr>
              <w:rPr>
                <w:rFonts w:ascii="Calibri" w:hAnsi="Calibri" w:cs="Calibri"/>
                <w:color w:val="000000"/>
                <w:sz w:val="18"/>
                <w:szCs w:val="18"/>
                <w:lang w:eastAsia="cs-CZ"/>
              </w:rPr>
            </w:pPr>
          </w:p>
        </w:tc>
        <w:tc>
          <w:tcPr>
            <w:tcW w:w="1035" w:type="pct"/>
            <w:vAlign w:val="center"/>
          </w:tcPr>
          <w:p w14:paraId="1FF18C14" w14:textId="77777777"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HL Karlova Studánka</w:t>
            </w:r>
          </w:p>
        </w:tc>
        <w:tc>
          <w:tcPr>
            <w:tcW w:w="557" w:type="pct"/>
            <w:gridSpan w:val="2"/>
            <w:noWrap/>
            <w:vAlign w:val="center"/>
          </w:tcPr>
          <w:p w14:paraId="10979E7B"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1,78</w:t>
            </w:r>
          </w:p>
        </w:tc>
        <w:tc>
          <w:tcPr>
            <w:tcW w:w="557" w:type="pct"/>
            <w:gridSpan w:val="2"/>
            <w:noWrap/>
            <w:vAlign w:val="center"/>
          </w:tcPr>
          <w:p w14:paraId="23A7858A" w14:textId="07D4B7A4"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lang w:eastAsia="cs-CZ"/>
              </w:rPr>
              <w:t>2,99</w:t>
            </w:r>
          </w:p>
        </w:tc>
        <w:tc>
          <w:tcPr>
            <w:tcW w:w="557" w:type="pct"/>
            <w:gridSpan w:val="2"/>
            <w:noWrap/>
            <w:vAlign w:val="center"/>
          </w:tcPr>
          <w:p w14:paraId="6CBAC317" w14:textId="0695C2F5"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lang w:eastAsia="cs-CZ"/>
              </w:rPr>
              <w:t>1,53</w:t>
            </w:r>
          </w:p>
        </w:tc>
        <w:tc>
          <w:tcPr>
            <w:tcW w:w="558" w:type="pct"/>
            <w:gridSpan w:val="2"/>
            <w:noWrap/>
            <w:vAlign w:val="center"/>
          </w:tcPr>
          <w:p w14:paraId="53DB3FE4"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8,32</w:t>
            </w:r>
          </w:p>
        </w:tc>
        <w:tc>
          <w:tcPr>
            <w:tcW w:w="551" w:type="pct"/>
            <w:noWrap/>
            <w:vAlign w:val="center"/>
          </w:tcPr>
          <w:p w14:paraId="1D2EF575"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6,56</w:t>
            </w:r>
          </w:p>
        </w:tc>
      </w:tr>
      <w:tr w:rsidR="00C425F2" w:rsidRPr="00E7138D" w14:paraId="5526F2A5" w14:textId="77777777" w:rsidTr="00D55F31">
        <w:trPr>
          <w:trHeight w:val="283"/>
          <w:jc w:val="center"/>
        </w:trPr>
        <w:tc>
          <w:tcPr>
            <w:tcW w:w="1185" w:type="pct"/>
            <w:vMerge/>
            <w:noWrap/>
            <w:vAlign w:val="center"/>
          </w:tcPr>
          <w:p w14:paraId="52E2CD04" w14:textId="77777777" w:rsidR="00D55F31" w:rsidRPr="00E7138D" w:rsidRDefault="00D55F31" w:rsidP="0002290A">
            <w:pPr>
              <w:rPr>
                <w:rFonts w:ascii="Calibri" w:hAnsi="Calibri" w:cs="Calibri"/>
                <w:color w:val="000000"/>
                <w:sz w:val="18"/>
                <w:szCs w:val="18"/>
                <w:lang w:eastAsia="cs-CZ"/>
              </w:rPr>
            </w:pPr>
          </w:p>
        </w:tc>
        <w:tc>
          <w:tcPr>
            <w:tcW w:w="1035" w:type="pct"/>
            <w:vAlign w:val="center"/>
          </w:tcPr>
          <w:p w14:paraId="61DFFF3F" w14:textId="77777777"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SLL Bludov</w:t>
            </w:r>
          </w:p>
        </w:tc>
        <w:tc>
          <w:tcPr>
            <w:tcW w:w="557" w:type="pct"/>
            <w:gridSpan w:val="2"/>
            <w:noWrap/>
            <w:vAlign w:val="center"/>
          </w:tcPr>
          <w:p w14:paraId="69500A32"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2,83</w:t>
            </w:r>
          </w:p>
        </w:tc>
        <w:tc>
          <w:tcPr>
            <w:tcW w:w="557" w:type="pct"/>
            <w:gridSpan w:val="2"/>
            <w:noWrap/>
            <w:vAlign w:val="center"/>
          </w:tcPr>
          <w:p w14:paraId="3EA41919" w14:textId="3A64E335"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lang w:eastAsia="cs-CZ"/>
              </w:rPr>
              <w:t>3,46</w:t>
            </w:r>
          </w:p>
        </w:tc>
        <w:tc>
          <w:tcPr>
            <w:tcW w:w="557" w:type="pct"/>
            <w:gridSpan w:val="2"/>
            <w:noWrap/>
            <w:vAlign w:val="center"/>
          </w:tcPr>
          <w:p w14:paraId="3863B45E" w14:textId="4B6D368E"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lang w:eastAsia="cs-CZ"/>
              </w:rPr>
              <w:t>15,47</w:t>
            </w:r>
          </w:p>
        </w:tc>
        <w:tc>
          <w:tcPr>
            <w:tcW w:w="558" w:type="pct"/>
            <w:gridSpan w:val="2"/>
            <w:noWrap/>
            <w:vAlign w:val="center"/>
          </w:tcPr>
          <w:p w14:paraId="640B3D48" w14:textId="37D2B84F"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lang w:eastAsia="cs-CZ"/>
              </w:rPr>
              <w:t>3,31</w:t>
            </w:r>
          </w:p>
        </w:tc>
        <w:tc>
          <w:tcPr>
            <w:tcW w:w="551" w:type="pct"/>
            <w:noWrap/>
            <w:vAlign w:val="center"/>
          </w:tcPr>
          <w:p w14:paraId="1E3AE9C5"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8,40</w:t>
            </w:r>
          </w:p>
        </w:tc>
      </w:tr>
      <w:tr w:rsidR="00C425F2" w:rsidRPr="00E7138D" w14:paraId="000C2C28" w14:textId="77777777" w:rsidTr="00D55F31">
        <w:trPr>
          <w:trHeight w:val="283"/>
          <w:jc w:val="center"/>
        </w:trPr>
        <w:tc>
          <w:tcPr>
            <w:tcW w:w="1185" w:type="pct"/>
            <w:vMerge/>
            <w:tcBorders>
              <w:bottom w:val="single" w:sz="12" w:space="0" w:color="auto"/>
            </w:tcBorders>
            <w:noWrap/>
            <w:vAlign w:val="center"/>
          </w:tcPr>
          <w:p w14:paraId="52379A1A" w14:textId="77777777" w:rsidR="00D55F31" w:rsidRPr="00E7138D" w:rsidRDefault="00D55F31" w:rsidP="0002290A">
            <w:pPr>
              <w:rPr>
                <w:rFonts w:ascii="Calibri" w:hAnsi="Calibri" w:cs="Calibri"/>
                <w:color w:val="000000"/>
                <w:sz w:val="18"/>
                <w:szCs w:val="18"/>
                <w:lang w:eastAsia="cs-CZ"/>
              </w:rPr>
            </w:pPr>
          </w:p>
        </w:tc>
        <w:tc>
          <w:tcPr>
            <w:tcW w:w="1035" w:type="pct"/>
            <w:tcBorders>
              <w:bottom w:val="single" w:sz="12" w:space="0" w:color="auto"/>
            </w:tcBorders>
            <w:vAlign w:val="center"/>
          </w:tcPr>
          <w:p w14:paraId="3A1FC272" w14:textId="2A663380"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BALMED</w:t>
            </w:r>
            <w:r w:rsidR="00826683">
              <w:rPr>
                <w:rFonts w:ascii="Calibri" w:hAnsi="Calibri" w:cs="Calibri"/>
                <w:i/>
                <w:color w:val="000000"/>
                <w:sz w:val="18"/>
                <w:szCs w:val="18"/>
              </w:rPr>
              <w:t xml:space="preserve"> Praha</w:t>
            </w:r>
          </w:p>
        </w:tc>
        <w:tc>
          <w:tcPr>
            <w:tcW w:w="557" w:type="pct"/>
            <w:gridSpan w:val="2"/>
            <w:tcBorders>
              <w:bottom w:val="single" w:sz="12" w:space="0" w:color="auto"/>
            </w:tcBorders>
            <w:noWrap/>
            <w:vAlign w:val="center"/>
          </w:tcPr>
          <w:p w14:paraId="6F735193" w14:textId="29F5768F"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rPr>
              <w:t>27,83</w:t>
            </w:r>
          </w:p>
        </w:tc>
        <w:tc>
          <w:tcPr>
            <w:tcW w:w="557" w:type="pct"/>
            <w:gridSpan w:val="2"/>
            <w:tcBorders>
              <w:bottom w:val="single" w:sz="12" w:space="0" w:color="auto"/>
            </w:tcBorders>
            <w:noWrap/>
            <w:vAlign w:val="center"/>
          </w:tcPr>
          <w:p w14:paraId="360D5D27" w14:textId="48D206D8"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rPr>
              <w:t>15,73</w:t>
            </w:r>
          </w:p>
        </w:tc>
        <w:tc>
          <w:tcPr>
            <w:tcW w:w="557" w:type="pct"/>
            <w:gridSpan w:val="2"/>
            <w:tcBorders>
              <w:bottom w:val="single" w:sz="12" w:space="0" w:color="auto"/>
            </w:tcBorders>
            <w:noWrap/>
            <w:vAlign w:val="center"/>
          </w:tcPr>
          <w:p w14:paraId="39BB789C"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rPr>
              <w:t>13,22</w:t>
            </w:r>
          </w:p>
        </w:tc>
        <w:tc>
          <w:tcPr>
            <w:tcW w:w="558" w:type="pct"/>
            <w:gridSpan w:val="2"/>
            <w:tcBorders>
              <w:bottom w:val="single" w:sz="12" w:space="0" w:color="auto"/>
            </w:tcBorders>
            <w:noWrap/>
            <w:vAlign w:val="center"/>
          </w:tcPr>
          <w:p w14:paraId="680ED189" w14:textId="3C5D5D77"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rPr>
              <w:t>17,62</w:t>
            </w:r>
          </w:p>
        </w:tc>
        <w:tc>
          <w:tcPr>
            <w:tcW w:w="551" w:type="pct"/>
            <w:tcBorders>
              <w:bottom w:val="single" w:sz="12" w:space="0" w:color="auto"/>
            </w:tcBorders>
            <w:noWrap/>
            <w:vAlign w:val="center"/>
          </w:tcPr>
          <w:p w14:paraId="1B895EF2" w14:textId="64D785A1"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rPr>
              <w:t>15,91</w:t>
            </w:r>
          </w:p>
        </w:tc>
      </w:tr>
      <w:tr w:rsidR="00C425F2" w:rsidRPr="00E7138D" w14:paraId="06D68495" w14:textId="77777777" w:rsidTr="00D55F31">
        <w:trPr>
          <w:trHeight w:val="283"/>
          <w:jc w:val="center"/>
        </w:trPr>
        <w:tc>
          <w:tcPr>
            <w:tcW w:w="1185" w:type="pct"/>
            <w:vMerge w:val="restart"/>
            <w:tcBorders>
              <w:top w:val="single" w:sz="12" w:space="0" w:color="auto"/>
            </w:tcBorders>
            <w:noWrap/>
            <w:vAlign w:val="center"/>
          </w:tcPr>
          <w:p w14:paraId="6E069D85" w14:textId="77777777" w:rsidR="00D55F31" w:rsidRPr="00E7138D" w:rsidRDefault="0024693B" w:rsidP="0002290A">
            <w:pPr>
              <w:rPr>
                <w:rFonts w:ascii="Calibri" w:hAnsi="Calibri" w:cs="Calibri"/>
                <w:color w:val="000000"/>
                <w:sz w:val="18"/>
                <w:szCs w:val="18"/>
                <w:lang w:eastAsia="cs-CZ"/>
              </w:rPr>
            </w:pPr>
            <w:r w:rsidRPr="00E7138D">
              <w:rPr>
                <w:rFonts w:ascii="Calibri" w:hAnsi="Calibri" w:cs="Calibri"/>
                <w:color w:val="000000"/>
                <w:sz w:val="18"/>
                <w:szCs w:val="18"/>
                <w:lang w:eastAsia="cs-CZ"/>
              </w:rPr>
              <w:t>Základní produkční síla</w:t>
            </w:r>
            <w:r w:rsidRPr="00E7138D">
              <w:rPr>
                <w:rFonts w:ascii="Calibri" w:hAnsi="Calibri" w:cs="Calibri"/>
                <w:color w:val="000000"/>
                <w:sz w:val="18"/>
                <w:szCs w:val="18"/>
                <w:vertAlign w:val="superscript"/>
                <w:lang w:eastAsia="cs-CZ"/>
              </w:rPr>
              <w:footnoteReference w:id="62"/>
            </w:r>
            <w:r w:rsidRPr="00E7138D">
              <w:rPr>
                <w:rFonts w:ascii="Calibri" w:hAnsi="Calibri" w:cs="Calibri"/>
                <w:color w:val="000000"/>
                <w:sz w:val="18"/>
                <w:szCs w:val="18"/>
                <w:lang w:eastAsia="cs-CZ"/>
              </w:rPr>
              <w:t xml:space="preserve"> </w:t>
            </w:r>
          </w:p>
          <w:p w14:paraId="0ED5F0DB" w14:textId="77777777" w:rsidR="00D55F31" w:rsidRPr="00E7138D" w:rsidRDefault="0024693B" w:rsidP="0002290A">
            <w:pPr>
              <w:rPr>
                <w:rFonts w:ascii="Calibri" w:hAnsi="Calibri" w:cs="Calibri"/>
                <w:color w:val="000000"/>
                <w:sz w:val="18"/>
                <w:szCs w:val="18"/>
                <w:lang w:eastAsia="cs-CZ"/>
              </w:rPr>
            </w:pPr>
            <w:r w:rsidRPr="00E7138D">
              <w:rPr>
                <w:rFonts w:ascii="Calibri" w:hAnsi="Calibri" w:cs="Calibri"/>
                <w:color w:val="000000"/>
                <w:sz w:val="18"/>
                <w:szCs w:val="18"/>
                <w:lang w:eastAsia="cs-CZ"/>
              </w:rPr>
              <w:t>(v %)</w:t>
            </w:r>
          </w:p>
        </w:tc>
        <w:tc>
          <w:tcPr>
            <w:tcW w:w="1035" w:type="pct"/>
            <w:tcBorders>
              <w:top w:val="single" w:sz="12" w:space="0" w:color="auto"/>
              <w:bottom w:val="single" w:sz="4" w:space="0" w:color="auto"/>
            </w:tcBorders>
            <w:vAlign w:val="center"/>
          </w:tcPr>
          <w:p w14:paraId="4085B449" w14:textId="77777777"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SLL Janské Lázně</w:t>
            </w:r>
          </w:p>
        </w:tc>
        <w:tc>
          <w:tcPr>
            <w:tcW w:w="557" w:type="pct"/>
            <w:gridSpan w:val="2"/>
            <w:tcBorders>
              <w:top w:val="single" w:sz="12" w:space="0" w:color="auto"/>
              <w:bottom w:val="single" w:sz="4" w:space="0" w:color="auto"/>
            </w:tcBorders>
            <w:noWrap/>
            <w:vAlign w:val="center"/>
          </w:tcPr>
          <w:p w14:paraId="64622D3C"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0,32</w:t>
            </w:r>
          </w:p>
        </w:tc>
        <w:tc>
          <w:tcPr>
            <w:tcW w:w="557" w:type="pct"/>
            <w:gridSpan w:val="2"/>
            <w:tcBorders>
              <w:top w:val="single" w:sz="12" w:space="0" w:color="auto"/>
              <w:bottom w:val="single" w:sz="4" w:space="0" w:color="auto"/>
            </w:tcBorders>
            <w:noWrap/>
            <w:vAlign w:val="center"/>
          </w:tcPr>
          <w:p w14:paraId="256E3309" w14:textId="3B2E64CE"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lang w:eastAsia="cs-CZ"/>
              </w:rPr>
              <w:t>5,94</w:t>
            </w:r>
          </w:p>
        </w:tc>
        <w:tc>
          <w:tcPr>
            <w:tcW w:w="557" w:type="pct"/>
            <w:gridSpan w:val="2"/>
            <w:tcBorders>
              <w:top w:val="single" w:sz="12" w:space="0" w:color="auto"/>
              <w:bottom w:val="single" w:sz="4" w:space="0" w:color="auto"/>
            </w:tcBorders>
            <w:noWrap/>
            <w:vAlign w:val="center"/>
          </w:tcPr>
          <w:p w14:paraId="0FA8AAC0" w14:textId="7DDDFB37"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lang w:eastAsia="cs-CZ"/>
              </w:rPr>
              <w:t>11,76</w:t>
            </w:r>
          </w:p>
        </w:tc>
        <w:tc>
          <w:tcPr>
            <w:tcW w:w="558" w:type="pct"/>
            <w:gridSpan w:val="2"/>
            <w:tcBorders>
              <w:top w:val="single" w:sz="12" w:space="0" w:color="auto"/>
              <w:bottom w:val="single" w:sz="4" w:space="0" w:color="auto"/>
            </w:tcBorders>
            <w:noWrap/>
            <w:vAlign w:val="center"/>
          </w:tcPr>
          <w:p w14:paraId="54AB505B" w14:textId="47FB58A7"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lang w:eastAsia="cs-CZ"/>
              </w:rPr>
              <w:t>0,84</w:t>
            </w:r>
          </w:p>
        </w:tc>
        <w:tc>
          <w:tcPr>
            <w:tcW w:w="551" w:type="pct"/>
            <w:tcBorders>
              <w:top w:val="single" w:sz="12" w:space="0" w:color="auto"/>
              <w:bottom w:val="single" w:sz="4" w:space="0" w:color="auto"/>
            </w:tcBorders>
            <w:noWrap/>
            <w:vAlign w:val="center"/>
          </w:tcPr>
          <w:p w14:paraId="4B368D46"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1,31</w:t>
            </w:r>
          </w:p>
        </w:tc>
      </w:tr>
      <w:tr w:rsidR="00C425F2" w:rsidRPr="00E7138D" w14:paraId="377CF244" w14:textId="77777777" w:rsidTr="00D55F31">
        <w:trPr>
          <w:trHeight w:val="283"/>
          <w:jc w:val="center"/>
        </w:trPr>
        <w:tc>
          <w:tcPr>
            <w:tcW w:w="1185" w:type="pct"/>
            <w:vMerge/>
            <w:tcBorders>
              <w:top w:val="single" w:sz="12" w:space="0" w:color="auto"/>
            </w:tcBorders>
            <w:noWrap/>
            <w:vAlign w:val="center"/>
          </w:tcPr>
          <w:p w14:paraId="6EA90CE9" w14:textId="77777777" w:rsidR="00D55F31" w:rsidRPr="00E7138D" w:rsidRDefault="00D55F31" w:rsidP="0002290A">
            <w:pPr>
              <w:rPr>
                <w:rFonts w:ascii="Calibri" w:hAnsi="Calibri" w:cs="Calibri"/>
                <w:color w:val="000000"/>
                <w:sz w:val="18"/>
                <w:szCs w:val="18"/>
                <w:lang w:eastAsia="cs-CZ"/>
              </w:rPr>
            </w:pPr>
          </w:p>
        </w:tc>
        <w:tc>
          <w:tcPr>
            <w:tcW w:w="1035" w:type="pct"/>
            <w:tcBorders>
              <w:top w:val="single" w:sz="4" w:space="0" w:color="auto"/>
              <w:bottom w:val="single" w:sz="4" w:space="0" w:color="auto"/>
            </w:tcBorders>
            <w:vAlign w:val="center"/>
          </w:tcPr>
          <w:p w14:paraId="66613D1B" w14:textId="77777777"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HL Karlova Studánka</w:t>
            </w:r>
          </w:p>
        </w:tc>
        <w:tc>
          <w:tcPr>
            <w:tcW w:w="557" w:type="pct"/>
            <w:gridSpan w:val="2"/>
            <w:tcBorders>
              <w:top w:val="single" w:sz="4" w:space="0" w:color="auto"/>
              <w:bottom w:val="single" w:sz="4" w:space="0" w:color="auto"/>
            </w:tcBorders>
            <w:noWrap/>
            <w:vAlign w:val="center"/>
          </w:tcPr>
          <w:p w14:paraId="3B721564"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3,18</w:t>
            </w:r>
          </w:p>
        </w:tc>
        <w:tc>
          <w:tcPr>
            <w:tcW w:w="557" w:type="pct"/>
            <w:gridSpan w:val="2"/>
            <w:tcBorders>
              <w:top w:val="single" w:sz="4" w:space="0" w:color="auto"/>
              <w:bottom w:val="single" w:sz="4" w:space="0" w:color="auto"/>
            </w:tcBorders>
            <w:noWrap/>
            <w:vAlign w:val="center"/>
          </w:tcPr>
          <w:p w14:paraId="22AB7C57" w14:textId="1084D942"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lang w:eastAsia="cs-CZ"/>
              </w:rPr>
              <w:t>1,66</w:t>
            </w:r>
          </w:p>
        </w:tc>
        <w:tc>
          <w:tcPr>
            <w:tcW w:w="557" w:type="pct"/>
            <w:gridSpan w:val="2"/>
            <w:tcBorders>
              <w:top w:val="single" w:sz="4" w:space="0" w:color="auto"/>
              <w:bottom w:val="single" w:sz="4" w:space="0" w:color="auto"/>
            </w:tcBorders>
            <w:noWrap/>
            <w:vAlign w:val="center"/>
          </w:tcPr>
          <w:p w14:paraId="27CDD55F" w14:textId="538F839B"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lang w:eastAsia="cs-CZ"/>
              </w:rPr>
              <w:t>0,71</w:t>
            </w:r>
          </w:p>
        </w:tc>
        <w:tc>
          <w:tcPr>
            <w:tcW w:w="558" w:type="pct"/>
            <w:gridSpan w:val="2"/>
            <w:tcBorders>
              <w:top w:val="single" w:sz="4" w:space="0" w:color="auto"/>
              <w:bottom w:val="single" w:sz="4" w:space="0" w:color="auto"/>
            </w:tcBorders>
            <w:noWrap/>
            <w:vAlign w:val="center"/>
          </w:tcPr>
          <w:p w14:paraId="1E7F6718"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9,82</w:t>
            </w:r>
          </w:p>
        </w:tc>
        <w:tc>
          <w:tcPr>
            <w:tcW w:w="551" w:type="pct"/>
            <w:tcBorders>
              <w:top w:val="single" w:sz="4" w:space="0" w:color="auto"/>
              <w:bottom w:val="single" w:sz="4" w:space="0" w:color="auto"/>
            </w:tcBorders>
            <w:noWrap/>
            <w:vAlign w:val="center"/>
          </w:tcPr>
          <w:p w14:paraId="18A2C56F"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8,84</w:t>
            </w:r>
          </w:p>
        </w:tc>
      </w:tr>
      <w:tr w:rsidR="00C425F2" w:rsidRPr="00E7138D" w14:paraId="561F3A6B" w14:textId="77777777" w:rsidTr="00D55F31">
        <w:trPr>
          <w:trHeight w:val="283"/>
          <w:jc w:val="center"/>
        </w:trPr>
        <w:tc>
          <w:tcPr>
            <w:tcW w:w="1185" w:type="pct"/>
            <w:vMerge/>
            <w:tcBorders>
              <w:top w:val="single" w:sz="12" w:space="0" w:color="auto"/>
            </w:tcBorders>
            <w:noWrap/>
            <w:vAlign w:val="center"/>
          </w:tcPr>
          <w:p w14:paraId="4F66E45B" w14:textId="77777777" w:rsidR="00D55F31" w:rsidRPr="00E7138D" w:rsidRDefault="00D55F31" w:rsidP="0002290A">
            <w:pPr>
              <w:rPr>
                <w:rFonts w:ascii="Calibri" w:hAnsi="Calibri" w:cs="Calibri"/>
                <w:color w:val="000000"/>
                <w:sz w:val="18"/>
                <w:szCs w:val="18"/>
                <w:lang w:eastAsia="cs-CZ"/>
              </w:rPr>
            </w:pPr>
          </w:p>
        </w:tc>
        <w:tc>
          <w:tcPr>
            <w:tcW w:w="1035" w:type="pct"/>
            <w:tcBorders>
              <w:top w:val="single" w:sz="4" w:space="0" w:color="auto"/>
            </w:tcBorders>
            <w:vAlign w:val="center"/>
          </w:tcPr>
          <w:p w14:paraId="3953661A" w14:textId="77777777"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SLL Bludov</w:t>
            </w:r>
          </w:p>
        </w:tc>
        <w:tc>
          <w:tcPr>
            <w:tcW w:w="557" w:type="pct"/>
            <w:gridSpan w:val="2"/>
            <w:tcBorders>
              <w:top w:val="single" w:sz="4" w:space="0" w:color="auto"/>
            </w:tcBorders>
            <w:noWrap/>
            <w:vAlign w:val="center"/>
          </w:tcPr>
          <w:p w14:paraId="4F80D4A0"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3,48</w:t>
            </w:r>
          </w:p>
        </w:tc>
        <w:tc>
          <w:tcPr>
            <w:tcW w:w="557" w:type="pct"/>
            <w:gridSpan w:val="2"/>
            <w:tcBorders>
              <w:top w:val="single" w:sz="4" w:space="0" w:color="auto"/>
            </w:tcBorders>
            <w:noWrap/>
            <w:vAlign w:val="center"/>
          </w:tcPr>
          <w:p w14:paraId="1C69EE85" w14:textId="43B8A7DA"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lang w:eastAsia="cs-CZ"/>
              </w:rPr>
              <w:t>3,49</w:t>
            </w:r>
          </w:p>
        </w:tc>
        <w:tc>
          <w:tcPr>
            <w:tcW w:w="557" w:type="pct"/>
            <w:gridSpan w:val="2"/>
            <w:tcBorders>
              <w:top w:val="single" w:sz="4" w:space="0" w:color="auto"/>
            </w:tcBorders>
            <w:noWrap/>
            <w:vAlign w:val="center"/>
          </w:tcPr>
          <w:p w14:paraId="26F0297A" w14:textId="1E0C282B"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lang w:eastAsia="cs-CZ"/>
              </w:rPr>
              <w:t>15,48</w:t>
            </w:r>
          </w:p>
        </w:tc>
        <w:tc>
          <w:tcPr>
            <w:tcW w:w="558" w:type="pct"/>
            <w:gridSpan w:val="2"/>
            <w:tcBorders>
              <w:top w:val="single" w:sz="4" w:space="0" w:color="auto"/>
            </w:tcBorders>
            <w:noWrap/>
            <w:vAlign w:val="center"/>
          </w:tcPr>
          <w:p w14:paraId="6673F9E5" w14:textId="536DC885"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lang w:eastAsia="cs-CZ"/>
              </w:rPr>
              <w:t>3,27</w:t>
            </w:r>
          </w:p>
        </w:tc>
        <w:tc>
          <w:tcPr>
            <w:tcW w:w="551" w:type="pct"/>
            <w:tcBorders>
              <w:top w:val="single" w:sz="4" w:space="0" w:color="auto"/>
            </w:tcBorders>
            <w:noWrap/>
            <w:vAlign w:val="center"/>
          </w:tcPr>
          <w:p w14:paraId="0A46B876"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8,48</w:t>
            </w:r>
          </w:p>
        </w:tc>
      </w:tr>
      <w:tr w:rsidR="00C425F2" w:rsidRPr="00E7138D" w14:paraId="79DD9B90" w14:textId="77777777" w:rsidTr="00D55F31">
        <w:trPr>
          <w:trHeight w:val="283"/>
          <w:jc w:val="center"/>
        </w:trPr>
        <w:tc>
          <w:tcPr>
            <w:tcW w:w="1185" w:type="pct"/>
            <w:vMerge/>
            <w:tcBorders>
              <w:bottom w:val="single" w:sz="12" w:space="0" w:color="auto"/>
            </w:tcBorders>
            <w:noWrap/>
            <w:vAlign w:val="center"/>
          </w:tcPr>
          <w:p w14:paraId="0710F384" w14:textId="77777777" w:rsidR="00D55F31" w:rsidRPr="00E7138D" w:rsidRDefault="00D55F31" w:rsidP="0002290A">
            <w:pPr>
              <w:rPr>
                <w:rFonts w:ascii="Calibri" w:hAnsi="Calibri" w:cs="Calibri"/>
                <w:color w:val="000000"/>
                <w:sz w:val="18"/>
                <w:szCs w:val="18"/>
                <w:lang w:eastAsia="cs-CZ"/>
              </w:rPr>
            </w:pPr>
          </w:p>
        </w:tc>
        <w:tc>
          <w:tcPr>
            <w:tcW w:w="1035" w:type="pct"/>
            <w:tcBorders>
              <w:bottom w:val="single" w:sz="12" w:space="0" w:color="auto"/>
            </w:tcBorders>
            <w:vAlign w:val="center"/>
          </w:tcPr>
          <w:p w14:paraId="305ABDDC" w14:textId="2DD27FAE"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BALMED</w:t>
            </w:r>
            <w:r w:rsidR="00826683">
              <w:rPr>
                <w:rFonts w:ascii="Calibri" w:hAnsi="Calibri" w:cs="Calibri"/>
                <w:i/>
                <w:color w:val="000000"/>
                <w:sz w:val="18"/>
                <w:szCs w:val="18"/>
              </w:rPr>
              <w:t xml:space="preserve"> Praha</w:t>
            </w:r>
          </w:p>
        </w:tc>
        <w:tc>
          <w:tcPr>
            <w:tcW w:w="557" w:type="pct"/>
            <w:gridSpan w:val="2"/>
            <w:tcBorders>
              <w:bottom w:val="single" w:sz="12" w:space="0" w:color="auto"/>
            </w:tcBorders>
            <w:noWrap/>
            <w:vAlign w:val="center"/>
          </w:tcPr>
          <w:p w14:paraId="24326F86" w14:textId="35B27A6C"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rPr>
              <w:t>27,77</w:t>
            </w:r>
          </w:p>
        </w:tc>
        <w:tc>
          <w:tcPr>
            <w:tcW w:w="557" w:type="pct"/>
            <w:gridSpan w:val="2"/>
            <w:tcBorders>
              <w:bottom w:val="single" w:sz="12" w:space="0" w:color="auto"/>
            </w:tcBorders>
            <w:noWrap/>
            <w:vAlign w:val="center"/>
          </w:tcPr>
          <w:p w14:paraId="3DED2FE9" w14:textId="1B0F4E7D"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rPr>
              <w:t>15,64</w:t>
            </w:r>
          </w:p>
        </w:tc>
        <w:tc>
          <w:tcPr>
            <w:tcW w:w="557" w:type="pct"/>
            <w:gridSpan w:val="2"/>
            <w:tcBorders>
              <w:bottom w:val="single" w:sz="12" w:space="0" w:color="auto"/>
            </w:tcBorders>
            <w:noWrap/>
            <w:vAlign w:val="center"/>
          </w:tcPr>
          <w:p w14:paraId="4F53DB61"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rPr>
              <w:t>13,27</w:t>
            </w:r>
          </w:p>
        </w:tc>
        <w:tc>
          <w:tcPr>
            <w:tcW w:w="558" w:type="pct"/>
            <w:gridSpan w:val="2"/>
            <w:tcBorders>
              <w:bottom w:val="single" w:sz="12" w:space="0" w:color="auto"/>
            </w:tcBorders>
            <w:noWrap/>
            <w:vAlign w:val="center"/>
          </w:tcPr>
          <w:p w14:paraId="5F13FAFE" w14:textId="3542CF4D"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rPr>
              <w:t>17,55</w:t>
            </w:r>
          </w:p>
        </w:tc>
        <w:tc>
          <w:tcPr>
            <w:tcW w:w="551" w:type="pct"/>
            <w:tcBorders>
              <w:bottom w:val="single" w:sz="12" w:space="0" w:color="auto"/>
            </w:tcBorders>
            <w:noWrap/>
            <w:vAlign w:val="center"/>
          </w:tcPr>
          <w:p w14:paraId="1C90CB8D" w14:textId="5F179829"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rPr>
              <w:t>15,81</w:t>
            </w:r>
          </w:p>
        </w:tc>
      </w:tr>
      <w:tr w:rsidR="00C425F2" w:rsidRPr="00E7138D" w14:paraId="09E0294D" w14:textId="77777777" w:rsidTr="00D55F31">
        <w:trPr>
          <w:trHeight w:val="283"/>
          <w:jc w:val="center"/>
        </w:trPr>
        <w:tc>
          <w:tcPr>
            <w:tcW w:w="1185" w:type="pct"/>
            <w:vMerge w:val="restart"/>
            <w:tcBorders>
              <w:top w:val="single" w:sz="12" w:space="0" w:color="auto"/>
            </w:tcBorders>
            <w:noWrap/>
            <w:vAlign w:val="center"/>
          </w:tcPr>
          <w:p w14:paraId="45A5DE1F" w14:textId="77777777" w:rsidR="00D55F31" w:rsidRPr="00E7138D" w:rsidRDefault="0024693B" w:rsidP="0002290A">
            <w:pPr>
              <w:rPr>
                <w:rFonts w:ascii="Calibri" w:hAnsi="Calibri" w:cs="Calibri"/>
                <w:color w:val="000000"/>
                <w:sz w:val="18"/>
                <w:szCs w:val="18"/>
                <w:lang w:eastAsia="cs-CZ"/>
              </w:rPr>
            </w:pPr>
            <w:r w:rsidRPr="00E7138D">
              <w:rPr>
                <w:rFonts w:ascii="Calibri" w:hAnsi="Calibri" w:cs="Calibri"/>
                <w:color w:val="000000"/>
                <w:sz w:val="18"/>
                <w:szCs w:val="18"/>
                <w:lang w:eastAsia="cs-CZ"/>
              </w:rPr>
              <w:t>Výnosnost vlastního jmění</w:t>
            </w:r>
            <w:r w:rsidRPr="00E7138D">
              <w:rPr>
                <w:rFonts w:ascii="Calibri" w:hAnsi="Calibri" w:cs="Calibri"/>
                <w:color w:val="000000"/>
                <w:sz w:val="18"/>
                <w:szCs w:val="18"/>
                <w:vertAlign w:val="superscript"/>
                <w:lang w:eastAsia="cs-CZ"/>
              </w:rPr>
              <w:footnoteReference w:id="63"/>
            </w:r>
            <w:r w:rsidRPr="00E7138D">
              <w:rPr>
                <w:rFonts w:ascii="Calibri" w:hAnsi="Calibri" w:cs="Calibri"/>
                <w:color w:val="000000"/>
                <w:sz w:val="18"/>
                <w:szCs w:val="18"/>
                <w:lang w:eastAsia="cs-CZ"/>
              </w:rPr>
              <w:t xml:space="preserve"> (v %)</w:t>
            </w:r>
          </w:p>
        </w:tc>
        <w:tc>
          <w:tcPr>
            <w:tcW w:w="1035" w:type="pct"/>
            <w:tcBorders>
              <w:top w:val="single" w:sz="12" w:space="0" w:color="auto"/>
              <w:bottom w:val="single" w:sz="4" w:space="0" w:color="auto"/>
            </w:tcBorders>
            <w:vAlign w:val="center"/>
          </w:tcPr>
          <w:p w14:paraId="07471A04" w14:textId="77777777"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SLL Janské Lázně</w:t>
            </w:r>
          </w:p>
        </w:tc>
        <w:tc>
          <w:tcPr>
            <w:tcW w:w="557" w:type="pct"/>
            <w:gridSpan w:val="2"/>
            <w:tcBorders>
              <w:top w:val="single" w:sz="12" w:space="0" w:color="auto"/>
              <w:bottom w:val="single" w:sz="4" w:space="0" w:color="auto"/>
            </w:tcBorders>
            <w:noWrap/>
            <w:vAlign w:val="center"/>
          </w:tcPr>
          <w:p w14:paraId="4DBDBB42"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0,27</w:t>
            </w:r>
          </w:p>
        </w:tc>
        <w:tc>
          <w:tcPr>
            <w:tcW w:w="557" w:type="pct"/>
            <w:gridSpan w:val="2"/>
            <w:tcBorders>
              <w:top w:val="single" w:sz="12" w:space="0" w:color="auto"/>
              <w:bottom w:val="single" w:sz="4" w:space="0" w:color="auto"/>
            </w:tcBorders>
            <w:noWrap/>
            <w:vAlign w:val="center"/>
          </w:tcPr>
          <w:p w14:paraId="02C5A879" w14:textId="273538E9"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lang w:eastAsia="cs-CZ"/>
              </w:rPr>
              <w:t>6,50</w:t>
            </w:r>
          </w:p>
        </w:tc>
        <w:tc>
          <w:tcPr>
            <w:tcW w:w="557" w:type="pct"/>
            <w:gridSpan w:val="2"/>
            <w:tcBorders>
              <w:top w:val="single" w:sz="12" w:space="0" w:color="auto"/>
              <w:bottom w:val="single" w:sz="4" w:space="0" w:color="auto"/>
            </w:tcBorders>
            <w:noWrap/>
            <w:vAlign w:val="center"/>
          </w:tcPr>
          <w:p w14:paraId="73DCE718" w14:textId="3FD4F838"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lang w:eastAsia="cs-CZ"/>
              </w:rPr>
              <w:t>12,00</w:t>
            </w:r>
          </w:p>
        </w:tc>
        <w:tc>
          <w:tcPr>
            <w:tcW w:w="558" w:type="pct"/>
            <w:gridSpan w:val="2"/>
            <w:tcBorders>
              <w:top w:val="single" w:sz="12" w:space="0" w:color="auto"/>
              <w:bottom w:val="single" w:sz="4" w:space="0" w:color="auto"/>
            </w:tcBorders>
            <w:noWrap/>
            <w:vAlign w:val="center"/>
          </w:tcPr>
          <w:p w14:paraId="7C9A8C50" w14:textId="6843514F"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lang w:eastAsia="cs-CZ"/>
              </w:rPr>
              <w:t>1,08</w:t>
            </w:r>
          </w:p>
        </w:tc>
        <w:tc>
          <w:tcPr>
            <w:tcW w:w="551" w:type="pct"/>
            <w:tcBorders>
              <w:top w:val="single" w:sz="12" w:space="0" w:color="auto"/>
              <w:bottom w:val="single" w:sz="4" w:space="0" w:color="auto"/>
            </w:tcBorders>
            <w:noWrap/>
            <w:vAlign w:val="center"/>
          </w:tcPr>
          <w:p w14:paraId="5005CEED"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1,30</w:t>
            </w:r>
          </w:p>
        </w:tc>
      </w:tr>
      <w:tr w:rsidR="00C425F2" w:rsidRPr="00E7138D" w14:paraId="332CB9FA" w14:textId="77777777" w:rsidTr="00D55F31">
        <w:trPr>
          <w:trHeight w:val="283"/>
          <w:jc w:val="center"/>
        </w:trPr>
        <w:tc>
          <w:tcPr>
            <w:tcW w:w="1185" w:type="pct"/>
            <w:vMerge/>
            <w:tcBorders>
              <w:top w:val="single" w:sz="12" w:space="0" w:color="auto"/>
            </w:tcBorders>
            <w:noWrap/>
            <w:vAlign w:val="center"/>
          </w:tcPr>
          <w:p w14:paraId="779D2238" w14:textId="77777777" w:rsidR="00D55F31" w:rsidRPr="00E7138D" w:rsidRDefault="00D55F31" w:rsidP="0002290A">
            <w:pPr>
              <w:rPr>
                <w:rFonts w:ascii="Calibri" w:hAnsi="Calibri" w:cs="Calibri"/>
                <w:color w:val="000000"/>
                <w:sz w:val="18"/>
                <w:szCs w:val="18"/>
                <w:lang w:eastAsia="cs-CZ"/>
              </w:rPr>
            </w:pPr>
          </w:p>
        </w:tc>
        <w:tc>
          <w:tcPr>
            <w:tcW w:w="1035" w:type="pct"/>
            <w:tcBorders>
              <w:top w:val="single" w:sz="4" w:space="0" w:color="auto"/>
              <w:bottom w:val="single" w:sz="4" w:space="0" w:color="auto"/>
            </w:tcBorders>
            <w:vAlign w:val="center"/>
          </w:tcPr>
          <w:p w14:paraId="6236C7D6" w14:textId="77777777"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HL Karlova Studánka</w:t>
            </w:r>
          </w:p>
        </w:tc>
        <w:tc>
          <w:tcPr>
            <w:tcW w:w="557" w:type="pct"/>
            <w:gridSpan w:val="2"/>
            <w:tcBorders>
              <w:top w:val="single" w:sz="4" w:space="0" w:color="auto"/>
              <w:bottom w:val="single" w:sz="4" w:space="0" w:color="auto"/>
            </w:tcBorders>
            <w:noWrap/>
            <w:vAlign w:val="center"/>
          </w:tcPr>
          <w:p w14:paraId="6A9D4291"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2,45</w:t>
            </w:r>
          </w:p>
        </w:tc>
        <w:tc>
          <w:tcPr>
            <w:tcW w:w="557" w:type="pct"/>
            <w:gridSpan w:val="2"/>
            <w:tcBorders>
              <w:top w:val="single" w:sz="4" w:space="0" w:color="auto"/>
              <w:bottom w:val="single" w:sz="4" w:space="0" w:color="auto"/>
            </w:tcBorders>
            <w:noWrap/>
            <w:vAlign w:val="center"/>
          </w:tcPr>
          <w:p w14:paraId="2E0FAF1C" w14:textId="79934326"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lang w:eastAsia="cs-CZ"/>
              </w:rPr>
              <w:t>3,93</w:t>
            </w:r>
          </w:p>
        </w:tc>
        <w:tc>
          <w:tcPr>
            <w:tcW w:w="557" w:type="pct"/>
            <w:gridSpan w:val="2"/>
            <w:tcBorders>
              <w:top w:val="single" w:sz="4" w:space="0" w:color="auto"/>
              <w:bottom w:val="single" w:sz="4" w:space="0" w:color="auto"/>
            </w:tcBorders>
            <w:noWrap/>
            <w:vAlign w:val="center"/>
          </w:tcPr>
          <w:p w14:paraId="2ABD975F" w14:textId="218407E3"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lang w:eastAsia="cs-CZ"/>
              </w:rPr>
              <w:t>1,94</w:t>
            </w:r>
          </w:p>
        </w:tc>
        <w:tc>
          <w:tcPr>
            <w:tcW w:w="558" w:type="pct"/>
            <w:gridSpan w:val="2"/>
            <w:tcBorders>
              <w:top w:val="single" w:sz="4" w:space="0" w:color="auto"/>
              <w:bottom w:val="single" w:sz="4" w:space="0" w:color="auto"/>
            </w:tcBorders>
            <w:noWrap/>
            <w:vAlign w:val="center"/>
          </w:tcPr>
          <w:p w14:paraId="4664D4F4"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10,10</w:t>
            </w:r>
          </w:p>
        </w:tc>
        <w:tc>
          <w:tcPr>
            <w:tcW w:w="551" w:type="pct"/>
            <w:tcBorders>
              <w:top w:val="single" w:sz="4" w:space="0" w:color="auto"/>
              <w:bottom w:val="single" w:sz="4" w:space="0" w:color="auto"/>
            </w:tcBorders>
            <w:noWrap/>
            <w:vAlign w:val="center"/>
          </w:tcPr>
          <w:p w14:paraId="254A6C62"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7,42</w:t>
            </w:r>
          </w:p>
        </w:tc>
      </w:tr>
      <w:tr w:rsidR="00C425F2" w:rsidRPr="00E7138D" w14:paraId="15D45B51" w14:textId="77777777" w:rsidTr="00D55F31">
        <w:trPr>
          <w:trHeight w:val="283"/>
          <w:jc w:val="center"/>
        </w:trPr>
        <w:tc>
          <w:tcPr>
            <w:tcW w:w="1185" w:type="pct"/>
            <w:vMerge/>
            <w:tcBorders>
              <w:top w:val="single" w:sz="12" w:space="0" w:color="auto"/>
            </w:tcBorders>
            <w:noWrap/>
            <w:vAlign w:val="center"/>
          </w:tcPr>
          <w:p w14:paraId="55E78582" w14:textId="77777777" w:rsidR="00D55F31" w:rsidRPr="00E7138D" w:rsidRDefault="00D55F31" w:rsidP="0002290A">
            <w:pPr>
              <w:rPr>
                <w:rFonts w:ascii="Calibri" w:hAnsi="Calibri" w:cs="Calibri"/>
                <w:color w:val="000000"/>
                <w:sz w:val="18"/>
                <w:szCs w:val="18"/>
                <w:lang w:eastAsia="cs-CZ"/>
              </w:rPr>
            </w:pPr>
          </w:p>
        </w:tc>
        <w:tc>
          <w:tcPr>
            <w:tcW w:w="1035" w:type="pct"/>
            <w:tcBorders>
              <w:top w:val="single" w:sz="4" w:space="0" w:color="auto"/>
            </w:tcBorders>
            <w:vAlign w:val="center"/>
          </w:tcPr>
          <w:p w14:paraId="2DF9B654" w14:textId="77777777"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SLL Bludov</w:t>
            </w:r>
          </w:p>
        </w:tc>
        <w:tc>
          <w:tcPr>
            <w:tcW w:w="557" w:type="pct"/>
            <w:gridSpan w:val="2"/>
            <w:tcBorders>
              <w:top w:val="single" w:sz="4" w:space="0" w:color="auto"/>
            </w:tcBorders>
            <w:noWrap/>
            <w:vAlign w:val="center"/>
          </w:tcPr>
          <w:p w14:paraId="5FD46FC8"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6,06</w:t>
            </w:r>
          </w:p>
        </w:tc>
        <w:tc>
          <w:tcPr>
            <w:tcW w:w="557" w:type="pct"/>
            <w:gridSpan w:val="2"/>
            <w:tcBorders>
              <w:top w:val="single" w:sz="4" w:space="0" w:color="auto"/>
            </w:tcBorders>
            <w:noWrap/>
            <w:vAlign w:val="center"/>
          </w:tcPr>
          <w:p w14:paraId="73D13F7E" w14:textId="612F4556"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lang w:eastAsia="cs-CZ"/>
              </w:rPr>
              <w:t>8,53</w:t>
            </w:r>
          </w:p>
        </w:tc>
        <w:tc>
          <w:tcPr>
            <w:tcW w:w="557" w:type="pct"/>
            <w:gridSpan w:val="2"/>
            <w:tcBorders>
              <w:top w:val="single" w:sz="4" w:space="0" w:color="auto"/>
            </w:tcBorders>
            <w:noWrap/>
            <w:vAlign w:val="center"/>
          </w:tcPr>
          <w:p w14:paraId="3D7DBDEF" w14:textId="6D83E515"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lang w:eastAsia="cs-CZ"/>
              </w:rPr>
              <w:t>54,01</w:t>
            </w:r>
          </w:p>
        </w:tc>
        <w:tc>
          <w:tcPr>
            <w:tcW w:w="558" w:type="pct"/>
            <w:gridSpan w:val="2"/>
            <w:tcBorders>
              <w:top w:val="single" w:sz="4" w:space="0" w:color="auto"/>
            </w:tcBorders>
            <w:noWrap/>
            <w:vAlign w:val="center"/>
          </w:tcPr>
          <w:p w14:paraId="1BEC48BA" w14:textId="77F84598"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lang w:eastAsia="cs-CZ"/>
              </w:rPr>
              <w:t>14,40</w:t>
            </w:r>
          </w:p>
        </w:tc>
        <w:tc>
          <w:tcPr>
            <w:tcW w:w="551" w:type="pct"/>
            <w:tcBorders>
              <w:top w:val="single" w:sz="4" w:space="0" w:color="auto"/>
            </w:tcBorders>
            <w:noWrap/>
            <w:vAlign w:val="center"/>
          </w:tcPr>
          <w:p w14:paraId="52AEC54F"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13,60</w:t>
            </w:r>
          </w:p>
        </w:tc>
      </w:tr>
      <w:tr w:rsidR="00C425F2" w:rsidRPr="00E7138D" w14:paraId="3A14331A" w14:textId="77777777" w:rsidTr="00D55F31">
        <w:trPr>
          <w:trHeight w:val="283"/>
          <w:jc w:val="center"/>
        </w:trPr>
        <w:tc>
          <w:tcPr>
            <w:tcW w:w="1185" w:type="pct"/>
            <w:vMerge/>
            <w:tcBorders>
              <w:bottom w:val="single" w:sz="12" w:space="0" w:color="auto"/>
            </w:tcBorders>
            <w:noWrap/>
            <w:vAlign w:val="center"/>
          </w:tcPr>
          <w:p w14:paraId="0EBFF052" w14:textId="77777777" w:rsidR="00D55F31" w:rsidRPr="00E7138D" w:rsidRDefault="00D55F31" w:rsidP="0002290A">
            <w:pPr>
              <w:rPr>
                <w:rFonts w:ascii="Calibri" w:hAnsi="Calibri" w:cs="Calibri"/>
                <w:color w:val="000000"/>
                <w:sz w:val="18"/>
                <w:szCs w:val="18"/>
                <w:lang w:eastAsia="cs-CZ"/>
              </w:rPr>
            </w:pPr>
          </w:p>
        </w:tc>
        <w:tc>
          <w:tcPr>
            <w:tcW w:w="1035" w:type="pct"/>
            <w:tcBorders>
              <w:bottom w:val="single" w:sz="12" w:space="0" w:color="auto"/>
            </w:tcBorders>
            <w:vAlign w:val="center"/>
          </w:tcPr>
          <w:p w14:paraId="74732E9C" w14:textId="7F79094E"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BALMED</w:t>
            </w:r>
            <w:r w:rsidR="00826683">
              <w:rPr>
                <w:rFonts w:ascii="Calibri" w:hAnsi="Calibri" w:cs="Calibri"/>
                <w:i/>
                <w:color w:val="000000"/>
                <w:sz w:val="18"/>
                <w:szCs w:val="18"/>
              </w:rPr>
              <w:t xml:space="preserve"> Praha</w:t>
            </w:r>
          </w:p>
        </w:tc>
        <w:tc>
          <w:tcPr>
            <w:tcW w:w="557" w:type="pct"/>
            <w:gridSpan w:val="2"/>
            <w:tcBorders>
              <w:bottom w:val="single" w:sz="12" w:space="0" w:color="auto"/>
            </w:tcBorders>
            <w:noWrap/>
            <w:vAlign w:val="center"/>
          </w:tcPr>
          <w:p w14:paraId="01D0190D" w14:textId="0A92D8E0"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rPr>
              <w:t>29,24</w:t>
            </w:r>
          </w:p>
        </w:tc>
        <w:tc>
          <w:tcPr>
            <w:tcW w:w="557" w:type="pct"/>
            <w:gridSpan w:val="2"/>
            <w:tcBorders>
              <w:bottom w:val="single" w:sz="12" w:space="0" w:color="auto"/>
            </w:tcBorders>
            <w:noWrap/>
            <w:vAlign w:val="center"/>
          </w:tcPr>
          <w:p w14:paraId="275DBD4C" w14:textId="3E96B835"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rPr>
              <w:t>16,79</w:t>
            </w:r>
          </w:p>
        </w:tc>
        <w:tc>
          <w:tcPr>
            <w:tcW w:w="557" w:type="pct"/>
            <w:gridSpan w:val="2"/>
            <w:tcBorders>
              <w:bottom w:val="single" w:sz="12" w:space="0" w:color="auto"/>
            </w:tcBorders>
            <w:noWrap/>
            <w:vAlign w:val="center"/>
          </w:tcPr>
          <w:p w14:paraId="5233E194"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rPr>
              <w:t>14,24</w:t>
            </w:r>
          </w:p>
        </w:tc>
        <w:tc>
          <w:tcPr>
            <w:tcW w:w="558" w:type="pct"/>
            <w:gridSpan w:val="2"/>
            <w:tcBorders>
              <w:bottom w:val="single" w:sz="12" w:space="0" w:color="auto"/>
            </w:tcBorders>
            <w:noWrap/>
            <w:vAlign w:val="center"/>
          </w:tcPr>
          <w:p w14:paraId="2B61DADC" w14:textId="372590E3"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rPr>
              <w:t>19,24</w:t>
            </w:r>
          </w:p>
        </w:tc>
        <w:tc>
          <w:tcPr>
            <w:tcW w:w="551" w:type="pct"/>
            <w:tcBorders>
              <w:bottom w:val="single" w:sz="12" w:space="0" w:color="auto"/>
            </w:tcBorders>
            <w:noWrap/>
            <w:vAlign w:val="center"/>
          </w:tcPr>
          <w:p w14:paraId="6415F992" w14:textId="373420D1"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rPr>
              <w:t>17,25</w:t>
            </w:r>
          </w:p>
        </w:tc>
      </w:tr>
      <w:tr w:rsidR="00C425F2" w:rsidRPr="00E7138D" w14:paraId="7F97299A" w14:textId="77777777" w:rsidTr="00D55F31">
        <w:trPr>
          <w:trHeight w:val="283"/>
          <w:jc w:val="center"/>
        </w:trPr>
        <w:tc>
          <w:tcPr>
            <w:tcW w:w="1185" w:type="pct"/>
            <w:vMerge w:val="restart"/>
            <w:tcBorders>
              <w:top w:val="single" w:sz="12" w:space="0" w:color="auto"/>
            </w:tcBorders>
            <w:noWrap/>
            <w:vAlign w:val="center"/>
          </w:tcPr>
          <w:p w14:paraId="33F936DA" w14:textId="77777777" w:rsidR="00D55F31" w:rsidRPr="00E7138D" w:rsidRDefault="0024693B" w:rsidP="0002290A">
            <w:pPr>
              <w:rPr>
                <w:rFonts w:ascii="Calibri" w:hAnsi="Calibri" w:cs="Calibri"/>
                <w:color w:val="000000"/>
                <w:sz w:val="18"/>
                <w:szCs w:val="18"/>
                <w:lang w:eastAsia="cs-CZ"/>
              </w:rPr>
            </w:pPr>
            <w:r w:rsidRPr="00E7138D">
              <w:rPr>
                <w:rFonts w:ascii="Calibri" w:hAnsi="Calibri" w:cs="Calibri"/>
                <w:color w:val="000000"/>
                <w:sz w:val="18"/>
                <w:szCs w:val="18"/>
                <w:lang w:eastAsia="cs-CZ"/>
              </w:rPr>
              <w:t>Výnosnost cizích zdrojů</w:t>
            </w:r>
            <w:r w:rsidRPr="00E7138D">
              <w:rPr>
                <w:rFonts w:ascii="Calibri" w:hAnsi="Calibri" w:cs="Calibri"/>
                <w:color w:val="000000"/>
                <w:sz w:val="18"/>
                <w:szCs w:val="18"/>
                <w:vertAlign w:val="superscript"/>
                <w:lang w:eastAsia="cs-CZ"/>
              </w:rPr>
              <w:footnoteReference w:id="64"/>
            </w:r>
            <w:r w:rsidRPr="00E7138D">
              <w:rPr>
                <w:rFonts w:ascii="Calibri" w:hAnsi="Calibri" w:cs="Calibri"/>
                <w:color w:val="000000"/>
                <w:sz w:val="18"/>
                <w:szCs w:val="18"/>
                <w:lang w:eastAsia="cs-CZ"/>
              </w:rPr>
              <w:t xml:space="preserve"> (v %)</w:t>
            </w:r>
          </w:p>
        </w:tc>
        <w:tc>
          <w:tcPr>
            <w:tcW w:w="1035" w:type="pct"/>
            <w:tcBorders>
              <w:top w:val="single" w:sz="12" w:space="0" w:color="auto"/>
              <w:bottom w:val="single" w:sz="4" w:space="0" w:color="auto"/>
            </w:tcBorders>
            <w:vAlign w:val="center"/>
          </w:tcPr>
          <w:p w14:paraId="7ABA0AD4" w14:textId="77777777"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SLL Janské Lázně</w:t>
            </w:r>
          </w:p>
        </w:tc>
        <w:tc>
          <w:tcPr>
            <w:tcW w:w="557" w:type="pct"/>
            <w:gridSpan w:val="2"/>
            <w:tcBorders>
              <w:top w:val="single" w:sz="12" w:space="0" w:color="auto"/>
              <w:bottom w:val="single" w:sz="4" w:space="0" w:color="auto"/>
            </w:tcBorders>
            <w:noWrap/>
            <w:vAlign w:val="center"/>
          </w:tcPr>
          <w:p w14:paraId="4E3E6BB7"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5,53</w:t>
            </w:r>
          </w:p>
        </w:tc>
        <w:tc>
          <w:tcPr>
            <w:tcW w:w="557" w:type="pct"/>
            <w:gridSpan w:val="2"/>
            <w:tcBorders>
              <w:top w:val="single" w:sz="12" w:space="0" w:color="auto"/>
              <w:bottom w:val="single" w:sz="4" w:space="0" w:color="auto"/>
            </w:tcBorders>
            <w:noWrap/>
            <w:vAlign w:val="center"/>
          </w:tcPr>
          <w:p w14:paraId="4BB71955" w14:textId="65DBCF49"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lang w:eastAsia="cs-CZ"/>
              </w:rPr>
              <w:t>134,22</w:t>
            </w:r>
          </w:p>
        </w:tc>
        <w:tc>
          <w:tcPr>
            <w:tcW w:w="557" w:type="pct"/>
            <w:gridSpan w:val="2"/>
            <w:tcBorders>
              <w:top w:val="single" w:sz="12" w:space="0" w:color="auto"/>
              <w:bottom w:val="single" w:sz="4" w:space="0" w:color="auto"/>
            </w:tcBorders>
            <w:noWrap/>
            <w:vAlign w:val="center"/>
          </w:tcPr>
          <w:p w14:paraId="4A53A127" w14:textId="3CAC09CC"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lang w:eastAsia="cs-CZ"/>
              </w:rPr>
              <w:t>245,01</w:t>
            </w:r>
          </w:p>
        </w:tc>
        <w:tc>
          <w:tcPr>
            <w:tcW w:w="558" w:type="pct"/>
            <w:gridSpan w:val="2"/>
            <w:tcBorders>
              <w:top w:val="single" w:sz="12" w:space="0" w:color="auto"/>
              <w:bottom w:val="single" w:sz="4" w:space="0" w:color="auto"/>
            </w:tcBorders>
            <w:noWrap/>
            <w:vAlign w:val="center"/>
          </w:tcPr>
          <w:p w14:paraId="055A35C1" w14:textId="2F00AEA1"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lang w:eastAsia="cs-CZ"/>
              </w:rPr>
              <w:t>17,35</w:t>
            </w:r>
          </w:p>
        </w:tc>
        <w:tc>
          <w:tcPr>
            <w:tcW w:w="551" w:type="pct"/>
            <w:tcBorders>
              <w:top w:val="single" w:sz="12" w:space="0" w:color="auto"/>
              <w:bottom w:val="single" w:sz="4" w:space="0" w:color="auto"/>
            </w:tcBorders>
            <w:noWrap/>
            <w:vAlign w:val="center"/>
          </w:tcPr>
          <w:p w14:paraId="70CCE5C2"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15,98</w:t>
            </w:r>
          </w:p>
        </w:tc>
      </w:tr>
      <w:tr w:rsidR="00C425F2" w:rsidRPr="00E7138D" w14:paraId="0EA1304A" w14:textId="77777777" w:rsidTr="00D55F31">
        <w:trPr>
          <w:trHeight w:val="283"/>
          <w:jc w:val="center"/>
        </w:trPr>
        <w:tc>
          <w:tcPr>
            <w:tcW w:w="1185" w:type="pct"/>
            <w:vMerge/>
            <w:tcBorders>
              <w:top w:val="single" w:sz="12" w:space="0" w:color="auto"/>
            </w:tcBorders>
            <w:noWrap/>
            <w:vAlign w:val="center"/>
          </w:tcPr>
          <w:p w14:paraId="6523E8F6" w14:textId="77777777" w:rsidR="00D55F31" w:rsidRPr="00E7138D" w:rsidRDefault="00D55F31" w:rsidP="0002290A">
            <w:pPr>
              <w:rPr>
                <w:rFonts w:ascii="Calibri" w:hAnsi="Calibri" w:cs="Calibri"/>
                <w:color w:val="000000"/>
                <w:sz w:val="18"/>
                <w:szCs w:val="18"/>
                <w:lang w:eastAsia="cs-CZ"/>
              </w:rPr>
            </w:pPr>
          </w:p>
        </w:tc>
        <w:tc>
          <w:tcPr>
            <w:tcW w:w="1035" w:type="pct"/>
            <w:tcBorders>
              <w:top w:val="single" w:sz="4" w:space="0" w:color="auto"/>
              <w:bottom w:val="single" w:sz="4" w:space="0" w:color="auto"/>
            </w:tcBorders>
            <w:vAlign w:val="center"/>
          </w:tcPr>
          <w:p w14:paraId="2DAD147D" w14:textId="77777777"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HL Karlova Studánka</w:t>
            </w:r>
          </w:p>
        </w:tc>
        <w:tc>
          <w:tcPr>
            <w:tcW w:w="557" w:type="pct"/>
            <w:gridSpan w:val="2"/>
            <w:tcBorders>
              <w:top w:val="single" w:sz="4" w:space="0" w:color="auto"/>
              <w:bottom w:val="single" w:sz="4" w:space="0" w:color="auto"/>
            </w:tcBorders>
            <w:noWrap/>
            <w:vAlign w:val="center"/>
          </w:tcPr>
          <w:p w14:paraId="63F7C132"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6,62</w:t>
            </w:r>
          </w:p>
        </w:tc>
        <w:tc>
          <w:tcPr>
            <w:tcW w:w="557" w:type="pct"/>
            <w:gridSpan w:val="2"/>
            <w:tcBorders>
              <w:top w:val="single" w:sz="4" w:space="0" w:color="auto"/>
              <w:bottom w:val="single" w:sz="4" w:space="0" w:color="auto"/>
            </w:tcBorders>
            <w:noWrap/>
            <w:vAlign w:val="center"/>
          </w:tcPr>
          <w:p w14:paraId="32BB8770" w14:textId="48380FF5"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lang w:eastAsia="cs-CZ"/>
              </w:rPr>
              <w:t>12,51</w:t>
            </w:r>
          </w:p>
        </w:tc>
        <w:tc>
          <w:tcPr>
            <w:tcW w:w="557" w:type="pct"/>
            <w:gridSpan w:val="2"/>
            <w:tcBorders>
              <w:top w:val="single" w:sz="4" w:space="0" w:color="auto"/>
              <w:bottom w:val="single" w:sz="4" w:space="0" w:color="auto"/>
            </w:tcBorders>
            <w:noWrap/>
            <w:vAlign w:val="center"/>
          </w:tcPr>
          <w:p w14:paraId="5F479938" w14:textId="29C9100F"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lang w:eastAsia="cs-CZ"/>
              </w:rPr>
              <w:t>7,25</w:t>
            </w:r>
          </w:p>
        </w:tc>
        <w:tc>
          <w:tcPr>
            <w:tcW w:w="558" w:type="pct"/>
            <w:gridSpan w:val="2"/>
            <w:tcBorders>
              <w:top w:val="single" w:sz="4" w:space="0" w:color="auto"/>
              <w:bottom w:val="single" w:sz="4" w:space="0" w:color="auto"/>
            </w:tcBorders>
            <w:noWrap/>
            <w:vAlign w:val="center"/>
          </w:tcPr>
          <w:p w14:paraId="58CDE8C3"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47,29</w:t>
            </w:r>
          </w:p>
        </w:tc>
        <w:tc>
          <w:tcPr>
            <w:tcW w:w="551" w:type="pct"/>
            <w:tcBorders>
              <w:top w:val="single" w:sz="4" w:space="0" w:color="auto"/>
              <w:bottom w:val="single" w:sz="4" w:space="0" w:color="auto"/>
            </w:tcBorders>
            <w:noWrap/>
            <w:vAlign w:val="center"/>
          </w:tcPr>
          <w:p w14:paraId="6E675E7F"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56,33</w:t>
            </w:r>
          </w:p>
        </w:tc>
      </w:tr>
      <w:tr w:rsidR="00C425F2" w:rsidRPr="00E7138D" w14:paraId="0A4054CF" w14:textId="77777777" w:rsidTr="00D55F31">
        <w:trPr>
          <w:trHeight w:val="283"/>
          <w:jc w:val="center"/>
        </w:trPr>
        <w:tc>
          <w:tcPr>
            <w:tcW w:w="1185" w:type="pct"/>
            <w:vMerge/>
            <w:tcBorders>
              <w:top w:val="single" w:sz="12" w:space="0" w:color="auto"/>
            </w:tcBorders>
            <w:noWrap/>
            <w:vAlign w:val="center"/>
          </w:tcPr>
          <w:p w14:paraId="58C64DFD" w14:textId="77777777" w:rsidR="00D55F31" w:rsidRPr="00E7138D" w:rsidRDefault="00D55F31" w:rsidP="0002290A">
            <w:pPr>
              <w:rPr>
                <w:rFonts w:ascii="Calibri" w:hAnsi="Calibri" w:cs="Calibri"/>
                <w:color w:val="000000"/>
                <w:sz w:val="18"/>
                <w:szCs w:val="18"/>
                <w:lang w:eastAsia="cs-CZ"/>
              </w:rPr>
            </w:pPr>
          </w:p>
        </w:tc>
        <w:tc>
          <w:tcPr>
            <w:tcW w:w="1035" w:type="pct"/>
            <w:tcBorders>
              <w:top w:val="single" w:sz="4" w:space="0" w:color="auto"/>
            </w:tcBorders>
            <w:vAlign w:val="center"/>
          </w:tcPr>
          <w:p w14:paraId="4AAACB36" w14:textId="77777777"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SLL Bludov</w:t>
            </w:r>
          </w:p>
        </w:tc>
        <w:tc>
          <w:tcPr>
            <w:tcW w:w="557" w:type="pct"/>
            <w:gridSpan w:val="2"/>
            <w:tcBorders>
              <w:top w:val="single" w:sz="4" w:space="0" w:color="auto"/>
            </w:tcBorders>
            <w:noWrap/>
            <w:vAlign w:val="center"/>
          </w:tcPr>
          <w:p w14:paraId="1542AA77"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10,74</w:t>
            </w:r>
          </w:p>
        </w:tc>
        <w:tc>
          <w:tcPr>
            <w:tcW w:w="557" w:type="pct"/>
            <w:gridSpan w:val="2"/>
            <w:tcBorders>
              <w:top w:val="single" w:sz="4" w:space="0" w:color="auto"/>
            </w:tcBorders>
            <w:noWrap/>
            <w:vAlign w:val="center"/>
          </w:tcPr>
          <w:p w14:paraId="39925486" w14:textId="2179D210"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lang w:eastAsia="cs-CZ"/>
              </w:rPr>
              <w:t>10,41</w:t>
            </w:r>
          </w:p>
        </w:tc>
        <w:tc>
          <w:tcPr>
            <w:tcW w:w="557" w:type="pct"/>
            <w:gridSpan w:val="2"/>
            <w:tcBorders>
              <w:top w:val="single" w:sz="4" w:space="0" w:color="auto"/>
            </w:tcBorders>
            <w:noWrap/>
            <w:vAlign w:val="center"/>
          </w:tcPr>
          <w:p w14:paraId="3DC1627C" w14:textId="597C75A5"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lang w:eastAsia="cs-CZ"/>
              </w:rPr>
              <w:t>36,09</w:t>
            </w:r>
          </w:p>
        </w:tc>
        <w:tc>
          <w:tcPr>
            <w:tcW w:w="558" w:type="pct"/>
            <w:gridSpan w:val="2"/>
            <w:tcBorders>
              <w:top w:val="single" w:sz="4" w:space="0" w:color="auto"/>
            </w:tcBorders>
            <w:noWrap/>
            <w:vAlign w:val="center"/>
          </w:tcPr>
          <w:p w14:paraId="3EEC05AA" w14:textId="16BA1FDF"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lang w:eastAsia="cs-CZ"/>
              </w:rPr>
              <w:t>6,46</w:t>
            </w:r>
          </w:p>
        </w:tc>
        <w:tc>
          <w:tcPr>
            <w:tcW w:w="551" w:type="pct"/>
            <w:tcBorders>
              <w:top w:val="single" w:sz="4" w:space="0" w:color="auto"/>
            </w:tcBorders>
            <w:noWrap/>
            <w:vAlign w:val="center"/>
          </w:tcPr>
          <w:p w14:paraId="7FA223B2"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101,33</w:t>
            </w:r>
          </w:p>
        </w:tc>
      </w:tr>
      <w:tr w:rsidR="00C425F2" w:rsidRPr="00E7138D" w14:paraId="3270396A" w14:textId="77777777" w:rsidTr="00D55F31">
        <w:trPr>
          <w:trHeight w:val="283"/>
          <w:jc w:val="center"/>
        </w:trPr>
        <w:tc>
          <w:tcPr>
            <w:tcW w:w="1185" w:type="pct"/>
            <w:vMerge/>
            <w:tcBorders>
              <w:bottom w:val="single" w:sz="12" w:space="0" w:color="auto"/>
            </w:tcBorders>
            <w:noWrap/>
            <w:vAlign w:val="center"/>
          </w:tcPr>
          <w:p w14:paraId="61024777" w14:textId="77777777" w:rsidR="00D55F31" w:rsidRPr="00E7138D" w:rsidRDefault="00D55F31" w:rsidP="0002290A">
            <w:pPr>
              <w:rPr>
                <w:rFonts w:ascii="Calibri" w:hAnsi="Calibri" w:cs="Calibri"/>
                <w:color w:val="000000"/>
                <w:sz w:val="18"/>
                <w:szCs w:val="18"/>
                <w:lang w:eastAsia="cs-CZ"/>
              </w:rPr>
            </w:pPr>
          </w:p>
        </w:tc>
        <w:tc>
          <w:tcPr>
            <w:tcW w:w="1035" w:type="pct"/>
            <w:tcBorders>
              <w:bottom w:val="single" w:sz="12" w:space="0" w:color="auto"/>
            </w:tcBorders>
            <w:vAlign w:val="center"/>
          </w:tcPr>
          <w:p w14:paraId="2F7C77E6" w14:textId="6166E008"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BALMED</w:t>
            </w:r>
            <w:r w:rsidR="00826683">
              <w:rPr>
                <w:rFonts w:ascii="Calibri" w:hAnsi="Calibri" w:cs="Calibri"/>
                <w:i/>
                <w:color w:val="000000"/>
                <w:sz w:val="18"/>
                <w:szCs w:val="18"/>
              </w:rPr>
              <w:t xml:space="preserve"> Praha</w:t>
            </w:r>
          </w:p>
        </w:tc>
        <w:tc>
          <w:tcPr>
            <w:tcW w:w="557" w:type="pct"/>
            <w:gridSpan w:val="2"/>
            <w:tcBorders>
              <w:bottom w:val="single" w:sz="12" w:space="0" w:color="auto"/>
            </w:tcBorders>
            <w:noWrap/>
            <w:vAlign w:val="center"/>
          </w:tcPr>
          <w:p w14:paraId="551079F6" w14:textId="7D657B2F"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rPr>
              <w:t>739,58</w:t>
            </w:r>
          </w:p>
        </w:tc>
        <w:tc>
          <w:tcPr>
            <w:tcW w:w="557" w:type="pct"/>
            <w:gridSpan w:val="2"/>
            <w:tcBorders>
              <w:bottom w:val="single" w:sz="12" w:space="0" w:color="auto"/>
            </w:tcBorders>
            <w:noWrap/>
            <w:vAlign w:val="center"/>
          </w:tcPr>
          <w:p w14:paraId="7423B02D" w14:textId="3933BDB9"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rPr>
              <w:t>452,48</w:t>
            </w:r>
          </w:p>
        </w:tc>
        <w:tc>
          <w:tcPr>
            <w:tcW w:w="557" w:type="pct"/>
            <w:gridSpan w:val="2"/>
            <w:tcBorders>
              <w:bottom w:val="single" w:sz="12" w:space="0" w:color="auto"/>
            </w:tcBorders>
            <w:noWrap/>
            <w:vAlign w:val="center"/>
          </w:tcPr>
          <w:p w14:paraId="182A9813"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rPr>
              <w:t>445,38</w:t>
            </w:r>
          </w:p>
        </w:tc>
        <w:tc>
          <w:tcPr>
            <w:tcW w:w="558" w:type="pct"/>
            <w:gridSpan w:val="2"/>
            <w:tcBorders>
              <w:bottom w:val="single" w:sz="12" w:space="0" w:color="auto"/>
            </w:tcBorders>
            <w:noWrap/>
            <w:vAlign w:val="center"/>
          </w:tcPr>
          <w:p w14:paraId="3518CFC5" w14:textId="11024198"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rPr>
              <w:t>464,75</w:t>
            </w:r>
          </w:p>
        </w:tc>
        <w:tc>
          <w:tcPr>
            <w:tcW w:w="551" w:type="pct"/>
            <w:tcBorders>
              <w:bottom w:val="single" w:sz="12" w:space="0" w:color="auto"/>
            </w:tcBorders>
            <w:noWrap/>
            <w:vAlign w:val="center"/>
          </w:tcPr>
          <w:p w14:paraId="13E77B41" w14:textId="1E9B2077"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rPr>
              <w:t>518,79</w:t>
            </w:r>
          </w:p>
        </w:tc>
      </w:tr>
      <w:tr w:rsidR="00C425F2" w:rsidRPr="00E7138D" w14:paraId="5D48C28E" w14:textId="77777777" w:rsidTr="00D55F31">
        <w:trPr>
          <w:trHeight w:val="283"/>
          <w:jc w:val="center"/>
        </w:trPr>
        <w:tc>
          <w:tcPr>
            <w:tcW w:w="1185" w:type="pct"/>
            <w:vMerge w:val="restart"/>
            <w:tcBorders>
              <w:top w:val="single" w:sz="12" w:space="0" w:color="auto"/>
            </w:tcBorders>
            <w:noWrap/>
            <w:vAlign w:val="center"/>
          </w:tcPr>
          <w:p w14:paraId="16577851" w14:textId="77777777" w:rsidR="00D55F31" w:rsidRPr="00E7138D" w:rsidRDefault="0024693B" w:rsidP="0002290A">
            <w:pPr>
              <w:rPr>
                <w:rFonts w:ascii="Calibri" w:hAnsi="Calibri" w:cs="Calibri"/>
                <w:color w:val="000000"/>
                <w:sz w:val="18"/>
                <w:szCs w:val="18"/>
                <w:lang w:eastAsia="cs-CZ"/>
              </w:rPr>
            </w:pPr>
            <w:r w:rsidRPr="00E7138D">
              <w:rPr>
                <w:rFonts w:ascii="Calibri" w:hAnsi="Calibri" w:cs="Calibri"/>
                <w:color w:val="000000"/>
                <w:sz w:val="18"/>
                <w:szCs w:val="18"/>
                <w:lang w:eastAsia="cs-CZ"/>
              </w:rPr>
              <w:t>Zisková marže</w:t>
            </w:r>
            <w:r w:rsidRPr="00E7138D">
              <w:rPr>
                <w:rFonts w:ascii="Calibri" w:hAnsi="Calibri" w:cs="Calibri"/>
                <w:color w:val="000000"/>
                <w:sz w:val="18"/>
                <w:szCs w:val="18"/>
                <w:vertAlign w:val="superscript"/>
                <w:lang w:eastAsia="cs-CZ"/>
              </w:rPr>
              <w:footnoteReference w:id="65"/>
            </w:r>
            <w:r w:rsidRPr="00E7138D">
              <w:rPr>
                <w:rFonts w:ascii="Calibri" w:hAnsi="Calibri" w:cs="Calibri"/>
                <w:color w:val="000000"/>
                <w:sz w:val="18"/>
                <w:szCs w:val="18"/>
                <w:lang w:eastAsia="cs-CZ"/>
              </w:rPr>
              <w:t xml:space="preserve"> (v %)</w:t>
            </w:r>
          </w:p>
        </w:tc>
        <w:tc>
          <w:tcPr>
            <w:tcW w:w="1035" w:type="pct"/>
            <w:tcBorders>
              <w:top w:val="single" w:sz="12" w:space="0" w:color="auto"/>
              <w:bottom w:val="single" w:sz="4" w:space="0" w:color="auto"/>
            </w:tcBorders>
            <w:vAlign w:val="center"/>
          </w:tcPr>
          <w:p w14:paraId="34AF88FA" w14:textId="77777777"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SLL Janské Lázně</w:t>
            </w:r>
          </w:p>
        </w:tc>
        <w:tc>
          <w:tcPr>
            <w:tcW w:w="557" w:type="pct"/>
            <w:gridSpan w:val="2"/>
            <w:tcBorders>
              <w:top w:val="single" w:sz="12" w:space="0" w:color="auto"/>
              <w:bottom w:val="single" w:sz="4" w:space="0" w:color="auto"/>
            </w:tcBorders>
            <w:noWrap/>
            <w:vAlign w:val="center"/>
          </w:tcPr>
          <w:p w14:paraId="4D26B895"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0,59</w:t>
            </w:r>
          </w:p>
        </w:tc>
        <w:tc>
          <w:tcPr>
            <w:tcW w:w="557" w:type="pct"/>
            <w:gridSpan w:val="2"/>
            <w:tcBorders>
              <w:top w:val="single" w:sz="12" w:space="0" w:color="auto"/>
              <w:bottom w:val="single" w:sz="4" w:space="0" w:color="auto"/>
            </w:tcBorders>
            <w:noWrap/>
            <w:vAlign w:val="center"/>
          </w:tcPr>
          <w:p w14:paraId="61841D32" w14:textId="40392A35"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lang w:eastAsia="cs-CZ"/>
              </w:rPr>
              <w:t>15,19</w:t>
            </w:r>
          </w:p>
        </w:tc>
        <w:tc>
          <w:tcPr>
            <w:tcW w:w="557" w:type="pct"/>
            <w:gridSpan w:val="2"/>
            <w:tcBorders>
              <w:top w:val="single" w:sz="12" w:space="0" w:color="auto"/>
              <w:bottom w:val="single" w:sz="4" w:space="0" w:color="auto"/>
            </w:tcBorders>
            <w:noWrap/>
            <w:vAlign w:val="center"/>
          </w:tcPr>
          <w:p w14:paraId="2460E4AD" w14:textId="6C14F6D6"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lang w:eastAsia="cs-CZ"/>
              </w:rPr>
              <w:t>32,74</w:t>
            </w:r>
          </w:p>
        </w:tc>
        <w:tc>
          <w:tcPr>
            <w:tcW w:w="558" w:type="pct"/>
            <w:gridSpan w:val="2"/>
            <w:tcBorders>
              <w:top w:val="single" w:sz="12" w:space="0" w:color="auto"/>
              <w:bottom w:val="single" w:sz="4" w:space="0" w:color="auto"/>
            </w:tcBorders>
            <w:noWrap/>
            <w:vAlign w:val="center"/>
          </w:tcPr>
          <w:p w14:paraId="34318EB3" w14:textId="7B4E69CC"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lang w:eastAsia="cs-CZ"/>
              </w:rPr>
              <w:t>2,09</w:t>
            </w:r>
          </w:p>
        </w:tc>
        <w:tc>
          <w:tcPr>
            <w:tcW w:w="551" w:type="pct"/>
            <w:tcBorders>
              <w:top w:val="single" w:sz="12" w:space="0" w:color="auto"/>
              <w:bottom w:val="single" w:sz="4" w:space="0" w:color="auto"/>
            </w:tcBorders>
            <w:noWrap/>
            <w:vAlign w:val="center"/>
          </w:tcPr>
          <w:p w14:paraId="6C3C384D"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2,27</w:t>
            </w:r>
          </w:p>
        </w:tc>
      </w:tr>
      <w:tr w:rsidR="00C425F2" w:rsidRPr="00E7138D" w14:paraId="4E48D8F7" w14:textId="77777777" w:rsidTr="00D55F31">
        <w:trPr>
          <w:trHeight w:val="283"/>
          <w:jc w:val="center"/>
        </w:trPr>
        <w:tc>
          <w:tcPr>
            <w:tcW w:w="1185" w:type="pct"/>
            <w:vMerge/>
            <w:tcBorders>
              <w:top w:val="single" w:sz="12" w:space="0" w:color="auto"/>
            </w:tcBorders>
            <w:noWrap/>
            <w:vAlign w:val="center"/>
          </w:tcPr>
          <w:p w14:paraId="4B5CA0AB" w14:textId="77777777" w:rsidR="00D55F31" w:rsidRPr="00E7138D" w:rsidRDefault="00D55F31" w:rsidP="0002290A">
            <w:pPr>
              <w:rPr>
                <w:rFonts w:ascii="Calibri" w:hAnsi="Calibri" w:cs="Calibri"/>
                <w:color w:val="000000"/>
                <w:sz w:val="18"/>
                <w:szCs w:val="18"/>
                <w:lang w:eastAsia="cs-CZ"/>
              </w:rPr>
            </w:pPr>
          </w:p>
        </w:tc>
        <w:tc>
          <w:tcPr>
            <w:tcW w:w="1035" w:type="pct"/>
            <w:tcBorders>
              <w:top w:val="single" w:sz="4" w:space="0" w:color="auto"/>
              <w:bottom w:val="single" w:sz="4" w:space="0" w:color="auto"/>
            </w:tcBorders>
            <w:vAlign w:val="center"/>
          </w:tcPr>
          <w:p w14:paraId="3B8CAD38" w14:textId="77777777"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HL Karlova Studánka</w:t>
            </w:r>
          </w:p>
        </w:tc>
        <w:tc>
          <w:tcPr>
            <w:tcW w:w="557" w:type="pct"/>
            <w:gridSpan w:val="2"/>
            <w:tcBorders>
              <w:top w:val="single" w:sz="4" w:space="0" w:color="auto"/>
              <w:bottom w:val="single" w:sz="4" w:space="0" w:color="auto"/>
            </w:tcBorders>
            <w:noWrap/>
            <w:vAlign w:val="center"/>
          </w:tcPr>
          <w:p w14:paraId="1EDE02CE"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2,38</w:t>
            </w:r>
          </w:p>
        </w:tc>
        <w:tc>
          <w:tcPr>
            <w:tcW w:w="557" w:type="pct"/>
            <w:gridSpan w:val="2"/>
            <w:tcBorders>
              <w:top w:val="single" w:sz="4" w:space="0" w:color="auto"/>
              <w:bottom w:val="single" w:sz="4" w:space="0" w:color="auto"/>
            </w:tcBorders>
            <w:noWrap/>
            <w:vAlign w:val="center"/>
          </w:tcPr>
          <w:p w14:paraId="461E5AEC" w14:textId="0A3DB345"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lang w:eastAsia="cs-CZ"/>
              </w:rPr>
              <w:t>4,39</w:t>
            </w:r>
          </w:p>
        </w:tc>
        <w:tc>
          <w:tcPr>
            <w:tcW w:w="557" w:type="pct"/>
            <w:gridSpan w:val="2"/>
            <w:tcBorders>
              <w:top w:val="single" w:sz="4" w:space="0" w:color="auto"/>
              <w:bottom w:val="single" w:sz="4" w:space="0" w:color="auto"/>
            </w:tcBorders>
            <w:noWrap/>
            <w:vAlign w:val="center"/>
          </w:tcPr>
          <w:p w14:paraId="1592F185" w14:textId="7C1310CA"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lang w:eastAsia="cs-CZ"/>
              </w:rPr>
              <w:t>2,46</w:t>
            </w:r>
          </w:p>
        </w:tc>
        <w:tc>
          <w:tcPr>
            <w:tcW w:w="558" w:type="pct"/>
            <w:gridSpan w:val="2"/>
            <w:tcBorders>
              <w:top w:val="single" w:sz="4" w:space="0" w:color="auto"/>
              <w:bottom w:val="single" w:sz="4" w:space="0" w:color="auto"/>
            </w:tcBorders>
            <w:noWrap/>
            <w:vAlign w:val="center"/>
          </w:tcPr>
          <w:p w14:paraId="4148305E"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12,35</w:t>
            </w:r>
          </w:p>
        </w:tc>
        <w:tc>
          <w:tcPr>
            <w:tcW w:w="551" w:type="pct"/>
            <w:tcBorders>
              <w:top w:val="single" w:sz="4" w:space="0" w:color="auto"/>
              <w:bottom w:val="single" w:sz="4" w:space="0" w:color="auto"/>
            </w:tcBorders>
            <w:noWrap/>
            <w:vAlign w:val="center"/>
          </w:tcPr>
          <w:p w14:paraId="097450B5"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8,55</w:t>
            </w:r>
          </w:p>
        </w:tc>
      </w:tr>
      <w:tr w:rsidR="00C425F2" w:rsidRPr="00E7138D" w14:paraId="44677A3A" w14:textId="77777777" w:rsidTr="00D55F31">
        <w:trPr>
          <w:trHeight w:val="283"/>
          <w:jc w:val="center"/>
        </w:trPr>
        <w:tc>
          <w:tcPr>
            <w:tcW w:w="1185" w:type="pct"/>
            <w:vMerge/>
            <w:tcBorders>
              <w:top w:val="single" w:sz="12" w:space="0" w:color="auto"/>
            </w:tcBorders>
            <w:noWrap/>
            <w:vAlign w:val="center"/>
          </w:tcPr>
          <w:p w14:paraId="5BB851D2" w14:textId="77777777" w:rsidR="00D55F31" w:rsidRPr="00E7138D" w:rsidRDefault="00D55F31" w:rsidP="0002290A">
            <w:pPr>
              <w:rPr>
                <w:rFonts w:ascii="Calibri" w:hAnsi="Calibri" w:cs="Calibri"/>
                <w:color w:val="000000"/>
                <w:sz w:val="18"/>
                <w:szCs w:val="18"/>
                <w:lang w:eastAsia="cs-CZ"/>
              </w:rPr>
            </w:pPr>
          </w:p>
        </w:tc>
        <w:tc>
          <w:tcPr>
            <w:tcW w:w="1035" w:type="pct"/>
            <w:tcBorders>
              <w:top w:val="single" w:sz="4" w:space="0" w:color="auto"/>
            </w:tcBorders>
            <w:vAlign w:val="center"/>
          </w:tcPr>
          <w:p w14:paraId="4927DA2D" w14:textId="77777777"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SLL Bludov</w:t>
            </w:r>
          </w:p>
        </w:tc>
        <w:tc>
          <w:tcPr>
            <w:tcW w:w="557" w:type="pct"/>
            <w:gridSpan w:val="2"/>
            <w:tcBorders>
              <w:top w:val="single" w:sz="4" w:space="0" w:color="auto"/>
            </w:tcBorders>
            <w:noWrap/>
            <w:vAlign w:val="center"/>
          </w:tcPr>
          <w:p w14:paraId="18E9D7FA"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2,91</w:t>
            </w:r>
          </w:p>
        </w:tc>
        <w:tc>
          <w:tcPr>
            <w:tcW w:w="557" w:type="pct"/>
            <w:gridSpan w:val="2"/>
            <w:tcBorders>
              <w:top w:val="single" w:sz="4" w:space="0" w:color="auto"/>
            </w:tcBorders>
            <w:noWrap/>
            <w:vAlign w:val="center"/>
          </w:tcPr>
          <w:p w14:paraId="5E0F4D50" w14:textId="02781477"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lang w:eastAsia="cs-CZ"/>
              </w:rPr>
              <w:t>4,72</w:t>
            </w:r>
          </w:p>
        </w:tc>
        <w:tc>
          <w:tcPr>
            <w:tcW w:w="557" w:type="pct"/>
            <w:gridSpan w:val="2"/>
            <w:tcBorders>
              <w:top w:val="single" w:sz="4" w:space="0" w:color="auto"/>
            </w:tcBorders>
            <w:noWrap/>
            <w:vAlign w:val="center"/>
          </w:tcPr>
          <w:p w14:paraId="0C15D872" w14:textId="53B5CF1A"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lang w:eastAsia="cs-CZ"/>
              </w:rPr>
              <w:t>27,33</w:t>
            </w:r>
          </w:p>
        </w:tc>
        <w:tc>
          <w:tcPr>
            <w:tcW w:w="558" w:type="pct"/>
            <w:gridSpan w:val="2"/>
            <w:tcBorders>
              <w:top w:val="single" w:sz="4" w:space="0" w:color="auto"/>
            </w:tcBorders>
            <w:noWrap/>
            <w:vAlign w:val="center"/>
          </w:tcPr>
          <w:p w14:paraId="3D1D53D9" w14:textId="00D7094B"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lang w:eastAsia="cs-CZ"/>
              </w:rPr>
              <w:t>4,79</w:t>
            </w:r>
          </w:p>
        </w:tc>
        <w:tc>
          <w:tcPr>
            <w:tcW w:w="551" w:type="pct"/>
            <w:tcBorders>
              <w:top w:val="single" w:sz="4" w:space="0" w:color="auto"/>
            </w:tcBorders>
            <w:noWrap/>
            <w:vAlign w:val="center"/>
          </w:tcPr>
          <w:p w14:paraId="29267BC8"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7,66</w:t>
            </w:r>
          </w:p>
        </w:tc>
      </w:tr>
      <w:tr w:rsidR="00C425F2" w:rsidRPr="00E7138D" w14:paraId="68395533" w14:textId="77777777" w:rsidTr="00D55F31">
        <w:trPr>
          <w:trHeight w:val="283"/>
          <w:jc w:val="center"/>
        </w:trPr>
        <w:tc>
          <w:tcPr>
            <w:tcW w:w="1185" w:type="pct"/>
            <w:vMerge/>
            <w:noWrap/>
            <w:vAlign w:val="center"/>
          </w:tcPr>
          <w:p w14:paraId="50C8E35A" w14:textId="77777777" w:rsidR="00D55F31" w:rsidRPr="00E7138D" w:rsidRDefault="00D55F31" w:rsidP="0002290A">
            <w:pPr>
              <w:rPr>
                <w:rFonts w:ascii="Calibri" w:hAnsi="Calibri" w:cs="Calibri"/>
                <w:color w:val="000000"/>
                <w:sz w:val="18"/>
                <w:szCs w:val="18"/>
                <w:lang w:eastAsia="cs-CZ"/>
              </w:rPr>
            </w:pPr>
          </w:p>
        </w:tc>
        <w:tc>
          <w:tcPr>
            <w:tcW w:w="1035" w:type="pct"/>
            <w:vAlign w:val="center"/>
          </w:tcPr>
          <w:p w14:paraId="45C6DD32" w14:textId="42AD85EC"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BALMED</w:t>
            </w:r>
            <w:r w:rsidR="00826683">
              <w:rPr>
                <w:rFonts w:ascii="Calibri" w:hAnsi="Calibri" w:cs="Calibri"/>
                <w:i/>
                <w:color w:val="000000"/>
                <w:sz w:val="18"/>
                <w:szCs w:val="18"/>
              </w:rPr>
              <w:t xml:space="preserve"> Praha</w:t>
            </w:r>
          </w:p>
        </w:tc>
        <w:tc>
          <w:tcPr>
            <w:tcW w:w="557" w:type="pct"/>
            <w:gridSpan w:val="2"/>
            <w:noWrap/>
            <w:vAlign w:val="center"/>
          </w:tcPr>
          <w:p w14:paraId="79209769" w14:textId="548C3B7E"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rPr>
              <w:t>319,34</w:t>
            </w:r>
          </w:p>
        </w:tc>
        <w:tc>
          <w:tcPr>
            <w:tcW w:w="557" w:type="pct"/>
            <w:gridSpan w:val="2"/>
            <w:noWrap/>
            <w:vAlign w:val="center"/>
          </w:tcPr>
          <w:p w14:paraId="725D8596" w14:textId="22D321ED"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rPr>
              <w:t>102,90</w:t>
            </w:r>
          </w:p>
        </w:tc>
        <w:tc>
          <w:tcPr>
            <w:tcW w:w="557" w:type="pct"/>
            <w:gridSpan w:val="2"/>
            <w:noWrap/>
            <w:vAlign w:val="center"/>
          </w:tcPr>
          <w:p w14:paraId="08DAC1CF"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rPr>
              <w:t>28,81</w:t>
            </w:r>
          </w:p>
        </w:tc>
        <w:tc>
          <w:tcPr>
            <w:tcW w:w="558" w:type="pct"/>
            <w:gridSpan w:val="2"/>
            <w:noWrap/>
            <w:vAlign w:val="center"/>
          </w:tcPr>
          <w:p w14:paraId="4B49CE7B" w14:textId="18C9352D"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rPr>
              <w:t>192,06</w:t>
            </w:r>
          </w:p>
        </w:tc>
        <w:tc>
          <w:tcPr>
            <w:tcW w:w="551" w:type="pct"/>
            <w:noWrap/>
            <w:vAlign w:val="center"/>
          </w:tcPr>
          <w:p w14:paraId="69832BEF" w14:textId="7A09BC09" w:rsidR="00D55F31" w:rsidRPr="00E7138D" w:rsidRDefault="00826683" w:rsidP="0002290A">
            <w:pPr>
              <w:jc w:val="right"/>
              <w:rPr>
                <w:rFonts w:ascii="Calibri" w:hAnsi="Calibri" w:cs="Calibri"/>
                <w:color w:val="000000"/>
                <w:sz w:val="18"/>
                <w:szCs w:val="18"/>
                <w:lang w:eastAsia="cs-CZ"/>
              </w:rPr>
            </w:pPr>
            <w:r>
              <w:rPr>
                <w:rFonts w:ascii="Calibri" w:hAnsi="Calibri" w:cs="Calibri"/>
                <w:color w:val="000000"/>
                <w:sz w:val="18"/>
                <w:szCs w:val="18"/>
                <w:lang w:eastAsia="cs-CZ"/>
              </w:rPr>
              <w:t>−</w:t>
            </w:r>
            <w:r w:rsidR="0024693B" w:rsidRPr="00E7138D">
              <w:rPr>
                <w:rFonts w:ascii="Calibri" w:hAnsi="Calibri" w:cs="Calibri"/>
                <w:color w:val="000000"/>
                <w:sz w:val="18"/>
                <w:szCs w:val="18"/>
              </w:rPr>
              <w:t>140,34</w:t>
            </w:r>
          </w:p>
        </w:tc>
      </w:tr>
      <w:tr w:rsidR="00C425F2" w:rsidRPr="00E7138D" w14:paraId="14639884" w14:textId="77777777" w:rsidTr="00D55F31">
        <w:trPr>
          <w:trHeight w:val="283"/>
          <w:jc w:val="center"/>
        </w:trPr>
        <w:tc>
          <w:tcPr>
            <w:tcW w:w="5000" w:type="pct"/>
            <w:gridSpan w:val="11"/>
            <w:shd w:val="clear" w:color="auto" w:fill="C6D9F1" w:themeFill="text2" w:themeFillTint="33"/>
            <w:vAlign w:val="center"/>
          </w:tcPr>
          <w:p w14:paraId="7A867C83" w14:textId="215071A6" w:rsidR="00D55F31" w:rsidRPr="00E7138D" w:rsidRDefault="0024693B" w:rsidP="00506C42">
            <w:pPr>
              <w:rPr>
                <w:rFonts w:ascii="Calibri" w:hAnsi="Calibri" w:cs="Calibri"/>
                <w:b/>
                <w:color w:val="000000"/>
                <w:sz w:val="18"/>
                <w:szCs w:val="18"/>
                <w:lang w:eastAsia="cs-CZ"/>
              </w:rPr>
            </w:pPr>
            <w:r w:rsidRPr="00E7138D">
              <w:rPr>
                <w:rFonts w:ascii="Calibri" w:hAnsi="Calibri" w:cs="Calibri"/>
                <w:b/>
                <w:color w:val="000000"/>
                <w:sz w:val="18"/>
                <w:szCs w:val="18"/>
                <w:lang w:eastAsia="cs-CZ"/>
              </w:rPr>
              <w:t>Ukazatele ekonomické aktivity</w:t>
            </w:r>
          </w:p>
        </w:tc>
      </w:tr>
      <w:tr w:rsidR="00C425F2" w:rsidRPr="00E7138D" w14:paraId="1FF21782" w14:textId="77777777" w:rsidTr="00D55F31">
        <w:trPr>
          <w:trHeight w:val="283"/>
          <w:jc w:val="center"/>
        </w:trPr>
        <w:tc>
          <w:tcPr>
            <w:tcW w:w="1185" w:type="pct"/>
            <w:vMerge w:val="restart"/>
            <w:noWrap/>
            <w:vAlign w:val="center"/>
          </w:tcPr>
          <w:p w14:paraId="4BDEBB39" w14:textId="77777777" w:rsidR="00D55F31" w:rsidRPr="00E7138D" w:rsidRDefault="0024693B" w:rsidP="0002290A">
            <w:pPr>
              <w:rPr>
                <w:rFonts w:ascii="Calibri" w:hAnsi="Calibri" w:cs="Calibri"/>
                <w:color w:val="000000"/>
                <w:sz w:val="18"/>
                <w:szCs w:val="18"/>
                <w:lang w:eastAsia="cs-CZ"/>
              </w:rPr>
            </w:pPr>
            <w:r w:rsidRPr="00E7138D">
              <w:rPr>
                <w:rFonts w:ascii="Calibri" w:hAnsi="Calibri" w:cs="Calibri"/>
                <w:color w:val="000000"/>
                <w:sz w:val="18"/>
                <w:szCs w:val="18"/>
                <w:lang w:eastAsia="cs-CZ"/>
              </w:rPr>
              <w:t>Obrat celkového kapitálu</w:t>
            </w:r>
            <w:r w:rsidRPr="00E7138D">
              <w:rPr>
                <w:rFonts w:ascii="Calibri" w:hAnsi="Calibri" w:cs="Calibri"/>
                <w:color w:val="000000"/>
                <w:sz w:val="18"/>
                <w:szCs w:val="18"/>
                <w:vertAlign w:val="superscript"/>
                <w:lang w:eastAsia="cs-CZ"/>
              </w:rPr>
              <w:footnoteReference w:id="66"/>
            </w:r>
          </w:p>
        </w:tc>
        <w:tc>
          <w:tcPr>
            <w:tcW w:w="1035" w:type="pct"/>
            <w:vAlign w:val="center"/>
          </w:tcPr>
          <w:p w14:paraId="3AC1472F" w14:textId="77777777"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SLL Janské Lázně</w:t>
            </w:r>
          </w:p>
        </w:tc>
        <w:tc>
          <w:tcPr>
            <w:tcW w:w="557" w:type="pct"/>
            <w:gridSpan w:val="2"/>
            <w:noWrap/>
            <w:vAlign w:val="center"/>
          </w:tcPr>
          <w:p w14:paraId="23D4A8DF"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0,44</w:t>
            </w:r>
          </w:p>
        </w:tc>
        <w:tc>
          <w:tcPr>
            <w:tcW w:w="557" w:type="pct"/>
            <w:gridSpan w:val="2"/>
            <w:noWrap/>
            <w:vAlign w:val="center"/>
          </w:tcPr>
          <w:p w14:paraId="305F41D6"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0,41</w:t>
            </w:r>
          </w:p>
        </w:tc>
        <w:tc>
          <w:tcPr>
            <w:tcW w:w="557" w:type="pct"/>
            <w:gridSpan w:val="2"/>
            <w:noWrap/>
            <w:vAlign w:val="center"/>
          </w:tcPr>
          <w:p w14:paraId="516D8BE1"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0,35</w:t>
            </w:r>
          </w:p>
        </w:tc>
        <w:tc>
          <w:tcPr>
            <w:tcW w:w="558" w:type="pct"/>
            <w:gridSpan w:val="2"/>
            <w:noWrap/>
            <w:vAlign w:val="center"/>
          </w:tcPr>
          <w:p w14:paraId="729C081C"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0,49</w:t>
            </w:r>
          </w:p>
        </w:tc>
        <w:tc>
          <w:tcPr>
            <w:tcW w:w="551" w:type="pct"/>
            <w:noWrap/>
            <w:vAlign w:val="center"/>
          </w:tcPr>
          <w:p w14:paraId="66EFFE0D"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0,53</w:t>
            </w:r>
          </w:p>
        </w:tc>
      </w:tr>
      <w:tr w:rsidR="00C425F2" w:rsidRPr="00E7138D" w14:paraId="74417FD8" w14:textId="77777777" w:rsidTr="00D55F31">
        <w:trPr>
          <w:trHeight w:val="283"/>
          <w:jc w:val="center"/>
        </w:trPr>
        <w:tc>
          <w:tcPr>
            <w:tcW w:w="1185" w:type="pct"/>
            <w:vMerge/>
            <w:noWrap/>
            <w:vAlign w:val="center"/>
          </w:tcPr>
          <w:p w14:paraId="257CA773" w14:textId="77777777" w:rsidR="00D55F31" w:rsidRPr="00E7138D" w:rsidRDefault="00D55F31" w:rsidP="0002290A">
            <w:pPr>
              <w:rPr>
                <w:rFonts w:ascii="Calibri" w:hAnsi="Calibri" w:cs="Calibri"/>
                <w:color w:val="000000"/>
                <w:sz w:val="18"/>
                <w:szCs w:val="18"/>
                <w:lang w:eastAsia="cs-CZ"/>
              </w:rPr>
            </w:pPr>
          </w:p>
        </w:tc>
        <w:tc>
          <w:tcPr>
            <w:tcW w:w="1035" w:type="pct"/>
            <w:vAlign w:val="center"/>
          </w:tcPr>
          <w:p w14:paraId="3A30BCB9" w14:textId="77777777"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HL Karlova Studánka</w:t>
            </w:r>
          </w:p>
        </w:tc>
        <w:tc>
          <w:tcPr>
            <w:tcW w:w="557" w:type="pct"/>
            <w:gridSpan w:val="2"/>
            <w:noWrap/>
            <w:vAlign w:val="center"/>
          </w:tcPr>
          <w:p w14:paraId="7AC4C5CB"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0,75</w:t>
            </w:r>
          </w:p>
        </w:tc>
        <w:tc>
          <w:tcPr>
            <w:tcW w:w="557" w:type="pct"/>
            <w:gridSpan w:val="2"/>
            <w:noWrap/>
            <w:vAlign w:val="center"/>
          </w:tcPr>
          <w:p w14:paraId="69E4EC9D"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0,68</w:t>
            </w:r>
          </w:p>
        </w:tc>
        <w:tc>
          <w:tcPr>
            <w:tcW w:w="557" w:type="pct"/>
            <w:gridSpan w:val="2"/>
            <w:noWrap/>
            <w:vAlign w:val="center"/>
          </w:tcPr>
          <w:p w14:paraId="0E562438"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0,62</w:t>
            </w:r>
          </w:p>
        </w:tc>
        <w:tc>
          <w:tcPr>
            <w:tcW w:w="558" w:type="pct"/>
            <w:gridSpan w:val="2"/>
            <w:noWrap/>
            <w:vAlign w:val="center"/>
          </w:tcPr>
          <w:p w14:paraId="19B84260"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0,67</w:t>
            </w:r>
          </w:p>
        </w:tc>
        <w:tc>
          <w:tcPr>
            <w:tcW w:w="551" w:type="pct"/>
            <w:noWrap/>
            <w:vAlign w:val="center"/>
          </w:tcPr>
          <w:p w14:paraId="4CD72209"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0,77</w:t>
            </w:r>
          </w:p>
        </w:tc>
      </w:tr>
      <w:tr w:rsidR="00C425F2" w:rsidRPr="00E7138D" w14:paraId="6FEA00F8" w14:textId="77777777" w:rsidTr="00D55F31">
        <w:trPr>
          <w:trHeight w:val="283"/>
          <w:jc w:val="center"/>
        </w:trPr>
        <w:tc>
          <w:tcPr>
            <w:tcW w:w="1185" w:type="pct"/>
            <w:vMerge/>
            <w:noWrap/>
            <w:vAlign w:val="center"/>
          </w:tcPr>
          <w:p w14:paraId="0FD273BD" w14:textId="77777777" w:rsidR="00D55F31" w:rsidRPr="00E7138D" w:rsidRDefault="00D55F31" w:rsidP="0002290A">
            <w:pPr>
              <w:rPr>
                <w:rFonts w:ascii="Calibri" w:hAnsi="Calibri" w:cs="Calibri"/>
                <w:color w:val="000000"/>
                <w:sz w:val="18"/>
                <w:szCs w:val="18"/>
                <w:lang w:eastAsia="cs-CZ"/>
              </w:rPr>
            </w:pPr>
          </w:p>
        </w:tc>
        <w:tc>
          <w:tcPr>
            <w:tcW w:w="1035" w:type="pct"/>
            <w:vAlign w:val="center"/>
          </w:tcPr>
          <w:p w14:paraId="17AECD4A" w14:textId="77777777"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SLL Bludov</w:t>
            </w:r>
          </w:p>
        </w:tc>
        <w:tc>
          <w:tcPr>
            <w:tcW w:w="557" w:type="pct"/>
            <w:gridSpan w:val="2"/>
            <w:noWrap/>
            <w:vAlign w:val="center"/>
          </w:tcPr>
          <w:p w14:paraId="28064921"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0,97</w:t>
            </w:r>
          </w:p>
        </w:tc>
        <w:tc>
          <w:tcPr>
            <w:tcW w:w="557" w:type="pct"/>
            <w:gridSpan w:val="2"/>
            <w:noWrap/>
            <w:vAlign w:val="center"/>
          </w:tcPr>
          <w:p w14:paraId="14304823"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0,73</w:t>
            </w:r>
          </w:p>
        </w:tc>
        <w:tc>
          <w:tcPr>
            <w:tcW w:w="557" w:type="pct"/>
            <w:gridSpan w:val="2"/>
            <w:noWrap/>
            <w:vAlign w:val="center"/>
          </w:tcPr>
          <w:p w14:paraId="1B4C35B1"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0,57</w:t>
            </w:r>
          </w:p>
        </w:tc>
        <w:tc>
          <w:tcPr>
            <w:tcW w:w="558" w:type="pct"/>
            <w:gridSpan w:val="2"/>
            <w:noWrap/>
            <w:vAlign w:val="center"/>
          </w:tcPr>
          <w:p w14:paraId="55B48C02"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0,69</w:t>
            </w:r>
          </w:p>
        </w:tc>
        <w:tc>
          <w:tcPr>
            <w:tcW w:w="551" w:type="pct"/>
            <w:noWrap/>
            <w:vAlign w:val="center"/>
          </w:tcPr>
          <w:p w14:paraId="0A6C1839"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1,10</w:t>
            </w:r>
          </w:p>
        </w:tc>
      </w:tr>
      <w:tr w:rsidR="00C425F2" w:rsidRPr="00E7138D" w14:paraId="6054AFF9" w14:textId="77777777" w:rsidTr="00D55F31">
        <w:trPr>
          <w:trHeight w:val="283"/>
          <w:jc w:val="center"/>
        </w:trPr>
        <w:tc>
          <w:tcPr>
            <w:tcW w:w="1185" w:type="pct"/>
            <w:vMerge/>
            <w:noWrap/>
            <w:vAlign w:val="center"/>
          </w:tcPr>
          <w:p w14:paraId="7F34281F" w14:textId="77777777" w:rsidR="00D55F31" w:rsidRPr="00E7138D" w:rsidRDefault="00D55F31" w:rsidP="0002290A">
            <w:pPr>
              <w:rPr>
                <w:rFonts w:ascii="Calibri" w:hAnsi="Calibri" w:cs="Calibri"/>
                <w:color w:val="000000"/>
                <w:sz w:val="18"/>
                <w:szCs w:val="18"/>
                <w:lang w:eastAsia="cs-CZ"/>
              </w:rPr>
            </w:pPr>
          </w:p>
        </w:tc>
        <w:tc>
          <w:tcPr>
            <w:tcW w:w="1035" w:type="pct"/>
            <w:vAlign w:val="center"/>
          </w:tcPr>
          <w:p w14:paraId="0EF41B2F" w14:textId="15F7819C"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BALMED</w:t>
            </w:r>
            <w:r w:rsidR="00826683">
              <w:rPr>
                <w:rFonts w:ascii="Calibri" w:hAnsi="Calibri" w:cs="Calibri"/>
                <w:i/>
                <w:color w:val="000000"/>
                <w:sz w:val="18"/>
                <w:szCs w:val="18"/>
              </w:rPr>
              <w:t xml:space="preserve"> Praha</w:t>
            </w:r>
          </w:p>
        </w:tc>
        <w:tc>
          <w:tcPr>
            <w:tcW w:w="557" w:type="pct"/>
            <w:gridSpan w:val="2"/>
            <w:noWrap/>
            <w:vAlign w:val="center"/>
          </w:tcPr>
          <w:p w14:paraId="45C39F88" w14:textId="77777777" w:rsidR="00D55F31" w:rsidRPr="00E7138D" w:rsidRDefault="0024693B" w:rsidP="0002290A">
            <w:pPr>
              <w:tabs>
                <w:tab w:val="left" w:pos="284"/>
              </w:tabs>
              <w:jc w:val="right"/>
              <w:rPr>
                <w:rFonts w:ascii="Calibri" w:hAnsi="Calibri" w:cs="Calibri"/>
                <w:bCs/>
                <w:sz w:val="18"/>
                <w:szCs w:val="18"/>
              </w:rPr>
            </w:pPr>
            <w:r w:rsidRPr="00E7138D">
              <w:rPr>
                <w:rFonts w:ascii="Calibri" w:hAnsi="Calibri" w:cs="Calibri"/>
                <w:color w:val="000000"/>
                <w:sz w:val="18"/>
                <w:szCs w:val="18"/>
              </w:rPr>
              <w:t>0,09</w:t>
            </w:r>
          </w:p>
        </w:tc>
        <w:tc>
          <w:tcPr>
            <w:tcW w:w="557" w:type="pct"/>
            <w:gridSpan w:val="2"/>
            <w:noWrap/>
            <w:vAlign w:val="center"/>
          </w:tcPr>
          <w:p w14:paraId="7CCC0CDA" w14:textId="77777777" w:rsidR="00D55F31" w:rsidRPr="00E7138D" w:rsidRDefault="0024693B" w:rsidP="0002290A">
            <w:pPr>
              <w:tabs>
                <w:tab w:val="left" w:pos="284"/>
              </w:tabs>
              <w:jc w:val="right"/>
              <w:rPr>
                <w:rFonts w:ascii="Calibri" w:hAnsi="Calibri" w:cs="Calibri"/>
                <w:bCs/>
                <w:sz w:val="18"/>
                <w:szCs w:val="18"/>
              </w:rPr>
            </w:pPr>
            <w:r w:rsidRPr="00E7138D">
              <w:rPr>
                <w:rFonts w:ascii="Calibri" w:hAnsi="Calibri" w:cs="Calibri"/>
                <w:color w:val="000000"/>
                <w:sz w:val="18"/>
                <w:szCs w:val="18"/>
              </w:rPr>
              <w:t>0,15</w:t>
            </w:r>
          </w:p>
        </w:tc>
        <w:tc>
          <w:tcPr>
            <w:tcW w:w="557" w:type="pct"/>
            <w:gridSpan w:val="2"/>
            <w:noWrap/>
            <w:vAlign w:val="center"/>
          </w:tcPr>
          <w:p w14:paraId="3B160F57" w14:textId="77777777" w:rsidR="00D55F31" w:rsidRPr="00E7138D" w:rsidRDefault="0024693B" w:rsidP="0002290A">
            <w:pPr>
              <w:tabs>
                <w:tab w:val="left" w:pos="284"/>
              </w:tabs>
              <w:jc w:val="right"/>
              <w:rPr>
                <w:rFonts w:ascii="Calibri" w:hAnsi="Calibri" w:cs="Calibri"/>
                <w:bCs/>
                <w:sz w:val="18"/>
                <w:szCs w:val="18"/>
              </w:rPr>
            </w:pPr>
            <w:r w:rsidRPr="00E7138D">
              <w:rPr>
                <w:rFonts w:ascii="Calibri" w:hAnsi="Calibri" w:cs="Calibri"/>
                <w:color w:val="000000"/>
                <w:sz w:val="18"/>
                <w:szCs w:val="18"/>
              </w:rPr>
              <w:t>0,46</w:t>
            </w:r>
          </w:p>
        </w:tc>
        <w:tc>
          <w:tcPr>
            <w:tcW w:w="558" w:type="pct"/>
            <w:gridSpan w:val="2"/>
            <w:noWrap/>
            <w:vAlign w:val="center"/>
          </w:tcPr>
          <w:p w14:paraId="58575817" w14:textId="77777777" w:rsidR="00D55F31" w:rsidRPr="00E7138D" w:rsidRDefault="0024693B" w:rsidP="0002290A">
            <w:pPr>
              <w:tabs>
                <w:tab w:val="left" w:pos="284"/>
              </w:tabs>
              <w:jc w:val="right"/>
              <w:rPr>
                <w:rFonts w:ascii="Calibri" w:hAnsi="Calibri" w:cs="Calibri"/>
                <w:bCs/>
                <w:sz w:val="18"/>
                <w:szCs w:val="18"/>
              </w:rPr>
            </w:pPr>
            <w:r w:rsidRPr="00E7138D">
              <w:rPr>
                <w:rFonts w:ascii="Calibri" w:hAnsi="Calibri" w:cs="Calibri"/>
                <w:color w:val="000000"/>
                <w:sz w:val="18"/>
                <w:szCs w:val="18"/>
              </w:rPr>
              <w:t>0,09</w:t>
            </w:r>
          </w:p>
        </w:tc>
        <w:tc>
          <w:tcPr>
            <w:tcW w:w="551" w:type="pct"/>
            <w:noWrap/>
            <w:vAlign w:val="center"/>
          </w:tcPr>
          <w:p w14:paraId="29DB623E" w14:textId="77777777" w:rsidR="00D55F31" w:rsidRPr="00E7138D" w:rsidRDefault="0024693B" w:rsidP="0002290A">
            <w:pPr>
              <w:tabs>
                <w:tab w:val="left" w:pos="284"/>
              </w:tabs>
              <w:jc w:val="right"/>
              <w:rPr>
                <w:rFonts w:ascii="Calibri" w:hAnsi="Calibri" w:cs="Calibri"/>
                <w:bCs/>
                <w:sz w:val="18"/>
                <w:szCs w:val="18"/>
              </w:rPr>
            </w:pPr>
            <w:r w:rsidRPr="00E7138D">
              <w:rPr>
                <w:rFonts w:ascii="Calibri" w:hAnsi="Calibri" w:cs="Calibri"/>
                <w:color w:val="000000"/>
                <w:sz w:val="18"/>
                <w:szCs w:val="18"/>
              </w:rPr>
              <w:t>0,11</w:t>
            </w:r>
          </w:p>
        </w:tc>
      </w:tr>
      <w:tr w:rsidR="00C425F2" w:rsidRPr="00E7138D" w14:paraId="2FA07B9A" w14:textId="77777777" w:rsidTr="00D55F31">
        <w:trPr>
          <w:trHeight w:val="283"/>
          <w:jc w:val="center"/>
        </w:trPr>
        <w:tc>
          <w:tcPr>
            <w:tcW w:w="1185" w:type="pct"/>
            <w:vMerge w:val="restart"/>
            <w:noWrap/>
            <w:vAlign w:val="center"/>
          </w:tcPr>
          <w:p w14:paraId="2BEFE04A" w14:textId="77777777" w:rsidR="00D55F31" w:rsidRPr="00E7138D" w:rsidRDefault="0024693B" w:rsidP="0002290A">
            <w:pPr>
              <w:rPr>
                <w:rFonts w:ascii="Calibri" w:hAnsi="Calibri" w:cs="Calibri"/>
                <w:color w:val="000000"/>
                <w:sz w:val="18"/>
                <w:szCs w:val="18"/>
                <w:lang w:eastAsia="cs-CZ"/>
              </w:rPr>
            </w:pPr>
            <w:r w:rsidRPr="00E7138D">
              <w:rPr>
                <w:rFonts w:ascii="Calibri" w:hAnsi="Calibri" w:cs="Calibri"/>
                <w:color w:val="000000"/>
                <w:sz w:val="18"/>
                <w:szCs w:val="18"/>
                <w:lang w:eastAsia="cs-CZ"/>
              </w:rPr>
              <w:t>Obrat oběžných aktiv</w:t>
            </w:r>
            <w:r w:rsidRPr="00E7138D">
              <w:rPr>
                <w:rFonts w:ascii="Calibri" w:hAnsi="Calibri" w:cs="Calibri"/>
                <w:color w:val="000000"/>
                <w:sz w:val="18"/>
                <w:szCs w:val="18"/>
                <w:vertAlign w:val="superscript"/>
                <w:lang w:eastAsia="cs-CZ"/>
              </w:rPr>
              <w:footnoteReference w:id="67"/>
            </w:r>
          </w:p>
        </w:tc>
        <w:tc>
          <w:tcPr>
            <w:tcW w:w="1035" w:type="pct"/>
            <w:vAlign w:val="center"/>
          </w:tcPr>
          <w:p w14:paraId="2C7C41E3" w14:textId="77777777"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SLL Janské Lázně</w:t>
            </w:r>
          </w:p>
        </w:tc>
        <w:tc>
          <w:tcPr>
            <w:tcW w:w="557" w:type="pct"/>
            <w:gridSpan w:val="2"/>
            <w:noWrap/>
            <w:vAlign w:val="center"/>
          </w:tcPr>
          <w:p w14:paraId="35F8747D"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2,55</w:t>
            </w:r>
          </w:p>
        </w:tc>
        <w:tc>
          <w:tcPr>
            <w:tcW w:w="557" w:type="pct"/>
            <w:gridSpan w:val="2"/>
            <w:noWrap/>
            <w:vAlign w:val="center"/>
          </w:tcPr>
          <w:p w14:paraId="17999CC7"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2,54</w:t>
            </w:r>
          </w:p>
        </w:tc>
        <w:tc>
          <w:tcPr>
            <w:tcW w:w="557" w:type="pct"/>
            <w:gridSpan w:val="2"/>
            <w:noWrap/>
            <w:vAlign w:val="center"/>
          </w:tcPr>
          <w:p w14:paraId="7B204F10"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2,53</w:t>
            </w:r>
          </w:p>
        </w:tc>
        <w:tc>
          <w:tcPr>
            <w:tcW w:w="558" w:type="pct"/>
            <w:gridSpan w:val="2"/>
            <w:noWrap/>
            <w:vAlign w:val="center"/>
          </w:tcPr>
          <w:p w14:paraId="218611AD"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2,39</w:t>
            </w:r>
          </w:p>
        </w:tc>
        <w:tc>
          <w:tcPr>
            <w:tcW w:w="551" w:type="pct"/>
            <w:noWrap/>
            <w:vAlign w:val="center"/>
          </w:tcPr>
          <w:p w14:paraId="2F60CCE0"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1,84</w:t>
            </w:r>
          </w:p>
        </w:tc>
      </w:tr>
      <w:tr w:rsidR="00C425F2" w:rsidRPr="00E7138D" w14:paraId="4596EAB8" w14:textId="77777777" w:rsidTr="00D55F31">
        <w:trPr>
          <w:trHeight w:val="283"/>
          <w:jc w:val="center"/>
        </w:trPr>
        <w:tc>
          <w:tcPr>
            <w:tcW w:w="1185" w:type="pct"/>
            <w:vMerge/>
            <w:noWrap/>
            <w:vAlign w:val="center"/>
          </w:tcPr>
          <w:p w14:paraId="3AB28EB3" w14:textId="77777777" w:rsidR="00D55F31" w:rsidRPr="00E7138D" w:rsidRDefault="00D55F31" w:rsidP="0002290A">
            <w:pPr>
              <w:rPr>
                <w:rFonts w:ascii="Calibri" w:hAnsi="Calibri" w:cs="Calibri"/>
                <w:color w:val="000000"/>
                <w:sz w:val="18"/>
                <w:szCs w:val="18"/>
                <w:lang w:eastAsia="cs-CZ"/>
              </w:rPr>
            </w:pPr>
          </w:p>
        </w:tc>
        <w:tc>
          <w:tcPr>
            <w:tcW w:w="1035" w:type="pct"/>
            <w:vAlign w:val="center"/>
          </w:tcPr>
          <w:p w14:paraId="6F193501" w14:textId="77777777"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HL Karlova Studánka</w:t>
            </w:r>
          </w:p>
        </w:tc>
        <w:tc>
          <w:tcPr>
            <w:tcW w:w="557" w:type="pct"/>
            <w:gridSpan w:val="2"/>
            <w:noWrap/>
            <w:vAlign w:val="center"/>
          </w:tcPr>
          <w:p w14:paraId="3513483F"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11,74</w:t>
            </w:r>
          </w:p>
        </w:tc>
        <w:tc>
          <w:tcPr>
            <w:tcW w:w="557" w:type="pct"/>
            <w:gridSpan w:val="2"/>
            <w:noWrap/>
            <w:vAlign w:val="center"/>
          </w:tcPr>
          <w:p w14:paraId="3FC76D7B"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14,12</w:t>
            </w:r>
          </w:p>
        </w:tc>
        <w:tc>
          <w:tcPr>
            <w:tcW w:w="557" w:type="pct"/>
            <w:gridSpan w:val="2"/>
            <w:noWrap/>
            <w:vAlign w:val="center"/>
          </w:tcPr>
          <w:p w14:paraId="60BFE44B"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12,92</w:t>
            </w:r>
          </w:p>
        </w:tc>
        <w:tc>
          <w:tcPr>
            <w:tcW w:w="558" w:type="pct"/>
            <w:gridSpan w:val="2"/>
            <w:noWrap/>
            <w:vAlign w:val="center"/>
          </w:tcPr>
          <w:p w14:paraId="3CA5FE91"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5,19</w:t>
            </w:r>
          </w:p>
        </w:tc>
        <w:tc>
          <w:tcPr>
            <w:tcW w:w="551" w:type="pct"/>
            <w:noWrap/>
            <w:vAlign w:val="center"/>
          </w:tcPr>
          <w:p w14:paraId="4723DB0A"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3,87</w:t>
            </w:r>
          </w:p>
        </w:tc>
      </w:tr>
      <w:tr w:rsidR="00C425F2" w:rsidRPr="00E7138D" w14:paraId="5A0CFE75" w14:textId="77777777" w:rsidTr="00D55F31">
        <w:trPr>
          <w:trHeight w:val="283"/>
          <w:jc w:val="center"/>
        </w:trPr>
        <w:tc>
          <w:tcPr>
            <w:tcW w:w="1185" w:type="pct"/>
            <w:vMerge/>
            <w:noWrap/>
            <w:vAlign w:val="center"/>
          </w:tcPr>
          <w:p w14:paraId="49B777C0" w14:textId="77777777" w:rsidR="00D55F31" w:rsidRPr="00E7138D" w:rsidRDefault="00D55F31" w:rsidP="0002290A">
            <w:pPr>
              <w:rPr>
                <w:rFonts w:ascii="Calibri" w:hAnsi="Calibri" w:cs="Calibri"/>
                <w:color w:val="000000"/>
                <w:sz w:val="18"/>
                <w:szCs w:val="18"/>
                <w:lang w:eastAsia="cs-CZ"/>
              </w:rPr>
            </w:pPr>
          </w:p>
        </w:tc>
        <w:tc>
          <w:tcPr>
            <w:tcW w:w="1035" w:type="pct"/>
            <w:vAlign w:val="center"/>
          </w:tcPr>
          <w:p w14:paraId="1E79D19A" w14:textId="77777777"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SLL Bludov</w:t>
            </w:r>
          </w:p>
        </w:tc>
        <w:tc>
          <w:tcPr>
            <w:tcW w:w="557" w:type="pct"/>
            <w:gridSpan w:val="2"/>
            <w:noWrap/>
            <w:vAlign w:val="center"/>
          </w:tcPr>
          <w:p w14:paraId="426AB40C"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1,42</w:t>
            </w:r>
          </w:p>
        </w:tc>
        <w:tc>
          <w:tcPr>
            <w:tcW w:w="557" w:type="pct"/>
            <w:gridSpan w:val="2"/>
            <w:noWrap/>
            <w:vAlign w:val="center"/>
          </w:tcPr>
          <w:p w14:paraId="128A058E"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1,04</w:t>
            </w:r>
          </w:p>
        </w:tc>
        <w:tc>
          <w:tcPr>
            <w:tcW w:w="557" w:type="pct"/>
            <w:gridSpan w:val="2"/>
            <w:noWrap/>
            <w:vAlign w:val="center"/>
          </w:tcPr>
          <w:p w14:paraId="5403E037"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0,82</w:t>
            </w:r>
          </w:p>
        </w:tc>
        <w:tc>
          <w:tcPr>
            <w:tcW w:w="558" w:type="pct"/>
            <w:gridSpan w:val="2"/>
            <w:noWrap/>
            <w:vAlign w:val="center"/>
          </w:tcPr>
          <w:p w14:paraId="33BD90B2"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1,01</w:t>
            </w:r>
          </w:p>
        </w:tc>
        <w:tc>
          <w:tcPr>
            <w:tcW w:w="551" w:type="pct"/>
            <w:noWrap/>
            <w:vAlign w:val="center"/>
          </w:tcPr>
          <w:p w14:paraId="0A64DA07"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2,67</w:t>
            </w:r>
          </w:p>
        </w:tc>
      </w:tr>
      <w:tr w:rsidR="00C425F2" w:rsidRPr="00E7138D" w14:paraId="076013E2" w14:textId="77777777" w:rsidTr="00D55F31">
        <w:trPr>
          <w:trHeight w:val="283"/>
          <w:jc w:val="center"/>
        </w:trPr>
        <w:tc>
          <w:tcPr>
            <w:tcW w:w="1185" w:type="pct"/>
            <w:vMerge/>
            <w:noWrap/>
            <w:vAlign w:val="center"/>
          </w:tcPr>
          <w:p w14:paraId="3F8AA605" w14:textId="77777777" w:rsidR="00D55F31" w:rsidRPr="00E7138D" w:rsidRDefault="00D55F31" w:rsidP="0002290A">
            <w:pPr>
              <w:rPr>
                <w:rFonts w:ascii="Calibri" w:hAnsi="Calibri" w:cs="Calibri"/>
                <w:color w:val="000000"/>
                <w:sz w:val="18"/>
                <w:szCs w:val="18"/>
                <w:lang w:eastAsia="cs-CZ"/>
              </w:rPr>
            </w:pPr>
          </w:p>
        </w:tc>
        <w:tc>
          <w:tcPr>
            <w:tcW w:w="1035" w:type="pct"/>
            <w:vAlign w:val="center"/>
          </w:tcPr>
          <w:p w14:paraId="450FEDA6" w14:textId="5333ED1A"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BALMED</w:t>
            </w:r>
            <w:r w:rsidR="00826683">
              <w:rPr>
                <w:rFonts w:ascii="Calibri" w:hAnsi="Calibri" w:cs="Calibri"/>
                <w:i/>
                <w:color w:val="000000"/>
                <w:sz w:val="18"/>
                <w:szCs w:val="18"/>
              </w:rPr>
              <w:t xml:space="preserve"> Praha</w:t>
            </w:r>
          </w:p>
        </w:tc>
        <w:tc>
          <w:tcPr>
            <w:tcW w:w="557" w:type="pct"/>
            <w:gridSpan w:val="2"/>
            <w:noWrap/>
            <w:vAlign w:val="center"/>
          </w:tcPr>
          <w:p w14:paraId="0F1CDF5C" w14:textId="77777777" w:rsidR="00D55F31" w:rsidRPr="00E7138D" w:rsidRDefault="0024693B" w:rsidP="0002290A">
            <w:pPr>
              <w:tabs>
                <w:tab w:val="left" w:pos="284"/>
              </w:tabs>
              <w:jc w:val="right"/>
              <w:rPr>
                <w:rFonts w:ascii="Calibri" w:hAnsi="Calibri" w:cs="Calibri"/>
                <w:bCs/>
                <w:sz w:val="18"/>
                <w:szCs w:val="18"/>
              </w:rPr>
            </w:pPr>
            <w:r w:rsidRPr="00E7138D">
              <w:rPr>
                <w:rFonts w:ascii="Calibri" w:hAnsi="Calibri" w:cs="Calibri"/>
                <w:color w:val="000000"/>
                <w:sz w:val="18"/>
                <w:szCs w:val="18"/>
              </w:rPr>
              <w:t>0,25</w:t>
            </w:r>
          </w:p>
        </w:tc>
        <w:tc>
          <w:tcPr>
            <w:tcW w:w="557" w:type="pct"/>
            <w:gridSpan w:val="2"/>
            <w:noWrap/>
            <w:vAlign w:val="center"/>
          </w:tcPr>
          <w:p w14:paraId="61B18F08" w14:textId="77777777" w:rsidR="00D55F31" w:rsidRPr="00E7138D" w:rsidRDefault="0024693B" w:rsidP="0002290A">
            <w:pPr>
              <w:tabs>
                <w:tab w:val="left" w:pos="284"/>
              </w:tabs>
              <w:jc w:val="right"/>
              <w:rPr>
                <w:rFonts w:ascii="Calibri" w:hAnsi="Calibri" w:cs="Calibri"/>
                <w:bCs/>
                <w:sz w:val="18"/>
                <w:szCs w:val="18"/>
              </w:rPr>
            </w:pPr>
            <w:r w:rsidRPr="00E7138D">
              <w:rPr>
                <w:rFonts w:ascii="Calibri" w:hAnsi="Calibri" w:cs="Calibri"/>
                <w:color w:val="000000"/>
                <w:sz w:val="18"/>
                <w:szCs w:val="18"/>
              </w:rPr>
              <w:t>0,48</w:t>
            </w:r>
          </w:p>
        </w:tc>
        <w:tc>
          <w:tcPr>
            <w:tcW w:w="557" w:type="pct"/>
            <w:gridSpan w:val="2"/>
            <w:noWrap/>
            <w:vAlign w:val="center"/>
          </w:tcPr>
          <w:p w14:paraId="73C9121A" w14:textId="77777777" w:rsidR="00D55F31" w:rsidRPr="00E7138D" w:rsidRDefault="0024693B" w:rsidP="0002290A">
            <w:pPr>
              <w:tabs>
                <w:tab w:val="left" w:pos="284"/>
              </w:tabs>
              <w:jc w:val="right"/>
              <w:rPr>
                <w:rFonts w:ascii="Calibri" w:hAnsi="Calibri" w:cs="Calibri"/>
                <w:bCs/>
                <w:sz w:val="18"/>
                <w:szCs w:val="18"/>
              </w:rPr>
            </w:pPr>
            <w:r w:rsidRPr="00E7138D">
              <w:rPr>
                <w:rFonts w:ascii="Calibri" w:hAnsi="Calibri" w:cs="Calibri"/>
                <w:color w:val="000000"/>
                <w:sz w:val="18"/>
                <w:szCs w:val="18"/>
              </w:rPr>
              <w:t>1,00</w:t>
            </w:r>
          </w:p>
        </w:tc>
        <w:tc>
          <w:tcPr>
            <w:tcW w:w="558" w:type="pct"/>
            <w:gridSpan w:val="2"/>
            <w:noWrap/>
            <w:vAlign w:val="center"/>
          </w:tcPr>
          <w:p w14:paraId="03C85461" w14:textId="77777777" w:rsidR="00D55F31" w:rsidRPr="00E7138D" w:rsidRDefault="0024693B" w:rsidP="0002290A">
            <w:pPr>
              <w:tabs>
                <w:tab w:val="left" w:pos="284"/>
              </w:tabs>
              <w:jc w:val="right"/>
              <w:rPr>
                <w:rFonts w:ascii="Calibri" w:hAnsi="Calibri" w:cs="Calibri"/>
                <w:bCs/>
                <w:sz w:val="18"/>
                <w:szCs w:val="18"/>
              </w:rPr>
            </w:pPr>
            <w:r w:rsidRPr="00E7138D">
              <w:rPr>
                <w:rFonts w:ascii="Calibri" w:hAnsi="Calibri" w:cs="Calibri"/>
                <w:color w:val="000000"/>
                <w:sz w:val="18"/>
                <w:szCs w:val="18"/>
              </w:rPr>
              <w:t>0,26</w:t>
            </w:r>
          </w:p>
        </w:tc>
        <w:tc>
          <w:tcPr>
            <w:tcW w:w="551" w:type="pct"/>
            <w:noWrap/>
            <w:vAlign w:val="center"/>
          </w:tcPr>
          <w:p w14:paraId="3759B420" w14:textId="77777777" w:rsidR="00D55F31" w:rsidRPr="00E7138D" w:rsidRDefault="0024693B" w:rsidP="0002290A">
            <w:pPr>
              <w:tabs>
                <w:tab w:val="left" w:pos="284"/>
              </w:tabs>
              <w:jc w:val="right"/>
              <w:rPr>
                <w:rFonts w:ascii="Calibri" w:hAnsi="Calibri" w:cs="Calibri"/>
                <w:bCs/>
                <w:sz w:val="18"/>
                <w:szCs w:val="18"/>
              </w:rPr>
            </w:pPr>
            <w:r w:rsidRPr="00E7138D">
              <w:rPr>
                <w:rFonts w:ascii="Calibri" w:hAnsi="Calibri" w:cs="Calibri"/>
                <w:color w:val="000000"/>
                <w:sz w:val="18"/>
                <w:szCs w:val="18"/>
              </w:rPr>
              <w:t>0,44</w:t>
            </w:r>
          </w:p>
        </w:tc>
      </w:tr>
      <w:tr w:rsidR="00C425F2" w:rsidRPr="00E7138D" w14:paraId="7583500D" w14:textId="77777777" w:rsidTr="00D55F31">
        <w:trPr>
          <w:trHeight w:val="283"/>
          <w:jc w:val="center"/>
        </w:trPr>
        <w:tc>
          <w:tcPr>
            <w:tcW w:w="1185" w:type="pct"/>
            <w:vMerge w:val="restart"/>
            <w:noWrap/>
            <w:vAlign w:val="center"/>
          </w:tcPr>
          <w:p w14:paraId="0BE779EE" w14:textId="77777777" w:rsidR="00D55F31" w:rsidRPr="00E7138D" w:rsidRDefault="0024693B" w:rsidP="0002290A">
            <w:pPr>
              <w:rPr>
                <w:rFonts w:ascii="Calibri" w:hAnsi="Calibri" w:cs="Calibri"/>
                <w:color w:val="000000"/>
                <w:sz w:val="18"/>
                <w:szCs w:val="18"/>
                <w:lang w:eastAsia="cs-CZ"/>
              </w:rPr>
            </w:pPr>
            <w:r w:rsidRPr="00E7138D">
              <w:rPr>
                <w:rFonts w:ascii="Calibri" w:hAnsi="Calibri" w:cs="Calibri"/>
                <w:color w:val="000000"/>
                <w:sz w:val="18"/>
                <w:szCs w:val="18"/>
                <w:lang w:eastAsia="cs-CZ"/>
              </w:rPr>
              <w:t>Denní tržby</w:t>
            </w:r>
            <w:r w:rsidRPr="00E7138D">
              <w:rPr>
                <w:rFonts w:ascii="Calibri" w:hAnsi="Calibri" w:cs="Calibri"/>
                <w:color w:val="000000"/>
                <w:sz w:val="18"/>
                <w:szCs w:val="18"/>
                <w:vertAlign w:val="superscript"/>
                <w:lang w:eastAsia="cs-CZ"/>
              </w:rPr>
              <w:footnoteReference w:id="68"/>
            </w:r>
          </w:p>
        </w:tc>
        <w:tc>
          <w:tcPr>
            <w:tcW w:w="1035" w:type="pct"/>
            <w:vAlign w:val="center"/>
          </w:tcPr>
          <w:p w14:paraId="4A3D551C" w14:textId="77777777"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SLL Janské Lázně</w:t>
            </w:r>
          </w:p>
        </w:tc>
        <w:tc>
          <w:tcPr>
            <w:tcW w:w="557" w:type="pct"/>
            <w:gridSpan w:val="2"/>
            <w:noWrap/>
            <w:vAlign w:val="center"/>
          </w:tcPr>
          <w:p w14:paraId="2DF6EF1C" w14:textId="77777777" w:rsidR="00D55F31" w:rsidRPr="00E7138D" w:rsidRDefault="0024693B" w:rsidP="0002290A">
            <w:pPr>
              <w:jc w:val="right"/>
              <w:rPr>
                <w:rFonts w:ascii="Calibri" w:hAnsi="Calibri" w:cs="Calibri"/>
                <w:sz w:val="18"/>
                <w:szCs w:val="18"/>
              </w:rPr>
            </w:pPr>
            <w:r w:rsidRPr="00E7138D">
              <w:rPr>
                <w:rFonts w:ascii="Calibri" w:hAnsi="Calibri" w:cs="Calibri"/>
                <w:sz w:val="18"/>
                <w:szCs w:val="18"/>
              </w:rPr>
              <w:t>657</w:t>
            </w:r>
          </w:p>
        </w:tc>
        <w:tc>
          <w:tcPr>
            <w:tcW w:w="557" w:type="pct"/>
            <w:gridSpan w:val="2"/>
            <w:noWrap/>
            <w:vAlign w:val="center"/>
          </w:tcPr>
          <w:p w14:paraId="753FDA23" w14:textId="77777777" w:rsidR="00D55F31" w:rsidRPr="00E7138D" w:rsidRDefault="0024693B" w:rsidP="0002290A">
            <w:pPr>
              <w:jc w:val="right"/>
              <w:rPr>
                <w:rFonts w:ascii="Calibri" w:hAnsi="Calibri" w:cs="Calibri"/>
                <w:sz w:val="18"/>
                <w:szCs w:val="18"/>
              </w:rPr>
            </w:pPr>
            <w:r w:rsidRPr="00E7138D">
              <w:rPr>
                <w:rFonts w:ascii="Calibri" w:hAnsi="Calibri" w:cs="Calibri"/>
                <w:sz w:val="18"/>
                <w:szCs w:val="18"/>
              </w:rPr>
              <w:t>577</w:t>
            </w:r>
          </w:p>
        </w:tc>
        <w:tc>
          <w:tcPr>
            <w:tcW w:w="557" w:type="pct"/>
            <w:gridSpan w:val="2"/>
            <w:noWrap/>
            <w:vAlign w:val="center"/>
          </w:tcPr>
          <w:p w14:paraId="2DA0702B" w14:textId="77777777" w:rsidR="00D55F31" w:rsidRPr="00E7138D" w:rsidRDefault="0024693B" w:rsidP="0002290A">
            <w:pPr>
              <w:jc w:val="right"/>
              <w:rPr>
                <w:rFonts w:ascii="Calibri" w:hAnsi="Calibri" w:cs="Calibri"/>
                <w:sz w:val="18"/>
                <w:szCs w:val="18"/>
              </w:rPr>
            </w:pPr>
            <w:r w:rsidRPr="00E7138D">
              <w:rPr>
                <w:rFonts w:ascii="Calibri" w:hAnsi="Calibri" w:cs="Calibri"/>
                <w:sz w:val="18"/>
                <w:szCs w:val="18"/>
              </w:rPr>
              <w:t>415</w:t>
            </w:r>
          </w:p>
        </w:tc>
        <w:tc>
          <w:tcPr>
            <w:tcW w:w="558" w:type="pct"/>
            <w:gridSpan w:val="2"/>
            <w:noWrap/>
            <w:vAlign w:val="center"/>
          </w:tcPr>
          <w:p w14:paraId="7EFBFA68" w14:textId="77777777" w:rsidR="00D55F31" w:rsidRPr="00E7138D" w:rsidRDefault="0024693B" w:rsidP="0002290A">
            <w:pPr>
              <w:jc w:val="right"/>
              <w:rPr>
                <w:rFonts w:ascii="Calibri" w:hAnsi="Calibri" w:cs="Calibri"/>
                <w:sz w:val="18"/>
                <w:szCs w:val="18"/>
              </w:rPr>
            </w:pPr>
            <w:r w:rsidRPr="00E7138D">
              <w:rPr>
                <w:rFonts w:ascii="Calibri" w:hAnsi="Calibri" w:cs="Calibri"/>
                <w:sz w:val="18"/>
                <w:szCs w:val="18"/>
              </w:rPr>
              <w:t>578</w:t>
            </w:r>
          </w:p>
        </w:tc>
        <w:tc>
          <w:tcPr>
            <w:tcW w:w="551" w:type="pct"/>
            <w:noWrap/>
            <w:vAlign w:val="center"/>
          </w:tcPr>
          <w:p w14:paraId="23C2715A" w14:textId="77777777" w:rsidR="00D55F31" w:rsidRPr="00E7138D" w:rsidRDefault="0024693B" w:rsidP="0002290A">
            <w:pPr>
              <w:jc w:val="right"/>
              <w:rPr>
                <w:rFonts w:ascii="Calibri" w:hAnsi="Calibri" w:cs="Calibri"/>
                <w:sz w:val="18"/>
                <w:szCs w:val="18"/>
              </w:rPr>
            </w:pPr>
            <w:r w:rsidRPr="00E7138D">
              <w:rPr>
                <w:rFonts w:ascii="Calibri" w:hAnsi="Calibri" w:cs="Calibri"/>
                <w:sz w:val="18"/>
                <w:szCs w:val="18"/>
              </w:rPr>
              <w:t>643</w:t>
            </w:r>
          </w:p>
        </w:tc>
      </w:tr>
      <w:tr w:rsidR="00C425F2" w:rsidRPr="00E7138D" w14:paraId="1B191276" w14:textId="77777777" w:rsidTr="00D55F31">
        <w:trPr>
          <w:trHeight w:val="283"/>
          <w:jc w:val="center"/>
        </w:trPr>
        <w:tc>
          <w:tcPr>
            <w:tcW w:w="1185" w:type="pct"/>
            <w:vMerge/>
            <w:noWrap/>
            <w:vAlign w:val="center"/>
          </w:tcPr>
          <w:p w14:paraId="49A2F211" w14:textId="77777777" w:rsidR="00D55F31" w:rsidRPr="00E7138D" w:rsidRDefault="00D55F31" w:rsidP="0002290A">
            <w:pPr>
              <w:rPr>
                <w:rFonts w:ascii="Calibri" w:hAnsi="Calibri" w:cs="Calibri"/>
                <w:color w:val="000000"/>
                <w:sz w:val="18"/>
                <w:szCs w:val="18"/>
                <w:lang w:eastAsia="cs-CZ"/>
              </w:rPr>
            </w:pPr>
          </w:p>
        </w:tc>
        <w:tc>
          <w:tcPr>
            <w:tcW w:w="1035" w:type="pct"/>
            <w:vAlign w:val="center"/>
          </w:tcPr>
          <w:p w14:paraId="0B2D4D05" w14:textId="77777777"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HL Karlova Studánka</w:t>
            </w:r>
          </w:p>
        </w:tc>
        <w:tc>
          <w:tcPr>
            <w:tcW w:w="557" w:type="pct"/>
            <w:gridSpan w:val="2"/>
            <w:noWrap/>
            <w:vAlign w:val="center"/>
          </w:tcPr>
          <w:p w14:paraId="63F0804C"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328</w:t>
            </w:r>
          </w:p>
        </w:tc>
        <w:tc>
          <w:tcPr>
            <w:tcW w:w="557" w:type="pct"/>
            <w:gridSpan w:val="2"/>
            <w:noWrap/>
            <w:vAlign w:val="center"/>
          </w:tcPr>
          <w:p w14:paraId="1C76C864"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274</w:t>
            </w:r>
          </w:p>
        </w:tc>
        <w:tc>
          <w:tcPr>
            <w:tcW w:w="557" w:type="pct"/>
            <w:gridSpan w:val="2"/>
            <w:noWrap/>
            <w:vAlign w:val="center"/>
          </w:tcPr>
          <w:p w14:paraId="13F26392"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236</w:t>
            </w:r>
          </w:p>
        </w:tc>
        <w:tc>
          <w:tcPr>
            <w:tcW w:w="558" w:type="pct"/>
            <w:gridSpan w:val="2"/>
            <w:noWrap/>
            <w:vAlign w:val="center"/>
          </w:tcPr>
          <w:p w14:paraId="54E29734"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270</w:t>
            </w:r>
          </w:p>
        </w:tc>
        <w:tc>
          <w:tcPr>
            <w:tcW w:w="551" w:type="pct"/>
            <w:noWrap/>
            <w:vAlign w:val="center"/>
          </w:tcPr>
          <w:p w14:paraId="13CF8474"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308</w:t>
            </w:r>
          </w:p>
        </w:tc>
      </w:tr>
      <w:tr w:rsidR="00C425F2" w:rsidRPr="00E7138D" w14:paraId="4DA70CEF" w14:textId="77777777" w:rsidTr="00D55F31">
        <w:trPr>
          <w:trHeight w:val="283"/>
          <w:jc w:val="center"/>
        </w:trPr>
        <w:tc>
          <w:tcPr>
            <w:tcW w:w="1185" w:type="pct"/>
            <w:vMerge/>
            <w:noWrap/>
            <w:vAlign w:val="center"/>
          </w:tcPr>
          <w:p w14:paraId="2BE5F4D0" w14:textId="77777777" w:rsidR="00D55F31" w:rsidRPr="00E7138D" w:rsidRDefault="00D55F31" w:rsidP="0002290A">
            <w:pPr>
              <w:rPr>
                <w:rFonts w:ascii="Calibri" w:hAnsi="Calibri" w:cs="Calibri"/>
                <w:color w:val="000000"/>
                <w:sz w:val="18"/>
                <w:szCs w:val="18"/>
                <w:lang w:eastAsia="cs-CZ"/>
              </w:rPr>
            </w:pPr>
          </w:p>
        </w:tc>
        <w:tc>
          <w:tcPr>
            <w:tcW w:w="1035" w:type="pct"/>
            <w:vAlign w:val="center"/>
          </w:tcPr>
          <w:p w14:paraId="2FED8F07" w14:textId="77777777"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SLL Bludov</w:t>
            </w:r>
          </w:p>
        </w:tc>
        <w:tc>
          <w:tcPr>
            <w:tcW w:w="557" w:type="pct"/>
            <w:gridSpan w:val="2"/>
            <w:noWrap/>
            <w:vAlign w:val="center"/>
          </w:tcPr>
          <w:p w14:paraId="4794D39D"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101</w:t>
            </w:r>
          </w:p>
        </w:tc>
        <w:tc>
          <w:tcPr>
            <w:tcW w:w="557" w:type="pct"/>
            <w:gridSpan w:val="2"/>
            <w:noWrap/>
            <w:vAlign w:val="center"/>
          </w:tcPr>
          <w:p w14:paraId="3387003C"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80</w:t>
            </w:r>
          </w:p>
        </w:tc>
        <w:tc>
          <w:tcPr>
            <w:tcW w:w="557" w:type="pct"/>
            <w:gridSpan w:val="2"/>
            <w:noWrap/>
            <w:vAlign w:val="center"/>
          </w:tcPr>
          <w:p w14:paraId="5D20BB3D" w14:textId="77777777" w:rsidR="00D55F31" w:rsidRPr="00E7138D" w:rsidRDefault="0024693B" w:rsidP="0002290A">
            <w:pPr>
              <w:jc w:val="right"/>
              <w:rPr>
                <w:rFonts w:ascii="Calibri" w:hAnsi="Calibri" w:cs="Calibri"/>
                <w:sz w:val="18"/>
                <w:szCs w:val="18"/>
              </w:rPr>
            </w:pPr>
            <w:r w:rsidRPr="00E7138D">
              <w:rPr>
                <w:rFonts w:ascii="Calibri" w:hAnsi="Calibri" w:cs="Calibri"/>
                <w:sz w:val="18"/>
                <w:szCs w:val="18"/>
              </w:rPr>
              <w:t>57</w:t>
            </w:r>
          </w:p>
        </w:tc>
        <w:tc>
          <w:tcPr>
            <w:tcW w:w="558" w:type="pct"/>
            <w:gridSpan w:val="2"/>
            <w:noWrap/>
            <w:vAlign w:val="center"/>
          </w:tcPr>
          <w:p w14:paraId="4BBBEAE7" w14:textId="77777777" w:rsidR="00D55F31" w:rsidRPr="00E7138D" w:rsidRDefault="0024693B" w:rsidP="0002290A">
            <w:pPr>
              <w:jc w:val="right"/>
              <w:rPr>
                <w:rFonts w:ascii="Calibri" w:hAnsi="Calibri" w:cs="Calibri"/>
                <w:sz w:val="18"/>
                <w:szCs w:val="18"/>
              </w:rPr>
            </w:pPr>
            <w:r w:rsidRPr="00E7138D">
              <w:rPr>
                <w:rFonts w:ascii="Calibri" w:hAnsi="Calibri" w:cs="Calibri"/>
                <w:sz w:val="18"/>
                <w:szCs w:val="18"/>
              </w:rPr>
              <w:t>74</w:t>
            </w:r>
          </w:p>
        </w:tc>
        <w:tc>
          <w:tcPr>
            <w:tcW w:w="551" w:type="pct"/>
            <w:noWrap/>
            <w:vAlign w:val="center"/>
          </w:tcPr>
          <w:p w14:paraId="032F6E4C" w14:textId="77777777" w:rsidR="00D55F31" w:rsidRPr="00E7138D" w:rsidRDefault="0024693B" w:rsidP="0002290A">
            <w:pPr>
              <w:jc w:val="right"/>
              <w:rPr>
                <w:rFonts w:ascii="Calibri" w:hAnsi="Calibri" w:cs="Calibri"/>
                <w:sz w:val="18"/>
                <w:szCs w:val="18"/>
              </w:rPr>
            </w:pPr>
            <w:r w:rsidRPr="00E7138D">
              <w:rPr>
                <w:rFonts w:ascii="Calibri" w:hAnsi="Calibri" w:cs="Calibri"/>
                <w:sz w:val="18"/>
                <w:szCs w:val="18"/>
              </w:rPr>
              <w:t>101</w:t>
            </w:r>
          </w:p>
        </w:tc>
      </w:tr>
      <w:tr w:rsidR="00C425F2" w:rsidRPr="00E7138D" w14:paraId="5D940A73" w14:textId="77777777" w:rsidTr="00D55F31">
        <w:trPr>
          <w:trHeight w:val="283"/>
          <w:jc w:val="center"/>
        </w:trPr>
        <w:tc>
          <w:tcPr>
            <w:tcW w:w="1185" w:type="pct"/>
            <w:vMerge/>
            <w:tcBorders>
              <w:bottom w:val="single" w:sz="12" w:space="0" w:color="auto"/>
            </w:tcBorders>
            <w:noWrap/>
            <w:vAlign w:val="center"/>
          </w:tcPr>
          <w:p w14:paraId="1CA816ED" w14:textId="77777777" w:rsidR="00D55F31" w:rsidRPr="00E7138D" w:rsidRDefault="00D55F31" w:rsidP="0002290A">
            <w:pPr>
              <w:rPr>
                <w:rFonts w:ascii="Calibri" w:hAnsi="Calibri" w:cs="Calibri"/>
                <w:color w:val="000000"/>
                <w:sz w:val="18"/>
                <w:szCs w:val="18"/>
                <w:lang w:eastAsia="cs-CZ"/>
              </w:rPr>
            </w:pPr>
          </w:p>
        </w:tc>
        <w:tc>
          <w:tcPr>
            <w:tcW w:w="1035" w:type="pct"/>
            <w:tcBorders>
              <w:bottom w:val="single" w:sz="12" w:space="0" w:color="auto"/>
            </w:tcBorders>
            <w:vAlign w:val="center"/>
          </w:tcPr>
          <w:p w14:paraId="7784545E" w14:textId="0A1BD777"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BALMED</w:t>
            </w:r>
            <w:r w:rsidR="00826683">
              <w:rPr>
                <w:rFonts w:ascii="Calibri" w:hAnsi="Calibri" w:cs="Calibri"/>
                <w:i/>
                <w:color w:val="000000"/>
                <w:sz w:val="18"/>
                <w:szCs w:val="18"/>
              </w:rPr>
              <w:t xml:space="preserve"> Praha</w:t>
            </w:r>
          </w:p>
        </w:tc>
        <w:tc>
          <w:tcPr>
            <w:tcW w:w="557" w:type="pct"/>
            <w:gridSpan w:val="2"/>
            <w:tcBorders>
              <w:bottom w:val="single" w:sz="12" w:space="0" w:color="auto"/>
            </w:tcBorders>
            <w:noWrap/>
            <w:vAlign w:val="center"/>
          </w:tcPr>
          <w:p w14:paraId="2AA584EC" w14:textId="77777777" w:rsidR="00D55F31" w:rsidRPr="00E7138D" w:rsidRDefault="0024693B" w:rsidP="0002290A">
            <w:pPr>
              <w:tabs>
                <w:tab w:val="left" w:pos="284"/>
              </w:tabs>
              <w:jc w:val="right"/>
              <w:rPr>
                <w:rFonts w:ascii="Calibri" w:hAnsi="Calibri" w:cs="Calibri"/>
                <w:sz w:val="18"/>
                <w:szCs w:val="18"/>
              </w:rPr>
            </w:pPr>
            <w:r w:rsidRPr="00E7138D">
              <w:rPr>
                <w:rFonts w:ascii="Calibri" w:hAnsi="Calibri" w:cs="Calibri"/>
                <w:sz w:val="18"/>
                <w:szCs w:val="18"/>
              </w:rPr>
              <w:t>4</w:t>
            </w:r>
          </w:p>
        </w:tc>
        <w:tc>
          <w:tcPr>
            <w:tcW w:w="557" w:type="pct"/>
            <w:gridSpan w:val="2"/>
            <w:tcBorders>
              <w:bottom w:val="single" w:sz="12" w:space="0" w:color="auto"/>
            </w:tcBorders>
            <w:noWrap/>
            <w:vAlign w:val="center"/>
          </w:tcPr>
          <w:p w14:paraId="2AE9256E" w14:textId="77777777" w:rsidR="00D55F31" w:rsidRPr="00E7138D" w:rsidRDefault="0024693B" w:rsidP="0002290A">
            <w:pPr>
              <w:tabs>
                <w:tab w:val="left" w:pos="284"/>
              </w:tabs>
              <w:jc w:val="right"/>
              <w:rPr>
                <w:rFonts w:ascii="Calibri" w:hAnsi="Calibri" w:cs="Calibri"/>
                <w:sz w:val="18"/>
                <w:szCs w:val="18"/>
              </w:rPr>
            </w:pPr>
            <w:r w:rsidRPr="00E7138D">
              <w:rPr>
                <w:rFonts w:ascii="Calibri" w:hAnsi="Calibri" w:cs="Calibri"/>
                <w:sz w:val="18"/>
                <w:szCs w:val="18"/>
              </w:rPr>
              <w:t>6</w:t>
            </w:r>
          </w:p>
        </w:tc>
        <w:tc>
          <w:tcPr>
            <w:tcW w:w="557" w:type="pct"/>
            <w:gridSpan w:val="2"/>
            <w:tcBorders>
              <w:bottom w:val="single" w:sz="12" w:space="0" w:color="auto"/>
            </w:tcBorders>
            <w:noWrap/>
            <w:vAlign w:val="center"/>
          </w:tcPr>
          <w:p w14:paraId="4D4DC2AE"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rPr>
              <w:t>20</w:t>
            </w:r>
          </w:p>
        </w:tc>
        <w:tc>
          <w:tcPr>
            <w:tcW w:w="558" w:type="pct"/>
            <w:gridSpan w:val="2"/>
            <w:tcBorders>
              <w:bottom w:val="single" w:sz="12" w:space="0" w:color="auto"/>
            </w:tcBorders>
            <w:noWrap/>
            <w:vAlign w:val="center"/>
          </w:tcPr>
          <w:p w14:paraId="3B325F42"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rPr>
              <w:t>3</w:t>
            </w:r>
          </w:p>
        </w:tc>
        <w:tc>
          <w:tcPr>
            <w:tcW w:w="551" w:type="pct"/>
            <w:tcBorders>
              <w:bottom w:val="single" w:sz="12" w:space="0" w:color="auto"/>
            </w:tcBorders>
            <w:noWrap/>
            <w:vAlign w:val="center"/>
          </w:tcPr>
          <w:p w14:paraId="167D3CD9"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rPr>
              <w:t>4</w:t>
            </w:r>
          </w:p>
        </w:tc>
      </w:tr>
      <w:tr w:rsidR="00C425F2" w:rsidRPr="00E7138D" w14:paraId="3FFFD63C" w14:textId="77777777" w:rsidTr="00D55F31">
        <w:trPr>
          <w:trHeight w:val="283"/>
          <w:jc w:val="center"/>
        </w:trPr>
        <w:tc>
          <w:tcPr>
            <w:tcW w:w="1185" w:type="pct"/>
            <w:tcBorders>
              <w:top w:val="single" w:sz="12" w:space="0" w:color="auto"/>
              <w:left w:val="nil"/>
              <w:bottom w:val="nil"/>
              <w:right w:val="nil"/>
            </w:tcBorders>
            <w:noWrap/>
            <w:vAlign w:val="center"/>
          </w:tcPr>
          <w:p w14:paraId="1361D1C5" w14:textId="77777777" w:rsidR="00D55F31" w:rsidRPr="00E7138D" w:rsidRDefault="00D55F31" w:rsidP="0002290A">
            <w:pPr>
              <w:rPr>
                <w:rFonts w:ascii="Calibri" w:hAnsi="Calibri" w:cs="Calibri"/>
                <w:color w:val="000000"/>
                <w:sz w:val="18"/>
                <w:szCs w:val="18"/>
                <w:lang w:eastAsia="cs-CZ"/>
              </w:rPr>
            </w:pPr>
          </w:p>
          <w:p w14:paraId="2AB92CF0" w14:textId="77777777" w:rsidR="00D55F31" w:rsidRPr="00E7138D" w:rsidRDefault="00D55F31" w:rsidP="0002290A">
            <w:pPr>
              <w:rPr>
                <w:rFonts w:ascii="Calibri" w:hAnsi="Calibri" w:cs="Calibri"/>
                <w:color w:val="000000"/>
                <w:sz w:val="18"/>
                <w:szCs w:val="18"/>
                <w:lang w:eastAsia="cs-CZ"/>
              </w:rPr>
            </w:pPr>
          </w:p>
        </w:tc>
        <w:tc>
          <w:tcPr>
            <w:tcW w:w="1035" w:type="pct"/>
            <w:tcBorders>
              <w:top w:val="single" w:sz="12" w:space="0" w:color="auto"/>
              <w:left w:val="nil"/>
              <w:bottom w:val="nil"/>
              <w:right w:val="nil"/>
            </w:tcBorders>
            <w:vAlign w:val="center"/>
          </w:tcPr>
          <w:p w14:paraId="1CFDB9C6" w14:textId="77777777" w:rsidR="00D55F31" w:rsidRPr="00E7138D" w:rsidRDefault="00D55F31" w:rsidP="0002290A">
            <w:pPr>
              <w:ind w:right="64" w:hanging="11"/>
              <w:jc w:val="center"/>
              <w:rPr>
                <w:rFonts w:ascii="Calibri" w:hAnsi="Calibri" w:cs="Calibri"/>
                <w:i/>
                <w:color w:val="000000"/>
                <w:sz w:val="18"/>
                <w:szCs w:val="18"/>
              </w:rPr>
            </w:pPr>
          </w:p>
        </w:tc>
        <w:tc>
          <w:tcPr>
            <w:tcW w:w="557" w:type="pct"/>
            <w:gridSpan w:val="2"/>
            <w:tcBorders>
              <w:top w:val="single" w:sz="12" w:space="0" w:color="auto"/>
              <w:left w:val="nil"/>
              <w:bottom w:val="nil"/>
              <w:right w:val="nil"/>
            </w:tcBorders>
            <w:noWrap/>
            <w:vAlign w:val="center"/>
          </w:tcPr>
          <w:p w14:paraId="4CCC9873" w14:textId="77777777" w:rsidR="00D55F31" w:rsidRPr="00E7138D" w:rsidRDefault="00D55F31" w:rsidP="0002290A">
            <w:pPr>
              <w:jc w:val="right"/>
              <w:rPr>
                <w:rFonts w:ascii="Calibri" w:hAnsi="Calibri" w:cs="Calibri"/>
                <w:color w:val="000000"/>
                <w:sz w:val="18"/>
                <w:szCs w:val="18"/>
                <w:lang w:eastAsia="cs-CZ"/>
              </w:rPr>
            </w:pPr>
          </w:p>
        </w:tc>
        <w:tc>
          <w:tcPr>
            <w:tcW w:w="557" w:type="pct"/>
            <w:gridSpan w:val="2"/>
            <w:tcBorders>
              <w:top w:val="single" w:sz="12" w:space="0" w:color="auto"/>
              <w:left w:val="nil"/>
              <w:bottom w:val="nil"/>
              <w:right w:val="nil"/>
            </w:tcBorders>
            <w:noWrap/>
            <w:vAlign w:val="center"/>
          </w:tcPr>
          <w:p w14:paraId="60016478" w14:textId="77777777" w:rsidR="00D55F31" w:rsidRPr="00E7138D" w:rsidRDefault="00D55F31" w:rsidP="0002290A">
            <w:pPr>
              <w:jc w:val="right"/>
              <w:rPr>
                <w:rFonts w:ascii="Calibri" w:hAnsi="Calibri" w:cs="Calibri"/>
                <w:color w:val="000000"/>
                <w:sz w:val="18"/>
                <w:szCs w:val="18"/>
                <w:lang w:eastAsia="cs-CZ"/>
              </w:rPr>
            </w:pPr>
          </w:p>
        </w:tc>
        <w:tc>
          <w:tcPr>
            <w:tcW w:w="557" w:type="pct"/>
            <w:gridSpan w:val="2"/>
            <w:tcBorders>
              <w:top w:val="single" w:sz="12" w:space="0" w:color="auto"/>
              <w:left w:val="nil"/>
              <w:bottom w:val="nil"/>
              <w:right w:val="nil"/>
            </w:tcBorders>
            <w:noWrap/>
            <w:vAlign w:val="center"/>
          </w:tcPr>
          <w:p w14:paraId="307830A1" w14:textId="77777777" w:rsidR="00D55F31" w:rsidRPr="00E7138D" w:rsidRDefault="00D55F31" w:rsidP="0002290A">
            <w:pPr>
              <w:jc w:val="right"/>
              <w:rPr>
                <w:rFonts w:ascii="Calibri" w:hAnsi="Calibri" w:cs="Calibri"/>
                <w:color w:val="000000"/>
                <w:sz w:val="18"/>
                <w:szCs w:val="18"/>
                <w:lang w:eastAsia="cs-CZ"/>
              </w:rPr>
            </w:pPr>
          </w:p>
        </w:tc>
        <w:tc>
          <w:tcPr>
            <w:tcW w:w="558" w:type="pct"/>
            <w:gridSpan w:val="2"/>
            <w:tcBorders>
              <w:top w:val="single" w:sz="12" w:space="0" w:color="auto"/>
              <w:left w:val="nil"/>
              <w:bottom w:val="nil"/>
              <w:right w:val="nil"/>
            </w:tcBorders>
            <w:noWrap/>
            <w:vAlign w:val="center"/>
          </w:tcPr>
          <w:p w14:paraId="0DEE4C96" w14:textId="77777777" w:rsidR="00D55F31" w:rsidRPr="00E7138D" w:rsidRDefault="00D55F31" w:rsidP="0002290A">
            <w:pPr>
              <w:jc w:val="right"/>
              <w:rPr>
                <w:rFonts w:ascii="Calibri" w:hAnsi="Calibri" w:cs="Calibri"/>
                <w:color w:val="000000"/>
                <w:sz w:val="18"/>
                <w:szCs w:val="18"/>
                <w:lang w:eastAsia="cs-CZ"/>
              </w:rPr>
            </w:pPr>
          </w:p>
        </w:tc>
        <w:tc>
          <w:tcPr>
            <w:tcW w:w="551" w:type="pct"/>
            <w:tcBorders>
              <w:top w:val="single" w:sz="12" w:space="0" w:color="auto"/>
              <w:left w:val="nil"/>
              <w:bottom w:val="nil"/>
              <w:right w:val="nil"/>
            </w:tcBorders>
            <w:noWrap/>
            <w:vAlign w:val="center"/>
          </w:tcPr>
          <w:p w14:paraId="09FCBD89" w14:textId="77777777" w:rsidR="00D55F31" w:rsidRPr="00E7138D" w:rsidRDefault="00D55F31" w:rsidP="0002290A">
            <w:pPr>
              <w:jc w:val="right"/>
              <w:rPr>
                <w:rFonts w:ascii="Calibri" w:hAnsi="Calibri" w:cs="Calibri"/>
                <w:color w:val="000000"/>
                <w:sz w:val="18"/>
                <w:szCs w:val="18"/>
                <w:lang w:eastAsia="cs-CZ"/>
              </w:rPr>
            </w:pPr>
          </w:p>
        </w:tc>
      </w:tr>
      <w:tr w:rsidR="00C425F2" w:rsidRPr="00E7138D" w14:paraId="4C3A7338" w14:textId="77777777" w:rsidTr="00D55F31">
        <w:trPr>
          <w:trHeight w:val="283"/>
          <w:jc w:val="center"/>
        </w:trPr>
        <w:tc>
          <w:tcPr>
            <w:tcW w:w="1185" w:type="pct"/>
            <w:vMerge w:val="restart"/>
            <w:tcBorders>
              <w:top w:val="single" w:sz="12" w:space="0" w:color="auto"/>
            </w:tcBorders>
            <w:noWrap/>
            <w:vAlign w:val="center"/>
          </w:tcPr>
          <w:p w14:paraId="54CA8EBE" w14:textId="77777777" w:rsidR="00D55F31" w:rsidRPr="00E7138D" w:rsidRDefault="0024693B" w:rsidP="0002290A">
            <w:pPr>
              <w:rPr>
                <w:rFonts w:ascii="Calibri" w:hAnsi="Calibri" w:cs="Calibri"/>
                <w:color w:val="000000"/>
                <w:sz w:val="18"/>
                <w:szCs w:val="18"/>
                <w:lang w:eastAsia="cs-CZ"/>
              </w:rPr>
            </w:pPr>
            <w:r w:rsidRPr="00E7138D">
              <w:rPr>
                <w:rFonts w:ascii="Calibri" w:hAnsi="Calibri" w:cs="Calibri"/>
                <w:color w:val="000000"/>
                <w:sz w:val="18"/>
                <w:szCs w:val="18"/>
                <w:lang w:eastAsia="cs-CZ"/>
              </w:rPr>
              <w:lastRenderedPageBreak/>
              <w:t>Doba obratu pohledávek</w:t>
            </w:r>
            <w:r w:rsidRPr="00E7138D">
              <w:rPr>
                <w:rFonts w:ascii="Calibri" w:hAnsi="Calibri" w:cs="Calibri"/>
                <w:color w:val="000000"/>
                <w:sz w:val="18"/>
                <w:szCs w:val="18"/>
                <w:vertAlign w:val="superscript"/>
                <w:lang w:eastAsia="cs-CZ"/>
              </w:rPr>
              <w:footnoteReference w:id="69"/>
            </w:r>
            <w:r w:rsidRPr="00E7138D">
              <w:rPr>
                <w:rFonts w:ascii="Calibri" w:hAnsi="Calibri" w:cs="Calibri"/>
                <w:color w:val="000000"/>
                <w:sz w:val="18"/>
                <w:szCs w:val="18"/>
                <w:lang w:eastAsia="cs-CZ"/>
              </w:rPr>
              <w:t xml:space="preserve"> (dny)</w:t>
            </w:r>
          </w:p>
        </w:tc>
        <w:tc>
          <w:tcPr>
            <w:tcW w:w="1035" w:type="pct"/>
            <w:tcBorders>
              <w:top w:val="single" w:sz="12" w:space="0" w:color="auto"/>
              <w:bottom w:val="single" w:sz="4" w:space="0" w:color="auto"/>
            </w:tcBorders>
            <w:vAlign w:val="center"/>
          </w:tcPr>
          <w:p w14:paraId="79D2EBC8" w14:textId="77777777"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SLL Janské Lázně</w:t>
            </w:r>
          </w:p>
        </w:tc>
        <w:tc>
          <w:tcPr>
            <w:tcW w:w="557" w:type="pct"/>
            <w:gridSpan w:val="2"/>
            <w:tcBorders>
              <w:top w:val="single" w:sz="12" w:space="0" w:color="auto"/>
              <w:bottom w:val="single" w:sz="4" w:space="0" w:color="auto"/>
            </w:tcBorders>
            <w:noWrap/>
            <w:vAlign w:val="center"/>
          </w:tcPr>
          <w:p w14:paraId="2BAC52EA"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37,60</w:t>
            </w:r>
          </w:p>
        </w:tc>
        <w:tc>
          <w:tcPr>
            <w:tcW w:w="557" w:type="pct"/>
            <w:gridSpan w:val="2"/>
            <w:tcBorders>
              <w:top w:val="single" w:sz="12" w:space="0" w:color="auto"/>
              <w:bottom w:val="single" w:sz="4" w:space="0" w:color="auto"/>
            </w:tcBorders>
            <w:noWrap/>
            <w:vAlign w:val="center"/>
          </w:tcPr>
          <w:p w14:paraId="0CF5AD35"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24,94</w:t>
            </w:r>
          </w:p>
        </w:tc>
        <w:tc>
          <w:tcPr>
            <w:tcW w:w="557" w:type="pct"/>
            <w:gridSpan w:val="2"/>
            <w:tcBorders>
              <w:top w:val="single" w:sz="12" w:space="0" w:color="auto"/>
              <w:bottom w:val="single" w:sz="4" w:space="0" w:color="auto"/>
            </w:tcBorders>
            <w:noWrap/>
            <w:vAlign w:val="center"/>
          </w:tcPr>
          <w:p w14:paraId="480287B2"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25,51</w:t>
            </w:r>
          </w:p>
        </w:tc>
        <w:tc>
          <w:tcPr>
            <w:tcW w:w="558" w:type="pct"/>
            <w:gridSpan w:val="2"/>
            <w:tcBorders>
              <w:top w:val="single" w:sz="12" w:space="0" w:color="auto"/>
              <w:bottom w:val="single" w:sz="4" w:space="0" w:color="auto"/>
            </w:tcBorders>
            <w:noWrap/>
            <w:vAlign w:val="center"/>
          </w:tcPr>
          <w:p w14:paraId="241C8F68"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31,42</w:t>
            </w:r>
          </w:p>
        </w:tc>
        <w:tc>
          <w:tcPr>
            <w:tcW w:w="551" w:type="pct"/>
            <w:tcBorders>
              <w:top w:val="single" w:sz="12" w:space="0" w:color="auto"/>
              <w:bottom w:val="single" w:sz="4" w:space="0" w:color="auto"/>
            </w:tcBorders>
            <w:noWrap/>
            <w:vAlign w:val="center"/>
          </w:tcPr>
          <w:p w14:paraId="76B65727"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45,63</w:t>
            </w:r>
          </w:p>
        </w:tc>
      </w:tr>
      <w:tr w:rsidR="00C425F2" w:rsidRPr="00E7138D" w14:paraId="6E1AFCE7" w14:textId="77777777" w:rsidTr="00D55F31">
        <w:trPr>
          <w:trHeight w:val="283"/>
          <w:jc w:val="center"/>
        </w:trPr>
        <w:tc>
          <w:tcPr>
            <w:tcW w:w="1185" w:type="pct"/>
            <w:vMerge/>
            <w:tcBorders>
              <w:top w:val="single" w:sz="12" w:space="0" w:color="auto"/>
            </w:tcBorders>
            <w:noWrap/>
            <w:vAlign w:val="center"/>
          </w:tcPr>
          <w:p w14:paraId="79631584" w14:textId="77777777" w:rsidR="00D55F31" w:rsidRPr="00E7138D" w:rsidRDefault="00D55F31" w:rsidP="0002290A">
            <w:pPr>
              <w:rPr>
                <w:rFonts w:ascii="Calibri" w:hAnsi="Calibri" w:cs="Calibri"/>
                <w:color w:val="000000"/>
                <w:sz w:val="18"/>
                <w:szCs w:val="18"/>
                <w:lang w:eastAsia="cs-CZ"/>
              </w:rPr>
            </w:pPr>
          </w:p>
        </w:tc>
        <w:tc>
          <w:tcPr>
            <w:tcW w:w="1035" w:type="pct"/>
            <w:tcBorders>
              <w:top w:val="single" w:sz="4" w:space="0" w:color="auto"/>
              <w:bottom w:val="single" w:sz="4" w:space="0" w:color="auto"/>
            </w:tcBorders>
            <w:vAlign w:val="center"/>
          </w:tcPr>
          <w:p w14:paraId="693D518D" w14:textId="77777777"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HL Karlova Studánka</w:t>
            </w:r>
          </w:p>
        </w:tc>
        <w:tc>
          <w:tcPr>
            <w:tcW w:w="557" w:type="pct"/>
            <w:gridSpan w:val="2"/>
            <w:tcBorders>
              <w:top w:val="single" w:sz="4" w:space="0" w:color="auto"/>
              <w:bottom w:val="single" w:sz="4" w:space="0" w:color="auto"/>
            </w:tcBorders>
            <w:noWrap/>
            <w:vAlign w:val="center"/>
          </w:tcPr>
          <w:p w14:paraId="706E7DF0"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25,04</w:t>
            </w:r>
          </w:p>
        </w:tc>
        <w:tc>
          <w:tcPr>
            <w:tcW w:w="557" w:type="pct"/>
            <w:gridSpan w:val="2"/>
            <w:tcBorders>
              <w:top w:val="single" w:sz="4" w:space="0" w:color="auto"/>
              <w:bottom w:val="single" w:sz="4" w:space="0" w:color="auto"/>
            </w:tcBorders>
            <w:noWrap/>
            <w:vAlign w:val="center"/>
          </w:tcPr>
          <w:p w14:paraId="59E259B8"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15,78</w:t>
            </w:r>
          </w:p>
        </w:tc>
        <w:tc>
          <w:tcPr>
            <w:tcW w:w="557" w:type="pct"/>
            <w:gridSpan w:val="2"/>
            <w:tcBorders>
              <w:top w:val="single" w:sz="4" w:space="0" w:color="auto"/>
              <w:bottom w:val="single" w:sz="4" w:space="0" w:color="auto"/>
            </w:tcBorders>
            <w:noWrap/>
            <w:vAlign w:val="center"/>
          </w:tcPr>
          <w:p w14:paraId="5B98D9A9"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20,23</w:t>
            </w:r>
          </w:p>
        </w:tc>
        <w:tc>
          <w:tcPr>
            <w:tcW w:w="558" w:type="pct"/>
            <w:gridSpan w:val="2"/>
            <w:tcBorders>
              <w:top w:val="single" w:sz="4" w:space="0" w:color="auto"/>
              <w:bottom w:val="single" w:sz="4" w:space="0" w:color="auto"/>
            </w:tcBorders>
            <w:noWrap/>
            <w:vAlign w:val="center"/>
          </w:tcPr>
          <w:p w14:paraId="11E2FEDD"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23,55</w:t>
            </w:r>
          </w:p>
        </w:tc>
        <w:tc>
          <w:tcPr>
            <w:tcW w:w="551" w:type="pct"/>
            <w:tcBorders>
              <w:top w:val="single" w:sz="4" w:space="0" w:color="auto"/>
              <w:bottom w:val="single" w:sz="4" w:space="0" w:color="auto"/>
            </w:tcBorders>
            <w:noWrap/>
            <w:vAlign w:val="center"/>
          </w:tcPr>
          <w:p w14:paraId="4C582F4A"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38,23</w:t>
            </w:r>
          </w:p>
        </w:tc>
      </w:tr>
      <w:tr w:rsidR="00C425F2" w:rsidRPr="00E7138D" w14:paraId="09D0D2F0" w14:textId="77777777" w:rsidTr="00D55F31">
        <w:trPr>
          <w:trHeight w:val="283"/>
          <w:jc w:val="center"/>
        </w:trPr>
        <w:tc>
          <w:tcPr>
            <w:tcW w:w="1185" w:type="pct"/>
            <w:vMerge/>
            <w:tcBorders>
              <w:top w:val="single" w:sz="12" w:space="0" w:color="auto"/>
            </w:tcBorders>
            <w:noWrap/>
            <w:vAlign w:val="center"/>
          </w:tcPr>
          <w:p w14:paraId="1C650DA6" w14:textId="77777777" w:rsidR="00D55F31" w:rsidRPr="00E7138D" w:rsidRDefault="00D55F31" w:rsidP="0002290A">
            <w:pPr>
              <w:rPr>
                <w:rFonts w:ascii="Calibri" w:hAnsi="Calibri" w:cs="Calibri"/>
                <w:color w:val="000000"/>
                <w:sz w:val="18"/>
                <w:szCs w:val="18"/>
                <w:lang w:eastAsia="cs-CZ"/>
              </w:rPr>
            </w:pPr>
          </w:p>
        </w:tc>
        <w:tc>
          <w:tcPr>
            <w:tcW w:w="1035" w:type="pct"/>
            <w:tcBorders>
              <w:top w:val="single" w:sz="4" w:space="0" w:color="auto"/>
            </w:tcBorders>
            <w:vAlign w:val="center"/>
          </w:tcPr>
          <w:p w14:paraId="6BC96A26" w14:textId="77777777"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SLL Bludov</w:t>
            </w:r>
          </w:p>
        </w:tc>
        <w:tc>
          <w:tcPr>
            <w:tcW w:w="557" w:type="pct"/>
            <w:gridSpan w:val="2"/>
            <w:tcBorders>
              <w:top w:val="single" w:sz="4" w:space="0" w:color="auto"/>
            </w:tcBorders>
            <w:noWrap/>
            <w:vAlign w:val="center"/>
          </w:tcPr>
          <w:p w14:paraId="28FA33A2"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107,33</w:t>
            </w:r>
          </w:p>
        </w:tc>
        <w:tc>
          <w:tcPr>
            <w:tcW w:w="557" w:type="pct"/>
            <w:gridSpan w:val="2"/>
            <w:tcBorders>
              <w:top w:val="single" w:sz="4" w:space="0" w:color="auto"/>
            </w:tcBorders>
            <w:noWrap/>
            <w:vAlign w:val="center"/>
          </w:tcPr>
          <w:p w14:paraId="219BA332"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169,36</w:t>
            </w:r>
          </w:p>
        </w:tc>
        <w:tc>
          <w:tcPr>
            <w:tcW w:w="557" w:type="pct"/>
            <w:gridSpan w:val="2"/>
            <w:tcBorders>
              <w:top w:val="single" w:sz="4" w:space="0" w:color="auto"/>
            </w:tcBorders>
            <w:noWrap/>
            <w:vAlign w:val="center"/>
          </w:tcPr>
          <w:p w14:paraId="6AD08ABB"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266,67</w:t>
            </w:r>
          </w:p>
        </w:tc>
        <w:tc>
          <w:tcPr>
            <w:tcW w:w="558" w:type="pct"/>
            <w:gridSpan w:val="2"/>
            <w:tcBorders>
              <w:top w:val="single" w:sz="4" w:space="0" w:color="auto"/>
            </w:tcBorders>
            <w:noWrap/>
            <w:vAlign w:val="center"/>
          </w:tcPr>
          <w:p w14:paraId="5D671268"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243,78</w:t>
            </w:r>
          </w:p>
        </w:tc>
        <w:tc>
          <w:tcPr>
            <w:tcW w:w="551" w:type="pct"/>
            <w:tcBorders>
              <w:top w:val="single" w:sz="4" w:space="0" w:color="auto"/>
            </w:tcBorders>
            <w:noWrap/>
            <w:vAlign w:val="center"/>
          </w:tcPr>
          <w:p w14:paraId="5639FDF7"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24,79</w:t>
            </w:r>
          </w:p>
        </w:tc>
      </w:tr>
      <w:tr w:rsidR="00C425F2" w:rsidRPr="00E7138D" w14:paraId="2C8AB2A1" w14:textId="77777777" w:rsidTr="00D55F31">
        <w:trPr>
          <w:trHeight w:val="283"/>
          <w:jc w:val="center"/>
        </w:trPr>
        <w:tc>
          <w:tcPr>
            <w:tcW w:w="1185" w:type="pct"/>
            <w:vMerge/>
            <w:tcBorders>
              <w:bottom w:val="single" w:sz="12" w:space="0" w:color="auto"/>
            </w:tcBorders>
            <w:noWrap/>
            <w:vAlign w:val="center"/>
          </w:tcPr>
          <w:p w14:paraId="2B38EB60" w14:textId="77777777" w:rsidR="00D55F31" w:rsidRPr="00E7138D" w:rsidRDefault="00D55F31" w:rsidP="0002290A">
            <w:pPr>
              <w:rPr>
                <w:rFonts w:ascii="Calibri" w:hAnsi="Calibri" w:cs="Calibri"/>
                <w:color w:val="000000"/>
                <w:sz w:val="18"/>
                <w:szCs w:val="18"/>
                <w:lang w:eastAsia="cs-CZ"/>
              </w:rPr>
            </w:pPr>
          </w:p>
        </w:tc>
        <w:tc>
          <w:tcPr>
            <w:tcW w:w="1035" w:type="pct"/>
            <w:tcBorders>
              <w:bottom w:val="single" w:sz="12" w:space="0" w:color="auto"/>
            </w:tcBorders>
            <w:vAlign w:val="center"/>
          </w:tcPr>
          <w:p w14:paraId="41AA7F77" w14:textId="705D9F58"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BALMED</w:t>
            </w:r>
            <w:r w:rsidR="00826683">
              <w:rPr>
                <w:rFonts w:ascii="Calibri" w:hAnsi="Calibri" w:cs="Calibri"/>
                <w:i/>
                <w:color w:val="000000"/>
                <w:sz w:val="18"/>
                <w:szCs w:val="18"/>
              </w:rPr>
              <w:t xml:space="preserve"> Praha</w:t>
            </w:r>
          </w:p>
        </w:tc>
        <w:tc>
          <w:tcPr>
            <w:tcW w:w="557" w:type="pct"/>
            <w:gridSpan w:val="2"/>
            <w:tcBorders>
              <w:bottom w:val="single" w:sz="12" w:space="0" w:color="auto"/>
            </w:tcBorders>
            <w:noWrap/>
            <w:vAlign w:val="center"/>
          </w:tcPr>
          <w:p w14:paraId="44E8DDE8" w14:textId="77777777" w:rsidR="00D55F31" w:rsidRPr="00E7138D" w:rsidRDefault="0024693B" w:rsidP="0002290A">
            <w:pPr>
              <w:tabs>
                <w:tab w:val="left" w:pos="284"/>
              </w:tabs>
              <w:jc w:val="right"/>
              <w:rPr>
                <w:rFonts w:ascii="Calibri" w:hAnsi="Calibri" w:cs="Calibri"/>
                <w:bCs/>
                <w:sz w:val="18"/>
                <w:szCs w:val="18"/>
              </w:rPr>
            </w:pPr>
            <w:r w:rsidRPr="00E7138D">
              <w:rPr>
                <w:rFonts w:ascii="Calibri" w:hAnsi="Calibri" w:cs="Calibri"/>
                <w:color w:val="000000"/>
                <w:sz w:val="18"/>
                <w:szCs w:val="18"/>
              </w:rPr>
              <w:t>1241,38</w:t>
            </w:r>
          </w:p>
        </w:tc>
        <w:tc>
          <w:tcPr>
            <w:tcW w:w="557" w:type="pct"/>
            <w:gridSpan w:val="2"/>
            <w:tcBorders>
              <w:bottom w:val="single" w:sz="12" w:space="0" w:color="auto"/>
            </w:tcBorders>
            <w:noWrap/>
            <w:vAlign w:val="center"/>
          </w:tcPr>
          <w:p w14:paraId="3495F9C7" w14:textId="77777777" w:rsidR="00D55F31" w:rsidRPr="00E7138D" w:rsidRDefault="0024693B" w:rsidP="0002290A">
            <w:pPr>
              <w:tabs>
                <w:tab w:val="left" w:pos="284"/>
              </w:tabs>
              <w:jc w:val="right"/>
              <w:rPr>
                <w:rFonts w:ascii="Calibri" w:hAnsi="Calibri" w:cs="Calibri"/>
                <w:bCs/>
                <w:sz w:val="18"/>
                <w:szCs w:val="18"/>
              </w:rPr>
            </w:pPr>
            <w:r w:rsidRPr="00E7138D">
              <w:rPr>
                <w:rFonts w:ascii="Calibri" w:hAnsi="Calibri" w:cs="Calibri"/>
                <w:color w:val="000000"/>
                <w:sz w:val="18"/>
                <w:szCs w:val="18"/>
              </w:rPr>
              <w:t>679,27</w:t>
            </w:r>
          </w:p>
        </w:tc>
        <w:tc>
          <w:tcPr>
            <w:tcW w:w="557" w:type="pct"/>
            <w:gridSpan w:val="2"/>
            <w:tcBorders>
              <w:bottom w:val="single" w:sz="12" w:space="0" w:color="auto"/>
            </w:tcBorders>
            <w:noWrap/>
            <w:vAlign w:val="center"/>
          </w:tcPr>
          <w:p w14:paraId="789C21BA" w14:textId="77777777" w:rsidR="00D55F31" w:rsidRPr="00E7138D" w:rsidRDefault="0024693B" w:rsidP="0002290A">
            <w:pPr>
              <w:tabs>
                <w:tab w:val="left" w:pos="284"/>
              </w:tabs>
              <w:jc w:val="right"/>
              <w:rPr>
                <w:rFonts w:ascii="Calibri" w:hAnsi="Calibri" w:cs="Calibri"/>
                <w:bCs/>
                <w:sz w:val="18"/>
                <w:szCs w:val="18"/>
              </w:rPr>
            </w:pPr>
            <w:r w:rsidRPr="00E7138D">
              <w:rPr>
                <w:rFonts w:ascii="Calibri" w:hAnsi="Calibri" w:cs="Calibri"/>
                <w:color w:val="000000"/>
                <w:sz w:val="18"/>
                <w:szCs w:val="18"/>
              </w:rPr>
              <w:t>161,68</w:t>
            </w:r>
          </w:p>
        </w:tc>
        <w:tc>
          <w:tcPr>
            <w:tcW w:w="558" w:type="pct"/>
            <w:gridSpan w:val="2"/>
            <w:tcBorders>
              <w:bottom w:val="single" w:sz="12" w:space="0" w:color="auto"/>
            </w:tcBorders>
            <w:noWrap/>
            <w:vAlign w:val="center"/>
          </w:tcPr>
          <w:p w14:paraId="18C6E5FE" w14:textId="77777777" w:rsidR="00D55F31" w:rsidRPr="00E7138D" w:rsidRDefault="0024693B" w:rsidP="0002290A">
            <w:pPr>
              <w:tabs>
                <w:tab w:val="left" w:pos="284"/>
              </w:tabs>
              <w:jc w:val="right"/>
              <w:rPr>
                <w:rFonts w:ascii="Calibri" w:hAnsi="Calibri" w:cs="Calibri"/>
                <w:bCs/>
                <w:sz w:val="18"/>
                <w:szCs w:val="18"/>
              </w:rPr>
            </w:pPr>
            <w:r w:rsidRPr="00E7138D">
              <w:rPr>
                <w:rFonts w:ascii="Calibri" w:hAnsi="Calibri" w:cs="Calibri"/>
                <w:color w:val="000000"/>
                <w:sz w:val="18"/>
                <w:szCs w:val="18"/>
              </w:rPr>
              <w:t>896,07</w:t>
            </w:r>
          </w:p>
        </w:tc>
        <w:tc>
          <w:tcPr>
            <w:tcW w:w="551" w:type="pct"/>
            <w:tcBorders>
              <w:bottom w:val="single" w:sz="12" w:space="0" w:color="auto"/>
            </w:tcBorders>
            <w:noWrap/>
            <w:vAlign w:val="center"/>
          </w:tcPr>
          <w:p w14:paraId="2171F9D9" w14:textId="77777777" w:rsidR="00D55F31" w:rsidRPr="00E7138D" w:rsidRDefault="0024693B" w:rsidP="0002290A">
            <w:pPr>
              <w:tabs>
                <w:tab w:val="left" w:pos="284"/>
              </w:tabs>
              <w:jc w:val="right"/>
              <w:rPr>
                <w:rFonts w:ascii="Calibri" w:hAnsi="Calibri" w:cs="Calibri"/>
                <w:bCs/>
                <w:sz w:val="18"/>
                <w:szCs w:val="18"/>
              </w:rPr>
            </w:pPr>
            <w:r w:rsidRPr="00E7138D">
              <w:rPr>
                <w:rFonts w:ascii="Calibri" w:hAnsi="Calibri" w:cs="Calibri"/>
                <w:color w:val="000000"/>
                <w:sz w:val="18"/>
                <w:szCs w:val="18"/>
              </w:rPr>
              <w:t>708,03</w:t>
            </w:r>
          </w:p>
        </w:tc>
      </w:tr>
      <w:tr w:rsidR="00C425F2" w:rsidRPr="00E7138D" w14:paraId="45282330" w14:textId="77777777" w:rsidTr="00D55F31">
        <w:trPr>
          <w:trHeight w:val="283"/>
          <w:jc w:val="center"/>
        </w:trPr>
        <w:tc>
          <w:tcPr>
            <w:tcW w:w="1185" w:type="pct"/>
            <w:vMerge w:val="restart"/>
            <w:tcBorders>
              <w:top w:val="single" w:sz="12" w:space="0" w:color="auto"/>
            </w:tcBorders>
            <w:noWrap/>
            <w:vAlign w:val="center"/>
          </w:tcPr>
          <w:p w14:paraId="5FF39830" w14:textId="77777777" w:rsidR="00D55F31" w:rsidRPr="00E7138D" w:rsidRDefault="0024693B" w:rsidP="0002290A">
            <w:pPr>
              <w:rPr>
                <w:rFonts w:ascii="Calibri" w:hAnsi="Calibri" w:cs="Calibri"/>
                <w:color w:val="000000"/>
                <w:sz w:val="18"/>
                <w:szCs w:val="18"/>
                <w:lang w:eastAsia="cs-CZ"/>
              </w:rPr>
            </w:pPr>
            <w:r w:rsidRPr="00E7138D">
              <w:rPr>
                <w:rFonts w:ascii="Calibri" w:hAnsi="Calibri" w:cs="Calibri"/>
                <w:color w:val="000000"/>
                <w:sz w:val="18"/>
                <w:szCs w:val="18"/>
                <w:lang w:eastAsia="cs-CZ"/>
              </w:rPr>
              <w:t>Doba obratu krátkodobých závazků</w:t>
            </w:r>
            <w:r w:rsidRPr="00E7138D">
              <w:rPr>
                <w:rFonts w:ascii="Calibri" w:hAnsi="Calibri" w:cs="Calibri"/>
                <w:color w:val="000000"/>
                <w:sz w:val="18"/>
                <w:szCs w:val="18"/>
                <w:vertAlign w:val="superscript"/>
                <w:lang w:eastAsia="cs-CZ"/>
              </w:rPr>
              <w:footnoteReference w:id="70"/>
            </w:r>
            <w:r w:rsidRPr="00E7138D">
              <w:rPr>
                <w:rFonts w:ascii="Calibri" w:hAnsi="Calibri" w:cs="Calibri"/>
                <w:color w:val="000000"/>
                <w:sz w:val="18"/>
                <w:szCs w:val="18"/>
                <w:lang w:eastAsia="cs-CZ"/>
              </w:rPr>
              <w:t xml:space="preserve"> (dny)</w:t>
            </w:r>
          </w:p>
        </w:tc>
        <w:tc>
          <w:tcPr>
            <w:tcW w:w="1035" w:type="pct"/>
            <w:tcBorders>
              <w:top w:val="single" w:sz="12" w:space="0" w:color="auto"/>
            </w:tcBorders>
            <w:vAlign w:val="center"/>
          </w:tcPr>
          <w:p w14:paraId="1F225124" w14:textId="77777777"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SLL Janské Lázně</w:t>
            </w:r>
          </w:p>
        </w:tc>
        <w:tc>
          <w:tcPr>
            <w:tcW w:w="557" w:type="pct"/>
            <w:gridSpan w:val="2"/>
            <w:tcBorders>
              <w:top w:val="single" w:sz="12" w:space="0" w:color="auto"/>
            </w:tcBorders>
            <w:noWrap/>
            <w:vAlign w:val="center"/>
          </w:tcPr>
          <w:p w14:paraId="028F948B"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35,25</w:t>
            </w:r>
          </w:p>
        </w:tc>
        <w:tc>
          <w:tcPr>
            <w:tcW w:w="557" w:type="pct"/>
            <w:gridSpan w:val="2"/>
            <w:tcBorders>
              <w:top w:val="single" w:sz="12" w:space="0" w:color="auto"/>
            </w:tcBorders>
            <w:noWrap/>
            <w:vAlign w:val="center"/>
          </w:tcPr>
          <w:p w14:paraId="59425064"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36,15</w:t>
            </w:r>
          </w:p>
        </w:tc>
        <w:tc>
          <w:tcPr>
            <w:tcW w:w="557" w:type="pct"/>
            <w:gridSpan w:val="2"/>
            <w:tcBorders>
              <w:top w:val="single" w:sz="12" w:space="0" w:color="auto"/>
            </w:tcBorders>
            <w:noWrap/>
            <w:vAlign w:val="center"/>
          </w:tcPr>
          <w:p w14:paraId="6012F980"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43,68</w:t>
            </w:r>
          </w:p>
        </w:tc>
        <w:tc>
          <w:tcPr>
            <w:tcW w:w="558" w:type="pct"/>
            <w:gridSpan w:val="2"/>
            <w:tcBorders>
              <w:top w:val="single" w:sz="12" w:space="0" w:color="auto"/>
            </w:tcBorders>
            <w:noWrap/>
            <w:vAlign w:val="center"/>
          </w:tcPr>
          <w:p w14:paraId="52FA86EE"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40,26</w:t>
            </w:r>
          </w:p>
        </w:tc>
        <w:tc>
          <w:tcPr>
            <w:tcW w:w="551" w:type="pct"/>
            <w:tcBorders>
              <w:top w:val="single" w:sz="12" w:space="0" w:color="auto"/>
            </w:tcBorders>
            <w:noWrap/>
            <w:vAlign w:val="center"/>
          </w:tcPr>
          <w:p w14:paraId="701733B9"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48,64</w:t>
            </w:r>
          </w:p>
        </w:tc>
      </w:tr>
      <w:tr w:rsidR="00C425F2" w:rsidRPr="00E7138D" w14:paraId="325F4D99" w14:textId="77777777" w:rsidTr="00D55F31">
        <w:trPr>
          <w:trHeight w:val="283"/>
          <w:jc w:val="center"/>
        </w:trPr>
        <w:tc>
          <w:tcPr>
            <w:tcW w:w="1185" w:type="pct"/>
            <w:vMerge/>
            <w:tcBorders>
              <w:bottom w:val="single" w:sz="12" w:space="0" w:color="auto"/>
            </w:tcBorders>
            <w:noWrap/>
            <w:vAlign w:val="center"/>
          </w:tcPr>
          <w:p w14:paraId="2FDAC054" w14:textId="77777777" w:rsidR="00D55F31" w:rsidRPr="00E7138D" w:rsidRDefault="00D55F31" w:rsidP="0002290A">
            <w:pPr>
              <w:rPr>
                <w:rFonts w:ascii="Calibri" w:hAnsi="Calibri" w:cs="Calibri"/>
                <w:color w:val="000000"/>
                <w:sz w:val="18"/>
                <w:szCs w:val="18"/>
                <w:lang w:eastAsia="cs-CZ"/>
              </w:rPr>
            </w:pPr>
          </w:p>
        </w:tc>
        <w:tc>
          <w:tcPr>
            <w:tcW w:w="1035" w:type="pct"/>
            <w:tcBorders>
              <w:bottom w:val="single" w:sz="4" w:space="0" w:color="auto"/>
            </w:tcBorders>
            <w:vAlign w:val="center"/>
          </w:tcPr>
          <w:p w14:paraId="761132D3" w14:textId="77777777"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HL Karlova Studánka</w:t>
            </w:r>
          </w:p>
        </w:tc>
        <w:tc>
          <w:tcPr>
            <w:tcW w:w="557" w:type="pct"/>
            <w:gridSpan w:val="2"/>
            <w:tcBorders>
              <w:bottom w:val="single" w:sz="4" w:space="0" w:color="auto"/>
            </w:tcBorders>
            <w:noWrap/>
            <w:vAlign w:val="center"/>
          </w:tcPr>
          <w:p w14:paraId="0CD7C077"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68,76</w:t>
            </w:r>
          </w:p>
        </w:tc>
        <w:tc>
          <w:tcPr>
            <w:tcW w:w="557" w:type="pct"/>
            <w:gridSpan w:val="2"/>
            <w:tcBorders>
              <w:bottom w:val="single" w:sz="4" w:space="0" w:color="auto"/>
            </w:tcBorders>
            <w:noWrap/>
            <w:vAlign w:val="center"/>
          </w:tcPr>
          <w:p w14:paraId="4BFF59CA"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82,73</w:t>
            </w:r>
          </w:p>
        </w:tc>
        <w:tc>
          <w:tcPr>
            <w:tcW w:w="557" w:type="pct"/>
            <w:gridSpan w:val="2"/>
            <w:tcBorders>
              <w:bottom w:val="single" w:sz="4" w:space="0" w:color="auto"/>
            </w:tcBorders>
            <w:noWrap/>
            <w:vAlign w:val="center"/>
          </w:tcPr>
          <w:p w14:paraId="1E247BF1"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85,34</w:t>
            </w:r>
          </w:p>
        </w:tc>
        <w:tc>
          <w:tcPr>
            <w:tcW w:w="558" w:type="pct"/>
            <w:gridSpan w:val="2"/>
            <w:tcBorders>
              <w:bottom w:val="single" w:sz="4" w:space="0" w:color="auto"/>
            </w:tcBorders>
            <w:noWrap/>
            <w:vAlign w:val="center"/>
          </w:tcPr>
          <w:p w14:paraId="78B3930E"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80,69</w:t>
            </w:r>
          </w:p>
        </w:tc>
        <w:tc>
          <w:tcPr>
            <w:tcW w:w="551" w:type="pct"/>
            <w:tcBorders>
              <w:bottom w:val="single" w:sz="4" w:space="0" w:color="auto"/>
            </w:tcBorders>
            <w:noWrap/>
            <w:vAlign w:val="center"/>
          </w:tcPr>
          <w:p w14:paraId="1C1D7D5E"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41,24</w:t>
            </w:r>
          </w:p>
        </w:tc>
      </w:tr>
      <w:tr w:rsidR="00C425F2" w:rsidRPr="00E7138D" w14:paraId="2AE3C245" w14:textId="77777777" w:rsidTr="00D55F31">
        <w:trPr>
          <w:trHeight w:val="283"/>
          <w:jc w:val="center"/>
        </w:trPr>
        <w:tc>
          <w:tcPr>
            <w:tcW w:w="1185" w:type="pct"/>
            <w:vMerge/>
            <w:tcBorders>
              <w:bottom w:val="single" w:sz="12" w:space="0" w:color="auto"/>
            </w:tcBorders>
            <w:noWrap/>
            <w:vAlign w:val="center"/>
          </w:tcPr>
          <w:p w14:paraId="0D30C73E" w14:textId="77777777" w:rsidR="00D55F31" w:rsidRPr="00E7138D" w:rsidRDefault="00D55F31" w:rsidP="0002290A">
            <w:pPr>
              <w:rPr>
                <w:rFonts w:ascii="Calibri" w:hAnsi="Calibri" w:cs="Calibri"/>
                <w:color w:val="000000"/>
                <w:sz w:val="18"/>
                <w:szCs w:val="18"/>
                <w:lang w:eastAsia="cs-CZ"/>
              </w:rPr>
            </w:pPr>
          </w:p>
        </w:tc>
        <w:tc>
          <w:tcPr>
            <w:tcW w:w="1035" w:type="pct"/>
            <w:tcBorders>
              <w:top w:val="single" w:sz="4" w:space="0" w:color="auto"/>
              <w:bottom w:val="single" w:sz="4" w:space="0" w:color="auto"/>
            </w:tcBorders>
            <w:vAlign w:val="center"/>
          </w:tcPr>
          <w:p w14:paraId="23585524" w14:textId="77777777"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SLL Bludov</w:t>
            </w:r>
          </w:p>
        </w:tc>
        <w:tc>
          <w:tcPr>
            <w:tcW w:w="557" w:type="pct"/>
            <w:gridSpan w:val="2"/>
            <w:tcBorders>
              <w:top w:val="single" w:sz="4" w:space="0" w:color="auto"/>
              <w:bottom w:val="single" w:sz="4" w:space="0" w:color="auto"/>
            </w:tcBorders>
            <w:noWrap/>
            <w:vAlign w:val="center"/>
          </w:tcPr>
          <w:p w14:paraId="0EC701B9"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98,83</w:t>
            </w:r>
          </w:p>
        </w:tc>
        <w:tc>
          <w:tcPr>
            <w:tcW w:w="557" w:type="pct"/>
            <w:gridSpan w:val="2"/>
            <w:tcBorders>
              <w:top w:val="single" w:sz="4" w:space="0" w:color="auto"/>
              <w:bottom w:val="single" w:sz="4" w:space="0" w:color="auto"/>
            </w:tcBorders>
            <w:noWrap/>
            <w:vAlign w:val="center"/>
          </w:tcPr>
          <w:p w14:paraId="0399E02A"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165,34</w:t>
            </w:r>
          </w:p>
        </w:tc>
        <w:tc>
          <w:tcPr>
            <w:tcW w:w="557" w:type="pct"/>
            <w:gridSpan w:val="2"/>
            <w:tcBorders>
              <w:top w:val="single" w:sz="4" w:space="0" w:color="auto"/>
              <w:bottom w:val="single" w:sz="4" w:space="0" w:color="auto"/>
            </w:tcBorders>
            <w:noWrap/>
            <w:vAlign w:val="center"/>
          </w:tcPr>
          <w:p w14:paraId="41396973"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276,43</w:t>
            </w:r>
          </w:p>
        </w:tc>
        <w:tc>
          <w:tcPr>
            <w:tcW w:w="558" w:type="pct"/>
            <w:gridSpan w:val="2"/>
            <w:tcBorders>
              <w:top w:val="single" w:sz="4" w:space="0" w:color="auto"/>
              <w:bottom w:val="single" w:sz="4" w:space="0" w:color="auto"/>
            </w:tcBorders>
            <w:noWrap/>
            <w:vAlign w:val="center"/>
          </w:tcPr>
          <w:p w14:paraId="528F3179"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270,80</w:t>
            </w:r>
          </w:p>
        </w:tc>
        <w:tc>
          <w:tcPr>
            <w:tcW w:w="551" w:type="pct"/>
            <w:tcBorders>
              <w:top w:val="single" w:sz="4" w:space="0" w:color="auto"/>
              <w:bottom w:val="single" w:sz="4" w:space="0" w:color="auto"/>
            </w:tcBorders>
            <w:noWrap/>
            <w:vAlign w:val="center"/>
          </w:tcPr>
          <w:p w14:paraId="5A69E0D9" w14:textId="77777777" w:rsidR="00D55F31" w:rsidRPr="00E7138D" w:rsidRDefault="0024693B" w:rsidP="0002290A">
            <w:pPr>
              <w:jc w:val="right"/>
              <w:rPr>
                <w:rFonts w:ascii="Calibri" w:hAnsi="Calibri" w:cs="Calibri"/>
                <w:color w:val="000000"/>
                <w:sz w:val="18"/>
                <w:szCs w:val="18"/>
                <w:lang w:eastAsia="cs-CZ"/>
              </w:rPr>
            </w:pPr>
            <w:r w:rsidRPr="00E7138D">
              <w:rPr>
                <w:rFonts w:ascii="Calibri" w:hAnsi="Calibri" w:cs="Calibri"/>
                <w:color w:val="000000"/>
                <w:sz w:val="18"/>
                <w:szCs w:val="18"/>
                <w:lang w:eastAsia="cs-CZ"/>
              </w:rPr>
              <w:t>27,61</w:t>
            </w:r>
          </w:p>
        </w:tc>
      </w:tr>
      <w:tr w:rsidR="00C425F2" w:rsidRPr="00E7138D" w14:paraId="11B14F60" w14:textId="77777777" w:rsidTr="00D55F31">
        <w:trPr>
          <w:trHeight w:val="283"/>
          <w:jc w:val="center"/>
        </w:trPr>
        <w:tc>
          <w:tcPr>
            <w:tcW w:w="1185" w:type="pct"/>
            <w:vMerge/>
            <w:tcBorders>
              <w:bottom w:val="single" w:sz="12" w:space="0" w:color="auto"/>
            </w:tcBorders>
            <w:noWrap/>
            <w:vAlign w:val="center"/>
          </w:tcPr>
          <w:p w14:paraId="7EA097F2" w14:textId="77777777" w:rsidR="00D55F31" w:rsidRPr="00E7138D" w:rsidRDefault="00D55F31" w:rsidP="0002290A">
            <w:pPr>
              <w:rPr>
                <w:rFonts w:ascii="Calibri" w:hAnsi="Calibri" w:cs="Calibri"/>
                <w:color w:val="000000"/>
                <w:sz w:val="18"/>
                <w:szCs w:val="18"/>
                <w:lang w:eastAsia="cs-CZ"/>
              </w:rPr>
            </w:pPr>
          </w:p>
        </w:tc>
        <w:tc>
          <w:tcPr>
            <w:tcW w:w="1035" w:type="pct"/>
            <w:tcBorders>
              <w:top w:val="single" w:sz="4" w:space="0" w:color="auto"/>
              <w:bottom w:val="single" w:sz="12" w:space="0" w:color="auto"/>
            </w:tcBorders>
            <w:vAlign w:val="center"/>
          </w:tcPr>
          <w:p w14:paraId="71F218AB" w14:textId="52B6DD37" w:rsidR="00D55F31" w:rsidRPr="00E7138D" w:rsidRDefault="0024693B" w:rsidP="0002290A">
            <w:pPr>
              <w:ind w:right="64" w:hanging="11"/>
              <w:jc w:val="center"/>
              <w:rPr>
                <w:rFonts w:ascii="Calibri" w:hAnsi="Calibri" w:cs="Calibri"/>
                <w:i/>
                <w:color w:val="000000"/>
                <w:sz w:val="18"/>
                <w:szCs w:val="18"/>
              </w:rPr>
            </w:pPr>
            <w:r w:rsidRPr="00E7138D">
              <w:rPr>
                <w:rFonts w:ascii="Calibri" w:hAnsi="Calibri" w:cs="Calibri"/>
                <w:i/>
                <w:color w:val="000000"/>
                <w:sz w:val="18"/>
                <w:szCs w:val="18"/>
              </w:rPr>
              <w:t>BALMED</w:t>
            </w:r>
            <w:r w:rsidR="00826683">
              <w:rPr>
                <w:rFonts w:ascii="Calibri" w:hAnsi="Calibri" w:cs="Calibri"/>
                <w:i/>
                <w:color w:val="000000"/>
                <w:sz w:val="18"/>
                <w:szCs w:val="18"/>
              </w:rPr>
              <w:t xml:space="preserve"> Praha</w:t>
            </w:r>
          </w:p>
        </w:tc>
        <w:tc>
          <w:tcPr>
            <w:tcW w:w="557" w:type="pct"/>
            <w:gridSpan w:val="2"/>
            <w:tcBorders>
              <w:top w:val="single" w:sz="4" w:space="0" w:color="auto"/>
              <w:bottom w:val="single" w:sz="12" w:space="0" w:color="auto"/>
            </w:tcBorders>
            <w:noWrap/>
            <w:vAlign w:val="center"/>
          </w:tcPr>
          <w:p w14:paraId="6FA95EC4" w14:textId="77777777" w:rsidR="00D55F31" w:rsidRPr="00E7138D" w:rsidRDefault="0024693B" w:rsidP="0002290A">
            <w:pPr>
              <w:tabs>
                <w:tab w:val="left" w:pos="284"/>
              </w:tabs>
              <w:jc w:val="right"/>
              <w:rPr>
                <w:rFonts w:ascii="Calibri" w:hAnsi="Calibri" w:cs="Calibri"/>
                <w:bCs/>
                <w:sz w:val="18"/>
                <w:szCs w:val="18"/>
              </w:rPr>
            </w:pPr>
            <w:r w:rsidRPr="00E7138D">
              <w:rPr>
                <w:rFonts w:ascii="Calibri" w:hAnsi="Calibri" w:cs="Calibri"/>
                <w:color w:val="000000"/>
                <w:sz w:val="18"/>
                <w:szCs w:val="18"/>
              </w:rPr>
              <w:t>134,07</w:t>
            </w:r>
          </w:p>
        </w:tc>
        <w:tc>
          <w:tcPr>
            <w:tcW w:w="557" w:type="pct"/>
            <w:gridSpan w:val="2"/>
            <w:tcBorders>
              <w:top w:val="single" w:sz="4" w:space="0" w:color="auto"/>
              <w:bottom w:val="single" w:sz="12" w:space="0" w:color="auto"/>
            </w:tcBorders>
            <w:noWrap/>
            <w:vAlign w:val="center"/>
          </w:tcPr>
          <w:p w14:paraId="4FA56EC7" w14:textId="77777777" w:rsidR="00D55F31" w:rsidRPr="00E7138D" w:rsidRDefault="0024693B" w:rsidP="0002290A">
            <w:pPr>
              <w:tabs>
                <w:tab w:val="left" w:pos="284"/>
              </w:tabs>
              <w:jc w:val="right"/>
              <w:rPr>
                <w:rFonts w:ascii="Calibri" w:hAnsi="Calibri" w:cs="Calibri"/>
                <w:bCs/>
                <w:sz w:val="18"/>
                <w:szCs w:val="18"/>
              </w:rPr>
            </w:pPr>
            <w:r w:rsidRPr="00E7138D">
              <w:rPr>
                <w:rFonts w:ascii="Calibri" w:hAnsi="Calibri" w:cs="Calibri"/>
                <w:color w:val="000000"/>
                <w:sz w:val="18"/>
                <w:szCs w:val="18"/>
              </w:rPr>
              <w:t>67,59</w:t>
            </w:r>
          </w:p>
        </w:tc>
        <w:tc>
          <w:tcPr>
            <w:tcW w:w="557" w:type="pct"/>
            <w:gridSpan w:val="2"/>
            <w:tcBorders>
              <w:top w:val="single" w:sz="4" w:space="0" w:color="auto"/>
              <w:bottom w:val="single" w:sz="12" w:space="0" w:color="auto"/>
            </w:tcBorders>
            <w:noWrap/>
            <w:vAlign w:val="center"/>
          </w:tcPr>
          <w:p w14:paraId="18979F96" w14:textId="77777777" w:rsidR="00D55F31" w:rsidRPr="00E7138D" w:rsidRDefault="0024693B" w:rsidP="0002290A">
            <w:pPr>
              <w:tabs>
                <w:tab w:val="left" w:pos="284"/>
              </w:tabs>
              <w:jc w:val="right"/>
              <w:rPr>
                <w:rFonts w:ascii="Calibri" w:hAnsi="Calibri" w:cs="Calibri"/>
                <w:bCs/>
                <w:sz w:val="18"/>
                <w:szCs w:val="18"/>
              </w:rPr>
            </w:pPr>
            <w:r w:rsidRPr="00E7138D">
              <w:rPr>
                <w:rFonts w:ascii="Calibri" w:hAnsi="Calibri" w:cs="Calibri"/>
                <w:color w:val="000000"/>
                <w:sz w:val="18"/>
                <w:szCs w:val="18"/>
              </w:rPr>
              <w:t>19,25</w:t>
            </w:r>
          </w:p>
        </w:tc>
        <w:tc>
          <w:tcPr>
            <w:tcW w:w="558" w:type="pct"/>
            <w:gridSpan w:val="2"/>
            <w:tcBorders>
              <w:top w:val="single" w:sz="4" w:space="0" w:color="auto"/>
              <w:bottom w:val="single" w:sz="12" w:space="0" w:color="auto"/>
            </w:tcBorders>
            <w:noWrap/>
            <w:vAlign w:val="center"/>
          </w:tcPr>
          <w:p w14:paraId="0BD2086D" w14:textId="77777777" w:rsidR="00D55F31" w:rsidRPr="00E7138D" w:rsidRDefault="0024693B" w:rsidP="0002290A">
            <w:pPr>
              <w:tabs>
                <w:tab w:val="left" w:pos="284"/>
              </w:tabs>
              <w:jc w:val="right"/>
              <w:rPr>
                <w:rFonts w:ascii="Calibri" w:hAnsi="Calibri" w:cs="Calibri"/>
                <w:bCs/>
                <w:sz w:val="18"/>
                <w:szCs w:val="18"/>
              </w:rPr>
            </w:pPr>
            <w:r w:rsidRPr="00E7138D">
              <w:rPr>
                <w:rFonts w:ascii="Calibri" w:hAnsi="Calibri" w:cs="Calibri"/>
                <w:color w:val="000000"/>
                <w:sz w:val="18"/>
                <w:szCs w:val="18"/>
              </w:rPr>
              <w:t>92,89</w:t>
            </w:r>
          </w:p>
        </w:tc>
        <w:tc>
          <w:tcPr>
            <w:tcW w:w="551" w:type="pct"/>
            <w:tcBorders>
              <w:top w:val="single" w:sz="4" w:space="0" w:color="auto"/>
              <w:bottom w:val="single" w:sz="12" w:space="0" w:color="auto"/>
            </w:tcBorders>
            <w:noWrap/>
            <w:vAlign w:val="center"/>
          </w:tcPr>
          <w:p w14:paraId="1399E34A" w14:textId="77777777" w:rsidR="00D55F31" w:rsidRPr="00E7138D" w:rsidRDefault="0024693B" w:rsidP="0002290A">
            <w:pPr>
              <w:tabs>
                <w:tab w:val="left" w:pos="284"/>
              </w:tabs>
              <w:jc w:val="right"/>
              <w:rPr>
                <w:rFonts w:ascii="Calibri" w:hAnsi="Calibri" w:cs="Calibri"/>
                <w:bCs/>
                <w:sz w:val="18"/>
                <w:szCs w:val="18"/>
              </w:rPr>
            </w:pPr>
            <w:r w:rsidRPr="00E7138D">
              <w:rPr>
                <w:rFonts w:ascii="Calibri" w:hAnsi="Calibri" w:cs="Calibri"/>
                <w:color w:val="000000"/>
                <w:sz w:val="18"/>
                <w:szCs w:val="18"/>
              </w:rPr>
              <w:t>74,20</w:t>
            </w:r>
          </w:p>
        </w:tc>
      </w:tr>
    </w:tbl>
    <w:p w14:paraId="5A3EBFE9" w14:textId="77777777" w:rsidR="00D55F31" w:rsidRPr="00E7138D" w:rsidRDefault="0024693B" w:rsidP="0002290A">
      <w:pPr>
        <w:spacing w:before="40"/>
        <w:jc w:val="both"/>
        <w:rPr>
          <w:rFonts w:ascii="Calibri" w:hAnsi="Calibri" w:cs="Calibri"/>
          <w:color w:val="000000"/>
          <w:sz w:val="20"/>
          <w:szCs w:val="18"/>
        </w:rPr>
      </w:pPr>
      <w:r w:rsidRPr="00E7138D">
        <w:rPr>
          <w:rFonts w:ascii="Calibri" w:hAnsi="Calibri" w:cs="Calibri"/>
          <w:b/>
          <w:color w:val="000000"/>
          <w:sz w:val="20"/>
          <w:szCs w:val="18"/>
        </w:rPr>
        <w:t>Zdroj:</w:t>
      </w:r>
      <w:r w:rsidRPr="00E7138D">
        <w:rPr>
          <w:rFonts w:ascii="Calibri" w:hAnsi="Calibri" w:cs="Calibri"/>
          <w:color w:val="000000"/>
          <w:sz w:val="20"/>
          <w:szCs w:val="18"/>
        </w:rPr>
        <w:t xml:space="preserve"> účetní závěrky SLL Janské Lázně, HL Karlova Studánka, SLL Bludov a BALMED Praha za roky 2011 až 2015.</w:t>
      </w:r>
    </w:p>
    <w:p w14:paraId="345523AA" w14:textId="77777777" w:rsidR="00D55F31" w:rsidRPr="00E7138D" w:rsidRDefault="00D55F31" w:rsidP="0002290A">
      <w:pPr>
        <w:jc w:val="both"/>
        <w:rPr>
          <w:rFonts w:ascii="Calibri" w:hAnsi="Calibri" w:cs="Calibri"/>
          <w:color w:val="000000"/>
        </w:rPr>
      </w:pPr>
    </w:p>
    <w:p w14:paraId="4145F851" w14:textId="2624A6B4" w:rsidR="00D55F31" w:rsidRPr="00E7138D" w:rsidRDefault="0024693B" w:rsidP="0002290A">
      <w:pPr>
        <w:jc w:val="both"/>
        <w:rPr>
          <w:rFonts w:ascii="Calibri" w:hAnsi="Calibri" w:cs="Calibri"/>
          <w:color w:val="000000"/>
        </w:rPr>
      </w:pPr>
      <w:r w:rsidRPr="00E7138D">
        <w:rPr>
          <w:rFonts w:ascii="Calibri" w:hAnsi="Calibri" w:cs="Calibri"/>
          <w:b/>
          <w:color w:val="000000"/>
        </w:rPr>
        <w:t>Ukazatele platební schopnosti</w:t>
      </w:r>
      <w:r w:rsidRPr="00E7138D">
        <w:rPr>
          <w:rFonts w:ascii="Calibri" w:hAnsi="Calibri" w:cs="Calibri"/>
          <w:color w:val="000000"/>
        </w:rPr>
        <w:t xml:space="preserve"> hodnotí schopnost podniku splácet své závazky. </w:t>
      </w:r>
    </w:p>
    <w:p w14:paraId="345400CF" w14:textId="627FAA6A" w:rsidR="00D55F31" w:rsidRPr="00E7138D" w:rsidRDefault="0024693B" w:rsidP="0002290A">
      <w:pPr>
        <w:spacing w:before="120"/>
        <w:jc w:val="both"/>
        <w:rPr>
          <w:rFonts w:ascii="Calibri" w:hAnsi="Calibri" w:cs="Calibri"/>
          <w:color w:val="000000"/>
        </w:rPr>
      </w:pPr>
      <w:r w:rsidRPr="00E7138D">
        <w:rPr>
          <w:rFonts w:ascii="Calibri" w:hAnsi="Calibri" w:cs="Calibri"/>
          <w:color w:val="000000"/>
          <w:u w:val="single"/>
        </w:rPr>
        <w:t>Provozní kapitál</w:t>
      </w:r>
      <w:r w:rsidRPr="00E7138D">
        <w:rPr>
          <w:rFonts w:ascii="Calibri" w:hAnsi="Calibri" w:cs="Calibri"/>
          <w:color w:val="000000"/>
        </w:rPr>
        <w:t xml:space="preserve"> vyjadřuje rozdíl oběžných aktiv a krátkodobých závazků. Nejvyšší hodnoty provozního kapitálu vykazovaly ve sledovaném období SLL Janské Lázně díky vyšším hodnotám oběžného majetku, především peněžních prostředků na bankovních účtech. HL Karlova Studánka vykazovaly záporné hodnoty provozního kapitálu, které byly ovlivněny čerpáním krátkodobých bankovních úvěrů. K poklesům hodnoty provozního kapitálu u SLL Bludov a BALMED Praha docházelo především z důvodu snížení krátkodobého finančního majetku, resp. peněžních prostředků na</w:t>
      </w:r>
      <w:r w:rsidR="00506C42">
        <w:rPr>
          <w:rFonts w:ascii="Calibri" w:hAnsi="Calibri" w:cs="Calibri"/>
          <w:color w:val="000000"/>
        </w:rPr>
        <w:t xml:space="preserve"> </w:t>
      </w:r>
      <w:r w:rsidRPr="00E7138D">
        <w:rPr>
          <w:rFonts w:ascii="Calibri" w:hAnsi="Calibri" w:cs="Calibri"/>
          <w:color w:val="000000"/>
        </w:rPr>
        <w:t>bankovních účtech.</w:t>
      </w:r>
    </w:p>
    <w:p w14:paraId="15AFE6AF" w14:textId="77777777" w:rsidR="00D55F31" w:rsidRPr="00E7138D" w:rsidRDefault="0024693B" w:rsidP="0002290A">
      <w:pPr>
        <w:spacing w:before="120"/>
        <w:jc w:val="both"/>
        <w:rPr>
          <w:rFonts w:ascii="Calibri" w:hAnsi="Calibri" w:cs="Calibri"/>
          <w:color w:val="000000"/>
        </w:rPr>
      </w:pPr>
      <w:r w:rsidRPr="00E7138D">
        <w:rPr>
          <w:rFonts w:ascii="Calibri" w:hAnsi="Calibri" w:cs="Calibri"/>
          <w:color w:val="000000"/>
          <w:u w:val="single"/>
        </w:rPr>
        <w:t>Ukazatel solventnosti</w:t>
      </w:r>
      <w:r w:rsidRPr="00E7138D">
        <w:rPr>
          <w:rFonts w:ascii="Calibri" w:hAnsi="Calibri" w:cs="Calibri"/>
          <w:color w:val="000000"/>
        </w:rPr>
        <w:t xml:space="preserve"> vyjadřuje poměr oběžných aktiv a krátkodobých závazků. HL Karlova Studánka vykazovaly v letech 2011 až 2014 nejnižší hodnoty </w:t>
      </w:r>
      <w:r w:rsidR="003C4A8B">
        <w:rPr>
          <w:rFonts w:ascii="Calibri" w:hAnsi="Calibri" w:cs="Calibri"/>
          <w:color w:val="000000"/>
        </w:rPr>
        <w:t>tohoto ukazatele v rozmezí 0,31 </w:t>
      </w:r>
      <w:r w:rsidRPr="00E7138D">
        <w:rPr>
          <w:rFonts w:ascii="Calibri" w:hAnsi="Calibri" w:cs="Calibri"/>
          <w:color w:val="000000"/>
        </w:rPr>
        <w:t>až 0,87 zejména vlivem čerpání krátkodobých bankovních úvěrů. Nejvyšší hodnoty ukazatele solventnosti zaznamenal ve sledovaném období BALMED Praha v rozmezí 11,03 až 18,99, tzn., že podnik tak mohl 1 Kč krátkodobých závazků krýt 11,03 až 18,99 Kč oběžného majetku. Hodnoty ukazatele solventnosti u SLL Janské Lázně a SLL Bludov dosahovaly v letech 2011 až 2015 výše 1,33 až 4,94.</w:t>
      </w:r>
    </w:p>
    <w:p w14:paraId="1831871E" w14:textId="77777777" w:rsidR="00D55F31" w:rsidRPr="00E7138D" w:rsidRDefault="0024693B" w:rsidP="0002290A">
      <w:pPr>
        <w:spacing w:before="120"/>
        <w:jc w:val="both"/>
        <w:rPr>
          <w:rFonts w:ascii="Calibri" w:hAnsi="Calibri" w:cs="Calibri"/>
        </w:rPr>
      </w:pPr>
      <w:r w:rsidRPr="00E7138D">
        <w:rPr>
          <w:rFonts w:ascii="Calibri" w:hAnsi="Calibri" w:cs="Calibri"/>
          <w:u w:val="single"/>
        </w:rPr>
        <w:t>Ukazatel pohotové likvidity</w:t>
      </w:r>
      <w:r w:rsidRPr="00E7138D">
        <w:rPr>
          <w:rFonts w:ascii="Calibri" w:hAnsi="Calibri" w:cs="Calibri"/>
        </w:rPr>
        <w:t xml:space="preserve"> z výpočtu vylučuje zásoby, které není často možné pohotově přeměnit na peněžní prostředky. Ze srovnání ukazatele solventnosti a ukazatele pohotové likvidity je patrné, že zásoby měly na ukazatel solventnosti minimální vliv. K 31. 12. 2015 vykazovaly státní podniky výši pohotové likvidity v rozmezí 2,18 až 11,15.</w:t>
      </w:r>
    </w:p>
    <w:p w14:paraId="3F193E93" w14:textId="56B99C2B" w:rsidR="00D55F31" w:rsidRPr="00E7138D" w:rsidRDefault="0024693B" w:rsidP="0002290A">
      <w:pPr>
        <w:spacing w:before="120" w:after="120"/>
        <w:jc w:val="both"/>
        <w:rPr>
          <w:rFonts w:ascii="Calibri" w:hAnsi="Calibri" w:cs="Calibri"/>
        </w:rPr>
      </w:pPr>
      <w:r w:rsidRPr="00E7138D">
        <w:rPr>
          <w:rFonts w:ascii="Calibri" w:hAnsi="Calibri" w:cs="Calibri"/>
          <w:u w:val="single"/>
        </w:rPr>
        <w:t>Ukazatel provozního kapitálu k hodnotě celkových aktiv</w:t>
      </w:r>
      <w:r w:rsidRPr="00E7138D">
        <w:rPr>
          <w:rFonts w:ascii="Calibri" w:hAnsi="Calibri" w:cs="Calibri"/>
        </w:rPr>
        <w:t xml:space="preserve"> ukazuje, jaká část majetku je kryta provozním kapitálem, tj. že ve sledovaném pětiletém období byl majetek státních podniků kryt </w:t>
      </w:r>
      <w:proofErr w:type="gramStart"/>
      <w:r w:rsidRPr="00E7138D">
        <w:rPr>
          <w:rFonts w:ascii="Calibri" w:hAnsi="Calibri" w:cs="Calibri"/>
        </w:rPr>
        <w:t>od</w:t>
      </w:r>
      <w:proofErr w:type="gramEnd"/>
      <w:r w:rsidRPr="00E7138D">
        <w:rPr>
          <w:rFonts w:ascii="Calibri" w:hAnsi="Calibri" w:cs="Calibri"/>
        </w:rPr>
        <w:t> </w:t>
      </w:r>
      <w:r w:rsidR="00506C42">
        <w:rPr>
          <w:rFonts w:ascii="Calibri" w:hAnsi="Calibri" w:cs="Calibri"/>
        </w:rPr>
        <w:t>–</w:t>
      </w:r>
      <w:proofErr w:type="gramStart"/>
      <w:r w:rsidRPr="00E7138D">
        <w:rPr>
          <w:rFonts w:ascii="Calibri" w:hAnsi="Calibri" w:cs="Calibri"/>
        </w:rPr>
        <w:t>10,62</w:t>
      </w:r>
      <w:proofErr w:type="gramEnd"/>
      <w:r w:rsidRPr="00E7138D">
        <w:rPr>
          <w:rFonts w:ascii="Calibri" w:hAnsi="Calibri" w:cs="Calibri"/>
        </w:rPr>
        <w:t xml:space="preserve"> % do 43,51 % provozním kapitálem.</w:t>
      </w:r>
    </w:p>
    <w:p w14:paraId="46825B7A" w14:textId="77777777" w:rsidR="00D55F31" w:rsidRPr="00E7138D" w:rsidRDefault="0024693B" w:rsidP="0002290A">
      <w:pPr>
        <w:spacing w:before="120"/>
        <w:jc w:val="both"/>
        <w:rPr>
          <w:rFonts w:ascii="Calibri" w:hAnsi="Calibri" w:cs="Calibri"/>
          <w:b/>
        </w:rPr>
      </w:pPr>
      <w:r w:rsidRPr="00E7138D">
        <w:rPr>
          <w:rFonts w:ascii="Calibri" w:hAnsi="Calibri" w:cs="Calibri"/>
          <w:b/>
        </w:rPr>
        <w:t>Z hlediska ukazatelů platební schopnosti lze finanční pozici kontrolovaných státních podniků k 31. 12. 2015 hodnotit jako dobrou.</w:t>
      </w:r>
    </w:p>
    <w:p w14:paraId="11FC3B81" w14:textId="671C001C" w:rsidR="00D55F31" w:rsidRPr="00E7138D" w:rsidRDefault="0024693B" w:rsidP="0002290A">
      <w:pPr>
        <w:spacing w:before="240"/>
        <w:jc w:val="both"/>
        <w:rPr>
          <w:rFonts w:ascii="Calibri" w:hAnsi="Calibri" w:cs="Calibri"/>
          <w:color w:val="000000"/>
        </w:rPr>
      </w:pPr>
      <w:r w:rsidRPr="00E7138D">
        <w:rPr>
          <w:rFonts w:ascii="Calibri" w:hAnsi="Calibri" w:cs="Calibri"/>
          <w:b/>
          <w:color w:val="000000"/>
        </w:rPr>
        <w:t>Ukazatele struktury zdrojů</w:t>
      </w:r>
      <w:r w:rsidRPr="00E7138D">
        <w:rPr>
          <w:rFonts w:ascii="Calibri" w:hAnsi="Calibri" w:cs="Calibri"/>
          <w:color w:val="000000"/>
        </w:rPr>
        <w:t xml:space="preserve"> se zabývají vztahem mezi vlastními a cizími zdroji. </w:t>
      </w:r>
    </w:p>
    <w:p w14:paraId="148371B9" w14:textId="6B00C358" w:rsidR="00D55F31" w:rsidRPr="00E7138D" w:rsidRDefault="0024693B" w:rsidP="0002290A">
      <w:pPr>
        <w:spacing w:before="120"/>
        <w:jc w:val="both"/>
        <w:rPr>
          <w:rFonts w:ascii="Calibri" w:hAnsi="Calibri" w:cs="Calibri"/>
          <w:color w:val="000000"/>
        </w:rPr>
      </w:pPr>
      <w:r w:rsidRPr="00E7138D">
        <w:rPr>
          <w:rFonts w:ascii="Calibri" w:hAnsi="Calibri" w:cs="Calibri"/>
          <w:u w:val="single"/>
        </w:rPr>
        <w:t>Ukazatel finanční nezávislosti</w:t>
      </w:r>
      <w:r w:rsidRPr="00E7138D">
        <w:rPr>
          <w:rFonts w:ascii="Calibri" w:hAnsi="Calibri" w:cs="Calibri"/>
        </w:rPr>
        <w:t xml:space="preserve"> vyjadřuje poměr vlastního kapitálu k celkovému kapitálu. </w:t>
      </w:r>
      <w:r w:rsidRPr="00E7138D">
        <w:rPr>
          <w:rFonts w:ascii="Calibri" w:hAnsi="Calibri" w:cs="Calibri"/>
          <w:color w:val="000000"/>
        </w:rPr>
        <w:t>U státních podniků SLL Janské Lázně, HL Karlova Studánka a BALMED Praha doznal tento ukazatel ve</w:t>
      </w:r>
      <w:r w:rsidR="00506C42">
        <w:rPr>
          <w:rFonts w:ascii="Calibri" w:hAnsi="Calibri" w:cs="Calibri"/>
          <w:color w:val="000000"/>
        </w:rPr>
        <w:t xml:space="preserve"> </w:t>
      </w:r>
      <w:r w:rsidRPr="00E7138D">
        <w:rPr>
          <w:rFonts w:ascii="Calibri" w:hAnsi="Calibri" w:cs="Calibri"/>
          <w:color w:val="000000"/>
        </w:rPr>
        <w:t>sledovaném období vysokých hodnot v rozmezí 72,86 % až 95,39 %. Nejnižší hodnotu ukazatele finanční nezávislosti ve</w:t>
      </w:r>
      <w:r w:rsidR="00506C42">
        <w:rPr>
          <w:rFonts w:ascii="Calibri" w:hAnsi="Calibri" w:cs="Calibri"/>
          <w:color w:val="000000"/>
        </w:rPr>
        <w:t xml:space="preserve"> </w:t>
      </w:r>
      <w:r w:rsidRPr="00E7138D">
        <w:rPr>
          <w:rFonts w:ascii="Calibri" w:hAnsi="Calibri" w:cs="Calibri"/>
          <w:color w:val="000000"/>
        </w:rPr>
        <w:t xml:space="preserve">výši 22,96 % zaznamenaly v roce 2014 SLL Bludov. Vliv na tuto skutečnost měl zejména pokles výsledku hospodaření a neukončené soudní spory o podíl na nemovitém majetku lázní, se kterým souviselo následné zvýšení kapitálových fondů </w:t>
      </w:r>
      <w:r w:rsidRPr="00E7138D">
        <w:rPr>
          <w:rFonts w:ascii="Calibri" w:hAnsi="Calibri" w:cs="Calibri"/>
          <w:color w:val="000000"/>
        </w:rPr>
        <w:lastRenderedPageBreak/>
        <w:t>majetku v roce 2015 po ukončení</w:t>
      </w:r>
      <w:r w:rsidR="00506C42">
        <w:rPr>
          <w:rFonts w:ascii="Calibri" w:hAnsi="Calibri" w:cs="Calibri"/>
          <w:color w:val="000000"/>
        </w:rPr>
        <w:t xml:space="preserve"> soudního sporu</w:t>
      </w:r>
      <w:r w:rsidRPr="00E7138D">
        <w:rPr>
          <w:rFonts w:ascii="Calibri" w:hAnsi="Calibri" w:cs="Calibri"/>
          <w:color w:val="000000"/>
        </w:rPr>
        <w:t xml:space="preserve"> a zlepšení ukazatele finanční nezávislosti na výši 61,79 %.</w:t>
      </w:r>
    </w:p>
    <w:p w14:paraId="11AE7FFB" w14:textId="651F0D8F" w:rsidR="00D55F31" w:rsidRPr="00E7138D" w:rsidRDefault="0024693B" w:rsidP="0002290A">
      <w:pPr>
        <w:spacing w:before="120"/>
        <w:jc w:val="both"/>
        <w:rPr>
          <w:rFonts w:ascii="Calibri" w:hAnsi="Calibri" w:cs="Calibri"/>
          <w:color w:val="000000"/>
        </w:rPr>
      </w:pPr>
      <w:r w:rsidRPr="00E7138D">
        <w:rPr>
          <w:rFonts w:ascii="Calibri" w:hAnsi="Calibri" w:cs="Calibri"/>
          <w:u w:val="single"/>
        </w:rPr>
        <w:t>Ukazatel celkové zadluženosti</w:t>
      </w:r>
      <w:r w:rsidRPr="00E7138D">
        <w:rPr>
          <w:rFonts w:ascii="Calibri" w:hAnsi="Calibri" w:cs="Calibri"/>
        </w:rPr>
        <w:t xml:space="preserve"> udává výši závislosti podniku na cizích zdrojích. Ukazatel celkové zadluženosti státních podniků SLL </w:t>
      </w:r>
      <w:r w:rsidRPr="00E7138D">
        <w:rPr>
          <w:rFonts w:ascii="Calibri" w:hAnsi="Calibri" w:cs="Calibri"/>
          <w:color w:val="000000"/>
        </w:rPr>
        <w:t>Janské Lázně</w:t>
      </w:r>
      <w:r w:rsidRPr="00E7138D">
        <w:rPr>
          <w:rFonts w:ascii="Calibri" w:hAnsi="Calibri" w:cs="Calibri"/>
        </w:rPr>
        <w:t xml:space="preserve"> a </w:t>
      </w:r>
      <w:r w:rsidRPr="00E7138D">
        <w:rPr>
          <w:rFonts w:ascii="Calibri" w:hAnsi="Calibri" w:cs="Calibri"/>
          <w:color w:val="000000"/>
        </w:rPr>
        <w:t>BALMED Praha</w:t>
      </w:r>
      <w:r w:rsidRPr="00E7138D">
        <w:rPr>
          <w:rFonts w:ascii="Calibri" w:hAnsi="Calibri" w:cs="Calibri"/>
        </w:rPr>
        <w:t xml:space="preserve"> se po celé pětileté období pohyboval v intervalu od 2,97 % do 7,49 %, tzn., že zaznamenal pouze minimální výkyvy.</w:t>
      </w:r>
      <w:r w:rsidRPr="00E7138D">
        <w:rPr>
          <w:rFonts w:ascii="Calibri" w:hAnsi="Calibri" w:cs="Calibri"/>
          <w:color w:val="000000"/>
        </w:rPr>
        <w:t xml:space="preserve"> Dosažené nízké hodnoty v letech 2011 až 2015 lze považovat za</w:t>
      </w:r>
      <w:r w:rsidR="00506C42">
        <w:rPr>
          <w:rFonts w:ascii="Calibri" w:hAnsi="Calibri" w:cs="Calibri"/>
          <w:color w:val="000000"/>
        </w:rPr>
        <w:t xml:space="preserve"> </w:t>
      </w:r>
      <w:r w:rsidRPr="00E7138D">
        <w:rPr>
          <w:rFonts w:ascii="Calibri" w:hAnsi="Calibri" w:cs="Calibri"/>
          <w:color w:val="000000"/>
        </w:rPr>
        <w:t>pozitivní, neboť je to známka stability podniků. Státní podniky HL Karlova Studánka a SLL Bludov vykazovaly ve</w:t>
      </w:r>
      <w:r w:rsidR="00506C42">
        <w:rPr>
          <w:rFonts w:ascii="Calibri" w:hAnsi="Calibri" w:cs="Calibri"/>
          <w:color w:val="000000"/>
        </w:rPr>
        <w:t xml:space="preserve"> </w:t>
      </w:r>
      <w:r w:rsidRPr="00E7138D">
        <w:rPr>
          <w:rFonts w:ascii="Calibri" w:hAnsi="Calibri" w:cs="Calibri"/>
          <w:color w:val="000000"/>
        </w:rPr>
        <w:t xml:space="preserve">sledovaném pětiletém období snižující se závislost na cizích zdrojích. HL </w:t>
      </w:r>
      <w:r w:rsidR="00747332" w:rsidRPr="00E7138D">
        <w:rPr>
          <w:rFonts w:ascii="Calibri" w:hAnsi="Calibri" w:cs="Calibri"/>
          <w:color w:val="000000"/>
        </w:rPr>
        <w:t xml:space="preserve">Karlova Studánka </w:t>
      </w:r>
      <w:r w:rsidRPr="00E7138D">
        <w:rPr>
          <w:rFonts w:ascii="Calibri" w:hAnsi="Calibri" w:cs="Calibri"/>
          <w:color w:val="000000"/>
        </w:rPr>
        <w:t>zaznamenaly pokles hodnoty ukazatele celkové zadluženosti z výše 26,93 % na 11,64 % a SLL Bludov z výše 51,17 % na 8,29 %.</w:t>
      </w:r>
    </w:p>
    <w:p w14:paraId="6E707561" w14:textId="73581F48" w:rsidR="00D55F31" w:rsidRPr="00E7138D" w:rsidRDefault="0024693B" w:rsidP="0002290A">
      <w:pPr>
        <w:spacing w:before="120"/>
        <w:jc w:val="both"/>
        <w:rPr>
          <w:rFonts w:ascii="Calibri" w:hAnsi="Calibri" w:cs="Calibri"/>
        </w:rPr>
      </w:pPr>
      <w:r w:rsidRPr="00E7138D">
        <w:rPr>
          <w:rFonts w:ascii="Calibri" w:hAnsi="Calibri" w:cs="Calibri"/>
          <w:u w:val="single"/>
        </w:rPr>
        <w:t>Ukazatel běžné zadluženosti</w:t>
      </w:r>
      <w:r w:rsidRPr="00E7138D">
        <w:rPr>
          <w:rFonts w:ascii="Calibri" w:hAnsi="Calibri" w:cs="Calibri"/>
        </w:rPr>
        <w:t xml:space="preserve"> </w:t>
      </w:r>
      <w:r w:rsidR="00506C42">
        <w:rPr>
          <w:rFonts w:ascii="Calibri" w:hAnsi="Calibri" w:cs="Calibri"/>
        </w:rPr>
        <w:t>vyjadřuje</w:t>
      </w:r>
      <w:r w:rsidRPr="00E7138D">
        <w:rPr>
          <w:rFonts w:ascii="Calibri" w:hAnsi="Calibri" w:cs="Calibri"/>
        </w:rPr>
        <w:t>, jaká část majetku podniku je kryta krátkodobým cizím kapitálem. U všech státních podniků kopíroval vývoj hodnoty tohoto ukazatele trend vývoje ukazatele celkové zadluženosti.</w:t>
      </w:r>
    </w:p>
    <w:p w14:paraId="6B540917" w14:textId="392AA70D" w:rsidR="00D55F31" w:rsidRPr="00E7138D" w:rsidRDefault="0024693B" w:rsidP="0002290A">
      <w:pPr>
        <w:spacing w:before="120"/>
        <w:jc w:val="both"/>
        <w:rPr>
          <w:rFonts w:ascii="Calibri" w:hAnsi="Calibri" w:cs="Calibri"/>
        </w:rPr>
      </w:pPr>
      <w:r w:rsidRPr="00E7138D">
        <w:rPr>
          <w:rFonts w:ascii="Calibri" w:hAnsi="Calibri" w:cs="Calibri"/>
          <w:u w:val="single"/>
        </w:rPr>
        <w:t>Ukazatel dlouhodobé zadluženosti</w:t>
      </w:r>
      <w:r w:rsidRPr="00E7138D">
        <w:rPr>
          <w:rFonts w:ascii="Calibri" w:hAnsi="Calibri" w:cs="Calibri"/>
        </w:rPr>
        <w:t xml:space="preserve"> vyjadřuje, jaké procento z celkových aktiv podniku je kryto dlouhodobými závazky. Hodnotu dlouhodobých závazků u SLL </w:t>
      </w:r>
      <w:r w:rsidRPr="00E7138D">
        <w:rPr>
          <w:rFonts w:ascii="Calibri" w:hAnsi="Calibri" w:cs="Calibri"/>
          <w:color w:val="000000"/>
        </w:rPr>
        <w:t>Janské Lázně</w:t>
      </w:r>
      <w:r w:rsidRPr="00E7138D">
        <w:rPr>
          <w:rFonts w:ascii="Calibri" w:hAnsi="Calibri" w:cs="Calibri"/>
        </w:rPr>
        <w:t xml:space="preserve"> představovala pouze položka odloženého daňového závazku. U HL </w:t>
      </w:r>
      <w:r w:rsidRPr="00E7138D">
        <w:rPr>
          <w:rFonts w:ascii="Calibri" w:hAnsi="Calibri" w:cs="Calibri"/>
          <w:color w:val="000000"/>
        </w:rPr>
        <w:t>Karlova Studánka</w:t>
      </w:r>
      <w:r w:rsidRPr="00E7138D">
        <w:rPr>
          <w:rFonts w:ascii="Calibri" w:hAnsi="Calibri" w:cs="Calibri"/>
        </w:rPr>
        <w:t xml:space="preserve"> vykazovala dlouhodobá zadluženost v letech 2011 až 2014 klesající trend z 12,82 % na</w:t>
      </w:r>
      <w:r w:rsidR="00506C42">
        <w:rPr>
          <w:rFonts w:ascii="Calibri" w:hAnsi="Calibri" w:cs="Calibri"/>
        </w:rPr>
        <w:t xml:space="preserve"> </w:t>
      </w:r>
      <w:r w:rsidRPr="00E7138D">
        <w:rPr>
          <w:rFonts w:ascii="Calibri" w:hAnsi="Calibri" w:cs="Calibri"/>
        </w:rPr>
        <w:t>2,70 %. SLL Bludov ve</w:t>
      </w:r>
      <w:r w:rsidR="00506C42">
        <w:rPr>
          <w:rFonts w:ascii="Calibri" w:hAnsi="Calibri" w:cs="Calibri"/>
        </w:rPr>
        <w:t xml:space="preserve"> </w:t>
      </w:r>
      <w:r w:rsidRPr="00E7138D">
        <w:rPr>
          <w:rFonts w:ascii="Calibri" w:hAnsi="Calibri" w:cs="Calibri"/>
        </w:rPr>
        <w:t>sledovaném období nevykázaly dlouhodobé závazky.</w:t>
      </w:r>
    </w:p>
    <w:p w14:paraId="11EDA521" w14:textId="0C7C47D3" w:rsidR="00D55F31" w:rsidRPr="00E7138D" w:rsidRDefault="0024693B" w:rsidP="0002290A">
      <w:pPr>
        <w:spacing w:before="120" w:after="120"/>
        <w:jc w:val="both"/>
        <w:rPr>
          <w:rFonts w:ascii="Calibri" w:hAnsi="Calibri" w:cs="Calibri"/>
        </w:rPr>
      </w:pPr>
      <w:r w:rsidRPr="00E7138D">
        <w:rPr>
          <w:rFonts w:ascii="Calibri" w:hAnsi="Calibri" w:cs="Calibri"/>
          <w:u w:val="single"/>
        </w:rPr>
        <w:t>Ukazatel podkapitalizace</w:t>
      </w:r>
      <w:r w:rsidRPr="00E7138D">
        <w:rPr>
          <w:rFonts w:ascii="Calibri" w:hAnsi="Calibri" w:cs="Calibri"/>
        </w:rPr>
        <w:t xml:space="preserve"> vyjadřuje, jak je stálá část majetku podniku kryta dlouhodobými zdroji. Hodnota tohoto ukazatele se ve sledovaném pětiletém období u všech státních podniků pohybovala v rozmezí 0,89 až 1,73. Vyšší hodnota tohoto ukaz</w:t>
      </w:r>
      <w:r w:rsidR="0073225C">
        <w:rPr>
          <w:rFonts w:ascii="Calibri" w:hAnsi="Calibri" w:cs="Calibri"/>
        </w:rPr>
        <w:t>atele znamená vyšší stabilitu a </w:t>
      </w:r>
      <w:r w:rsidRPr="00E7138D">
        <w:rPr>
          <w:rFonts w:ascii="Calibri" w:hAnsi="Calibri" w:cs="Calibri"/>
        </w:rPr>
        <w:t>solventnost podniku.</w:t>
      </w:r>
    </w:p>
    <w:p w14:paraId="64E49A82" w14:textId="77777777" w:rsidR="00D55F31" w:rsidRPr="00E7138D" w:rsidRDefault="0024693B" w:rsidP="0002290A">
      <w:pPr>
        <w:spacing w:before="120" w:after="240"/>
        <w:jc w:val="both"/>
        <w:rPr>
          <w:rFonts w:ascii="Calibri" w:hAnsi="Calibri" w:cs="Calibri"/>
          <w:b/>
        </w:rPr>
      </w:pPr>
      <w:r w:rsidRPr="00E7138D">
        <w:rPr>
          <w:rFonts w:ascii="Calibri" w:hAnsi="Calibri" w:cs="Calibri"/>
          <w:b/>
        </w:rPr>
        <w:t>Z hlediska struktury zdrojů mají kontrolované státní podniky k 31. 12. 2015 vyšší podíl vlastních zdrojů na celkovém kapitálu. Celková zadluženost státních podniků byla k 31. 12. 2015 nízká, tj. do výše 12 %.</w:t>
      </w:r>
    </w:p>
    <w:p w14:paraId="31085DEC" w14:textId="19BB0AB0" w:rsidR="00D55F31" w:rsidRPr="00E7138D" w:rsidRDefault="0024693B" w:rsidP="0002290A">
      <w:pPr>
        <w:autoSpaceDE w:val="0"/>
        <w:autoSpaceDN w:val="0"/>
        <w:adjustRightInd w:val="0"/>
        <w:jc w:val="both"/>
        <w:rPr>
          <w:rFonts w:ascii="Calibri" w:hAnsi="Calibri" w:cs="Calibri"/>
        </w:rPr>
      </w:pPr>
      <w:r w:rsidRPr="00E7138D">
        <w:rPr>
          <w:rFonts w:ascii="Calibri" w:hAnsi="Calibri" w:cs="Calibri"/>
          <w:b/>
        </w:rPr>
        <w:t>Ukazatele ziskovosti</w:t>
      </w:r>
      <w:r w:rsidRPr="00E7138D">
        <w:rPr>
          <w:rFonts w:ascii="Calibri" w:hAnsi="Calibri" w:cs="Calibri"/>
        </w:rPr>
        <w:t xml:space="preserve"> poměřují zisk dosažený podnikem s velikostí zdrojů, které byly k dosažení zisku použity. Hospodářské výsledky sledovaných státních podniků, které provozují lázeňskou péči (tzn. vyjma </w:t>
      </w:r>
      <w:r w:rsidRPr="00E7138D">
        <w:rPr>
          <w:rFonts w:ascii="Calibri" w:hAnsi="Calibri" w:cs="Calibri"/>
          <w:color w:val="000000"/>
        </w:rPr>
        <w:t>BALMED Praha</w:t>
      </w:r>
      <w:r w:rsidRPr="00E7138D">
        <w:rPr>
          <w:rFonts w:ascii="Calibri" w:hAnsi="Calibri" w:cs="Calibri"/>
        </w:rPr>
        <w:t>), ovlivnil v letech 2012 a 2013 pokles tržeb především od</w:t>
      </w:r>
      <w:r w:rsidR="00506C42">
        <w:rPr>
          <w:rFonts w:ascii="Calibri" w:hAnsi="Calibri" w:cs="Calibri"/>
        </w:rPr>
        <w:t xml:space="preserve"> </w:t>
      </w:r>
      <w:r w:rsidRPr="00E7138D">
        <w:rPr>
          <w:rFonts w:ascii="Calibri" w:hAnsi="Calibri" w:cs="Calibri"/>
        </w:rPr>
        <w:t xml:space="preserve">zdravotních pojišťoven. Trend vývoje všech sledovaných ukazatelů ziskovosti kopírují vývoj výsledků hospodaření státních podniků ve sledovaných letech 2011 až 2015. </w:t>
      </w:r>
    </w:p>
    <w:p w14:paraId="2907E168" w14:textId="283E69BA" w:rsidR="00D55F31" w:rsidRPr="00E7138D" w:rsidRDefault="0024693B" w:rsidP="0002290A">
      <w:pPr>
        <w:spacing w:before="120"/>
        <w:jc w:val="both"/>
        <w:rPr>
          <w:rFonts w:ascii="Calibri" w:hAnsi="Calibri" w:cs="Calibri"/>
        </w:rPr>
      </w:pPr>
      <w:r w:rsidRPr="00E7138D">
        <w:rPr>
          <w:rFonts w:ascii="Calibri" w:hAnsi="Calibri" w:cs="Calibri"/>
          <w:u w:val="single"/>
        </w:rPr>
        <w:t>Ukazatel výnosnosti celkového kapitálu</w:t>
      </w:r>
      <w:r w:rsidRPr="00E7138D">
        <w:rPr>
          <w:rFonts w:ascii="Calibri" w:hAnsi="Calibri" w:cs="Calibri"/>
        </w:rPr>
        <w:t xml:space="preserve"> poměřuje zisk s celkovými aktivy investovanými do</w:t>
      </w:r>
      <w:r w:rsidR="00506C42">
        <w:rPr>
          <w:rFonts w:ascii="Calibri" w:hAnsi="Calibri" w:cs="Calibri"/>
        </w:rPr>
        <w:t xml:space="preserve"> </w:t>
      </w:r>
      <w:r w:rsidRPr="00E7138D">
        <w:rPr>
          <w:rFonts w:ascii="Calibri" w:hAnsi="Calibri" w:cs="Calibri"/>
        </w:rPr>
        <w:t xml:space="preserve">podnikání bez ohledu na zdroj financování. Ukazatel výnosnosti celkového kapitálu dosáhl nejvyšší hodnoty v roce 2015 u SLL </w:t>
      </w:r>
      <w:r w:rsidRPr="00E7138D">
        <w:rPr>
          <w:rFonts w:ascii="Calibri" w:hAnsi="Calibri" w:cs="Calibri"/>
          <w:color w:val="000000"/>
        </w:rPr>
        <w:t>Janské Lázně</w:t>
      </w:r>
      <w:r w:rsidR="00BF11EF">
        <w:rPr>
          <w:rFonts w:ascii="Calibri" w:hAnsi="Calibri" w:cs="Calibri"/>
        </w:rPr>
        <w:t>, a to výše</w:t>
      </w:r>
      <w:r w:rsidRPr="00E7138D">
        <w:rPr>
          <w:rFonts w:ascii="Calibri" w:hAnsi="Calibri" w:cs="Calibri"/>
        </w:rPr>
        <w:t xml:space="preserve"> 1,20 % a u SLL Bludov výš</w:t>
      </w:r>
      <w:r w:rsidR="00BF11EF">
        <w:rPr>
          <w:rFonts w:ascii="Calibri" w:hAnsi="Calibri" w:cs="Calibri"/>
        </w:rPr>
        <w:t>e</w:t>
      </w:r>
      <w:r w:rsidRPr="00E7138D">
        <w:rPr>
          <w:rFonts w:ascii="Calibri" w:hAnsi="Calibri" w:cs="Calibri"/>
        </w:rPr>
        <w:t xml:space="preserve"> 8,40 %, kdy na stokorunu vložených aktiv vyprodukovaly SLL </w:t>
      </w:r>
      <w:r w:rsidRPr="00E7138D">
        <w:rPr>
          <w:rFonts w:ascii="Calibri" w:hAnsi="Calibri" w:cs="Calibri"/>
          <w:color w:val="000000"/>
        </w:rPr>
        <w:t>Janské Lázně</w:t>
      </w:r>
      <w:r w:rsidRPr="00E7138D">
        <w:rPr>
          <w:rFonts w:ascii="Calibri" w:hAnsi="Calibri" w:cs="Calibri"/>
        </w:rPr>
        <w:t xml:space="preserve"> čistý zisk ve výši 1,20 Kč a SLL Bludov čistý zisk ve výši 8,40 Kč. HL </w:t>
      </w:r>
      <w:r w:rsidRPr="00E7138D">
        <w:rPr>
          <w:rFonts w:ascii="Calibri" w:hAnsi="Calibri" w:cs="Calibri"/>
          <w:color w:val="000000"/>
        </w:rPr>
        <w:t>Karlova Studánka</w:t>
      </w:r>
      <w:r w:rsidRPr="00E7138D">
        <w:rPr>
          <w:rFonts w:ascii="Calibri" w:hAnsi="Calibri" w:cs="Calibri"/>
        </w:rPr>
        <w:t xml:space="preserve"> zaznamenaly nejvyšší hodnotu tohoto ukazatele v roce 2014</w:t>
      </w:r>
      <w:r w:rsidR="00BF11EF">
        <w:rPr>
          <w:rFonts w:ascii="Calibri" w:hAnsi="Calibri" w:cs="Calibri"/>
        </w:rPr>
        <w:t>, a to</w:t>
      </w:r>
      <w:r w:rsidRPr="00E7138D">
        <w:rPr>
          <w:rFonts w:ascii="Calibri" w:hAnsi="Calibri" w:cs="Calibri"/>
        </w:rPr>
        <w:t xml:space="preserve"> 8,32 %.</w:t>
      </w:r>
    </w:p>
    <w:p w14:paraId="2E5F0EE0" w14:textId="03C72327" w:rsidR="00D55F31" w:rsidRPr="00E7138D" w:rsidRDefault="0024693B" w:rsidP="0002290A">
      <w:pPr>
        <w:spacing w:before="120"/>
        <w:jc w:val="both"/>
        <w:rPr>
          <w:rFonts w:ascii="Calibri" w:hAnsi="Calibri" w:cs="Calibri"/>
        </w:rPr>
      </w:pPr>
      <w:r w:rsidRPr="00E7138D">
        <w:rPr>
          <w:rFonts w:ascii="Calibri" w:hAnsi="Calibri" w:cs="Calibri"/>
          <w:u w:val="single"/>
        </w:rPr>
        <w:t>Ukazatel základní produkční síly</w:t>
      </w:r>
      <w:r w:rsidRPr="00E7138D">
        <w:rPr>
          <w:rFonts w:ascii="Calibri" w:hAnsi="Calibri" w:cs="Calibri"/>
        </w:rPr>
        <w:t xml:space="preserve"> měří hrubou produkční sílu aktiv podniku před odečtením daní a finančních nákladů. Tento ukazatel dosáhl u SLL </w:t>
      </w:r>
      <w:r w:rsidRPr="00E7138D">
        <w:rPr>
          <w:rFonts w:ascii="Calibri" w:hAnsi="Calibri" w:cs="Calibri"/>
          <w:color w:val="000000"/>
        </w:rPr>
        <w:t>Janské Lázně</w:t>
      </w:r>
      <w:r w:rsidRPr="00E7138D">
        <w:rPr>
          <w:rFonts w:ascii="Calibri" w:hAnsi="Calibri" w:cs="Calibri"/>
        </w:rPr>
        <w:t xml:space="preserve"> a SLL Bludov nejvyšší hodnoty v roce 2015, a to 1,31 % u SLL </w:t>
      </w:r>
      <w:r w:rsidRPr="00E7138D">
        <w:rPr>
          <w:rFonts w:ascii="Calibri" w:hAnsi="Calibri" w:cs="Calibri"/>
          <w:color w:val="000000"/>
        </w:rPr>
        <w:t>Janské Lázně</w:t>
      </w:r>
      <w:r w:rsidRPr="00E7138D">
        <w:rPr>
          <w:rFonts w:ascii="Calibri" w:hAnsi="Calibri" w:cs="Calibri"/>
        </w:rPr>
        <w:t xml:space="preserve"> (kdy na stokorunu vložených aktiv produkoval podnik 1,31 Kč provozního zisku) a 8,48 % u SLL Bludov (kdy na stokorunu vložených aktiv produkoval podnik 8,48 Kč provozního zisku). HL </w:t>
      </w:r>
      <w:r w:rsidRPr="00E7138D">
        <w:rPr>
          <w:rFonts w:ascii="Calibri" w:hAnsi="Calibri" w:cs="Calibri"/>
          <w:color w:val="000000"/>
        </w:rPr>
        <w:t>Karlova Studánka</w:t>
      </w:r>
      <w:r w:rsidRPr="00E7138D">
        <w:rPr>
          <w:rFonts w:ascii="Calibri" w:hAnsi="Calibri" w:cs="Calibri"/>
        </w:rPr>
        <w:t xml:space="preserve"> dosáhly nejvyšší hodnoty ukazatele produkční síly v roce 2014</w:t>
      </w:r>
      <w:r w:rsidR="00BF11EF">
        <w:rPr>
          <w:rFonts w:ascii="Calibri" w:hAnsi="Calibri" w:cs="Calibri"/>
        </w:rPr>
        <w:t>, a to</w:t>
      </w:r>
      <w:r w:rsidRPr="00E7138D">
        <w:rPr>
          <w:rFonts w:ascii="Calibri" w:hAnsi="Calibri" w:cs="Calibri"/>
        </w:rPr>
        <w:t xml:space="preserve"> výš</w:t>
      </w:r>
      <w:r w:rsidR="00BF11EF">
        <w:rPr>
          <w:rFonts w:ascii="Calibri" w:hAnsi="Calibri" w:cs="Calibri"/>
        </w:rPr>
        <w:t>e</w:t>
      </w:r>
      <w:r w:rsidRPr="00E7138D">
        <w:rPr>
          <w:rFonts w:ascii="Calibri" w:hAnsi="Calibri" w:cs="Calibri"/>
        </w:rPr>
        <w:t xml:space="preserve"> 9,82 %.</w:t>
      </w:r>
    </w:p>
    <w:p w14:paraId="0FCA74C7" w14:textId="77777777" w:rsidR="00D55F31" w:rsidRPr="00E7138D" w:rsidRDefault="0024693B" w:rsidP="0002290A">
      <w:pPr>
        <w:spacing w:before="120"/>
        <w:jc w:val="both"/>
        <w:rPr>
          <w:rFonts w:ascii="Calibri" w:hAnsi="Calibri" w:cs="Calibri"/>
        </w:rPr>
      </w:pPr>
      <w:r w:rsidRPr="00E7138D">
        <w:rPr>
          <w:rFonts w:ascii="Calibri" w:hAnsi="Calibri" w:cs="Calibri"/>
          <w:u w:val="single"/>
        </w:rPr>
        <w:lastRenderedPageBreak/>
        <w:t>Ukazatel výnosnosti vlastního jmění</w:t>
      </w:r>
      <w:r w:rsidRPr="00E7138D">
        <w:rPr>
          <w:rFonts w:ascii="Calibri" w:hAnsi="Calibri" w:cs="Calibri"/>
        </w:rPr>
        <w:t xml:space="preserve"> určuje celkovou výnosnost vlastního kapitálu. Ukazatel výnosnosti vlastního jmění dosáhl u SLL </w:t>
      </w:r>
      <w:r w:rsidRPr="00E7138D">
        <w:rPr>
          <w:rFonts w:ascii="Calibri" w:hAnsi="Calibri" w:cs="Calibri"/>
          <w:color w:val="000000"/>
        </w:rPr>
        <w:t>Janské Lázně</w:t>
      </w:r>
      <w:r w:rsidRPr="00E7138D">
        <w:rPr>
          <w:rFonts w:ascii="Calibri" w:hAnsi="Calibri" w:cs="Calibri"/>
        </w:rPr>
        <w:t xml:space="preserve"> a SLL Bludov nejvyšší hodnoty v roce 2015, kdy SLL </w:t>
      </w:r>
      <w:r w:rsidRPr="00E7138D">
        <w:rPr>
          <w:rFonts w:ascii="Calibri" w:hAnsi="Calibri" w:cs="Calibri"/>
          <w:color w:val="000000"/>
        </w:rPr>
        <w:t>Janské Lázně</w:t>
      </w:r>
      <w:r w:rsidRPr="00E7138D">
        <w:rPr>
          <w:rFonts w:ascii="Calibri" w:hAnsi="Calibri" w:cs="Calibri"/>
        </w:rPr>
        <w:t xml:space="preserve"> vyprodukovaly 1,30 % zisku na 1 Kč vlastního kapitálu a SLL Bludov dosáhly 13,60 % na 1 Kč vlastního kapitálu. HL </w:t>
      </w:r>
      <w:r w:rsidRPr="00E7138D">
        <w:rPr>
          <w:rFonts w:ascii="Calibri" w:hAnsi="Calibri" w:cs="Calibri"/>
          <w:color w:val="000000"/>
        </w:rPr>
        <w:t>Karlova Studánka</w:t>
      </w:r>
      <w:r w:rsidRPr="00E7138D">
        <w:rPr>
          <w:rFonts w:ascii="Calibri" w:hAnsi="Calibri" w:cs="Calibri"/>
        </w:rPr>
        <w:t xml:space="preserve"> </w:t>
      </w:r>
      <w:proofErr w:type="gramStart"/>
      <w:r w:rsidRPr="00E7138D">
        <w:rPr>
          <w:rFonts w:ascii="Calibri" w:hAnsi="Calibri" w:cs="Calibri"/>
        </w:rPr>
        <w:t>zaznamenaly</w:t>
      </w:r>
      <w:proofErr w:type="gramEnd"/>
      <w:r w:rsidRPr="00E7138D">
        <w:rPr>
          <w:rFonts w:ascii="Calibri" w:hAnsi="Calibri" w:cs="Calibri"/>
        </w:rPr>
        <w:t xml:space="preserve"> nejlepší hodnotu tohoto ukazatele v roce 2014 ve výši 10,10 %.</w:t>
      </w:r>
    </w:p>
    <w:p w14:paraId="64EEC21E" w14:textId="099C4E56" w:rsidR="00D55F31" w:rsidRPr="00E7138D" w:rsidRDefault="0024693B" w:rsidP="0002290A">
      <w:pPr>
        <w:spacing w:before="120"/>
        <w:jc w:val="both"/>
        <w:rPr>
          <w:rFonts w:ascii="Calibri" w:hAnsi="Calibri" w:cs="Calibri"/>
        </w:rPr>
      </w:pPr>
      <w:r w:rsidRPr="00E7138D">
        <w:rPr>
          <w:rFonts w:ascii="Calibri" w:hAnsi="Calibri" w:cs="Calibri"/>
          <w:u w:val="single"/>
        </w:rPr>
        <w:t>Ukazatel výnosnosti cizích zdrojů</w:t>
      </w:r>
      <w:r w:rsidRPr="00E7138D">
        <w:rPr>
          <w:rFonts w:ascii="Calibri" w:hAnsi="Calibri" w:cs="Calibri"/>
        </w:rPr>
        <w:t xml:space="preserve"> vyjadřuje poměr výsledku hospodaření k cizím zdrojům. Za</w:t>
      </w:r>
      <w:r w:rsidR="00BF11EF">
        <w:rPr>
          <w:rFonts w:ascii="Calibri" w:hAnsi="Calibri" w:cs="Calibri"/>
        </w:rPr>
        <w:t xml:space="preserve"> </w:t>
      </w:r>
      <w:r w:rsidRPr="00E7138D">
        <w:rPr>
          <w:rFonts w:ascii="Calibri" w:hAnsi="Calibri" w:cs="Calibri"/>
        </w:rPr>
        <w:t xml:space="preserve">sledované pětileté období dosáhl tento ukazatel u státních podniků SLL </w:t>
      </w:r>
      <w:r w:rsidRPr="00E7138D">
        <w:rPr>
          <w:rFonts w:ascii="Calibri" w:hAnsi="Calibri" w:cs="Calibri"/>
          <w:color w:val="000000"/>
        </w:rPr>
        <w:t>Janské Lázně</w:t>
      </w:r>
      <w:r w:rsidRPr="00E7138D">
        <w:rPr>
          <w:rFonts w:ascii="Calibri" w:hAnsi="Calibri" w:cs="Calibri"/>
        </w:rPr>
        <w:t>, HL </w:t>
      </w:r>
      <w:r w:rsidRPr="00E7138D">
        <w:rPr>
          <w:rFonts w:ascii="Calibri" w:hAnsi="Calibri" w:cs="Calibri"/>
          <w:color w:val="000000"/>
        </w:rPr>
        <w:t>Karlova Studánka</w:t>
      </w:r>
      <w:r w:rsidRPr="00E7138D">
        <w:rPr>
          <w:rFonts w:ascii="Calibri" w:hAnsi="Calibri" w:cs="Calibri"/>
        </w:rPr>
        <w:t xml:space="preserve"> a SLL Bludov nejvyšší hodnoty v roce 2015, kdy SLL </w:t>
      </w:r>
      <w:r w:rsidR="00747332" w:rsidRPr="00E7138D">
        <w:rPr>
          <w:rFonts w:ascii="Calibri" w:hAnsi="Calibri" w:cs="Calibri"/>
        </w:rPr>
        <w:t xml:space="preserve">Janské Lázně </w:t>
      </w:r>
      <w:r w:rsidRPr="00E7138D">
        <w:rPr>
          <w:rFonts w:ascii="Calibri" w:hAnsi="Calibri" w:cs="Calibri"/>
        </w:rPr>
        <w:t xml:space="preserve">dokázaly vyprodukovat 15,98 % zisku na 1 Kč cizích zdrojů, HL </w:t>
      </w:r>
      <w:r w:rsidR="00747332" w:rsidRPr="00E7138D">
        <w:rPr>
          <w:rFonts w:ascii="Calibri" w:hAnsi="Calibri" w:cs="Calibri"/>
        </w:rPr>
        <w:t xml:space="preserve">Karlova Studánka </w:t>
      </w:r>
      <w:r w:rsidRPr="00E7138D">
        <w:rPr>
          <w:rFonts w:ascii="Calibri" w:hAnsi="Calibri" w:cs="Calibri"/>
        </w:rPr>
        <w:t>vyprodukovaly 56,33 % zisku na 1 Kč cizích zdrojů a SLL Bludov dosáhly 101,33 % zisku na</w:t>
      </w:r>
      <w:r w:rsidR="000606F4" w:rsidRPr="00E7138D">
        <w:rPr>
          <w:rFonts w:ascii="Calibri" w:hAnsi="Calibri" w:cs="Calibri"/>
        </w:rPr>
        <w:t> </w:t>
      </w:r>
      <w:r w:rsidRPr="00E7138D">
        <w:rPr>
          <w:rFonts w:ascii="Calibri" w:hAnsi="Calibri" w:cs="Calibri"/>
        </w:rPr>
        <w:t>1</w:t>
      </w:r>
      <w:r w:rsidR="000606F4" w:rsidRPr="00E7138D">
        <w:rPr>
          <w:rFonts w:ascii="Calibri" w:hAnsi="Calibri" w:cs="Calibri"/>
        </w:rPr>
        <w:t> </w:t>
      </w:r>
      <w:r w:rsidRPr="00E7138D">
        <w:rPr>
          <w:rFonts w:ascii="Calibri" w:hAnsi="Calibri" w:cs="Calibri"/>
        </w:rPr>
        <w:t xml:space="preserve">Kč cizích zdrojů. </w:t>
      </w:r>
    </w:p>
    <w:p w14:paraId="3699F235" w14:textId="7E2FB6D4" w:rsidR="00D55F31" w:rsidRPr="00E7138D" w:rsidRDefault="0024693B" w:rsidP="0002290A">
      <w:pPr>
        <w:spacing w:before="120" w:after="120"/>
        <w:jc w:val="both"/>
        <w:rPr>
          <w:rFonts w:ascii="Calibri" w:hAnsi="Calibri" w:cs="Calibri"/>
        </w:rPr>
      </w:pPr>
      <w:r w:rsidRPr="00E7138D">
        <w:rPr>
          <w:rFonts w:ascii="Calibri" w:hAnsi="Calibri" w:cs="Calibri"/>
          <w:u w:val="single"/>
        </w:rPr>
        <w:t>Ukazatel ziskové marže</w:t>
      </w:r>
      <w:r w:rsidRPr="00E7138D">
        <w:rPr>
          <w:rFonts w:ascii="Calibri" w:hAnsi="Calibri" w:cs="Calibri"/>
        </w:rPr>
        <w:t xml:space="preserve"> vyjadřuje schopnost podniku dosahovat zisk při dané úrovni tržeb. Nejvyšší hodnota tohoto ukazatele byla u státních podniků SLL </w:t>
      </w:r>
      <w:r w:rsidRPr="00E7138D">
        <w:rPr>
          <w:rFonts w:ascii="Calibri" w:hAnsi="Calibri" w:cs="Calibri"/>
          <w:color w:val="000000"/>
        </w:rPr>
        <w:t>Janské Lázně</w:t>
      </w:r>
      <w:r w:rsidRPr="00E7138D">
        <w:rPr>
          <w:rFonts w:ascii="Calibri" w:hAnsi="Calibri" w:cs="Calibri"/>
        </w:rPr>
        <w:t xml:space="preserve"> a HL </w:t>
      </w:r>
      <w:r w:rsidRPr="00E7138D">
        <w:rPr>
          <w:rFonts w:ascii="Calibri" w:hAnsi="Calibri" w:cs="Calibri"/>
          <w:color w:val="000000"/>
        </w:rPr>
        <w:t>Karlova Studánka</w:t>
      </w:r>
      <w:r w:rsidRPr="00E7138D">
        <w:rPr>
          <w:rFonts w:ascii="Calibri" w:hAnsi="Calibri" w:cs="Calibri"/>
        </w:rPr>
        <w:t xml:space="preserve"> opět dosažena v roce 2015</w:t>
      </w:r>
      <w:r w:rsidR="00262AAE">
        <w:rPr>
          <w:rFonts w:ascii="Calibri" w:hAnsi="Calibri" w:cs="Calibri"/>
        </w:rPr>
        <w:t>,</w:t>
      </w:r>
      <w:r w:rsidRPr="00E7138D">
        <w:rPr>
          <w:rFonts w:ascii="Calibri" w:hAnsi="Calibri" w:cs="Calibri"/>
        </w:rPr>
        <w:t xml:space="preserve"> a to ve výši 2,27 % u SLL </w:t>
      </w:r>
      <w:r w:rsidRPr="00E7138D">
        <w:rPr>
          <w:rFonts w:ascii="Calibri" w:hAnsi="Calibri" w:cs="Calibri"/>
          <w:color w:val="000000"/>
        </w:rPr>
        <w:t>Janské Lázně</w:t>
      </w:r>
      <w:r w:rsidRPr="00E7138D">
        <w:rPr>
          <w:rFonts w:ascii="Calibri" w:hAnsi="Calibri" w:cs="Calibri"/>
        </w:rPr>
        <w:t xml:space="preserve"> a ve výši 7,66 % u SLL Bludov. HL </w:t>
      </w:r>
      <w:r w:rsidRPr="00E7138D">
        <w:rPr>
          <w:rFonts w:ascii="Calibri" w:hAnsi="Calibri" w:cs="Calibri"/>
          <w:color w:val="000000"/>
        </w:rPr>
        <w:t>Karlova Studánka</w:t>
      </w:r>
      <w:r w:rsidRPr="00E7138D">
        <w:rPr>
          <w:rFonts w:ascii="Calibri" w:hAnsi="Calibri" w:cs="Calibri"/>
        </w:rPr>
        <w:t xml:space="preserve"> zaznamenaly největší tempo růstu čistého zisku vzhledem k tempu růstu tržeb v roce 2014, kdy na stokorunu tržeb připadalo 12,35 Kč čistého zisku.</w:t>
      </w:r>
    </w:p>
    <w:p w14:paraId="4AEDB804" w14:textId="1BE55F87" w:rsidR="00D55F31" w:rsidRPr="00E7138D" w:rsidRDefault="0024693B" w:rsidP="0002290A">
      <w:pPr>
        <w:jc w:val="both"/>
        <w:rPr>
          <w:rFonts w:ascii="Calibri" w:hAnsi="Calibri" w:cs="Calibri"/>
          <w:u w:val="single"/>
        </w:rPr>
      </w:pPr>
      <w:r w:rsidRPr="00E7138D">
        <w:rPr>
          <w:rFonts w:ascii="Calibri" w:hAnsi="Calibri" w:cs="Calibri"/>
          <w:u w:val="single"/>
        </w:rPr>
        <w:t>Ukazatele ziskovosti – BALMED Praha</w:t>
      </w:r>
    </w:p>
    <w:p w14:paraId="1CB94659" w14:textId="4C75F170" w:rsidR="00D55F31" w:rsidRPr="00E7138D" w:rsidRDefault="0024693B" w:rsidP="0002290A">
      <w:pPr>
        <w:jc w:val="both"/>
        <w:rPr>
          <w:rFonts w:ascii="Calibri" w:hAnsi="Calibri" w:cs="Calibri"/>
        </w:rPr>
      </w:pPr>
      <w:r w:rsidRPr="00E7138D">
        <w:rPr>
          <w:rFonts w:ascii="Calibri" w:hAnsi="Calibri" w:cs="Calibri"/>
        </w:rPr>
        <w:t xml:space="preserve">Při zhodnocení všech ukazatelů ziskovosti se státní podnik </w:t>
      </w:r>
      <w:r w:rsidRPr="00E7138D">
        <w:rPr>
          <w:rFonts w:ascii="Calibri" w:hAnsi="Calibri" w:cs="Calibri"/>
          <w:color w:val="000000"/>
        </w:rPr>
        <w:t>BALMED Praha</w:t>
      </w:r>
      <w:r w:rsidRPr="00E7138D">
        <w:rPr>
          <w:rFonts w:ascii="Calibri" w:hAnsi="Calibri" w:cs="Calibri"/>
        </w:rPr>
        <w:t xml:space="preserve"> jeví jako nerentabilní, ztrátový, jelikož všechny hodnoty (s výjimkou roku 2013) jsou menší než nula. Sledované ukazatele ziskovosti se nacházejí v letech 2011, 2012, 2014 a 2015 v záporných hodnotách. Daný fakt je způsoben záporným výsledkem hospodaření v těchto letech. Situace se zlepšila pouze v roce 2013, kdy se ukazatele ziskovosti dostaly stejně jako výsledek hospodaření do</w:t>
      </w:r>
      <w:r w:rsidR="00756935">
        <w:rPr>
          <w:rFonts w:ascii="Calibri" w:hAnsi="Calibri" w:cs="Calibri"/>
        </w:rPr>
        <w:t xml:space="preserve"> </w:t>
      </w:r>
      <w:r w:rsidRPr="00E7138D">
        <w:rPr>
          <w:rFonts w:ascii="Calibri" w:hAnsi="Calibri" w:cs="Calibri"/>
        </w:rPr>
        <w:t>kladných hodnot. Toho státní podnik dosáhl díky finančně významnému prodeji pozemků. Ukazatele ziskovosti jsou u státního podniku ovlivněny tím, že neprovozuje lázeňskou péči, ale pouze správu a vypořádání majetku zbytkových státních podniků.</w:t>
      </w:r>
    </w:p>
    <w:p w14:paraId="0ACC9675" w14:textId="63BC385E" w:rsidR="00D55F31" w:rsidRPr="00E7138D" w:rsidRDefault="0024693B" w:rsidP="0002290A">
      <w:pPr>
        <w:spacing w:before="120"/>
        <w:jc w:val="both"/>
        <w:rPr>
          <w:rFonts w:ascii="Calibri" w:hAnsi="Calibri" w:cs="Calibri"/>
          <w:b/>
        </w:rPr>
      </w:pPr>
      <w:r w:rsidRPr="00E7138D">
        <w:rPr>
          <w:rFonts w:ascii="Calibri" w:hAnsi="Calibri" w:cs="Calibri"/>
          <w:b/>
        </w:rPr>
        <w:t xml:space="preserve">Z hlediska ukazatelů ziskovosti došlo u kontrolovaných státních podniků (vyjma BALMED Praha) k 31. 12. 2015 </w:t>
      </w:r>
      <w:r w:rsidR="00756935" w:rsidRPr="00E7138D">
        <w:rPr>
          <w:rFonts w:ascii="Calibri" w:hAnsi="Calibri" w:cs="Calibri"/>
          <w:b/>
        </w:rPr>
        <w:t xml:space="preserve">ke zlepšení </w:t>
      </w:r>
      <w:proofErr w:type="gramStart"/>
      <w:r w:rsidRPr="00E7138D">
        <w:rPr>
          <w:rFonts w:ascii="Calibri" w:hAnsi="Calibri" w:cs="Calibri"/>
          <w:b/>
        </w:rPr>
        <w:t>oproti</w:t>
      </w:r>
      <w:proofErr w:type="gramEnd"/>
      <w:r w:rsidRPr="00E7138D">
        <w:rPr>
          <w:rFonts w:ascii="Calibri" w:hAnsi="Calibri" w:cs="Calibri"/>
          <w:b/>
        </w:rPr>
        <w:t xml:space="preserve"> předchozím </w:t>
      </w:r>
      <w:proofErr w:type="gramStart"/>
      <w:r w:rsidRPr="00E7138D">
        <w:rPr>
          <w:rFonts w:ascii="Calibri" w:hAnsi="Calibri" w:cs="Calibri"/>
          <w:b/>
        </w:rPr>
        <w:t>letem.</w:t>
      </w:r>
      <w:proofErr w:type="gramEnd"/>
      <w:r w:rsidRPr="00E7138D">
        <w:rPr>
          <w:rFonts w:ascii="Calibri" w:hAnsi="Calibri" w:cs="Calibri"/>
          <w:b/>
        </w:rPr>
        <w:t xml:space="preserve"> Státní podnik </w:t>
      </w:r>
      <w:r w:rsidRPr="00E7138D">
        <w:rPr>
          <w:rFonts w:ascii="Calibri" w:hAnsi="Calibri" w:cs="Calibri"/>
          <w:b/>
          <w:color w:val="000000"/>
        </w:rPr>
        <w:t>BALMED Praha</w:t>
      </w:r>
      <w:r w:rsidRPr="00E7138D">
        <w:rPr>
          <w:rFonts w:ascii="Calibri" w:hAnsi="Calibri" w:cs="Calibri"/>
          <w:b/>
        </w:rPr>
        <w:t xml:space="preserve"> dosáhl kladných hodnot ukazatelů ziskovosti jen v roce 2013, kdy realizoval finančně významný prodej majetku.</w:t>
      </w:r>
    </w:p>
    <w:p w14:paraId="65B4BCFA" w14:textId="498E8021" w:rsidR="00D55F31" w:rsidRPr="00E7138D" w:rsidRDefault="0024693B" w:rsidP="0002290A">
      <w:pPr>
        <w:spacing w:before="240"/>
        <w:jc w:val="both"/>
        <w:rPr>
          <w:rFonts w:ascii="Calibri" w:hAnsi="Calibri" w:cs="Calibri"/>
        </w:rPr>
      </w:pPr>
      <w:r w:rsidRPr="00E7138D">
        <w:rPr>
          <w:rFonts w:ascii="Calibri" w:hAnsi="Calibri" w:cs="Calibri"/>
          <w:b/>
        </w:rPr>
        <w:t>Ukazatele ekonomické aktivity</w:t>
      </w:r>
      <w:r w:rsidRPr="00E7138D">
        <w:rPr>
          <w:rFonts w:ascii="Calibri" w:hAnsi="Calibri" w:cs="Calibri"/>
        </w:rPr>
        <w:t xml:space="preserve"> měří schopnost podniku využívat vložené finanční prostředky a měří vázanost jednotlivých složek kapitálu v určitých formách aktiv.</w:t>
      </w:r>
    </w:p>
    <w:p w14:paraId="61C29EAE" w14:textId="77777777" w:rsidR="00D55F31" w:rsidRPr="00E7138D" w:rsidRDefault="0024693B" w:rsidP="0002290A">
      <w:pPr>
        <w:autoSpaceDE w:val="0"/>
        <w:autoSpaceDN w:val="0"/>
        <w:adjustRightInd w:val="0"/>
        <w:spacing w:before="120"/>
        <w:jc w:val="both"/>
        <w:rPr>
          <w:rFonts w:ascii="Calibri" w:hAnsi="Calibri" w:cs="Calibri"/>
        </w:rPr>
      </w:pPr>
      <w:r w:rsidRPr="00E7138D">
        <w:rPr>
          <w:rFonts w:ascii="Calibri" w:hAnsi="Calibri" w:cs="Calibri"/>
          <w:szCs w:val="20"/>
          <w:u w:val="single"/>
        </w:rPr>
        <w:t>Ukazatel obratu celkového kapitálu</w:t>
      </w:r>
      <w:r w:rsidRPr="00E7138D">
        <w:rPr>
          <w:rFonts w:ascii="Calibri" w:hAnsi="Calibri" w:cs="Calibri"/>
          <w:szCs w:val="20"/>
        </w:rPr>
        <w:t xml:space="preserve"> vyjadřuje, kolikrát ročně se celkový kapitál promítá v tržbách podniku. </w:t>
      </w:r>
      <w:r w:rsidRPr="00E7138D">
        <w:rPr>
          <w:rFonts w:ascii="Calibri" w:hAnsi="Calibri" w:cs="Calibri"/>
        </w:rPr>
        <w:t xml:space="preserve">SLL Janské Lázně měly v letech 2011 až 2015 obrat celkového kapitálu v rozmezí 0,35 až 0,53, tzn., že jedna koruna celkového kapitálu vyprodukovala 0,35 Kč až 0,53 Kč tržeb. HL </w:t>
      </w:r>
      <w:r w:rsidRPr="00E7138D">
        <w:rPr>
          <w:rFonts w:ascii="Calibri" w:hAnsi="Calibri" w:cs="Calibri"/>
          <w:color w:val="000000"/>
        </w:rPr>
        <w:t>Karlova Studánka</w:t>
      </w:r>
      <w:r w:rsidRPr="00E7138D">
        <w:rPr>
          <w:rFonts w:ascii="Calibri" w:hAnsi="Calibri" w:cs="Calibri"/>
        </w:rPr>
        <w:t xml:space="preserve"> zaznamenaly ve sledovaném období obrat celkového kapitálu v rozmezí 0,62 až 0,77, SLL Bludov v rozmezí 0,57 až 1,10 a </w:t>
      </w:r>
      <w:r w:rsidRPr="00E7138D">
        <w:rPr>
          <w:rFonts w:ascii="Calibri" w:hAnsi="Calibri" w:cs="Calibri"/>
          <w:color w:val="000000"/>
        </w:rPr>
        <w:t>BALMED Praha</w:t>
      </w:r>
      <w:r w:rsidRPr="00E7138D">
        <w:rPr>
          <w:rFonts w:ascii="Calibri" w:hAnsi="Calibri" w:cs="Calibri"/>
        </w:rPr>
        <w:t xml:space="preserve"> v rozmezí 0,09 až 0,46.</w:t>
      </w:r>
    </w:p>
    <w:p w14:paraId="024E6D94" w14:textId="46CB5074" w:rsidR="00D55F31" w:rsidRPr="00E7138D" w:rsidRDefault="0024693B" w:rsidP="0002290A">
      <w:pPr>
        <w:spacing w:before="120"/>
        <w:jc w:val="both"/>
        <w:rPr>
          <w:rFonts w:ascii="Calibri" w:hAnsi="Calibri" w:cs="Calibri"/>
        </w:rPr>
      </w:pPr>
      <w:r w:rsidRPr="00E7138D">
        <w:rPr>
          <w:rFonts w:ascii="Calibri" w:hAnsi="Calibri" w:cs="Calibri"/>
          <w:u w:val="single"/>
        </w:rPr>
        <w:t>Ukazatel obratu oběžných aktiv</w:t>
      </w:r>
      <w:r w:rsidRPr="00E7138D">
        <w:rPr>
          <w:rFonts w:ascii="Calibri" w:hAnsi="Calibri" w:cs="Calibri"/>
        </w:rPr>
        <w:t xml:space="preserve"> udává počet obratů oběžných aktiv za daný časový interval (v tomto případě rok). Rychlost obratu oběžných aktiv vyjadřuje relativní vázanost oběžných aktiv. V letech 2011 až 2015 vyprodukoval státní podnik SLL </w:t>
      </w:r>
      <w:r w:rsidRPr="00E7138D">
        <w:rPr>
          <w:rFonts w:ascii="Calibri" w:hAnsi="Calibri" w:cs="Calibri"/>
          <w:color w:val="000000"/>
        </w:rPr>
        <w:t>Janské Lázně</w:t>
      </w:r>
      <w:r w:rsidRPr="00E7138D">
        <w:rPr>
          <w:rFonts w:ascii="Calibri" w:hAnsi="Calibri" w:cs="Calibri"/>
        </w:rPr>
        <w:t xml:space="preserve"> 1,84 až 2,55 Kč tržeb na 1 Kč oběžných aktiv, tzn. 1,84 až 2,55 obrátky oběžných aktiv za rok. HL </w:t>
      </w:r>
      <w:r w:rsidRPr="00E7138D">
        <w:rPr>
          <w:rFonts w:ascii="Calibri" w:hAnsi="Calibri" w:cs="Calibri"/>
          <w:color w:val="000000"/>
        </w:rPr>
        <w:t>Karlova Studánka</w:t>
      </w:r>
      <w:r w:rsidRPr="00E7138D">
        <w:rPr>
          <w:rFonts w:ascii="Calibri" w:hAnsi="Calibri" w:cs="Calibri"/>
        </w:rPr>
        <w:t xml:space="preserve"> vyprodukovaly ve</w:t>
      </w:r>
      <w:r w:rsidR="00431F65">
        <w:rPr>
          <w:rFonts w:ascii="Calibri" w:hAnsi="Calibri" w:cs="Calibri"/>
        </w:rPr>
        <w:t xml:space="preserve"> </w:t>
      </w:r>
      <w:r w:rsidRPr="00E7138D">
        <w:rPr>
          <w:rFonts w:ascii="Calibri" w:hAnsi="Calibri" w:cs="Calibri"/>
        </w:rPr>
        <w:t xml:space="preserve">sledovaném pětiletém období 3,87 až 14,12 Kč tržeb na 1 Kč oběžných aktiv, SLL Bludov 0,82 až 2,67 Kč tržeb na 1 Kč oběžných aktiv a </w:t>
      </w:r>
      <w:r w:rsidRPr="00E7138D">
        <w:rPr>
          <w:rFonts w:ascii="Calibri" w:hAnsi="Calibri" w:cs="Calibri"/>
          <w:color w:val="000000"/>
        </w:rPr>
        <w:t>BALMED Praha</w:t>
      </w:r>
      <w:r w:rsidRPr="00E7138D">
        <w:rPr>
          <w:rFonts w:ascii="Calibri" w:hAnsi="Calibri" w:cs="Calibri"/>
        </w:rPr>
        <w:t xml:space="preserve"> 0,25 až 1,00 Kč tržeb na 1 Kč oběžných aktiv.</w:t>
      </w:r>
    </w:p>
    <w:p w14:paraId="15CE7D9E" w14:textId="536D992A" w:rsidR="00D55F31" w:rsidRPr="00E7138D" w:rsidRDefault="0024693B" w:rsidP="0002290A">
      <w:pPr>
        <w:spacing w:before="120"/>
        <w:jc w:val="both"/>
        <w:rPr>
          <w:rFonts w:ascii="Calibri" w:hAnsi="Calibri" w:cs="Calibri"/>
        </w:rPr>
      </w:pPr>
      <w:r w:rsidRPr="00E7138D">
        <w:rPr>
          <w:rFonts w:ascii="Calibri" w:hAnsi="Calibri" w:cs="Calibri"/>
          <w:u w:val="single"/>
        </w:rPr>
        <w:lastRenderedPageBreak/>
        <w:t>Denní tržby</w:t>
      </w:r>
      <w:r w:rsidRPr="00E7138D">
        <w:rPr>
          <w:rFonts w:ascii="Calibri" w:hAnsi="Calibri" w:cs="Calibri"/>
        </w:rPr>
        <w:t xml:space="preserve"> se u kontrolovaných státních podniků poskytujících lázeňskou péči postupně od roku 2013 zvyšovaly (např. u SLL Janské Lázně ze</w:t>
      </w:r>
      <w:r w:rsidR="00431F65">
        <w:rPr>
          <w:rFonts w:ascii="Calibri" w:hAnsi="Calibri" w:cs="Calibri"/>
        </w:rPr>
        <w:t xml:space="preserve"> </w:t>
      </w:r>
      <w:r w:rsidRPr="00E7138D">
        <w:rPr>
          <w:rFonts w:ascii="Calibri" w:hAnsi="Calibri" w:cs="Calibri"/>
        </w:rPr>
        <w:t xml:space="preserve">415 tis. Kč v roce 2013 až na 643 tis. Kč v roce 2015). Státní podnik BALMED Praha vykazoval </w:t>
      </w:r>
      <w:r w:rsidRPr="00E7138D">
        <w:rPr>
          <w:rFonts w:ascii="Calibri" w:hAnsi="Calibri" w:cs="Calibri"/>
          <w:szCs w:val="20"/>
        </w:rPr>
        <w:t>denní tržby ve</w:t>
      </w:r>
      <w:r w:rsidR="00431F65">
        <w:rPr>
          <w:rFonts w:ascii="Calibri" w:hAnsi="Calibri" w:cs="Calibri"/>
          <w:szCs w:val="20"/>
        </w:rPr>
        <w:t xml:space="preserve"> </w:t>
      </w:r>
      <w:r w:rsidRPr="00E7138D">
        <w:rPr>
          <w:rFonts w:ascii="Calibri" w:hAnsi="Calibri" w:cs="Calibri"/>
          <w:szCs w:val="20"/>
        </w:rPr>
        <w:t xml:space="preserve">sledovaném období jen v rozmezí 3 až 20 tis. Kč, </w:t>
      </w:r>
      <w:r w:rsidRPr="00E7138D">
        <w:rPr>
          <w:rFonts w:ascii="Calibri" w:hAnsi="Calibri" w:cs="Calibri"/>
        </w:rPr>
        <w:t>protože v rámci své činnosti provádí pouze správu a vypořádání majetku zbytkových státních podniků a neposkytuje lázeňskou péči.</w:t>
      </w:r>
    </w:p>
    <w:p w14:paraId="2DB5C861" w14:textId="523CBADE" w:rsidR="00D55F31" w:rsidRPr="00E7138D" w:rsidRDefault="0024693B" w:rsidP="0002290A">
      <w:pPr>
        <w:spacing w:before="120"/>
        <w:jc w:val="both"/>
        <w:rPr>
          <w:rFonts w:ascii="Calibri" w:hAnsi="Calibri" w:cs="Calibri"/>
        </w:rPr>
      </w:pPr>
      <w:r w:rsidRPr="00E7138D">
        <w:rPr>
          <w:rFonts w:ascii="Calibri" w:hAnsi="Calibri" w:cs="Calibri"/>
          <w:u w:val="single"/>
        </w:rPr>
        <w:t>Ukazatel doby obratu pohledávek</w:t>
      </w:r>
      <w:r w:rsidRPr="00E7138D">
        <w:rPr>
          <w:rFonts w:ascii="Calibri" w:hAnsi="Calibri" w:cs="Calibri"/>
        </w:rPr>
        <w:t xml:space="preserve"> měří průměrný počet dnů, za který podnik obdrží platbu od</w:t>
      </w:r>
      <w:r w:rsidR="00431F65">
        <w:rPr>
          <w:rFonts w:ascii="Calibri" w:hAnsi="Calibri" w:cs="Calibri"/>
        </w:rPr>
        <w:t xml:space="preserve"> </w:t>
      </w:r>
      <w:r w:rsidRPr="00E7138D">
        <w:rPr>
          <w:rFonts w:ascii="Calibri" w:hAnsi="Calibri" w:cs="Calibri"/>
        </w:rPr>
        <w:t xml:space="preserve">odběratelů. Nejkratší doby obratu pohledávek dosáhly HL </w:t>
      </w:r>
      <w:r w:rsidRPr="00E7138D">
        <w:rPr>
          <w:rFonts w:ascii="Calibri" w:hAnsi="Calibri" w:cs="Calibri"/>
          <w:color w:val="000000"/>
        </w:rPr>
        <w:t>Karlova Studánka</w:t>
      </w:r>
      <w:r w:rsidRPr="00E7138D">
        <w:rPr>
          <w:rFonts w:ascii="Calibri" w:hAnsi="Calibri" w:cs="Calibri"/>
        </w:rPr>
        <w:t xml:space="preserve"> a SLL </w:t>
      </w:r>
      <w:r w:rsidRPr="00E7138D">
        <w:rPr>
          <w:rFonts w:ascii="Calibri" w:hAnsi="Calibri" w:cs="Calibri"/>
          <w:color w:val="000000"/>
        </w:rPr>
        <w:t>Janské Lázně</w:t>
      </w:r>
      <w:r w:rsidRPr="00E7138D">
        <w:rPr>
          <w:rFonts w:ascii="Calibri" w:hAnsi="Calibri" w:cs="Calibri"/>
        </w:rPr>
        <w:t xml:space="preserve"> v roce 2012, kdy u HL </w:t>
      </w:r>
      <w:r w:rsidRPr="00E7138D">
        <w:rPr>
          <w:rFonts w:ascii="Calibri" w:hAnsi="Calibri" w:cs="Calibri"/>
          <w:color w:val="000000"/>
        </w:rPr>
        <w:t>Karlova Studánka</w:t>
      </w:r>
      <w:r w:rsidRPr="00E7138D">
        <w:rPr>
          <w:rFonts w:ascii="Calibri" w:hAnsi="Calibri" w:cs="Calibri"/>
        </w:rPr>
        <w:t xml:space="preserve"> činila 15,78 dnů a u SLL </w:t>
      </w:r>
      <w:r w:rsidRPr="00E7138D">
        <w:rPr>
          <w:rFonts w:ascii="Calibri" w:hAnsi="Calibri" w:cs="Calibri"/>
          <w:color w:val="000000"/>
        </w:rPr>
        <w:t>Janské Lázně</w:t>
      </w:r>
      <w:r w:rsidRPr="00E7138D">
        <w:rPr>
          <w:rFonts w:ascii="Calibri" w:hAnsi="Calibri" w:cs="Calibri"/>
        </w:rPr>
        <w:t xml:space="preserve"> činila 24,94 dnů, v následujících letech se hodnota ukazatele u obou státních podniků zvyšovala až na 38,23 dnů (HL </w:t>
      </w:r>
      <w:r w:rsidRPr="00E7138D">
        <w:rPr>
          <w:rFonts w:ascii="Calibri" w:hAnsi="Calibri" w:cs="Calibri"/>
          <w:color w:val="000000"/>
        </w:rPr>
        <w:t>Karlova Studánka</w:t>
      </w:r>
      <w:r w:rsidRPr="00E7138D">
        <w:rPr>
          <w:rFonts w:ascii="Calibri" w:hAnsi="Calibri" w:cs="Calibri"/>
        </w:rPr>
        <w:t xml:space="preserve">) a na 45,63 dnů (SLL </w:t>
      </w:r>
      <w:r w:rsidRPr="00E7138D">
        <w:rPr>
          <w:rFonts w:ascii="Calibri" w:hAnsi="Calibri" w:cs="Calibri"/>
          <w:color w:val="000000"/>
        </w:rPr>
        <w:t>Janské Lázně</w:t>
      </w:r>
      <w:r w:rsidR="003C4A8B">
        <w:rPr>
          <w:rFonts w:ascii="Calibri" w:hAnsi="Calibri" w:cs="Calibri"/>
        </w:rPr>
        <w:t>) v roce 2015. U SLL </w:t>
      </w:r>
      <w:r w:rsidRPr="00E7138D">
        <w:rPr>
          <w:rFonts w:ascii="Calibri" w:hAnsi="Calibri" w:cs="Calibri"/>
        </w:rPr>
        <w:t>Bludov zaznamenala doba obratu pohledávek vysoké hodnoty v rozmezí 107,33 až 266,67 dnů v letech 2011 až 2014 vlivem rostoucích pohledávek za nájemné placené do</w:t>
      </w:r>
      <w:r w:rsidR="00431F65">
        <w:rPr>
          <w:rFonts w:ascii="Calibri" w:hAnsi="Calibri" w:cs="Calibri"/>
        </w:rPr>
        <w:t xml:space="preserve"> </w:t>
      </w:r>
      <w:r w:rsidRPr="00E7138D">
        <w:rPr>
          <w:rFonts w:ascii="Calibri" w:hAnsi="Calibri" w:cs="Calibri"/>
        </w:rPr>
        <w:t>soudní úschovy, které byly vyrovnány v roce 2015, a ukazatel doby obratu pohledávek tak klesl na</w:t>
      </w:r>
      <w:r w:rsidR="00431F65">
        <w:rPr>
          <w:rFonts w:ascii="Calibri" w:hAnsi="Calibri" w:cs="Calibri"/>
        </w:rPr>
        <w:t xml:space="preserve"> </w:t>
      </w:r>
      <w:r w:rsidRPr="00E7138D">
        <w:rPr>
          <w:rFonts w:ascii="Calibri" w:hAnsi="Calibri" w:cs="Calibri"/>
        </w:rPr>
        <w:t>24,79 dnů.</w:t>
      </w:r>
      <w:r w:rsidRPr="00E7138D">
        <w:rPr>
          <w:rFonts w:ascii="Calibri" w:hAnsi="Calibri" w:cs="Calibri"/>
          <w:szCs w:val="20"/>
        </w:rPr>
        <w:t xml:space="preserve"> Doba obratu pohledávek se ve sledovaném pětiletém období u státního podniku </w:t>
      </w:r>
      <w:r w:rsidRPr="00E7138D">
        <w:rPr>
          <w:rFonts w:ascii="Calibri" w:hAnsi="Calibri" w:cs="Calibri"/>
          <w:color w:val="000000"/>
        </w:rPr>
        <w:t>BALMED Praha</w:t>
      </w:r>
      <w:r w:rsidRPr="00E7138D">
        <w:rPr>
          <w:rFonts w:ascii="Calibri" w:hAnsi="Calibri" w:cs="Calibri"/>
          <w:szCs w:val="20"/>
        </w:rPr>
        <w:t xml:space="preserve"> pohybovala v rozmezí cca 162 až 1 241 dnů. Takto vysoké hodnoty ukazatele doby obratu pohledávek byly způsobeny vysokým zůstatkem krátkodobých pohledávek a nízkou výší denních tržeb. V roce 2011 byla výše doby obratu pohledávek způsobena vlivem zachycení pohledávky vymáhané soudně. V roce 2015 došlo ke snížení doby obratu pohledávek oproti roku 2011.</w:t>
      </w:r>
    </w:p>
    <w:p w14:paraId="31D501A3" w14:textId="77777777" w:rsidR="00D55F31" w:rsidRPr="00E7138D" w:rsidRDefault="0024693B" w:rsidP="0002290A">
      <w:pPr>
        <w:spacing w:before="120"/>
        <w:jc w:val="both"/>
        <w:rPr>
          <w:rFonts w:ascii="Calibri" w:hAnsi="Calibri" w:cs="Calibri"/>
          <w:sz w:val="28"/>
        </w:rPr>
      </w:pPr>
      <w:r w:rsidRPr="00E7138D">
        <w:rPr>
          <w:rFonts w:ascii="Calibri" w:hAnsi="Calibri" w:cs="Calibri"/>
          <w:u w:val="single"/>
        </w:rPr>
        <w:t>Ukazatel doby obratu krátkodobých závazků</w:t>
      </w:r>
      <w:r w:rsidRPr="00E7138D">
        <w:rPr>
          <w:rFonts w:ascii="Calibri" w:hAnsi="Calibri" w:cs="Calibri"/>
        </w:rPr>
        <w:t xml:space="preserve"> vypovídá o tom, jak rychle podnik dokáže splácet své závazky. Jedná se o platební morálku podniku vůči jeho dodavatelům. Doba obratu krátkodobých závazků se u SLL </w:t>
      </w:r>
      <w:r w:rsidRPr="00E7138D">
        <w:rPr>
          <w:rFonts w:ascii="Calibri" w:hAnsi="Calibri" w:cs="Calibri"/>
          <w:color w:val="000000"/>
        </w:rPr>
        <w:t>Janské Lázně</w:t>
      </w:r>
      <w:r w:rsidRPr="00E7138D">
        <w:rPr>
          <w:rFonts w:ascii="Calibri" w:hAnsi="Calibri" w:cs="Calibri"/>
        </w:rPr>
        <w:t xml:space="preserve"> v období let 2011 až 2015 postupně zvyšovala z 35,25 dnů až na 48,64 dnů. Doba obratu krátkodobých závazků se u HL </w:t>
      </w:r>
      <w:r w:rsidRPr="00E7138D">
        <w:rPr>
          <w:rFonts w:ascii="Calibri" w:hAnsi="Calibri" w:cs="Calibri"/>
          <w:color w:val="000000"/>
        </w:rPr>
        <w:t>Karlova Studánka</w:t>
      </w:r>
      <w:r w:rsidRPr="00E7138D">
        <w:rPr>
          <w:rFonts w:ascii="Calibri" w:hAnsi="Calibri" w:cs="Calibri"/>
        </w:rPr>
        <w:t xml:space="preserve"> a SLL Bludov v období let 2011 až 2013 postupně zvyšovala z 68,76 na 85,34 dnů u HL </w:t>
      </w:r>
      <w:r w:rsidRPr="00E7138D">
        <w:rPr>
          <w:rFonts w:ascii="Calibri" w:hAnsi="Calibri" w:cs="Calibri"/>
          <w:color w:val="000000"/>
        </w:rPr>
        <w:t>Karlova Studánka</w:t>
      </w:r>
      <w:r w:rsidRPr="00E7138D">
        <w:rPr>
          <w:rFonts w:ascii="Calibri" w:hAnsi="Calibri" w:cs="Calibri"/>
        </w:rPr>
        <w:t xml:space="preserve"> a z 98,83 až na 276,43 dnů u SLL Bludov, v následujících letech došlo k poklesu.</w:t>
      </w:r>
      <w:r w:rsidRPr="00E7138D">
        <w:rPr>
          <w:rFonts w:ascii="Calibri" w:hAnsi="Calibri" w:cs="Calibri"/>
          <w:szCs w:val="20"/>
        </w:rPr>
        <w:t xml:space="preserve"> Doba obratu krátkodobých závazků se ve sledovaném pětiletém období u </w:t>
      </w:r>
      <w:r w:rsidRPr="00E7138D">
        <w:rPr>
          <w:rFonts w:ascii="Calibri" w:hAnsi="Calibri" w:cs="Calibri"/>
          <w:color w:val="000000"/>
        </w:rPr>
        <w:t>BALMED Praha</w:t>
      </w:r>
      <w:r w:rsidRPr="00E7138D">
        <w:rPr>
          <w:rFonts w:ascii="Calibri" w:hAnsi="Calibri" w:cs="Calibri"/>
          <w:szCs w:val="20"/>
        </w:rPr>
        <w:t xml:space="preserve"> pohybovala v rozmezí 19,25 až 134,07 dnů.</w:t>
      </w:r>
    </w:p>
    <w:p w14:paraId="53ACA03B" w14:textId="77777777" w:rsidR="00D55F31" w:rsidRPr="00E7138D" w:rsidRDefault="0024693B" w:rsidP="0002290A">
      <w:pPr>
        <w:spacing w:before="120"/>
        <w:jc w:val="both"/>
        <w:rPr>
          <w:rFonts w:ascii="Calibri" w:hAnsi="Calibri" w:cs="Calibri"/>
          <w:b/>
        </w:rPr>
      </w:pPr>
      <w:r w:rsidRPr="00E7138D">
        <w:rPr>
          <w:rFonts w:ascii="Calibri" w:hAnsi="Calibri" w:cs="Calibri"/>
          <w:b/>
        </w:rPr>
        <w:t xml:space="preserve">Z hlediska ukazatelů ekonomické aktivity na základě ukazatele obratu celkového kapitálu došlo v roce 2015 ke zrychlení obratu celkového kapitálu oproti roku 2011. </w:t>
      </w:r>
    </w:p>
    <w:p w14:paraId="208BE55B" w14:textId="77777777" w:rsidR="00D55F31" w:rsidRPr="00E7138D" w:rsidRDefault="0024693B" w:rsidP="0002290A">
      <w:pPr>
        <w:rPr>
          <w:rFonts w:ascii="Calibri" w:eastAsia="Calibri" w:hAnsi="Calibri" w:cs="Calibri"/>
          <w:b/>
        </w:rPr>
      </w:pPr>
      <w:r w:rsidRPr="00E7138D">
        <w:rPr>
          <w:rFonts w:ascii="Calibri" w:eastAsia="Calibri" w:hAnsi="Calibri" w:cs="Calibri"/>
          <w:b/>
        </w:rPr>
        <w:br w:type="page"/>
      </w:r>
    </w:p>
    <w:p w14:paraId="31EA9972" w14:textId="77777777" w:rsidR="00D55F31" w:rsidRPr="00E7138D" w:rsidRDefault="003C4A8B" w:rsidP="0002290A">
      <w:pPr>
        <w:tabs>
          <w:tab w:val="left" w:pos="284"/>
        </w:tabs>
        <w:spacing w:after="120"/>
        <w:jc w:val="right"/>
        <w:rPr>
          <w:rFonts w:ascii="Calibri" w:eastAsia="Calibri" w:hAnsi="Calibri" w:cs="Calibri"/>
          <w:b/>
        </w:rPr>
      </w:pPr>
      <w:r>
        <w:rPr>
          <w:rFonts w:ascii="Calibri" w:eastAsia="Calibri" w:hAnsi="Calibri" w:cs="Calibri"/>
          <w:b/>
        </w:rPr>
        <w:lastRenderedPageBreak/>
        <w:t>PŘÍLOHA č. 2</w:t>
      </w:r>
    </w:p>
    <w:p w14:paraId="100D6589" w14:textId="77777777" w:rsidR="00D55F31" w:rsidRPr="00E7138D" w:rsidRDefault="0024693B" w:rsidP="0002290A">
      <w:pPr>
        <w:rPr>
          <w:rFonts w:ascii="Calibri" w:eastAsia="Calibri" w:hAnsi="Calibri" w:cs="Calibri"/>
          <w:b/>
        </w:rPr>
      </w:pPr>
      <w:r w:rsidRPr="00E7138D">
        <w:rPr>
          <w:rFonts w:ascii="Calibri" w:hAnsi="Calibri" w:cs="Calibri"/>
          <w:b/>
          <w:bCs/>
          <w:u w:val="single"/>
        </w:rPr>
        <w:t>Veřejné zakázky SLL Janské Lázně</w:t>
      </w:r>
    </w:p>
    <w:p w14:paraId="6CFCF84E" w14:textId="77777777" w:rsidR="00D55F31" w:rsidRPr="00E7138D" w:rsidRDefault="0024693B" w:rsidP="0002290A">
      <w:pPr>
        <w:spacing w:before="120"/>
        <w:jc w:val="both"/>
        <w:rPr>
          <w:rFonts w:ascii="Calibri" w:hAnsi="Calibri" w:cs="Calibri"/>
          <w:bCs/>
        </w:rPr>
      </w:pPr>
      <w:r w:rsidRPr="00E7138D">
        <w:rPr>
          <w:rFonts w:ascii="Calibri" w:hAnsi="Calibri" w:cs="Calibri"/>
          <w:bCs/>
        </w:rPr>
        <w:t xml:space="preserve">V průběhu kontroly bylo porovnáno celkem 82 veřejných zakázek zadaných mimo e-tržiště v rámci veřejných zakázek malého rozsahu, podlimitních a nadlimitních zakázek zadaných v kontrolovaném období, a to v celkové předpokládané hodnotě 138 379,3 tis. Kč bez DPH. </w:t>
      </w:r>
    </w:p>
    <w:p w14:paraId="3FCEC9BD" w14:textId="62B5D46B" w:rsidR="00D55F31" w:rsidRPr="00E7138D" w:rsidRDefault="0024693B" w:rsidP="000C7B00">
      <w:pPr>
        <w:spacing w:before="240" w:after="40"/>
        <w:ind w:left="1418" w:hanging="1418"/>
        <w:jc w:val="both"/>
        <w:rPr>
          <w:rFonts w:ascii="Calibri" w:hAnsi="Calibri" w:cs="Calibri"/>
          <w:b/>
        </w:rPr>
      </w:pPr>
      <w:r w:rsidRPr="00E7138D">
        <w:rPr>
          <w:rFonts w:ascii="Calibri" w:hAnsi="Calibri" w:cs="Calibri"/>
          <w:b/>
        </w:rPr>
        <w:t xml:space="preserve">Tabulka č. 1 – </w:t>
      </w:r>
      <w:r w:rsidR="000C7B00">
        <w:rPr>
          <w:rFonts w:ascii="Calibri" w:hAnsi="Calibri" w:cs="Calibri"/>
          <w:b/>
        </w:rPr>
        <w:tab/>
      </w:r>
      <w:r w:rsidRPr="00E7138D">
        <w:rPr>
          <w:rFonts w:ascii="Calibri" w:hAnsi="Calibri" w:cs="Calibri"/>
          <w:b/>
        </w:rPr>
        <w:t xml:space="preserve">SLL Janské Lázně – souhrn VZ </w:t>
      </w:r>
      <w:r w:rsidRPr="00E7138D">
        <w:rPr>
          <w:rFonts w:ascii="Calibri" w:hAnsi="Calibri" w:cs="Calibri"/>
          <w:b/>
          <w:bCs/>
        </w:rPr>
        <w:t xml:space="preserve">zadaných v rámci veřejných zakázek malého rozsahu, podlimitních a nadlimitních zakázek </w:t>
      </w:r>
    </w:p>
    <w:tbl>
      <w:tblPr>
        <w:tblW w:w="4971"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742"/>
        <w:gridCol w:w="1730"/>
        <w:gridCol w:w="2922"/>
        <w:gridCol w:w="2596"/>
      </w:tblGrid>
      <w:tr w:rsidR="00C425F2" w:rsidRPr="00E7138D" w14:paraId="11F1A382" w14:textId="77777777" w:rsidTr="00DA0573">
        <w:trPr>
          <w:trHeight w:val="510"/>
        </w:trPr>
        <w:tc>
          <w:tcPr>
            <w:tcW w:w="969" w:type="pct"/>
            <w:shd w:val="clear" w:color="auto" w:fill="C6D9F1" w:themeFill="text2" w:themeFillTint="33"/>
            <w:noWrap/>
            <w:vAlign w:val="center"/>
            <w:hideMark/>
          </w:tcPr>
          <w:p w14:paraId="7B1E25CF" w14:textId="77777777" w:rsidR="00D55F31" w:rsidRPr="00E7138D" w:rsidRDefault="0024693B" w:rsidP="0002290A">
            <w:pPr>
              <w:jc w:val="center"/>
              <w:rPr>
                <w:rFonts w:ascii="Calibri" w:hAnsi="Calibri" w:cs="Calibri"/>
                <w:b/>
                <w:sz w:val="20"/>
                <w:szCs w:val="20"/>
                <w:lang w:eastAsia="cs-CZ"/>
              </w:rPr>
            </w:pPr>
            <w:r w:rsidRPr="00E7138D">
              <w:rPr>
                <w:rFonts w:ascii="Calibri" w:hAnsi="Calibri" w:cs="Calibri"/>
                <w:b/>
                <w:sz w:val="20"/>
                <w:szCs w:val="20"/>
                <w:lang w:eastAsia="cs-CZ"/>
              </w:rPr>
              <w:t>Rok</w:t>
            </w:r>
          </w:p>
        </w:tc>
        <w:tc>
          <w:tcPr>
            <w:tcW w:w="962" w:type="pct"/>
            <w:shd w:val="clear" w:color="auto" w:fill="C6D9F1" w:themeFill="text2" w:themeFillTint="33"/>
            <w:vAlign w:val="center"/>
            <w:hideMark/>
          </w:tcPr>
          <w:p w14:paraId="4E9D6159" w14:textId="77777777" w:rsidR="00D55F31" w:rsidRPr="00E7138D" w:rsidRDefault="0024693B" w:rsidP="0002290A">
            <w:pPr>
              <w:jc w:val="center"/>
              <w:rPr>
                <w:rFonts w:ascii="Calibri" w:hAnsi="Calibri" w:cs="Calibri"/>
                <w:b/>
                <w:sz w:val="20"/>
                <w:szCs w:val="20"/>
                <w:lang w:eastAsia="cs-CZ"/>
              </w:rPr>
            </w:pPr>
            <w:r w:rsidRPr="00E7138D">
              <w:rPr>
                <w:rFonts w:ascii="Calibri" w:hAnsi="Calibri" w:cs="Calibri"/>
                <w:b/>
                <w:sz w:val="20"/>
                <w:szCs w:val="20"/>
                <w:lang w:eastAsia="cs-CZ"/>
              </w:rPr>
              <w:t>Počet VZ</w:t>
            </w:r>
          </w:p>
        </w:tc>
        <w:tc>
          <w:tcPr>
            <w:tcW w:w="1625" w:type="pct"/>
            <w:shd w:val="clear" w:color="auto" w:fill="C6D9F1" w:themeFill="text2" w:themeFillTint="33"/>
            <w:vAlign w:val="center"/>
            <w:hideMark/>
          </w:tcPr>
          <w:p w14:paraId="06AC6396" w14:textId="77777777" w:rsidR="00D55F31" w:rsidRPr="00E7138D" w:rsidRDefault="0024693B" w:rsidP="0002290A">
            <w:pPr>
              <w:jc w:val="center"/>
              <w:rPr>
                <w:rFonts w:ascii="Calibri" w:hAnsi="Calibri" w:cs="Calibri"/>
                <w:b/>
                <w:bCs/>
                <w:sz w:val="20"/>
                <w:szCs w:val="20"/>
                <w:lang w:eastAsia="cs-CZ"/>
              </w:rPr>
            </w:pPr>
            <w:r w:rsidRPr="00E7138D">
              <w:rPr>
                <w:rFonts w:ascii="Calibri" w:hAnsi="Calibri" w:cs="Calibri"/>
                <w:b/>
                <w:bCs/>
                <w:sz w:val="20"/>
                <w:szCs w:val="20"/>
                <w:lang w:eastAsia="cs-CZ"/>
              </w:rPr>
              <w:t>Předpokládaná hodnota</w:t>
            </w:r>
          </w:p>
          <w:p w14:paraId="1E751336" w14:textId="74A2FEFC" w:rsidR="00D55F31" w:rsidRPr="00E7138D" w:rsidRDefault="0024693B" w:rsidP="0002290A">
            <w:pPr>
              <w:jc w:val="center"/>
              <w:rPr>
                <w:rFonts w:ascii="Calibri" w:hAnsi="Calibri" w:cs="Calibri"/>
                <w:b/>
                <w:bCs/>
                <w:sz w:val="20"/>
                <w:szCs w:val="20"/>
                <w:lang w:eastAsia="cs-CZ"/>
              </w:rPr>
            </w:pPr>
            <w:r w:rsidRPr="00E7138D">
              <w:rPr>
                <w:rFonts w:ascii="Calibri" w:hAnsi="Calibri" w:cs="Calibri"/>
                <w:b/>
                <w:bCs/>
                <w:sz w:val="20"/>
                <w:szCs w:val="20"/>
                <w:lang w:eastAsia="cs-CZ"/>
              </w:rPr>
              <w:t>(</w:t>
            </w:r>
            <w:r w:rsidR="000C7B00">
              <w:rPr>
                <w:rFonts w:ascii="Calibri" w:hAnsi="Calibri" w:cs="Calibri"/>
                <w:b/>
                <w:bCs/>
                <w:sz w:val="20"/>
                <w:szCs w:val="20"/>
                <w:lang w:eastAsia="cs-CZ"/>
              </w:rPr>
              <w:t>v </w:t>
            </w:r>
            <w:r w:rsidRPr="00E7138D">
              <w:rPr>
                <w:rFonts w:ascii="Calibri" w:hAnsi="Calibri" w:cs="Calibri"/>
                <w:b/>
                <w:bCs/>
                <w:sz w:val="20"/>
                <w:szCs w:val="20"/>
                <w:lang w:eastAsia="cs-CZ"/>
              </w:rPr>
              <w:t>Kč bez DPH)</w:t>
            </w:r>
          </w:p>
        </w:tc>
        <w:tc>
          <w:tcPr>
            <w:tcW w:w="1444" w:type="pct"/>
            <w:shd w:val="clear" w:color="auto" w:fill="C6D9F1" w:themeFill="text2" w:themeFillTint="33"/>
            <w:vAlign w:val="center"/>
            <w:hideMark/>
          </w:tcPr>
          <w:p w14:paraId="0C6ECE6B" w14:textId="2C1CFBE4" w:rsidR="00D55F31" w:rsidRPr="00E7138D" w:rsidRDefault="0024693B" w:rsidP="0002290A">
            <w:pPr>
              <w:jc w:val="center"/>
              <w:rPr>
                <w:rFonts w:ascii="Calibri" w:hAnsi="Calibri" w:cs="Calibri"/>
                <w:b/>
                <w:bCs/>
                <w:sz w:val="20"/>
                <w:szCs w:val="20"/>
                <w:lang w:eastAsia="cs-CZ"/>
              </w:rPr>
            </w:pPr>
            <w:proofErr w:type="spellStart"/>
            <w:r w:rsidRPr="00E7138D">
              <w:rPr>
                <w:rFonts w:ascii="Calibri" w:hAnsi="Calibri" w:cs="Calibri"/>
                <w:b/>
                <w:bCs/>
                <w:sz w:val="20"/>
                <w:szCs w:val="20"/>
                <w:lang w:eastAsia="cs-CZ"/>
              </w:rPr>
              <w:t>Vysoutěžená</w:t>
            </w:r>
            <w:proofErr w:type="spellEnd"/>
            <w:r w:rsidRPr="00E7138D">
              <w:rPr>
                <w:rFonts w:ascii="Calibri" w:hAnsi="Calibri" w:cs="Calibri"/>
                <w:b/>
                <w:bCs/>
                <w:sz w:val="20"/>
                <w:szCs w:val="20"/>
                <w:lang w:eastAsia="cs-CZ"/>
              </w:rPr>
              <w:t xml:space="preserve"> cena</w:t>
            </w:r>
            <w:r w:rsidRPr="00E7138D">
              <w:rPr>
                <w:rFonts w:ascii="Calibri" w:hAnsi="Calibri" w:cs="Calibri"/>
                <w:b/>
                <w:bCs/>
                <w:sz w:val="20"/>
                <w:szCs w:val="20"/>
                <w:lang w:eastAsia="cs-CZ"/>
              </w:rPr>
              <w:br/>
              <w:t>(</w:t>
            </w:r>
            <w:r w:rsidR="000C7B00">
              <w:rPr>
                <w:rFonts w:ascii="Calibri" w:hAnsi="Calibri" w:cs="Calibri"/>
                <w:b/>
                <w:bCs/>
                <w:sz w:val="20"/>
                <w:szCs w:val="20"/>
                <w:lang w:eastAsia="cs-CZ"/>
              </w:rPr>
              <w:t>v </w:t>
            </w:r>
            <w:r w:rsidRPr="00E7138D">
              <w:rPr>
                <w:rFonts w:ascii="Calibri" w:hAnsi="Calibri" w:cs="Calibri"/>
                <w:b/>
                <w:bCs/>
                <w:sz w:val="20"/>
                <w:szCs w:val="20"/>
                <w:lang w:eastAsia="cs-CZ"/>
              </w:rPr>
              <w:t>Kč bez DPH)</w:t>
            </w:r>
          </w:p>
        </w:tc>
      </w:tr>
      <w:tr w:rsidR="00C425F2" w:rsidRPr="00E7138D" w14:paraId="12FE7AC2" w14:textId="77777777" w:rsidTr="00DA0573">
        <w:trPr>
          <w:trHeight w:val="283"/>
        </w:trPr>
        <w:tc>
          <w:tcPr>
            <w:tcW w:w="969" w:type="pct"/>
            <w:noWrap/>
            <w:vAlign w:val="center"/>
            <w:hideMark/>
          </w:tcPr>
          <w:p w14:paraId="7E1A7463" w14:textId="77777777" w:rsidR="00D55F31" w:rsidRPr="00E7138D" w:rsidRDefault="0024693B" w:rsidP="0002290A">
            <w:pPr>
              <w:jc w:val="center"/>
              <w:rPr>
                <w:rFonts w:ascii="Calibri" w:hAnsi="Calibri" w:cs="Calibri"/>
                <w:sz w:val="20"/>
                <w:szCs w:val="20"/>
                <w:lang w:eastAsia="cs-CZ"/>
              </w:rPr>
            </w:pPr>
            <w:r w:rsidRPr="00E7138D">
              <w:rPr>
                <w:rFonts w:ascii="Calibri" w:hAnsi="Calibri" w:cs="Calibri"/>
                <w:sz w:val="20"/>
                <w:szCs w:val="20"/>
                <w:lang w:eastAsia="cs-CZ"/>
              </w:rPr>
              <w:t>2013</w:t>
            </w:r>
          </w:p>
        </w:tc>
        <w:tc>
          <w:tcPr>
            <w:tcW w:w="962" w:type="pct"/>
            <w:noWrap/>
            <w:vAlign w:val="center"/>
          </w:tcPr>
          <w:p w14:paraId="57EFE2B7" w14:textId="77777777" w:rsidR="00D55F31" w:rsidRPr="00E7138D" w:rsidRDefault="0024693B" w:rsidP="0002290A">
            <w:pPr>
              <w:ind w:right="57"/>
              <w:jc w:val="center"/>
              <w:rPr>
                <w:rFonts w:ascii="Calibri" w:hAnsi="Calibri" w:cs="Calibri"/>
                <w:sz w:val="20"/>
                <w:szCs w:val="20"/>
                <w:lang w:eastAsia="cs-CZ"/>
              </w:rPr>
            </w:pPr>
            <w:r w:rsidRPr="00E7138D">
              <w:rPr>
                <w:rFonts w:ascii="Calibri" w:hAnsi="Calibri" w:cs="Calibri"/>
                <w:sz w:val="20"/>
                <w:szCs w:val="20"/>
                <w:lang w:eastAsia="cs-CZ"/>
              </w:rPr>
              <w:t>13</w:t>
            </w:r>
          </w:p>
        </w:tc>
        <w:tc>
          <w:tcPr>
            <w:tcW w:w="1625" w:type="pct"/>
            <w:noWrap/>
            <w:vAlign w:val="center"/>
          </w:tcPr>
          <w:p w14:paraId="28D95DEC" w14:textId="77777777" w:rsidR="00D55F31" w:rsidRPr="00E7138D" w:rsidRDefault="0024693B" w:rsidP="0002290A">
            <w:pPr>
              <w:ind w:right="57"/>
              <w:jc w:val="right"/>
              <w:rPr>
                <w:rFonts w:ascii="Calibri" w:hAnsi="Calibri" w:cs="Calibri"/>
                <w:sz w:val="20"/>
                <w:szCs w:val="20"/>
                <w:lang w:eastAsia="cs-CZ"/>
              </w:rPr>
            </w:pPr>
            <w:r w:rsidRPr="00E7138D">
              <w:rPr>
                <w:rFonts w:ascii="Calibri" w:hAnsi="Calibri" w:cs="Calibri"/>
                <w:sz w:val="20"/>
                <w:szCs w:val="20"/>
                <w:lang w:eastAsia="cs-CZ"/>
              </w:rPr>
              <w:t>35 767 480,00</w:t>
            </w:r>
          </w:p>
        </w:tc>
        <w:tc>
          <w:tcPr>
            <w:tcW w:w="1444" w:type="pct"/>
            <w:noWrap/>
            <w:vAlign w:val="center"/>
          </w:tcPr>
          <w:p w14:paraId="35F4FF9A" w14:textId="77777777" w:rsidR="00D55F31" w:rsidRPr="00E7138D" w:rsidRDefault="0024693B" w:rsidP="0002290A">
            <w:pPr>
              <w:ind w:right="57"/>
              <w:jc w:val="right"/>
              <w:rPr>
                <w:rFonts w:ascii="Calibri" w:hAnsi="Calibri" w:cs="Calibri"/>
                <w:sz w:val="20"/>
                <w:szCs w:val="20"/>
                <w:lang w:eastAsia="cs-CZ"/>
              </w:rPr>
            </w:pPr>
            <w:r w:rsidRPr="00E7138D">
              <w:rPr>
                <w:rFonts w:ascii="Calibri" w:hAnsi="Calibri" w:cs="Calibri"/>
                <w:sz w:val="20"/>
                <w:szCs w:val="20"/>
                <w:lang w:eastAsia="cs-CZ"/>
              </w:rPr>
              <w:t>29 667 437,74</w:t>
            </w:r>
          </w:p>
        </w:tc>
      </w:tr>
      <w:tr w:rsidR="00C425F2" w:rsidRPr="00E7138D" w14:paraId="318E8456" w14:textId="77777777" w:rsidTr="00DA0573">
        <w:trPr>
          <w:trHeight w:val="283"/>
        </w:trPr>
        <w:tc>
          <w:tcPr>
            <w:tcW w:w="969" w:type="pct"/>
            <w:noWrap/>
            <w:vAlign w:val="center"/>
            <w:hideMark/>
          </w:tcPr>
          <w:p w14:paraId="47B826B7" w14:textId="77777777" w:rsidR="00D55F31" w:rsidRPr="00E7138D" w:rsidRDefault="0024693B" w:rsidP="0002290A">
            <w:pPr>
              <w:jc w:val="center"/>
              <w:rPr>
                <w:rFonts w:ascii="Calibri" w:hAnsi="Calibri" w:cs="Calibri"/>
                <w:sz w:val="20"/>
                <w:szCs w:val="20"/>
                <w:lang w:eastAsia="cs-CZ"/>
              </w:rPr>
            </w:pPr>
            <w:r w:rsidRPr="00E7138D">
              <w:rPr>
                <w:rFonts w:ascii="Calibri" w:hAnsi="Calibri" w:cs="Calibri"/>
                <w:sz w:val="20"/>
                <w:szCs w:val="20"/>
                <w:lang w:eastAsia="cs-CZ"/>
              </w:rPr>
              <w:t>2014</w:t>
            </w:r>
          </w:p>
        </w:tc>
        <w:tc>
          <w:tcPr>
            <w:tcW w:w="962" w:type="pct"/>
            <w:noWrap/>
            <w:vAlign w:val="center"/>
          </w:tcPr>
          <w:p w14:paraId="7EB203D5" w14:textId="77777777" w:rsidR="00D55F31" w:rsidRPr="00E7138D" w:rsidRDefault="0024693B" w:rsidP="0002290A">
            <w:pPr>
              <w:ind w:right="57"/>
              <w:jc w:val="center"/>
              <w:rPr>
                <w:rFonts w:ascii="Calibri" w:hAnsi="Calibri" w:cs="Calibri"/>
                <w:sz w:val="20"/>
                <w:szCs w:val="20"/>
                <w:lang w:eastAsia="cs-CZ"/>
              </w:rPr>
            </w:pPr>
            <w:r w:rsidRPr="00E7138D">
              <w:rPr>
                <w:rFonts w:ascii="Calibri" w:hAnsi="Calibri" w:cs="Calibri"/>
                <w:sz w:val="20"/>
                <w:szCs w:val="20"/>
                <w:lang w:eastAsia="cs-CZ"/>
              </w:rPr>
              <w:t>24</w:t>
            </w:r>
          </w:p>
        </w:tc>
        <w:tc>
          <w:tcPr>
            <w:tcW w:w="1625" w:type="pct"/>
            <w:noWrap/>
            <w:vAlign w:val="center"/>
          </w:tcPr>
          <w:p w14:paraId="0E49FBEA" w14:textId="77777777" w:rsidR="00D55F31" w:rsidRPr="00E7138D" w:rsidRDefault="0024693B" w:rsidP="0002290A">
            <w:pPr>
              <w:ind w:right="57"/>
              <w:jc w:val="right"/>
              <w:rPr>
                <w:rFonts w:ascii="Calibri" w:hAnsi="Calibri" w:cs="Calibri"/>
                <w:sz w:val="20"/>
                <w:szCs w:val="20"/>
                <w:lang w:eastAsia="cs-CZ"/>
              </w:rPr>
            </w:pPr>
            <w:r w:rsidRPr="00E7138D">
              <w:rPr>
                <w:rFonts w:ascii="Calibri" w:hAnsi="Calibri" w:cs="Calibri"/>
                <w:sz w:val="20"/>
                <w:szCs w:val="20"/>
                <w:lang w:eastAsia="cs-CZ"/>
              </w:rPr>
              <w:t>44 082 079,74</w:t>
            </w:r>
          </w:p>
        </w:tc>
        <w:tc>
          <w:tcPr>
            <w:tcW w:w="1444" w:type="pct"/>
            <w:noWrap/>
            <w:vAlign w:val="center"/>
          </w:tcPr>
          <w:p w14:paraId="47520B76" w14:textId="77777777" w:rsidR="00D55F31" w:rsidRPr="00E7138D" w:rsidRDefault="0024693B" w:rsidP="0002290A">
            <w:pPr>
              <w:ind w:right="57"/>
              <w:jc w:val="right"/>
              <w:rPr>
                <w:rFonts w:ascii="Calibri" w:hAnsi="Calibri" w:cs="Calibri"/>
                <w:sz w:val="20"/>
                <w:szCs w:val="20"/>
                <w:lang w:eastAsia="cs-CZ"/>
              </w:rPr>
            </w:pPr>
            <w:r w:rsidRPr="00E7138D">
              <w:rPr>
                <w:rFonts w:ascii="Calibri" w:hAnsi="Calibri" w:cs="Calibri"/>
                <w:sz w:val="20"/>
                <w:szCs w:val="20"/>
                <w:lang w:eastAsia="cs-CZ"/>
              </w:rPr>
              <w:t>34 718 867,98</w:t>
            </w:r>
          </w:p>
        </w:tc>
      </w:tr>
      <w:tr w:rsidR="00C425F2" w:rsidRPr="00E7138D" w14:paraId="6204C0C8" w14:textId="77777777" w:rsidTr="00DA0573">
        <w:trPr>
          <w:trHeight w:val="283"/>
        </w:trPr>
        <w:tc>
          <w:tcPr>
            <w:tcW w:w="969" w:type="pct"/>
            <w:noWrap/>
            <w:vAlign w:val="center"/>
            <w:hideMark/>
          </w:tcPr>
          <w:p w14:paraId="4377A23F" w14:textId="77777777" w:rsidR="00D55F31" w:rsidRPr="00E7138D" w:rsidRDefault="0024693B" w:rsidP="0002290A">
            <w:pPr>
              <w:jc w:val="center"/>
              <w:rPr>
                <w:rFonts w:ascii="Calibri" w:hAnsi="Calibri" w:cs="Calibri"/>
                <w:sz w:val="20"/>
                <w:szCs w:val="20"/>
              </w:rPr>
            </w:pPr>
            <w:r w:rsidRPr="00E7138D">
              <w:rPr>
                <w:rFonts w:ascii="Calibri" w:hAnsi="Calibri" w:cs="Calibri"/>
                <w:sz w:val="20"/>
                <w:szCs w:val="20"/>
              </w:rPr>
              <w:t>2015</w:t>
            </w:r>
          </w:p>
        </w:tc>
        <w:tc>
          <w:tcPr>
            <w:tcW w:w="962" w:type="pct"/>
            <w:noWrap/>
            <w:vAlign w:val="center"/>
          </w:tcPr>
          <w:p w14:paraId="5F981DE8" w14:textId="77777777" w:rsidR="00D55F31" w:rsidRPr="00E7138D" w:rsidRDefault="0024693B" w:rsidP="0002290A">
            <w:pPr>
              <w:ind w:right="57"/>
              <w:jc w:val="center"/>
              <w:rPr>
                <w:rFonts w:ascii="Calibri" w:hAnsi="Calibri" w:cs="Calibri"/>
                <w:sz w:val="20"/>
                <w:szCs w:val="20"/>
              </w:rPr>
            </w:pPr>
            <w:r w:rsidRPr="00E7138D">
              <w:rPr>
                <w:rFonts w:ascii="Calibri" w:hAnsi="Calibri" w:cs="Calibri"/>
                <w:sz w:val="20"/>
                <w:szCs w:val="20"/>
              </w:rPr>
              <w:t>45</w:t>
            </w:r>
          </w:p>
        </w:tc>
        <w:tc>
          <w:tcPr>
            <w:tcW w:w="1625" w:type="pct"/>
            <w:noWrap/>
            <w:vAlign w:val="center"/>
          </w:tcPr>
          <w:p w14:paraId="69C03102" w14:textId="77777777" w:rsidR="00D55F31" w:rsidRPr="00E7138D" w:rsidRDefault="0024693B" w:rsidP="0002290A">
            <w:pPr>
              <w:ind w:right="57"/>
              <w:jc w:val="right"/>
              <w:rPr>
                <w:rFonts w:ascii="Calibri" w:hAnsi="Calibri" w:cs="Calibri"/>
                <w:sz w:val="20"/>
                <w:szCs w:val="20"/>
              </w:rPr>
            </w:pPr>
            <w:r w:rsidRPr="00E7138D">
              <w:rPr>
                <w:rFonts w:ascii="Calibri" w:hAnsi="Calibri" w:cs="Calibri"/>
                <w:sz w:val="20"/>
                <w:szCs w:val="20"/>
              </w:rPr>
              <w:t>58 529 782,27</w:t>
            </w:r>
          </w:p>
        </w:tc>
        <w:tc>
          <w:tcPr>
            <w:tcW w:w="1444" w:type="pct"/>
            <w:noWrap/>
            <w:vAlign w:val="center"/>
          </w:tcPr>
          <w:p w14:paraId="0D2510DE" w14:textId="77777777" w:rsidR="00D55F31" w:rsidRPr="00E7138D" w:rsidRDefault="0024693B" w:rsidP="0002290A">
            <w:pPr>
              <w:ind w:right="57"/>
              <w:jc w:val="right"/>
              <w:rPr>
                <w:rFonts w:ascii="Calibri" w:hAnsi="Calibri" w:cs="Calibri"/>
                <w:sz w:val="20"/>
                <w:szCs w:val="20"/>
              </w:rPr>
            </w:pPr>
            <w:r w:rsidRPr="00E7138D">
              <w:rPr>
                <w:rFonts w:ascii="Calibri" w:hAnsi="Calibri" w:cs="Calibri"/>
                <w:sz w:val="20"/>
                <w:szCs w:val="20"/>
              </w:rPr>
              <w:t>42 862 880,95</w:t>
            </w:r>
          </w:p>
        </w:tc>
      </w:tr>
      <w:tr w:rsidR="00C425F2" w:rsidRPr="00E7138D" w14:paraId="7BA187B0" w14:textId="77777777" w:rsidTr="00DA0573">
        <w:trPr>
          <w:trHeight w:val="283"/>
        </w:trPr>
        <w:tc>
          <w:tcPr>
            <w:tcW w:w="969" w:type="pct"/>
            <w:noWrap/>
            <w:vAlign w:val="center"/>
          </w:tcPr>
          <w:p w14:paraId="6B6491F8" w14:textId="534B67CC" w:rsidR="00D55F31" w:rsidRPr="00E7138D" w:rsidRDefault="000C7B00" w:rsidP="0002290A">
            <w:pPr>
              <w:jc w:val="center"/>
              <w:rPr>
                <w:rFonts w:ascii="Calibri" w:hAnsi="Calibri" w:cs="Calibri"/>
                <w:b/>
                <w:sz w:val="20"/>
                <w:szCs w:val="20"/>
              </w:rPr>
            </w:pPr>
            <w:r>
              <w:rPr>
                <w:rFonts w:ascii="Calibri" w:hAnsi="Calibri" w:cs="Calibri"/>
                <w:b/>
                <w:sz w:val="20"/>
                <w:szCs w:val="20"/>
              </w:rPr>
              <w:t>C</w:t>
            </w:r>
            <w:r w:rsidR="0024693B" w:rsidRPr="00E7138D">
              <w:rPr>
                <w:rFonts w:ascii="Calibri" w:hAnsi="Calibri" w:cs="Calibri"/>
                <w:b/>
                <w:sz w:val="20"/>
                <w:szCs w:val="20"/>
              </w:rPr>
              <w:t>elkem</w:t>
            </w:r>
          </w:p>
        </w:tc>
        <w:tc>
          <w:tcPr>
            <w:tcW w:w="962" w:type="pct"/>
            <w:noWrap/>
            <w:vAlign w:val="center"/>
          </w:tcPr>
          <w:p w14:paraId="0C40C4B8" w14:textId="77777777" w:rsidR="00D55F31" w:rsidRPr="00E7138D" w:rsidRDefault="0024693B" w:rsidP="0002290A">
            <w:pPr>
              <w:ind w:right="57"/>
              <w:jc w:val="center"/>
              <w:rPr>
                <w:rFonts w:ascii="Calibri" w:hAnsi="Calibri" w:cs="Calibri"/>
                <w:b/>
                <w:sz w:val="20"/>
                <w:szCs w:val="20"/>
              </w:rPr>
            </w:pPr>
            <w:r w:rsidRPr="00E7138D">
              <w:rPr>
                <w:rFonts w:ascii="Calibri" w:hAnsi="Calibri" w:cs="Calibri"/>
                <w:b/>
                <w:sz w:val="20"/>
                <w:szCs w:val="20"/>
              </w:rPr>
              <w:t>82</w:t>
            </w:r>
          </w:p>
        </w:tc>
        <w:tc>
          <w:tcPr>
            <w:tcW w:w="1625" w:type="pct"/>
            <w:noWrap/>
            <w:vAlign w:val="center"/>
          </w:tcPr>
          <w:p w14:paraId="2BC7706E" w14:textId="77777777" w:rsidR="00D55F31" w:rsidRPr="00E7138D" w:rsidRDefault="0024693B" w:rsidP="0002290A">
            <w:pPr>
              <w:ind w:right="57"/>
              <w:jc w:val="right"/>
              <w:rPr>
                <w:rFonts w:ascii="Calibri" w:hAnsi="Calibri" w:cs="Calibri"/>
                <w:b/>
                <w:sz w:val="20"/>
                <w:szCs w:val="20"/>
              </w:rPr>
            </w:pPr>
            <w:r w:rsidRPr="00E7138D">
              <w:rPr>
                <w:rFonts w:ascii="Calibri" w:hAnsi="Calibri" w:cs="Calibri"/>
                <w:b/>
                <w:sz w:val="20"/>
                <w:szCs w:val="20"/>
              </w:rPr>
              <w:t>138 379 347,01</w:t>
            </w:r>
          </w:p>
        </w:tc>
        <w:tc>
          <w:tcPr>
            <w:tcW w:w="1444" w:type="pct"/>
            <w:noWrap/>
            <w:vAlign w:val="center"/>
          </w:tcPr>
          <w:p w14:paraId="1D30FE89" w14:textId="77777777" w:rsidR="00D55F31" w:rsidRPr="00E7138D" w:rsidRDefault="0024693B" w:rsidP="0002290A">
            <w:pPr>
              <w:ind w:right="57"/>
              <w:jc w:val="right"/>
              <w:rPr>
                <w:rFonts w:ascii="Calibri" w:hAnsi="Calibri" w:cs="Calibri"/>
                <w:b/>
                <w:sz w:val="20"/>
                <w:szCs w:val="20"/>
              </w:rPr>
            </w:pPr>
            <w:r w:rsidRPr="00E7138D">
              <w:rPr>
                <w:rFonts w:ascii="Calibri" w:hAnsi="Calibri" w:cs="Calibri"/>
                <w:b/>
                <w:sz w:val="20"/>
                <w:szCs w:val="20"/>
              </w:rPr>
              <w:t>107 249 186,67</w:t>
            </w:r>
          </w:p>
        </w:tc>
      </w:tr>
    </w:tbl>
    <w:p w14:paraId="7EDF546F" w14:textId="77777777" w:rsidR="00D55F31" w:rsidRPr="00E7138D" w:rsidRDefault="0024693B" w:rsidP="0002290A">
      <w:pPr>
        <w:spacing w:before="40"/>
        <w:jc w:val="both"/>
        <w:rPr>
          <w:rFonts w:ascii="Calibri" w:hAnsi="Calibri" w:cs="Calibri"/>
          <w:sz w:val="28"/>
        </w:rPr>
      </w:pPr>
      <w:r w:rsidRPr="00E7138D">
        <w:rPr>
          <w:rFonts w:ascii="Calibri" w:hAnsi="Calibri" w:cs="Calibri"/>
          <w:b/>
          <w:sz w:val="20"/>
          <w:szCs w:val="18"/>
        </w:rPr>
        <w:t>Zdroj:</w:t>
      </w:r>
      <w:r w:rsidRPr="00E7138D">
        <w:rPr>
          <w:rFonts w:ascii="Calibri" w:hAnsi="Calibri" w:cs="Calibri"/>
          <w:sz w:val="28"/>
        </w:rPr>
        <w:t xml:space="preserve"> </w:t>
      </w:r>
      <w:r w:rsidRPr="00E7138D">
        <w:rPr>
          <w:rFonts w:ascii="Calibri" w:hAnsi="Calibri" w:cs="Calibri"/>
          <w:sz w:val="20"/>
          <w:szCs w:val="20"/>
        </w:rPr>
        <w:t>p</w:t>
      </w:r>
      <w:r w:rsidRPr="00E7138D">
        <w:rPr>
          <w:rFonts w:ascii="Calibri" w:hAnsi="Calibri" w:cs="Calibri"/>
          <w:bCs/>
          <w:sz w:val="20"/>
          <w:szCs w:val="18"/>
        </w:rPr>
        <w:t>odklady 82 veřejných zakázek předané ke kontrole SLL Janské Lázně.</w:t>
      </w:r>
    </w:p>
    <w:p w14:paraId="58B71CEF" w14:textId="77777777" w:rsidR="00D55F31" w:rsidRPr="00E7138D" w:rsidRDefault="0024693B" w:rsidP="00DA0573">
      <w:pPr>
        <w:spacing w:before="240"/>
        <w:jc w:val="both"/>
        <w:rPr>
          <w:rFonts w:ascii="Calibri" w:hAnsi="Calibri" w:cs="Calibri"/>
          <w:bCs/>
        </w:rPr>
      </w:pPr>
      <w:r w:rsidRPr="00E7138D">
        <w:rPr>
          <w:rFonts w:ascii="Calibri" w:hAnsi="Calibri" w:cs="Calibri"/>
          <w:bCs/>
        </w:rPr>
        <w:t>Z vyhodnocení cen vítězných nabídek ve vztahu k jejich předpokládaným hodnotám vyplynuly tyto skutečnosti:</w:t>
      </w:r>
    </w:p>
    <w:p w14:paraId="03DDEB59" w14:textId="0ED9E244" w:rsidR="00D55F31" w:rsidRPr="00E7138D" w:rsidRDefault="0024693B" w:rsidP="000C7B00">
      <w:pPr>
        <w:pStyle w:val="Odstavecseseznamem"/>
        <w:numPr>
          <w:ilvl w:val="0"/>
          <w:numId w:val="31"/>
        </w:numPr>
        <w:ind w:left="284" w:hanging="284"/>
        <w:jc w:val="both"/>
        <w:rPr>
          <w:rFonts w:ascii="Calibri" w:hAnsi="Calibri" w:cs="Calibri"/>
          <w:bCs/>
        </w:rPr>
      </w:pPr>
      <w:r w:rsidRPr="00E7138D">
        <w:rPr>
          <w:rFonts w:ascii="Calibri" w:hAnsi="Calibri" w:cs="Calibri"/>
          <w:bCs/>
        </w:rPr>
        <w:t>nejvyšší podíl tvořily zakázky v rozmezí intervalu 90</w:t>
      </w:r>
      <w:r w:rsidR="00826683">
        <w:rPr>
          <w:rFonts w:ascii="Calibri" w:hAnsi="Calibri" w:cs="Calibri"/>
          <w:bCs/>
        </w:rPr>
        <w:t>–</w:t>
      </w:r>
      <w:r w:rsidRPr="00E7138D">
        <w:rPr>
          <w:rFonts w:ascii="Calibri" w:hAnsi="Calibri" w:cs="Calibri"/>
          <w:bCs/>
        </w:rPr>
        <w:t>100 % předpokládané hodnoty, tj. 40,24 % z celkového počtu VZ (33 VZ);</w:t>
      </w:r>
    </w:p>
    <w:p w14:paraId="739A65BC" w14:textId="7C652E27" w:rsidR="00D55F31" w:rsidRPr="00E7138D" w:rsidRDefault="0024693B" w:rsidP="000C7B00">
      <w:pPr>
        <w:pStyle w:val="Odstavecseseznamem"/>
        <w:numPr>
          <w:ilvl w:val="0"/>
          <w:numId w:val="31"/>
        </w:numPr>
        <w:ind w:left="284" w:hanging="284"/>
        <w:jc w:val="both"/>
        <w:rPr>
          <w:rFonts w:ascii="Calibri" w:hAnsi="Calibri" w:cs="Calibri"/>
          <w:bCs/>
        </w:rPr>
      </w:pPr>
      <w:r w:rsidRPr="00E7138D">
        <w:rPr>
          <w:rFonts w:ascii="Calibri" w:hAnsi="Calibri" w:cs="Calibri"/>
          <w:bCs/>
        </w:rPr>
        <w:t>dále následovaly zakázky v rozmezí 80</w:t>
      </w:r>
      <w:r w:rsidR="00826683">
        <w:rPr>
          <w:rFonts w:ascii="Calibri" w:hAnsi="Calibri" w:cs="Calibri"/>
          <w:bCs/>
        </w:rPr>
        <w:t>–</w:t>
      </w:r>
      <w:r w:rsidRPr="00E7138D">
        <w:rPr>
          <w:rFonts w:ascii="Calibri" w:hAnsi="Calibri" w:cs="Calibri"/>
          <w:bCs/>
        </w:rPr>
        <w:t>90 % jejich předpokládané hodnoty, tj. 17,07 % z celkového počtu (14 VZ) a v rozmezí 70</w:t>
      </w:r>
      <w:r w:rsidR="00826683">
        <w:rPr>
          <w:rFonts w:ascii="Calibri" w:hAnsi="Calibri" w:cs="Calibri"/>
          <w:bCs/>
        </w:rPr>
        <w:t>–</w:t>
      </w:r>
      <w:r w:rsidRPr="00E7138D">
        <w:rPr>
          <w:rFonts w:ascii="Calibri" w:hAnsi="Calibri" w:cs="Calibri"/>
          <w:bCs/>
        </w:rPr>
        <w:t>80 % jejich předpo</w:t>
      </w:r>
      <w:r w:rsidR="003C4A8B">
        <w:rPr>
          <w:rFonts w:ascii="Calibri" w:hAnsi="Calibri" w:cs="Calibri"/>
          <w:bCs/>
        </w:rPr>
        <w:t>kládané hodnoty, tj. 10,98 % (9 </w:t>
      </w:r>
      <w:r w:rsidRPr="00E7138D">
        <w:rPr>
          <w:rFonts w:ascii="Calibri" w:hAnsi="Calibri" w:cs="Calibri"/>
          <w:bCs/>
        </w:rPr>
        <w:t>VZ);</w:t>
      </w:r>
    </w:p>
    <w:p w14:paraId="053DC42D" w14:textId="50A894F7" w:rsidR="00D55F31" w:rsidRPr="00E7138D" w:rsidRDefault="0024693B" w:rsidP="000C7B00">
      <w:pPr>
        <w:pStyle w:val="Odstavecseseznamem"/>
        <w:numPr>
          <w:ilvl w:val="0"/>
          <w:numId w:val="31"/>
        </w:numPr>
        <w:ind w:left="284" w:hanging="284"/>
        <w:jc w:val="both"/>
        <w:rPr>
          <w:rFonts w:ascii="Calibri" w:hAnsi="Calibri" w:cs="Calibri"/>
          <w:bCs/>
        </w:rPr>
      </w:pPr>
      <w:r w:rsidRPr="00E7138D">
        <w:rPr>
          <w:rFonts w:ascii="Calibri" w:hAnsi="Calibri" w:cs="Calibri"/>
          <w:bCs/>
        </w:rPr>
        <w:t>pod 50 % předpokládané hodnoty spadalo pět VZ (tj. 6,1 % z celkového počtu VZ);</w:t>
      </w:r>
    </w:p>
    <w:p w14:paraId="2D9BB4F6" w14:textId="4977D03E" w:rsidR="00D55F31" w:rsidRPr="00E7138D" w:rsidRDefault="0024693B" w:rsidP="000C7B00">
      <w:pPr>
        <w:pStyle w:val="Odstavecseseznamem"/>
        <w:numPr>
          <w:ilvl w:val="0"/>
          <w:numId w:val="31"/>
        </w:numPr>
        <w:ind w:left="284" w:hanging="284"/>
        <w:jc w:val="both"/>
        <w:rPr>
          <w:rFonts w:ascii="Calibri" w:hAnsi="Calibri" w:cs="Calibri"/>
          <w:bCs/>
        </w:rPr>
      </w:pPr>
      <w:r w:rsidRPr="00E7138D">
        <w:rPr>
          <w:rFonts w:ascii="Calibri" w:hAnsi="Calibri" w:cs="Calibri"/>
          <w:bCs/>
        </w:rPr>
        <w:t>nad 130 % předpokládané hodnoty spadaly čtyři VZ (tj. 4,88 % z celkového počtu VZ).</w:t>
      </w:r>
      <w:r w:rsidRPr="00E7138D">
        <w:rPr>
          <w:rFonts w:ascii="Calibri" w:hAnsi="Calibri" w:cs="Calibri"/>
          <w:bCs/>
          <w:i/>
        </w:rPr>
        <w:t xml:space="preserve"> </w:t>
      </w:r>
      <w:r w:rsidRPr="00E7138D">
        <w:rPr>
          <w:rFonts w:ascii="Calibri" w:hAnsi="Calibri" w:cs="Calibri"/>
          <w:bCs/>
        </w:rPr>
        <w:t>Předmětem VZ byly:</w:t>
      </w:r>
      <w:r w:rsidRPr="00E7138D">
        <w:rPr>
          <w:rFonts w:ascii="Calibri" w:hAnsi="Calibri" w:cs="Calibri"/>
          <w:bCs/>
          <w:i/>
        </w:rPr>
        <w:t xml:space="preserve"> </w:t>
      </w:r>
      <w:r w:rsidR="000C7B00">
        <w:rPr>
          <w:rFonts w:ascii="Calibri" w:hAnsi="Calibri" w:cs="Calibri"/>
          <w:bCs/>
        </w:rPr>
        <w:t>r</w:t>
      </w:r>
      <w:r w:rsidRPr="00584517">
        <w:rPr>
          <w:rFonts w:ascii="Calibri" w:hAnsi="Calibri" w:cs="Calibri"/>
          <w:bCs/>
        </w:rPr>
        <w:t xml:space="preserve">evize hasicích přístrojů (135 %), </w:t>
      </w:r>
      <w:r w:rsidR="000C7B00">
        <w:rPr>
          <w:rFonts w:ascii="Calibri" w:hAnsi="Calibri" w:cs="Calibri"/>
          <w:bCs/>
        </w:rPr>
        <w:t>s</w:t>
      </w:r>
      <w:r w:rsidRPr="00584517">
        <w:rPr>
          <w:rFonts w:ascii="Calibri" w:hAnsi="Calibri" w:cs="Calibri"/>
          <w:bCs/>
        </w:rPr>
        <w:t xml:space="preserve">lužby spojené se zjišťováním laboratorní kvality vody (136 %), </w:t>
      </w:r>
      <w:r w:rsidR="000C7B00">
        <w:rPr>
          <w:rFonts w:ascii="Calibri" w:hAnsi="Calibri" w:cs="Calibri"/>
          <w:bCs/>
        </w:rPr>
        <w:t>n</w:t>
      </w:r>
      <w:r w:rsidRPr="00584517">
        <w:rPr>
          <w:rFonts w:ascii="Calibri" w:hAnsi="Calibri" w:cs="Calibri"/>
          <w:bCs/>
        </w:rPr>
        <w:t xml:space="preserve">ákup, dodávka a montáž automatického vyvíječe oxidu chloričitého (132 %) a </w:t>
      </w:r>
      <w:r w:rsidR="000C7B00">
        <w:rPr>
          <w:rFonts w:ascii="Calibri" w:hAnsi="Calibri" w:cs="Calibri"/>
          <w:bCs/>
        </w:rPr>
        <w:t>n</w:t>
      </w:r>
      <w:r w:rsidRPr="00584517">
        <w:rPr>
          <w:rFonts w:ascii="Calibri" w:hAnsi="Calibri" w:cs="Calibri"/>
          <w:bCs/>
        </w:rPr>
        <w:t xml:space="preserve">ákup a dodávka potravin </w:t>
      </w:r>
      <w:r w:rsidR="000C7B00">
        <w:rPr>
          <w:rFonts w:ascii="Calibri" w:hAnsi="Calibri" w:cs="Calibri"/>
          <w:bCs/>
        </w:rPr>
        <w:t>–</w:t>
      </w:r>
      <w:r w:rsidRPr="00584517">
        <w:rPr>
          <w:rFonts w:ascii="Calibri" w:hAnsi="Calibri" w:cs="Calibri"/>
          <w:bCs/>
        </w:rPr>
        <w:t xml:space="preserve"> ovoce a ořechy (176 %).</w:t>
      </w:r>
    </w:p>
    <w:p w14:paraId="497A0733" w14:textId="77777777" w:rsidR="00D55F31" w:rsidRPr="00E7138D" w:rsidRDefault="0024693B" w:rsidP="003C4A8B">
      <w:pPr>
        <w:spacing w:before="240"/>
        <w:ind w:left="1418" w:hanging="1418"/>
        <w:jc w:val="both"/>
        <w:rPr>
          <w:rFonts w:ascii="Calibri" w:hAnsi="Calibri" w:cs="Calibri"/>
          <w:b/>
          <w:bCs/>
          <w:lang w:eastAsia="cs-CZ"/>
        </w:rPr>
      </w:pPr>
      <w:r w:rsidRPr="00E7138D">
        <w:rPr>
          <w:rFonts w:ascii="Calibri" w:hAnsi="Calibri" w:cs="Calibri"/>
          <w:b/>
        </w:rPr>
        <w:t xml:space="preserve">Tabulka č. 2 – </w:t>
      </w:r>
      <w:r w:rsidR="003C4A8B">
        <w:rPr>
          <w:rFonts w:ascii="Calibri" w:hAnsi="Calibri" w:cs="Calibri"/>
          <w:b/>
        </w:rPr>
        <w:tab/>
      </w:r>
      <w:r w:rsidRPr="00E7138D">
        <w:rPr>
          <w:rFonts w:ascii="Calibri" w:hAnsi="Calibri" w:cs="Calibri"/>
          <w:b/>
        </w:rPr>
        <w:t xml:space="preserve">SLL Janské Lázně – přehled VZ </w:t>
      </w:r>
      <w:r w:rsidRPr="00E7138D">
        <w:rPr>
          <w:rFonts w:ascii="Calibri" w:hAnsi="Calibri" w:cs="Calibri"/>
          <w:b/>
          <w:bCs/>
        </w:rPr>
        <w:t>zadaných v rámci veřejných zakázek malého rozsahu, podlimitních a nadlimitních zakázek</w:t>
      </w:r>
      <w:r w:rsidRPr="00E7138D">
        <w:rPr>
          <w:rFonts w:ascii="Calibri" w:hAnsi="Calibri" w:cs="Calibri"/>
          <w:b/>
        </w:rPr>
        <w:t xml:space="preserve"> v členění dle poměru </w:t>
      </w:r>
      <w:proofErr w:type="spellStart"/>
      <w:r w:rsidRPr="00E7138D">
        <w:rPr>
          <w:rFonts w:ascii="Calibri" w:hAnsi="Calibri" w:cs="Calibri"/>
          <w:b/>
        </w:rPr>
        <w:t>vysoutěžených</w:t>
      </w:r>
      <w:proofErr w:type="spellEnd"/>
      <w:r w:rsidRPr="00E7138D">
        <w:rPr>
          <w:rFonts w:ascii="Calibri" w:hAnsi="Calibri" w:cs="Calibri"/>
          <w:b/>
        </w:rPr>
        <w:t xml:space="preserve"> cen vůči předpokládaným hodnotám zakázek</w:t>
      </w: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635"/>
        <w:gridCol w:w="1090"/>
        <w:gridCol w:w="1089"/>
        <w:gridCol w:w="1087"/>
        <w:gridCol w:w="1532"/>
        <w:gridCol w:w="1609"/>
      </w:tblGrid>
      <w:tr w:rsidR="00C425F2" w:rsidRPr="00E7138D" w14:paraId="22E88580" w14:textId="77777777" w:rsidTr="007A7763">
        <w:trPr>
          <w:trHeight w:val="454"/>
        </w:trPr>
        <w:tc>
          <w:tcPr>
            <w:tcW w:w="1457" w:type="pct"/>
            <w:vMerge w:val="restart"/>
            <w:shd w:val="clear" w:color="auto" w:fill="C6D9F1" w:themeFill="text2" w:themeFillTint="33"/>
            <w:vAlign w:val="center"/>
            <w:hideMark/>
          </w:tcPr>
          <w:p w14:paraId="69731474" w14:textId="77777777" w:rsidR="00D55F31" w:rsidRPr="00E7138D" w:rsidRDefault="0024693B" w:rsidP="0002290A">
            <w:pPr>
              <w:jc w:val="center"/>
              <w:rPr>
                <w:rFonts w:ascii="Calibri" w:hAnsi="Calibri" w:cs="Calibri"/>
                <w:b/>
                <w:bCs/>
                <w:sz w:val="20"/>
                <w:szCs w:val="20"/>
                <w:lang w:eastAsia="cs-CZ"/>
              </w:rPr>
            </w:pPr>
            <w:proofErr w:type="spellStart"/>
            <w:r w:rsidRPr="00E7138D">
              <w:rPr>
                <w:rFonts w:ascii="Calibri" w:hAnsi="Calibri" w:cs="Calibri"/>
                <w:b/>
                <w:bCs/>
                <w:sz w:val="20"/>
                <w:szCs w:val="20"/>
                <w:lang w:eastAsia="cs-CZ"/>
              </w:rPr>
              <w:t>Vysoutěžená</w:t>
            </w:r>
            <w:proofErr w:type="spellEnd"/>
            <w:r w:rsidRPr="00E7138D">
              <w:rPr>
                <w:rFonts w:ascii="Calibri" w:hAnsi="Calibri" w:cs="Calibri"/>
                <w:b/>
                <w:bCs/>
                <w:sz w:val="20"/>
                <w:szCs w:val="20"/>
                <w:lang w:eastAsia="cs-CZ"/>
              </w:rPr>
              <w:t xml:space="preserve"> cena</w:t>
            </w:r>
            <w:r w:rsidRPr="00E7138D">
              <w:rPr>
                <w:rFonts w:ascii="Calibri" w:hAnsi="Calibri" w:cs="Calibri"/>
                <w:b/>
                <w:bCs/>
                <w:sz w:val="20"/>
                <w:szCs w:val="20"/>
                <w:vertAlign w:val="superscript"/>
                <w:lang w:eastAsia="cs-CZ"/>
              </w:rPr>
              <w:t> </w:t>
            </w:r>
            <w:r w:rsidRPr="00E7138D">
              <w:rPr>
                <w:rFonts w:ascii="Calibri" w:hAnsi="Calibri" w:cs="Calibri"/>
                <w:b/>
                <w:bCs/>
                <w:sz w:val="20"/>
                <w:szCs w:val="20"/>
                <w:lang w:eastAsia="cs-CZ"/>
              </w:rPr>
              <w:t>/</w:t>
            </w:r>
            <w:r w:rsidRPr="00E7138D">
              <w:rPr>
                <w:rFonts w:ascii="Calibri" w:hAnsi="Calibri" w:cs="Calibri"/>
                <w:b/>
                <w:bCs/>
                <w:sz w:val="20"/>
                <w:szCs w:val="20"/>
                <w:vertAlign w:val="superscript"/>
                <w:lang w:eastAsia="cs-CZ"/>
              </w:rPr>
              <w:t> </w:t>
            </w:r>
            <w:r w:rsidRPr="00E7138D">
              <w:rPr>
                <w:rFonts w:ascii="Calibri" w:hAnsi="Calibri" w:cs="Calibri"/>
                <w:b/>
                <w:bCs/>
                <w:sz w:val="20"/>
                <w:szCs w:val="20"/>
                <w:lang w:eastAsia="cs-CZ"/>
              </w:rPr>
              <w:t>předpokládaná hodnota (v %)</w:t>
            </w:r>
          </w:p>
        </w:tc>
        <w:tc>
          <w:tcPr>
            <w:tcW w:w="3543" w:type="pct"/>
            <w:gridSpan w:val="5"/>
            <w:shd w:val="clear" w:color="auto" w:fill="C6D9F1" w:themeFill="text2" w:themeFillTint="33"/>
            <w:vAlign w:val="center"/>
            <w:hideMark/>
          </w:tcPr>
          <w:p w14:paraId="7EE499AD" w14:textId="77777777" w:rsidR="00D55F31" w:rsidRPr="00E7138D" w:rsidRDefault="0024693B" w:rsidP="0002290A">
            <w:pPr>
              <w:jc w:val="center"/>
              <w:rPr>
                <w:rFonts w:ascii="Calibri" w:hAnsi="Calibri" w:cs="Calibri"/>
                <w:b/>
                <w:bCs/>
                <w:sz w:val="20"/>
                <w:szCs w:val="20"/>
                <w:lang w:eastAsia="cs-CZ"/>
              </w:rPr>
            </w:pPr>
            <w:r w:rsidRPr="00E7138D">
              <w:rPr>
                <w:rFonts w:ascii="Calibri" w:hAnsi="Calibri" w:cs="Calibri"/>
                <w:b/>
                <w:bCs/>
                <w:sz w:val="20"/>
                <w:szCs w:val="20"/>
                <w:lang w:eastAsia="cs-CZ"/>
              </w:rPr>
              <w:t>Počet VZ</w:t>
            </w:r>
          </w:p>
        </w:tc>
      </w:tr>
      <w:tr w:rsidR="00C425F2" w:rsidRPr="00E7138D" w14:paraId="7C1D682E" w14:textId="77777777" w:rsidTr="007A7763">
        <w:trPr>
          <w:trHeight w:val="227"/>
        </w:trPr>
        <w:tc>
          <w:tcPr>
            <w:tcW w:w="1457" w:type="pct"/>
            <w:vMerge/>
            <w:shd w:val="clear" w:color="auto" w:fill="C6D9F1" w:themeFill="text2" w:themeFillTint="33"/>
            <w:vAlign w:val="center"/>
            <w:hideMark/>
          </w:tcPr>
          <w:p w14:paraId="4D563885" w14:textId="77777777" w:rsidR="00D55F31" w:rsidRPr="00E7138D" w:rsidRDefault="00D55F31" w:rsidP="0002290A">
            <w:pPr>
              <w:rPr>
                <w:rFonts w:ascii="Calibri" w:hAnsi="Calibri" w:cs="Calibri"/>
                <w:b/>
                <w:bCs/>
                <w:i/>
                <w:sz w:val="20"/>
                <w:szCs w:val="20"/>
                <w:lang w:eastAsia="cs-CZ"/>
              </w:rPr>
            </w:pPr>
          </w:p>
        </w:tc>
        <w:tc>
          <w:tcPr>
            <w:tcW w:w="603" w:type="pct"/>
            <w:shd w:val="clear" w:color="auto" w:fill="C6D9F1" w:themeFill="text2" w:themeFillTint="33"/>
            <w:noWrap/>
            <w:vAlign w:val="bottom"/>
            <w:hideMark/>
          </w:tcPr>
          <w:p w14:paraId="7FC328EB" w14:textId="77777777" w:rsidR="00D55F31" w:rsidRPr="00584517" w:rsidRDefault="0024693B" w:rsidP="0002290A">
            <w:pPr>
              <w:jc w:val="center"/>
              <w:rPr>
                <w:rFonts w:ascii="Calibri" w:hAnsi="Calibri" w:cs="Calibri"/>
                <w:b/>
                <w:sz w:val="20"/>
                <w:szCs w:val="20"/>
                <w:lang w:eastAsia="cs-CZ"/>
              </w:rPr>
            </w:pPr>
            <w:r w:rsidRPr="00584517">
              <w:rPr>
                <w:rFonts w:ascii="Calibri" w:hAnsi="Calibri" w:cs="Calibri"/>
                <w:b/>
                <w:sz w:val="20"/>
                <w:szCs w:val="20"/>
                <w:lang w:eastAsia="cs-CZ"/>
              </w:rPr>
              <w:t>2013</w:t>
            </w:r>
          </w:p>
        </w:tc>
        <w:tc>
          <w:tcPr>
            <w:tcW w:w="602" w:type="pct"/>
            <w:shd w:val="clear" w:color="auto" w:fill="C6D9F1" w:themeFill="text2" w:themeFillTint="33"/>
            <w:noWrap/>
            <w:vAlign w:val="bottom"/>
            <w:hideMark/>
          </w:tcPr>
          <w:p w14:paraId="7D05C112" w14:textId="77777777" w:rsidR="00D55F31" w:rsidRPr="00584517" w:rsidRDefault="0024693B" w:rsidP="0002290A">
            <w:pPr>
              <w:jc w:val="center"/>
              <w:rPr>
                <w:rFonts w:ascii="Calibri" w:hAnsi="Calibri" w:cs="Calibri"/>
                <w:b/>
                <w:sz w:val="20"/>
                <w:szCs w:val="20"/>
                <w:lang w:eastAsia="cs-CZ"/>
              </w:rPr>
            </w:pPr>
            <w:r w:rsidRPr="00584517">
              <w:rPr>
                <w:rFonts w:ascii="Calibri" w:hAnsi="Calibri" w:cs="Calibri"/>
                <w:b/>
                <w:sz w:val="20"/>
                <w:szCs w:val="20"/>
                <w:lang w:eastAsia="cs-CZ"/>
              </w:rPr>
              <w:t>2014</w:t>
            </w:r>
          </w:p>
        </w:tc>
        <w:tc>
          <w:tcPr>
            <w:tcW w:w="601" w:type="pct"/>
            <w:shd w:val="clear" w:color="auto" w:fill="C6D9F1" w:themeFill="text2" w:themeFillTint="33"/>
            <w:noWrap/>
            <w:vAlign w:val="bottom"/>
            <w:hideMark/>
          </w:tcPr>
          <w:p w14:paraId="60CCB990" w14:textId="77777777" w:rsidR="00D55F31" w:rsidRPr="00584517" w:rsidRDefault="0024693B" w:rsidP="0002290A">
            <w:pPr>
              <w:jc w:val="center"/>
              <w:rPr>
                <w:rFonts w:ascii="Calibri" w:hAnsi="Calibri" w:cs="Calibri"/>
                <w:b/>
                <w:sz w:val="20"/>
                <w:szCs w:val="20"/>
                <w:lang w:eastAsia="cs-CZ"/>
              </w:rPr>
            </w:pPr>
            <w:r w:rsidRPr="00584517">
              <w:rPr>
                <w:rFonts w:ascii="Calibri" w:hAnsi="Calibri" w:cs="Calibri"/>
                <w:b/>
                <w:sz w:val="20"/>
                <w:szCs w:val="20"/>
                <w:lang w:eastAsia="cs-CZ"/>
              </w:rPr>
              <w:t>2015</w:t>
            </w:r>
          </w:p>
        </w:tc>
        <w:tc>
          <w:tcPr>
            <w:tcW w:w="847" w:type="pct"/>
            <w:shd w:val="clear" w:color="auto" w:fill="C6D9F1" w:themeFill="text2" w:themeFillTint="33"/>
            <w:noWrap/>
            <w:vAlign w:val="bottom"/>
            <w:hideMark/>
          </w:tcPr>
          <w:p w14:paraId="28F7A40D" w14:textId="77777777" w:rsidR="00D55F31" w:rsidRPr="00584517" w:rsidRDefault="0024693B" w:rsidP="0002290A">
            <w:pPr>
              <w:jc w:val="center"/>
              <w:rPr>
                <w:rFonts w:ascii="Calibri" w:hAnsi="Calibri" w:cs="Calibri"/>
                <w:b/>
                <w:sz w:val="20"/>
                <w:szCs w:val="20"/>
                <w:lang w:eastAsia="cs-CZ"/>
              </w:rPr>
            </w:pPr>
            <w:r w:rsidRPr="00584517">
              <w:rPr>
                <w:rFonts w:ascii="Calibri" w:hAnsi="Calibri" w:cs="Calibri"/>
                <w:b/>
                <w:sz w:val="20"/>
                <w:szCs w:val="20"/>
                <w:lang w:eastAsia="cs-CZ"/>
              </w:rPr>
              <w:t>Celkem</w:t>
            </w:r>
          </w:p>
        </w:tc>
        <w:tc>
          <w:tcPr>
            <w:tcW w:w="890" w:type="pct"/>
            <w:shd w:val="clear" w:color="auto" w:fill="C6D9F1" w:themeFill="text2" w:themeFillTint="33"/>
            <w:noWrap/>
            <w:vAlign w:val="bottom"/>
            <w:hideMark/>
          </w:tcPr>
          <w:p w14:paraId="3F5D5F4A" w14:textId="77777777" w:rsidR="00D55F31" w:rsidRPr="00584517" w:rsidRDefault="0024693B" w:rsidP="0002290A">
            <w:pPr>
              <w:jc w:val="center"/>
              <w:rPr>
                <w:rFonts w:ascii="Calibri" w:hAnsi="Calibri" w:cs="Calibri"/>
                <w:b/>
                <w:sz w:val="20"/>
                <w:szCs w:val="20"/>
                <w:lang w:eastAsia="cs-CZ"/>
              </w:rPr>
            </w:pPr>
            <w:r w:rsidRPr="00584517">
              <w:rPr>
                <w:rFonts w:ascii="Calibri" w:hAnsi="Calibri" w:cs="Calibri"/>
                <w:b/>
                <w:sz w:val="20"/>
                <w:szCs w:val="20"/>
                <w:lang w:eastAsia="cs-CZ"/>
              </w:rPr>
              <w:t>%</w:t>
            </w:r>
          </w:p>
        </w:tc>
      </w:tr>
      <w:tr w:rsidR="00C425F2" w:rsidRPr="00E7138D" w14:paraId="7522BC7F" w14:textId="77777777" w:rsidTr="007A7763">
        <w:trPr>
          <w:trHeight w:val="283"/>
        </w:trPr>
        <w:tc>
          <w:tcPr>
            <w:tcW w:w="1457" w:type="pct"/>
            <w:vAlign w:val="center"/>
            <w:hideMark/>
          </w:tcPr>
          <w:p w14:paraId="0F32A5CC" w14:textId="77777777" w:rsidR="00D55F31" w:rsidRPr="00E7138D" w:rsidRDefault="0024693B" w:rsidP="0002290A">
            <w:pPr>
              <w:jc w:val="center"/>
              <w:rPr>
                <w:rFonts w:ascii="Calibri" w:hAnsi="Calibri" w:cs="Calibri"/>
                <w:sz w:val="20"/>
                <w:szCs w:val="20"/>
                <w:lang w:eastAsia="cs-CZ"/>
              </w:rPr>
            </w:pPr>
            <w:r w:rsidRPr="00E7138D">
              <w:rPr>
                <w:rFonts w:ascii="Calibri" w:hAnsi="Calibri" w:cs="Calibri"/>
                <w:sz w:val="20"/>
                <w:szCs w:val="20"/>
                <w:lang w:eastAsia="cs-CZ"/>
              </w:rPr>
              <w:t>nad 130</w:t>
            </w:r>
          </w:p>
        </w:tc>
        <w:tc>
          <w:tcPr>
            <w:tcW w:w="603" w:type="pct"/>
            <w:noWrap/>
            <w:vAlign w:val="center"/>
          </w:tcPr>
          <w:p w14:paraId="250F4AF8" w14:textId="77777777" w:rsidR="00D55F31" w:rsidRPr="00E7138D" w:rsidRDefault="00D55F31" w:rsidP="0002290A">
            <w:pPr>
              <w:ind w:right="283"/>
              <w:jc w:val="right"/>
              <w:rPr>
                <w:rFonts w:ascii="Calibri" w:hAnsi="Calibri" w:cs="Calibri"/>
                <w:sz w:val="20"/>
                <w:szCs w:val="20"/>
                <w:lang w:eastAsia="cs-CZ"/>
              </w:rPr>
            </w:pPr>
          </w:p>
        </w:tc>
        <w:tc>
          <w:tcPr>
            <w:tcW w:w="602" w:type="pct"/>
            <w:noWrap/>
            <w:vAlign w:val="center"/>
          </w:tcPr>
          <w:p w14:paraId="56BBC6FD" w14:textId="77777777" w:rsidR="00D55F31" w:rsidRPr="00E7138D" w:rsidRDefault="0024693B" w:rsidP="0002290A">
            <w:pPr>
              <w:ind w:right="283"/>
              <w:jc w:val="right"/>
              <w:rPr>
                <w:rFonts w:ascii="Calibri" w:hAnsi="Calibri" w:cs="Calibri"/>
                <w:sz w:val="20"/>
                <w:szCs w:val="20"/>
                <w:lang w:eastAsia="cs-CZ"/>
              </w:rPr>
            </w:pPr>
            <w:r w:rsidRPr="00E7138D">
              <w:rPr>
                <w:rFonts w:ascii="Calibri" w:hAnsi="Calibri" w:cs="Calibri"/>
                <w:sz w:val="20"/>
                <w:szCs w:val="20"/>
                <w:lang w:eastAsia="cs-CZ"/>
              </w:rPr>
              <w:t>1</w:t>
            </w:r>
          </w:p>
        </w:tc>
        <w:tc>
          <w:tcPr>
            <w:tcW w:w="601" w:type="pct"/>
            <w:noWrap/>
            <w:vAlign w:val="center"/>
          </w:tcPr>
          <w:p w14:paraId="7CCDA8E7" w14:textId="77777777" w:rsidR="00D55F31" w:rsidRPr="00E7138D" w:rsidRDefault="0024693B" w:rsidP="0002290A">
            <w:pPr>
              <w:ind w:right="283"/>
              <w:jc w:val="right"/>
              <w:rPr>
                <w:rFonts w:ascii="Calibri" w:hAnsi="Calibri" w:cs="Calibri"/>
                <w:sz w:val="20"/>
                <w:szCs w:val="20"/>
                <w:lang w:eastAsia="cs-CZ"/>
              </w:rPr>
            </w:pPr>
            <w:r w:rsidRPr="00E7138D">
              <w:rPr>
                <w:rFonts w:ascii="Calibri" w:hAnsi="Calibri" w:cs="Calibri"/>
                <w:sz w:val="20"/>
                <w:szCs w:val="20"/>
                <w:lang w:eastAsia="cs-CZ"/>
              </w:rPr>
              <w:t>3</w:t>
            </w:r>
          </w:p>
        </w:tc>
        <w:tc>
          <w:tcPr>
            <w:tcW w:w="847" w:type="pct"/>
            <w:noWrap/>
            <w:vAlign w:val="center"/>
          </w:tcPr>
          <w:p w14:paraId="78D5B3AE" w14:textId="77777777" w:rsidR="00D55F31" w:rsidRPr="00E7138D" w:rsidRDefault="0024693B" w:rsidP="0002290A">
            <w:pPr>
              <w:ind w:right="454"/>
              <w:jc w:val="right"/>
              <w:rPr>
                <w:rFonts w:ascii="Calibri" w:hAnsi="Calibri" w:cs="Calibri"/>
                <w:b/>
                <w:sz w:val="20"/>
                <w:szCs w:val="20"/>
                <w:lang w:eastAsia="cs-CZ"/>
              </w:rPr>
            </w:pPr>
            <w:r w:rsidRPr="00E7138D">
              <w:rPr>
                <w:rFonts w:ascii="Calibri" w:hAnsi="Calibri" w:cs="Calibri"/>
                <w:b/>
                <w:sz w:val="20"/>
                <w:szCs w:val="20"/>
                <w:lang w:eastAsia="cs-CZ"/>
              </w:rPr>
              <w:t>4</w:t>
            </w:r>
          </w:p>
        </w:tc>
        <w:tc>
          <w:tcPr>
            <w:tcW w:w="890" w:type="pct"/>
            <w:noWrap/>
            <w:vAlign w:val="center"/>
          </w:tcPr>
          <w:p w14:paraId="395B0D87" w14:textId="77777777" w:rsidR="00D55F31" w:rsidRPr="00E7138D" w:rsidRDefault="0024693B" w:rsidP="0002290A">
            <w:pPr>
              <w:ind w:right="340"/>
              <w:jc w:val="right"/>
              <w:rPr>
                <w:rFonts w:ascii="Calibri" w:hAnsi="Calibri" w:cs="Calibri"/>
                <w:sz w:val="20"/>
                <w:szCs w:val="20"/>
                <w:lang w:eastAsia="cs-CZ"/>
              </w:rPr>
            </w:pPr>
            <w:r w:rsidRPr="00E7138D">
              <w:rPr>
                <w:rFonts w:ascii="Calibri" w:hAnsi="Calibri" w:cs="Calibri"/>
                <w:sz w:val="20"/>
                <w:szCs w:val="20"/>
                <w:lang w:eastAsia="cs-CZ"/>
              </w:rPr>
              <w:t>4,88</w:t>
            </w:r>
          </w:p>
        </w:tc>
      </w:tr>
      <w:tr w:rsidR="00C425F2" w:rsidRPr="00E7138D" w14:paraId="60EB9E99" w14:textId="77777777" w:rsidTr="007A7763">
        <w:trPr>
          <w:trHeight w:val="283"/>
        </w:trPr>
        <w:tc>
          <w:tcPr>
            <w:tcW w:w="1457" w:type="pct"/>
            <w:noWrap/>
            <w:vAlign w:val="center"/>
            <w:hideMark/>
          </w:tcPr>
          <w:p w14:paraId="50A646C7" w14:textId="147CC00E" w:rsidR="00D55F31" w:rsidRPr="00E7138D" w:rsidRDefault="000C7B00" w:rsidP="000C7B00">
            <w:pPr>
              <w:jc w:val="center"/>
              <w:rPr>
                <w:rFonts w:ascii="Calibri" w:hAnsi="Calibri" w:cs="Calibri"/>
                <w:color w:val="000000"/>
                <w:sz w:val="20"/>
                <w:szCs w:val="20"/>
                <w:lang w:eastAsia="cs-CZ"/>
              </w:rPr>
            </w:pPr>
            <w:r>
              <w:rPr>
                <w:rFonts w:ascii="Calibri" w:hAnsi="Calibri" w:cs="Calibri"/>
                <w:color w:val="000000"/>
                <w:sz w:val="20"/>
                <w:szCs w:val="20"/>
                <w:lang w:eastAsia="cs-CZ"/>
              </w:rPr>
              <w:t>od</w:t>
            </w:r>
            <w:r w:rsidR="0024693B" w:rsidRPr="00E7138D">
              <w:rPr>
                <w:rFonts w:ascii="Calibri" w:hAnsi="Calibri" w:cs="Calibri"/>
                <w:color w:val="000000"/>
                <w:sz w:val="20"/>
                <w:szCs w:val="20"/>
                <w:lang w:eastAsia="cs-CZ"/>
              </w:rPr>
              <w:t xml:space="preserve"> 120 do 130</w:t>
            </w:r>
          </w:p>
        </w:tc>
        <w:tc>
          <w:tcPr>
            <w:tcW w:w="603" w:type="pct"/>
            <w:noWrap/>
            <w:vAlign w:val="center"/>
          </w:tcPr>
          <w:p w14:paraId="15F616D7" w14:textId="77777777" w:rsidR="00D55F31" w:rsidRPr="00E7138D" w:rsidRDefault="00D55F31" w:rsidP="0002290A">
            <w:pPr>
              <w:ind w:right="283"/>
              <w:jc w:val="right"/>
              <w:rPr>
                <w:rFonts w:ascii="Calibri" w:hAnsi="Calibri" w:cs="Calibri"/>
                <w:color w:val="000000"/>
                <w:sz w:val="20"/>
                <w:szCs w:val="20"/>
                <w:lang w:eastAsia="cs-CZ"/>
              </w:rPr>
            </w:pPr>
          </w:p>
        </w:tc>
        <w:tc>
          <w:tcPr>
            <w:tcW w:w="602" w:type="pct"/>
            <w:noWrap/>
            <w:vAlign w:val="center"/>
          </w:tcPr>
          <w:p w14:paraId="1CD6E1B7" w14:textId="77777777" w:rsidR="00D55F31" w:rsidRPr="00E7138D" w:rsidRDefault="00D55F31" w:rsidP="0002290A">
            <w:pPr>
              <w:ind w:right="283"/>
              <w:jc w:val="right"/>
              <w:rPr>
                <w:rFonts w:ascii="Calibri" w:hAnsi="Calibri" w:cs="Calibri"/>
                <w:color w:val="000000"/>
                <w:sz w:val="20"/>
                <w:szCs w:val="20"/>
                <w:lang w:eastAsia="cs-CZ"/>
              </w:rPr>
            </w:pPr>
          </w:p>
        </w:tc>
        <w:tc>
          <w:tcPr>
            <w:tcW w:w="601" w:type="pct"/>
            <w:noWrap/>
            <w:vAlign w:val="center"/>
          </w:tcPr>
          <w:p w14:paraId="7A9DF860" w14:textId="77777777" w:rsidR="00D55F31" w:rsidRPr="00E7138D" w:rsidRDefault="00D55F31" w:rsidP="0002290A">
            <w:pPr>
              <w:ind w:right="283"/>
              <w:jc w:val="right"/>
              <w:rPr>
                <w:rFonts w:ascii="Calibri" w:hAnsi="Calibri" w:cs="Calibri"/>
                <w:color w:val="000000"/>
                <w:sz w:val="20"/>
                <w:szCs w:val="20"/>
                <w:lang w:eastAsia="cs-CZ"/>
              </w:rPr>
            </w:pPr>
          </w:p>
        </w:tc>
        <w:tc>
          <w:tcPr>
            <w:tcW w:w="847" w:type="pct"/>
            <w:noWrap/>
            <w:vAlign w:val="center"/>
          </w:tcPr>
          <w:p w14:paraId="194E8558" w14:textId="77777777" w:rsidR="00D55F31" w:rsidRPr="00E7138D" w:rsidRDefault="00D55F31" w:rsidP="0002290A">
            <w:pPr>
              <w:ind w:right="454"/>
              <w:jc w:val="right"/>
              <w:rPr>
                <w:rFonts w:ascii="Calibri" w:hAnsi="Calibri" w:cs="Calibri"/>
                <w:b/>
                <w:color w:val="000000"/>
                <w:sz w:val="20"/>
                <w:szCs w:val="20"/>
                <w:lang w:eastAsia="cs-CZ"/>
              </w:rPr>
            </w:pPr>
          </w:p>
        </w:tc>
        <w:tc>
          <w:tcPr>
            <w:tcW w:w="890" w:type="pct"/>
            <w:noWrap/>
            <w:vAlign w:val="center"/>
          </w:tcPr>
          <w:p w14:paraId="745E4E38" w14:textId="77777777" w:rsidR="00D55F31" w:rsidRPr="00E7138D" w:rsidRDefault="0024693B" w:rsidP="0002290A">
            <w:pPr>
              <w:ind w:right="340"/>
              <w:jc w:val="right"/>
              <w:rPr>
                <w:rFonts w:ascii="Calibri" w:hAnsi="Calibri" w:cs="Calibri"/>
                <w:color w:val="000000"/>
                <w:sz w:val="20"/>
                <w:szCs w:val="20"/>
                <w:lang w:eastAsia="cs-CZ"/>
              </w:rPr>
            </w:pPr>
            <w:r w:rsidRPr="00E7138D">
              <w:rPr>
                <w:rFonts w:ascii="Calibri" w:hAnsi="Calibri" w:cs="Calibri"/>
                <w:color w:val="000000"/>
                <w:sz w:val="20"/>
                <w:szCs w:val="20"/>
                <w:lang w:eastAsia="cs-CZ"/>
              </w:rPr>
              <w:t>0</w:t>
            </w:r>
          </w:p>
        </w:tc>
      </w:tr>
      <w:tr w:rsidR="00C425F2" w:rsidRPr="00E7138D" w14:paraId="562A3AE1" w14:textId="77777777" w:rsidTr="007A7763">
        <w:trPr>
          <w:trHeight w:val="283"/>
        </w:trPr>
        <w:tc>
          <w:tcPr>
            <w:tcW w:w="1457" w:type="pct"/>
            <w:noWrap/>
            <w:vAlign w:val="center"/>
            <w:hideMark/>
          </w:tcPr>
          <w:p w14:paraId="4A302EEB" w14:textId="10E09149" w:rsidR="00D55F31" w:rsidRPr="00E7138D" w:rsidRDefault="000C7B00" w:rsidP="000C7B00">
            <w:pPr>
              <w:jc w:val="center"/>
              <w:rPr>
                <w:rFonts w:ascii="Calibri" w:hAnsi="Calibri" w:cs="Calibri"/>
                <w:color w:val="000000"/>
                <w:sz w:val="20"/>
                <w:szCs w:val="20"/>
                <w:lang w:eastAsia="cs-CZ"/>
              </w:rPr>
            </w:pPr>
            <w:r>
              <w:rPr>
                <w:rFonts w:ascii="Calibri" w:hAnsi="Calibri" w:cs="Calibri"/>
                <w:color w:val="000000"/>
                <w:sz w:val="20"/>
                <w:szCs w:val="20"/>
                <w:lang w:eastAsia="cs-CZ"/>
              </w:rPr>
              <w:t>od</w:t>
            </w:r>
            <w:r w:rsidR="0024693B" w:rsidRPr="00E7138D">
              <w:rPr>
                <w:rFonts w:ascii="Calibri" w:hAnsi="Calibri" w:cs="Calibri"/>
                <w:color w:val="000000"/>
                <w:sz w:val="20"/>
                <w:szCs w:val="20"/>
                <w:lang w:eastAsia="cs-CZ"/>
              </w:rPr>
              <w:t xml:space="preserve"> 110 do 120</w:t>
            </w:r>
          </w:p>
        </w:tc>
        <w:tc>
          <w:tcPr>
            <w:tcW w:w="603" w:type="pct"/>
            <w:noWrap/>
            <w:vAlign w:val="center"/>
          </w:tcPr>
          <w:p w14:paraId="3584D752" w14:textId="77777777" w:rsidR="00D55F31" w:rsidRPr="00E7138D" w:rsidRDefault="00D55F31" w:rsidP="0002290A">
            <w:pPr>
              <w:ind w:right="283"/>
              <w:jc w:val="right"/>
              <w:rPr>
                <w:rFonts w:ascii="Calibri" w:hAnsi="Calibri" w:cs="Calibri"/>
                <w:color w:val="000000"/>
                <w:sz w:val="20"/>
                <w:szCs w:val="20"/>
                <w:lang w:eastAsia="cs-CZ"/>
              </w:rPr>
            </w:pPr>
          </w:p>
        </w:tc>
        <w:tc>
          <w:tcPr>
            <w:tcW w:w="602" w:type="pct"/>
            <w:noWrap/>
            <w:vAlign w:val="center"/>
          </w:tcPr>
          <w:p w14:paraId="4445387C" w14:textId="77777777" w:rsidR="00D55F31" w:rsidRPr="00E7138D" w:rsidRDefault="0024693B" w:rsidP="0002290A">
            <w:pPr>
              <w:ind w:right="283"/>
              <w:jc w:val="right"/>
              <w:rPr>
                <w:rFonts w:ascii="Calibri" w:hAnsi="Calibri" w:cs="Calibri"/>
                <w:color w:val="000000"/>
                <w:sz w:val="20"/>
                <w:szCs w:val="20"/>
                <w:lang w:eastAsia="cs-CZ"/>
              </w:rPr>
            </w:pPr>
            <w:r w:rsidRPr="00E7138D">
              <w:rPr>
                <w:rFonts w:ascii="Calibri" w:hAnsi="Calibri" w:cs="Calibri"/>
                <w:color w:val="000000"/>
                <w:sz w:val="20"/>
                <w:szCs w:val="20"/>
                <w:lang w:eastAsia="cs-CZ"/>
              </w:rPr>
              <w:t>1</w:t>
            </w:r>
          </w:p>
        </w:tc>
        <w:tc>
          <w:tcPr>
            <w:tcW w:w="601" w:type="pct"/>
            <w:noWrap/>
            <w:vAlign w:val="center"/>
          </w:tcPr>
          <w:p w14:paraId="2E94C2C4" w14:textId="77777777" w:rsidR="00D55F31" w:rsidRPr="00E7138D" w:rsidRDefault="0024693B" w:rsidP="0002290A">
            <w:pPr>
              <w:ind w:right="283"/>
              <w:jc w:val="right"/>
              <w:rPr>
                <w:rFonts w:ascii="Calibri" w:hAnsi="Calibri" w:cs="Calibri"/>
                <w:color w:val="000000"/>
                <w:sz w:val="20"/>
                <w:szCs w:val="20"/>
                <w:lang w:eastAsia="cs-CZ"/>
              </w:rPr>
            </w:pPr>
            <w:r w:rsidRPr="00E7138D">
              <w:rPr>
                <w:rFonts w:ascii="Calibri" w:hAnsi="Calibri" w:cs="Calibri"/>
                <w:color w:val="000000"/>
                <w:sz w:val="20"/>
                <w:szCs w:val="20"/>
                <w:lang w:eastAsia="cs-CZ"/>
              </w:rPr>
              <w:t>1</w:t>
            </w:r>
          </w:p>
        </w:tc>
        <w:tc>
          <w:tcPr>
            <w:tcW w:w="847" w:type="pct"/>
            <w:noWrap/>
            <w:vAlign w:val="center"/>
          </w:tcPr>
          <w:p w14:paraId="1C00AB41" w14:textId="77777777" w:rsidR="00D55F31" w:rsidRPr="00E7138D" w:rsidRDefault="0024693B" w:rsidP="0002290A">
            <w:pPr>
              <w:ind w:right="454"/>
              <w:jc w:val="right"/>
              <w:rPr>
                <w:rFonts w:ascii="Calibri" w:hAnsi="Calibri" w:cs="Calibri"/>
                <w:b/>
                <w:color w:val="000000"/>
                <w:sz w:val="20"/>
                <w:szCs w:val="20"/>
                <w:lang w:eastAsia="cs-CZ"/>
              </w:rPr>
            </w:pPr>
            <w:r w:rsidRPr="00E7138D">
              <w:rPr>
                <w:rFonts w:ascii="Calibri" w:hAnsi="Calibri" w:cs="Calibri"/>
                <w:b/>
                <w:color w:val="000000"/>
                <w:sz w:val="20"/>
                <w:szCs w:val="20"/>
                <w:lang w:eastAsia="cs-CZ"/>
              </w:rPr>
              <w:t>2</w:t>
            </w:r>
          </w:p>
        </w:tc>
        <w:tc>
          <w:tcPr>
            <w:tcW w:w="890" w:type="pct"/>
            <w:noWrap/>
            <w:vAlign w:val="center"/>
          </w:tcPr>
          <w:p w14:paraId="60B68C1E" w14:textId="77777777" w:rsidR="00D55F31" w:rsidRPr="00E7138D" w:rsidRDefault="0024693B" w:rsidP="0002290A">
            <w:pPr>
              <w:ind w:right="340"/>
              <w:jc w:val="right"/>
              <w:rPr>
                <w:rFonts w:ascii="Calibri" w:hAnsi="Calibri" w:cs="Calibri"/>
                <w:color w:val="000000"/>
                <w:sz w:val="20"/>
                <w:szCs w:val="20"/>
                <w:lang w:eastAsia="cs-CZ"/>
              </w:rPr>
            </w:pPr>
            <w:r w:rsidRPr="00E7138D">
              <w:rPr>
                <w:rFonts w:ascii="Calibri" w:hAnsi="Calibri" w:cs="Calibri"/>
                <w:color w:val="000000"/>
                <w:sz w:val="20"/>
                <w:szCs w:val="20"/>
                <w:lang w:eastAsia="cs-CZ"/>
              </w:rPr>
              <w:t>2,44</w:t>
            </w:r>
          </w:p>
        </w:tc>
      </w:tr>
      <w:tr w:rsidR="00C425F2" w:rsidRPr="00E7138D" w14:paraId="5EA33409" w14:textId="77777777" w:rsidTr="007A7763">
        <w:trPr>
          <w:trHeight w:val="283"/>
        </w:trPr>
        <w:tc>
          <w:tcPr>
            <w:tcW w:w="1457" w:type="pct"/>
            <w:noWrap/>
            <w:vAlign w:val="center"/>
            <w:hideMark/>
          </w:tcPr>
          <w:p w14:paraId="2D21BDBB" w14:textId="123259D7" w:rsidR="00D55F31" w:rsidRPr="00E7138D" w:rsidRDefault="000C7B00" w:rsidP="000C7B00">
            <w:pPr>
              <w:jc w:val="center"/>
              <w:rPr>
                <w:rFonts w:ascii="Calibri" w:hAnsi="Calibri" w:cs="Calibri"/>
                <w:color w:val="000000"/>
                <w:sz w:val="20"/>
                <w:szCs w:val="20"/>
                <w:lang w:eastAsia="cs-CZ"/>
              </w:rPr>
            </w:pPr>
            <w:r>
              <w:rPr>
                <w:rFonts w:ascii="Calibri" w:hAnsi="Calibri" w:cs="Calibri"/>
                <w:color w:val="000000"/>
                <w:sz w:val="20"/>
                <w:szCs w:val="20"/>
                <w:lang w:eastAsia="cs-CZ"/>
              </w:rPr>
              <w:t>od</w:t>
            </w:r>
            <w:r w:rsidR="0024693B" w:rsidRPr="00E7138D">
              <w:rPr>
                <w:rFonts w:ascii="Calibri" w:hAnsi="Calibri" w:cs="Calibri"/>
                <w:color w:val="000000"/>
                <w:sz w:val="20"/>
                <w:szCs w:val="20"/>
                <w:lang w:eastAsia="cs-CZ"/>
              </w:rPr>
              <w:t xml:space="preserve"> 100 do 110</w:t>
            </w:r>
          </w:p>
        </w:tc>
        <w:tc>
          <w:tcPr>
            <w:tcW w:w="603" w:type="pct"/>
            <w:noWrap/>
            <w:vAlign w:val="center"/>
          </w:tcPr>
          <w:p w14:paraId="0278694F" w14:textId="77777777" w:rsidR="00D55F31" w:rsidRPr="00E7138D" w:rsidRDefault="00D55F31" w:rsidP="0002290A">
            <w:pPr>
              <w:ind w:right="283"/>
              <w:jc w:val="right"/>
              <w:rPr>
                <w:rFonts w:ascii="Calibri" w:hAnsi="Calibri" w:cs="Calibri"/>
                <w:color w:val="000000"/>
                <w:sz w:val="20"/>
                <w:szCs w:val="20"/>
                <w:lang w:eastAsia="cs-CZ"/>
              </w:rPr>
            </w:pPr>
          </w:p>
        </w:tc>
        <w:tc>
          <w:tcPr>
            <w:tcW w:w="602" w:type="pct"/>
            <w:noWrap/>
            <w:vAlign w:val="center"/>
          </w:tcPr>
          <w:p w14:paraId="606C9BEB" w14:textId="77777777" w:rsidR="00D55F31" w:rsidRPr="00E7138D" w:rsidRDefault="0024693B" w:rsidP="0002290A">
            <w:pPr>
              <w:ind w:right="283"/>
              <w:jc w:val="right"/>
              <w:rPr>
                <w:rFonts w:ascii="Calibri" w:hAnsi="Calibri" w:cs="Calibri"/>
                <w:color w:val="000000"/>
                <w:sz w:val="20"/>
                <w:szCs w:val="20"/>
                <w:lang w:eastAsia="cs-CZ"/>
              </w:rPr>
            </w:pPr>
            <w:r w:rsidRPr="00E7138D">
              <w:rPr>
                <w:rFonts w:ascii="Calibri" w:hAnsi="Calibri" w:cs="Calibri"/>
                <w:color w:val="000000"/>
                <w:sz w:val="20"/>
                <w:szCs w:val="20"/>
                <w:lang w:eastAsia="cs-CZ"/>
              </w:rPr>
              <w:t>1</w:t>
            </w:r>
          </w:p>
        </w:tc>
        <w:tc>
          <w:tcPr>
            <w:tcW w:w="601" w:type="pct"/>
            <w:noWrap/>
            <w:vAlign w:val="center"/>
          </w:tcPr>
          <w:p w14:paraId="41A66442" w14:textId="77777777" w:rsidR="00D55F31" w:rsidRPr="00E7138D" w:rsidRDefault="0024693B" w:rsidP="0002290A">
            <w:pPr>
              <w:ind w:right="283"/>
              <w:jc w:val="right"/>
              <w:rPr>
                <w:rFonts w:ascii="Calibri" w:hAnsi="Calibri" w:cs="Calibri"/>
                <w:color w:val="000000"/>
                <w:sz w:val="20"/>
                <w:szCs w:val="20"/>
                <w:lang w:eastAsia="cs-CZ"/>
              </w:rPr>
            </w:pPr>
            <w:r w:rsidRPr="00E7138D">
              <w:rPr>
                <w:rFonts w:ascii="Calibri" w:hAnsi="Calibri" w:cs="Calibri"/>
                <w:color w:val="000000"/>
                <w:sz w:val="20"/>
                <w:szCs w:val="20"/>
                <w:lang w:eastAsia="cs-CZ"/>
              </w:rPr>
              <w:t>4</w:t>
            </w:r>
          </w:p>
        </w:tc>
        <w:tc>
          <w:tcPr>
            <w:tcW w:w="847" w:type="pct"/>
            <w:noWrap/>
            <w:vAlign w:val="center"/>
          </w:tcPr>
          <w:p w14:paraId="2761194F" w14:textId="77777777" w:rsidR="00D55F31" w:rsidRPr="00E7138D" w:rsidRDefault="0024693B" w:rsidP="0002290A">
            <w:pPr>
              <w:ind w:right="454"/>
              <w:jc w:val="right"/>
              <w:rPr>
                <w:rFonts w:ascii="Calibri" w:hAnsi="Calibri" w:cs="Calibri"/>
                <w:b/>
                <w:color w:val="000000"/>
                <w:sz w:val="20"/>
                <w:szCs w:val="20"/>
                <w:lang w:eastAsia="cs-CZ"/>
              </w:rPr>
            </w:pPr>
            <w:r w:rsidRPr="00E7138D">
              <w:rPr>
                <w:rFonts w:ascii="Calibri" w:hAnsi="Calibri" w:cs="Calibri"/>
                <w:b/>
                <w:color w:val="000000"/>
                <w:sz w:val="20"/>
                <w:szCs w:val="20"/>
                <w:lang w:eastAsia="cs-CZ"/>
              </w:rPr>
              <w:t>5</w:t>
            </w:r>
          </w:p>
        </w:tc>
        <w:tc>
          <w:tcPr>
            <w:tcW w:w="890" w:type="pct"/>
            <w:noWrap/>
            <w:vAlign w:val="center"/>
          </w:tcPr>
          <w:p w14:paraId="5314C3AA" w14:textId="77777777" w:rsidR="00D55F31" w:rsidRPr="00E7138D" w:rsidRDefault="0024693B" w:rsidP="0002290A">
            <w:pPr>
              <w:ind w:right="340"/>
              <w:jc w:val="right"/>
              <w:rPr>
                <w:rFonts w:ascii="Calibri" w:hAnsi="Calibri" w:cs="Calibri"/>
                <w:color w:val="000000"/>
                <w:sz w:val="20"/>
                <w:szCs w:val="20"/>
                <w:lang w:eastAsia="cs-CZ"/>
              </w:rPr>
            </w:pPr>
            <w:r w:rsidRPr="00E7138D">
              <w:rPr>
                <w:rFonts w:ascii="Calibri" w:hAnsi="Calibri" w:cs="Calibri"/>
                <w:color w:val="000000"/>
                <w:sz w:val="20"/>
                <w:szCs w:val="20"/>
                <w:lang w:eastAsia="cs-CZ"/>
              </w:rPr>
              <w:t>6,10</w:t>
            </w:r>
          </w:p>
        </w:tc>
      </w:tr>
      <w:tr w:rsidR="00C425F2" w:rsidRPr="00E7138D" w14:paraId="36AEFF45" w14:textId="77777777" w:rsidTr="007A7763">
        <w:trPr>
          <w:trHeight w:val="283"/>
        </w:trPr>
        <w:tc>
          <w:tcPr>
            <w:tcW w:w="1457" w:type="pct"/>
            <w:noWrap/>
            <w:vAlign w:val="center"/>
            <w:hideMark/>
          </w:tcPr>
          <w:p w14:paraId="361030F6" w14:textId="30AD490D" w:rsidR="00D55F31" w:rsidRPr="00E7138D" w:rsidRDefault="000C7B00" w:rsidP="000C7B00">
            <w:pPr>
              <w:jc w:val="center"/>
              <w:rPr>
                <w:rFonts w:ascii="Calibri" w:hAnsi="Calibri" w:cs="Calibri"/>
                <w:color w:val="000000"/>
                <w:sz w:val="20"/>
                <w:szCs w:val="20"/>
                <w:lang w:eastAsia="cs-CZ"/>
              </w:rPr>
            </w:pPr>
            <w:r>
              <w:rPr>
                <w:rFonts w:ascii="Calibri" w:hAnsi="Calibri" w:cs="Calibri"/>
                <w:color w:val="000000"/>
                <w:sz w:val="20"/>
                <w:szCs w:val="20"/>
                <w:lang w:eastAsia="cs-CZ"/>
              </w:rPr>
              <w:t>od</w:t>
            </w:r>
            <w:r w:rsidR="0024693B" w:rsidRPr="00E7138D">
              <w:rPr>
                <w:rFonts w:ascii="Calibri" w:hAnsi="Calibri" w:cs="Calibri"/>
                <w:color w:val="000000"/>
                <w:sz w:val="20"/>
                <w:szCs w:val="20"/>
                <w:lang w:eastAsia="cs-CZ"/>
              </w:rPr>
              <w:t xml:space="preserve"> 90 do 100</w:t>
            </w:r>
          </w:p>
        </w:tc>
        <w:tc>
          <w:tcPr>
            <w:tcW w:w="603" w:type="pct"/>
            <w:noWrap/>
            <w:vAlign w:val="center"/>
          </w:tcPr>
          <w:p w14:paraId="2633123A" w14:textId="77777777" w:rsidR="00D55F31" w:rsidRPr="00E7138D" w:rsidRDefault="0024693B" w:rsidP="0002290A">
            <w:pPr>
              <w:ind w:right="283"/>
              <w:jc w:val="right"/>
              <w:rPr>
                <w:rFonts w:ascii="Calibri" w:hAnsi="Calibri" w:cs="Calibri"/>
                <w:color w:val="000000"/>
                <w:sz w:val="20"/>
                <w:szCs w:val="20"/>
                <w:lang w:eastAsia="cs-CZ"/>
              </w:rPr>
            </w:pPr>
            <w:r w:rsidRPr="00E7138D">
              <w:rPr>
                <w:rFonts w:ascii="Calibri" w:hAnsi="Calibri" w:cs="Calibri"/>
                <w:color w:val="000000"/>
                <w:sz w:val="20"/>
                <w:szCs w:val="20"/>
                <w:lang w:eastAsia="cs-CZ"/>
              </w:rPr>
              <w:t>7</w:t>
            </w:r>
          </w:p>
        </w:tc>
        <w:tc>
          <w:tcPr>
            <w:tcW w:w="602" w:type="pct"/>
            <w:noWrap/>
            <w:vAlign w:val="center"/>
          </w:tcPr>
          <w:p w14:paraId="104F1224" w14:textId="77777777" w:rsidR="00D55F31" w:rsidRPr="00E7138D" w:rsidRDefault="0024693B" w:rsidP="0002290A">
            <w:pPr>
              <w:ind w:right="283"/>
              <w:jc w:val="right"/>
              <w:rPr>
                <w:rFonts w:ascii="Calibri" w:hAnsi="Calibri" w:cs="Calibri"/>
                <w:color w:val="000000"/>
                <w:sz w:val="20"/>
                <w:szCs w:val="20"/>
                <w:lang w:eastAsia="cs-CZ"/>
              </w:rPr>
            </w:pPr>
            <w:r w:rsidRPr="00E7138D">
              <w:rPr>
                <w:rFonts w:ascii="Calibri" w:hAnsi="Calibri" w:cs="Calibri"/>
                <w:color w:val="000000"/>
                <w:sz w:val="20"/>
                <w:szCs w:val="20"/>
                <w:lang w:eastAsia="cs-CZ"/>
              </w:rPr>
              <w:t>10</w:t>
            </w:r>
          </w:p>
        </w:tc>
        <w:tc>
          <w:tcPr>
            <w:tcW w:w="601" w:type="pct"/>
            <w:noWrap/>
            <w:vAlign w:val="center"/>
          </w:tcPr>
          <w:p w14:paraId="4477A51A" w14:textId="77777777" w:rsidR="00D55F31" w:rsidRPr="00E7138D" w:rsidRDefault="0024693B" w:rsidP="0002290A">
            <w:pPr>
              <w:ind w:right="283"/>
              <w:jc w:val="right"/>
              <w:rPr>
                <w:rFonts w:ascii="Calibri" w:hAnsi="Calibri" w:cs="Calibri"/>
                <w:color w:val="000000"/>
                <w:sz w:val="20"/>
                <w:szCs w:val="20"/>
                <w:lang w:eastAsia="cs-CZ"/>
              </w:rPr>
            </w:pPr>
            <w:r w:rsidRPr="00E7138D">
              <w:rPr>
                <w:rFonts w:ascii="Calibri" w:hAnsi="Calibri" w:cs="Calibri"/>
                <w:color w:val="000000"/>
                <w:sz w:val="20"/>
                <w:szCs w:val="20"/>
                <w:lang w:eastAsia="cs-CZ"/>
              </w:rPr>
              <w:t>16</w:t>
            </w:r>
          </w:p>
        </w:tc>
        <w:tc>
          <w:tcPr>
            <w:tcW w:w="847" w:type="pct"/>
            <w:noWrap/>
            <w:vAlign w:val="center"/>
          </w:tcPr>
          <w:p w14:paraId="3D05AEDC" w14:textId="77777777" w:rsidR="00D55F31" w:rsidRPr="00E7138D" w:rsidRDefault="0024693B" w:rsidP="0002290A">
            <w:pPr>
              <w:ind w:right="454"/>
              <w:jc w:val="right"/>
              <w:rPr>
                <w:rFonts w:ascii="Calibri" w:hAnsi="Calibri" w:cs="Calibri"/>
                <w:b/>
                <w:color w:val="000000"/>
                <w:sz w:val="20"/>
                <w:szCs w:val="20"/>
                <w:lang w:eastAsia="cs-CZ"/>
              </w:rPr>
            </w:pPr>
            <w:r w:rsidRPr="00E7138D">
              <w:rPr>
                <w:rFonts w:ascii="Calibri" w:hAnsi="Calibri" w:cs="Calibri"/>
                <w:b/>
                <w:color w:val="000000"/>
                <w:sz w:val="20"/>
                <w:szCs w:val="20"/>
                <w:lang w:eastAsia="cs-CZ"/>
              </w:rPr>
              <w:t>33</w:t>
            </w:r>
          </w:p>
        </w:tc>
        <w:tc>
          <w:tcPr>
            <w:tcW w:w="890" w:type="pct"/>
            <w:noWrap/>
            <w:vAlign w:val="center"/>
          </w:tcPr>
          <w:p w14:paraId="1E1214A7" w14:textId="77777777" w:rsidR="00D55F31" w:rsidRPr="00E7138D" w:rsidRDefault="0024693B" w:rsidP="0002290A">
            <w:pPr>
              <w:ind w:right="340"/>
              <w:jc w:val="right"/>
              <w:rPr>
                <w:rFonts w:ascii="Calibri" w:hAnsi="Calibri" w:cs="Calibri"/>
                <w:color w:val="000000"/>
                <w:sz w:val="20"/>
                <w:szCs w:val="20"/>
                <w:lang w:eastAsia="cs-CZ"/>
              </w:rPr>
            </w:pPr>
            <w:r w:rsidRPr="00E7138D">
              <w:rPr>
                <w:rFonts w:ascii="Calibri" w:hAnsi="Calibri" w:cs="Calibri"/>
                <w:color w:val="000000"/>
                <w:sz w:val="20"/>
                <w:szCs w:val="20"/>
                <w:lang w:eastAsia="cs-CZ"/>
              </w:rPr>
              <w:t>40,24</w:t>
            </w:r>
          </w:p>
        </w:tc>
      </w:tr>
      <w:tr w:rsidR="00C425F2" w:rsidRPr="00E7138D" w14:paraId="3C23934A" w14:textId="77777777" w:rsidTr="007A7763">
        <w:trPr>
          <w:trHeight w:val="283"/>
        </w:trPr>
        <w:tc>
          <w:tcPr>
            <w:tcW w:w="1457" w:type="pct"/>
            <w:noWrap/>
            <w:vAlign w:val="center"/>
            <w:hideMark/>
          </w:tcPr>
          <w:p w14:paraId="7283C12C" w14:textId="02D83731" w:rsidR="00D55F31" w:rsidRPr="00E7138D" w:rsidRDefault="000C7B00" w:rsidP="000C7B00">
            <w:pPr>
              <w:jc w:val="center"/>
              <w:rPr>
                <w:rFonts w:ascii="Calibri" w:hAnsi="Calibri" w:cs="Calibri"/>
                <w:color w:val="000000"/>
                <w:sz w:val="20"/>
                <w:szCs w:val="20"/>
                <w:lang w:eastAsia="cs-CZ"/>
              </w:rPr>
            </w:pPr>
            <w:r>
              <w:rPr>
                <w:rFonts w:ascii="Calibri" w:hAnsi="Calibri" w:cs="Calibri"/>
                <w:color w:val="000000"/>
                <w:sz w:val="20"/>
                <w:szCs w:val="20"/>
                <w:lang w:eastAsia="cs-CZ"/>
              </w:rPr>
              <w:t>od</w:t>
            </w:r>
            <w:r w:rsidR="0024693B" w:rsidRPr="00E7138D">
              <w:rPr>
                <w:rFonts w:ascii="Calibri" w:hAnsi="Calibri" w:cs="Calibri"/>
                <w:color w:val="000000"/>
                <w:sz w:val="20"/>
                <w:szCs w:val="20"/>
                <w:lang w:eastAsia="cs-CZ"/>
              </w:rPr>
              <w:t xml:space="preserve"> 80 do 90</w:t>
            </w:r>
          </w:p>
        </w:tc>
        <w:tc>
          <w:tcPr>
            <w:tcW w:w="603" w:type="pct"/>
            <w:noWrap/>
            <w:vAlign w:val="center"/>
          </w:tcPr>
          <w:p w14:paraId="43969D49" w14:textId="77777777" w:rsidR="00D55F31" w:rsidRPr="00E7138D" w:rsidRDefault="0024693B" w:rsidP="0002290A">
            <w:pPr>
              <w:ind w:right="283"/>
              <w:jc w:val="right"/>
              <w:rPr>
                <w:rFonts w:ascii="Calibri" w:hAnsi="Calibri" w:cs="Calibri"/>
                <w:color w:val="000000"/>
                <w:sz w:val="20"/>
                <w:szCs w:val="20"/>
                <w:lang w:eastAsia="cs-CZ"/>
              </w:rPr>
            </w:pPr>
            <w:r w:rsidRPr="00E7138D">
              <w:rPr>
                <w:rFonts w:ascii="Calibri" w:hAnsi="Calibri" w:cs="Calibri"/>
                <w:color w:val="000000"/>
                <w:sz w:val="20"/>
                <w:szCs w:val="20"/>
                <w:lang w:eastAsia="cs-CZ"/>
              </w:rPr>
              <w:t>2</w:t>
            </w:r>
          </w:p>
        </w:tc>
        <w:tc>
          <w:tcPr>
            <w:tcW w:w="602" w:type="pct"/>
            <w:noWrap/>
            <w:vAlign w:val="center"/>
          </w:tcPr>
          <w:p w14:paraId="041CCD5E" w14:textId="77777777" w:rsidR="00D55F31" w:rsidRPr="00E7138D" w:rsidRDefault="0024693B" w:rsidP="0002290A">
            <w:pPr>
              <w:ind w:right="283"/>
              <w:jc w:val="right"/>
              <w:rPr>
                <w:rFonts w:ascii="Calibri" w:hAnsi="Calibri" w:cs="Calibri"/>
                <w:color w:val="000000"/>
                <w:sz w:val="20"/>
                <w:szCs w:val="20"/>
                <w:lang w:eastAsia="cs-CZ"/>
              </w:rPr>
            </w:pPr>
            <w:r w:rsidRPr="00E7138D">
              <w:rPr>
                <w:rFonts w:ascii="Calibri" w:hAnsi="Calibri" w:cs="Calibri"/>
                <w:color w:val="000000"/>
                <w:sz w:val="20"/>
                <w:szCs w:val="20"/>
                <w:lang w:eastAsia="cs-CZ"/>
              </w:rPr>
              <w:t>4</w:t>
            </w:r>
          </w:p>
        </w:tc>
        <w:tc>
          <w:tcPr>
            <w:tcW w:w="601" w:type="pct"/>
            <w:noWrap/>
            <w:vAlign w:val="center"/>
          </w:tcPr>
          <w:p w14:paraId="5FFF4C70" w14:textId="77777777" w:rsidR="00D55F31" w:rsidRPr="00E7138D" w:rsidRDefault="0024693B" w:rsidP="0002290A">
            <w:pPr>
              <w:ind w:right="283"/>
              <w:jc w:val="right"/>
              <w:rPr>
                <w:rFonts w:ascii="Calibri" w:hAnsi="Calibri" w:cs="Calibri"/>
                <w:color w:val="000000"/>
                <w:sz w:val="20"/>
                <w:szCs w:val="20"/>
                <w:lang w:eastAsia="cs-CZ"/>
              </w:rPr>
            </w:pPr>
            <w:r w:rsidRPr="00E7138D">
              <w:rPr>
                <w:rFonts w:ascii="Calibri" w:hAnsi="Calibri" w:cs="Calibri"/>
                <w:color w:val="000000"/>
                <w:sz w:val="20"/>
                <w:szCs w:val="20"/>
                <w:lang w:eastAsia="cs-CZ"/>
              </w:rPr>
              <w:t>8</w:t>
            </w:r>
          </w:p>
        </w:tc>
        <w:tc>
          <w:tcPr>
            <w:tcW w:w="847" w:type="pct"/>
            <w:noWrap/>
            <w:vAlign w:val="center"/>
          </w:tcPr>
          <w:p w14:paraId="602454DA" w14:textId="77777777" w:rsidR="00D55F31" w:rsidRPr="00E7138D" w:rsidRDefault="0024693B" w:rsidP="0002290A">
            <w:pPr>
              <w:ind w:right="454"/>
              <w:jc w:val="right"/>
              <w:rPr>
                <w:rFonts w:ascii="Calibri" w:hAnsi="Calibri" w:cs="Calibri"/>
                <w:b/>
                <w:color w:val="000000"/>
                <w:sz w:val="20"/>
                <w:szCs w:val="20"/>
                <w:lang w:eastAsia="cs-CZ"/>
              </w:rPr>
            </w:pPr>
            <w:r w:rsidRPr="00E7138D">
              <w:rPr>
                <w:rFonts w:ascii="Calibri" w:hAnsi="Calibri" w:cs="Calibri"/>
                <w:b/>
                <w:color w:val="000000"/>
                <w:sz w:val="20"/>
                <w:szCs w:val="20"/>
                <w:lang w:eastAsia="cs-CZ"/>
              </w:rPr>
              <w:t>14</w:t>
            </w:r>
          </w:p>
        </w:tc>
        <w:tc>
          <w:tcPr>
            <w:tcW w:w="890" w:type="pct"/>
            <w:noWrap/>
            <w:vAlign w:val="center"/>
          </w:tcPr>
          <w:p w14:paraId="6CD82C2C" w14:textId="77777777" w:rsidR="00D55F31" w:rsidRPr="00E7138D" w:rsidRDefault="0024693B" w:rsidP="0002290A">
            <w:pPr>
              <w:ind w:right="340"/>
              <w:jc w:val="right"/>
              <w:rPr>
                <w:rFonts w:ascii="Calibri" w:hAnsi="Calibri" w:cs="Calibri"/>
                <w:color w:val="000000"/>
                <w:sz w:val="20"/>
                <w:szCs w:val="20"/>
                <w:lang w:eastAsia="cs-CZ"/>
              </w:rPr>
            </w:pPr>
            <w:r w:rsidRPr="00E7138D">
              <w:rPr>
                <w:rFonts w:ascii="Calibri" w:hAnsi="Calibri" w:cs="Calibri"/>
                <w:color w:val="000000"/>
                <w:sz w:val="20"/>
                <w:szCs w:val="20"/>
                <w:lang w:eastAsia="cs-CZ"/>
              </w:rPr>
              <w:t>17,07</w:t>
            </w:r>
          </w:p>
        </w:tc>
      </w:tr>
      <w:tr w:rsidR="00C425F2" w:rsidRPr="00E7138D" w14:paraId="01EECA6D" w14:textId="77777777" w:rsidTr="007A7763">
        <w:trPr>
          <w:trHeight w:val="283"/>
        </w:trPr>
        <w:tc>
          <w:tcPr>
            <w:tcW w:w="1457" w:type="pct"/>
            <w:noWrap/>
            <w:vAlign w:val="center"/>
            <w:hideMark/>
          </w:tcPr>
          <w:p w14:paraId="3BD648BD" w14:textId="3BCA0082" w:rsidR="00D55F31" w:rsidRPr="00E7138D" w:rsidRDefault="000C7B00" w:rsidP="000C7B00">
            <w:pPr>
              <w:jc w:val="center"/>
              <w:rPr>
                <w:rFonts w:ascii="Calibri" w:hAnsi="Calibri" w:cs="Calibri"/>
                <w:color w:val="000000"/>
                <w:sz w:val="20"/>
                <w:szCs w:val="20"/>
                <w:lang w:eastAsia="cs-CZ"/>
              </w:rPr>
            </w:pPr>
            <w:r>
              <w:rPr>
                <w:rFonts w:ascii="Calibri" w:hAnsi="Calibri" w:cs="Calibri"/>
                <w:color w:val="000000"/>
                <w:sz w:val="20"/>
                <w:szCs w:val="20"/>
                <w:lang w:eastAsia="cs-CZ"/>
              </w:rPr>
              <w:t>od</w:t>
            </w:r>
            <w:r w:rsidR="0024693B" w:rsidRPr="00E7138D">
              <w:rPr>
                <w:rFonts w:ascii="Calibri" w:hAnsi="Calibri" w:cs="Calibri"/>
                <w:color w:val="000000"/>
                <w:sz w:val="20"/>
                <w:szCs w:val="20"/>
                <w:lang w:eastAsia="cs-CZ"/>
              </w:rPr>
              <w:t xml:space="preserve"> 70 do 80</w:t>
            </w:r>
          </w:p>
        </w:tc>
        <w:tc>
          <w:tcPr>
            <w:tcW w:w="603" w:type="pct"/>
            <w:noWrap/>
            <w:vAlign w:val="center"/>
          </w:tcPr>
          <w:p w14:paraId="26B13FBF" w14:textId="77777777" w:rsidR="00D55F31" w:rsidRPr="00E7138D" w:rsidRDefault="0024693B" w:rsidP="0002290A">
            <w:pPr>
              <w:ind w:right="283"/>
              <w:jc w:val="right"/>
              <w:rPr>
                <w:rFonts w:ascii="Calibri" w:hAnsi="Calibri" w:cs="Calibri"/>
                <w:color w:val="000000"/>
                <w:sz w:val="20"/>
                <w:szCs w:val="20"/>
                <w:lang w:eastAsia="cs-CZ"/>
              </w:rPr>
            </w:pPr>
            <w:r w:rsidRPr="00E7138D">
              <w:rPr>
                <w:rFonts w:ascii="Calibri" w:hAnsi="Calibri" w:cs="Calibri"/>
                <w:color w:val="000000"/>
                <w:sz w:val="20"/>
                <w:szCs w:val="20"/>
                <w:lang w:eastAsia="cs-CZ"/>
              </w:rPr>
              <w:t>2</w:t>
            </w:r>
          </w:p>
        </w:tc>
        <w:tc>
          <w:tcPr>
            <w:tcW w:w="602" w:type="pct"/>
            <w:noWrap/>
            <w:vAlign w:val="center"/>
          </w:tcPr>
          <w:p w14:paraId="78E747FE" w14:textId="77777777" w:rsidR="00D55F31" w:rsidRPr="00E7138D" w:rsidRDefault="0024693B" w:rsidP="0002290A">
            <w:pPr>
              <w:ind w:right="283"/>
              <w:jc w:val="right"/>
              <w:rPr>
                <w:rFonts w:ascii="Calibri" w:hAnsi="Calibri" w:cs="Calibri"/>
                <w:color w:val="000000"/>
                <w:sz w:val="20"/>
                <w:szCs w:val="20"/>
                <w:lang w:eastAsia="cs-CZ"/>
              </w:rPr>
            </w:pPr>
            <w:r w:rsidRPr="00E7138D">
              <w:rPr>
                <w:rFonts w:ascii="Calibri" w:hAnsi="Calibri" w:cs="Calibri"/>
                <w:color w:val="000000"/>
                <w:sz w:val="20"/>
                <w:szCs w:val="20"/>
                <w:lang w:eastAsia="cs-CZ"/>
              </w:rPr>
              <w:t>3</w:t>
            </w:r>
          </w:p>
        </w:tc>
        <w:tc>
          <w:tcPr>
            <w:tcW w:w="601" w:type="pct"/>
            <w:noWrap/>
            <w:vAlign w:val="center"/>
          </w:tcPr>
          <w:p w14:paraId="5BC1D1A9" w14:textId="77777777" w:rsidR="00D55F31" w:rsidRPr="00E7138D" w:rsidRDefault="0024693B" w:rsidP="0002290A">
            <w:pPr>
              <w:ind w:right="283"/>
              <w:jc w:val="right"/>
              <w:rPr>
                <w:rFonts w:ascii="Calibri" w:hAnsi="Calibri" w:cs="Calibri"/>
                <w:color w:val="000000"/>
                <w:sz w:val="20"/>
                <w:szCs w:val="20"/>
                <w:lang w:eastAsia="cs-CZ"/>
              </w:rPr>
            </w:pPr>
            <w:r w:rsidRPr="00E7138D">
              <w:rPr>
                <w:rFonts w:ascii="Calibri" w:hAnsi="Calibri" w:cs="Calibri"/>
                <w:color w:val="000000"/>
                <w:sz w:val="20"/>
                <w:szCs w:val="20"/>
                <w:lang w:eastAsia="cs-CZ"/>
              </w:rPr>
              <w:t>4</w:t>
            </w:r>
          </w:p>
        </w:tc>
        <w:tc>
          <w:tcPr>
            <w:tcW w:w="847" w:type="pct"/>
            <w:noWrap/>
            <w:vAlign w:val="center"/>
          </w:tcPr>
          <w:p w14:paraId="359519EF" w14:textId="77777777" w:rsidR="00D55F31" w:rsidRPr="00E7138D" w:rsidRDefault="0024693B" w:rsidP="0002290A">
            <w:pPr>
              <w:ind w:right="454"/>
              <w:jc w:val="right"/>
              <w:rPr>
                <w:rFonts w:ascii="Calibri" w:hAnsi="Calibri" w:cs="Calibri"/>
                <w:b/>
                <w:color w:val="000000"/>
                <w:sz w:val="20"/>
                <w:szCs w:val="20"/>
                <w:lang w:eastAsia="cs-CZ"/>
              </w:rPr>
            </w:pPr>
            <w:r w:rsidRPr="00E7138D">
              <w:rPr>
                <w:rFonts w:ascii="Calibri" w:hAnsi="Calibri" w:cs="Calibri"/>
                <w:b/>
                <w:color w:val="000000"/>
                <w:sz w:val="20"/>
                <w:szCs w:val="20"/>
                <w:lang w:eastAsia="cs-CZ"/>
              </w:rPr>
              <w:t>9</w:t>
            </w:r>
          </w:p>
        </w:tc>
        <w:tc>
          <w:tcPr>
            <w:tcW w:w="890" w:type="pct"/>
            <w:noWrap/>
            <w:vAlign w:val="center"/>
          </w:tcPr>
          <w:p w14:paraId="3410C1FD" w14:textId="77777777" w:rsidR="00D55F31" w:rsidRPr="00E7138D" w:rsidRDefault="0024693B" w:rsidP="0002290A">
            <w:pPr>
              <w:ind w:right="340"/>
              <w:jc w:val="right"/>
              <w:rPr>
                <w:rFonts w:ascii="Calibri" w:hAnsi="Calibri" w:cs="Calibri"/>
                <w:color w:val="000000"/>
                <w:sz w:val="20"/>
                <w:szCs w:val="20"/>
                <w:lang w:eastAsia="cs-CZ"/>
              </w:rPr>
            </w:pPr>
            <w:r w:rsidRPr="00E7138D">
              <w:rPr>
                <w:rFonts w:ascii="Calibri" w:hAnsi="Calibri" w:cs="Calibri"/>
                <w:color w:val="000000"/>
                <w:sz w:val="20"/>
                <w:szCs w:val="20"/>
                <w:lang w:eastAsia="cs-CZ"/>
              </w:rPr>
              <w:t>10,97</w:t>
            </w:r>
          </w:p>
        </w:tc>
      </w:tr>
      <w:tr w:rsidR="00C425F2" w:rsidRPr="00E7138D" w14:paraId="6C86D85A" w14:textId="77777777" w:rsidTr="007A7763">
        <w:trPr>
          <w:trHeight w:val="283"/>
        </w:trPr>
        <w:tc>
          <w:tcPr>
            <w:tcW w:w="1457" w:type="pct"/>
            <w:noWrap/>
            <w:vAlign w:val="center"/>
            <w:hideMark/>
          </w:tcPr>
          <w:p w14:paraId="40D85DF6" w14:textId="4F824D6D" w:rsidR="00D55F31" w:rsidRPr="00E7138D" w:rsidRDefault="000C7B00" w:rsidP="000C7B00">
            <w:pPr>
              <w:jc w:val="center"/>
              <w:rPr>
                <w:rFonts w:ascii="Calibri" w:hAnsi="Calibri" w:cs="Calibri"/>
                <w:color w:val="000000"/>
                <w:sz w:val="20"/>
                <w:szCs w:val="20"/>
                <w:lang w:eastAsia="cs-CZ"/>
              </w:rPr>
            </w:pPr>
            <w:r>
              <w:rPr>
                <w:rFonts w:ascii="Calibri" w:hAnsi="Calibri" w:cs="Calibri"/>
                <w:color w:val="000000"/>
                <w:sz w:val="20"/>
                <w:szCs w:val="20"/>
                <w:lang w:eastAsia="cs-CZ"/>
              </w:rPr>
              <w:t>od</w:t>
            </w:r>
            <w:r w:rsidR="0024693B" w:rsidRPr="00E7138D">
              <w:rPr>
                <w:rFonts w:ascii="Calibri" w:hAnsi="Calibri" w:cs="Calibri"/>
                <w:color w:val="000000"/>
                <w:sz w:val="20"/>
                <w:szCs w:val="20"/>
                <w:lang w:eastAsia="cs-CZ"/>
              </w:rPr>
              <w:t xml:space="preserve"> 60 do 70</w:t>
            </w:r>
          </w:p>
        </w:tc>
        <w:tc>
          <w:tcPr>
            <w:tcW w:w="603" w:type="pct"/>
            <w:noWrap/>
            <w:vAlign w:val="center"/>
          </w:tcPr>
          <w:p w14:paraId="47998035" w14:textId="77777777" w:rsidR="00D55F31" w:rsidRPr="00E7138D" w:rsidRDefault="00D55F31" w:rsidP="0002290A">
            <w:pPr>
              <w:ind w:right="283"/>
              <w:jc w:val="right"/>
              <w:rPr>
                <w:rFonts w:ascii="Calibri" w:hAnsi="Calibri" w:cs="Calibri"/>
                <w:color w:val="000000"/>
                <w:sz w:val="20"/>
                <w:szCs w:val="20"/>
                <w:lang w:eastAsia="cs-CZ"/>
              </w:rPr>
            </w:pPr>
          </w:p>
        </w:tc>
        <w:tc>
          <w:tcPr>
            <w:tcW w:w="602" w:type="pct"/>
            <w:noWrap/>
            <w:vAlign w:val="center"/>
          </w:tcPr>
          <w:p w14:paraId="66D859ED" w14:textId="77777777" w:rsidR="00D55F31" w:rsidRPr="00E7138D" w:rsidRDefault="0024693B" w:rsidP="0002290A">
            <w:pPr>
              <w:ind w:right="283"/>
              <w:jc w:val="right"/>
              <w:rPr>
                <w:rFonts w:ascii="Calibri" w:hAnsi="Calibri" w:cs="Calibri"/>
                <w:color w:val="000000"/>
                <w:sz w:val="20"/>
                <w:szCs w:val="20"/>
                <w:lang w:eastAsia="cs-CZ"/>
              </w:rPr>
            </w:pPr>
            <w:r w:rsidRPr="00E7138D">
              <w:rPr>
                <w:rFonts w:ascii="Calibri" w:hAnsi="Calibri" w:cs="Calibri"/>
                <w:color w:val="000000"/>
                <w:sz w:val="20"/>
                <w:szCs w:val="20"/>
                <w:lang w:eastAsia="cs-CZ"/>
              </w:rPr>
              <w:t>2</w:t>
            </w:r>
          </w:p>
        </w:tc>
        <w:tc>
          <w:tcPr>
            <w:tcW w:w="601" w:type="pct"/>
            <w:noWrap/>
            <w:vAlign w:val="center"/>
          </w:tcPr>
          <w:p w14:paraId="14FECFC9" w14:textId="77777777" w:rsidR="00D55F31" w:rsidRPr="00E7138D" w:rsidRDefault="0024693B" w:rsidP="0002290A">
            <w:pPr>
              <w:ind w:right="283"/>
              <w:jc w:val="right"/>
              <w:rPr>
                <w:rFonts w:ascii="Calibri" w:hAnsi="Calibri" w:cs="Calibri"/>
                <w:color w:val="000000"/>
                <w:sz w:val="20"/>
                <w:szCs w:val="20"/>
                <w:lang w:eastAsia="cs-CZ"/>
              </w:rPr>
            </w:pPr>
            <w:r w:rsidRPr="00E7138D">
              <w:rPr>
                <w:rFonts w:ascii="Calibri" w:hAnsi="Calibri" w:cs="Calibri"/>
                <w:color w:val="000000"/>
                <w:sz w:val="20"/>
                <w:szCs w:val="20"/>
                <w:lang w:eastAsia="cs-CZ"/>
              </w:rPr>
              <w:t>4</w:t>
            </w:r>
          </w:p>
        </w:tc>
        <w:tc>
          <w:tcPr>
            <w:tcW w:w="847" w:type="pct"/>
            <w:noWrap/>
            <w:vAlign w:val="center"/>
          </w:tcPr>
          <w:p w14:paraId="0E762112" w14:textId="77777777" w:rsidR="00D55F31" w:rsidRPr="00E7138D" w:rsidRDefault="0024693B" w:rsidP="0002290A">
            <w:pPr>
              <w:ind w:right="454"/>
              <w:jc w:val="right"/>
              <w:rPr>
                <w:rFonts w:ascii="Calibri" w:hAnsi="Calibri" w:cs="Calibri"/>
                <w:b/>
                <w:color w:val="000000"/>
                <w:sz w:val="20"/>
                <w:szCs w:val="20"/>
                <w:lang w:eastAsia="cs-CZ"/>
              </w:rPr>
            </w:pPr>
            <w:r w:rsidRPr="00E7138D">
              <w:rPr>
                <w:rFonts w:ascii="Calibri" w:hAnsi="Calibri" w:cs="Calibri"/>
                <w:b/>
                <w:color w:val="000000"/>
                <w:sz w:val="20"/>
                <w:szCs w:val="20"/>
                <w:lang w:eastAsia="cs-CZ"/>
              </w:rPr>
              <w:t>6</w:t>
            </w:r>
          </w:p>
        </w:tc>
        <w:tc>
          <w:tcPr>
            <w:tcW w:w="890" w:type="pct"/>
            <w:noWrap/>
            <w:vAlign w:val="center"/>
          </w:tcPr>
          <w:p w14:paraId="64DF7B37" w14:textId="77777777" w:rsidR="00D55F31" w:rsidRPr="00E7138D" w:rsidRDefault="0024693B" w:rsidP="0002290A">
            <w:pPr>
              <w:ind w:right="340"/>
              <w:jc w:val="right"/>
              <w:rPr>
                <w:rFonts w:ascii="Calibri" w:hAnsi="Calibri" w:cs="Calibri"/>
                <w:color w:val="000000"/>
                <w:sz w:val="20"/>
                <w:szCs w:val="20"/>
                <w:lang w:eastAsia="cs-CZ"/>
              </w:rPr>
            </w:pPr>
            <w:r w:rsidRPr="00E7138D">
              <w:rPr>
                <w:rFonts w:ascii="Calibri" w:hAnsi="Calibri" w:cs="Calibri"/>
                <w:color w:val="000000"/>
                <w:sz w:val="20"/>
                <w:szCs w:val="20"/>
                <w:lang w:eastAsia="cs-CZ"/>
              </w:rPr>
              <w:t>7,32</w:t>
            </w:r>
          </w:p>
        </w:tc>
      </w:tr>
      <w:tr w:rsidR="00C425F2" w:rsidRPr="00E7138D" w14:paraId="6DF6A479" w14:textId="77777777" w:rsidTr="007A7763">
        <w:trPr>
          <w:trHeight w:val="283"/>
        </w:trPr>
        <w:tc>
          <w:tcPr>
            <w:tcW w:w="1457" w:type="pct"/>
            <w:noWrap/>
            <w:vAlign w:val="center"/>
            <w:hideMark/>
          </w:tcPr>
          <w:p w14:paraId="0C26D9B4" w14:textId="54E1230A" w:rsidR="00D55F31" w:rsidRPr="00E7138D" w:rsidRDefault="000C7B00" w:rsidP="000C7B00">
            <w:pPr>
              <w:jc w:val="center"/>
              <w:rPr>
                <w:rFonts w:ascii="Calibri" w:hAnsi="Calibri" w:cs="Calibri"/>
                <w:color w:val="000000"/>
                <w:sz w:val="20"/>
                <w:szCs w:val="20"/>
                <w:lang w:eastAsia="cs-CZ"/>
              </w:rPr>
            </w:pPr>
            <w:r>
              <w:rPr>
                <w:rFonts w:ascii="Calibri" w:hAnsi="Calibri" w:cs="Calibri"/>
                <w:color w:val="000000"/>
                <w:sz w:val="20"/>
                <w:szCs w:val="20"/>
                <w:lang w:eastAsia="cs-CZ"/>
              </w:rPr>
              <w:t>od</w:t>
            </w:r>
            <w:r w:rsidR="0024693B" w:rsidRPr="00E7138D">
              <w:rPr>
                <w:rFonts w:ascii="Calibri" w:hAnsi="Calibri" w:cs="Calibri"/>
                <w:color w:val="000000"/>
                <w:sz w:val="20"/>
                <w:szCs w:val="20"/>
                <w:lang w:eastAsia="cs-CZ"/>
              </w:rPr>
              <w:t xml:space="preserve"> 50 do 60</w:t>
            </w:r>
          </w:p>
        </w:tc>
        <w:tc>
          <w:tcPr>
            <w:tcW w:w="603" w:type="pct"/>
            <w:noWrap/>
            <w:vAlign w:val="center"/>
          </w:tcPr>
          <w:p w14:paraId="497A7C2C" w14:textId="77777777" w:rsidR="00D55F31" w:rsidRPr="00E7138D" w:rsidRDefault="00D55F31" w:rsidP="0002290A">
            <w:pPr>
              <w:ind w:right="283"/>
              <w:jc w:val="right"/>
              <w:rPr>
                <w:rFonts w:ascii="Calibri" w:hAnsi="Calibri" w:cs="Calibri"/>
                <w:color w:val="000000"/>
                <w:sz w:val="20"/>
                <w:szCs w:val="20"/>
                <w:lang w:eastAsia="cs-CZ"/>
              </w:rPr>
            </w:pPr>
          </w:p>
        </w:tc>
        <w:tc>
          <w:tcPr>
            <w:tcW w:w="602" w:type="pct"/>
            <w:noWrap/>
            <w:vAlign w:val="center"/>
          </w:tcPr>
          <w:p w14:paraId="7AFA7D25" w14:textId="77777777" w:rsidR="00D55F31" w:rsidRPr="00E7138D" w:rsidRDefault="00D55F31" w:rsidP="0002290A">
            <w:pPr>
              <w:ind w:right="283"/>
              <w:jc w:val="right"/>
              <w:rPr>
                <w:rFonts w:ascii="Calibri" w:hAnsi="Calibri" w:cs="Calibri"/>
                <w:color w:val="000000"/>
                <w:sz w:val="20"/>
                <w:szCs w:val="20"/>
                <w:lang w:eastAsia="cs-CZ"/>
              </w:rPr>
            </w:pPr>
          </w:p>
        </w:tc>
        <w:tc>
          <w:tcPr>
            <w:tcW w:w="601" w:type="pct"/>
            <w:noWrap/>
            <w:vAlign w:val="center"/>
          </w:tcPr>
          <w:p w14:paraId="769FFA7C" w14:textId="77777777" w:rsidR="00D55F31" w:rsidRPr="00E7138D" w:rsidRDefault="0024693B" w:rsidP="0002290A">
            <w:pPr>
              <w:ind w:right="283"/>
              <w:jc w:val="right"/>
              <w:rPr>
                <w:rFonts w:ascii="Calibri" w:hAnsi="Calibri" w:cs="Calibri"/>
                <w:color w:val="000000"/>
                <w:sz w:val="20"/>
                <w:szCs w:val="20"/>
                <w:lang w:eastAsia="cs-CZ"/>
              </w:rPr>
            </w:pPr>
            <w:r w:rsidRPr="00E7138D">
              <w:rPr>
                <w:rFonts w:ascii="Calibri" w:hAnsi="Calibri" w:cs="Calibri"/>
                <w:color w:val="000000"/>
                <w:sz w:val="20"/>
                <w:szCs w:val="20"/>
                <w:lang w:eastAsia="cs-CZ"/>
              </w:rPr>
              <w:t>4</w:t>
            </w:r>
          </w:p>
        </w:tc>
        <w:tc>
          <w:tcPr>
            <w:tcW w:w="847" w:type="pct"/>
            <w:noWrap/>
            <w:vAlign w:val="center"/>
          </w:tcPr>
          <w:p w14:paraId="72596599" w14:textId="77777777" w:rsidR="00D55F31" w:rsidRPr="00E7138D" w:rsidRDefault="0024693B" w:rsidP="0002290A">
            <w:pPr>
              <w:ind w:right="454"/>
              <w:jc w:val="right"/>
              <w:rPr>
                <w:rFonts w:ascii="Calibri" w:hAnsi="Calibri" w:cs="Calibri"/>
                <w:b/>
                <w:color w:val="000000"/>
                <w:sz w:val="20"/>
                <w:szCs w:val="20"/>
                <w:lang w:eastAsia="cs-CZ"/>
              </w:rPr>
            </w:pPr>
            <w:r w:rsidRPr="00E7138D">
              <w:rPr>
                <w:rFonts w:ascii="Calibri" w:hAnsi="Calibri" w:cs="Calibri"/>
                <w:b/>
                <w:color w:val="000000"/>
                <w:sz w:val="20"/>
                <w:szCs w:val="20"/>
                <w:lang w:eastAsia="cs-CZ"/>
              </w:rPr>
              <w:t>4</w:t>
            </w:r>
          </w:p>
        </w:tc>
        <w:tc>
          <w:tcPr>
            <w:tcW w:w="890" w:type="pct"/>
            <w:noWrap/>
            <w:vAlign w:val="center"/>
          </w:tcPr>
          <w:p w14:paraId="6A9B96D7" w14:textId="77777777" w:rsidR="00D55F31" w:rsidRPr="00E7138D" w:rsidRDefault="0024693B" w:rsidP="0002290A">
            <w:pPr>
              <w:ind w:right="340"/>
              <w:jc w:val="right"/>
              <w:rPr>
                <w:rFonts w:ascii="Calibri" w:hAnsi="Calibri" w:cs="Calibri"/>
                <w:color w:val="000000"/>
                <w:sz w:val="20"/>
                <w:szCs w:val="20"/>
                <w:lang w:eastAsia="cs-CZ"/>
              </w:rPr>
            </w:pPr>
            <w:r w:rsidRPr="00E7138D">
              <w:rPr>
                <w:rFonts w:ascii="Calibri" w:hAnsi="Calibri" w:cs="Calibri"/>
                <w:color w:val="000000"/>
                <w:sz w:val="20"/>
                <w:szCs w:val="20"/>
                <w:lang w:eastAsia="cs-CZ"/>
              </w:rPr>
              <w:t>4,88</w:t>
            </w:r>
          </w:p>
        </w:tc>
      </w:tr>
      <w:tr w:rsidR="00C425F2" w:rsidRPr="00E7138D" w14:paraId="075CBF32" w14:textId="77777777" w:rsidTr="007A7763">
        <w:trPr>
          <w:trHeight w:val="283"/>
        </w:trPr>
        <w:tc>
          <w:tcPr>
            <w:tcW w:w="1457" w:type="pct"/>
            <w:noWrap/>
            <w:vAlign w:val="center"/>
            <w:hideMark/>
          </w:tcPr>
          <w:p w14:paraId="2A10A527" w14:textId="5C0A2BAB" w:rsidR="00D55F31" w:rsidRPr="00E7138D" w:rsidRDefault="000C7B00" w:rsidP="000C7B00">
            <w:pPr>
              <w:jc w:val="center"/>
              <w:rPr>
                <w:rFonts w:ascii="Calibri" w:hAnsi="Calibri" w:cs="Calibri"/>
                <w:color w:val="000000"/>
                <w:sz w:val="20"/>
                <w:szCs w:val="20"/>
                <w:lang w:eastAsia="cs-CZ"/>
              </w:rPr>
            </w:pPr>
            <w:r>
              <w:rPr>
                <w:rFonts w:ascii="Calibri" w:hAnsi="Calibri" w:cs="Calibri"/>
                <w:color w:val="000000"/>
                <w:sz w:val="20"/>
                <w:szCs w:val="20"/>
                <w:lang w:eastAsia="cs-CZ"/>
              </w:rPr>
              <w:t>od</w:t>
            </w:r>
            <w:r w:rsidR="0024693B" w:rsidRPr="00E7138D">
              <w:rPr>
                <w:rFonts w:ascii="Calibri" w:hAnsi="Calibri" w:cs="Calibri"/>
                <w:color w:val="000000"/>
                <w:sz w:val="20"/>
                <w:szCs w:val="20"/>
                <w:lang w:eastAsia="cs-CZ"/>
              </w:rPr>
              <w:t xml:space="preserve"> 40 do 50</w:t>
            </w:r>
          </w:p>
        </w:tc>
        <w:tc>
          <w:tcPr>
            <w:tcW w:w="603" w:type="pct"/>
            <w:noWrap/>
            <w:vAlign w:val="center"/>
          </w:tcPr>
          <w:p w14:paraId="5B9C91EC" w14:textId="77777777" w:rsidR="00D55F31" w:rsidRPr="00E7138D" w:rsidRDefault="0024693B" w:rsidP="0002290A">
            <w:pPr>
              <w:ind w:right="283"/>
              <w:jc w:val="right"/>
              <w:rPr>
                <w:rFonts w:ascii="Calibri" w:hAnsi="Calibri" w:cs="Calibri"/>
                <w:color w:val="000000"/>
                <w:sz w:val="20"/>
                <w:szCs w:val="20"/>
                <w:lang w:eastAsia="cs-CZ"/>
              </w:rPr>
            </w:pPr>
            <w:r w:rsidRPr="00E7138D">
              <w:rPr>
                <w:rFonts w:ascii="Calibri" w:hAnsi="Calibri" w:cs="Calibri"/>
                <w:color w:val="000000"/>
                <w:sz w:val="20"/>
                <w:szCs w:val="20"/>
                <w:lang w:eastAsia="cs-CZ"/>
              </w:rPr>
              <w:t>2</w:t>
            </w:r>
          </w:p>
        </w:tc>
        <w:tc>
          <w:tcPr>
            <w:tcW w:w="602" w:type="pct"/>
            <w:noWrap/>
            <w:vAlign w:val="center"/>
          </w:tcPr>
          <w:p w14:paraId="2096F2E3" w14:textId="77777777" w:rsidR="00D55F31" w:rsidRPr="00E7138D" w:rsidRDefault="0024693B" w:rsidP="0002290A">
            <w:pPr>
              <w:ind w:right="283"/>
              <w:jc w:val="right"/>
              <w:rPr>
                <w:rFonts w:ascii="Calibri" w:hAnsi="Calibri" w:cs="Calibri"/>
                <w:color w:val="000000"/>
                <w:sz w:val="20"/>
                <w:szCs w:val="20"/>
                <w:lang w:eastAsia="cs-CZ"/>
              </w:rPr>
            </w:pPr>
            <w:r w:rsidRPr="00E7138D">
              <w:rPr>
                <w:rFonts w:ascii="Calibri" w:hAnsi="Calibri" w:cs="Calibri"/>
                <w:color w:val="000000"/>
                <w:sz w:val="20"/>
                <w:szCs w:val="20"/>
                <w:lang w:eastAsia="cs-CZ"/>
              </w:rPr>
              <w:t>1</w:t>
            </w:r>
          </w:p>
        </w:tc>
        <w:tc>
          <w:tcPr>
            <w:tcW w:w="601" w:type="pct"/>
            <w:noWrap/>
            <w:vAlign w:val="center"/>
          </w:tcPr>
          <w:p w14:paraId="59F0B45F" w14:textId="77777777" w:rsidR="00D55F31" w:rsidRPr="00E7138D" w:rsidRDefault="00D55F31" w:rsidP="0002290A">
            <w:pPr>
              <w:ind w:right="283"/>
              <w:jc w:val="right"/>
              <w:rPr>
                <w:rFonts w:ascii="Calibri" w:hAnsi="Calibri" w:cs="Calibri"/>
                <w:color w:val="000000"/>
                <w:sz w:val="20"/>
                <w:szCs w:val="20"/>
                <w:lang w:eastAsia="cs-CZ"/>
              </w:rPr>
            </w:pPr>
          </w:p>
        </w:tc>
        <w:tc>
          <w:tcPr>
            <w:tcW w:w="847" w:type="pct"/>
            <w:noWrap/>
            <w:vAlign w:val="center"/>
          </w:tcPr>
          <w:p w14:paraId="02448C6A" w14:textId="77777777" w:rsidR="00D55F31" w:rsidRPr="00E7138D" w:rsidRDefault="0024693B" w:rsidP="0002290A">
            <w:pPr>
              <w:ind w:right="454"/>
              <w:jc w:val="right"/>
              <w:rPr>
                <w:rFonts w:ascii="Calibri" w:hAnsi="Calibri" w:cs="Calibri"/>
                <w:b/>
                <w:color w:val="000000"/>
                <w:sz w:val="20"/>
                <w:szCs w:val="20"/>
                <w:lang w:eastAsia="cs-CZ"/>
              </w:rPr>
            </w:pPr>
            <w:r w:rsidRPr="00E7138D">
              <w:rPr>
                <w:rFonts w:ascii="Calibri" w:hAnsi="Calibri" w:cs="Calibri"/>
                <w:b/>
                <w:color w:val="000000"/>
                <w:sz w:val="20"/>
                <w:szCs w:val="20"/>
                <w:lang w:eastAsia="cs-CZ"/>
              </w:rPr>
              <w:t>3</w:t>
            </w:r>
          </w:p>
        </w:tc>
        <w:tc>
          <w:tcPr>
            <w:tcW w:w="890" w:type="pct"/>
            <w:noWrap/>
            <w:vAlign w:val="center"/>
          </w:tcPr>
          <w:p w14:paraId="1ACB6134" w14:textId="77777777" w:rsidR="00D55F31" w:rsidRPr="00E7138D" w:rsidRDefault="0024693B" w:rsidP="0002290A">
            <w:pPr>
              <w:ind w:right="340"/>
              <w:jc w:val="right"/>
              <w:rPr>
                <w:rFonts w:ascii="Calibri" w:hAnsi="Calibri" w:cs="Calibri"/>
                <w:color w:val="000000"/>
                <w:sz w:val="20"/>
                <w:szCs w:val="20"/>
                <w:lang w:eastAsia="cs-CZ"/>
              </w:rPr>
            </w:pPr>
            <w:r w:rsidRPr="00E7138D">
              <w:rPr>
                <w:rFonts w:ascii="Calibri" w:hAnsi="Calibri" w:cs="Calibri"/>
                <w:color w:val="000000"/>
                <w:sz w:val="20"/>
                <w:szCs w:val="20"/>
                <w:lang w:eastAsia="cs-CZ"/>
              </w:rPr>
              <w:t>3,66</w:t>
            </w:r>
          </w:p>
        </w:tc>
      </w:tr>
      <w:tr w:rsidR="00C425F2" w:rsidRPr="00E7138D" w14:paraId="5D5F709D" w14:textId="77777777" w:rsidTr="007A7763">
        <w:trPr>
          <w:trHeight w:val="283"/>
        </w:trPr>
        <w:tc>
          <w:tcPr>
            <w:tcW w:w="1457" w:type="pct"/>
            <w:noWrap/>
            <w:vAlign w:val="center"/>
            <w:hideMark/>
          </w:tcPr>
          <w:p w14:paraId="0C1F873B" w14:textId="77777777" w:rsidR="00D55F31" w:rsidRPr="00E7138D" w:rsidRDefault="0024693B" w:rsidP="0002290A">
            <w:pPr>
              <w:jc w:val="center"/>
              <w:rPr>
                <w:rFonts w:ascii="Calibri" w:hAnsi="Calibri" w:cs="Calibri"/>
                <w:color w:val="000000"/>
                <w:sz w:val="20"/>
                <w:szCs w:val="20"/>
                <w:lang w:eastAsia="cs-CZ"/>
              </w:rPr>
            </w:pPr>
            <w:r w:rsidRPr="00E7138D">
              <w:rPr>
                <w:rFonts w:ascii="Calibri" w:hAnsi="Calibri" w:cs="Calibri"/>
                <w:color w:val="000000"/>
                <w:sz w:val="20"/>
                <w:szCs w:val="20"/>
                <w:lang w:eastAsia="cs-CZ"/>
              </w:rPr>
              <w:t>do 40</w:t>
            </w:r>
          </w:p>
        </w:tc>
        <w:tc>
          <w:tcPr>
            <w:tcW w:w="603" w:type="pct"/>
            <w:noWrap/>
            <w:vAlign w:val="center"/>
          </w:tcPr>
          <w:p w14:paraId="3093A067" w14:textId="77777777" w:rsidR="00D55F31" w:rsidRPr="00E7138D" w:rsidRDefault="00D55F31" w:rsidP="0002290A">
            <w:pPr>
              <w:ind w:right="283"/>
              <w:jc w:val="right"/>
              <w:rPr>
                <w:rFonts w:ascii="Calibri" w:hAnsi="Calibri" w:cs="Calibri"/>
                <w:color w:val="000000"/>
                <w:sz w:val="20"/>
                <w:szCs w:val="20"/>
                <w:lang w:eastAsia="cs-CZ"/>
              </w:rPr>
            </w:pPr>
          </w:p>
        </w:tc>
        <w:tc>
          <w:tcPr>
            <w:tcW w:w="602" w:type="pct"/>
            <w:noWrap/>
            <w:vAlign w:val="center"/>
          </w:tcPr>
          <w:p w14:paraId="2A7D4B36" w14:textId="77777777" w:rsidR="00D55F31" w:rsidRPr="00E7138D" w:rsidRDefault="0024693B" w:rsidP="0002290A">
            <w:pPr>
              <w:ind w:right="283"/>
              <w:jc w:val="right"/>
              <w:rPr>
                <w:rFonts w:ascii="Calibri" w:hAnsi="Calibri" w:cs="Calibri"/>
                <w:color w:val="000000"/>
                <w:sz w:val="20"/>
                <w:szCs w:val="20"/>
                <w:lang w:eastAsia="cs-CZ"/>
              </w:rPr>
            </w:pPr>
            <w:r w:rsidRPr="00E7138D">
              <w:rPr>
                <w:rFonts w:ascii="Calibri" w:hAnsi="Calibri" w:cs="Calibri"/>
                <w:color w:val="000000"/>
                <w:sz w:val="20"/>
                <w:szCs w:val="20"/>
                <w:lang w:eastAsia="cs-CZ"/>
              </w:rPr>
              <w:t>1</w:t>
            </w:r>
          </w:p>
        </w:tc>
        <w:tc>
          <w:tcPr>
            <w:tcW w:w="601" w:type="pct"/>
            <w:noWrap/>
            <w:vAlign w:val="center"/>
          </w:tcPr>
          <w:p w14:paraId="23BB2E83" w14:textId="77777777" w:rsidR="00D55F31" w:rsidRPr="00E7138D" w:rsidRDefault="0024693B" w:rsidP="0002290A">
            <w:pPr>
              <w:ind w:right="283"/>
              <w:jc w:val="right"/>
              <w:rPr>
                <w:rFonts w:ascii="Calibri" w:hAnsi="Calibri" w:cs="Calibri"/>
                <w:color w:val="000000"/>
                <w:sz w:val="20"/>
                <w:szCs w:val="20"/>
                <w:lang w:eastAsia="cs-CZ"/>
              </w:rPr>
            </w:pPr>
            <w:r w:rsidRPr="00E7138D">
              <w:rPr>
                <w:rFonts w:ascii="Calibri" w:hAnsi="Calibri" w:cs="Calibri"/>
                <w:color w:val="000000"/>
                <w:sz w:val="20"/>
                <w:szCs w:val="20"/>
                <w:lang w:eastAsia="cs-CZ"/>
              </w:rPr>
              <w:t>1</w:t>
            </w:r>
          </w:p>
        </w:tc>
        <w:tc>
          <w:tcPr>
            <w:tcW w:w="847" w:type="pct"/>
            <w:noWrap/>
            <w:vAlign w:val="center"/>
          </w:tcPr>
          <w:p w14:paraId="5EF40D89" w14:textId="77777777" w:rsidR="00D55F31" w:rsidRPr="00E7138D" w:rsidRDefault="0024693B" w:rsidP="0002290A">
            <w:pPr>
              <w:ind w:right="454"/>
              <w:jc w:val="right"/>
              <w:rPr>
                <w:rFonts w:ascii="Calibri" w:hAnsi="Calibri" w:cs="Calibri"/>
                <w:b/>
                <w:color w:val="000000"/>
                <w:sz w:val="20"/>
                <w:szCs w:val="20"/>
                <w:lang w:eastAsia="cs-CZ"/>
              </w:rPr>
            </w:pPr>
            <w:r w:rsidRPr="00E7138D">
              <w:rPr>
                <w:rFonts w:ascii="Calibri" w:hAnsi="Calibri" w:cs="Calibri"/>
                <w:b/>
                <w:color w:val="000000"/>
                <w:sz w:val="20"/>
                <w:szCs w:val="20"/>
                <w:lang w:eastAsia="cs-CZ"/>
              </w:rPr>
              <w:t>2</w:t>
            </w:r>
          </w:p>
        </w:tc>
        <w:tc>
          <w:tcPr>
            <w:tcW w:w="890" w:type="pct"/>
            <w:noWrap/>
            <w:vAlign w:val="center"/>
          </w:tcPr>
          <w:p w14:paraId="53B83894" w14:textId="77777777" w:rsidR="00D55F31" w:rsidRPr="00E7138D" w:rsidRDefault="0024693B" w:rsidP="0002290A">
            <w:pPr>
              <w:ind w:right="340"/>
              <w:jc w:val="right"/>
              <w:rPr>
                <w:rFonts w:ascii="Calibri" w:hAnsi="Calibri" w:cs="Calibri"/>
                <w:color w:val="000000"/>
                <w:sz w:val="20"/>
                <w:szCs w:val="20"/>
                <w:lang w:eastAsia="cs-CZ"/>
              </w:rPr>
            </w:pPr>
            <w:r w:rsidRPr="00E7138D">
              <w:rPr>
                <w:rFonts w:ascii="Calibri" w:hAnsi="Calibri" w:cs="Calibri"/>
                <w:color w:val="000000"/>
                <w:sz w:val="20"/>
                <w:szCs w:val="20"/>
                <w:lang w:eastAsia="cs-CZ"/>
              </w:rPr>
              <w:t>2,44</w:t>
            </w:r>
          </w:p>
        </w:tc>
      </w:tr>
    </w:tbl>
    <w:p w14:paraId="317011A0" w14:textId="77777777" w:rsidR="00D55F31" w:rsidRPr="00E7138D" w:rsidRDefault="0024693B" w:rsidP="0002290A">
      <w:pPr>
        <w:spacing w:before="40"/>
        <w:jc w:val="both"/>
        <w:rPr>
          <w:rFonts w:ascii="Calibri" w:hAnsi="Calibri" w:cs="Calibri"/>
          <w:sz w:val="28"/>
        </w:rPr>
      </w:pPr>
      <w:r w:rsidRPr="00E7138D">
        <w:rPr>
          <w:rFonts w:ascii="Calibri" w:hAnsi="Calibri" w:cs="Calibri"/>
          <w:b/>
          <w:sz w:val="20"/>
          <w:szCs w:val="18"/>
        </w:rPr>
        <w:t>Zdroj:</w:t>
      </w:r>
      <w:r w:rsidRPr="00E7138D">
        <w:rPr>
          <w:rFonts w:ascii="Calibri" w:hAnsi="Calibri" w:cs="Calibri"/>
          <w:sz w:val="28"/>
        </w:rPr>
        <w:t xml:space="preserve"> </w:t>
      </w:r>
      <w:r w:rsidRPr="00E7138D">
        <w:rPr>
          <w:rFonts w:ascii="Calibri" w:hAnsi="Calibri" w:cs="Calibri"/>
          <w:sz w:val="20"/>
          <w:szCs w:val="20"/>
        </w:rPr>
        <w:t>p</w:t>
      </w:r>
      <w:r w:rsidRPr="00E7138D">
        <w:rPr>
          <w:rFonts w:ascii="Calibri" w:hAnsi="Calibri" w:cs="Calibri"/>
          <w:bCs/>
          <w:sz w:val="20"/>
          <w:szCs w:val="18"/>
        </w:rPr>
        <w:t>odklady 82 veřejných zakázek předané ke kontrole SLL Janské Lázně.</w:t>
      </w:r>
    </w:p>
    <w:p w14:paraId="3360F1C1" w14:textId="77777777" w:rsidR="00D55F31" w:rsidRDefault="0024693B" w:rsidP="003C4A8B">
      <w:pPr>
        <w:spacing w:before="120"/>
        <w:ind w:left="1134" w:hanging="1134"/>
        <w:jc w:val="both"/>
        <w:rPr>
          <w:rFonts w:ascii="Calibri" w:hAnsi="Calibri" w:cs="Calibri"/>
          <w:b/>
          <w:bCs/>
        </w:rPr>
      </w:pPr>
      <w:r w:rsidRPr="00E7138D">
        <w:rPr>
          <w:rFonts w:ascii="Calibri" w:hAnsi="Calibri" w:cs="Calibri"/>
          <w:b/>
        </w:rPr>
        <w:lastRenderedPageBreak/>
        <w:t xml:space="preserve">Graf č. 1 – </w:t>
      </w:r>
      <w:r w:rsidR="003C4A8B">
        <w:rPr>
          <w:rFonts w:ascii="Calibri" w:hAnsi="Calibri" w:cs="Calibri"/>
          <w:b/>
        </w:rPr>
        <w:tab/>
      </w:r>
      <w:r w:rsidRPr="00E7138D">
        <w:rPr>
          <w:rFonts w:ascii="Calibri" w:hAnsi="Calibri" w:cs="Calibri"/>
          <w:b/>
        </w:rPr>
        <w:t xml:space="preserve">Vyhodnocení veřejných zakázek </w:t>
      </w:r>
      <w:r w:rsidRPr="00E7138D">
        <w:rPr>
          <w:rFonts w:ascii="Calibri" w:hAnsi="Calibri" w:cs="Calibri"/>
          <w:b/>
          <w:bCs/>
        </w:rPr>
        <w:t>zadaných v rámci veřejných zakázek malého rozsahu, podlimitních a nadlimitních zakázek</w:t>
      </w:r>
    </w:p>
    <w:p w14:paraId="6B1FE532" w14:textId="17DAA283" w:rsidR="00584517" w:rsidRDefault="00584517" w:rsidP="003C4A8B">
      <w:pPr>
        <w:spacing w:before="120"/>
        <w:ind w:left="1134" w:hanging="1134"/>
        <w:jc w:val="both"/>
        <w:rPr>
          <w:rFonts w:ascii="Calibri" w:hAnsi="Calibri" w:cs="Calibri"/>
          <w:b/>
        </w:rPr>
      </w:pPr>
      <w:r>
        <w:rPr>
          <w:noProof/>
          <w:lang w:eastAsia="cs-CZ"/>
        </w:rPr>
        <w:drawing>
          <wp:inline distT="0" distB="0" distL="0" distR="0" wp14:anchorId="39992E78" wp14:editId="15ECD7A1">
            <wp:extent cx="5760720" cy="2453640"/>
            <wp:effectExtent l="0" t="0" r="0" b="3810"/>
            <wp:docPr id="3" name="Obrázek 3" descr="cid:image001.png@01D2337A.77130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 1" descr="cid:image001.png@01D2337A.77130E9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60720" cy="2453640"/>
                    </a:xfrm>
                    <a:prstGeom prst="rect">
                      <a:avLst/>
                    </a:prstGeom>
                    <a:noFill/>
                    <a:ln>
                      <a:noFill/>
                    </a:ln>
                  </pic:spPr>
                </pic:pic>
              </a:graphicData>
            </a:graphic>
          </wp:inline>
        </w:drawing>
      </w:r>
    </w:p>
    <w:p w14:paraId="6427B200" w14:textId="37114945" w:rsidR="00D55F31" w:rsidRPr="00E7138D" w:rsidRDefault="0024693B" w:rsidP="0002290A">
      <w:pPr>
        <w:jc w:val="both"/>
        <w:rPr>
          <w:rFonts w:ascii="Calibri" w:hAnsi="Calibri" w:cs="Calibri"/>
          <w:sz w:val="20"/>
          <w:szCs w:val="20"/>
        </w:rPr>
      </w:pPr>
      <w:r w:rsidRPr="00E7138D">
        <w:rPr>
          <w:rFonts w:ascii="Calibri" w:hAnsi="Calibri" w:cs="Calibri"/>
          <w:b/>
          <w:sz w:val="20"/>
          <w:szCs w:val="20"/>
        </w:rPr>
        <w:t>Zdroj</w:t>
      </w:r>
      <w:r w:rsidRPr="00E7138D">
        <w:rPr>
          <w:rFonts w:ascii="Calibri" w:hAnsi="Calibri" w:cs="Calibri"/>
          <w:sz w:val="20"/>
          <w:szCs w:val="20"/>
        </w:rPr>
        <w:t xml:space="preserve">: </w:t>
      </w:r>
      <w:r w:rsidR="00584517">
        <w:rPr>
          <w:rFonts w:ascii="Calibri" w:hAnsi="Calibri" w:cs="Calibri"/>
          <w:bCs/>
          <w:sz w:val="20"/>
          <w:szCs w:val="20"/>
        </w:rPr>
        <w:t>p</w:t>
      </w:r>
      <w:r w:rsidRPr="00E7138D">
        <w:rPr>
          <w:rFonts w:ascii="Calibri" w:hAnsi="Calibri" w:cs="Calibri"/>
          <w:bCs/>
          <w:sz w:val="20"/>
          <w:szCs w:val="20"/>
        </w:rPr>
        <w:t>odklady 82 VZ předané ke kontrole SLL Janské Lázně.</w:t>
      </w:r>
    </w:p>
    <w:p w14:paraId="61E49F43" w14:textId="0D3A34B0" w:rsidR="00D55F31" w:rsidRPr="00E7138D" w:rsidRDefault="0024693B" w:rsidP="007B3D2C">
      <w:pPr>
        <w:spacing w:before="240"/>
        <w:jc w:val="both"/>
        <w:rPr>
          <w:rFonts w:ascii="Calibri" w:hAnsi="Calibri" w:cs="Calibri"/>
          <w:bCs/>
        </w:rPr>
      </w:pPr>
      <w:r w:rsidRPr="00E7138D">
        <w:rPr>
          <w:rFonts w:ascii="Calibri" w:hAnsi="Calibri" w:cs="Calibri"/>
          <w:bCs/>
        </w:rPr>
        <w:t>Z vyhodnocení cen vítězných nabídek ve vztahu k jejich předpokládaným hodnotám bylo zjištěno, že</w:t>
      </w:r>
      <w:r w:rsidR="000C7B00">
        <w:rPr>
          <w:rFonts w:ascii="Calibri" w:hAnsi="Calibri" w:cs="Calibri"/>
          <w:bCs/>
        </w:rPr>
        <w:t xml:space="preserve"> </w:t>
      </w:r>
      <w:r w:rsidRPr="00E7138D">
        <w:rPr>
          <w:rFonts w:ascii="Calibri" w:hAnsi="Calibri" w:cs="Calibri"/>
          <w:bCs/>
        </w:rPr>
        <w:t xml:space="preserve">většina realizovaných VZ byla </w:t>
      </w:r>
      <w:proofErr w:type="spellStart"/>
      <w:r w:rsidRPr="00E7138D">
        <w:rPr>
          <w:rFonts w:ascii="Calibri" w:hAnsi="Calibri" w:cs="Calibri"/>
          <w:bCs/>
        </w:rPr>
        <w:t>vysoutěžena</w:t>
      </w:r>
      <w:proofErr w:type="spellEnd"/>
      <w:r w:rsidRPr="00E7138D">
        <w:rPr>
          <w:rFonts w:ascii="Calibri" w:hAnsi="Calibri" w:cs="Calibri"/>
          <w:bCs/>
        </w:rPr>
        <w:t xml:space="preserve"> za ceny na úrovni 80–100 % předpokládané hodnoty (tj. 57,31 %). Dále bylo zjištěno, že u 4,88 % (tj. </w:t>
      </w:r>
      <w:r w:rsidR="000C7B00">
        <w:rPr>
          <w:rFonts w:ascii="Calibri" w:hAnsi="Calibri" w:cs="Calibri"/>
          <w:bCs/>
        </w:rPr>
        <w:t>u </w:t>
      </w:r>
      <w:r w:rsidRPr="00E7138D">
        <w:rPr>
          <w:rFonts w:ascii="Calibri" w:hAnsi="Calibri" w:cs="Calibri"/>
          <w:bCs/>
        </w:rPr>
        <w:t xml:space="preserve">čtyř VZ) byla </w:t>
      </w:r>
      <w:proofErr w:type="spellStart"/>
      <w:r w:rsidRPr="00E7138D">
        <w:rPr>
          <w:rFonts w:ascii="Calibri" w:hAnsi="Calibri" w:cs="Calibri"/>
          <w:bCs/>
        </w:rPr>
        <w:t>vysoutěžená</w:t>
      </w:r>
      <w:proofErr w:type="spellEnd"/>
      <w:r w:rsidRPr="00E7138D">
        <w:rPr>
          <w:rFonts w:ascii="Calibri" w:hAnsi="Calibri" w:cs="Calibri"/>
          <w:bCs/>
        </w:rPr>
        <w:t xml:space="preserve"> cena vyšší než 130 % předpokládané hodnoty. </w:t>
      </w:r>
    </w:p>
    <w:p w14:paraId="1054B527" w14:textId="77777777" w:rsidR="009764C9" w:rsidRDefault="009764C9" w:rsidP="0002290A">
      <w:pPr>
        <w:rPr>
          <w:rFonts w:ascii="Calibri" w:eastAsia="Calibri" w:hAnsi="Calibri" w:cs="Calibri"/>
        </w:rPr>
      </w:pPr>
    </w:p>
    <w:p w14:paraId="1ABEB172" w14:textId="57802BDF" w:rsidR="00D55F31" w:rsidRPr="00E7138D" w:rsidRDefault="0024693B" w:rsidP="0002290A">
      <w:pPr>
        <w:rPr>
          <w:rFonts w:ascii="Calibri" w:eastAsia="Calibri" w:hAnsi="Calibri" w:cs="Calibri"/>
        </w:rPr>
      </w:pPr>
      <w:r w:rsidRPr="00E7138D">
        <w:rPr>
          <w:rFonts w:ascii="Calibri" w:eastAsia="Calibri" w:hAnsi="Calibri" w:cs="Calibri"/>
        </w:rPr>
        <w:br w:type="page"/>
      </w:r>
    </w:p>
    <w:p w14:paraId="20AA2FAB" w14:textId="77777777" w:rsidR="00D55F31" w:rsidRPr="00E7138D" w:rsidRDefault="003C4A8B" w:rsidP="0002290A">
      <w:pPr>
        <w:tabs>
          <w:tab w:val="left" w:pos="284"/>
        </w:tabs>
        <w:spacing w:after="120"/>
        <w:jc w:val="right"/>
        <w:rPr>
          <w:rFonts w:ascii="Calibri" w:eastAsia="Calibri" w:hAnsi="Calibri" w:cs="Calibri"/>
          <w:b/>
        </w:rPr>
      </w:pPr>
      <w:r>
        <w:rPr>
          <w:rFonts w:ascii="Calibri" w:eastAsia="Calibri" w:hAnsi="Calibri" w:cs="Calibri"/>
          <w:b/>
        </w:rPr>
        <w:lastRenderedPageBreak/>
        <w:t>PŘÍLOHA č. 3</w:t>
      </w:r>
    </w:p>
    <w:p w14:paraId="3BF37103" w14:textId="77777777" w:rsidR="00D55F31" w:rsidRPr="00E7138D" w:rsidRDefault="0024693B" w:rsidP="00E7138D">
      <w:pPr>
        <w:tabs>
          <w:tab w:val="right" w:pos="9072"/>
        </w:tabs>
        <w:spacing w:after="40"/>
        <w:ind w:left="1418" w:hanging="1418"/>
        <w:jc w:val="both"/>
        <w:rPr>
          <w:rFonts w:ascii="Calibri" w:eastAsia="Calibri" w:hAnsi="Calibri" w:cs="Calibri"/>
          <w:b/>
        </w:rPr>
      </w:pPr>
      <w:r w:rsidRPr="00E7138D">
        <w:rPr>
          <w:rFonts w:ascii="Calibri" w:eastAsia="Calibri" w:hAnsi="Calibri" w:cs="Calibri"/>
          <w:b/>
        </w:rPr>
        <w:t xml:space="preserve">Tabulka č. 1 – </w:t>
      </w:r>
      <w:r w:rsidR="00E7138D">
        <w:rPr>
          <w:rFonts w:ascii="Calibri" w:eastAsia="Calibri" w:hAnsi="Calibri" w:cs="Calibri"/>
          <w:b/>
        </w:rPr>
        <w:tab/>
      </w:r>
      <w:r w:rsidRPr="00E7138D">
        <w:rPr>
          <w:rFonts w:ascii="Calibri" w:eastAsia="Calibri" w:hAnsi="Calibri" w:cs="Calibri"/>
          <w:b/>
        </w:rPr>
        <w:t xml:space="preserve">SLL Bludov – sjednané ceny na rok 2015 se ZP pro shodné indikace za ošetřovací den (léčení, ubytování kategorie A, </w:t>
      </w:r>
      <w:proofErr w:type="gramStart"/>
      <w:r w:rsidRPr="00E7138D">
        <w:rPr>
          <w:rFonts w:ascii="Calibri" w:eastAsia="Calibri" w:hAnsi="Calibri" w:cs="Calibri"/>
          <w:b/>
        </w:rPr>
        <w:t>strava)</w:t>
      </w:r>
      <w:r w:rsidRPr="00E7138D">
        <w:rPr>
          <w:rFonts w:ascii="Calibri" w:eastAsia="Calibri" w:hAnsi="Calibri" w:cs="Calibri"/>
          <w:b/>
        </w:rPr>
        <w:tab/>
        <w:t>(v Kč</w:t>
      </w:r>
      <w:proofErr w:type="gramEnd"/>
      <w:r w:rsidRPr="00E7138D">
        <w:rPr>
          <w:rFonts w:ascii="Calibri" w:eastAsia="Calibri" w:hAnsi="Calibri" w:cs="Calibri"/>
          <w:b/>
        </w:rPr>
        <w:t>)</w:t>
      </w:r>
    </w:p>
    <w:tbl>
      <w:tblPr>
        <w:tblW w:w="5000" w:type="pct"/>
        <w:tblInd w:w="-15" w:type="dxa"/>
        <w:tblCellMar>
          <w:left w:w="70" w:type="dxa"/>
          <w:right w:w="70" w:type="dxa"/>
        </w:tblCellMar>
        <w:tblLook w:val="04A0" w:firstRow="1" w:lastRow="0" w:firstColumn="1" w:lastColumn="0" w:noHBand="0" w:noVBand="1"/>
      </w:tblPr>
      <w:tblGrid>
        <w:gridCol w:w="2306"/>
        <w:gridCol w:w="792"/>
        <w:gridCol w:w="792"/>
        <w:gridCol w:w="792"/>
        <w:gridCol w:w="792"/>
        <w:gridCol w:w="980"/>
        <w:gridCol w:w="792"/>
        <w:gridCol w:w="796"/>
        <w:gridCol w:w="1000"/>
      </w:tblGrid>
      <w:tr w:rsidR="00C425F2" w:rsidRPr="00E7138D" w14:paraId="78AD17A8" w14:textId="77777777" w:rsidTr="00FD7522">
        <w:trPr>
          <w:trHeight w:val="20"/>
        </w:trPr>
        <w:tc>
          <w:tcPr>
            <w:tcW w:w="1275" w:type="pct"/>
            <w:tcBorders>
              <w:top w:val="single" w:sz="12" w:space="0" w:color="auto"/>
              <w:left w:val="single" w:sz="12" w:space="0" w:color="auto"/>
              <w:bottom w:val="single" w:sz="6" w:space="0" w:color="auto"/>
              <w:right w:val="single" w:sz="6" w:space="0" w:color="auto"/>
            </w:tcBorders>
            <w:shd w:val="clear" w:color="000000" w:fill="D9E1F2"/>
            <w:noWrap/>
            <w:vAlign w:val="center"/>
            <w:hideMark/>
          </w:tcPr>
          <w:p w14:paraId="05435B48" w14:textId="77777777" w:rsidR="00D55F31" w:rsidRPr="00E7138D" w:rsidRDefault="0024693B" w:rsidP="0002290A">
            <w:pPr>
              <w:jc w:val="center"/>
              <w:rPr>
                <w:rFonts w:ascii="Calibri" w:hAnsi="Calibri" w:cs="Calibri"/>
                <w:b/>
                <w:bCs/>
                <w:iCs/>
                <w:sz w:val="20"/>
                <w:szCs w:val="20"/>
                <w:lang w:eastAsia="cs-CZ"/>
              </w:rPr>
            </w:pPr>
            <w:r w:rsidRPr="00E7138D">
              <w:rPr>
                <w:rFonts w:ascii="Calibri" w:hAnsi="Calibri" w:cs="Calibri"/>
                <w:b/>
                <w:bCs/>
                <w:iCs/>
                <w:sz w:val="20"/>
                <w:szCs w:val="20"/>
              </w:rPr>
              <w:t>Indikace</w:t>
            </w:r>
          </w:p>
        </w:tc>
        <w:tc>
          <w:tcPr>
            <w:tcW w:w="438" w:type="pct"/>
            <w:tcBorders>
              <w:top w:val="single" w:sz="12" w:space="0" w:color="auto"/>
              <w:left w:val="single" w:sz="6" w:space="0" w:color="auto"/>
              <w:bottom w:val="single" w:sz="6" w:space="0" w:color="auto"/>
              <w:right w:val="single" w:sz="6" w:space="0" w:color="auto"/>
            </w:tcBorders>
            <w:shd w:val="clear" w:color="000000" w:fill="D9E1F2"/>
            <w:noWrap/>
            <w:vAlign w:val="bottom"/>
            <w:hideMark/>
          </w:tcPr>
          <w:p w14:paraId="04118ECF" w14:textId="77777777" w:rsidR="00D55F31" w:rsidRPr="00E7138D" w:rsidRDefault="0024693B" w:rsidP="0002290A">
            <w:pPr>
              <w:jc w:val="center"/>
              <w:rPr>
                <w:rFonts w:ascii="Calibri" w:hAnsi="Calibri" w:cs="Calibri"/>
                <w:b/>
                <w:bCs/>
                <w:iCs/>
                <w:sz w:val="20"/>
                <w:szCs w:val="20"/>
              </w:rPr>
            </w:pPr>
            <w:r w:rsidRPr="00E7138D">
              <w:rPr>
                <w:rFonts w:ascii="Calibri" w:hAnsi="Calibri" w:cs="Calibri"/>
                <w:b/>
                <w:bCs/>
                <w:iCs/>
                <w:sz w:val="20"/>
                <w:szCs w:val="20"/>
              </w:rPr>
              <w:t>ZP1</w:t>
            </w:r>
          </w:p>
        </w:tc>
        <w:tc>
          <w:tcPr>
            <w:tcW w:w="438" w:type="pct"/>
            <w:tcBorders>
              <w:top w:val="single" w:sz="12" w:space="0" w:color="auto"/>
              <w:left w:val="single" w:sz="6" w:space="0" w:color="auto"/>
              <w:bottom w:val="single" w:sz="6" w:space="0" w:color="auto"/>
              <w:right w:val="single" w:sz="6" w:space="0" w:color="auto"/>
            </w:tcBorders>
            <w:shd w:val="clear" w:color="000000" w:fill="D9E1F2"/>
            <w:noWrap/>
            <w:vAlign w:val="bottom"/>
            <w:hideMark/>
          </w:tcPr>
          <w:p w14:paraId="30A050C6" w14:textId="77777777" w:rsidR="00D55F31" w:rsidRPr="00E7138D" w:rsidRDefault="0024693B" w:rsidP="0002290A">
            <w:pPr>
              <w:jc w:val="center"/>
              <w:rPr>
                <w:rFonts w:ascii="Calibri" w:hAnsi="Calibri" w:cs="Calibri"/>
                <w:b/>
                <w:bCs/>
                <w:iCs/>
                <w:sz w:val="20"/>
                <w:szCs w:val="20"/>
              </w:rPr>
            </w:pPr>
            <w:r w:rsidRPr="00E7138D">
              <w:rPr>
                <w:rFonts w:ascii="Calibri" w:hAnsi="Calibri" w:cs="Calibri"/>
                <w:b/>
                <w:bCs/>
                <w:iCs/>
                <w:sz w:val="20"/>
                <w:szCs w:val="20"/>
              </w:rPr>
              <w:t>ZP2</w:t>
            </w:r>
          </w:p>
        </w:tc>
        <w:tc>
          <w:tcPr>
            <w:tcW w:w="438" w:type="pct"/>
            <w:tcBorders>
              <w:top w:val="single" w:sz="12" w:space="0" w:color="auto"/>
              <w:left w:val="single" w:sz="6" w:space="0" w:color="auto"/>
              <w:bottom w:val="single" w:sz="6" w:space="0" w:color="auto"/>
              <w:right w:val="single" w:sz="6" w:space="0" w:color="auto"/>
            </w:tcBorders>
            <w:shd w:val="clear" w:color="000000" w:fill="D9E1F2"/>
            <w:noWrap/>
            <w:vAlign w:val="bottom"/>
            <w:hideMark/>
          </w:tcPr>
          <w:p w14:paraId="114790E7" w14:textId="77777777" w:rsidR="00D55F31" w:rsidRPr="00E7138D" w:rsidRDefault="0024693B" w:rsidP="0002290A">
            <w:pPr>
              <w:jc w:val="center"/>
              <w:rPr>
                <w:rFonts w:ascii="Calibri" w:hAnsi="Calibri" w:cs="Calibri"/>
                <w:b/>
                <w:bCs/>
                <w:iCs/>
                <w:sz w:val="20"/>
                <w:szCs w:val="20"/>
              </w:rPr>
            </w:pPr>
            <w:r w:rsidRPr="00E7138D">
              <w:rPr>
                <w:rFonts w:ascii="Calibri" w:hAnsi="Calibri" w:cs="Calibri"/>
                <w:b/>
                <w:bCs/>
                <w:iCs/>
                <w:sz w:val="20"/>
                <w:szCs w:val="20"/>
              </w:rPr>
              <w:t>ZP3</w:t>
            </w:r>
          </w:p>
        </w:tc>
        <w:tc>
          <w:tcPr>
            <w:tcW w:w="438" w:type="pct"/>
            <w:tcBorders>
              <w:top w:val="single" w:sz="12" w:space="0" w:color="auto"/>
              <w:left w:val="single" w:sz="6" w:space="0" w:color="auto"/>
              <w:bottom w:val="single" w:sz="6" w:space="0" w:color="auto"/>
              <w:right w:val="single" w:sz="6" w:space="0" w:color="auto"/>
            </w:tcBorders>
            <w:shd w:val="clear" w:color="000000" w:fill="D9E1F2"/>
            <w:noWrap/>
            <w:vAlign w:val="bottom"/>
            <w:hideMark/>
          </w:tcPr>
          <w:p w14:paraId="018EA0A6" w14:textId="77777777" w:rsidR="00D55F31" w:rsidRPr="00E7138D" w:rsidRDefault="0024693B" w:rsidP="0002290A">
            <w:pPr>
              <w:jc w:val="center"/>
              <w:rPr>
                <w:rFonts w:ascii="Calibri" w:hAnsi="Calibri" w:cs="Calibri"/>
                <w:b/>
                <w:bCs/>
                <w:iCs/>
                <w:sz w:val="20"/>
                <w:szCs w:val="20"/>
              </w:rPr>
            </w:pPr>
            <w:r w:rsidRPr="00E7138D">
              <w:rPr>
                <w:rFonts w:ascii="Calibri" w:hAnsi="Calibri" w:cs="Calibri"/>
                <w:b/>
                <w:bCs/>
                <w:iCs/>
                <w:sz w:val="20"/>
                <w:szCs w:val="20"/>
              </w:rPr>
              <w:t>ZP4</w:t>
            </w:r>
          </w:p>
        </w:tc>
        <w:tc>
          <w:tcPr>
            <w:tcW w:w="542" w:type="pct"/>
            <w:tcBorders>
              <w:top w:val="single" w:sz="12" w:space="0" w:color="auto"/>
              <w:left w:val="single" w:sz="6" w:space="0" w:color="auto"/>
              <w:bottom w:val="single" w:sz="6" w:space="0" w:color="auto"/>
              <w:right w:val="single" w:sz="6" w:space="0" w:color="auto"/>
            </w:tcBorders>
            <w:shd w:val="clear" w:color="000000" w:fill="D9E1F2"/>
            <w:noWrap/>
            <w:vAlign w:val="bottom"/>
            <w:hideMark/>
          </w:tcPr>
          <w:p w14:paraId="57B5B2A8" w14:textId="77777777" w:rsidR="00D55F31" w:rsidRPr="00E7138D" w:rsidRDefault="0024693B" w:rsidP="0002290A">
            <w:pPr>
              <w:jc w:val="center"/>
              <w:rPr>
                <w:rFonts w:ascii="Calibri" w:hAnsi="Calibri" w:cs="Calibri"/>
                <w:b/>
                <w:bCs/>
                <w:iCs/>
                <w:sz w:val="20"/>
                <w:szCs w:val="20"/>
              </w:rPr>
            </w:pPr>
            <w:r w:rsidRPr="00E7138D">
              <w:rPr>
                <w:rFonts w:ascii="Calibri" w:hAnsi="Calibri" w:cs="Calibri"/>
                <w:b/>
                <w:bCs/>
                <w:iCs/>
                <w:sz w:val="20"/>
                <w:szCs w:val="20"/>
              </w:rPr>
              <w:t>ZP5</w:t>
            </w:r>
          </w:p>
        </w:tc>
        <w:tc>
          <w:tcPr>
            <w:tcW w:w="438" w:type="pct"/>
            <w:tcBorders>
              <w:top w:val="single" w:sz="12" w:space="0" w:color="auto"/>
              <w:left w:val="single" w:sz="6" w:space="0" w:color="auto"/>
              <w:bottom w:val="single" w:sz="6" w:space="0" w:color="auto"/>
              <w:right w:val="single" w:sz="6" w:space="0" w:color="auto"/>
            </w:tcBorders>
            <w:shd w:val="clear" w:color="000000" w:fill="D9E1F2"/>
            <w:noWrap/>
            <w:vAlign w:val="bottom"/>
            <w:hideMark/>
          </w:tcPr>
          <w:p w14:paraId="7093B344" w14:textId="77777777" w:rsidR="00D55F31" w:rsidRPr="00E7138D" w:rsidRDefault="0024693B" w:rsidP="0002290A">
            <w:pPr>
              <w:jc w:val="center"/>
              <w:rPr>
                <w:rFonts w:ascii="Calibri" w:hAnsi="Calibri" w:cs="Calibri"/>
                <w:b/>
                <w:bCs/>
                <w:iCs/>
                <w:sz w:val="20"/>
                <w:szCs w:val="20"/>
              </w:rPr>
            </w:pPr>
            <w:r w:rsidRPr="00E7138D">
              <w:rPr>
                <w:rFonts w:ascii="Calibri" w:hAnsi="Calibri" w:cs="Calibri"/>
                <w:b/>
                <w:bCs/>
                <w:iCs/>
                <w:sz w:val="20"/>
                <w:szCs w:val="20"/>
              </w:rPr>
              <w:t>ZP6</w:t>
            </w:r>
          </w:p>
        </w:tc>
        <w:tc>
          <w:tcPr>
            <w:tcW w:w="440" w:type="pct"/>
            <w:tcBorders>
              <w:top w:val="single" w:sz="12" w:space="0" w:color="auto"/>
              <w:left w:val="single" w:sz="6" w:space="0" w:color="auto"/>
              <w:bottom w:val="single" w:sz="6" w:space="0" w:color="auto"/>
              <w:right w:val="single" w:sz="6" w:space="0" w:color="auto"/>
            </w:tcBorders>
            <w:shd w:val="clear" w:color="000000" w:fill="D9E1F2"/>
            <w:noWrap/>
            <w:vAlign w:val="bottom"/>
            <w:hideMark/>
          </w:tcPr>
          <w:p w14:paraId="6D513402" w14:textId="77777777" w:rsidR="00D55F31" w:rsidRPr="00E7138D" w:rsidRDefault="0024693B" w:rsidP="0002290A">
            <w:pPr>
              <w:jc w:val="center"/>
              <w:rPr>
                <w:rFonts w:ascii="Calibri" w:hAnsi="Calibri" w:cs="Calibri"/>
                <w:b/>
                <w:bCs/>
                <w:iCs/>
                <w:sz w:val="20"/>
                <w:szCs w:val="20"/>
              </w:rPr>
            </w:pPr>
            <w:r w:rsidRPr="00E7138D">
              <w:rPr>
                <w:rFonts w:ascii="Calibri" w:hAnsi="Calibri" w:cs="Calibri"/>
                <w:b/>
                <w:bCs/>
                <w:iCs/>
                <w:sz w:val="20"/>
                <w:szCs w:val="20"/>
              </w:rPr>
              <w:t>ZP7</w:t>
            </w:r>
          </w:p>
        </w:tc>
        <w:tc>
          <w:tcPr>
            <w:tcW w:w="553" w:type="pct"/>
            <w:tcBorders>
              <w:top w:val="single" w:sz="12" w:space="0" w:color="auto"/>
              <w:left w:val="single" w:sz="6" w:space="0" w:color="auto"/>
              <w:bottom w:val="single" w:sz="6" w:space="0" w:color="auto"/>
              <w:right w:val="single" w:sz="12" w:space="0" w:color="auto"/>
            </w:tcBorders>
            <w:shd w:val="clear" w:color="000000" w:fill="D9E1F2"/>
            <w:noWrap/>
            <w:vAlign w:val="bottom"/>
            <w:hideMark/>
          </w:tcPr>
          <w:p w14:paraId="5F4517C0" w14:textId="77777777" w:rsidR="00D55F31" w:rsidRPr="00E7138D" w:rsidRDefault="0024693B" w:rsidP="0002290A">
            <w:pPr>
              <w:rPr>
                <w:rFonts w:ascii="Calibri" w:hAnsi="Calibri" w:cs="Calibri"/>
                <w:b/>
                <w:bCs/>
                <w:i/>
                <w:iCs/>
                <w:sz w:val="20"/>
                <w:szCs w:val="20"/>
              </w:rPr>
            </w:pPr>
            <w:r w:rsidRPr="00E7138D">
              <w:rPr>
                <w:rFonts w:ascii="Calibri" w:hAnsi="Calibri" w:cs="Calibri"/>
                <w:b/>
                <w:bCs/>
                <w:i/>
                <w:iCs/>
                <w:sz w:val="20"/>
                <w:szCs w:val="20"/>
              </w:rPr>
              <w:t> </w:t>
            </w:r>
          </w:p>
        </w:tc>
      </w:tr>
      <w:tr w:rsidR="00C425F2" w:rsidRPr="00E7138D" w14:paraId="31AF3407" w14:textId="77777777" w:rsidTr="00FD7522">
        <w:trPr>
          <w:trHeight w:val="20"/>
        </w:trPr>
        <w:tc>
          <w:tcPr>
            <w:tcW w:w="127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371925A" w14:textId="77777777" w:rsidR="00D55F31" w:rsidRPr="00E7138D" w:rsidRDefault="0024693B" w:rsidP="0002290A">
            <w:pPr>
              <w:rPr>
                <w:rFonts w:ascii="Calibri" w:hAnsi="Calibri" w:cs="Calibri"/>
                <w:bCs/>
                <w:sz w:val="20"/>
                <w:szCs w:val="20"/>
              </w:rPr>
            </w:pPr>
            <w:r w:rsidRPr="00E7138D">
              <w:rPr>
                <w:rFonts w:ascii="Calibri" w:hAnsi="Calibri" w:cs="Calibri"/>
                <w:bCs/>
                <w:sz w:val="20"/>
                <w:szCs w:val="20"/>
              </w:rPr>
              <w:t>IV/1</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7084629"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1 100</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37866F6"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950</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D12E3ED"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1 102</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8BEDEFB"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1 111</w:t>
            </w:r>
          </w:p>
        </w:tc>
        <w:tc>
          <w:tcPr>
            <w:tcW w:w="542" w:type="pct"/>
            <w:tcBorders>
              <w:top w:val="single" w:sz="6" w:space="0" w:color="auto"/>
              <w:left w:val="single" w:sz="6" w:space="0" w:color="auto"/>
              <w:bottom w:val="single" w:sz="6" w:space="0" w:color="auto"/>
              <w:right w:val="single" w:sz="6" w:space="0" w:color="auto"/>
            </w:tcBorders>
            <w:shd w:val="clear" w:color="auto" w:fill="auto"/>
            <w:vAlign w:val="bottom"/>
            <w:hideMark/>
          </w:tcPr>
          <w:p w14:paraId="1D7CFB9B"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1 043</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ECD3A88"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1 076</w:t>
            </w:r>
          </w:p>
        </w:tc>
        <w:tc>
          <w:tcPr>
            <w:tcW w:w="440"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24B495A" w14:textId="77777777" w:rsidR="00D55F31" w:rsidRPr="00E7138D" w:rsidRDefault="0024693B" w:rsidP="0002290A">
            <w:pPr>
              <w:rPr>
                <w:rFonts w:ascii="Calibri" w:hAnsi="Calibri" w:cs="Calibri"/>
                <w:bCs/>
                <w:sz w:val="20"/>
                <w:szCs w:val="20"/>
              </w:rPr>
            </w:pPr>
            <w:r w:rsidRPr="00E7138D">
              <w:rPr>
                <w:rFonts w:ascii="Calibri" w:hAnsi="Calibri" w:cs="Calibri"/>
                <w:bCs/>
                <w:sz w:val="20"/>
                <w:szCs w:val="20"/>
              </w:rPr>
              <w:t> </w:t>
            </w:r>
          </w:p>
        </w:tc>
        <w:tc>
          <w:tcPr>
            <w:tcW w:w="553" w:type="pct"/>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1D49C249" w14:textId="77777777" w:rsidR="00D55F31" w:rsidRPr="00E7138D" w:rsidRDefault="0024693B" w:rsidP="0002290A">
            <w:pPr>
              <w:rPr>
                <w:rFonts w:ascii="Calibri" w:hAnsi="Calibri" w:cs="Calibri"/>
                <w:bCs/>
                <w:sz w:val="20"/>
                <w:szCs w:val="20"/>
              </w:rPr>
            </w:pPr>
            <w:r w:rsidRPr="00E7138D">
              <w:rPr>
                <w:rFonts w:ascii="Calibri" w:hAnsi="Calibri" w:cs="Calibri"/>
                <w:bCs/>
                <w:sz w:val="20"/>
                <w:szCs w:val="20"/>
              </w:rPr>
              <w:t> </w:t>
            </w:r>
          </w:p>
        </w:tc>
      </w:tr>
      <w:tr w:rsidR="00C425F2" w:rsidRPr="00E7138D" w14:paraId="14E61330" w14:textId="77777777" w:rsidTr="00FD7522">
        <w:trPr>
          <w:trHeight w:val="20"/>
        </w:trPr>
        <w:tc>
          <w:tcPr>
            <w:tcW w:w="127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96BC24B" w14:textId="77777777" w:rsidR="00D55F31" w:rsidRPr="00E7138D" w:rsidRDefault="0024693B" w:rsidP="0002290A">
            <w:pPr>
              <w:rPr>
                <w:rFonts w:ascii="Calibri" w:hAnsi="Calibri" w:cs="Calibri"/>
                <w:bCs/>
                <w:sz w:val="20"/>
                <w:szCs w:val="20"/>
              </w:rPr>
            </w:pPr>
            <w:r w:rsidRPr="00E7138D">
              <w:rPr>
                <w:rFonts w:ascii="Calibri" w:hAnsi="Calibri" w:cs="Calibri"/>
                <w:bCs/>
                <w:sz w:val="20"/>
                <w:szCs w:val="20"/>
              </w:rPr>
              <w:t>VII/3</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609713E"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1 057</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34A21A0" w14:textId="77777777" w:rsidR="00D55F31" w:rsidRPr="00E7138D" w:rsidRDefault="0024693B" w:rsidP="0002290A">
            <w:pPr>
              <w:rPr>
                <w:rFonts w:ascii="Calibri" w:hAnsi="Calibri" w:cs="Calibri"/>
                <w:bCs/>
                <w:sz w:val="20"/>
                <w:szCs w:val="20"/>
              </w:rPr>
            </w:pPr>
            <w:r w:rsidRPr="00E7138D">
              <w:rPr>
                <w:rFonts w:ascii="Calibri" w:hAnsi="Calibri" w:cs="Calibri"/>
                <w:bCs/>
                <w:sz w:val="20"/>
                <w:szCs w:val="20"/>
              </w:rPr>
              <w:t> </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DF8E99D"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1 000</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1271ADB"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1 111</w:t>
            </w:r>
          </w:p>
        </w:tc>
        <w:tc>
          <w:tcPr>
            <w:tcW w:w="542" w:type="pct"/>
            <w:tcBorders>
              <w:top w:val="single" w:sz="6" w:space="0" w:color="auto"/>
              <w:left w:val="single" w:sz="6" w:space="0" w:color="auto"/>
              <w:bottom w:val="single" w:sz="6" w:space="0" w:color="auto"/>
              <w:right w:val="single" w:sz="6" w:space="0" w:color="auto"/>
            </w:tcBorders>
            <w:shd w:val="clear" w:color="auto" w:fill="auto"/>
            <w:vAlign w:val="bottom"/>
            <w:hideMark/>
          </w:tcPr>
          <w:p w14:paraId="443E0FD6"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1 083</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BF25B23"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1 086</w:t>
            </w:r>
          </w:p>
        </w:tc>
        <w:tc>
          <w:tcPr>
            <w:tcW w:w="440"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B9F11C0" w14:textId="77777777" w:rsidR="00D55F31" w:rsidRPr="00E7138D" w:rsidRDefault="0024693B" w:rsidP="0002290A">
            <w:pPr>
              <w:rPr>
                <w:rFonts w:ascii="Calibri" w:hAnsi="Calibri" w:cs="Calibri"/>
                <w:bCs/>
                <w:sz w:val="20"/>
                <w:szCs w:val="20"/>
              </w:rPr>
            </w:pPr>
            <w:r w:rsidRPr="00E7138D">
              <w:rPr>
                <w:rFonts w:ascii="Calibri" w:hAnsi="Calibri" w:cs="Calibri"/>
                <w:bCs/>
                <w:sz w:val="20"/>
                <w:szCs w:val="20"/>
              </w:rPr>
              <w:t> </w:t>
            </w:r>
          </w:p>
        </w:tc>
        <w:tc>
          <w:tcPr>
            <w:tcW w:w="553" w:type="pct"/>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6078C9E4" w14:textId="77777777" w:rsidR="00D55F31" w:rsidRPr="00E7138D" w:rsidRDefault="0024693B" w:rsidP="0002290A">
            <w:pPr>
              <w:rPr>
                <w:rFonts w:ascii="Calibri" w:hAnsi="Calibri" w:cs="Calibri"/>
                <w:bCs/>
                <w:sz w:val="20"/>
                <w:szCs w:val="20"/>
              </w:rPr>
            </w:pPr>
            <w:r w:rsidRPr="00E7138D">
              <w:rPr>
                <w:rFonts w:ascii="Calibri" w:hAnsi="Calibri" w:cs="Calibri"/>
                <w:bCs/>
                <w:sz w:val="20"/>
                <w:szCs w:val="20"/>
              </w:rPr>
              <w:t> </w:t>
            </w:r>
          </w:p>
        </w:tc>
      </w:tr>
      <w:tr w:rsidR="00C425F2" w:rsidRPr="00E7138D" w14:paraId="25723BA6" w14:textId="77777777" w:rsidTr="00FD7522">
        <w:trPr>
          <w:trHeight w:val="20"/>
        </w:trPr>
        <w:tc>
          <w:tcPr>
            <w:tcW w:w="127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97AC65E" w14:textId="77777777" w:rsidR="00D55F31" w:rsidRPr="00E7138D" w:rsidRDefault="0024693B" w:rsidP="0002290A">
            <w:pPr>
              <w:rPr>
                <w:rFonts w:ascii="Calibri" w:hAnsi="Calibri" w:cs="Calibri"/>
                <w:bCs/>
                <w:sz w:val="20"/>
                <w:szCs w:val="20"/>
              </w:rPr>
            </w:pPr>
            <w:r w:rsidRPr="00E7138D">
              <w:rPr>
                <w:rFonts w:ascii="Calibri" w:hAnsi="Calibri" w:cs="Calibri"/>
                <w:bCs/>
                <w:sz w:val="20"/>
                <w:szCs w:val="20"/>
              </w:rPr>
              <w:t>VII/6</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618EB40"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1 057</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505CDB2"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950</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AB0D82B"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1 000</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D61AD6F"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1 111</w:t>
            </w:r>
          </w:p>
        </w:tc>
        <w:tc>
          <w:tcPr>
            <w:tcW w:w="542" w:type="pct"/>
            <w:tcBorders>
              <w:top w:val="single" w:sz="6" w:space="0" w:color="auto"/>
              <w:left w:val="single" w:sz="6" w:space="0" w:color="auto"/>
              <w:bottom w:val="single" w:sz="6" w:space="0" w:color="auto"/>
              <w:right w:val="single" w:sz="6" w:space="0" w:color="auto"/>
            </w:tcBorders>
            <w:shd w:val="clear" w:color="auto" w:fill="auto"/>
            <w:vAlign w:val="bottom"/>
            <w:hideMark/>
          </w:tcPr>
          <w:p w14:paraId="77473D8F"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1 082</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31186AC"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1 086</w:t>
            </w:r>
          </w:p>
        </w:tc>
        <w:tc>
          <w:tcPr>
            <w:tcW w:w="440"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268215E"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431</w:t>
            </w:r>
          </w:p>
        </w:tc>
        <w:tc>
          <w:tcPr>
            <w:tcW w:w="553" w:type="pct"/>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7FD4E56B" w14:textId="05011B28" w:rsidR="00D55F31" w:rsidRPr="00E7138D" w:rsidRDefault="000C7B00" w:rsidP="0002290A">
            <w:pPr>
              <w:rPr>
                <w:rFonts w:ascii="Calibri" w:hAnsi="Calibri" w:cs="Calibri"/>
                <w:bCs/>
                <w:i/>
                <w:sz w:val="20"/>
                <w:szCs w:val="20"/>
              </w:rPr>
            </w:pPr>
            <w:r>
              <w:rPr>
                <w:rFonts w:ascii="Calibri" w:hAnsi="Calibri" w:cs="Calibri"/>
                <w:bCs/>
                <w:i/>
                <w:sz w:val="20"/>
                <w:szCs w:val="20"/>
              </w:rPr>
              <w:t>P</w:t>
            </w:r>
            <w:r w:rsidR="0024693B" w:rsidRPr="00E7138D">
              <w:rPr>
                <w:rFonts w:ascii="Calibri" w:hAnsi="Calibri" w:cs="Calibri"/>
                <w:bCs/>
                <w:i/>
                <w:sz w:val="20"/>
                <w:szCs w:val="20"/>
              </w:rPr>
              <w:t>ouze PLP</w:t>
            </w:r>
          </w:p>
        </w:tc>
      </w:tr>
      <w:tr w:rsidR="00C425F2" w:rsidRPr="00E7138D" w14:paraId="6D1B72C2" w14:textId="77777777" w:rsidTr="00FD7522">
        <w:trPr>
          <w:trHeight w:val="20"/>
        </w:trPr>
        <w:tc>
          <w:tcPr>
            <w:tcW w:w="127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A6719DC" w14:textId="77777777" w:rsidR="00D55F31" w:rsidRPr="00E7138D" w:rsidRDefault="0024693B" w:rsidP="0002290A">
            <w:pPr>
              <w:rPr>
                <w:rFonts w:ascii="Calibri" w:hAnsi="Calibri" w:cs="Calibri"/>
                <w:bCs/>
                <w:sz w:val="20"/>
                <w:szCs w:val="20"/>
              </w:rPr>
            </w:pPr>
            <w:r w:rsidRPr="00E7138D">
              <w:rPr>
                <w:rFonts w:ascii="Calibri" w:hAnsi="Calibri" w:cs="Calibri"/>
                <w:bCs/>
                <w:sz w:val="20"/>
                <w:szCs w:val="20"/>
              </w:rPr>
              <w:t>VII/7</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057DC7F"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1 057</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5B2CA3A" w14:textId="77777777" w:rsidR="00D55F31" w:rsidRPr="00E7138D" w:rsidRDefault="0024693B" w:rsidP="0002290A">
            <w:pPr>
              <w:rPr>
                <w:rFonts w:ascii="Calibri" w:hAnsi="Calibri" w:cs="Calibri"/>
                <w:bCs/>
                <w:sz w:val="20"/>
                <w:szCs w:val="20"/>
              </w:rPr>
            </w:pPr>
            <w:r w:rsidRPr="00E7138D">
              <w:rPr>
                <w:rFonts w:ascii="Calibri" w:hAnsi="Calibri" w:cs="Calibri"/>
                <w:bCs/>
                <w:sz w:val="20"/>
                <w:szCs w:val="20"/>
              </w:rPr>
              <w:t> </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70507F5"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1 000</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70F29A2"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1 111</w:t>
            </w:r>
          </w:p>
        </w:tc>
        <w:tc>
          <w:tcPr>
            <w:tcW w:w="542" w:type="pct"/>
            <w:tcBorders>
              <w:top w:val="single" w:sz="6" w:space="0" w:color="auto"/>
              <w:left w:val="single" w:sz="6" w:space="0" w:color="auto"/>
              <w:bottom w:val="single" w:sz="6" w:space="0" w:color="auto"/>
              <w:right w:val="single" w:sz="6" w:space="0" w:color="auto"/>
            </w:tcBorders>
            <w:shd w:val="clear" w:color="auto" w:fill="auto"/>
            <w:vAlign w:val="bottom"/>
            <w:hideMark/>
          </w:tcPr>
          <w:p w14:paraId="0BBCE759"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1 082</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903FD59"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1 086</w:t>
            </w:r>
          </w:p>
        </w:tc>
        <w:tc>
          <w:tcPr>
            <w:tcW w:w="440"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91B2C20"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431</w:t>
            </w:r>
          </w:p>
        </w:tc>
        <w:tc>
          <w:tcPr>
            <w:tcW w:w="553" w:type="pct"/>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0278BDF1" w14:textId="167B8AD3" w:rsidR="00D55F31" w:rsidRPr="00E7138D" w:rsidRDefault="000C7B00" w:rsidP="0002290A">
            <w:pPr>
              <w:rPr>
                <w:rFonts w:ascii="Calibri" w:hAnsi="Calibri" w:cs="Calibri"/>
                <w:bCs/>
                <w:i/>
                <w:sz w:val="20"/>
                <w:szCs w:val="20"/>
              </w:rPr>
            </w:pPr>
            <w:r>
              <w:rPr>
                <w:rFonts w:ascii="Calibri" w:hAnsi="Calibri" w:cs="Calibri"/>
                <w:bCs/>
                <w:i/>
                <w:sz w:val="20"/>
                <w:szCs w:val="20"/>
              </w:rPr>
              <w:t>P</w:t>
            </w:r>
            <w:r w:rsidR="0024693B" w:rsidRPr="00E7138D">
              <w:rPr>
                <w:rFonts w:ascii="Calibri" w:hAnsi="Calibri" w:cs="Calibri"/>
                <w:bCs/>
                <w:i/>
                <w:sz w:val="20"/>
                <w:szCs w:val="20"/>
              </w:rPr>
              <w:t>ouze PLP</w:t>
            </w:r>
          </w:p>
        </w:tc>
      </w:tr>
      <w:tr w:rsidR="00C425F2" w:rsidRPr="00E7138D" w14:paraId="6064AAD3" w14:textId="77777777" w:rsidTr="00FD7522">
        <w:trPr>
          <w:trHeight w:val="20"/>
        </w:trPr>
        <w:tc>
          <w:tcPr>
            <w:tcW w:w="127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10E5CC3" w14:textId="77777777" w:rsidR="00D55F31" w:rsidRPr="00E7138D" w:rsidRDefault="0024693B" w:rsidP="0002290A">
            <w:pPr>
              <w:rPr>
                <w:rFonts w:ascii="Calibri" w:hAnsi="Calibri" w:cs="Calibri"/>
                <w:bCs/>
                <w:sz w:val="20"/>
                <w:szCs w:val="20"/>
              </w:rPr>
            </w:pPr>
            <w:r w:rsidRPr="00E7138D">
              <w:rPr>
                <w:rFonts w:ascii="Calibri" w:hAnsi="Calibri" w:cs="Calibri"/>
                <w:bCs/>
                <w:sz w:val="20"/>
                <w:szCs w:val="20"/>
              </w:rPr>
              <w:t>VII/8</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F097EFB"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1 057</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A592A5E" w14:textId="77777777" w:rsidR="00D55F31" w:rsidRPr="00E7138D" w:rsidRDefault="0024693B" w:rsidP="0002290A">
            <w:pPr>
              <w:rPr>
                <w:rFonts w:ascii="Calibri" w:hAnsi="Calibri" w:cs="Calibri"/>
                <w:bCs/>
                <w:sz w:val="20"/>
                <w:szCs w:val="20"/>
              </w:rPr>
            </w:pPr>
            <w:r w:rsidRPr="00E7138D">
              <w:rPr>
                <w:rFonts w:ascii="Calibri" w:hAnsi="Calibri" w:cs="Calibri"/>
                <w:bCs/>
                <w:sz w:val="20"/>
                <w:szCs w:val="20"/>
              </w:rPr>
              <w:t> </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9BB210D"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1 000</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AEFE5CF"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1 111</w:t>
            </w:r>
          </w:p>
        </w:tc>
        <w:tc>
          <w:tcPr>
            <w:tcW w:w="542" w:type="pct"/>
            <w:tcBorders>
              <w:top w:val="single" w:sz="6" w:space="0" w:color="auto"/>
              <w:left w:val="single" w:sz="6" w:space="0" w:color="auto"/>
              <w:bottom w:val="single" w:sz="6" w:space="0" w:color="auto"/>
              <w:right w:val="single" w:sz="6" w:space="0" w:color="auto"/>
            </w:tcBorders>
            <w:shd w:val="clear" w:color="auto" w:fill="auto"/>
            <w:vAlign w:val="bottom"/>
            <w:hideMark/>
          </w:tcPr>
          <w:p w14:paraId="70501A3A"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1 082</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C0B0FB7"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1 086</w:t>
            </w:r>
          </w:p>
        </w:tc>
        <w:tc>
          <w:tcPr>
            <w:tcW w:w="440"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F66C801"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431</w:t>
            </w:r>
          </w:p>
        </w:tc>
        <w:tc>
          <w:tcPr>
            <w:tcW w:w="553" w:type="pct"/>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0513B71E" w14:textId="1C898A76" w:rsidR="00D55F31" w:rsidRPr="00E7138D" w:rsidRDefault="000C7B00" w:rsidP="0002290A">
            <w:pPr>
              <w:rPr>
                <w:rFonts w:ascii="Calibri" w:hAnsi="Calibri" w:cs="Calibri"/>
                <w:bCs/>
                <w:i/>
                <w:sz w:val="20"/>
                <w:szCs w:val="20"/>
              </w:rPr>
            </w:pPr>
            <w:r>
              <w:rPr>
                <w:rFonts w:ascii="Calibri" w:hAnsi="Calibri" w:cs="Calibri"/>
                <w:bCs/>
                <w:i/>
                <w:sz w:val="20"/>
                <w:szCs w:val="20"/>
              </w:rPr>
              <w:t>P</w:t>
            </w:r>
            <w:r w:rsidR="0024693B" w:rsidRPr="00E7138D">
              <w:rPr>
                <w:rFonts w:ascii="Calibri" w:hAnsi="Calibri" w:cs="Calibri"/>
                <w:bCs/>
                <w:i/>
                <w:sz w:val="20"/>
                <w:szCs w:val="20"/>
              </w:rPr>
              <w:t>ouze PLP</w:t>
            </w:r>
          </w:p>
        </w:tc>
      </w:tr>
      <w:tr w:rsidR="00C425F2" w:rsidRPr="00E7138D" w14:paraId="48DB152F" w14:textId="77777777" w:rsidTr="00FD7522">
        <w:trPr>
          <w:trHeight w:val="20"/>
        </w:trPr>
        <w:tc>
          <w:tcPr>
            <w:tcW w:w="127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0FA51F2" w14:textId="77777777" w:rsidR="00D55F31" w:rsidRPr="00E7138D" w:rsidRDefault="0024693B" w:rsidP="0002290A">
            <w:pPr>
              <w:rPr>
                <w:rFonts w:ascii="Calibri" w:hAnsi="Calibri" w:cs="Calibri"/>
                <w:bCs/>
                <w:sz w:val="20"/>
                <w:szCs w:val="20"/>
              </w:rPr>
            </w:pPr>
            <w:r w:rsidRPr="00E7138D">
              <w:rPr>
                <w:rFonts w:ascii="Calibri" w:hAnsi="Calibri" w:cs="Calibri"/>
                <w:bCs/>
                <w:sz w:val="20"/>
                <w:szCs w:val="20"/>
              </w:rPr>
              <w:t>VII/9</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E267CF7"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1 057</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594F795"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950</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EEADFAD"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1 000</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393D3CE"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1 111</w:t>
            </w:r>
          </w:p>
        </w:tc>
        <w:tc>
          <w:tcPr>
            <w:tcW w:w="542" w:type="pct"/>
            <w:tcBorders>
              <w:top w:val="single" w:sz="6" w:space="0" w:color="auto"/>
              <w:left w:val="single" w:sz="6" w:space="0" w:color="auto"/>
              <w:bottom w:val="single" w:sz="6" w:space="0" w:color="auto"/>
              <w:right w:val="single" w:sz="6" w:space="0" w:color="auto"/>
            </w:tcBorders>
            <w:shd w:val="clear" w:color="auto" w:fill="auto"/>
            <w:vAlign w:val="bottom"/>
            <w:hideMark/>
          </w:tcPr>
          <w:p w14:paraId="79314526"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1 082</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236AF4C"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1 086</w:t>
            </w:r>
          </w:p>
        </w:tc>
        <w:tc>
          <w:tcPr>
            <w:tcW w:w="440"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6EFF769"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431</w:t>
            </w:r>
          </w:p>
        </w:tc>
        <w:tc>
          <w:tcPr>
            <w:tcW w:w="553" w:type="pct"/>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2EF35A47" w14:textId="6391811F" w:rsidR="00D55F31" w:rsidRPr="00E7138D" w:rsidRDefault="000C7B00" w:rsidP="0002290A">
            <w:pPr>
              <w:rPr>
                <w:rFonts w:ascii="Calibri" w:hAnsi="Calibri" w:cs="Calibri"/>
                <w:bCs/>
                <w:i/>
                <w:sz w:val="20"/>
                <w:szCs w:val="20"/>
              </w:rPr>
            </w:pPr>
            <w:r>
              <w:rPr>
                <w:rFonts w:ascii="Calibri" w:hAnsi="Calibri" w:cs="Calibri"/>
                <w:bCs/>
                <w:i/>
                <w:sz w:val="20"/>
                <w:szCs w:val="20"/>
              </w:rPr>
              <w:t>P</w:t>
            </w:r>
            <w:r w:rsidR="0024693B" w:rsidRPr="00E7138D">
              <w:rPr>
                <w:rFonts w:ascii="Calibri" w:hAnsi="Calibri" w:cs="Calibri"/>
                <w:bCs/>
                <w:i/>
                <w:sz w:val="20"/>
                <w:szCs w:val="20"/>
              </w:rPr>
              <w:t>ouze PLP</w:t>
            </w:r>
          </w:p>
        </w:tc>
      </w:tr>
      <w:tr w:rsidR="00C425F2" w:rsidRPr="00E7138D" w14:paraId="1F466831" w14:textId="77777777" w:rsidTr="00FD7522">
        <w:trPr>
          <w:trHeight w:val="20"/>
        </w:trPr>
        <w:tc>
          <w:tcPr>
            <w:tcW w:w="127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7C8792E" w14:textId="77777777" w:rsidR="00D55F31" w:rsidRPr="00E7138D" w:rsidRDefault="0024693B" w:rsidP="0002290A">
            <w:pPr>
              <w:rPr>
                <w:rFonts w:ascii="Calibri" w:hAnsi="Calibri" w:cs="Calibri"/>
                <w:bCs/>
                <w:sz w:val="20"/>
                <w:szCs w:val="20"/>
              </w:rPr>
            </w:pPr>
            <w:r w:rsidRPr="00E7138D">
              <w:rPr>
                <w:rFonts w:ascii="Calibri" w:hAnsi="Calibri" w:cs="Calibri"/>
                <w:bCs/>
                <w:sz w:val="20"/>
                <w:szCs w:val="20"/>
              </w:rPr>
              <w:t>VII/10</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0DD89AB"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1 075</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DF72230" w14:textId="77777777" w:rsidR="00D55F31" w:rsidRPr="00E7138D" w:rsidRDefault="0024693B" w:rsidP="0002290A">
            <w:pPr>
              <w:rPr>
                <w:rFonts w:ascii="Calibri" w:hAnsi="Calibri" w:cs="Calibri"/>
                <w:bCs/>
                <w:sz w:val="20"/>
                <w:szCs w:val="20"/>
              </w:rPr>
            </w:pPr>
            <w:r w:rsidRPr="00E7138D">
              <w:rPr>
                <w:rFonts w:ascii="Calibri" w:hAnsi="Calibri" w:cs="Calibri"/>
                <w:bCs/>
                <w:sz w:val="20"/>
                <w:szCs w:val="20"/>
              </w:rPr>
              <w:t> </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CE766B4"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1 000</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45BCF78"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1 145</w:t>
            </w:r>
          </w:p>
        </w:tc>
        <w:tc>
          <w:tcPr>
            <w:tcW w:w="542" w:type="pct"/>
            <w:tcBorders>
              <w:top w:val="single" w:sz="6" w:space="0" w:color="auto"/>
              <w:left w:val="single" w:sz="6" w:space="0" w:color="auto"/>
              <w:bottom w:val="single" w:sz="6" w:space="0" w:color="auto"/>
              <w:right w:val="single" w:sz="6" w:space="0" w:color="auto"/>
            </w:tcBorders>
            <w:shd w:val="clear" w:color="auto" w:fill="auto"/>
            <w:vAlign w:val="bottom"/>
            <w:hideMark/>
          </w:tcPr>
          <w:p w14:paraId="013324C3"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1 118</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215EB30"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1 120</w:t>
            </w:r>
          </w:p>
        </w:tc>
        <w:tc>
          <w:tcPr>
            <w:tcW w:w="440"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DEC5992" w14:textId="77777777" w:rsidR="00D55F31" w:rsidRPr="00E7138D" w:rsidRDefault="0024693B" w:rsidP="0002290A">
            <w:pPr>
              <w:rPr>
                <w:rFonts w:ascii="Calibri" w:hAnsi="Calibri" w:cs="Calibri"/>
                <w:bCs/>
                <w:sz w:val="20"/>
                <w:szCs w:val="20"/>
              </w:rPr>
            </w:pPr>
            <w:r w:rsidRPr="00E7138D">
              <w:rPr>
                <w:rFonts w:ascii="Calibri" w:hAnsi="Calibri" w:cs="Calibri"/>
                <w:bCs/>
                <w:sz w:val="20"/>
                <w:szCs w:val="20"/>
              </w:rPr>
              <w:t> </w:t>
            </w:r>
          </w:p>
        </w:tc>
        <w:tc>
          <w:tcPr>
            <w:tcW w:w="553" w:type="pct"/>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2F34FFCF" w14:textId="77777777" w:rsidR="00D55F31" w:rsidRPr="00E7138D" w:rsidRDefault="0024693B" w:rsidP="0002290A">
            <w:pPr>
              <w:rPr>
                <w:rFonts w:ascii="Calibri" w:hAnsi="Calibri" w:cs="Calibri"/>
                <w:bCs/>
                <w:i/>
                <w:sz w:val="20"/>
                <w:szCs w:val="20"/>
              </w:rPr>
            </w:pPr>
            <w:r w:rsidRPr="00E7138D">
              <w:rPr>
                <w:rFonts w:ascii="Calibri" w:hAnsi="Calibri" w:cs="Calibri"/>
                <w:bCs/>
                <w:i/>
                <w:sz w:val="20"/>
                <w:szCs w:val="20"/>
              </w:rPr>
              <w:t> </w:t>
            </w:r>
          </w:p>
        </w:tc>
      </w:tr>
      <w:tr w:rsidR="00C425F2" w:rsidRPr="00E7138D" w14:paraId="25BB2BD2" w14:textId="77777777" w:rsidTr="00FD7522">
        <w:trPr>
          <w:trHeight w:val="20"/>
        </w:trPr>
        <w:tc>
          <w:tcPr>
            <w:tcW w:w="1275" w:type="pct"/>
            <w:tcBorders>
              <w:top w:val="single" w:sz="6" w:space="0" w:color="auto"/>
              <w:left w:val="single" w:sz="12" w:space="0" w:color="auto"/>
              <w:bottom w:val="single" w:sz="12" w:space="0" w:color="auto"/>
              <w:right w:val="single" w:sz="6" w:space="0" w:color="auto"/>
            </w:tcBorders>
            <w:shd w:val="clear" w:color="auto" w:fill="auto"/>
            <w:noWrap/>
            <w:vAlign w:val="center"/>
            <w:hideMark/>
          </w:tcPr>
          <w:p w14:paraId="6B17D7EB" w14:textId="77777777" w:rsidR="00D55F31" w:rsidRPr="00E7138D" w:rsidRDefault="0024693B" w:rsidP="0002290A">
            <w:pPr>
              <w:rPr>
                <w:rFonts w:ascii="Calibri" w:hAnsi="Calibri" w:cs="Calibri"/>
                <w:bCs/>
                <w:sz w:val="20"/>
                <w:szCs w:val="20"/>
              </w:rPr>
            </w:pPr>
            <w:r w:rsidRPr="00E7138D">
              <w:rPr>
                <w:rFonts w:ascii="Calibri" w:hAnsi="Calibri" w:cs="Calibri"/>
                <w:bCs/>
                <w:sz w:val="20"/>
                <w:szCs w:val="20"/>
              </w:rPr>
              <w:t>VII/11</w:t>
            </w:r>
          </w:p>
        </w:tc>
        <w:tc>
          <w:tcPr>
            <w:tcW w:w="438" w:type="pct"/>
            <w:tcBorders>
              <w:top w:val="single" w:sz="6" w:space="0" w:color="auto"/>
              <w:left w:val="single" w:sz="6" w:space="0" w:color="auto"/>
              <w:bottom w:val="single" w:sz="12" w:space="0" w:color="auto"/>
              <w:right w:val="single" w:sz="6" w:space="0" w:color="auto"/>
            </w:tcBorders>
            <w:shd w:val="clear" w:color="auto" w:fill="auto"/>
            <w:noWrap/>
            <w:vAlign w:val="bottom"/>
            <w:hideMark/>
          </w:tcPr>
          <w:p w14:paraId="0CC35473"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1 075</w:t>
            </w:r>
          </w:p>
        </w:tc>
        <w:tc>
          <w:tcPr>
            <w:tcW w:w="438" w:type="pct"/>
            <w:tcBorders>
              <w:top w:val="single" w:sz="6" w:space="0" w:color="auto"/>
              <w:left w:val="single" w:sz="6" w:space="0" w:color="auto"/>
              <w:bottom w:val="single" w:sz="12" w:space="0" w:color="auto"/>
              <w:right w:val="single" w:sz="6" w:space="0" w:color="auto"/>
            </w:tcBorders>
            <w:shd w:val="clear" w:color="auto" w:fill="auto"/>
            <w:noWrap/>
            <w:vAlign w:val="bottom"/>
            <w:hideMark/>
          </w:tcPr>
          <w:p w14:paraId="3C8B7FD7"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950</w:t>
            </w:r>
          </w:p>
        </w:tc>
        <w:tc>
          <w:tcPr>
            <w:tcW w:w="438" w:type="pct"/>
            <w:tcBorders>
              <w:top w:val="single" w:sz="6" w:space="0" w:color="auto"/>
              <w:left w:val="single" w:sz="6" w:space="0" w:color="auto"/>
              <w:bottom w:val="single" w:sz="12" w:space="0" w:color="auto"/>
              <w:right w:val="single" w:sz="6" w:space="0" w:color="auto"/>
            </w:tcBorders>
            <w:shd w:val="clear" w:color="auto" w:fill="auto"/>
            <w:noWrap/>
            <w:vAlign w:val="bottom"/>
            <w:hideMark/>
          </w:tcPr>
          <w:p w14:paraId="4EB4408F"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1 000</w:t>
            </w:r>
          </w:p>
        </w:tc>
        <w:tc>
          <w:tcPr>
            <w:tcW w:w="438" w:type="pct"/>
            <w:tcBorders>
              <w:top w:val="single" w:sz="6" w:space="0" w:color="auto"/>
              <w:left w:val="single" w:sz="6" w:space="0" w:color="auto"/>
              <w:bottom w:val="single" w:sz="12" w:space="0" w:color="auto"/>
              <w:right w:val="single" w:sz="6" w:space="0" w:color="auto"/>
            </w:tcBorders>
            <w:shd w:val="clear" w:color="auto" w:fill="auto"/>
            <w:noWrap/>
            <w:vAlign w:val="bottom"/>
            <w:hideMark/>
          </w:tcPr>
          <w:p w14:paraId="741D858A"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1 111</w:t>
            </w:r>
          </w:p>
        </w:tc>
        <w:tc>
          <w:tcPr>
            <w:tcW w:w="542" w:type="pct"/>
            <w:tcBorders>
              <w:top w:val="single" w:sz="6" w:space="0" w:color="auto"/>
              <w:left w:val="single" w:sz="6" w:space="0" w:color="auto"/>
              <w:bottom w:val="single" w:sz="12" w:space="0" w:color="auto"/>
              <w:right w:val="single" w:sz="6" w:space="0" w:color="auto"/>
            </w:tcBorders>
            <w:shd w:val="clear" w:color="auto" w:fill="auto"/>
            <w:vAlign w:val="bottom"/>
            <w:hideMark/>
          </w:tcPr>
          <w:p w14:paraId="2B98E5F0"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1 118</w:t>
            </w:r>
          </w:p>
        </w:tc>
        <w:tc>
          <w:tcPr>
            <w:tcW w:w="438" w:type="pct"/>
            <w:tcBorders>
              <w:top w:val="single" w:sz="6" w:space="0" w:color="auto"/>
              <w:left w:val="single" w:sz="6" w:space="0" w:color="auto"/>
              <w:bottom w:val="single" w:sz="12" w:space="0" w:color="auto"/>
              <w:right w:val="single" w:sz="6" w:space="0" w:color="auto"/>
            </w:tcBorders>
            <w:shd w:val="clear" w:color="auto" w:fill="auto"/>
            <w:noWrap/>
            <w:vAlign w:val="bottom"/>
            <w:hideMark/>
          </w:tcPr>
          <w:p w14:paraId="23B9E3C2"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1 120</w:t>
            </w:r>
          </w:p>
        </w:tc>
        <w:tc>
          <w:tcPr>
            <w:tcW w:w="440" w:type="pct"/>
            <w:tcBorders>
              <w:top w:val="single" w:sz="6" w:space="0" w:color="auto"/>
              <w:left w:val="single" w:sz="6" w:space="0" w:color="auto"/>
              <w:bottom w:val="single" w:sz="12" w:space="0" w:color="auto"/>
              <w:right w:val="single" w:sz="6" w:space="0" w:color="auto"/>
            </w:tcBorders>
            <w:shd w:val="clear" w:color="auto" w:fill="auto"/>
            <w:noWrap/>
            <w:vAlign w:val="bottom"/>
            <w:hideMark/>
          </w:tcPr>
          <w:p w14:paraId="2D634C77"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431</w:t>
            </w:r>
          </w:p>
        </w:tc>
        <w:tc>
          <w:tcPr>
            <w:tcW w:w="553" w:type="pct"/>
            <w:tcBorders>
              <w:top w:val="single" w:sz="6" w:space="0" w:color="auto"/>
              <w:left w:val="single" w:sz="6" w:space="0" w:color="auto"/>
              <w:bottom w:val="single" w:sz="12" w:space="0" w:color="auto"/>
              <w:right w:val="single" w:sz="12" w:space="0" w:color="auto"/>
            </w:tcBorders>
            <w:shd w:val="clear" w:color="auto" w:fill="auto"/>
            <w:noWrap/>
            <w:vAlign w:val="bottom"/>
            <w:hideMark/>
          </w:tcPr>
          <w:p w14:paraId="5579338B" w14:textId="60135B33" w:rsidR="00D55F31" w:rsidRPr="00E7138D" w:rsidRDefault="000C7B00" w:rsidP="0002290A">
            <w:pPr>
              <w:rPr>
                <w:rFonts w:ascii="Calibri" w:hAnsi="Calibri" w:cs="Calibri"/>
                <w:bCs/>
                <w:i/>
                <w:sz w:val="20"/>
                <w:szCs w:val="20"/>
              </w:rPr>
            </w:pPr>
            <w:r>
              <w:rPr>
                <w:rFonts w:ascii="Calibri" w:hAnsi="Calibri" w:cs="Calibri"/>
                <w:bCs/>
                <w:i/>
                <w:sz w:val="20"/>
                <w:szCs w:val="20"/>
              </w:rPr>
              <w:t>P</w:t>
            </w:r>
            <w:r w:rsidR="0024693B" w:rsidRPr="00E7138D">
              <w:rPr>
                <w:rFonts w:ascii="Calibri" w:hAnsi="Calibri" w:cs="Calibri"/>
                <w:bCs/>
                <w:i/>
                <w:sz w:val="20"/>
                <w:szCs w:val="20"/>
              </w:rPr>
              <w:t>ouze PLP</w:t>
            </w:r>
          </w:p>
        </w:tc>
      </w:tr>
      <w:tr w:rsidR="00C425F2" w:rsidRPr="00E7138D" w14:paraId="3B0A756E" w14:textId="77777777" w:rsidTr="00FD7522">
        <w:trPr>
          <w:trHeight w:val="20"/>
        </w:trPr>
        <w:tc>
          <w:tcPr>
            <w:tcW w:w="1275" w:type="pct"/>
            <w:tcBorders>
              <w:top w:val="single" w:sz="12" w:space="0" w:color="auto"/>
              <w:left w:val="single" w:sz="12" w:space="0" w:color="auto"/>
              <w:bottom w:val="single" w:sz="6" w:space="0" w:color="auto"/>
              <w:right w:val="single" w:sz="6" w:space="0" w:color="auto"/>
            </w:tcBorders>
            <w:shd w:val="clear" w:color="000000" w:fill="D9E1F2"/>
            <w:noWrap/>
            <w:vAlign w:val="center"/>
            <w:hideMark/>
          </w:tcPr>
          <w:p w14:paraId="188CE657" w14:textId="77777777" w:rsidR="00D55F31" w:rsidRPr="00E7138D" w:rsidRDefault="0024693B" w:rsidP="0002290A">
            <w:pPr>
              <w:jc w:val="center"/>
              <w:rPr>
                <w:rFonts w:ascii="Calibri" w:hAnsi="Calibri" w:cs="Calibri"/>
                <w:b/>
                <w:bCs/>
                <w:iCs/>
                <w:sz w:val="20"/>
                <w:szCs w:val="20"/>
                <w:lang w:eastAsia="cs-CZ"/>
              </w:rPr>
            </w:pPr>
            <w:r w:rsidRPr="00E7138D">
              <w:rPr>
                <w:rFonts w:ascii="Calibri" w:hAnsi="Calibri" w:cs="Calibri"/>
                <w:b/>
                <w:bCs/>
                <w:iCs/>
                <w:sz w:val="20"/>
                <w:szCs w:val="20"/>
              </w:rPr>
              <w:t>Indikace</w:t>
            </w:r>
          </w:p>
        </w:tc>
        <w:tc>
          <w:tcPr>
            <w:tcW w:w="438" w:type="pct"/>
            <w:tcBorders>
              <w:top w:val="single" w:sz="12" w:space="0" w:color="auto"/>
              <w:left w:val="single" w:sz="6" w:space="0" w:color="auto"/>
              <w:bottom w:val="single" w:sz="6" w:space="0" w:color="auto"/>
              <w:right w:val="single" w:sz="6" w:space="0" w:color="auto"/>
            </w:tcBorders>
            <w:shd w:val="clear" w:color="000000" w:fill="D9E1F2"/>
            <w:noWrap/>
            <w:vAlign w:val="bottom"/>
            <w:hideMark/>
          </w:tcPr>
          <w:p w14:paraId="706D6348" w14:textId="77777777" w:rsidR="00D55F31" w:rsidRPr="00E7138D" w:rsidRDefault="0024693B" w:rsidP="0002290A">
            <w:pPr>
              <w:jc w:val="center"/>
              <w:rPr>
                <w:rFonts w:ascii="Calibri" w:hAnsi="Calibri" w:cs="Calibri"/>
                <w:b/>
                <w:bCs/>
                <w:iCs/>
                <w:sz w:val="20"/>
                <w:szCs w:val="20"/>
              </w:rPr>
            </w:pPr>
            <w:r w:rsidRPr="00E7138D">
              <w:rPr>
                <w:rFonts w:ascii="Calibri" w:hAnsi="Calibri" w:cs="Calibri"/>
                <w:b/>
                <w:bCs/>
                <w:iCs/>
                <w:sz w:val="20"/>
                <w:szCs w:val="20"/>
              </w:rPr>
              <w:t>ZP1</w:t>
            </w:r>
          </w:p>
        </w:tc>
        <w:tc>
          <w:tcPr>
            <w:tcW w:w="438" w:type="pct"/>
            <w:tcBorders>
              <w:top w:val="single" w:sz="12" w:space="0" w:color="auto"/>
              <w:left w:val="single" w:sz="6" w:space="0" w:color="auto"/>
              <w:bottom w:val="single" w:sz="6" w:space="0" w:color="auto"/>
              <w:right w:val="single" w:sz="6" w:space="0" w:color="auto"/>
            </w:tcBorders>
            <w:shd w:val="clear" w:color="000000" w:fill="D9E1F2"/>
            <w:noWrap/>
            <w:vAlign w:val="bottom"/>
            <w:hideMark/>
          </w:tcPr>
          <w:p w14:paraId="2F86AC88" w14:textId="77777777" w:rsidR="00D55F31" w:rsidRPr="00E7138D" w:rsidRDefault="0024693B" w:rsidP="0002290A">
            <w:pPr>
              <w:jc w:val="center"/>
              <w:rPr>
                <w:rFonts w:ascii="Calibri" w:hAnsi="Calibri" w:cs="Calibri"/>
                <w:b/>
                <w:bCs/>
                <w:iCs/>
                <w:sz w:val="20"/>
                <w:szCs w:val="20"/>
              </w:rPr>
            </w:pPr>
            <w:r w:rsidRPr="00E7138D">
              <w:rPr>
                <w:rFonts w:ascii="Calibri" w:hAnsi="Calibri" w:cs="Calibri"/>
                <w:b/>
                <w:bCs/>
                <w:iCs/>
                <w:sz w:val="20"/>
                <w:szCs w:val="20"/>
              </w:rPr>
              <w:t>ZP2</w:t>
            </w:r>
          </w:p>
        </w:tc>
        <w:tc>
          <w:tcPr>
            <w:tcW w:w="438" w:type="pct"/>
            <w:tcBorders>
              <w:top w:val="single" w:sz="12" w:space="0" w:color="auto"/>
              <w:left w:val="single" w:sz="6" w:space="0" w:color="auto"/>
              <w:bottom w:val="single" w:sz="6" w:space="0" w:color="auto"/>
              <w:right w:val="single" w:sz="6" w:space="0" w:color="auto"/>
            </w:tcBorders>
            <w:shd w:val="clear" w:color="000000" w:fill="D9E1F2"/>
            <w:noWrap/>
            <w:vAlign w:val="bottom"/>
            <w:hideMark/>
          </w:tcPr>
          <w:p w14:paraId="5C959C1F" w14:textId="77777777" w:rsidR="00D55F31" w:rsidRPr="00E7138D" w:rsidRDefault="0024693B" w:rsidP="0002290A">
            <w:pPr>
              <w:jc w:val="center"/>
              <w:rPr>
                <w:rFonts w:ascii="Calibri" w:hAnsi="Calibri" w:cs="Calibri"/>
                <w:b/>
                <w:bCs/>
                <w:iCs/>
                <w:sz w:val="20"/>
                <w:szCs w:val="20"/>
              </w:rPr>
            </w:pPr>
            <w:r w:rsidRPr="00E7138D">
              <w:rPr>
                <w:rFonts w:ascii="Calibri" w:hAnsi="Calibri" w:cs="Calibri"/>
                <w:b/>
                <w:bCs/>
                <w:iCs/>
                <w:sz w:val="20"/>
                <w:szCs w:val="20"/>
              </w:rPr>
              <w:t>ZP3</w:t>
            </w:r>
          </w:p>
        </w:tc>
        <w:tc>
          <w:tcPr>
            <w:tcW w:w="438" w:type="pct"/>
            <w:tcBorders>
              <w:top w:val="single" w:sz="12" w:space="0" w:color="auto"/>
              <w:left w:val="single" w:sz="6" w:space="0" w:color="auto"/>
              <w:bottom w:val="single" w:sz="6" w:space="0" w:color="auto"/>
              <w:right w:val="single" w:sz="6" w:space="0" w:color="auto"/>
            </w:tcBorders>
            <w:shd w:val="clear" w:color="000000" w:fill="D9E1F2"/>
            <w:noWrap/>
            <w:vAlign w:val="bottom"/>
            <w:hideMark/>
          </w:tcPr>
          <w:p w14:paraId="72932C5F" w14:textId="77777777" w:rsidR="00D55F31" w:rsidRPr="00E7138D" w:rsidRDefault="0024693B" w:rsidP="0002290A">
            <w:pPr>
              <w:jc w:val="center"/>
              <w:rPr>
                <w:rFonts w:ascii="Calibri" w:hAnsi="Calibri" w:cs="Calibri"/>
                <w:b/>
                <w:bCs/>
                <w:iCs/>
                <w:sz w:val="20"/>
                <w:szCs w:val="20"/>
              </w:rPr>
            </w:pPr>
            <w:r w:rsidRPr="00E7138D">
              <w:rPr>
                <w:rFonts w:ascii="Calibri" w:hAnsi="Calibri" w:cs="Calibri"/>
                <w:b/>
                <w:bCs/>
                <w:iCs/>
                <w:sz w:val="20"/>
                <w:szCs w:val="20"/>
              </w:rPr>
              <w:t>ZP4</w:t>
            </w:r>
          </w:p>
        </w:tc>
        <w:tc>
          <w:tcPr>
            <w:tcW w:w="542" w:type="pct"/>
            <w:tcBorders>
              <w:top w:val="single" w:sz="12" w:space="0" w:color="auto"/>
              <w:left w:val="single" w:sz="6" w:space="0" w:color="auto"/>
              <w:bottom w:val="single" w:sz="6" w:space="0" w:color="auto"/>
              <w:right w:val="single" w:sz="6" w:space="0" w:color="auto"/>
            </w:tcBorders>
            <w:shd w:val="clear" w:color="000000" w:fill="D9E1F2"/>
            <w:noWrap/>
            <w:vAlign w:val="bottom"/>
            <w:hideMark/>
          </w:tcPr>
          <w:p w14:paraId="131A33EC" w14:textId="77777777" w:rsidR="00D55F31" w:rsidRPr="00E7138D" w:rsidRDefault="0024693B" w:rsidP="0002290A">
            <w:pPr>
              <w:jc w:val="center"/>
              <w:rPr>
                <w:rFonts w:ascii="Calibri" w:hAnsi="Calibri" w:cs="Calibri"/>
                <w:b/>
                <w:bCs/>
                <w:iCs/>
                <w:sz w:val="20"/>
                <w:szCs w:val="20"/>
              </w:rPr>
            </w:pPr>
            <w:r w:rsidRPr="00E7138D">
              <w:rPr>
                <w:rFonts w:ascii="Calibri" w:hAnsi="Calibri" w:cs="Calibri"/>
                <w:b/>
                <w:bCs/>
                <w:iCs/>
                <w:sz w:val="20"/>
                <w:szCs w:val="20"/>
              </w:rPr>
              <w:t>ZP5</w:t>
            </w:r>
          </w:p>
        </w:tc>
        <w:tc>
          <w:tcPr>
            <w:tcW w:w="438" w:type="pct"/>
            <w:tcBorders>
              <w:top w:val="single" w:sz="12" w:space="0" w:color="auto"/>
              <w:left w:val="single" w:sz="6" w:space="0" w:color="auto"/>
              <w:bottom w:val="single" w:sz="6" w:space="0" w:color="auto"/>
              <w:right w:val="single" w:sz="6" w:space="0" w:color="auto"/>
            </w:tcBorders>
            <w:shd w:val="clear" w:color="000000" w:fill="D9E1F2"/>
            <w:noWrap/>
            <w:vAlign w:val="bottom"/>
            <w:hideMark/>
          </w:tcPr>
          <w:p w14:paraId="6F469E80" w14:textId="77777777" w:rsidR="00D55F31" w:rsidRPr="00E7138D" w:rsidRDefault="0024693B" w:rsidP="0002290A">
            <w:pPr>
              <w:jc w:val="center"/>
              <w:rPr>
                <w:rFonts w:ascii="Calibri" w:hAnsi="Calibri" w:cs="Calibri"/>
                <w:b/>
                <w:bCs/>
                <w:iCs/>
                <w:sz w:val="20"/>
                <w:szCs w:val="20"/>
              </w:rPr>
            </w:pPr>
            <w:r w:rsidRPr="00E7138D">
              <w:rPr>
                <w:rFonts w:ascii="Calibri" w:hAnsi="Calibri" w:cs="Calibri"/>
                <w:b/>
                <w:bCs/>
                <w:iCs/>
                <w:sz w:val="20"/>
                <w:szCs w:val="20"/>
              </w:rPr>
              <w:t>ZP6</w:t>
            </w:r>
          </w:p>
        </w:tc>
        <w:tc>
          <w:tcPr>
            <w:tcW w:w="440" w:type="pct"/>
            <w:tcBorders>
              <w:top w:val="single" w:sz="12" w:space="0" w:color="auto"/>
              <w:left w:val="single" w:sz="6" w:space="0" w:color="auto"/>
              <w:bottom w:val="single" w:sz="6" w:space="0" w:color="auto"/>
              <w:right w:val="single" w:sz="6" w:space="0" w:color="auto"/>
            </w:tcBorders>
            <w:shd w:val="clear" w:color="000000" w:fill="D9E1F2"/>
            <w:noWrap/>
            <w:vAlign w:val="bottom"/>
            <w:hideMark/>
          </w:tcPr>
          <w:p w14:paraId="033B966E" w14:textId="77777777" w:rsidR="00D55F31" w:rsidRPr="00E7138D" w:rsidRDefault="0024693B" w:rsidP="0002290A">
            <w:pPr>
              <w:jc w:val="center"/>
              <w:rPr>
                <w:rFonts w:ascii="Calibri" w:hAnsi="Calibri" w:cs="Calibri"/>
                <w:b/>
                <w:bCs/>
                <w:iCs/>
                <w:sz w:val="20"/>
                <w:szCs w:val="20"/>
              </w:rPr>
            </w:pPr>
            <w:r w:rsidRPr="00E7138D">
              <w:rPr>
                <w:rFonts w:ascii="Calibri" w:hAnsi="Calibri" w:cs="Calibri"/>
                <w:b/>
                <w:bCs/>
                <w:iCs/>
                <w:sz w:val="20"/>
                <w:szCs w:val="20"/>
              </w:rPr>
              <w:t>ZP7</w:t>
            </w:r>
          </w:p>
        </w:tc>
        <w:tc>
          <w:tcPr>
            <w:tcW w:w="553" w:type="pct"/>
            <w:tcBorders>
              <w:top w:val="single" w:sz="12" w:space="0" w:color="auto"/>
              <w:left w:val="single" w:sz="6" w:space="0" w:color="auto"/>
              <w:bottom w:val="single" w:sz="6" w:space="0" w:color="auto"/>
              <w:right w:val="single" w:sz="12" w:space="0" w:color="auto"/>
            </w:tcBorders>
            <w:shd w:val="clear" w:color="000000" w:fill="D9E1F2"/>
            <w:noWrap/>
            <w:vAlign w:val="bottom"/>
            <w:hideMark/>
          </w:tcPr>
          <w:p w14:paraId="2006AC3D" w14:textId="77777777" w:rsidR="00D55F31" w:rsidRPr="00E7138D" w:rsidRDefault="0024693B" w:rsidP="0002290A">
            <w:pPr>
              <w:rPr>
                <w:rFonts w:ascii="Calibri" w:hAnsi="Calibri" w:cs="Calibri"/>
                <w:b/>
                <w:bCs/>
                <w:i/>
                <w:iCs/>
                <w:sz w:val="20"/>
                <w:szCs w:val="20"/>
              </w:rPr>
            </w:pPr>
            <w:r w:rsidRPr="00E7138D">
              <w:rPr>
                <w:rFonts w:ascii="Calibri" w:hAnsi="Calibri" w:cs="Calibri"/>
                <w:b/>
                <w:bCs/>
                <w:i/>
                <w:iCs/>
                <w:sz w:val="20"/>
                <w:szCs w:val="20"/>
              </w:rPr>
              <w:t> </w:t>
            </w:r>
          </w:p>
        </w:tc>
      </w:tr>
      <w:tr w:rsidR="00C425F2" w:rsidRPr="00E7138D" w14:paraId="1F17556A" w14:textId="77777777" w:rsidTr="00FD7522">
        <w:trPr>
          <w:trHeight w:val="20"/>
        </w:trPr>
        <w:tc>
          <w:tcPr>
            <w:tcW w:w="1275" w:type="pct"/>
            <w:tcBorders>
              <w:top w:val="single" w:sz="12" w:space="0" w:color="auto"/>
              <w:left w:val="single" w:sz="12" w:space="0" w:color="auto"/>
              <w:bottom w:val="single" w:sz="6" w:space="0" w:color="auto"/>
              <w:right w:val="single" w:sz="6" w:space="0" w:color="auto"/>
            </w:tcBorders>
            <w:shd w:val="clear" w:color="auto" w:fill="auto"/>
            <w:noWrap/>
            <w:vAlign w:val="center"/>
            <w:hideMark/>
          </w:tcPr>
          <w:p w14:paraId="1B47E291" w14:textId="77777777" w:rsidR="00D55F31" w:rsidRPr="00E7138D" w:rsidRDefault="0024693B" w:rsidP="0002290A">
            <w:pPr>
              <w:rPr>
                <w:rFonts w:ascii="Calibri" w:hAnsi="Calibri" w:cs="Calibri"/>
                <w:sz w:val="20"/>
                <w:szCs w:val="20"/>
              </w:rPr>
            </w:pPr>
            <w:r w:rsidRPr="00E7138D">
              <w:rPr>
                <w:rFonts w:ascii="Calibri" w:hAnsi="Calibri" w:cs="Calibri"/>
                <w:sz w:val="20"/>
                <w:szCs w:val="20"/>
              </w:rPr>
              <w:t>XXIV/2</w:t>
            </w:r>
          </w:p>
        </w:tc>
        <w:tc>
          <w:tcPr>
            <w:tcW w:w="438" w:type="pct"/>
            <w:tcBorders>
              <w:top w:val="single" w:sz="12" w:space="0" w:color="auto"/>
              <w:left w:val="single" w:sz="6" w:space="0" w:color="auto"/>
              <w:bottom w:val="single" w:sz="6" w:space="0" w:color="auto"/>
              <w:right w:val="single" w:sz="6" w:space="0" w:color="auto"/>
            </w:tcBorders>
            <w:shd w:val="clear" w:color="auto" w:fill="auto"/>
            <w:noWrap/>
            <w:vAlign w:val="bottom"/>
            <w:hideMark/>
          </w:tcPr>
          <w:p w14:paraId="2FCB93D7"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1 274</w:t>
            </w:r>
          </w:p>
        </w:tc>
        <w:tc>
          <w:tcPr>
            <w:tcW w:w="438" w:type="pct"/>
            <w:tcBorders>
              <w:top w:val="single" w:sz="12" w:space="0" w:color="auto"/>
              <w:left w:val="single" w:sz="6" w:space="0" w:color="auto"/>
              <w:bottom w:val="single" w:sz="6" w:space="0" w:color="auto"/>
              <w:right w:val="single" w:sz="6" w:space="0" w:color="auto"/>
            </w:tcBorders>
            <w:shd w:val="clear" w:color="auto" w:fill="auto"/>
            <w:noWrap/>
            <w:vAlign w:val="bottom"/>
            <w:hideMark/>
          </w:tcPr>
          <w:p w14:paraId="2FF37DAB"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1262</w:t>
            </w:r>
          </w:p>
        </w:tc>
        <w:tc>
          <w:tcPr>
            <w:tcW w:w="438" w:type="pct"/>
            <w:tcBorders>
              <w:top w:val="single" w:sz="12" w:space="0" w:color="auto"/>
              <w:left w:val="single" w:sz="6" w:space="0" w:color="auto"/>
              <w:bottom w:val="single" w:sz="6" w:space="0" w:color="auto"/>
              <w:right w:val="single" w:sz="6" w:space="0" w:color="auto"/>
            </w:tcBorders>
            <w:shd w:val="clear" w:color="auto" w:fill="auto"/>
            <w:noWrap/>
            <w:vAlign w:val="bottom"/>
            <w:hideMark/>
          </w:tcPr>
          <w:p w14:paraId="2B28C571"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1 307</w:t>
            </w:r>
          </w:p>
        </w:tc>
        <w:tc>
          <w:tcPr>
            <w:tcW w:w="438" w:type="pct"/>
            <w:tcBorders>
              <w:top w:val="single" w:sz="12" w:space="0" w:color="auto"/>
              <w:left w:val="single" w:sz="6" w:space="0" w:color="auto"/>
              <w:bottom w:val="single" w:sz="6" w:space="0" w:color="auto"/>
              <w:right w:val="single" w:sz="6" w:space="0" w:color="auto"/>
            </w:tcBorders>
            <w:shd w:val="clear" w:color="auto" w:fill="auto"/>
            <w:noWrap/>
            <w:vAlign w:val="bottom"/>
            <w:hideMark/>
          </w:tcPr>
          <w:p w14:paraId="562B3BFE"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1 265</w:t>
            </w:r>
          </w:p>
        </w:tc>
        <w:tc>
          <w:tcPr>
            <w:tcW w:w="542" w:type="pct"/>
            <w:tcBorders>
              <w:top w:val="single" w:sz="12" w:space="0" w:color="auto"/>
              <w:left w:val="single" w:sz="6" w:space="0" w:color="auto"/>
              <w:bottom w:val="single" w:sz="6" w:space="0" w:color="auto"/>
              <w:right w:val="single" w:sz="6" w:space="0" w:color="auto"/>
            </w:tcBorders>
            <w:shd w:val="clear" w:color="auto" w:fill="auto"/>
            <w:vAlign w:val="bottom"/>
            <w:hideMark/>
          </w:tcPr>
          <w:p w14:paraId="53A9651A"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1 352</w:t>
            </w:r>
          </w:p>
        </w:tc>
        <w:tc>
          <w:tcPr>
            <w:tcW w:w="438" w:type="pct"/>
            <w:tcBorders>
              <w:top w:val="single" w:sz="12" w:space="0" w:color="auto"/>
              <w:left w:val="single" w:sz="6" w:space="0" w:color="auto"/>
              <w:bottom w:val="single" w:sz="6" w:space="0" w:color="auto"/>
              <w:right w:val="single" w:sz="6" w:space="0" w:color="auto"/>
            </w:tcBorders>
            <w:shd w:val="clear" w:color="auto" w:fill="auto"/>
            <w:noWrap/>
            <w:vAlign w:val="bottom"/>
            <w:hideMark/>
          </w:tcPr>
          <w:p w14:paraId="24986A84"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1 278</w:t>
            </w:r>
          </w:p>
        </w:tc>
        <w:tc>
          <w:tcPr>
            <w:tcW w:w="440" w:type="pct"/>
            <w:tcBorders>
              <w:top w:val="single" w:sz="12" w:space="0" w:color="auto"/>
              <w:left w:val="single" w:sz="6" w:space="0" w:color="auto"/>
              <w:bottom w:val="single" w:sz="6" w:space="0" w:color="auto"/>
              <w:right w:val="single" w:sz="6" w:space="0" w:color="auto"/>
            </w:tcBorders>
            <w:shd w:val="clear" w:color="auto" w:fill="auto"/>
            <w:noWrap/>
            <w:vAlign w:val="bottom"/>
            <w:hideMark/>
          </w:tcPr>
          <w:p w14:paraId="063B1C27"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1 267</w:t>
            </w:r>
          </w:p>
        </w:tc>
        <w:tc>
          <w:tcPr>
            <w:tcW w:w="553" w:type="pct"/>
            <w:tcBorders>
              <w:top w:val="single" w:sz="12" w:space="0" w:color="auto"/>
              <w:left w:val="single" w:sz="6" w:space="0" w:color="auto"/>
              <w:bottom w:val="single" w:sz="6" w:space="0" w:color="auto"/>
              <w:right w:val="single" w:sz="12" w:space="0" w:color="auto"/>
            </w:tcBorders>
            <w:shd w:val="clear" w:color="auto" w:fill="auto"/>
            <w:noWrap/>
            <w:vAlign w:val="bottom"/>
            <w:hideMark/>
          </w:tcPr>
          <w:p w14:paraId="24B3C19C" w14:textId="77777777" w:rsidR="00D55F31" w:rsidRPr="00E7138D" w:rsidRDefault="0024693B" w:rsidP="0002290A">
            <w:pPr>
              <w:rPr>
                <w:rFonts w:ascii="Calibri" w:hAnsi="Calibri" w:cs="Calibri"/>
                <w:sz w:val="20"/>
                <w:szCs w:val="20"/>
              </w:rPr>
            </w:pPr>
            <w:r w:rsidRPr="00E7138D">
              <w:rPr>
                <w:rFonts w:ascii="Calibri" w:hAnsi="Calibri" w:cs="Calibri"/>
                <w:sz w:val="20"/>
                <w:szCs w:val="20"/>
              </w:rPr>
              <w:t> </w:t>
            </w:r>
          </w:p>
        </w:tc>
      </w:tr>
      <w:tr w:rsidR="00C425F2" w:rsidRPr="00E7138D" w14:paraId="1671CC66" w14:textId="77777777" w:rsidTr="00FD7522">
        <w:trPr>
          <w:trHeight w:val="20"/>
        </w:trPr>
        <w:tc>
          <w:tcPr>
            <w:tcW w:w="127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D3491E2" w14:textId="77777777" w:rsidR="00D55F31" w:rsidRPr="00E7138D" w:rsidRDefault="0024693B" w:rsidP="0002290A">
            <w:pPr>
              <w:rPr>
                <w:rFonts w:ascii="Calibri" w:hAnsi="Calibri" w:cs="Calibri"/>
                <w:sz w:val="20"/>
                <w:szCs w:val="20"/>
              </w:rPr>
            </w:pPr>
            <w:r w:rsidRPr="00E7138D">
              <w:rPr>
                <w:rFonts w:ascii="Calibri" w:hAnsi="Calibri" w:cs="Calibri"/>
                <w:sz w:val="20"/>
                <w:szCs w:val="20"/>
              </w:rPr>
              <w:t>XXIV/2 děti nad 11 let</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4CD64CA"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1 291</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6A0837C"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1279</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6E0E751"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1 324</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D16DBE7"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1 286</w:t>
            </w:r>
          </w:p>
        </w:tc>
        <w:tc>
          <w:tcPr>
            <w:tcW w:w="542" w:type="pct"/>
            <w:tcBorders>
              <w:top w:val="single" w:sz="6" w:space="0" w:color="auto"/>
              <w:left w:val="single" w:sz="6" w:space="0" w:color="auto"/>
              <w:bottom w:val="single" w:sz="6" w:space="0" w:color="auto"/>
              <w:right w:val="single" w:sz="6" w:space="0" w:color="auto"/>
            </w:tcBorders>
            <w:shd w:val="clear" w:color="auto" w:fill="auto"/>
            <w:vAlign w:val="bottom"/>
            <w:hideMark/>
          </w:tcPr>
          <w:p w14:paraId="10FEFFB8"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1 370</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1A4DE4F"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1 296</w:t>
            </w:r>
          </w:p>
        </w:tc>
        <w:tc>
          <w:tcPr>
            <w:tcW w:w="440"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CF13379"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1 285</w:t>
            </w:r>
          </w:p>
        </w:tc>
        <w:tc>
          <w:tcPr>
            <w:tcW w:w="553" w:type="pct"/>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5C507A54" w14:textId="77777777" w:rsidR="00D55F31" w:rsidRPr="00E7138D" w:rsidRDefault="0024693B" w:rsidP="0002290A">
            <w:pPr>
              <w:rPr>
                <w:rFonts w:ascii="Calibri" w:hAnsi="Calibri" w:cs="Calibri"/>
                <w:sz w:val="20"/>
                <w:szCs w:val="20"/>
              </w:rPr>
            </w:pPr>
            <w:r w:rsidRPr="00E7138D">
              <w:rPr>
                <w:rFonts w:ascii="Calibri" w:hAnsi="Calibri" w:cs="Calibri"/>
                <w:sz w:val="20"/>
                <w:szCs w:val="20"/>
              </w:rPr>
              <w:t> </w:t>
            </w:r>
          </w:p>
        </w:tc>
      </w:tr>
      <w:tr w:rsidR="00C425F2" w:rsidRPr="00E7138D" w14:paraId="7ADA7A70" w14:textId="77777777" w:rsidTr="00FD7522">
        <w:trPr>
          <w:trHeight w:val="20"/>
        </w:trPr>
        <w:tc>
          <w:tcPr>
            <w:tcW w:w="127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6BB1D67" w14:textId="77777777" w:rsidR="00D55F31" w:rsidRPr="00E7138D" w:rsidRDefault="0024693B" w:rsidP="0002290A">
            <w:pPr>
              <w:rPr>
                <w:rFonts w:ascii="Calibri" w:hAnsi="Calibri" w:cs="Calibri"/>
                <w:sz w:val="20"/>
                <w:szCs w:val="20"/>
              </w:rPr>
            </w:pPr>
            <w:r w:rsidRPr="00E7138D">
              <w:rPr>
                <w:rFonts w:ascii="Calibri" w:hAnsi="Calibri" w:cs="Calibri"/>
                <w:sz w:val="20"/>
                <w:szCs w:val="20"/>
              </w:rPr>
              <w:t>XXVII/1</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363C2AB"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1 274</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5301A8C"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1262</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1775396"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1 279</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9CE7C74"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1 307</w:t>
            </w:r>
          </w:p>
        </w:tc>
        <w:tc>
          <w:tcPr>
            <w:tcW w:w="542" w:type="pct"/>
            <w:tcBorders>
              <w:top w:val="single" w:sz="6" w:space="0" w:color="auto"/>
              <w:left w:val="single" w:sz="6" w:space="0" w:color="auto"/>
              <w:bottom w:val="single" w:sz="6" w:space="0" w:color="auto"/>
              <w:right w:val="single" w:sz="6" w:space="0" w:color="auto"/>
            </w:tcBorders>
            <w:shd w:val="clear" w:color="auto" w:fill="auto"/>
            <w:vAlign w:val="bottom"/>
            <w:hideMark/>
          </w:tcPr>
          <w:p w14:paraId="11895B9D"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1 406</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D8C57F8"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1 329</w:t>
            </w:r>
          </w:p>
        </w:tc>
        <w:tc>
          <w:tcPr>
            <w:tcW w:w="440"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C17BF4D"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1 320</w:t>
            </w:r>
          </w:p>
        </w:tc>
        <w:tc>
          <w:tcPr>
            <w:tcW w:w="553" w:type="pct"/>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6612D0A0" w14:textId="77777777" w:rsidR="00D55F31" w:rsidRPr="00E7138D" w:rsidRDefault="0024693B" w:rsidP="0002290A">
            <w:pPr>
              <w:rPr>
                <w:rFonts w:ascii="Calibri" w:hAnsi="Calibri" w:cs="Calibri"/>
                <w:sz w:val="20"/>
                <w:szCs w:val="20"/>
              </w:rPr>
            </w:pPr>
            <w:r w:rsidRPr="00E7138D">
              <w:rPr>
                <w:rFonts w:ascii="Calibri" w:hAnsi="Calibri" w:cs="Calibri"/>
                <w:sz w:val="20"/>
                <w:szCs w:val="20"/>
              </w:rPr>
              <w:t> </w:t>
            </w:r>
          </w:p>
        </w:tc>
      </w:tr>
      <w:tr w:rsidR="00C425F2" w:rsidRPr="00E7138D" w14:paraId="5818D604" w14:textId="77777777" w:rsidTr="00FD7522">
        <w:trPr>
          <w:trHeight w:val="20"/>
        </w:trPr>
        <w:tc>
          <w:tcPr>
            <w:tcW w:w="127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A98259B" w14:textId="77777777" w:rsidR="00D55F31" w:rsidRPr="00E7138D" w:rsidRDefault="0024693B" w:rsidP="0002290A">
            <w:pPr>
              <w:rPr>
                <w:rFonts w:ascii="Calibri" w:hAnsi="Calibri" w:cs="Calibri"/>
                <w:sz w:val="20"/>
                <w:szCs w:val="20"/>
              </w:rPr>
            </w:pPr>
            <w:r w:rsidRPr="00E7138D">
              <w:rPr>
                <w:rFonts w:ascii="Calibri" w:hAnsi="Calibri" w:cs="Calibri"/>
                <w:sz w:val="20"/>
                <w:szCs w:val="20"/>
              </w:rPr>
              <w:t>XXVII/1 děti nad 11 let</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9E77C28"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1 291</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092E3FF"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1279</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E4182D5"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1 296</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244ED04"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1 328</w:t>
            </w:r>
          </w:p>
        </w:tc>
        <w:tc>
          <w:tcPr>
            <w:tcW w:w="542" w:type="pct"/>
            <w:tcBorders>
              <w:top w:val="single" w:sz="6" w:space="0" w:color="auto"/>
              <w:left w:val="single" w:sz="6" w:space="0" w:color="auto"/>
              <w:bottom w:val="single" w:sz="6" w:space="0" w:color="auto"/>
              <w:right w:val="single" w:sz="6" w:space="0" w:color="auto"/>
            </w:tcBorders>
            <w:shd w:val="clear" w:color="auto" w:fill="auto"/>
            <w:vAlign w:val="bottom"/>
            <w:hideMark/>
          </w:tcPr>
          <w:p w14:paraId="29455872"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1 424</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45EC469"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1 347</w:t>
            </w:r>
          </w:p>
        </w:tc>
        <w:tc>
          <w:tcPr>
            <w:tcW w:w="440"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2A1ED6D"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1 338</w:t>
            </w:r>
          </w:p>
        </w:tc>
        <w:tc>
          <w:tcPr>
            <w:tcW w:w="553" w:type="pct"/>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391E3D0C" w14:textId="77777777" w:rsidR="00D55F31" w:rsidRPr="00E7138D" w:rsidRDefault="0024693B" w:rsidP="0002290A">
            <w:pPr>
              <w:rPr>
                <w:rFonts w:ascii="Calibri" w:hAnsi="Calibri" w:cs="Calibri"/>
                <w:sz w:val="20"/>
                <w:szCs w:val="20"/>
              </w:rPr>
            </w:pPr>
            <w:r w:rsidRPr="00E7138D">
              <w:rPr>
                <w:rFonts w:ascii="Calibri" w:hAnsi="Calibri" w:cs="Calibri"/>
                <w:sz w:val="20"/>
                <w:szCs w:val="20"/>
              </w:rPr>
              <w:t> </w:t>
            </w:r>
          </w:p>
        </w:tc>
      </w:tr>
      <w:tr w:rsidR="00C425F2" w:rsidRPr="00E7138D" w14:paraId="644CBD34" w14:textId="77777777" w:rsidTr="00FD7522">
        <w:trPr>
          <w:trHeight w:val="20"/>
        </w:trPr>
        <w:tc>
          <w:tcPr>
            <w:tcW w:w="127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BD73D6E" w14:textId="77777777" w:rsidR="00D55F31" w:rsidRPr="00E7138D" w:rsidRDefault="0024693B" w:rsidP="0002290A">
            <w:pPr>
              <w:rPr>
                <w:rFonts w:ascii="Calibri" w:hAnsi="Calibri" w:cs="Calibri"/>
                <w:sz w:val="20"/>
                <w:szCs w:val="20"/>
              </w:rPr>
            </w:pPr>
            <w:r w:rsidRPr="00E7138D">
              <w:rPr>
                <w:rFonts w:ascii="Calibri" w:hAnsi="Calibri" w:cs="Calibri"/>
                <w:sz w:val="20"/>
                <w:szCs w:val="20"/>
              </w:rPr>
              <w:t>XXVII/2</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B5C86F8"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1 274</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7B2A20C"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1262</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AFF8AEA"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1 279</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88103B5"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1 307</w:t>
            </w:r>
          </w:p>
        </w:tc>
        <w:tc>
          <w:tcPr>
            <w:tcW w:w="542" w:type="pct"/>
            <w:tcBorders>
              <w:top w:val="single" w:sz="6" w:space="0" w:color="auto"/>
              <w:left w:val="single" w:sz="6" w:space="0" w:color="auto"/>
              <w:bottom w:val="single" w:sz="6" w:space="0" w:color="auto"/>
              <w:right w:val="single" w:sz="6" w:space="0" w:color="auto"/>
            </w:tcBorders>
            <w:shd w:val="clear" w:color="auto" w:fill="auto"/>
            <w:vAlign w:val="bottom"/>
            <w:hideMark/>
          </w:tcPr>
          <w:p w14:paraId="78780247"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1 406</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EFC6198"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1 329</w:t>
            </w:r>
          </w:p>
        </w:tc>
        <w:tc>
          <w:tcPr>
            <w:tcW w:w="440"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338CB2E"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1 320</w:t>
            </w:r>
          </w:p>
        </w:tc>
        <w:tc>
          <w:tcPr>
            <w:tcW w:w="553" w:type="pct"/>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54D757B6" w14:textId="77777777" w:rsidR="00D55F31" w:rsidRPr="00E7138D" w:rsidRDefault="0024693B" w:rsidP="0002290A">
            <w:pPr>
              <w:rPr>
                <w:rFonts w:ascii="Calibri" w:hAnsi="Calibri" w:cs="Calibri"/>
                <w:sz w:val="20"/>
                <w:szCs w:val="20"/>
              </w:rPr>
            </w:pPr>
            <w:r w:rsidRPr="00E7138D">
              <w:rPr>
                <w:rFonts w:ascii="Calibri" w:hAnsi="Calibri" w:cs="Calibri"/>
                <w:sz w:val="20"/>
                <w:szCs w:val="20"/>
              </w:rPr>
              <w:t> </w:t>
            </w:r>
          </w:p>
        </w:tc>
      </w:tr>
      <w:tr w:rsidR="00C425F2" w:rsidRPr="00E7138D" w14:paraId="65751253" w14:textId="77777777" w:rsidTr="00FD7522">
        <w:trPr>
          <w:trHeight w:val="20"/>
        </w:trPr>
        <w:tc>
          <w:tcPr>
            <w:tcW w:w="127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F0356CB" w14:textId="77777777" w:rsidR="00D55F31" w:rsidRPr="00E7138D" w:rsidRDefault="0024693B" w:rsidP="0002290A">
            <w:pPr>
              <w:rPr>
                <w:rFonts w:ascii="Calibri" w:hAnsi="Calibri" w:cs="Calibri"/>
                <w:sz w:val="20"/>
                <w:szCs w:val="20"/>
              </w:rPr>
            </w:pPr>
            <w:r w:rsidRPr="00E7138D">
              <w:rPr>
                <w:rFonts w:ascii="Calibri" w:hAnsi="Calibri" w:cs="Calibri"/>
                <w:sz w:val="20"/>
                <w:szCs w:val="20"/>
              </w:rPr>
              <w:t>XXVII/2 děti nad 11 let</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E25A0F4"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1 291</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49CB08B"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1279</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A2DA0BB"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1 296</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37C16C7"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1 328</w:t>
            </w:r>
          </w:p>
        </w:tc>
        <w:tc>
          <w:tcPr>
            <w:tcW w:w="542" w:type="pct"/>
            <w:tcBorders>
              <w:top w:val="single" w:sz="6" w:space="0" w:color="auto"/>
              <w:left w:val="single" w:sz="6" w:space="0" w:color="auto"/>
              <w:bottom w:val="single" w:sz="6" w:space="0" w:color="auto"/>
              <w:right w:val="single" w:sz="6" w:space="0" w:color="auto"/>
            </w:tcBorders>
            <w:shd w:val="clear" w:color="auto" w:fill="auto"/>
            <w:vAlign w:val="bottom"/>
            <w:hideMark/>
          </w:tcPr>
          <w:p w14:paraId="0A82990D"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1 424</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F364982"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1 347</w:t>
            </w:r>
          </w:p>
        </w:tc>
        <w:tc>
          <w:tcPr>
            <w:tcW w:w="440"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0AEEC7F"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1 338</w:t>
            </w:r>
          </w:p>
        </w:tc>
        <w:tc>
          <w:tcPr>
            <w:tcW w:w="553" w:type="pct"/>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01B3B00A" w14:textId="77777777" w:rsidR="00D55F31" w:rsidRPr="00E7138D" w:rsidRDefault="0024693B" w:rsidP="0002290A">
            <w:pPr>
              <w:rPr>
                <w:rFonts w:ascii="Calibri" w:hAnsi="Calibri" w:cs="Calibri"/>
                <w:sz w:val="20"/>
                <w:szCs w:val="20"/>
              </w:rPr>
            </w:pPr>
            <w:r w:rsidRPr="00E7138D">
              <w:rPr>
                <w:rFonts w:ascii="Calibri" w:hAnsi="Calibri" w:cs="Calibri"/>
                <w:sz w:val="20"/>
                <w:szCs w:val="20"/>
              </w:rPr>
              <w:t> </w:t>
            </w:r>
          </w:p>
        </w:tc>
      </w:tr>
      <w:tr w:rsidR="00C425F2" w:rsidRPr="00E7138D" w14:paraId="711C037D" w14:textId="77777777" w:rsidTr="00FD7522">
        <w:trPr>
          <w:trHeight w:val="20"/>
        </w:trPr>
        <w:tc>
          <w:tcPr>
            <w:tcW w:w="127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74CD7D0" w14:textId="77777777" w:rsidR="00D55F31" w:rsidRPr="00E7138D" w:rsidRDefault="0024693B" w:rsidP="0002290A">
            <w:pPr>
              <w:rPr>
                <w:rFonts w:ascii="Calibri" w:hAnsi="Calibri" w:cs="Calibri"/>
                <w:sz w:val="20"/>
                <w:szCs w:val="20"/>
              </w:rPr>
            </w:pPr>
            <w:r w:rsidRPr="00E7138D">
              <w:rPr>
                <w:rFonts w:ascii="Calibri" w:hAnsi="Calibri" w:cs="Calibri"/>
                <w:sz w:val="20"/>
                <w:szCs w:val="20"/>
              </w:rPr>
              <w:t>XXVII/3</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A00395A"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1 274</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5A51606"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1262</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94AC657"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1 279</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4A7A922"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1 307</w:t>
            </w:r>
          </w:p>
        </w:tc>
        <w:tc>
          <w:tcPr>
            <w:tcW w:w="542" w:type="pct"/>
            <w:tcBorders>
              <w:top w:val="single" w:sz="6" w:space="0" w:color="auto"/>
              <w:left w:val="single" w:sz="6" w:space="0" w:color="auto"/>
              <w:bottom w:val="single" w:sz="6" w:space="0" w:color="auto"/>
              <w:right w:val="single" w:sz="6" w:space="0" w:color="auto"/>
            </w:tcBorders>
            <w:shd w:val="clear" w:color="auto" w:fill="auto"/>
            <w:vAlign w:val="bottom"/>
            <w:hideMark/>
          </w:tcPr>
          <w:p w14:paraId="0F1059AB"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1 429</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14CA036"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1 329</w:t>
            </w:r>
          </w:p>
        </w:tc>
        <w:tc>
          <w:tcPr>
            <w:tcW w:w="440"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3AAD5BC"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1 320</w:t>
            </w:r>
          </w:p>
        </w:tc>
        <w:tc>
          <w:tcPr>
            <w:tcW w:w="553" w:type="pct"/>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7BD68E3F" w14:textId="77777777" w:rsidR="00D55F31" w:rsidRPr="00E7138D" w:rsidRDefault="0024693B" w:rsidP="0002290A">
            <w:pPr>
              <w:rPr>
                <w:rFonts w:ascii="Calibri" w:hAnsi="Calibri" w:cs="Calibri"/>
                <w:sz w:val="20"/>
                <w:szCs w:val="20"/>
              </w:rPr>
            </w:pPr>
            <w:r w:rsidRPr="00E7138D">
              <w:rPr>
                <w:rFonts w:ascii="Calibri" w:hAnsi="Calibri" w:cs="Calibri"/>
                <w:sz w:val="20"/>
                <w:szCs w:val="20"/>
              </w:rPr>
              <w:t> </w:t>
            </w:r>
          </w:p>
        </w:tc>
      </w:tr>
      <w:tr w:rsidR="00C425F2" w:rsidRPr="00E7138D" w14:paraId="651D0A3F" w14:textId="77777777" w:rsidTr="00FD7522">
        <w:trPr>
          <w:trHeight w:val="20"/>
        </w:trPr>
        <w:tc>
          <w:tcPr>
            <w:tcW w:w="127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ABED54F" w14:textId="77777777" w:rsidR="00D55F31" w:rsidRPr="00E7138D" w:rsidRDefault="0024693B" w:rsidP="0002290A">
            <w:pPr>
              <w:rPr>
                <w:rFonts w:ascii="Calibri" w:hAnsi="Calibri" w:cs="Calibri"/>
                <w:sz w:val="20"/>
                <w:szCs w:val="20"/>
              </w:rPr>
            </w:pPr>
            <w:r w:rsidRPr="00E7138D">
              <w:rPr>
                <w:rFonts w:ascii="Calibri" w:hAnsi="Calibri" w:cs="Calibri"/>
                <w:sz w:val="20"/>
                <w:szCs w:val="20"/>
              </w:rPr>
              <w:t>XXVII/3 děti nad 11 let</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60A1E20"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1 291</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D329714"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1279</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8DAB1DC"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1 296</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8E6055C"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1 328</w:t>
            </w:r>
          </w:p>
        </w:tc>
        <w:tc>
          <w:tcPr>
            <w:tcW w:w="542" w:type="pct"/>
            <w:tcBorders>
              <w:top w:val="single" w:sz="6" w:space="0" w:color="auto"/>
              <w:left w:val="single" w:sz="6" w:space="0" w:color="auto"/>
              <w:bottom w:val="single" w:sz="6" w:space="0" w:color="auto"/>
              <w:right w:val="single" w:sz="6" w:space="0" w:color="auto"/>
            </w:tcBorders>
            <w:shd w:val="clear" w:color="auto" w:fill="auto"/>
            <w:vAlign w:val="bottom"/>
            <w:hideMark/>
          </w:tcPr>
          <w:p w14:paraId="3B687C5B"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1 447</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277720C"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1 347</w:t>
            </w:r>
          </w:p>
        </w:tc>
        <w:tc>
          <w:tcPr>
            <w:tcW w:w="440"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B5EF8AC"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1 338</w:t>
            </w:r>
          </w:p>
        </w:tc>
        <w:tc>
          <w:tcPr>
            <w:tcW w:w="553" w:type="pct"/>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7576AECE" w14:textId="77777777" w:rsidR="00D55F31" w:rsidRPr="00E7138D" w:rsidRDefault="0024693B" w:rsidP="0002290A">
            <w:pPr>
              <w:rPr>
                <w:rFonts w:ascii="Calibri" w:hAnsi="Calibri" w:cs="Calibri"/>
                <w:sz w:val="20"/>
                <w:szCs w:val="20"/>
              </w:rPr>
            </w:pPr>
            <w:r w:rsidRPr="00E7138D">
              <w:rPr>
                <w:rFonts w:ascii="Calibri" w:hAnsi="Calibri" w:cs="Calibri"/>
                <w:sz w:val="20"/>
                <w:szCs w:val="20"/>
              </w:rPr>
              <w:t> </w:t>
            </w:r>
          </w:p>
        </w:tc>
      </w:tr>
      <w:tr w:rsidR="00C425F2" w:rsidRPr="00E7138D" w14:paraId="320BD393" w14:textId="77777777" w:rsidTr="00FD7522">
        <w:trPr>
          <w:trHeight w:val="20"/>
        </w:trPr>
        <w:tc>
          <w:tcPr>
            <w:tcW w:w="127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61F0501" w14:textId="77777777" w:rsidR="00D55F31" w:rsidRPr="00E7138D" w:rsidRDefault="0024693B" w:rsidP="0002290A">
            <w:pPr>
              <w:rPr>
                <w:rFonts w:ascii="Calibri" w:hAnsi="Calibri" w:cs="Calibri"/>
                <w:sz w:val="20"/>
                <w:szCs w:val="20"/>
              </w:rPr>
            </w:pPr>
            <w:r w:rsidRPr="00E7138D">
              <w:rPr>
                <w:rFonts w:ascii="Calibri" w:hAnsi="Calibri" w:cs="Calibri"/>
                <w:sz w:val="20"/>
                <w:szCs w:val="20"/>
              </w:rPr>
              <w:t>XXVII/4</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F0FC358"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1 274</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AC5C17C"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1262</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F9CACEE"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1 279</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8A2FC1A"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1 307</w:t>
            </w:r>
          </w:p>
        </w:tc>
        <w:tc>
          <w:tcPr>
            <w:tcW w:w="542" w:type="pct"/>
            <w:tcBorders>
              <w:top w:val="single" w:sz="6" w:space="0" w:color="auto"/>
              <w:left w:val="single" w:sz="6" w:space="0" w:color="auto"/>
              <w:bottom w:val="single" w:sz="6" w:space="0" w:color="auto"/>
              <w:right w:val="single" w:sz="6" w:space="0" w:color="auto"/>
            </w:tcBorders>
            <w:shd w:val="clear" w:color="auto" w:fill="auto"/>
            <w:vAlign w:val="bottom"/>
            <w:hideMark/>
          </w:tcPr>
          <w:p w14:paraId="1FAE62E4"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1 429</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014789C"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1 329</w:t>
            </w:r>
          </w:p>
        </w:tc>
        <w:tc>
          <w:tcPr>
            <w:tcW w:w="440"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C63997E"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1 320</w:t>
            </w:r>
          </w:p>
        </w:tc>
        <w:tc>
          <w:tcPr>
            <w:tcW w:w="553" w:type="pct"/>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04043FAF" w14:textId="77777777" w:rsidR="00D55F31" w:rsidRPr="00E7138D" w:rsidRDefault="0024693B" w:rsidP="0002290A">
            <w:pPr>
              <w:rPr>
                <w:rFonts w:ascii="Calibri" w:hAnsi="Calibri" w:cs="Calibri"/>
                <w:sz w:val="20"/>
                <w:szCs w:val="20"/>
              </w:rPr>
            </w:pPr>
            <w:r w:rsidRPr="00E7138D">
              <w:rPr>
                <w:rFonts w:ascii="Calibri" w:hAnsi="Calibri" w:cs="Calibri"/>
                <w:sz w:val="20"/>
                <w:szCs w:val="20"/>
              </w:rPr>
              <w:t> </w:t>
            </w:r>
          </w:p>
        </w:tc>
      </w:tr>
      <w:tr w:rsidR="00C425F2" w:rsidRPr="00E7138D" w14:paraId="1F230E33" w14:textId="77777777" w:rsidTr="00FD7522">
        <w:trPr>
          <w:trHeight w:val="20"/>
        </w:trPr>
        <w:tc>
          <w:tcPr>
            <w:tcW w:w="127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AC06E52" w14:textId="77777777" w:rsidR="00D55F31" w:rsidRPr="00E7138D" w:rsidRDefault="0024693B" w:rsidP="0002290A">
            <w:pPr>
              <w:rPr>
                <w:rFonts w:ascii="Calibri" w:hAnsi="Calibri" w:cs="Calibri"/>
                <w:sz w:val="20"/>
                <w:szCs w:val="20"/>
              </w:rPr>
            </w:pPr>
            <w:r w:rsidRPr="00E7138D">
              <w:rPr>
                <w:rFonts w:ascii="Calibri" w:hAnsi="Calibri" w:cs="Calibri"/>
                <w:sz w:val="20"/>
                <w:szCs w:val="20"/>
              </w:rPr>
              <w:t>XXVII/4 děti nad 11 let</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354F0F2"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1 291</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CAC2D62"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1279</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455EEA8"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1 296</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FB165A4"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1 328</w:t>
            </w:r>
          </w:p>
        </w:tc>
        <w:tc>
          <w:tcPr>
            <w:tcW w:w="542" w:type="pct"/>
            <w:tcBorders>
              <w:top w:val="single" w:sz="6" w:space="0" w:color="auto"/>
              <w:left w:val="single" w:sz="6" w:space="0" w:color="auto"/>
              <w:bottom w:val="single" w:sz="6" w:space="0" w:color="auto"/>
              <w:right w:val="single" w:sz="6" w:space="0" w:color="auto"/>
            </w:tcBorders>
            <w:shd w:val="clear" w:color="auto" w:fill="auto"/>
            <w:vAlign w:val="bottom"/>
            <w:hideMark/>
          </w:tcPr>
          <w:p w14:paraId="339530C7"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1 447</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D7D00DB"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1 347</w:t>
            </w:r>
          </w:p>
        </w:tc>
        <w:tc>
          <w:tcPr>
            <w:tcW w:w="440"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F96C519"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1 338</w:t>
            </w:r>
          </w:p>
        </w:tc>
        <w:tc>
          <w:tcPr>
            <w:tcW w:w="553" w:type="pct"/>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16142D85" w14:textId="77777777" w:rsidR="00D55F31" w:rsidRPr="00E7138D" w:rsidRDefault="0024693B" w:rsidP="0002290A">
            <w:pPr>
              <w:rPr>
                <w:rFonts w:ascii="Calibri" w:hAnsi="Calibri" w:cs="Calibri"/>
                <w:sz w:val="20"/>
                <w:szCs w:val="20"/>
              </w:rPr>
            </w:pPr>
            <w:r w:rsidRPr="00E7138D">
              <w:rPr>
                <w:rFonts w:ascii="Calibri" w:hAnsi="Calibri" w:cs="Calibri"/>
                <w:sz w:val="20"/>
                <w:szCs w:val="20"/>
              </w:rPr>
              <w:t> </w:t>
            </w:r>
          </w:p>
        </w:tc>
      </w:tr>
      <w:tr w:rsidR="00C425F2" w:rsidRPr="00E7138D" w14:paraId="0485E5C5" w14:textId="77777777" w:rsidTr="00FD7522">
        <w:trPr>
          <w:trHeight w:val="20"/>
        </w:trPr>
        <w:tc>
          <w:tcPr>
            <w:tcW w:w="127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EE48DED" w14:textId="77777777" w:rsidR="00D55F31" w:rsidRPr="00E7138D" w:rsidRDefault="0024693B" w:rsidP="0002290A">
            <w:pPr>
              <w:rPr>
                <w:rFonts w:ascii="Calibri" w:hAnsi="Calibri" w:cs="Calibri"/>
                <w:sz w:val="20"/>
                <w:szCs w:val="20"/>
              </w:rPr>
            </w:pPr>
            <w:r w:rsidRPr="00E7138D">
              <w:rPr>
                <w:rFonts w:ascii="Calibri" w:hAnsi="Calibri" w:cs="Calibri"/>
                <w:sz w:val="20"/>
                <w:szCs w:val="20"/>
              </w:rPr>
              <w:t>XXVII/5</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12576F1"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1 274</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550DE15"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1262</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A64A000"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1 279</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15AE7B5"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1 307</w:t>
            </w:r>
          </w:p>
        </w:tc>
        <w:tc>
          <w:tcPr>
            <w:tcW w:w="542" w:type="pct"/>
            <w:tcBorders>
              <w:top w:val="single" w:sz="6" w:space="0" w:color="auto"/>
              <w:left w:val="single" w:sz="6" w:space="0" w:color="auto"/>
              <w:bottom w:val="single" w:sz="6" w:space="0" w:color="auto"/>
              <w:right w:val="single" w:sz="6" w:space="0" w:color="auto"/>
            </w:tcBorders>
            <w:shd w:val="clear" w:color="auto" w:fill="auto"/>
            <w:vAlign w:val="bottom"/>
            <w:hideMark/>
          </w:tcPr>
          <w:p w14:paraId="3777DE13"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1 429</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C8F5825"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1 329</w:t>
            </w:r>
          </w:p>
        </w:tc>
        <w:tc>
          <w:tcPr>
            <w:tcW w:w="440"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23543BA"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1 320</w:t>
            </w:r>
          </w:p>
        </w:tc>
        <w:tc>
          <w:tcPr>
            <w:tcW w:w="553" w:type="pct"/>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007430EF" w14:textId="77777777" w:rsidR="00D55F31" w:rsidRPr="00E7138D" w:rsidRDefault="0024693B" w:rsidP="0002290A">
            <w:pPr>
              <w:rPr>
                <w:rFonts w:ascii="Calibri" w:hAnsi="Calibri" w:cs="Calibri"/>
                <w:sz w:val="20"/>
                <w:szCs w:val="20"/>
              </w:rPr>
            </w:pPr>
            <w:r w:rsidRPr="00E7138D">
              <w:rPr>
                <w:rFonts w:ascii="Calibri" w:hAnsi="Calibri" w:cs="Calibri"/>
                <w:sz w:val="20"/>
                <w:szCs w:val="20"/>
              </w:rPr>
              <w:t> </w:t>
            </w:r>
          </w:p>
        </w:tc>
      </w:tr>
      <w:tr w:rsidR="00C425F2" w:rsidRPr="00E7138D" w14:paraId="13F06D5C" w14:textId="77777777" w:rsidTr="00FD7522">
        <w:trPr>
          <w:trHeight w:val="20"/>
        </w:trPr>
        <w:tc>
          <w:tcPr>
            <w:tcW w:w="127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FCC58BD" w14:textId="77777777" w:rsidR="00D55F31" w:rsidRPr="00E7138D" w:rsidRDefault="0024693B" w:rsidP="0002290A">
            <w:pPr>
              <w:rPr>
                <w:rFonts w:ascii="Calibri" w:hAnsi="Calibri" w:cs="Calibri"/>
                <w:sz w:val="20"/>
                <w:szCs w:val="20"/>
              </w:rPr>
            </w:pPr>
            <w:r w:rsidRPr="00E7138D">
              <w:rPr>
                <w:rFonts w:ascii="Calibri" w:hAnsi="Calibri" w:cs="Calibri"/>
                <w:sz w:val="20"/>
                <w:szCs w:val="20"/>
              </w:rPr>
              <w:t>XXVII/5 děti nad 11 let</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D750309"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1 291</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D026FEA"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1279</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18C14A3"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1 296</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60086A2"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1 328</w:t>
            </w:r>
          </w:p>
        </w:tc>
        <w:tc>
          <w:tcPr>
            <w:tcW w:w="542" w:type="pct"/>
            <w:tcBorders>
              <w:top w:val="single" w:sz="6" w:space="0" w:color="auto"/>
              <w:left w:val="single" w:sz="6" w:space="0" w:color="auto"/>
              <w:bottom w:val="single" w:sz="6" w:space="0" w:color="auto"/>
              <w:right w:val="single" w:sz="6" w:space="0" w:color="auto"/>
            </w:tcBorders>
            <w:shd w:val="clear" w:color="auto" w:fill="auto"/>
            <w:vAlign w:val="bottom"/>
            <w:hideMark/>
          </w:tcPr>
          <w:p w14:paraId="3D39D163"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1 447</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E22A950"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1 347</w:t>
            </w:r>
          </w:p>
        </w:tc>
        <w:tc>
          <w:tcPr>
            <w:tcW w:w="440"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2C666E9"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1 338</w:t>
            </w:r>
          </w:p>
        </w:tc>
        <w:tc>
          <w:tcPr>
            <w:tcW w:w="553" w:type="pct"/>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5066D46E" w14:textId="77777777" w:rsidR="00D55F31" w:rsidRPr="00E7138D" w:rsidRDefault="0024693B" w:rsidP="0002290A">
            <w:pPr>
              <w:rPr>
                <w:rFonts w:ascii="Calibri" w:hAnsi="Calibri" w:cs="Calibri"/>
                <w:sz w:val="20"/>
                <w:szCs w:val="20"/>
              </w:rPr>
            </w:pPr>
            <w:r w:rsidRPr="00E7138D">
              <w:rPr>
                <w:rFonts w:ascii="Calibri" w:hAnsi="Calibri" w:cs="Calibri"/>
                <w:sz w:val="20"/>
                <w:szCs w:val="20"/>
              </w:rPr>
              <w:t> </w:t>
            </w:r>
          </w:p>
        </w:tc>
      </w:tr>
      <w:tr w:rsidR="00C425F2" w:rsidRPr="00E7138D" w14:paraId="03877587" w14:textId="77777777" w:rsidTr="00FD7522">
        <w:trPr>
          <w:trHeight w:val="20"/>
        </w:trPr>
        <w:tc>
          <w:tcPr>
            <w:tcW w:w="127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9A01D65" w14:textId="77777777" w:rsidR="00D55F31" w:rsidRPr="00E7138D" w:rsidRDefault="0024693B" w:rsidP="0002290A">
            <w:pPr>
              <w:rPr>
                <w:rFonts w:ascii="Calibri" w:hAnsi="Calibri" w:cs="Calibri"/>
                <w:sz w:val="20"/>
                <w:szCs w:val="20"/>
              </w:rPr>
            </w:pPr>
            <w:r w:rsidRPr="00E7138D">
              <w:rPr>
                <w:rFonts w:ascii="Calibri" w:hAnsi="Calibri" w:cs="Calibri"/>
                <w:sz w:val="20"/>
                <w:szCs w:val="20"/>
              </w:rPr>
              <w:t>XXVII/6</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E945D4B"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1 274</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CCBE986"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1262</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5CAAD5F"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1 279</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B69DA5F"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1 307</w:t>
            </w:r>
          </w:p>
        </w:tc>
        <w:tc>
          <w:tcPr>
            <w:tcW w:w="542" w:type="pct"/>
            <w:tcBorders>
              <w:top w:val="single" w:sz="6" w:space="0" w:color="auto"/>
              <w:left w:val="single" w:sz="6" w:space="0" w:color="auto"/>
              <w:bottom w:val="single" w:sz="6" w:space="0" w:color="auto"/>
              <w:right w:val="single" w:sz="6" w:space="0" w:color="auto"/>
            </w:tcBorders>
            <w:shd w:val="clear" w:color="auto" w:fill="auto"/>
            <w:vAlign w:val="bottom"/>
            <w:hideMark/>
          </w:tcPr>
          <w:p w14:paraId="66EB4594"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1 406</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AD91B26"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1 329</w:t>
            </w:r>
          </w:p>
        </w:tc>
        <w:tc>
          <w:tcPr>
            <w:tcW w:w="440"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5F37F96"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1 320</w:t>
            </w:r>
          </w:p>
        </w:tc>
        <w:tc>
          <w:tcPr>
            <w:tcW w:w="553" w:type="pct"/>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09725DDC" w14:textId="77777777" w:rsidR="00D55F31" w:rsidRPr="00E7138D" w:rsidRDefault="0024693B" w:rsidP="0002290A">
            <w:pPr>
              <w:rPr>
                <w:rFonts w:ascii="Calibri" w:hAnsi="Calibri" w:cs="Calibri"/>
                <w:sz w:val="20"/>
                <w:szCs w:val="20"/>
              </w:rPr>
            </w:pPr>
            <w:r w:rsidRPr="00E7138D">
              <w:rPr>
                <w:rFonts w:ascii="Calibri" w:hAnsi="Calibri" w:cs="Calibri"/>
                <w:sz w:val="20"/>
                <w:szCs w:val="20"/>
              </w:rPr>
              <w:t> </w:t>
            </w:r>
          </w:p>
        </w:tc>
      </w:tr>
      <w:tr w:rsidR="00C425F2" w:rsidRPr="00E7138D" w14:paraId="354111C4" w14:textId="77777777" w:rsidTr="00FD7522">
        <w:trPr>
          <w:trHeight w:val="20"/>
        </w:trPr>
        <w:tc>
          <w:tcPr>
            <w:tcW w:w="127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EB45CC8" w14:textId="77777777" w:rsidR="00D55F31" w:rsidRPr="00E7138D" w:rsidRDefault="0024693B" w:rsidP="0002290A">
            <w:pPr>
              <w:rPr>
                <w:rFonts w:ascii="Calibri" w:hAnsi="Calibri" w:cs="Calibri"/>
                <w:sz w:val="20"/>
                <w:szCs w:val="20"/>
              </w:rPr>
            </w:pPr>
            <w:r w:rsidRPr="00E7138D">
              <w:rPr>
                <w:rFonts w:ascii="Calibri" w:hAnsi="Calibri" w:cs="Calibri"/>
                <w:sz w:val="20"/>
                <w:szCs w:val="20"/>
              </w:rPr>
              <w:t>XXVII/6 děti nad 11 let</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8587351"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1 291</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44CE4A3"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1279</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4EBFE82"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1 296</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C8F8B08"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1 328</w:t>
            </w:r>
          </w:p>
        </w:tc>
        <w:tc>
          <w:tcPr>
            <w:tcW w:w="542" w:type="pct"/>
            <w:tcBorders>
              <w:top w:val="single" w:sz="6" w:space="0" w:color="auto"/>
              <w:left w:val="single" w:sz="6" w:space="0" w:color="auto"/>
              <w:bottom w:val="single" w:sz="6" w:space="0" w:color="auto"/>
              <w:right w:val="single" w:sz="6" w:space="0" w:color="auto"/>
            </w:tcBorders>
            <w:shd w:val="clear" w:color="auto" w:fill="auto"/>
            <w:vAlign w:val="bottom"/>
            <w:hideMark/>
          </w:tcPr>
          <w:p w14:paraId="09D58887"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1 424</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FE3559E"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1 347</w:t>
            </w:r>
          </w:p>
        </w:tc>
        <w:tc>
          <w:tcPr>
            <w:tcW w:w="440"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F587F8B"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1 338</w:t>
            </w:r>
          </w:p>
        </w:tc>
        <w:tc>
          <w:tcPr>
            <w:tcW w:w="553" w:type="pct"/>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7121B59C" w14:textId="77777777" w:rsidR="00D55F31" w:rsidRPr="00E7138D" w:rsidRDefault="0024693B" w:rsidP="0002290A">
            <w:pPr>
              <w:rPr>
                <w:rFonts w:ascii="Calibri" w:hAnsi="Calibri" w:cs="Calibri"/>
                <w:sz w:val="20"/>
                <w:szCs w:val="20"/>
              </w:rPr>
            </w:pPr>
            <w:r w:rsidRPr="00E7138D">
              <w:rPr>
                <w:rFonts w:ascii="Calibri" w:hAnsi="Calibri" w:cs="Calibri"/>
                <w:sz w:val="20"/>
                <w:szCs w:val="20"/>
              </w:rPr>
              <w:t> </w:t>
            </w:r>
          </w:p>
        </w:tc>
      </w:tr>
      <w:tr w:rsidR="00C425F2" w:rsidRPr="00E7138D" w14:paraId="58620F64" w14:textId="77777777" w:rsidTr="00FD7522">
        <w:trPr>
          <w:trHeight w:val="20"/>
        </w:trPr>
        <w:tc>
          <w:tcPr>
            <w:tcW w:w="127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C535BDB" w14:textId="77777777" w:rsidR="00D55F31" w:rsidRPr="00E7138D" w:rsidRDefault="0024693B" w:rsidP="0002290A">
            <w:pPr>
              <w:rPr>
                <w:rFonts w:ascii="Calibri" w:hAnsi="Calibri" w:cs="Calibri"/>
                <w:sz w:val="20"/>
                <w:szCs w:val="20"/>
              </w:rPr>
            </w:pPr>
            <w:r w:rsidRPr="00E7138D">
              <w:rPr>
                <w:rFonts w:ascii="Calibri" w:hAnsi="Calibri" w:cs="Calibri"/>
                <w:sz w:val="20"/>
                <w:szCs w:val="20"/>
              </w:rPr>
              <w:t>XXVII/7</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4F79742"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1 300</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9728961"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1262</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A0D363D"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1 279</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7E6A07F"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1 307</w:t>
            </w:r>
          </w:p>
        </w:tc>
        <w:tc>
          <w:tcPr>
            <w:tcW w:w="542" w:type="pct"/>
            <w:tcBorders>
              <w:top w:val="single" w:sz="6" w:space="0" w:color="auto"/>
              <w:left w:val="single" w:sz="6" w:space="0" w:color="auto"/>
              <w:bottom w:val="single" w:sz="6" w:space="0" w:color="auto"/>
              <w:right w:val="single" w:sz="6" w:space="0" w:color="auto"/>
            </w:tcBorders>
            <w:shd w:val="clear" w:color="auto" w:fill="auto"/>
            <w:vAlign w:val="bottom"/>
            <w:hideMark/>
          </w:tcPr>
          <w:p w14:paraId="05A7F5EB"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1 406</w:t>
            </w:r>
          </w:p>
        </w:tc>
        <w:tc>
          <w:tcPr>
            <w:tcW w:w="438"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791DA51"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1 329</w:t>
            </w:r>
          </w:p>
        </w:tc>
        <w:tc>
          <w:tcPr>
            <w:tcW w:w="440"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17113C4"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1 320</w:t>
            </w:r>
          </w:p>
        </w:tc>
        <w:tc>
          <w:tcPr>
            <w:tcW w:w="553" w:type="pct"/>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7A1024D6" w14:textId="77777777" w:rsidR="00D55F31" w:rsidRPr="00E7138D" w:rsidRDefault="0024693B" w:rsidP="0002290A">
            <w:pPr>
              <w:rPr>
                <w:rFonts w:ascii="Calibri" w:hAnsi="Calibri" w:cs="Calibri"/>
                <w:sz w:val="20"/>
                <w:szCs w:val="20"/>
              </w:rPr>
            </w:pPr>
            <w:r w:rsidRPr="00E7138D">
              <w:rPr>
                <w:rFonts w:ascii="Calibri" w:hAnsi="Calibri" w:cs="Calibri"/>
                <w:sz w:val="20"/>
                <w:szCs w:val="20"/>
              </w:rPr>
              <w:t> </w:t>
            </w:r>
          </w:p>
        </w:tc>
      </w:tr>
      <w:tr w:rsidR="00C425F2" w:rsidRPr="00E7138D" w14:paraId="71D08D7D" w14:textId="77777777" w:rsidTr="00FD7522">
        <w:trPr>
          <w:trHeight w:val="20"/>
        </w:trPr>
        <w:tc>
          <w:tcPr>
            <w:tcW w:w="1275" w:type="pct"/>
            <w:tcBorders>
              <w:top w:val="single" w:sz="6" w:space="0" w:color="auto"/>
              <w:left w:val="single" w:sz="12" w:space="0" w:color="auto"/>
              <w:bottom w:val="single" w:sz="12" w:space="0" w:color="auto"/>
              <w:right w:val="single" w:sz="6" w:space="0" w:color="auto"/>
            </w:tcBorders>
            <w:shd w:val="clear" w:color="auto" w:fill="auto"/>
            <w:noWrap/>
            <w:vAlign w:val="center"/>
            <w:hideMark/>
          </w:tcPr>
          <w:p w14:paraId="44F54DAA" w14:textId="77777777" w:rsidR="00D55F31" w:rsidRPr="00E7138D" w:rsidRDefault="0024693B" w:rsidP="0002290A">
            <w:pPr>
              <w:rPr>
                <w:rFonts w:ascii="Calibri" w:hAnsi="Calibri" w:cs="Calibri"/>
                <w:sz w:val="20"/>
                <w:szCs w:val="20"/>
              </w:rPr>
            </w:pPr>
            <w:r w:rsidRPr="00E7138D">
              <w:rPr>
                <w:rFonts w:ascii="Calibri" w:hAnsi="Calibri" w:cs="Calibri"/>
                <w:sz w:val="20"/>
                <w:szCs w:val="20"/>
              </w:rPr>
              <w:t>XXVII/7 děti nad 11 let</w:t>
            </w:r>
          </w:p>
        </w:tc>
        <w:tc>
          <w:tcPr>
            <w:tcW w:w="438" w:type="pct"/>
            <w:tcBorders>
              <w:top w:val="single" w:sz="6" w:space="0" w:color="auto"/>
              <w:left w:val="single" w:sz="6" w:space="0" w:color="auto"/>
              <w:bottom w:val="single" w:sz="12" w:space="0" w:color="auto"/>
              <w:right w:val="single" w:sz="6" w:space="0" w:color="auto"/>
            </w:tcBorders>
            <w:shd w:val="clear" w:color="auto" w:fill="auto"/>
            <w:noWrap/>
            <w:vAlign w:val="bottom"/>
            <w:hideMark/>
          </w:tcPr>
          <w:p w14:paraId="11B14089"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1 317</w:t>
            </w:r>
          </w:p>
        </w:tc>
        <w:tc>
          <w:tcPr>
            <w:tcW w:w="438" w:type="pct"/>
            <w:tcBorders>
              <w:top w:val="single" w:sz="6" w:space="0" w:color="auto"/>
              <w:left w:val="single" w:sz="6" w:space="0" w:color="auto"/>
              <w:bottom w:val="single" w:sz="12" w:space="0" w:color="auto"/>
              <w:right w:val="single" w:sz="6" w:space="0" w:color="auto"/>
            </w:tcBorders>
            <w:shd w:val="clear" w:color="auto" w:fill="auto"/>
            <w:noWrap/>
            <w:vAlign w:val="bottom"/>
            <w:hideMark/>
          </w:tcPr>
          <w:p w14:paraId="58059013"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1279</w:t>
            </w:r>
          </w:p>
        </w:tc>
        <w:tc>
          <w:tcPr>
            <w:tcW w:w="438" w:type="pct"/>
            <w:tcBorders>
              <w:top w:val="single" w:sz="6" w:space="0" w:color="auto"/>
              <w:left w:val="single" w:sz="6" w:space="0" w:color="auto"/>
              <w:bottom w:val="single" w:sz="12" w:space="0" w:color="auto"/>
              <w:right w:val="single" w:sz="6" w:space="0" w:color="auto"/>
            </w:tcBorders>
            <w:shd w:val="clear" w:color="auto" w:fill="auto"/>
            <w:noWrap/>
            <w:vAlign w:val="bottom"/>
            <w:hideMark/>
          </w:tcPr>
          <w:p w14:paraId="68750D9B"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1 296</w:t>
            </w:r>
          </w:p>
        </w:tc>
        <w:tc>
          <w:tcPr>
            <w:tcW w:w="438" w:type="pct"/>
            <w:tcBorders>
              <w:top w:val="single" w:sz="6" w:space="0" w:color="auto"/>
              <w:left w:val="single" w:sz="6" w:space="0" w:color="auto"/>
              <w:bottom w:val="single" w:sz="12" w:space="0" w:color="auto"/>
              <w:right w:val="single" w:sz="6" w:space="0" w:color="auto"/>
            </w:tcBorders>
            <w:shd w:val="clear" w:color="auto" w:fill="auto"/>
            <w:noWrap/>
            <w:vAlign w:val="bottom"/>
            <w:hideMark/>
          </w:tcPr>
          <w:p w14:paraId="6D97D1F1"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1 328</w:t>
            </w:r>
          </w:p>
        </w:tc>
        <w:tc>
          <w:tcPr>
            <w:tcW w:w="542" w:type="pct"/>
            <w:tcBorders>
              <w:top w:val="single" w:sz="6" w:space="0" w:color="auto"/>
              <w:left w:val="single" w:sz="6" w:space="0" w:color="auto"/>
              <w:bottom w:val="single" w:sz="12" w:space="0" w:color="auto"/>
              <w:right w:val="single" w:sz="6" w:space="0" w:color="auto"/>
            </w:tcBorders>
            <w:shd w:val="clear" w:color="auto" w:fill="auto"/>
            <w:vAlign w:val="bottom"/>
            <w:hideMark/>
          </w:tcPr>
          <w:p w14:paraId="745DF432"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1 424</w:t>
            </w:r>
          </w:p>
        </w:tc>
        <w:tc>
          <w:tcPr>
            <w:tcW w:w="438" w:type="pct"/>
            <w:tcBorders>
              <w:top w:val="single" w:sz="6" w:space="0" w:color="auto"/>
              <w:left w:val="single" w:sz="6" w:space="0" w:color="auto"/>
              <w:bottom w:val="single" w:sz="12" w:space="0" w:color="auto"/>
              <w:right w:val="single" w:sz="6" w:space="0" w:color="auto"/>
            </w:tcBorders>
            <w:shd w:val="clear" w:color="auto" w:fill="auto"/>
            <w:noWrap/>
            <w:vAlign w:val="bottom"/>
            <w:hideMark/>
          </w:tcPr>
          <w:p w14:paraId="536E26DC"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1 347</w:t>
            </w:r>
          </w:p>
        </w:tc>
        <w:tc>
          <w:tcPr>
            <w:tcW w:w="440" w:type="pct"/>
            <w:tcBorders>
              <w:top w:val="single" w:sz="6" w:space="0" w:color="auto"/>
              <w:left w:val="single" w:sz="6" w:space="0" w:color="auto"/>
              <w:bottom w:val="single" w:sz="12" w:space="0" w:color="auto"/>
              <w:right w:val="single" w:sz="6" w:space="0" w:color="auto"/>
            </w:tcBorders>
            <w:shd w:val="clear" w:color="auto" w:fill="auto"/>
            <w:noWrap/>
            <w:vAlign w:val="bottom"/>
            <w:hideMark/>
          </w:tcPr>
          <w:p w14:paraId="43D5BA23"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1 338</w:t>
            </w:r>
          </w:p>
        </w:tc>
        <w:tc>
          <w:tcPr>
            <w:tcW w:w="553" w:type="pct"/>
            <w:tcBorders>
              <w:top w:val="single" w:sz="6" w:space="0" w:color="auto"/>
              <w:left w:val="single" w:sz="6" w:space="0" w:color="auto"/>
              <w:bottom w:val="single" w:sz="12" w:space="0" w:color="auto"/>
              <w:right w:val="single" w:sz="12" w:space="0" w:color="auto"/>
            </w:tcBorders>
            <w:shd w:val="clear" w:color="auto" w:fill="auto"/>
            <w:noWrap/>
            <w:vAlign w:val="bottom"/>
            <w:hideMark/>
          </w:tcPr>
          <w:p w14:paraId="79529FFC" w14:textId="77777777" w:rsidR="00D55F31" w:rsidRPr="00E7138D" w:rsidRDefault="0024693B" w:rsidP="0002290A">
            <w:pPr>
              <w:rPr>
                <w:rFonts w:ascii="Calibri" w:hAnsi="Calibri" w:cs="Calibri"/>
                <w:sz w:val="20"/>
                <w:szCs w:val="20"/>
              </w:rPr>
            </w:pPr>
            <w:r w:rsidRPr="00E7138D">
              <w:rPr>
                <w:rFonts w:ascii="Calibri" w:hAnsi="Calibri" w:cs="Calibri"/>
                <w:sz w:val="20"/>
                <w:szCs w:val="20"/>
              </w:rPr>
              <w:t> </w:t>
            </w:r>
          </w:p>
        </w:tc>
      </w:tr>
    </w:tbl>
    <w:p w14:paraId="68D0F9DB" w14:textId="77777777" w:rsidR="00D55F31" w:rsidRPr="00E7138D" w:rsidRDefault="0024693B" w:rsidP="00FD7522">
      <w:pPr>
        <w:tabs>
          <w:tab w:val="left" w:pos="284"/>
        </w:tabs>
        <w:jc w:val="both"/>
        <w:rPr>
          <w:rFonts w:ascii="Calibri" w:hAnsi="Calibri" w:cs="Calibri"/>
          <w:b/>
          <w:bCs/>
          <w:sz w:val="20"/>
          <w:szCs w:val="20"/>
          <w:lang w:eastAsia="cs-CZ"/>
        </w:rPr>
      </w:pPr>
      <w:r w:rsidRPr="00E7138D">
        <w:rPr>
          <w:rFonts w:ascii="Calibri" w:hAnsi="Calibri" w:cs="Calibri"/>
          <w:b/>
          <w:bCs/>
          <w:sz w:val="20"/>
          <w:szCs w:val="20"/>
          <w:lang w:eastAsia="cs-CZ"/>
        </w:rPr>
        <w:t xml:space="preserve">Zdroj: </w:t>
      </w:r>
      <w:r w:rsidRPr="00E7138D">
        <w:rPr>
          <w:rFonts w:ascii="Calibri" w:hAnsi="Calibri" w:cs="Calibri"/>
          <w:bCs/>
          <w:sz w:val="20"/>
          <w:szCs w:val="20"/>
          <w:lang w:eastAsia="cs-CZ"/>
        </w:rPr>
        <w:t>cenová ujednání se ZP pro rok 2015.</w:t>
      </w:r>
    </w:p>
    <w:p w14:paraId="340E33BB" w14:textId="77777777" w:rsidR="00D55F31" w:rsidRPr="00E7138D" w:rsidRDefault="0024693B" w:rsidP="00FD7522">
      <w:pPr>
        <w:tabs>
          <w:tab w:val="left" w:pos="284"/>
        </w:tabs>
        <w:jc w:val="both"/>
        <w:rPr>
          <w:rFonts w:ascii="Calibri" w:hAnsi="Calibri" w:cs="Calibri"/>
          <w:bCs/>
          <w:sz w:val="20"/>
          <w:szCs w:val="20"/>
          <w:lang w:eastAsia="cs-CZ"/>
        </w:rPr>
      </w:pPr>
      <w:r w:rsidRPr="00E7138D">
        <w:rPr>
          <w:rFonts w:ascii="Calibri" w:hAnsi="Calibri" w:cs="Calibri"/>
          <w:b/>
          <w:bCs/>
          <w:sz w:val="20"/>
          <w:szCs w:val="20"/>
          <w:lang w:eastAsia="cs-CZ"/>
        </w:rPr>
        <w:t xml:space="preserve">Pozn.: </w:t>
      </w:r>
      <w:r w:rsidRPr="00E7138D">
        <w:rPr>
          <w:rFonts w:ascii="Calibri" w:hAnsi="Calibri" w:cs="Calibri"/>
          <w:bCs/>
          <w:sz w:val="20"/>
          <w:szCs w:val="20"/>
          <w:lang w:eastAsia="cs-CZ"/>
        </w:rPr>
        <w:t>PLP – příspěvková lázeňská péče.</w:t>
      </w:r>
    </w:p>
    <w:p w14:paraId="1FE3595D" w14:textId="77777777" w:rsidR="00D55F31" w:rsidRPr="00E7138D" w:rsidRDefault="0024693B" w:rsidP="0002290A">
      <w:pPr>
        <w:rPr>
          <w:rFonts w:ascii="Calibri" w:hAnsi="Calibri" w:cs="Calibri"/>
          <w:bCs/>
          <w:sz w:val="20"/>
          <w:szCs w:val="20"/>
          <w:lang w:eastAsia="cs-CZ"/>
        </w:rPr>
      </w:pPr>
      <w:r w:rsidRPr="00E7138D">
        <w:rPr>
          <w:rFonts w:ascii="Calibri" w:hAnsi="Calibri" w:cs="Calibri"/>
          <w:bCs/>
          <w:sz w:val="20"/>
          <w:szCs w:val="20"/>
          <w:lang w:eastAsia="cs-CZ"/>
        </w:rPr>
        <w:br w:type="page"/>
      </w:r>
    </w:p>
    <w:p w14:paraId="6FE802C0" w14:textId="619EA4AB" w:rsidR="00D55F31" w:rsidRPr="00E7138D" w:rsidRDefault="0024693B" w:rsidP="00E7138D">
      <w:pPr>
        <w:tabs>
          <w:tab w:val="right" w:pos="9072"/>
        </w:tabs>
        <w:spacing w:before="120" w:after="40"/>
        <w:ind w:left="1418" w:hanging="1418"/>
        <w:jc w:val="both"/>
        <w:rPr>
          <w:rFonts w:ascii="Calibri" w:eastAsia="Calibri" w:hAnsi="Calibri" w:cs="Calibri"/>
          <w:b/>
        </w:rPr>
      </w:pPr>
      <w:r w:rsidRPr="00E7138D">
        <w:rPr>
          <w:rFonts w:ascii="Calibri" w:eastAsia="Calibri" w:hAnsi="Calibri" w:cs="Calibri"/>
          <w:b/>
        </w:rPr>
        <w:lastRenderedPageBreak/>
        <w:t xml:space="preserve">Tabulka č. 2 – </w:t>
      </w:r>
      <w:r w:rsidR="00E7138D">
        <w:rPr>
          <w:rFonts w:ascii="Calibri" w:eastAsia="Calibri" w:hAnsi="Calibri" w:cs="Calibri"/>
          <w:b/>
        </w:rPr>
        <w:tab/>
      </w:r>
      <w:r w:rsidRPr="00E7138D">
        <w:rPr>
          <w:rFonts w:ascii="Calibri" w:eastAsia="Calibri" w:hAnsi="Calibri" w:cs="Calibri"/>
          <w:b/>
        </w:rPr>
        <w:t xml:space="preserve">SLL Janské Lázně </w:t>
      </w:r>
      <w:r w:rsidR="000C7B00">
        <w:rPr>
          <w:rFonts w:ascii="Calibri" w:eastAsia="Calibri" w:hAnsi="Calibri" w:cs="Calibri"/>
          <w:b/>
        </w:rPr>
        <w:t>–</w:t>
      </w:r>
      <w:r w:rsidRPr="00E7138D">
        <w:rPr>
          <w:rFonts w:ascii="Calibri" w:eastAsia="Calibri" w:hAnsi="Calibri" w:cs="Calibri"/>
          <w:b/>
        </w:rPr>
        <w:t xml:space="preserve"> sjednané ceny na rok 2015 se ZP pro shodné indikace za ošetřovací den (léčení, ubytování kategorie A, </w:t>
      </w:r>
      <w:proofErr w:type="gramStart"/>
      <w:r w:rsidRPr="00E7138D">
        <w:rPr>
          <w:rFonts w:ascii="Calibri" w:eastAsia="Calibri" w:hAnsi="Calibri" w:cs="Calibri"/>
          <w:b/>
        </w:rPr>
        <w:t>strava)</w:t>
      </w:r>
      <w:r w:rsidRPr="00E7138D">
        <w:rPr>
          <w:rFonts w:ascii="Calibri" w:eastAsia="Calibri" w:hAnsi="Calibri" w:cs="Calibri"/>
          <w:b/>
        </w:rPr>
        <w:tab/>
        <w:t>(v Kč</w:t>
      </w:r>
      <w:proofErr w:type="gramEnd"/>
      <w:r w:rsidRPr="00E7138D">
        <w:rPr>
          <w:rFonts w:ascii="Calibri" w:eastAsia="Calibri" w:hAnsi="Calibri" w:cs="Calibri"/>
          <w:b/>
        </w:rPr>
        <w:t>)</w:t>
      </w:r>
    </w:p>
    <w:tbl>
      <w:tblPr>
        <w:tblW w:w="5000" w:type="pct"/>
        <w:tblInd w:w="-10" w:type="dxa"/>
        <w:tblCellMar>
          <w:left w:w="70" w:type="dxa"/>
          <w:right w:w="70" w:type="dxa"/>
        </w:tblCellMar>
        <w:tblLook w:val="04A0" w:firstRow="1" w:lastRow="0" w:firstColumn="1" w:lastColumn="0" w:noHBand="0" w:noVBand="1"/>
      </w:tblPr>
      <w:tblGrid>
        <w:gridCol w:w="2038"/>
        <w:gridCol w:w="1002"/>
        <w:gridCol w:w="1002"/>
        <w:gridCol w:w="1002"/>
        <w:gridCol w:w="1001"/>
        <w:gridCol w:w="1001"/>
        <w:gridCol w:w="1003"/>
        <w:gridCol w:w="1003"/>
      </w:tblGrid>
      <w:tr w:rsidR="00C425F2" w:rsidRPr="00E7138D" w14:paraId="083E81CC" w14:textId="77777777" w:rsidTr="009D2DF2">
        <w:trPr>
          <w:trHeight w:val="23"/>
        </w:trPr>
        <w:tc>
          <w:tcPr>
            <w:tcW w:w="1125" w:type="pct"/>
            <w:tcBorders>
              <w:top w:val="single" w:sz="8" w:space="0" w:color="auto"/>
              <w:left w:val="single" w:sz="8" w:space="0" w:color="auto"/>
              <w:bottom w:val="single" w:sz="8" w:space="0" w:color="auto"/>
              <w:right w:val="single" w:sz="4" w:space="0" w:color="auto"/>
            </w:tcBorders>
            <w:shd w:val="clear" w:color="000000" w:fill="D9E1F2"/>
            <w:noWrap/>
            <w:vAlign w:val="bottom"/>
            <w:hideMark/>
          </w:tcPr>
          <w:p w14:paraId="32BE61E8" w14:textId="77777777" w:rsidR="00D55F31" w:rsidRPr="00E7138D" w:rsidRDefault="0024693B" w:rsidP="0002290A">
            <w:pPr>
              <w:jc w:val="center"/>
              <w:rPr>
                <w:rFonts w:ascii="Calibri" w:hAnsi="Calibri" w:cs="Calibri"/>
                <w:b/>
                <w:bCs/>
                <w:iCs/>
                <w:sz w:val="20"/>
                <w:szCs w:val="20"/>
                <w:lang w:eastAsia="cs-CZ"/>
              </w:rPr>
            </w:pPr>
            <w:r w:rsidRPr="00E7138D">
              <w:rPr>
                <w:rFonts w:ascii="Calibri" w:hAnsi="Calibri" w:cs="Calibri"/>
                <w:b/>
                <w:bCs/>
                <w:iCs/>
                <w:sz w:val="20"/>
                <w:szCs w:val="20"/>
              </w:rPr>
              <w:t>Indikace</w:t>
            </w:r>
          </w:p>
        </w:tc>
        <w:tc>
          <w:tcPr>
            <w:tcW w:w="553" w:type="pct"/>
            <w:tcBorders>
              <w:top w:val="single" w:sz="8" w:space="0" w:color="auto"/>
              <w:left w:val="nil"/>
              <w:bottom w:val="single" w:sz="8" w:space="0" w:color="auto"/>
              <w:right w:val="single" w:sz="4" w:space="0" w:color="auto"/>
            </w:tcBorders>
            <w:shd w:val="clear" w:color="000000" w:fill="DDEBF7"/>
            <w:noWrap/>
            <w:vAlign w:val="bottom"/>
            <w:hideMark/>
          </w:tcPr>
          <w:p w14:paraId="4CBED952" w14:textId="77777777" w:rsidR="00D55F31" w:rsidRPr="00E7138D" w:rsidRDefault="0024693B" w:rsidP="0002290A">
            <w:pPr>
              <w:jc w:val="center"/>
              <w:rPr>
                <w:rFonts w:ascii="Calibri" w:hAnsi="Calibri" w:cs="Calibri"/>
                <w:b/>
                <w:bCs/>
                <w:iCs/>
                <w:sz w:val="20"/>
                <w:szCs w:val="20"/>
              </w:rPr>
            </w:pPr>
            <w:r w:rsidRPr="00E7138D">
              <w:rPr>
                <w:rFonts w:ascii="Calibri" w:hAnsi="Calibri" w:cs="Calibri"/>
                <w:b/>
                <w:bCs/>
                <w:iCs/>
                <w:sz w:val="20"/>
                <w:szCs w:val="20"/>
              </w:rPr>
              <w:t>ZP1</w:t>
            </w:r>
          </w:p>
        </w:tc>
        <w:tc>
          <w:tcPr>
            <w:tcW w:w="553" w:type="pct"/>
            <w:tcBorders>
              <w:top w:val="single" w:sz="8" w:space="0" w:color="auto"/>
              <w:left w:val="nil"/>
              <w:bottom w:val="single" w:sz="8" w:space="0" w:color="auto"/>
              <w:right w:val="single" w:sz="4" w:space="0" w:color="auto"/>
            </w:tcBorders>
            <w:shd w:val="clear" w:color="000000" w:fill="D9E1F2"/>
            <w:noWrap/>
            <w:vAlign w:val="bottom"/>
            <w:hideMark/>
          </w:tcPr>
          <w:p w14:paraId="50A40909" w14:textId="77777777" w:rsidR="00D55F31" w:rsidRPr="00E7138D" w:rsidRDefault="0024693B" w:rsidP="0002290A">
            <w:pPr>
              <w:jc w:val="center"/>
              <w:rPr>
                <w:rFonts w:ascii="Calibri" w:hAnsi="Calibri" w:cs="Calibri"/>
                <w:b/>
                <w:bCs/>
                <w:iCs/>
                <w:sz w:val="20"/>
                <w:szCs w:val="20"/>
              </w:rPr>
            </w:pPr>
            <w:r w:rsidRPr="00E7138D">
              <w:rPr>
                <w:rFonts w:ascii="Calibri" w:hAnsi="Calibri" w:cs="Calibri"/>
                <w:b/>
                <w:bCs/>
                <w:iCs/>
                <w:sz w:val="20"/>
                <w:szCs w:val="20"/>
              </w:rPr>
              <w:t>ZP2</w:t>
            </w:r>
          </w:p>
        </w:tc>
        <w:tc>
          <w:tcPr>
            <w:tcW w:w="553" w:type="pct"/>
            <w:tcBorders>
              <w:top w:val="single" w:sz="8" w:space="0" w:color="auto"/>
              <w:left w:val="nil"/>
              <w:bottom w:val="single" w:sz="8" w:space="0" w:color="auto"/>
              <w:right w:val="single" w:sz="4" w:space="0" w:color="auto"/>
            </w:tcBorders>
            <w:shd w:val="clear" w:color="000000" w:fill="D9E1F2"/>
            <w:noWrap/>
            <w:vAlign w:val="bottom"/>
            <w:hideMark/>
          </w:tcPr>
          <w:p w14:paraId="3FFB8DD7" w14:textId="77777777" w:rsidR="00D55F31" w:rsidRPr="00E7138D" w:rsidRDefault="0024693B" w:rsidP="0002290A">
            <w:pPr>
              <w:jc w:val="center"/>
              <w:rPr>
                <w:rFonts w:ascii="Calibri" w:hAnsi="Calibri" w:cs="Calibri"/>
                <w:b/>
                <w:bCs/>
                <w:iCs/>
                <w:sz w:val="20"/>
                <w:szCs w:val="20"/>
              </w:rPr>
            </w:pPr>
            <w:r w:rsidRPr="00E7138D">
              <w:rPr>
                <w:rFonts w:ascii="Calibri" w:hAnsi="Calibri" w:cs="Calibri"/>
                <w:b/>
                <w:bCs/>
                <w:iCs/>
                <w:sz w:val="20"/>
                <w:szCs w:val="20"/>
              </w:rPr>
              <w:t>ZP3</w:t>
            </w:r>
          </w:p>
        </w:tc>
        <w:tc>
          <w:tcPr>
            <w:tcW w:w="553" w:type="pct"/>
            <w:tcBorders>
              <w:top w:val="single" w:sz="8" w:space="0" w:color="auto"/>
              <w:left w:val="nil"/>
              <w:bottom w:val="single" w:sz="8" w:space="0" w:color="auto"/>
              <w:right w:val="single" w:sz="4" w:space="0" w:color="auto"/>
            </w:tcBorders>
            <w:shd w:val="clear" w:color="000000" w:fill="DDEBF7"/>
            <w:noWrap/>
            <w:vAlign w:val="bottom"/>
            <w:hideMark/>
          </w:tcPr>
          <w:p w14:paraId="307D3657" w14:textId="77777777" w:rsidR="00D55F31" w:rsidRPr="00E7138D" w:rsidRDefault="0024693B" w:rsidP="0002290A">
            <w:pPr>
              <w:jc w:val="center"/>
              <w:rPr>
                <w:rFonts w:ascii="Calibri" w:hAnsi="Calibri" w:cs="Calibri"/>
                <w:b/>
                <w:bCs/>
                <w:iCs/>
                <w:sz w:val="20"/>
                <w:szCs w:val="20"/>
              </w:rPr>
            </w:pPr>
            <w:r w:rsidRPr="00E7138D">
              <w:rPr>
                <w:rFonts w:ascii="Calibri" w:hAnsi="Calibri" w:cs="Calibri"/>
                <w:b/>
                <w:bCs/>
                <w:iCs/>
                <w:sz w:val="20"/>
                <w:szCs w:val="20"/>
              </w:rPr>
              <w:t>ZP4</w:t>
            </w:r>
          </w:p>
        </w:tc>
        <w:tc>
          <w:tcPr>
            <w:tcW w:w="553" w:type="pct"/>
            <w:tcBorders>
              <w:top w:val="single" w:sz="8" w:space="0" w:color="auto"/>
              <w:left w:val="nil"/>
              <w:bottom w:val="single" w:sz="8" w:space="0" w:color="auto"/>
              <w:right w:val="single" w:sz="4" w:space="0" w:color="auto"/>
            </w:tcBorders>
            <w:shd w:val="clear" w:color="000000" w:fill="DDEBF7"/>
            <w:noWrap/>
            <w:vAlign w:val="bottom"/>
            <w:hideMark/>
          </w:tcPr>
          <w:p w14:paraId="4E9A7B26" w14:textId="77777777" w:rsidR="00D55F31" w:rsidRPr="00E7138D" w:rsidRDefault="0024693B" w:rsidP="0002290A">
            <w:pPr>
              <w:jc w:val="center"/>
              <w:rPr>
                <w:rFonts w:ascii="Calibri" w:hAnsi="Calibri" w:cs="Calibri"/>
                <w:b/>
                <w:bCs/>
                <w:iCs/>
                <w:sz w:val="20"/>
                <w:szCs w:val="20"/>
              </w:rPr>
            </w:pPr>
            <w:r w:rsidRPr="00E7138D">
              <w:rPr>
                <w:rFonts w:ascii="Calibri" w:hAnsi="Calibri" w:cs="Calibri"/>
                <w:b/>
                <w:bCs/>
                <w:iCs/>
                <w:sz w:val="20"/>
                <w:szCs w:val="20"/>
              </w:rPr>
              <w:t>ZP5</w:t>
            </w:r>
          </w:p>
        </w:tc>
        <w:tc>
          <w:tcPr>
            <w:tcW w:w="554" w:type="pct"/>
            <w:tcBorders>
              <w:top w:val="single" w:sz="8" w:space="0" w:color="auto"/>
              <w:left w:val="nil"/>
              <w:bottom w:val="single" w:sz="8" w:space="0" w:color="auto"/>
              <w:right w:val="single" w:sz="4" w:space="0" w:color="auto"/>
            </w:tcBorders>
            <w:shd w:val="clear" w:color="000000" w:fill="DDEBF7"/>
            <w:noWrap/>
            <w:vAlign w:val="bottom"/>
            <w:hideMark/>
          </w:tcPr>
          <w:p w14:paraId="17734EF4" w14:textId="77777777" w:rsidR="00D55F31" w:rsidRPr="00E7138D" w:rsidRDefault="0024693B" w:rsidP="0002290A">
            <w:pPr>
              <w:jc w:val="center"/>
              <w:rPr>
                <w:rFonts w:ascii="Calibri" w:hAnsi="Calibri" w:cs="Calibri"/>
                <w:b/>
                <w:bCs/>
                <w:iCs/>
                <w:sz w:val="20"/>
                <w:szCs w:val="20"/>
              </w:rPr>
            </w:pPr>
            <w:r w:rsidRPr="00E7138D">
              <w:rPr>
                <w:rFonts w:ascii="Calibri" w:hAnsi="Calibri" w:cs="Calibri"/>
                <w:b/>
                <w:bCs/>
                <w:iCs/>
                <w:sz w:val="20"/>
                <w:szCs w:val="20"/>
              </w:rPr>
              <w:t>ZP6</w:t>
            </w:r>
          </w:p>
        </w:tc>
        <w:tc>
          <w:tcPr>
            <w:tcW w:w="554" w:type="pct"/>
            <w:tcBorders>
              <w:top w:val="single" w:sz="8" w:space="0" w:color="auto"/>
              <w:left w:val="nil"/>
              <w:bottom w:val="single" w:sz="8" w:space="0" w:color="auto"/>
              <w:right w:val="single" w:sz="8" w:space="0" w:color="auto"/>
            </w:tcBorders>
            <w:shd w:val="clear" w:color="000000" w:fill="D9E1F2"/>
            <w:noWrap/>
            <w:vAlign w:val="bottom"/>
            <w:hideMark/>
          </w:tcPr>
          <w:p w14:paraId="3DA89A91" w14:textId="77777777" w:rsidR="00D55F31" w:rsidRPr="00E7138D" w:rsidRDefault="0024693B" w:rsidP="0002290A">
            <w:pPr>
              <w:jc w:val="center"/>
              <w:rPr>
                <w:rFonts w:ascii="Calibri" w:hAnsi="Calibri" w:cs="Calibri"/>
                <w:b/>
                <w:bCs/>
                <w:iCs/>
                <w:sz w:val="20"/>
                <w:szCs w:val="20"/>
              </w:rPr>
            </w:pPr>
            <w:r w:rsidRPr="00E7138D">
              <w:rPr>
                <w:rFonts w:ascii="Calibri" w:hAnsi="Calibri" w:cs="Calibri"/>
                <w:b/>
                <w:bCs/>
                <w:iCs/>
                <w:sz w:val="20"/>
                <w:szCs w:val="20"/>
              </w:rPr>
              <w:t>ZP7</w:t>
            </w:r>
          </w:p>
        </w:tc>
      </w:tr>
      <w:tr w:rsidR="00C425F2" w:rsidRPr="00E7138D" w14:paraId="1019112E" w14:textId="77777777" w:rsidTr="009D2DF2">
        <w:trPr>
          <w:trHeight w:val="23"/>
        </w:trPr>
        <w:tc>
          <w:tcPr>
            <w:tcW w:w="1125" w:type="pct"/>
            <w:tcBorders>
              <w:top w:val="nil"/>
              <w:left w:val="single" w:sz="8" w:space="0" w:color="auto"/>
              <w:bottom w:val="single" w:sz="4" w:space="0" w:color="auto"/>
              <w:right w:val="single" w:sz="4" w:space="0" w:color="auto"/>
            </w:tcBorders>
            <w:shd w:val="clear" w:color="auto" w:fill="auto"/>
            <w:noWrap/>
            <w:vAlign w:val="bottom"/>
            <w:hideMark/>
          </w:tcPr>
          <w:p w14:paraId="61062FC5" w14:textId="77777777" w:rsidR="00D55F31" w:rsidRPr="00E7138D" w:rsidRDefault="0024693B" w:rsidP="0002290A">
            <w:pPr>
              <w:rPr>
                <w:rFonts w:ascii="Calibri" w:hAnsi="Calibri" w:cs="Calibri"/>
                <w:sz w:val="20"/>
                <w:szCs w:val="20"/>
              </w:rPr>
            </w:pPr>
            <w:r w:rsidRPr="00E7138D">
              <w:rPr>
                <w:rFonts w:ascii="Calibri" w:hAnsi="Calibri" w:cs="Calibri"/>
                <w:sz w:val="20"/>
                <w:szCs w:val="20"/>
              </w:rPr>
              <w:t>VI/1</w:t>
            </w:r>
          </w:p>
        </w:tc>
        <w:tc>
          <w:tcPr>
            <w:tcW w:w="553" w:type="pct"/>
            <w:tcBorders>
              <w:top w:val="nil"/>
              <w:left w:val="nil"/>
              <w:bottom w:val="single" w:sz="4" w:space="0" w:color="auto"/>
              <w:right w:val="single" w:sz="4" w:space="0" w:color="auto"/>
            </w:tcBorders>
            <w:shd w:val="clear" w:color="000000" w:fill="FFFFFF"/>
            <w:noWrap/>
            <w:vAlign w:val="bottom"/>
            <w:hideMark/>
          </w:tcPr>
          <w:p w14:paraId="45638F67"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1 159</w:t>
            </w:r>
          </w:p>
        </w:tc>
        <w:tc>
          <w:tcPr>
            <w:tcW w:w="553" w:type="pct"/>
            <w:tcBorders>
              <w:top w:val="nil"/>
              <w:left w:val="nil"/>
              <w:bottom w:val="single" w:sz="4" w:space="0" w:color="auto"/>
              <w:right w:val="single" w:sz="4" w:space="0" w:color="auto"/>
            </w:tcBorders>
            <w:shd w:val="clear" w:color="000000" w:fill="FFFFFF"/>
            <w:noWrap/>
            <w:vAlign w:val="bottom"/>
            <w:hideMark/>
          </w:tcPr>
          <w:p w14:paraId="17813F68"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1 191</w:t>
            </w:r>
          </w:p>
        </w:tc>
        <w:tc>
          <w:tcPr>
            <w:tcW w:w="553" w:type="pct"/>
            <w:tcBorders>
              <w:top w:val="nil"/>
              <w:left w:val="nil"/>
              <w:bottom w:val="single" w:sz="4" w:space="0" w:color="auto"/>
              <w:right w:val="single" w:sz="4" w:space="0" w:color="auto"/>
            </w:tcBorders>
            <w:shd w:val="clear" w:color="000000" w:fill="FFFFFF"/>
            <w:noWrap/>
            <w:vAlign w:val="bottom"/>
            <w:hideMark/>
          </w:tcPr>
          <w:p w14:paraId="546A3C37"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1 214</w:t>
            </w:r>
          </w:p>
        </w:tc>
        <w:tc>
          <w:tcPr>
            <w:tcW w:w="553" w:type="pct"/>
            <w:tcBorders>
              <w:top w:val="nil"/>
              <w:left w:val="nil"/>
              <w:bottom w:val="single" w:sz="4" w:space="0" w:color="auto"/>
              <w:right w:val="single" w:sz="4" w:space="0" w:color="auto"/>
            </w:tcBorders>
            <w:shd w:val="clear" w:color="000000" w:fill="FFFFFF"/>
            <w:noWrap/>
            <w:vAlign w:val="bottom"/>
            <w:hideMark/>
          </w:tcPr>
          <w:p w14:paraId="0A94F61B"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1 182</w:t>
            </w:r>
          </w:p>
        </w:tc>
        <w:tc>
          <w:tcPr>
            <w:tcW w:w="553" w:type="pct"/>
            <w:tcBorders>
              <w:top w:val="nil"/>
              <w:left w:val="nil"/>
              <w:bottom w:val="single" w:sz="4" w:space="0" w:color="auto"/>
              <w:right w:val="single" w:sz="4" w:space="0" w:color="auto"/>
            </w:tcBorders>
            <w:shd w:val="clear" w:color="000000" w:fill="FFFFFF"/>
            <w:noWrap/>
            <w:vAlign w:val="bottom"/>
            <w:hideMark/>
          </w:tcPr>
          <w:p w14:paraId="0FB22169"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1 207</w:t>
            </w:r>
          </w:p>
        </w:tc>
        <w:tc>
          <w:tcPr>
            <w:tcW w:w="554" w:type="pct"/>
            <w:tcBorders>
              <w:top w:val="nil"/>
              <w:left w:val="nil"/>
              <w:bottom w:val="single" w:sz="4" w:space="0" w:color="auto"/>
              <w:right w:val="single" w:sz="4" w:space="0" w:color="auto"/>
            </w:tcBorders>
            <w:shd w:val="clear" w:color="000000" w:fill="FFFFFF"/>
            <w:noWrap/>
            <w:vAlign w:val="bottom"/>
            <w:hideMark/>
          </w:tcPr>
          <w:p w14:paraId="3FB86414"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1 196</w:t>
            </w:r>
          </w:p>
        </w:tc>
        <w:tc>
          <w:tcPr>
            <w:tcW w:w="554" w:type="pct"/>
            <w:tcBorders>
              <w:top w:val="nil"/>
              <w:left w:val="nil"/>
              <w:bottom w:val="single" w:sz="4" w:space="0" w:color="auto"/>
              <w:right w:val="single" w:sz="8" w:space="0" w:color="auto"/>
            </w:tcBorders>
            <w:shd w:val="clear" w:color="000000" w:fill="FFFFFF"/>
            <w:noWrap/>
            <w:vAlign w:val="bottom"/>
            <w:hideMark/>
          </w:tcPr>
          <w:p w14:paraId="1FE4302E"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1 259</w:t>
            </w:r>
          </w:p>
        </w:tc>
      </w:tr>
      <w:tr w:rsidR="00C425F2" w:rsidRPr="00E7138D" w14:paraId="644BAD29" w14:textId="77777777" w:rsidTr="009D2DF2">
        <w:trPr>
          <w:trHeight w:val="23"/>
        </w:trPr>
        <w:tc>
          <w:tcPr>
            <w:tcW w:w="1125" w:type="pct"/>
            <w:tcBorders>
              <w:top w:val="nil"/>
              <w:left w:val="single" w:sz="8" w:space="0" w:color="auto"/>
              <w:bottom w:val="single" w:sz="4" w:space="0" w:color="auto"/>
              <w:right w:val="single" w:sz="4" w:space="0" w:color="auto"/>
            </w:tcBorders>
            <w:shd w:val="clear" w:color="auto" w:fill="auto"/>
            <w:noWrap/>
            <w:vAlign w:val="bottom"/>
            <w:hideMark/>
          </w:tcPr>
          <w:p w14:paraId="2CB4DB97" w14:textId="77777777" w:rsidR="00D55F31" w:rsidRPr="00E7138D" w:rsidRDefault="0024693B" w:rsidP="0002290A">
            <w:pPr>
              <w:rPr>
                <w:rFonts w:ascii="Calibri" w:hAnsi="Calibri" w:cs="Calibri"/>
                <w:bCs/>
                <w:sz w:val="20"/>
                <w:szCs w:val="20"/>
              </w:rPr>
            </w:pPr>
            <w:r w:rsidRPr="00E7138D">
              <w:rPr>
                <w:rFonts w:ascii="Calibri" w:hAnsi="Calibri" w:cs="Calibri"/>
                <w:bCs/>
                <w:sz w:val="20"/>
                <w:szCs w:val="20"/>
              </w:rPr>
              <w:t>VII/3</w:t>
            </w:r>
          </w:p>
        </w:tc>
        <w:tc>
          <w:tcPr>
            <w:tcW w:w="553" w:type="pct"/>
            <w:tcBorders>
              <w:top w:val="nil"/>
              <w:left w:val="nil"/>
              <w:bottom w:val="single" w:sz="4" w:space="0" w:color="auto"/>
              <w:right w:val="single" w:sz="4" w:space="0" w:color="auto"/>
            </w:tcBorders>
            <w:shd w:val="clear" w:color="000000" w:fill="FFFFFF"/>
            <w:noWrap/>
            <w:vAlign w:val="bottom"/>
            <w:hideMark/>
          </w:tcPr>
          <w:p w14:paraId="31590D71"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1 148</w:t>
            </w:r>
          </w:p>
        </w:tc>
        <w:tc>
          <w:tcPr>
            <w:tcW w:w="553" w:type="pct"/>
            <w:tcBorders>
              <w:top w:val="nil"/>
              <w:left w:val="nil"/>
              <w:bottom w:val="single" w:sz="4" w:space="0" w:color="auto"/>
              <w:right w:val="single" w:sz="4" w:space="0" w:color="auto"/>
            </w:tcBorders>
            <w:shd w:val="clear" w:color="000000" w:fill="FFFFFF"/>
            <w:noWrap/>
            <w:vAlign w:val="bottom"/>
            <w:hideMark/>
          </w:tcPr>
          <w:p w14:paraId="40657CDF" w14:textId="77777777" w:rsidR="00D55F31" w:rsidRPr="00E7138D" w:rsidRDefault="00D55F31" w:rsidP="0002290A">
            <w:pPr>
              <w:jc w:val="right"/>
              <w:rPr>
                <w:rFonts w:ascii="Calibri" w:hAnsi="Calibri" w:cs="Calibri"/>
                <w:bCs/>
                <w:sz w:val="20"/>
                <w:szCs w:val="20"/>
              </w:rPr>
            </w:pPr>
          </w:p>
        </w:tc>
        <w:tc>
          <w:tcPr>
            <w:tcW w:w="553" w:type="pct"/>
            <w:tcBorders>
              <w:top w:val="nil"/>
              <w:left w:val="nil"/>
              <w:bottom w:val="single" w:sz="4" w:space="0" w:color="auto"/>
              <w:right w:val="single" w:sz="4" w:space="0" w:color="auto"/>
            </w:tcBorders>
            <w:shd w:val="clear" w:color="000000" w:fill="FFFFFF"/>
            <w:noWrap/>
            <w:vAlign w:val="bottom"/>
            <w:hideMark/>
          </w:tcPr>
          <w:p w14:paraId="1074422B"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1 202</w:t>
            </w:r>
          </w:p>
        </w:tc>
        <w:tc>
          <w:tcPr>
            <w:tcW w:w="553" w:type="pct"/>
            <w:tcBorders>
              <w:top w:val="nil"/>
              <w:left w:val="nil"/>
              <w:bottom w:val="single" w:sz="4" w:space="0" w:color="auto"/>
              <w:right w:val="single" w:sz="4" w:space="0" w:color="auto"/>
            </w:tcBorders>
            <w:shd w:val="clear" w:color="000000" w:fill="FFFFFF"/>
            <w:noWrap/>
            <w:vAlign w:val="bottom"/>
            <w:hideMark/>
          </w:tcPr>
          <w:p w14:paraId="571B2637"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1 171</w:t>
            </w:r>
          </w:p>
        </w:tc>
        <w:tc>
          <w:tcPr>
            <w:tcW w:w="553" w:type="pct"/>
            <w:tcBorders>
              <w:top w:val="nil"/>
              <w:left w:val="nil"/>
              <w:bottom w:val="single" w:sz="4" w:space="0" w:color="auto"/>
              <w:right w:val="single" w:sz="4" w:space="0" w:color="auto"/>
            </w:tcBorders>
            <w:shd w:val="clear" w:color="000000" w:fill="FFFFFF"/>
            <w:noWrap/>
            <w:vAlign w:val="bottom"/>
            <w:hideMark/>
          </w:tcPr>
          <w:p w14:paraId="4795E778"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1 160</w:t>
            </w:r>
          </w:p>
        </w:tc>
        <w:tc>
          <w:tcPr>
            <w:tcW w:w="554" w:type="pct"/>
            <w:tcBorders>
              <w:top w:val="nil"/>
              <w:left w:val="nil"/>
              <w:bottom w:val="single" w:sz="4" w:space="0" w:color="auto"/>
              <w:right w:val="single" w:sz="4" w:space="0" w:color="auto"/>
            </w:tcBorders>
            <w:shd w:val="clear" w:color="000000" w:fill="FFFFFF"/>
            <w:noWrap/>
            <w:vAlign w:val="bottom"/>
            <w:hideMark/>
          </w:tcPr>
          <w:p w14:paraId="5CDDB81D"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1 185</w:t>
            </w:r>
          </w:p>
        </w:tc>
        <w:tc>
          <w:tcPr>
            <w:tcW w:w="554" w:type="pct"/>
            <w:tcBorders>
              <w:top w:val="nil"/>
              <w:left w:val="nil"/>
              <w:bottom w:val="single" w:sz="4" w:space="0" w:color="auto"/>
              <w:right w:val="single" w:sz="8" w:space="0" w:color="auto"/>
            </w:tcBorders>
            <w:shd w:val="clear" w:color="000000" w:fill="FFFFFF"/>
            <w:noWrap/>
            <w:vAlign w:val="bottom"/>
            <w:hideMark/>
          </w:tcPr>
          <w:p w14:paraId="40ED225A"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1 248</w:t>
            </w:r>
          </w:p>
        </w:tc>
      </w:tr>
      <w:tr w:rsidR="00C425F2" w:rsidRPr="00E7138D" w14:paraId="16E3D191" w14:textId="77777777" w:rsidTr="009D2DF2">
        <w:trPr>
          <w:trHeight w:val="23"/>
        </w:trPr>
        <w:tc>
          <w:tcPr>
            <w:tcW w:w="1125" w:type="pct"/>
            <w:tcBorders>
              <w:top w:val="nil"/>
              <w:left w:val="single" w:sz="8" w:space="0" w:color="auto"/>
              <w:bottom w:val="single" w:sz="4" w:space="0" w:color="auto"/>
              <w:right w:val="single" w:sz="4" w:space="0" w:color="auto"/>
            </w:tcBorders>
            <w:shd w:val="clear" w:color="auto" w:fill="auto"/>
            <w:noWrap/>
            <w:vAlign w:val="bottom"/>
            <w:hideMark/>
          </w:tcPr>
          <w:p w14:paraId="463EEF43" w14:textId="77777777" w:rsidR="00D55F31" w:rsidRPr="00E7138D" w:rsidRDefault="0024693B" w:rsidP="0002290A">
            <w:pPr>
              <w:rPr>
                <w:rFonts w:ascii="Calibri" w:hAnsi="Calibri" w:cs="Calibri"/>
                <w:bCs/>
                <w:sz w:val="20"/>
                <w:szCs w:val="20"/>
              </w:rPr>
            </w:pPr>
            <w:r w:rsidRPr="00E7138D">
              <w:rPr>
                <w:rFonts w:ascii="Calibri" w:hAnsi="Calibri" w:cs="Calibri"/>
                <w:bCs/>
                <w:sz w:val="20"/>
                <w:szCs w:val="20"/>
              </w:rPr>
              <w:t>VII/6</w:t>
            </w:r>
          </w:p>
        </w:tc>
        <w:tc>
          <w:tcPr>
            <w:tcW w:w="553" w:type="pct"/>
            <w:tcBorders>
              <w:top w:val="nil"/>
              <w:left w:val="nil"/>
              <w:bottom w:val="single" w:sz="4" w:space="0" w:color="auto"/>
              <w:right w:val="single" w:sz="4" w:space="0" w:color="auto"/>
            </w:tcBorders>
            <w:shd w:val="clear" w:color="000000" w:fill="FFFFFF"/>
            <w:noWrap/>
            <w:vAlign w:val="bottom"/>
            <w:hideMark/>
          </w:tcPr>
          <w:p w14:paraId="776DB05B"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1 148</w:t>
            </w:r>
          </w:p>
        </w:tc>
        <w:tc>
          <w:tcPr>
            <w:tcW w:w="553" w:type="pct"/>
            <w:tcBorders>
              <w:top w:val="nil"/>
              <w:left w:val="nil"/>
              <w:bottom w:val="single" w:sz="4" w:space="0" w:color="auto"/>
              <w:right w:val="single" w:sz="4" w:space="0" w:color="auto"/>
            </w:tcBorders>
            <w:shd w:val="clear" w:color="000000" w:fill="FFFFFF"/>
            <w:noWrap/>
            <w:vAlign w:val="bottom"/>
            <w:hideMark/>
          </w:tcPr>
          <w:p w14:paraId="46139D27" w14:textId="77777777" w:rsidR="00D55F31" w:rsidRPr="00E7138D" w:rsidRDefault="00D55F31" w:rsidP="0002290A">
            <w:pPr>
              <w:jc w:val="right"/>
              <w:rPr>
                <w:rFonts w:ascii="Calibri" w:hAnsi="Calibri" w:cs="Calibri"/>
                <w:bCs/>
                <w:sz w:val="20"/>
                <w:szCs w:val="20"/>
              </w:rPr>
            </w:pPr>
          </w:p>
        </w:tc>
        <w:tc>
          <w:tcPr>
            <w:tcW w:w="553" w:type="pct"/>
            <w:tcBorders>
              <w:top w:val="nil"/>
              <w:left w:val="nil"/>
              <w:bottom w:val="single" w:sz="4" w:space="0" w:color="auto"/>
              <w:right w:val="single" w:sz="4" w:space="0" w:color="auto"/>
            </w:tcBorders>
            <w:shd w:val="clear" w:color="000000" w:fill="FFFFFF"/>
            <w:noWrap/>
            <w:vAlign w:val="bottom"/>
            <w:hideMark/>
          </w:tcPr>
          <w:p w14:paraId="7980B203"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1 202</w:t>
            </w:r>
          </w:p>
        </w:tc>
        <w:tc>
          <w:tcPr>
            <w:tcW w:w="553" w:type="pct"/>
            <w:tcBorders>
              <w:top w:val="nil"/>
              <w:left w:val="nil"/>
              <w:bottom w:val="single" w:sz="4" w:space="0" w:color="auto"/>
              <w:right w:val="single" w:sz="4" w:space="0" w:color="auto"/>
            </w:tcBorders>
            <w:shd w:val="clear" w:color="000000" w:fill="FFFFFF"/>
            <w:noWrap/>
            <w:vAlign w:val="bottom"/>
            <w:hideMark/>
          </w:tcPr>
          <w:p w14:paraId="593A1CEB"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1 171</w:t>
            </w:r>
          </w:p>
        </w:tc>
        <w:tc>
          <w:tcPr>
            <w:tcW w:w="553" w:type="pct"/>
            <w:tcBorders>
              <w:top w:val="nil"/>
              <w:left w:val="nil"/>
              <w:bottom w:val="single" w:sz="4" w:space="0" w:color="auto"/>
              <w:right w:val="single" w:sz="4" w:space="0" w:color="auto"/>
            </w:tcBorders>
            <w:shd w:val="clear" w:color="000000" w:fill="FFFFFF"/>
            <w:noWrap/>
            <w:vAlign w:val="bottom"/>
            <w:hideMark/>
          </w:tcPr>
          <w:p w14:paraId="257438B7"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1 159</w:t>
            </w:r>
          </w:p>
        </w:tc>
        <w:tc>
          <w:tcPr>
            <w:tcW w:w="554" w:type="pct"/>
            <w:tcBorders>
              <w:top w:val="nil"/>
              <w:left w:val="nil"/>
              <w:bottom w:val="single" w:sz="4" w:space="0" w:color="auto"/>
              <w:right w:val="single" w:sz="4" w:space="0" w:color="auto"/>
            </w:tcBorders>
            <w:shd w:val="clear" w:color="000000" w:fill="FFFFFF"/>
            <w:noWrap/>
            <w:vAlign w:val="bottom"/>
            <w:hideMark/>
          </w:tcPr>
          <w:p w14:paraId="76B09A0C"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1 185</w:t>
            </w:r>
          </w:p>
        </w:tc>
        <w:tc>
          <w:tcPr>
            <w:tcW w:w="554" w:type="pct"/>
            <w:tcBorders>
              <w:top w:val="nil"/>
              <w:left w:val="nil"/>
              <w:bottom w:val="single" w:sz="4" w:space="0" w:color="auto"/>
              <w:right w:val="single" w:sz="8" w:space="0" w:color="auto"/>
            </w:tcBorders>
            <w:shd w:val="clear" w:color="000000" w:fill="FFFFFF"/>
            <w:noWrap/>
            <w:vAlign w:val="bottom"/>
            <w:hideMark/>
          </w:tcPr>
          <w:p w14:paraId="7012A8D4"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1 248</w:t>
            </w:r>
          </w:p>
        </w:tc>
      </w:tr>
      <w:tr w:rsidR="00C425F2" w:rsidRPr="00E7138D" w14:paraId="7A56BC7B" w14:textId="77777777" w:rsidTr="009D2DF2">
        <w:trPr>
          <w:trHeight w:val="23"/>
        </w:trPr>
        <w:tc>
          <w:tcPr>
            <w:tcW w:w="1125" w:type="pct"/>
            <w:tcBorders>
              <w:top w:val="nil"/>
              <w:left w:val="single" w:sz="8" w:space="0" w:color="auto"/>
              <w:bottom w:val="single" w:sz="4" w:space="0" w:color="auto"/>
              <w:right w:val="single" w:sz="4" w:space="0" w:color="auto"/>
            </w:tcBorders>
            <w:shd w:val="clear" w:color="auto" w:fill="auto"/>
            <w:noWrap/>
            <w:vAlign w:val="bottom"/>
            <w:hideMark/>
          </w:tcPr>
          <w:p w14:paraId="3CEB6797" w14:textId="77777777" w:rsidR="00D55F31" w:rsidRPr="00E7138D" w:rsidRDefault="0024693B" w:rsidP="0002290A">
            <w:pPr>
              <w:rPr>
                <w:rFonts w:ascii="Calibri" w:hAnsi="Calibri" w:cs="Calibri"/>
                <w:bCs/>
                <w:sz w:val="20"/>
                <w:szCs w:val="20"/>
              </w:rPr>
            </w:pPr>
            <w:r w:rsidRPr="00E7138D">
              <w:rPr>
                <w:rFonts w:ascii="Calibri" w:hAnsi="Calibri" w:cs="Calibri"/>
                <w:bCs/>
                <w:sz w:val="20"/>
                <w:szCs w:val="20"/>
              </w:rPr>
              <w:t>VII/7</w:t>
            </w:r>
          </w:p>
        </w:tc>
        <w:tc>
          <w:tcPr>
            <w:tcW w:w="553" w:type="pct"/>
            <w:tcBorders>
              <w:top w:val="nil"/>
              <w:left w:val="nil"/>
              <w:bottom w:val="single" w:sz="4" w:space="0" w:color="auto"/>
              <w:right w:val="single" w:sz="4" w:space="0" w:color="auto"/>
            </w:tcBorders>
            <w:shd w:val="clear" w:color="000000" w:fill="FFFFFF"/>
            <w:noWrap/>
            <w:vAlign w:val="bottom"/>
            <w:hideMark/>
          </w:tcPr>
          <w:p w14:paraId="2DF1E360"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1 148</w:t>
            </w:r>
          </w:p>
        </w:tc>
        <w:tc>
          <w:tcPr>
            <w:tcW w:w="553" w:type="pct"/>
            <w:tcBorders>
              <w:top w:val="nil"/>
              <w:left w:val="nil"/>
              <w:bottom w:val="single" w:sz="4" w:space="0" w:color="auto"/>
              <w:right w:val="single" w:sz="4" w:space="0" w:color="auto"/>
            </w:tcBorders>
            <w:shd w:val="clear" w:color="000000" w:fill="FFFFFF"/>
            <w:noWrap/>
            <w:vAlign w:val="bottom"/>
            <w:hideMark/>
          </w:tcPr>
          <w:p w14:paraId="33AC9359" w14:textId="77777777" w:rsidR="00D55F31" w:rsidRPr="00E7138D" w:rsidRDefault="00D55F31" w:rsidP="0002290A">
            <w:pPr>
              <w:jc w:val="right"/>
              <w:rPr>
                <w:rFonts w:ascii="Calibri" w:hAnsi="Calibri" w:cs="Calibri"/>
                <w:bCs/>
                <w:sz w:val="20"/>
                <w:szCs w:val="20"/>
              </w:rPr>
            </w:pPr>
          </w:p>
        </w:tc>
        <w:tc>
          <w:tcPr>
            <w:tcW w:w="553" w:type="pct"/>
            <w:tcBorders>
              <w:top w:val="nil"/>
              <w:left w:val="nil"/>
              <w:bottom w:val="single" w:sz="4" w:space="0" w:color="auto"/>
              <w:right w:val="single" w:sz="4" w:space="0" w:color="auto"/>
            </w:tcBorders>
            <w:shd w:val="clear" w:color="000000" w:fill="FFFFFF"/>
            <w:noWrap/>
            <w:vAlign w:val="bottom"/>
            <w:hideMark/>
          </w:tcPr>
          <w:p w14:paraId="7E9D7D05"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1 202</w:t>
            </w:r>
          </w:p>
        </w:tc>
        <w:tc>
          <w:tcPr>
            <w:tcW w:w="553" w:type="pct"/>
            <w:tcBorders>
              <w:top w:val="nil"/>
              <w:left w:val="nil"/>
              <w:bottom w:val="single" w:sz="4" w:space="0" w:color="auto"/>
              <w:right w:val="single" w:sz="4" w:space="0" w:color="auto"/>
            </w:tcBorders>
            <w:shd w:val="clear" w:color="000000" w:fill="FFFFFF"/>
            <w:noWrap/>
            <w:vAlign w:val="bottom"/>
            <w:hideMark/>
          </w:tcPr>
          <w:p w14:paraId="7AD211CA"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1 171</w:t>
            </w:r>
          </w:p>
        </w:tc>
        <w:tc>
          <w:tcPr>
            <w:tcW w:w="553" w:type="pct"/>
            <w:tcBorders>
              <w:top w:val="nil"/>
              <w:left w:val="nil"/>
              <w:bottom w:val="single" w:sz="4" w:space="0" w:color="auto"/>
              <w:right w:val="single" w:sz="4" w:space="0" w:color="auto"/>
            </w:tcBorders>
            <w:shd w:val="clear" w:color="000000" w:fill="FFFFFF"/>
            <w:noWrap/>
            <w:vAlign w:val="bottom"/>
            <w:hideMark/>
          </w:tcPr>
          <w:p w14:paraId="68015EA7"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1 159</w:t>
            </w:r>
          </w:p>
        </w:tc>
        <w:tc>
          <w:tcPr>
            <w:tcW w:w="554" w:type="pct"/>
            <w:tcBorders>
              <w:top w:val="nil"/>
              <w:left w:val="nil"/>
              <w:bottom w:val="single" w:sz="4" w:space="0" w:color="auto"/>
              <w:right w:val="single" w:sz="4" w:space="0" w:color="auto"/>
            </w:tcBorders>
            <w:shd w:val="clear" w:color="000000" w:fill="FFFFFF"/>
            <w:noWrap/>
            <w:vAlign w:val="bottom"/>
            <w:hideMark/>
          </w:tcPr>
          <w:p w14:paraId="179918A4"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1 185</w:t>
            </w:r>
          </w:p>
        </w:tc>
        <w:tc>
          <w:tcPr>
            <w:tcW w:w="554" w:type="pct"/>
            <w:tcBorders>
              <w:top w:val="nil"/>
              <w:left w:val="nil"/>
              <w:bottom w:val="single" w:sz="4" w:space="0" w:color="auto"/>
              <w:right w:val="single" w:sz="8" w:space="0" w:color="auto"/>
            </w:tcBorders>
            <w:shd w:val="clear" w:color="000000" w:fill="FFFFFF"/>
            <w:noWrap/>
            <w:vAlign w:val="bottom"/>
            <w:hideMark/>
          </w:tcPr>
          <w:p w14:paraId="67531B99"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1 248</w:t>
            </w:r>
          </w:p>
        </w:tc>
      </w:tr>
      <w:tr w:rsidR="00C425F2" w:rsidRPr="00E7138D" w14:paraId="2151974A" w14:textId="77777777" w:rsidTr="009D2DF2">
        <w:trPr>
          <w:trHeight w:val="23"/>
        </w:trPr>
        <w:tc>
          <w:tcPr>
            <w:tcW w:w="1125" w:type="pct"/>
            <w:tcBorders>
              <w:top w:val="nil"/>
              <w:left w:val="single" w:sz="8" w:space="0" w:color="auto"/>
              <w:bottom w:val="single" w:sz="4" w:space="0" w:color="auto"/>
              <w:right w:val="single" w:sz="4" w:space="0" w:color="auto"/>
            </w:tcBorders>
            <w:shd w:val="clear" w:color="auto" w:fill="auto"/>
            <w:noWrap/>
            <w:vAlign w:val="bottom"/>
            <w:hideMark/>
          </w:tcPr>
          <w:p w14:paraId="6C89BD35" w14:textId="77777777" w:rsidR="00D55F31" w:rsidRPr="00E7138D" w:rsidRDefault="0024693B" w:rsidP="0002290A">
            <w:pPr>
              <w:rPr>
                <w:rFonts w:ascii="Calibri" w:hAnsi="Calibri" w:cs="Calibri"/>
                <w:bCs/>
                <w:sz w:val="20"/>
                <w:szCs w:val="20"/>
              </w:rPr>
            </w:pPr>
            <w:r w:rsidRPr="00E7138D">
              <w:rPr>
                <w:rFonts w:ascii="Calibri" w:hAnsi="Calibri" w:cs="Calibri"/>
                <w:bCs/>
                <w:sz w:val="20"/>
                <w:szCs w:val="20"/>
              </w:rPr>
              <w:t>VII/8</w:t>
            </w:r>
          </w:p>
        </w:tc>
        <w:tc>
          <w:tcPr>
            <w:tcW w:w="553" w:type="pct"/>
            <w:tcBorders>
              <w:top w:val="nil"/>
              <w:left w:val="nil"/>
              <w:bottom w:val="single" w:sz="4" w:space="0" w:color="auto"/>
              <w:right w:val="single" w:sz="4" w:space="0" w:color="auto"/>
            </w:tcBorders>
            <w:shd w:val="clear" w:color="000000" w:fill="FFFFFF"/>
            <w:noWrap/>
            <w:vAlign w:val="bottom"/>
            <w:hideMark/>
          </w:tcPr>
          <w:p w14:paraId="7B2C8446"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1 148</w:t>
            </w:r>
          </w:p>
        </w:tc>
        <w:tc>
          <w:tcPr>
            <w:tcW w:w="553" w:type="pct"/>
            <w:tcBorders>
              <w:top w:val="nil"/>
              <w:left w:val="nil"/>
              <w:bottom w:val="single" w:sz="4" w:space="0" w:color="auto"/>
              <w:right w:val="single" w:sz="4" w:space="0" w:color="auto"/>
            </w:tcBorders>
            <w:shd w:val="clear" w:color="000000" w:fill="FFFFFF"/>
            <w:noWrap/>
            <w:vAlign w:val="bottom"/>
            <w:hideMark/>
          </w:tcPr>
          <w:p w14:paraId="75DB7287" w14:textId="77777777" w:rsidR="00D55F31" w:rsidRPr="00E7138D" w:rsidRDefault="00D55F31" w:rsidP="0002290A">
            <w:pPr>
              <w:jc w:val="right"/>
              <w:rPr>
                <w:rFonts w:ascii="Calibri" w:hAnsi="Calibri" w:cs="Calibri"/>
                <w:bCs/>
                <w:sz w:val="20"/>
                <w:szCs w:val="20"/>
              </w:rPr>
            </w:pPr>
          </w:p>
        </w:tc>
        <w:tc>
          <w:tcPr>
            <w:tcW w:w="553" w:type="pct"/>
            <w:tcBorders>
              <w:top w:val="nil"/>
              <w:left w:val="nil"/>
              <w:bottom w:val="single" w:sz="4" w:space="0" w:color="auto"/>
              <w:right w:val="single" w:sz="4" w:space="0" w:color="auto"/>
            </w:tcBorders>
            <w:shd w:val="clear" w:color="000000" w:fill="FFFFFF"/>
            <w:noWrap/>
            <w:vAlign w:val="bottom"/>
            <w:hideMark/>
          </w:tcPr>
          <w:p w14:paraId="7EC5A40B"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1 202</w:t>
            </w:r>
          </w:p>
        </w:tc>
        <w:tc>
          <w:tcPr>
            <w:tcW w:w="553" w:type="pct"/>
            <w:tcBorders>
              <w:top w:val="nil"/>
              <w:left w:val="nil"/>
              <w:bottom w:val="single" w:sz="4" w:space="0" w:color="auto"/>
              <w:right w:val="single" w:sz="4" w:space="0" w:color="auto"/>
            </w:tcBorders>
            <w:shd w:val="clear" w:color="000000" w:fill="FFFFFF"/>
            <w:noWrap/>
            <w:vAlign w:val="bottom"/>
            <w:hideMark/>
          </w:tcPr>
          <w:p w14:paraId="7F3335B3"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1 171</w:t>
            </w:r>
          </w:p>
        </w:tc>
        <w:tc>
          <w:tcPr>
            <w:tcW w:w="553" w:type="pct"/>
            <w:tcBorders>
              <w:top w:val="nil"/>
              <w:left w:val="nil"/>
              <w:bottom w:val="single" w:sz="4" w:space="0" w:color="auto"/>
              <w:right w:val="single" w:sz="4" w:space="0" w:color="auto"/>
            </w:tcBorders>
            <w:shd w:val="clear" w:color="000000" w:fill="FFFFFF"/>
            <w:noWrap/>
            <w:vAlign w:val="bottom"/>
            <w:hideMark/>
          </w:tcPr>
          <w:p w14:paraId="6AA01008"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1 159</w:t>
            </w:r>
          </w:p>
        </w:tc>
        <w:tc>
          <w:tcPr>
            <w:tcW w:w="554" w:type="pct"/>
            <w:tcBorders>
              <w:top w:val="nil"/>
              <w:left w:val="nil"/>
              <w:bottom w:val="single" w:sz="4" w:space="0" w:color="auto"/>
              <w:right w:val="single" w:sz="4" w:space="0" w:color="auto"/>
            </w:tcBorders>
            <w:shd w:val="clear" w:color="000000" w:fill="FFFFFF"/>
            <w:noWrap/>
            <w:vAlign w:val="bottom"/>
            <w:hideMark/>
          </w:tcPr>
          <w:p w14:paraId="1993F46D"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1 185</w:t>
            </w:r>
          </w:p>
        </w:tc>
        <w:tc>
          <w:tcPr>
            <w:tcW w:w="554" w:type="pct"/>
            <w:tcBorders>
              <w:top w:val="nil"/>
              <w:left w:val="nil"/>
              <w:bottom w:val="single" w:sz="4" w:space="0" w:color="auto"/>
              <w:right w:val="single" w:sz="8" w:space="0" w:color="auto"/>
            </w:tcBorders>
            <w:shd w:val="clear" w:color="000000" w:fill="FFFFFF"/>
            <w:noWrap/>
            <w:vAlign w:val="bottom"/>
            <w:hideMark/>
          </w:tcPr>
          <w:p w14:paraId="5C14B431"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1 248</w:t>
            </w:r>
          </w:p>
        </w:tc>
      </w:tr>
      <w:tr w:rsidR="00C425F2" w:rsidRPr="00E7138D" w14:paraId="25BD5837" w14:textId="77777777" w:rsidTr="009D2DF2">
        <w:trPr>
          <w:trHeight w:val="23"/>
        </w:trPr>
        <w:tc>
          <w:tcPr>
            <w:tcW w:w="1125" w:type="pct"/>
            <w:tcBorders>
              <w:top w:val="nil"/>
              <w:left w:val="single" w:sz="8" w:space="0" w:color="auto"/>
              <w:bottom w:val="single" w:sz="4" w:space="0" w:color="auto"/>
              <w:right w:val="single" w:sz="4" w:space="0" w:color="auto"/>
            </w:tcBorders>
            <w:shd w:val="clear" w:color="auto" w:fill="auto"/>
            <w:noWrap/>
            <w:vAlign w:val="bottom"/>
            <w:hideMark/>
          </w:tcPr>
          <w:p w14:paraId="5225C367" w14:textId="77777777" w:rsidR="00D55F31" w:rsidRPr="00E7138D" w:rsidRDefault="0024693B" w:rsidP="0002290A">
            <w:pPr>
              <w:rPr>
                <w:rFonts w:ascii="Calibri" w:hAnsi="Calibri" w:cs="Calibri"/>
                <w:bCs/>
                <w:sz w:val="20"/>
                <w:szCs w:val="20"/>
              </w:rPr>
            </w:pPr>
            <w:r w:rsidRPr="00E7138D">
              <w:rPr>
                <w:rFonts w:ascii="Calibri" w:hAnsi="Calibri" w:cs="Calibri"/>
                <w:bCs/>
                <w:sz w:val="20"/>
                <w:szCs w:val="20"/>
              </w:rPr>
              <w:t>VII/9</w:t>
            </w:r>
          </w:p>
        </w:tc>
        <w:tc>
          <w:tcPr>
            <w:tcW w:w="553" w:type="pct"/>
            <w:tcBorders>
              <w:top w:val="nil"/>
              <w:left w:val="nil"/>
              <w:bottom w:val="single" w:sz="4" w:space="0" w:color="auto"/>
              <w:right w:val="single" w:sz="4" w:space="0" w:color="auto"/>
            </w:tcBorders>
            <w:shd w:val="clear" w:color="000000" w:fill="FFFFFF"/>
            <w:noWrap/>
            <w:vAlign w:val="bottom"/>
            <w:hideMark/>
          </w:tcPr>
          <w:p w14:paraId="0DC6383D"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1 124</w:t>
            </w:r>
          </w:p>
        </w:tc>
        <w:tc>
          <w:tcPr>
            <w:tcW w:w="553" w:type="pct"/>
            <w:tcBorders>
              <w:top w:val="nil"/>
              <w:left w:val="nil"/>
              <w:bottom w:val="single" w:sz="4" w:space="0" w:color="auto"/>
              <w:right w:val="single" w:sz="4" w:space="0" w:color="auto"/>
            </w:tcBorders>
            <w:shd w:val="clear" w:color="000000" w:fill="FFFFFF"/>
            <w:noWrap/>
            <w:vAlign w:val="bottom"/>
            <w:hideMark/>
          </w:tcPr>
          <w:p w14:paraId="08682C45" w14:textId="77777777" w:rsidR="00D55F31" w:rsidRPr="00E7138D" w:rsidRDefault="00D55F31" w:rsidP="0002290A">
            <w:pPr>
              <w:jc w:val="right"/>
              <w:rPr>
                <w:rFonts w:ascii="Calibri" w:hAnsi="Calibri" w:cs="Calibri"/>
                <w:bCs/>
                <w:sz w:val="20"/>
                <w:szCs w:val="20"/>
              </w:rPr>
            </w:pPr>
          </w:p>
        </w:tc>
        <w:tc>
          <w:tcPr>
            <w:tcW w:w="553" w:type="pct"/>
            <w:tcBorders>
              <w:top w:val="nil"/>
              <w:left w:val="nil"/>
              <w:bottom w:val="single" w:sz="4" w:space="0" w:color="auto"/>
              <w:right w:val="single" w:sz="4" w:space="0" w:color="auto"/>
            </w:tcBorders>
            <w:shd w:val="clear" w:color="000000" w:fill="FFFFFF"/>
            <w:noWrap/>
            <w:vAlign w:val="bottom"/>
            <w:hideMark/>
          </w:tcPr>
          <w:p w14:paraId="1F76F7B5"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1 177</w:t>
            </w:r>
          </w:p>
        </w:tc>
        <w:tc>
          <w:tcPr>
            <w:tcW w:w="553" w:type="pct"/>
            <w:tcBorders>
              <w:top w:val="nil"/>
              <w:left w:val="nil"/>
              <w:bottom w:val="single" w:sz="4" w:space="0" w:color="auto"/>
              <w:right w:val="single" w:sz="4" w:space="0" w:color="auto"/>
            </w:tcBorders>
            <w:shd w:val="clear" w:color="000000" w:fill="FFFFFF"/>
            <w:noWrap/>
            <w:vAlign w:val="bottom"/>
            <w:hideMark/>
          </w:tcPr>
          <w:p w14:paraId="3209ADC7"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1 147</w:t>
            </w:r>
          </w:p>
        </w:tc>
        <w:tc>
          <w:tcPr>
            <w:tcW w:w="553" w:type="pct"/>
            <w:tcBorders>
              <w:top w:val="nil"/>
              <w:left w:val="nil"/>
              <w:bottom w:val="single" w:sz="4" w:space="0" w:color="auto"/>
              <w:right w:val="single" w:sz="4" w:space="0" w:color="auto"/>
            </w:tcBorders>
            <w:shd w:val="clear" w:color="000000" w:fill="FFFFFF"/>
            <w:noWrap/>
            <w:vAlign w:val="bottom"/>
            <w:hideMark/>
          </w:tcPr>
          <w:p w14:paraId="385C68A9"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1 159</w:t>
            </w:r>
          </w:p>
        </w:tc>
        <w:tc>
          <w:tcPr>
            <w:tcW w:w="554" w:type="pct"/>
            <w:tcBorders>
              <w:top w:val="nil"/>
              <w:left w:val="nil"/>
              <w:bottom w:val="single" w:sz="4" w:space="0" w:color="auto"/>
              <w:right w:val="single" w:sz="4" w:space="0" w:color="auto"/>
            </w:tcBorders>
            <w:shd w:val="clear" w:color="000000" w:fill="FFFFFF"/>
            <w:noWrap/>
            <w:vAlign w:val="bottom"/>
            <w:hideMark/>
          </w:tcPr>
          <w:p w14:paraId="4C27EC2B"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1 162</w:t>
            </w:r>
          </w:p>
        </w:tc>
        <w:tc>
          <w:tcPr>
            <w:tcW w:w="554" w:type="pct"/>
            <w:tcBorders>
              <w:top w:val="nil"/>
              <w:left w:val="nil"/>
              <w:bottom w:val="single" w:sz="4" w:space="0" w:color="auto"/>
              <w:right w:val="single" w:sz="8" w:space="0" w:color="auto"/>
            </w:tcBorders>
            <w:shd w:val="clear" w:color="000000" w:fill="FFFFFF"/>
            <w:noWrap/>
            <w:vAlign w:val="bottom"/>
            <w:hideMark/>
          </w:tcPr>
          <w:p w14:paraId="329C001E"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1 224</w:t>
            </w:r>
          </w:p>
        </w:tc>
      </w:tr>
      <w:tr w:rsidR="00C425F2" w:rsidRPr="00E7138D" w14:paraId="7648C9F0" w14:textId="77777777" w:rsidTr="009D2DF2">
        <w:trPr>
          <w:trHeight w:val="23"/>
        </w:trPr>
        <w:tc>
          <w:tcPr>
            <w:tcW w:w="1125" w:type="pct"/>
            <w:tcBorders>
              <w:top w:val="nil"/>
              <w:left w:val="single" w:sz="8" w:space="0" w:color="auto"/>
              <w:bottom w:val="single" w:sz="4" w:space="0" w:color="auto"/>
              <w:right w:val="single" w:sz="4" w:space="0" w:color="auto"/>
            </w:tcBorders>
            <w:shd w:val="clear" w:color="auto" w:fill="auto"/>
            <w:noWrap/>
            <w:vAlign w:val="bottom"/>
            <w:hideMark/>
          </w:tcPr>
          <w:p w14:paraId="6BEDFD3C" w14:textId="77777777" w:rsidR="00D55F31" w:rsidRPr="00E7138D" w:rsidRDefault="0024693B" w:rsidP="0002290A">
            <w:pPr>
              <w:rPr>
                <w:rFonts w:ascii="Calibri" w:hAnsi="Calibri" w:cs="Calibri"/>
                <w:bCs/>
                <w:sz w:val="20"/>
                <w:szCs w:val="20"/>
              </w:rPr>
            </w:pPr>
            <w:r w:rsidRPr="00E7138D">
              <w:rPr>
                <w:rFonts w:ascii="Calibri" w:hAnsi="Calibri" w:cs="Calibri"/>
                <w:bCs/>
                <w:sz w:val="20"/>
                <w:szCs w:val="20"/>
              </w:rPr>
              <w:t>VII/10</w:t>
            </w:r>
          </w:p>
        </w:tc>
        <w:tc>
          <w:tcPr>
            <w:tcW w:w="553" w:type="pct"/>
            <w:tcBorders>
              <w:top w:val="nil"/>
              <w:left w:val="nil"/>
              <w:bottom w:val="single" w:sz="4" w:space="0" w:color="auto"/>
              <w:right w:val="single" w:sz="4" w:space="0" w:color="auto"/>
            </w:tcBorders>
            <w:shd w:val="clear" w:color="000000" w:fill="FFFFFF"/>
            <w:noWrap/>
            <w:vAlign w:val="bottom"/>
            <w:hideMark/>
          </w:tcPr>
          <w:p w14:paraId="2418DD09"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1 148</w:t>
            </w:r>
          </w:p>
        </w:tc>
        <w:tc>
          <w:tcPr>
            <w:tcW w:w="553" w:type="pct"/>
            <w:tcBorders>
              <w:top w:val="nil"/>
              <w:left w:val="nil"/>
              <w:bottom w:val="single" w:sz="4" w:space="0" w:color="auto"/>
              <w:right w:val="single" w:sz="4" w:space="0" w:color="auto"/>
            </w:tcBorders>
            <w:shd w:val="clear" w:color="000000" w:fill="FFFFFF"/>
            <w:noWrap/>
            <w:vAlign w:val="bottom"/>
            <w:hideMark/>
          </w:tcPr>
          <w:p w14:paraId="68E46E05"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1 179</w:t>
            </w:r>
          </w:p>
        </w:tc>
        <w:tc>
          <w:tcPr>
            <w:tcW w:w="553" w:type="pct"/>
            <w:tcBorders>
              <w:top w:val="nil"/>
              <w:left w:val="nil"/>
              <w:bottom w:val="single" w:sz="4" w:space="0" w:color="auto"/>
              <w:right w:val="single" w:sz="4" w:space="0" w:color="auto"/>
            </w:tcBorders>
            <w:shd w:val="clear" w:color="000000" w:fill="FFFFFF"/>
            <w:noWrap/>
            <w:vAlign w:val="bottom"/>
            <w:hideMark/>
          </w:tcPr>
          <w:p w14:paraId="1E5DA829"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1 202</w:t>
            </w:r>
          </w:p>
        </w:tc>
        <w:tc>
          <w:tcPr>
            <w:tcW w:w="553" w:type="pct"/>
            <w:tcBorders>
              <w:top w:val="nil"/>
              <w:left w:val="nil"/>
              <w:bottom w:val="single" w:sz="4" w:space="0" w:color="auto"/>
              <w:right w:val="single" w:sz="4" w:space="0" w:color="auto"/>
            </w:tcBorders>
            <w:shd w:val="clear" w:color="000000" w:fill="FFFFFF"/>
            <w:noWrap/>
            <w:vAlign w:val="bottom"/>
            <w:hideMark/>
          </w:tcPr>
          <w:p w14:paraId="0A08E76B"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1 171</w:t>
            </w:r>
          </w:p>
        </w:tc>
        <w:tc>
          <w:tcPr>
            <w:tcW w:w="553" w:type="pct"/>
            <w:tcBorders>
              <w:top w:val="nil"/>
              <w:left w:val="nil"/>
              <w:bottom w:val="single" w:sz="4" w:space="0" w:color="auto"/>
              <w:right w:val="single" w:sz="4" w:space="0" w:color="auto"/>
            </w:tcBorders>
            <w:shd w:val="clear" w:color="000000" w:fill="FFFFFF"/>
            <w:noWrap/>
            <w:vAlign w:val="bottom"/>
            <w:hideMark/>
          </w:tcPr>
          <w:p w14:paraId="12A2A208"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1 196</w:t>
            </w:r>
          </w:p>
        </w:tc>
        <w:tc>
          <w:tcPr>
            <w:tcW w:w="554" w:type="pct"/>
            <w:tcBorders>
              <w:top w:val="nil"/>
              <w:left w:val="nil"/>
              <w:bottom w:val="single" w:sz="4" w:space="0" w:color="auto"/>
              <w:right w:val="single" w:sz="4" w:space="0" w:color="auto"/>
            </w:tcBorders>
            <w:shd w:val="clear" w:color="000000" w:fill="FFFFFF"/>
            <w:noWrap/>
            <w:vAlign w:val="bottom"/>
            <w:hideMark/>
          </w:tcPr>
          <w:p w14:paraId="042EBC31"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1 185</w:t>
            </w:r>
          </w:p>
        </w:tc>
        <w:tc>
          <w:tcPr>
            <w:tcW w:w="554" w:type="pct"/>
            <w:tcBorders>
              <w:top w:val="nil"/>
              <w:left w:val="nil"/>
              <w:bottom w:val="single" w:sz="4" w:space="0" w:color="auto"/>
              <w:right w:val="single" w:sz="8" w:space="0" w:color="auto"/>
            </w:tcBorders>
            <w:shd w:val="clear" w:color="000000" w:fill="FFFFFF"/>
            <w:noWrap/>
            <w:vAlign w:val="bottom"/>
            <w:hideMark/>
          </w:tcPr>
          <w:p w14:paraId="0FF64885"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1 248</w:t>
            </w:r>
          </w:p>
        </w:tc>
      </w:tr>
      <w:tr w:rsidR="00C425F2" w:rsidRPr="00E7138D" w14:paraId="262FBD7E" w14:textId="77777777" w:rsidTr="009D2DF2">
        <w:trPr>
          <w:trHeight w:val="23"/>
        </w:trPr>
        <w:tc>
          <w:tcPr>
            <w:tcW w:w="1125" w:type="pct"/>
            <w:tcBorders>
              <w:top w:val="nil"/>
              <w:left w:val="single" w:sz="8" w:space="0" w:color="auto"/>
              <w:bottom w:val="single" w:sz="8" w:space="0" w:color="auto"/>
              <w:right w:val="single" w:sz="4" w:space="0" w:color="auto"/>
            </w:tcBorders>
            <w:shd w:val="clear" w:color="auto" w:fill="auto"/>
            <w:noWrap/>
            <w:vAlign w:val="bottom"/>
            <w:hideMark/>
          </w:tcPr>
          <w:p w14:paraId="61780228" w14:textId="77777777" w:rsidR="00D55F31" w:rsidRPr="00E7138D" w:rsidRDefault="0024693B" w:rsidP="0002290A">
            <w:pPr>
              <w:rPr>
                <w:rFonts w:ascii="Calibri" w:hAnsi="Calibri" w:cs="Calibri"/>
                <w:bCs/>
                <w:sz w:val="20"/>
                <w:szCs w:val="20"/>
              </w:rPr>
            </w:pPr>
            <w:r w:rsidRPr="00E7138D">
              <w:rPr>
                <w:rFonts w:ascii="Calibri" w:hAnsi="Calibri" w:cs="Calibri"/>
                <w:bCs/>
                <w:sz w:val="20"/>
                <w:szCs w:val="20"/>
              </w:rPr>
              <w:t>VII/11</w:t>
            </w:r>
          </w:p>
        </w:tc>
        <w:tc>
          <w:tcPr>
            <w:tcW w:w="553" w:type="pct"/>
            <w:tcBorders>
              <w:top w:val="nil"/>
              <w:left w:val="nil"/>
              <w:bottom w:val="single" w:sz="8" w:space="0" w:color="auto"/>
              <w:right w:val="single" w:sz="4" w:space="0" w:color="auto"/>
            </w:tcBorders>
            <w:shd w:val="clear" w:color="000000" w:fill="FFFFFF"/>
            <w:noWrap/>
            <w:vAlign w:val="bottom"/>
            <w:hideMark/>
          </w:tcPr>
          <w:p w14:paraId="53F7B00A"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1 148</w:t>
            </w:r>
          </w:p>
        </w:tc>
        <w:tc>
          <w:tcPr>
            <w:tcW w:w="553" w:type="pct"/>
            <w:tcBorders>
              <w:top w:val="nil"/>
              <w:left w:val="nil"/>
              <w:bottom w:val="single" w:sz="8" w:space="0" w:color="auto"/>
              <w:right w:val="single" w:sz="4" w:space="0" w:color="auto"/>
            </w:tcBorders>
            <w:shd w:val="clear" w:color="000000" w:fill="FFFFFF"/>
            <w:noWrap/>
            <w:vAlign w:val="bottom"/>
            <w:hideMark/>
          </w:tcPr>
          <w:p w14:paraId="602964F8"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1 179</w:t>
            </w:r>
          </w:p>
        </w:tc>
        <w:tc>
          <w:tcPr>
            <w:tcW w:w="553" w:type="pct"/>
            <w:tcBorders>
              <w:top w:val="nil"/>
              <w:left w:val="nil"/>
              <w:bottom w:val="single" w:sz="8" w:space="0" w:color="auto"/>
              <w:right w:val="single" w:sz="4" w:space="0" w:color="auto"/>
            </w:tcBorders>
            <w:shd w:val="clear" w:color="000000" w:fill="FFFFFF"/>
            <w:noWrap/>
            <w:vAlign w:val="bottom"/>
            <w:hideMark/>
          </w:tcPr>
          <w:p w14:paraId="2F13692B"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1 202</w:t>
            </w:r>
          </w:p>
        </w:tc>
        <w:tc>
          <w:tcPr>
            <w:tcW w:w="553" w:type="pct"/>
            <w:tcBorders>
              <w:top w:val="nil"/>
              <w:left w:val="nil"/>
              <w:bottom w:val="single" w:sz="8" w:space="0" w:color="auto"/>
              <w:right w:val="single" w:sz="4" w:space="0" w:color="auto"/>
            </w:tcBorders>
            <w:shd w:val="clear" w:color="000000" w:fill="FFFFFF"/>
            <w:noWrap/>
            <w:vAlign w:val="bottom"/>
            <w:hideMark/>
          </w:tcPr>
          <w:p w14:paraId="16B65FC1"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1 171</w:t>
            </w:r>
          </w:p>
        </w:tc>
        <w:tc>
          <w:tcPr>
            <w:tcW w:w="553" w:type="pct"/>
            <w:tcBorders>
              <w:top w:val="nil"/>
              <w:left w:val="nil"/>
              <w:bottom w:val="single" w:sz="8" w:space="0" w:color="auto"/>
              <w:right w:val="single" w:sz="4" w:space="0" w:color="auto"/>
            </w:tcBorders>
            <w:shd w:val="clear" w:color="000000" w:fill="FFFFFF"/>
            <w:noWrap/>
            <w:vAlign w:val="bottom"/>
            <w:hideMark/>
          </w:tcPr>
          <w:p w14:paraId="6D842D60"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1 196</w:t>
            </w:r>
          </w:p>
        </w:tc>
        <w:tc>
          <w:tcPr>
            <w:tcW w:w="554" w:type="pct"/>
            <w:tcBorders>
              <w:top w:val="nil"/>
              <w:left w:val="nil"/>
              <w:bottom w:val="single" w:sz="8" w:space="0" w:color="auto"/>
              <w:right w:val="single" w:sz="4" w:space="0" w:color="auto"/>
            </w:tcBorders>
            <w:shd w:val="clear" w:color="000000" w:fill="FFFFFF"/>
            <w:noWrap/>
            <w:vAlign w:val="bottom"/>
            <w:hideMark/>
          </w:tcPr>
          <w:p w14:paraId="02CDB9E9"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1 185</w:t>
            </w:r>
          </w:p>
        </w:tc>
        <w:tc>
          <w:tcPr>
            <w:tcW w:w="554" w:type="pct"/>
            <w:tcBorders>
              <w:top w:val="nil"/>
              <w:left w:val="nil"/>
              <w:bottom w:val="single" w:sz="8" w:space="0" w:color="auto"/>
              <w:right w:val="single" w:sz="8" w:space="0" w:color="auto"/>
            </w:tcBorders>
            <w:shd w:val="clear" w:color="000000" w:fill="FFFFFF"/>
            <w:noWrap/>
            <w:vAlign w:val="bottom"/>
            <w:hideMark/>
          </w:tcPr>
          <w:p w14:paraId="2961C0D7"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1 248</w:t>
            </w:r>
          </w:p>
        </w:tc>
      </w:tr>
      <w:tr w:rsidR="00C425F2" w:rsidRPr="00E7138D" w14:paraId="0F080DFD" w14:textId="77777777" w:rsidTr="009D2DF2">
        <w:trPr>
          <w:trHeight w:val="23"/>
        </w:trPr>
        <w:tc>
          <w:tcPr>
            <w:tcW w:w="1125" w:type="pct"/>
            <w:tcBorders>
              <w:top w:val="nil"/>
              <w:left w:val="single" w:sz="8" w:space="0" w:color="auto"/>
              <w:bottom w:val="single" w:sz="8" w:space="0" w:color="auto"/>
              <w:right w:val="single" w:sz="4" w:space="0" w:color="auto"/>
            </w:tcBorders>
            <w:shd w:val="clear" w:color="000000" w:fill="DDEBF7"/>
            <w:noWrap/>
            <w:vAlign w:val="center"/>
            <w:hideMark/>
          </w:tcPr>
          <w:p w14:paraId="10855CE6" w14:textId="77777777" w:rsidR="00D55F31" w:rsidRPr="00E7138D" w:rsidRDefault="0024693B" w:rsidP="0002290A">
            <w:pPr>
              <w:jc w:val="center"/>
              <w:rPr>
                <w:rFonts w:ascii="Calibri" w:hAnsi="Calibri" w:cs="Calibri"/>
                <w:b/>
                <w:bCs/>
                <w:iCs/>
                <w:sz w:val="20"/>
                <w:szCs w:val="20"/>
              </w:rPr>
            </w:pPr>
            <w:r w:rsidRPr="00E7138D">
              <w:rPr>
                <w:rFonts w:ascii="Calibri" w:hAnsi="Calibri" w:cs="Calibri"/>
                <w:b/>
                <w:bCs/>
                <w:iCs/>
                <w:sz w:val="20"/>
                <w:szCs w:val="20"/>
              </w:rPr>
              <w:t>Indikace</w:t>
            </w:r>
          </w:p>
        </w:tc>
        <w:tc>
          <w:tcPr>
            <w:tcW w:w="553" w:type="pct"/>
            <w:tcBorders>
              <w:top w:val="nil"/>
              <w:left w:val="nil"/>
              <w:bottom w:val="single" w:sz="8" w:space="0" w:color="auto"/>
              <w:right w:val="single" w:sz="4" w:space="0" w:color="auto"/>
            </w:tcBorders>
            <w:shd w:val="clear" w:color="000000" w:fill="DDEBF7"/>
            <w:noWrap/>
            <w:vAlign w:val="center"/>
            <w:hideMark/>
          </w:tcPr>
          <w:p w14:paraId="67499A07" w14:textId="77777777" w:rsidR="00D55F31" w:rsidRPr="00E7138D" w:rsidRDefault="0024693B" w:rsidP="0002290A">
            <w:pPr>
              <w:jc w:val="center"/>
              <w:rPr>
                <w:rFonts w:ascii="Calibri" w:hAnsi="Calibri" w:cs="Calibri"/>
                <w:b/>
                <w:bCs/>
                <w:iCs/>
                <w:sz w:val="20"/>
                <w:szCs w:val="20"/>
              </w:rPr>
            </w:pPr>
            <w:r w:rsidRPr="00E7138D">
              <w:rPr>
                <w:rFonts w:ascii="Calibri" w:hAnsi="Calibri" w:cs="Calibri"/>
                <w:b/>
                <w:bCs/>
                <w:iCs/>
                <w:sz w:val="20"/>
                <w:szCs w:val="20"/>
              </w:rPr>
              <w:t>ZP1</w:t>
            </w:r>
          </w:p>
        </w:tc>
        <w:tc>
          <w:tcPr>
            <w:tcW w:w="553" w:type="pct"/>
            <w:tcBorders>
              <w:top w:val="nil"/>
              <w:left w:val="nil"/>
              <w:bottom w:val="single" w:sz="8" w:space="0" w:color="auto"/>
              <w:right w:val="single" w:sz="4" w:space="0" w:color="auto"/>
            </w:tcBorders>
            <w:shd w:val="clear" w:color="000000" w:fill="DDEBF7"/>
            <w:noWrap/>
            <w:vAlign w:val="center"/>
            <w:hideMark/>
          </w:tcPr>
          <w:p w14:paraId="0DA6DA69" w14:textId="77777777" w:rsidR="00D55F31" w:rsidRPr="00E7138D" w:rsidRDefault="0024693B" w:rsidP="0002290A">
            <w:pPr>
              <w:jc w:val="center"/>
              <w:rPr>
                <w:rFonts w:ascii="Calibri" w:hAnsi="Calibri" w:cs="Calibri"/>
                <w:b/>
                <w:bCs/>
                <w:iCs/>
                <w:sz w:val="20"/>
                <w:szCs w:val="20"/>
              </w:rPr>
            </w:pPr>
            <w:r w:rsidRPr="00E7138D">
              <w:rPr>
                <w:rFonts w:ascii="Calibri" w:hAnsi="Calibri" w:cs="Calibri"/>
                <w:b/>
                <w:bCs/>
                <w:iCs/>
                <w:sz w:val="20"/>
                <w:szCs w:val="20"/>
              </w:rPr>
              <w:t>ZP2</w:t>
            </w:r>
          </w:p>
        </w:tc>
        <w:tc>
          <w:tcPr>
            <w:tcW w:w="553" w:type="pct"/>
            <w:tcBorders>
              <w:top w:val="nil"/>
              <w:left w:val="nil"/>
              <w:bottom w:val="single" w:sz="8" w:space="0" w:color="auto"/>
              <w:right w:val="single" w:sz="4" w:space="0" w:color="auto"/>
            </w:tcBorders>
            <w:shd w:val="clear" w:color="000000" w:fill="DDEBF7"/>
            <w:noWrap/>
            <w:vAlign w:val="center"/>
            <w:hideMark/>
          </w:tcPr>
          <w:p w14:paraId="551595C8" w14:textId="77777777" w:rsidR="00D55F31" w:rsidRPr="00E7138D" w:rsidRDefault="0024693B" w:rsidP="0002290A">
            <w:pPr>
              <w:jc w:val="center"/>
              <w:rPr>
                <w:rFonts w:ascii="Calibri" w:hAnsi="Calibri" w:cs="Calibri"/>
                <w:b/>
                <w:bCs/>
                <w:iCs/>
                <w:sz w:val="20"/>
                <w:szCs w:val="20"/>
              </w:rPr>
            </w:pPr>
            <w:r w:rsidRPr="00E7138D">
              <w:rPr>
                <w:rFonts w:ascii="Calibri" w:hAnsi="Calibri" w:cs="Calibri"/>
                <w:b/>
                <w:bCs/>
                <w:iCs/>
                <w:sz w:val="20"/>
                <w:szCs w:val="20"/>
              </w:rPr>
              <w:t>ZP3</w:t>
            </w:r>
          </w:p>
        </w:tc>
        <w:tc>
          <w:tcPr>
            <w:tcW w:w="553" w:type="pct"/>
            <w:tcBorders>
              <w:top w:val="nil"/>
              <w:left w:val="nil"/>
              <w:bottom w:val="single" w:sz="8" w:space="0" w:color="auto"/>
              <w:right w:val="single" w:sz="4" w:space="0" w:color="auto"/>
            </w:tcBorders>
            <w:shd w:val="clear" w:color="000000" w:fill="DDEBF7"/>
            <w:noWrap/>
            <w:vAlign w:val="center"/>
            <w:hideMark/>
          </w:tcPr>
          <w:p w14:paraId="381FF6DE" w14:textId="77777777" w:rsidR="00D55F31" w:rsidRPr="00E7138D" w:rsidRDefault="0024693B" w:rsidP="0002290A">
            <w:pPr>
              <w:jc w:val="center"/>
              <w:rPr>
                <w:rFonts w:ascii="Calibri" w:hAnsi="Calibri" w:cs="Calibri"/>
                <w:b/>
                <w:bCs/>
                <w:iCs/>
                <w:sz w:val="20"/>
                <w:szCs w:val="20"/>
              </w:rPr>
            </w:pPr>
            <w:r w:rsidRPr="00E7138D">
              <w:rPr>
                <w:rFonts w:ascii="Calibri" w:hAnsi="Calibri" w:cs="Calibri"/>
                <w:b/>
                <w:bCs/>
                <w:iCs/>
                <w:sz w:val="20"/>
                <w:szCs w:val="20"/>
              </w:rPr>
              <w:t>ZP4</w:t>
            </w:r>
          </w:p>
        </w:tc>
        <w:tc>
          <w:tcPr>
            <w:tcW w:w="553" w:type="pct"/>
            <w:tcBorders>
              <w:top w:val="nil"/>
              <w:left w:val="nil"/>
              <w:bottom w:val="single" w:sz="8" w:space="0" w:color="auto"/>
              <w:right w:val="single" w:sz="4" w:space="0" w:color="auto"/>
            </w:tcBorders>
            <w:shd w:val="clear" w:color="000000" w:fill="DDEBF7"/>
            <w:noWrap/>
            <w:vAlign w:val="center"/>
            <w:hideMark/>
          </w:tcPr>
          <w:p w14:paraId="3D4E7AFD" w14:textId="77777777" w:rsidR="00D55F31" w:rsidRPr="00E7138D" w:rsidRDefault="0024693B" w:rsidP="0002290A">
            <w:pPr>
              <w:jc w:val="center"/>
              <w:rPr>
                <w:rFonts w:ascii="Calibri" w:hAnsi="Calibri" w:cs="Calibri"/>
                <w:b/>
                <w:bCs/>
                <w:iCs/>
                <w:sz w:val="20"/>
                <w:szCs w:val="20"/>
              </w:rPr>
            </w:pPr>
            <w:r w:rsidRPr="00E7138D">
              <w:rPr>
                <w:rFonts w:ascii="Calibri" w:hAnsi="Calibri" w:cs="Calibri"/>
                <w:b/>
                <w:bCs/>
                <w:iCs/>
                <w:sz w:val="20"/>
                <w:szCs w:val="20"/>
              </w:rPr>
              <w:t>ZP5</w:t>
            </w:r>
          </w:p>
        </w:tc>
        <w:tc>
          <w:tcPr>
            <w:tcW w:w="554" w:type="pct"/>
            <w:tcBorders>
              <w:top w:val="nil"/>
              <w:left w:val="nil"/>
              <w:bottom w:val="single" w:sz="8" w:space="0" w:color="auto"/>
              <w:right w:val="single" w:sz="4" w:space="0" w:color="auto"/>
            </w:tcBorders>
            <w:shd w:val="clear" w:color="000000" w:fill="DDEBF7"/>
            <w:noWrap/>
            <w:vAlign w:val="center"/>
            <w:hideMark/>
          </w:tcPr>
          <w:p w14:paraId="06D11BAC" w14:textId="77777777" w:rsidR="00D55F31" w:rsidRPr="00E7138D" w:rsidRDefault="0024693B" w:rsidP="0002290A">
            <w:pPr>
              <w:jc w:val="center"/>
              <w:rPr>
                <w:rFonts w:ascii="Calibri" w:hAnsi="Calibri" w:cs="Calibri"/>
                <w:b/>
                <w:bCs/>
                <w:iCs/>
                <w:sz w:val="20"/>
                <w:szCs w:val="20"/>
              </w:rPr>
            </w:pPr>
            <w:r w:rsidRPr="00E7138D">
              <w:rPr>
                <w:rFonts w:ascii="Calibri" w:hAnsi="Calibri" w:cs="Calibri"/>
                <w:b/>
                <w:bCs/>
                <w:iCs/>
                <w:sz w:val="20"/>
                <w:szCs w:val="20"/>
              </w:rPr>
              <w:t>ZP6</w:t>
            </w:r>
          </w:p>
        </w:tc>
        <w:tc>
          <w:tcPr>
            <w:tcW w:w="554" w:type="pct"/>
            <w:tcBorders>
              <w:top w:val="nil"/>
              <w:left w:val="nil"/>
              <w:bottom w:val="single" w:sz="8" w:space="0" w:color="auto"/>
              <w:right w:val="single" w:sz="8" w:space="0" w:color="auto"/>
            </w:tcBorders>
            <w:shd w:val="clear" w:color="000000" w:fill="DDEBF7"/>
            <w:noWrap/>
            <w:vAlign w:val="center"/>
            <w:hideMark/>
          </w:tcPr>
          <w:p w14:paraId="1F1F4E35" w14:textId="77777777" w:rsidR="00D55F31" w:rsidRPr="00E7138D" w:rsidRDefault="0024693B" w:rsidP="0002290A">
            <w:pPr>
              <w:jc w:val="center"/>
              <w:rPr>
                <w:rFonts w:ascii="Calibri" w:hAnsi="Calibri" w:cs="Calibri"/>
                <w:b/>
                <w:bCs/>
                <w:iCs/>
                <w:sz w:val="20"/>
                <w:szCs w:val="20"/>
              </w:rPr>
            </w:pPr>
            <w:r w:rsidRPr="00E7138D">
              <w:rPr>
                <w:rFonts w:ascii="Calibri" w:hAnsi="Calibri" w:cs="Calibri"/>
                <w:b/>
                <w:bCs/>
                <w:iCs/>
                <w:sz w:val="20"/>
                <w:szCs w:val="20"/>
              </w:rPr>
              <w:t>ZP7</w:t>
            </w:r>
          </w:p>
        </w:tc>
      </w:tr>
      <w:tr w:rsidR="00C425F2" w:rsidRPr="00E7138D" w14:paraId="65499B2C" w14:textId="77777777" w:rsidTr="009D2DF2">
        <w:trPr>
          <w:trHeight w:val="23"/>
        </w:trPr>
        <w:tc>
          <w:tcPr>
            <w:tcW w:w="1125" w:type="pct"/>
            <w:tcBorders>
              <w:top w:val="nil"/>
              <w:left w:val="single" w:sz="8" w:space="0" w:color="auto"/>
              <w:bottom w:val="single" w:sz="4" w:space="0" w:color="auto"/>
              <w:right w:val="single" w:sz="4" w:space="0" w:color="auto"/>
            </w:tcBorders>
            <w:shd w:val="clear" w:color="000000" w:fill="FFFFFF"/>
            <w:noWrap/>
            <w:vAlign w:val="bottom"/>
            <w:hideMark/>
          </w:tcPr>
          <w:p w14:paraId="430D685E" w14:textId="77777777" w:rsidR="00D55F31" w:rsidRPr="00E7138D" w:rsidRDefault="0024693B" w:rsidP="0002290A">
            <w:pPr>
              <w:rPr>
                <w:rFonts w:ascii="Calibri" w:hAnsi="Calibri" w:cs="Calibri"/>
                <w:sz w:val="20"/>
                <w:szCs w:val="20"/>
              </w:rPr>
            </w:pPr>
            <w:r w:rsidRPr="00E7138D">
              <w:rPr>
                <w:rFonts w:ascii="Calibri" w:hAnsi="Calibri" w:cs="Calibri"/>
                <w:sz w:val="20"/>
                <w:szCs w:val="20"/>
              </w:rPr>
              <w:t>XXIV/2</w:t>
            </w:r>
          </w:p>
        </w:tc>
        <w:tc>
          <w:tcPr>
            <w:tcW w:w="553" w:type="pct"/>
            <w:tcBorders>
              <w:top w:val="nil"/>
              <w:left w:val="nil"/>
              <w:bottom w:val="single" w:sz="4" w:space="0" w:color="auto"/>
              <w:right w:val="single" w:sz="4" w:space="0" w:color="auto"/>
            </w:tcBorders>
            <w:shd w:val="clear" w:color="000000" w:fill="FFFFFF"/>
            <w:noWrap/>
            <w:vAlign w:val="bottom"/>
            <w:hideMark/>
          </w:tcPr>
          <w:p w14:paraId="7469C698"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1 345</w:t>
            </w:r>
          </w:p>
        </w:tc>
        <w:tc>
          <w:tcPr>
            <w:tcW w:w="553" w:type="pct"/>
            <w:tcBorders>
              <w:top w:val="nil"/>
              <w:left w:val="nil"/>
              <w:bottom w:val="single" w:sz="4" w:space="0" w:color="auto"/>
              <w:right w:val="single" w:sz="4" w:space="0" w:color="auto"/>
            </w:tcBorders>
            <w:shd w:val="clear" w:color="000000" w:fill="FFFFFF"/>
            <w:noWrap/>
            <w:vAlign w:val="bottom"/>
            <w:hideMark/>
          </w:tcPr>
          <w:p w14:paraId="18F4BD5E"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1 338</w:t>
            </w:r>
          </w:p>
        </w:tc>
        <w:tc>
          <w:tcPr>
            <w:tcW w:w="553" w:type="pct"/>
            <w:tcBorders>
              <w:top w:val="nil"/>
              <w:left w:val="nil"/>
              <w:bottom w:val="single" w:sz="4" w:space="0" w:color="auto"/>
              <w:right w:val="single" w:sz="4" w:space="0" w:color="auto"/>
            </w:tcBorders>
            <w:shd w:val="clear" w:color="000000" w:fill="FFFFFF"/>
            <w:noWrap/>
            <w:vAlign w:val="bottom"/>
            <w:hideMark/>
          </w:tcPr>
          <w:p w14:paraId="00117447"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1 437</w:t>
            </w:r>
          </w:p>
        </w:tc>
        <w:tc>
          <w:tcPr>
            <w:tcW w:w="553" w:type="pct"/>
            <w:tcBorders>
              <w:top w:val="nil"/>
              <w:left w:val="nil"/>
              <w:bottom w:val="single" w:sz="4" w:space="0" w:color="auto"/>
              <w:right w:val="single" w:sz="4" w:space="0" w:color="auto"/>
            </w:tcBorders>
            <w:shd w:val="clear" w:color="000000" w:fill="FFFFFF"/>
            <w:noWrap/>
            <w:vAlign w:val="bottom"/>
            <w:hideMark/>
          </w:tcPr>
          <w:p w14:paraId="38A672F4"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1 459</w:t>
            </w:r>
          </w:p>
        </w:tc>
        <w:tc>
          <w:tcPr>
            <w:tcW w:w="553" w:type="pct"/>
            <w:tcBorders>
              <w:top w:val="nil"/>
              <w:left w:val="nil"/>
              <w:bottom w:val="single" w:sz="4" w:space="0" w:color="auto"/>
              <w:right w:val="single" w:sz="4" w:space="0" w:color="auto"/>
            </w:tcBorders>
            <w:shd w:val="clear" w:color="000000" w:fill="FFFFFF"/>
            <w:noWrap/>
            <w:vAlign w:val="bottom"/>
            <w:hideMark/>
          </w:tcPr>
          <w:p w14:paraId="6494C618"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1 430</w:t>
            </w:r>
          </w:p>
        </w:tc>
        <w:tc>
          <w:tcPr>
            <w:tcW w:w="554" w:type="pct"/>
            <w:tcBorders>
              <w:top w:val="nil"/>
              <w:left w:val="nil"/>
              <w:bottom w:val="single" w:sz="4" w:space="0" w:color="auto"/>
              <w:right w:val="single" w:sz="4" w:space="0" w:color="auto"/>
            </w:tcBorders>
            <w:shd w:val="clear" w:color="000000" w:fill="FFFFFF"/>
            <w:noWrap/>
            <w:vAlign w:val="bottom"/>
            <w:hideMark/>
          </w:tcPr>
          <w:p w14:paraId="3A806AD3"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1 344</w:t>
            </w:r>
          </w:p>
        </w:tc>
        <w:tc>
          <w:tcPr>
            <w:tcW w:w="554" w:type="pct"/>
            <w:tcBorders>
              <w:top w:val="nil"/>
              <w:left w:val="nil"/>
              <w:bottom w:val="single" w:sz="4" w:space="0" w:color="auto"/>
              <w:right w:val="single" w:sz="8" w:space="0" w:color="auto"/>
            </w:tcBorders>
            <w:shd w:val="clear" w:color="000000" w:fill="FFFFFF"/>
            <w:noWrap/>
            <w:vAlign w:val="bottom"/>
            <w:hideMark/>
          </w:tcPr>
          <w:p w14:paraId="6B8EEDE7"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1 481</w:t>
            </w:r>
          </w:p>
        </w:tc>
      </w:tr>
      <w:tr w:rsidR="00C425F2" w:rsidRPr="00E7138D" w14:paraId="75E50514" w14:textId="77777777" w:rsidTr="009D2DF2">
        <w:trPr>
          <w:trHeight w:val="23"/>
        </w:trPr>
        <w:tc>
          <w:tcPr>
            <w:tcW w:w="1125" w:type="pct"/>
            <w:tcBorders>
              <w:top w:val="nil"/>
              <w:left w:val="single" w:sz="8" w:space="0" w:color="auto"/>
              <w:bottom w:val="single" w:sz="4" w:space="0" w:color="auto"/>
              <w:right w:val="single" w:sz="8" w:space="0" w:color="auto"/>
            </w:tcBorders>
            <w:shd w:val="clear" w:color="000000" w:fill="FFFFFF"/>
            <w:noWrap/>
            <w:vAlign w:val="bottom"/>
            <w:hideMark/>
          </w:tcPr>
          <w:p w14:paraId="53D2C252" w14:textId="77777777" w:rsidR="00D55F31" w:rsidRPr="00E7138D" w:rsidRDefault="0024693B" w:rsidP="0002290A">
            <w:pPr>
              <w:rPr>
                <w:rFonts w:ascii="Calibri" w:hAnsi="Calibri" w:cs="Calibri"/>
                <w:sz w:val="20"/>
                <w:szCs w:val="20"/>
              </w:rPr>
            </w:pPr>
            <w:r w:rsidRPr="00E7138D">
              <w:rPr>
                <w:rFonts w:ascii="Calibri" w:hAnsi="Calibri" w:cs="Calibri"/>
                <w:sz w:val="20"/>
                <w:szCs w:val="20"/>
              </w:rPr>
              <w:t>XXIV/2 děti nad 11 let</w:t>
            </w:r>
          </w:p>
        </w:tc>
        <w:tc>
          <w:tcPr>
            <w:tcW w:w="553" w:type="pct"/>
            <w:tcBorders>
              <w:top w:val="nil"/>
              <w:left w:val="single" w:sz="4" w:space="0" w:color="auto"/>
              <w:bottom w:val="single" w:sz="4" w:space="0" w:color="auto"/>
              <w:right w:val="single" w:sz="4" w:space="0" w:color="auto"/>
            </w:tcBorders>
            <w:shd w:val="clear" w:color="000000" w:fill="FFFFFF"/>
            <w:noWrap/>
            <w:vAlign w:val="bottom"/>
            <w:hideMark/>
          </w:tcPr>
          <w:p w14:paraId="5775ADBD"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1 363</w:t>
            </w:r>
          </w:p>
        </w:tc>
        <w:tc>
          <w:tcPr>
            <w:tcW w:w="553" w:type="pct"/>
            <w:tcBorders>
              <w:top w:val="nil"/>
              <w:left w:val="nil"/>
              <w:bottom w:val="single" w:sz="4" w:space="0" w:color="auto"/>
              <w:right w:val="single" w:sz="4" w:space="0" w:color="auto"/>
            </w:tcBorders>
            <w:shd w:val="clear" w:color="000000" w:fill="FFFFFF"/>
            <w:noWrap/>
            <w:vAlign w:val="bottom"/>
            <w:hideMark/>
          </w:tcPr>
          <w:p w14:paraId="5896FF5B"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1 355</w:t>
            </w:r>
          </w:p>
        </w:tc>
        <w:tc>
          <w:tcPr>
            <w:tcW w:w="553" w:type="pct"/>
            <w:tcBorders>
              <w:top w:val="nil"/>
              <w:left w:val="nil"/>
              <w:bottom w:val="single" w:sz="4" w:space="0" w:color="auto"/>
              <w:right w:val="single" w:sz="4" w:space="0" w:color="auto"/>
            </w:tcBorders>
            <w:shd w:val="clear" w:color="000000" w:fill="FFFFFF"/>
            <w:noWrap/>
            <w:vAlign w:val="bottom"/>
            <w:hideMark/>
          </w:tcPr>
          <w:p w14:paraId="33CF1BC7"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1 455</w:t>
            </w:r>
          </w:p>
        </w:tc>
        <w:tc>
          <w:tcPr>
            <w:tcW w:w="553" w:type="pct"/>
            <w:tcBorders>
              <w:top w:val="nil"/>
              <w:left w:val="nil"/>
              <w:bottom w:val="single" w:sz="4" w:space="0" w:color="auto"/>
              <w:right w:val="single" w:sz="4" w:space="0" w:color="auto"/>
            </w:tcBorders>
            <w:shd w:val="clear" w:color="000000" w:fill="FFFFFF"/>
            <w:noWrap/>
            <w:vAlign w:val="bottom"/>
            <w:hideMark/>
          </w:tcPr>
          <w:p w14:paraId="2B697357"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1 483</w:t>
            </w:r>
          </w:p>
        </w:tc>
        <w:tc>
          <w:tcPr>
            <w:tcW w:w="553" w:type="pct"/>
            <w:tcBorders>
              <w:top w:val="nil"/>
              <w:left w:val="nil"/>
              <w:bottom w:val="single" w:sz="4" w:space="0" w:color="auto"/>
              <w:right w:val="single" w:sz="4" w:space="0" w:color="auto"/>
            </w:tcBorders>
            <w:shd w:val="clear" w:color="000000" w:fill="FFFFFF"/>
            <w:noWrap/>
            <w:vAlign w:val="bottom"/>
            <w:hideMark/>
          </w:tcPr>
          <w:p w14:paraId="077AA67A"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1 448</w:t>
            </w:r>
          </w:p>
        </w:tc>
        <w:tc>
          <w:tcPr>
            <w:tcW w:w="554" w:type="pct"/>
            <w:tcBorders>
              <w:top w:val="nil"/>
              <w:left w:val="nil"/>
              <w:bottom w:val="single" w:sz="4" w:space="0" w:color="auto"/>
              <w:right w:val="single" w:sz="4" w:space="0" w:color="auto"/>
            </w:tcBorders>
            <w:shd w:val="clear" w:color="000000" w:fill="FFFFFF"/>
            <w:noWrap/>
            <w:vAlign w:val="bottom"/>
            <w:hideMark/>
          </w:tcPr>
          <w:p w14:paraId="07514FF2"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1 362</w:t>
            </w:r>
          </w:p>
        </w:tc>
        <w:tc>
          <w:tcPr>
            <w:tcW w:w="554" w:type="pct"/>
            <w:tcBorders>
              <w:top w:val="nil"/>
              <w:left w:val="nil"/>
              <w:bottom w:val="single" w:sz="4" w:space="0" w:color="auto"/>
              <w:right w:val="single" w:sz="8" w:space="0" w:color="auto"/>
            </w:tcBorders>
            <w:shd w:val="clear" w:color="000000" w:fill="FFFFFF"/>
            <w:noWrap/>
            <w:vAlign w:val="bottom"/>
            <w:hideMark/>
          </w:tcPr>
          <w:p w14:paraId="55749E2D"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1 499</w:t>
            </w:r>
          </w:p>
        </w:tc>
      </w:tr>
      <w:tr w:rsidR="00C425F2" w:rsidRPr="00E7138D" w14:paraId="775E3696" w14:textId="77777777" w:rsidTr="009D2DF2">
        <w:trPr>
          <w:trHeight w:val="23"/>
        </w:trPr>
        <w:tc>
          <w:tcPr>
            <w:tcW w:w="1125" w:type="pct"/>
            <w:tcBorders>
              <w:top w:val="nil"/>
              <w:left w:val="single" w:sz="8" w:space="0" w:color="auto"/>
              <w:bottom w:val="single" w:sz="4" w:space="0" w:color="auto"/>
              <w:right w:val="single" w:sz="4" w:space="0" w:color="auto"/>
            </w:tcBorders>
            <w:shd w:val="clear" w:color="000000" w:fill="FFFFFF"/>
            <w:noWrap/>
            <w:vAlign w:val="bottom"/>
            <w:hideMark/>
          </w:tcPr>
          <w:p w14:paraId="6E00BD35" w14:textId="77777777" w:rsidR="00D55F31" w:rsidRPr="00E7138D" w:rsidRDefault="0024693B" w:rsidP="0002290A">
            <w:pPr>
              <w:rPr>
                <w:rFonts w:ascii="Calibri" w:hAnsi="Calibri" w:cs="Calibri"/>
                <w:sz w:val="20"/>
                <w:szCs w:val="20"/>
              </w:rPr>
            </w:pPr>
            <w:r w:rsidRPr="00E7138D">
              <w:rPr>
                <w:rFonts w:ascii="Calibri" w:hAnsi="Calibri" w:cs="Calibri"/>
                <w:sz w:val="20"/>
                <w:szCs w:val="20"/>
              </w:rPr>
              <w:t>XXVII/1</w:t>
            </w:r>
          </w:p>
        </w:tc>
        <w:tc>
          <w:tcPr>
            <w:tcW w:w="553" w:type="pct"/>
            <w:tcBorders>
              <w:top w:val="nil"/>
              <w:left w:val="nil"/>
              <w:bottom w:val="single" w:sz="4" w:space="0" w:color="auto"/>
              <w:right w:val="single" w:sz="4" w:space="0" w:color="auto"/>
            </w:tcBorders>
            <w:shd w:val="clear" w:color="000000" w:fill="FFFFFF"/>
            <w:noWrap/>
            <w:vAlign w:val="bottom"/>
            <w:hideMark/>
          </w:tcPr>
          <w:p w14:paraId="2D679EA7"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1 419</w:t>
            </w:r>
          </w:p>
        </w:tc>
        <w:tc>
          <w:tcPr>
            <w:tcW w:w="553" w:type="pct"/>
            <w:tcBorders>
              <w:top w:val="nil"/>
              <w:left w:val="nil"/>
              <w:bottom w:val="single" w:sz="4" w:space="0" w:color="auto"/>
              <w:right w:val="single" w:sz="4" w:space="0" w:color="auto"/>
            </w:tcBorders>
            <w:shd w:val="clear" w:color="000000" w:fill="FFFFFF"/>
            <w:noWrap/>
            <w:vAlign w:val="bottom"/>
            <w:hideMark/>
          </w:tcPr>
          <w:p w14:paraId="7B3E4501"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1 413</w:t>
            </w:r>
          </w:p>
        </w:tc>
        <w:tc>
          <w:tcPr>
            <w:tcW w:w="553" w:type="pct"/>
            <w:tcBorders>
              <w:top w:val="nil"/>
              <w:left w:val="nil"/>
              <w:bottom w:val="single" w:sz="4" w:space="0" w:color="auto"/>
              <w:right w:val="single" w:sz="4" w:space="0" w:color="auto"/>
            </w:tcBorders>
            <w:shd w:val="clear" w:color="000000" w:fill="FFFFFF"/>
            <w:noWrap/>
            <w:vAlign w:val="bottom"/>
            <w:hideMark/>
          </w:tcPr>
          <w:p w14:paraId="1EEA3D7D"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1 512</w:t>
            </w:r>
          </w:p>
        </w:tc>
        <w:tc>
          <w:tcPr>
            <w:tcW w:w="553" w:type="pct"/>
            <w:tcBorders>
              <w:top w:val="nil"/>
              <w:left w:val="nil"/>
              <w:bottom w:val="single" w:sz="4" w:space="0" w:color="auto"/>
              <w:right w:val="single" w:sz="4" w:space="0" w:color="auto"/>
            </w:tcBorders>
            <w:shd w:val="clear" w:color="000000" w:fill="FFFFFF"/>
            <w:noWrap/>
            <w:vAlign w:val="bottom"/>
            <w:hideMark/>
          </w:tcPr>
          <w:p w14:paraId="1B459D49"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1 532</w:t>
            </w:r>
          </w:p>
        </w:tc>
        <w:tc>
          <w:tcPr>
            <w:tcW w:w="553" w:type="pct"/>
            <w:tcBorders>
              <w:top w:val="nil"/>
              <w:left w:val="nil"/>
              <w:bottom w:val="single" w:sz="4" w:space="0" w:color="auto"/>
              <w:right w:val="single" w:sz="4" w:space="0" w:color="auto"/>
            </w:tcBorders>
            <w:shd w:val="clear" w:color="000000" w:fill="FFFFFF"/>
            <w:noWrap/>
            <w:vAlign w:val="bottom"/>
            <w:hideMark/>
          </w:tcPr>
          <w:p w14:paraId="58AFA7D3"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1 484</w:t>
            </w:r>
          </w:p>
        </w:tc>
        <w:tc>
          <w:tcPr>
            <w:tcW w:w="554" w:type="pct"/>
            <w:tcBorders>
              <w:top w:val="nil"/>
              <w:left w:val="nil"/>
              <w:bottom w:val="single" w:sz="4" w:space="0" w:color="auto"/>
              <w:right w:val="single" w:sz="4" w:space="0" w:color="auto"/>
            </w:tcBorders>
            <w:shd w:val="clear" w:color="000000" w:fill="FFFFFF"/>
            <w:noWrap/>
            <w:vAlign w:val="bottom"/>
            <w:hideMark/>
          </w:tcPr>
          <w:p w14:paraId="65C62D3B"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1 416</w:t>
            </w:r>
          </w:p>
        </w:tc>
        <w:tc>
          <w:tcPr>
            <w:tcW w:w="554" w:type="pct"/>
            <w:tcBorders>
              <w:top w:val="nil"/>
              <w:left w:val="nil"/>
              <w:bottom w:val="single" w:sz="4" w:space="0" w:color="auto"/>
              <w:right w:val="single" w:sz="8" w:space="0" w:color="auto"/>
            </w:tcBorders>
            <w:shd w:val="clear" w:color="000000" w:fill="FFFFFF"/>
            <w:noWrap/>
            <w:vAlign w:val="bottom"/>
            <w:hideMark/>
          </w:tcPr>
          <w:p w14:paraId="7EC219A1"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1 555</w:t>
            </w:r>
          </w:p>
        </w:tc>
      </w:tr>
      <w:tr w:rsidR="00C425F2" w:rsidRPr="00E7138D" w14:paraId="70298CAE" w14:textId="77777777" w:rsidTr="009D2DF2">
        <w:trPr>
          <w:trHeight w:val="23"/>
        </w:trPr>
        <w:tc>
          <w:tcPr>
            <w:tcW w:w="1125" w:type="pct"/>
            <w:tcBorders>
              <w:top w:val="nil"/>
              <w:left w:val="single" w:sz="8" w:space="0" w:color="auto"/>
              <w:bottom w:val="single" w:sz="4" w:space="0" w:color="auto"/>
              <w:right w:val="single" w:sz="4" w:space="0" w:color="auto"/>
            </w:tcBorders>
            <w:shd w:val="clear" w:color="000000" w:fill="FFFFFF"/>
            <w:noWrap/>
            <w:vAlign w:val="bottom"/>
            <w:hideMark/>
          </w:tcPr>
          <w:p w14:paraId="7461177E" w14:textId="77777777" w:rsidR="00D55F31" w:rsidRPr="00E7138D" w:rsidRDefault="0024693B" w:rsidP="0002290A">
            <w:pPr>
              <w:rPr>
                <w:rFonts w:ascii="Calibri" w:hAnsi="Calibri" w:cs="Calibri"/>
                <w:sz w:val="20"/>
                <w:szCs w:val="20"/>
              </w:rPr>
            </w:pPr>
            <w:r w:rsidRPr="00E7138D">
              <w:rPr>
                <w:rFonts w:ascii="Calibri" w:hAnsi="Calibri" w:cs="Calibri"/>
                <w:sz w:val="20"/>
                <w:szCs w:val="20"/>
              </w:rPr>
              <w:t>XXVII/1 děti nad 11 let</w:t>
            </w:r>
          </w:p>
        </w:tc>
        <w:tc>
          <w:tcPr>
            <w:tcW w:w="553" w:type="pct"/>
            <w:tcBorders>
              <w:top w:val="nil"/>
              <w:left w:val="nil"/>
              <w:bottom w:val="single" w:sz="4" w:space="0" w:color="auto"/>
              <w:right w:val="single" w:sz="4" w:space="0" w:color="auto"/>
            </w:tcBorders>
            <w:shd w:val="clear" w:color="000000" w:fill="FFFFFF"/>
            <w:noWrap/>
            <w:vAlign w:val="bottom"/>
            <w:hideMark/>
          </w:tcPr>
          <w:p w14:paraId="4BCF387B"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1 437</w:t>
            </w:r>
          </w:p>
        </w:tc>
        <w:tc>
          <w:tcPr>
            <w:tcW w:w="553" w:type="pct"/>
            <w:tcBorders>
              <w:top w:val="nil"/>
              <w:left w:val="nil"/>
              <w:bottom w:val="single" w:sz="4" w:space="0" w:color="auto"/>
              <w:right w:val="single" w:sz="4" w:space="0" w:color="auto"/>
            </w:tcBorders>
            <w:shd w:val="clear" w:color="000000" w:fill="FFFFFF"/>
            <w:noWrap/>
            <w:vAlign w:val="bottom"/>
            <w:hideMark/>
          </w:tcPr>
          <w:p w14:paraId="67B69C53"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1 430</w:t>
            </w:r>
          </w:p>
        </w:tc>
        <w:tc>
          <w:tcPr>
            <w:tcW w:w="553" w:type="pct"/>
            <w:tcBorders>
              <w:top w:val="nil"/>
              <w:left w:val="nil"/>
              <w:bottom w:val="single" w:sz="4" w:space="0" w:color="auto"/>
              <w:right w:val="single" w:sz="4" w:space="0" w:color="auto"/>
            </w:tcBorders>
            <w:shd w:val="clear" w:color="000000" w:fill="FFFFFF"/>
            <w:noWrap/>
            <w:vAlign w:val="bottom"/>
            <w:hideMark/>
          </w:tcPr>
          <w:p w14:paraId="63980D98"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1 530</w:t>
            </w:r>
          </w:p>
        </w:tc>
        <w:tc>
          <w:tcPr>
            <w:tcW w:w="553" w:type="pct"/>
            <w:tcBorders>
              <w:top w:val="nil"/>
              <w:left w:val="nil"/>
              <w:bottom w:val="single" w:sz="4" w:space="0" w:color="auto"/>
              <w:right w:val="single" w:sz="4" w:space="0" w:color="auto"/>
            </w:tcBorders>
            <w:shd w:val="clear" w:color="000000" w:fill="FFFFFF"/>
            <w:noWrap/>
            <w:vAlign w:val="bottom"/>
            <w:hideMark/>
          </w:tcPr>
          <w:p w14:paraId="5B4E5A35"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1 556</w:t>
            </w:r>
          </w:p>
        </w:tc>
        <w:tc>
          <w:tcPr>
            <w:tcW w:w="553" w:type="pct"/>
            <w:tcBorders>
              <w:top w:val="nil"/>
              <w:left w:val="nil"/>
              <w:bottom w:val="single" w:sz="4" w:space="0" w:color="auto"/>
              <w:right w:val="single" w:sz="4" w:space="0" w:color="auto"/>
            </w:tcBorders>
            <w:shd w:val="clear" w:color="000000" w:fill="FFFFFF"/>
            <w:noWrap/>
            <w:vAlign w:val="bottom"/>
            <w:hideMark/>
          </w:tcPr>
          <w:p w14:paraId="67E782DC"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1 502</w:t>
            </w:r>
          </w:p>
        </w:tc>
        <w:tc>
          <w:tcPr>
            <w:tcW w:w="554" w:type="pct"/>
            <w:tcBorders>
              <w:top w:val="nil"/>
              <w:left w:val="nil"/>
              <w:bottom w:val="single" w:sz="4" w:space="0" w:color="auto"/>
              <w:right w:val="single" w:sz="4" w:space="0" w:color="auto"/>
            </w:tcBorders>
            <w:shd w:val="clear" w:color="000000" w:fill="FFFFFF"/>
            <w:noWrap/>
            <w:vAlign w:val="bottom"/>
            <w:hideMark/>
          </w:tcPr>
          <w:p w14:paraId="3794296F"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1 434</w:t>
            </w:r>
          </w:p>
        </w:tc>
        <w:tc>
          <w:tcPr>
            <w:tcW w:w="554" w:type="pct"/>
            <w:tcBorders>
              <w:top w:val="nil"/>
              <w:left w:val="nil"/>
              <w:bottom w:val="single" w:sz="4" w:space="0" w:color="auto"/>
              <w:right w:val="single" w:sz="8" w:space="0" w:color="auto"/>
            </w:tcBorders>
            <w:shd w:val="clear" w:color="000000" w:fill="FFFFFF"/>
            <w:noWrap/>
            <w:vAlign w:val="bottom"/>
            <w:hideMark/>
          </w:tcPr>
          <w:p w14:paraId="4A06564C"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1 573</w:t>
            </w:r>
          </w:p>
        </w:tc>
      </w:tr>
      <w:tr w:rsidR="00C425F2" w:rsidRPr="00E7138D" w14:paraId="5B231F0F" w14:textId="77777777" w:rsidTr="009D2DF2">
        <w:trPr>
          <w:trHeight w:val="23"/>
        </w:trPr>
        <w:tc>
          <w:tcPr>
            <w:tcW w:w="1125" w:type="pct"/>
            <w:tcBorders>
              <w:top w:val="nil"/>
              <w:left w:val="single" w:sz="8" w:space="0" w:color="auto"/>
              <w:bottom w:val="single" w:sz="4" w:space="0" w:color="auto"/>
              <w:right w:val="single" w:sz="4" w:space="0" w:color="auto"/>
            </w:tcBorders>
            <w:shd w:val="clear" w:color="000000" w:fill="FFFFFF"/>
            <w:noWrap/>
            <w:vAlign w:val="bottom"/>
            <w:hideMark/>
          </w:tcPr>
          <w:p w14:paraId="0506DEB5" w14:textId="77777777" w:rsidR="00D55F31" w:rsidRPr="00E7138D" w:rsidRDefault="0024693B" w:rsidP="0002290A">
            <w:pPr>
              <w:rPr>
                <w:rFonts w:ascii="Calibri" w:hAnsi="Calibri" w:cs="Calibri"/>
                <w:sz w:val="20"/>
                <w:szCs w:val="20"/>
              </w:rPr>
            </w:pPr>
            <w:r w:rsidRPr="00E7138D">
              <w:rPr>
                <w:rFonts w:ascii="Calibri" w:hAnsi="Calibri" w:cs="Calibri"/>
                <w:sz w:val="20"/>
                <w:szCs w:val="20"/>
              </w:rPr>
              <w:t>XXVII/2</w:t>
            </w:r>
          </w:p>
        </w:tc>
        <w:tc>
          <w:tcPr>
            <w:tcW w:w="553" w:type="pct"/>
            <w:tcBorders>
              <w:top w:val="nil"/>
              <w:left w:val="nil"/>
              <w:bottom w:val="single" w:sz="4" w:space="0" w:color="auto"/>
              <w:right w:val="single" w:sz="4" w:space="0" w:color="auto"/>
            </w:tcBorders>
            <w:shd w:val="clear" w:color="000000" w:fill="FFFFFF"/>
            <w:noWrap/>
            <w:vAlign w:val="bottom"/>
            <w:hideMark/>
          </w:tcPr>
          <w:p w14:paraId="739A8404"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1 397</w:t>
            </w:r>
          </w:p>
        </w:tc>
        <w:tc>
          <w:tcPr>
            <w:tcW w:w="553" w:type="pct"/>
            <w:tcBorders>
              <w:top w:val="nil"/>
              <w:left w:val="nil"/>
              <w:bottom w:val="single" w:sz="4" w:space="0" w:color="auto"/>
              <w:right w:val="single" w:sz="4" w:space="0" w:color="auto"/>
            </w:tcBorders>
            <w:shd w:val="clear" w:color="000000" w:fill="FFFFFF"/>
            <w:noWrap/>
            <w:vAlign w:val="bottom"/>
            <w:hideMark/>
          </w:tcPr>
          <w:p w14:paraId="09C78B7C"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1 391</w:t>
            </w:r>
          </w:p>
        </w:tc>
        <w:tc>
          <w:tcPr>
            <w:tcW w:w="553" w:type="pct"/>
            <w:tcBorders>
              <w:top w:val="nil"/>
              <w:left w:val="nil"/>
              <w:bottom w:val="single" w:sz="4" w:space="0" w:color="auto"/>
              <w:right w:val="single" w:sz="4" w:space="0" w:color="auto"/>
            </w:tcBorders>
            <w:shd w:val="clear" w:color="000000" w:fill="FFFFFF"/>
            <w:noWrap/>
            <w:vAlign w:val="bottom"/>
            <w:hideMark/>
          </w:tcPr>
          <w:p w14:paraId="473EDB9A"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1 489</w:t>
            </w:r>
          </w:p>
        </w:tc>
        <w:tc>
          <w:tcPr>
            <w:tcW w:w="553" w:type="pct"/>
            <w:tcBorders>
              <w:top w:val="nil"/>
              <w:left w:val="nil"/>
              <w:bottom w:val="single" w:sz="4" w:space="0" w:color="auto"/>
              <w:right w:val="single" w:sz="4" w:space="0" w:color="auto"/>
            </w:tcBorders>
            <w:shd w:val="clear" w:color="000000" w:fill="FFFFFF"/>
            <w:noWrap/>
            <w:vAlign w:val="bottom"/>
            <w:hideMark/>
          </w:tcPr>
          <w:p w14:paraId="517B8EB1"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1 511</w:t>
            </w:r>
          </w:p>
        </w:tc>
        <w:tc>
          <w:tcPr>
            <w:tcW w:w="553" w:type="pct"/>
            <w:tcBorders>
              <w:top w:val="nil"/>
              <w:left w:val="nil"/>
              <w:bottom w:val="single" w:sz="4" w:space="0" w:color="auto"/>
              <w:right w:val="single" w:sz="4" w:space="0" w:color="auto"/>
            </w:tcBorders>
            <w:shd w:val="clear" w:color="000000" w:fill="FFFFFF"/>
            <w:noWrap/>
            <w:vAlign w:val="bottom"/>
            <w:hideMark/>
          </w:tcPr>
          <w:p w14:paraId="0C1DFDC9"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1 484</w:t>
            </w:r>
          </w:p>
        </w:tc>
        <w:tc>
          <w:tcPr>
            <w:tcW w:w="554" w:type="pct"/>
            <w:tcBorders>
              <w:top w:val="nil"/>
              <w:left w:val="nil"/>
              <w:bottom w:val="single" w:sz="4" w:space="0" w:color="auto"/>
              <w:right w:val="single" w:sz="4" w:space="0" w:color="auto"/>
            </w:tcBorders>
            <w:shd w:val="clear" w:color="000000" w:fill="FFFFFF"/>
            <w:noWrap/>
            <w:vAlign w:val="bottom"/>
            <w:hideMark/>
          </w:tcPr>
          <w:p w14:paraId="759DC78E"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1 394</w:t>
            </w:r>
          </w:p>
        </w:tc>
        <w:tc>
          <w:tcPr>
            <w:tcW w:w="554" w:type="pct"/>
            <w:tcBorders>
              <w:top w:val="nil"/>
              <w:left w:val="nil"/>
              <w:bottom w:val="single" w:sz="4" w:space="0" w:color="auto"/>
              <w:right w:val="single" w:sz="8" w:space="0" w:color="auto"/>
            </w:tcBorders>
            <w:shd w:val="clear" w:color="000000" w:fill="FFFFFF"/>
            <w:noWrap/>
            <w:vAlign w:val="bottom"/>
            <w:hideMark/>
          </w:tcPr>
          <w:p w14:paraId="40FD93FD"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1 533</w:t>
            </w:r>
          </w:p>
        </w:tc>
      </w:tr>
      <w:tr w:rsidR="00C425F2" w:rsidRPr="00E7138D" w14:paraId="57105A6A" w14:textId="77777777" w:rsidTr="009D2DF2">
        <w:trPr>
          <w:trHeight w:val="23"/>
        </w:trPr>
        <w:tc>
          <w:tcPr>
            <w:tcW w:w="1125" w:type="pct"/>
            <w:tcBorders>
              <w:top w:val="nil"/>
              <w:left w:val="single" w:sz="8" w:space="0" w:color="auto"/>
              <w:bottom w:val="single" w:sz="4" w:space="0" w:color="auto"/>
              <w:right w:val="single" w:sz="4" w:space="0" w:color="auto"/>
            </w:tcBorders>
            <w:shd w:val="clear" w:color="000000" w:fill="FFFFFF"/>
            <w:noWrap/>
            <w:vAlign w:val="bottom"/>
            <w:hideMark/>
          </w:tcPr>
          <w:p w14:paraId="6D6B6D98" w14:textId="77777777" w:rsidR="00D55F31" w:rsidRPr="00E7138D" w:rsidRDefault="0024693B" w:rsidP="0002290A">
            <w:pPr>
              <w:rPr>
                <w:rFonts w:ascii="Calibri" w:hAnsi="Calibri" w:cs="Calibri"/>
                <w:sz w:val="20"/>
                <w:szCs w:val="20"/>
              </w:rPr>
            </w:pPr>
            <w:r w:rsidRPr="00E7138D">
              <w:rPr>
                <w:rFonts w:ascii="Calibri" w:hAnsi="Calibri" w:cs="Calibri"/>
                <w:sz w:val="20"/>
                <w:szCs w:val="20"/>
              </w:rPr>
              <w:t>XXVII/2 děti nad 11 let</w:t>
            </w:r>
          </w:p>
        </w:tc>
        <w:tc>
          <w:tcPr>
            <w:tcW w:w="553" w:type="pct"/>
            <w:tcBorders>
              <w:top w:val="nil"/>
              <w:left w:val="nil"/>
              <w:bottom w:val="single" w:sz="4" w:space="0" w:color="auto"/>
              <w:right w:val="single" w:sz="4" w:space="0" w:color="auto"/>
            </w:tcBorders>
            <w:shd w:val="clear" w:color="000000" w:fill="FFFFFF"/>
            <w:noWrap/>
            <w:vAlign w:val="bottom"/>
            <w:hideMark/>
          </w:tcPr>
          <w:p w14:paraId="4D5856AE"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1 415</w:t>
            </w:r>
          </w:p>
        </w:tc>
        <w:tc>
          <w:tcPr>
            <w:tcW w:w="553" w:type="pct"/>
            <w:tcBorders>
              <w:top w:val="nil"/>
              <w:left w:val="nil"/>
              <w:bottom w:val="single" w:sz="4" w:space="0" w:color="auto"/>
              <w:right w:val="single" w:sz="4" w:space="0" w:color="auto"/>
            </w:tcBorders>
            <w:shd w:val="clear" w:color="000000" w:fill="FFFFFF"/>
            <w:noWrap/>
            <w:vAlign w:val="bottom"/>
            <w:hideMark/>
          </w:tcPr>
          <w:p w14:paraId="510231CB"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1 408</w:t>
            </w:r>
          </w:p>
        </w:tc>
        <w:tc>
          <w:tcPr>
            <w:tcW w:w="553" w:type="pct"/>
            <w:tcBorders>
              <w:top w:val="nil"/>
              <w:left w:val="nil"/>
              <w:bottom w:val="single" w:sz="4" w:space="0" w:color="auto"/>
              <w:right w:val="single" w:sz="4" w:space="0" w:color="auto"/>
            </w:tcBorders>
            <w:shd w:val="clear" w:color="000000" w:fill="FFFFFF"/>
            <w:noWrap/>
            <w:vAlign w:val="bottom"/>
            <w:hideMark/>
          </w:tcPr>
          <w:p w14:paraId="5C3D17C1"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1 507</w:t>
            </w:r>
          </w:p>
        </w:tc>
        <w:tc>
          <w:tcPr>
            <w:tcW w:w="553" w:type="pct"/>
            <w:tcBorders>
              <w:top w:val="nil"/>
              <w:left w:val="nil"/>
              <w:bottom w:val="single" w:sz="4" w:space="0" w:color="auto"/>
              <w:right w:val="single" w:sz="4" w:space="0" w:color="auto"/>
            </w:tcBorders>
            <w:shd w:val="clear" w:color="000000" w:fill="FFFFFF"/>
            <w:noWrap/>
            <w:vAlign w:val="bottom"/>
            <w:hideMark/>
          </w:tcPr>
          <w:p w14:paraId="2EC52D3E"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1 535</w:t>
            </w:r>
          </w:p>
        </w:tc>
        <w:tc>
          <w:tcPr>
            <w:tcW w:w="553" w:type="pct"/>
            <w:tcBorders>
              <w:top w:val="nil"/>
              <w:left w:val="nil"/>
              <w:bottom w:val="single" w:sz="4" w:space="0" w:color="auto"/>
              <w:right w:val="single" w:sz="4" w:space="0" w:color="auto"/>
            </w:tcBorders>
            <w:shd w:val="clear" w:color="000000" w:fill="FFFFFF"/>
            <w:noWrap/>
            <w:vAlign w:val="bottom"/>
            <w:hideMark/>
          </w:tcPr>
          <w:p w14:paraId="5D656D1A"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1 502</w:t>
            </w:r>
          </w:p>
        </w:tc>
        <w:tc>
          <w:tcPr>
            <w:tcW w:w="554" w:type="pct"/>
            <w:tcBorders>
              <w:top w:val="nil"/>
              <w:left w:val="nil"/>
              <w:bottom w:val="single" w:sz="4" w:space="0" w:color="auto"/>
              <w:right w:val="single" w:sz="4" w:space="0" w:color="auto"/>
            </w:tcBorders>
            <w:shd w:val="clear" w:color="000000" w:fill="FFFFFF"/>
            <w:noWrap/>
            <w:vAlign w:val="bottom"/>
            <w:hideMark/>
          </w:tcPr>
          <w:p w14:paraId="17176686"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1 412</w:t>
            </w:r>
          </w:p>
        </w:tc>
        <w:tc>
          <w:tcPr>
            <w:tcW w:w="554" w:type="pct"/>
            <w:tcBorders>
              <w:top w:val="nil"/>
              <w:left w:val="nil"/>
              <w:bottom w:val="single" w:sz="4" w:space="0" w:color="auto"/>
              <w:right w:val="single" w:sz="8" w:space="0" w:color="auto"/>
            </w:tcBorders>
            <w:shd w:val="clear" w:color="000000" w:fill="FFFFFF"/>
            <w:noWrap/>
            <w:vAlign w:val="bottom"/>
            <w:hideMark/>
          </w:tcPr>
          <w:p w14:paraId="77C4E19E"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1 551</w:t>
            </w:r>
          </w:p>
        </w:tc>
      </w:tr>
      <w:tr w:rsidR="00C425F2" w:rsidRPr="00E7138D" w14:paraId="197430FC" w14:textId="77777777" w:rsidTr="009D2DF2">
        <w:trPr>
          <w:trHeight w:val="23"/>
        </w:trPr>
        <w:tc>
          <w:tcPr>
            <w:tcW w:w="1125" w:type="pct"/>
            <w:tcBorders>
              <w:top w:val="nil"/>
              <w:left w:val="single" w:sz="8" w:space="0" w:color="auto"/>
              <w:bottom w:val="single" w:sz="4" w:space="0" w:color="auto"/>
              <w:right w:val="single" w:sz="4" w:space="0" w:color="auto"/>
            </w:tcBorders>
            <w:shd w:val="clear" w:color="000000" w:fill="FFFFFF"/>
            <w:noWrap/>
            <w:vAlign w:val="bottom"/>
            <w:hideMark/>
          </w:tcPr>
          <w:p w14:paraId="296983A1" w14:textId="77777777" w:rsidR="00D55F31" w:rsidRPr="00E7138D" w:rsidRDefault="0024693B" w:rsidP="0002290A">
            <w:pPr>
              <w:rPr>
                <w:rFonts w:ascii="Calibri" w:hAnsi="Calibri" w:cs="Calibri"/>
                <w:sz w:val="20"/>
                <w:szCs w:val="20"/>
              </w:rPr>
            </w:pPr>
            <w:r w:rsidRPr="00E7138D">
              <w:rPr>
                <w:rFonts w:ascii="Calibri" w:hAnsi="Calibri" w:cs="Calibri"/>
                <w:sz w:val="20"/>
                <w:szCs w:val="20"/>
              </w:rPr>
              <w:t>XXVII/3</w:t>
            </w:r>
          </w:p>
        </w:tc>
        <w:tc>
          <w:tcPr>
            <w:tcW w:w="553" w:type="pct"/>
            <w:tcBorders>
              <w:top w:val="nil"/>
              <w:left w:val="nil"/>
              <w:bottom w:val="single" w:sz="4" w:space="0" w:color="auto"/>
              <w:right w:val="single" w:sz="4" w:space="0" w:color="auto"/>
            </w:tcBorders>
            <w:shd w:val="clear" w:color="000000" w:fill="FFFFFF"/>
            <w:noWrap/>
            <w:vAlign w:val="bottom"/>
            <w:hideMark/>
          </w:tcPr>
          <w:p w14:paraId="4FEB7946"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1 419</w:t>
            </w:r>
          </w:p>
        </w:tc>
        <w:tc>
          <w:tcPr>
            <w:tcW w:w="553" w:type="pct"/>
            <w:tcBorders>
              <w:top w:val="nil"/>
              <w:left w:val="nil"/>
              <w:bottom w:val="single" w:sz="4" w:space="0" w:color="auto"/>
              <w:right w:val="single" w:sz="4" w:space="0" w:color="auto"/>
            </w:tcBorders>
            <w:shd w:val="clear" w:color="000000" w:fill="FFFFFF"/>
            <w:noWrap/>
            <w:vAlign w:val="bottom"/>
            <w:hideMark/>
          </w:tcPr>
          <w:p w14:paraId="17985EB4"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1 416</w:t>
            </w:r>
          </w:p>
        </w:tc>
        <w:tc>
          <w:tcPr>
            <w:tcW w:w="553" w:type="pct"/>
            <w:tcBorders>
              <w:top w:val="nil"/>
              <w:left w:val="nil"/>
              <w:bottom w:val="single" w:sz="4" w:space="0" w:color="auto"/>
              <w:right w:val="single" w:sz="4" w:space="0" w:color="auto"/>
            </w:tcBorders>
            <w:shd w:val="clear" w:color="000000" w:fill="FFFFFF"/>
            <w:noWrap/>
            <w:vAlign w:val="bottom"/>
            <w:hideMark/>
          </w:tcPr>
          <w:p w14:paraId="4B75E4EC"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1 512</w:t>
            </w:r>
          </w:p>
        </w:tc>
        <w:tc>
          <w:tcPr>
            <w:tcW w:w="553" w:type="pct"/>
            <w:tcBorders>
              <w:top w:val="nil"/>
              <w:left w:val="nil"/>
              <w:bottom w:val="single" w:sz="4" w:space="0" w:color="auto"/>
              <w:right w:val="single" w:sz="4" w:space="0" w:color="auto"/>
            </w:tcBorders>
            <w:shd w:val="clear" w:color="000000" w:fill="FFFFFF"/>
            <w:noWrap/>
            <w:vAlign w:val="bottom"/>
            <w:hideMark/>
          </w:tcPr>
          <w:p w14:paraId="04DC2128"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1 532</w:t>
            </w:r>
          </w:p>
        </w:tc>
        <w:tc>
          <w:tcPr>
            <w:tcW w:w="553" w:type="pct"/>
            <w:tcBorders>
              <w:top w:val="nil"/>
              <w:left w:val="nil"/>
              <w:bottom w:val="single" w:sz="4" w:space="0" w:color="auto"/>
              <w:right w:val="single" w:sz="4" w:space="0" w:color="auto"/>
            </w:tcBorders>
            <w:shd w:val="clear" w:color="000000" w:fill="FFFFFF"/>
            <w:noWrap/>
            <w:vAlign w:val="bottom"/>
            <w:hideMark/>
          </w:tcPr>
          <w:p w14:paraId="0BF0B2D5"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1 507</w:t>
            </w:r>
          </w:p>
        </w:tc>
        <w:tc>
          <w:tcPr>
            <w:tcW w:w="554" w:type="pct"/>
            <w:tcBorders>
              <w:top w:val="nil"/>
              <w:left w:val="nil"/>
              <w:bottom w:val="single" w:sz="4" w:space="0" w:color="auto"/>
              <w:right w:val="single" w:sz="4" w:space="0" w:color="auto"/>
            </w:tcBorders>
            <w:shd w:val="clear" w:color="000000" w:fill="FFFFFF"/>
            <w:noWrap/>
            <w:vAlign w:val="bottom"/>
            <w:hideMark/>
          </w:tcPr>
          <w:p w14:paraId="2C094ACE"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1 416</w:t>
            </w:r>
          </w:p>
        </w:tc>
        <w:tc>
          <w:tcPr>
            <w:tcW w:w="554" w:type="pct"/>
            <w:tcBorders>
              <w:top w:val="nil"/>
              <w:left w:val="nil"/>
              <w:bottom w:val="single" w:sz="4" w:space="0" w:color="auto"/>
              <w:right w:val="single" w:sz="8" w:space="0" w:color="auto"/>
            </w:tcBorders>
            <w:shd w:val="clear" w:color="000000" w:fill="FFFFFF"/>
            <w:noWrap/>
            <w:vAlign w:val="bottom"/>
            <w:hideMark/>
          </w:tcPr>
          <w:p w14:paraId="7B8787DD"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1 555</w:t>
            </w:r>
          </w:p>
        </w:tc>
      </w:tr>
      <w:tr w:rsidR="00C425F2" w:rsidRPr="00E7138D" w14:paraId="465D67D5" w14:textId="77777777" w:rsidTr="009D2DF2">
        <w:trPr>
          <w:trHeight w:val="23"/>
        </w:trPr>
        <w:tc>
          <w:tcPr>
            <w:tcW w:w="1125" w:type="pct"/>
            <w:tcBorders>
              <w:top w:val="nil"/>
              <w:left w:val="single" w:sz="8" w:space="0" w:color="auto"/>
              <w:bottom w:val="single" w:sz="4" w:space="0" w:color="auto"/>
              <w:right w:val="single" w:sz="4" w:space="0" w:color="auto"/>
            </w:tcBorders>
            <w:shd w:val="clear" w:color="000000" w:fill="FFFFFF"/>
            <w:noWrap/>
            <w:vAlign w:val="bottom"/>
            <w:hideMark/>
          </w:tcPr>
          <w:p w14:paraId="1987E53A" w14:textId="77777777" w:rsidR="00D55F31" w:rsidRPr="00E7138D" w:rsidRDefault="0024693B" w:rsidP="0002290A">
            <w:pPr>
              <w:rPr>
                <w:rFonts w:ascii="Calibri" w:hAnsi="Calibri" w:cs="Calibri"/>
                <w:sz w:val="20"/>
                <w:szCs w:val="20"/>
              </w:rPr>
            </w:pPr>
            <w:r w:rsidRPr="00E7138D">
              <w:rPr>
                <w:rFonts w:ascii="Calibri" w:hAnsi="Calibri" w:cs="Calibri"/>
                <w:sz w:val="20"/>
                <w:szCs w:val="20"/>
              </w:rPr>
              <w:t>XXVII/3 děti nad 11 let</w:t>
            </w:r>
          </w:p>
        </w:tc>
        <w:tc>
          <w:tcPr>
            <w:tcW w:w="553" w:type="pct"/>
            <w:tcBorders>
              <w:top w:val="nil"/>
              <w:left w:val="nil"/>
              <w:bottom w:val="single" w:sz="4" w:space="0" w:color="auto"/>
              <w:right w:val="single" w:sz="4" w:space="0" w:color="auto"/>
            </w:tcBorders>
            <w:shd w:val="clear" w:color="000000" w:fill="FFFFFF"/>
            <w:noWrap/>
            <w:vAlign w:val="bottom"/>
            <w:hideMark/>
          </w:tcPr>
          <w:p w14:paraId="0D71A5F5"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1 437</w:t>
            </w:r>
          </w:p>
        </w:tc>
        <w:tc>
          <w:tcPr>
            <w:tcW w:w="553" w:type="pct"/>
            <w:tcBorders>
              <w:top w:val="nil"/>
              <w:left w:val="nil"/>
              <w:bottom w:val="single" w:sz="4" w:space="0" w:color="auto"/>
              <w:right w:val="single" w:sz="4" w:space="0" w:color="auto"/>
            </w:tcBorders>
            <w:shd w:val="clear" w:color="000000" w:fill="FFFFFF"/>
            <w:noWrap/>
            <w:vAlign w:val="bottom"/>
            <w:hideMark/>
          </w:tcPr>
          <w:p w14:paraId="5BF87135"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1 430</w:t>
            </w:r>
          </w:p>
        </w:tc>
        <w:tc>
          <w:tcPr>
            <w:tcW w:w="553" w:type="pct"/>
            <w:tcBorders>
              <w:top w:val="nil"/>
              <w:left w:val="nil"/>
              <w:bottom w:val="single" w:sz="4" w:space="0" w:color="auto"/>
              <w:right w:val="single" w:sz="4" w:space="0" w:color="auto"/>
            </w:tcBorders>
            <w:shd w:val="clear" w:color="000000" w:fill="FFFFFF"/>
            <w:noWrap/>
            <w:vAlign w:val="bottom"/>
            <w:hideMark/>
          </w:tcPr>
          <w:p w14:paraId="651BE9D9"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1 530</w:t>
            </w:r>
          </w:p>
        </w:tc>
        <w:tc>
          <w:tcPr>
            <w:tcW w:w="553" w:type="pct"/>
            <w:tcBorders>
              <w:top w:val="nil"/>
              <w:left w:val="nil"/>
              <w:bottom w:val="single" w:sz="4" w:space="0" w:color="auto"/>
              <w:right w:val="single" w:sz="4" w:space="0" w:color="auto"/>
            </w:tcBorders>
            <w:shd w:val="clear" w:color="000000" w:fill="FFFFFF"/>
            <w:noWrap/>
            <w:vAlign w:val="bottom"/>
            <w:hideMark/>
          </w:tcPr>
          <w:p w14:paraId="7AE723BD"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1 556</w:t>
            </w:r>
          </w:p>
        </w:tc>
        <w:tc>
          <w:tcPr>
            <w:tcW w:w="553" w:type="pct"/>
            <w:tcBorders>
              <w:top w:val="nil"/>
              <w:left w:val="nil"/>
              <w:bottom w:val="single" w:sz="4" w:space="0" w:color="auto"/>
              <w:right w:val="single" w:sz="4" w:space="0" w:color="auto"/>
            </w:tcBorders>
            <w:shd w:val="clear" w:color="000000" w:fill="FFFFFF"/>
            <w:noWrap/>
            <w:vAlign w:val="bottom"/>
            <w:hideMark/>
          </w:tcPr>
          <w:p w14:paraId="1052F7CF"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1 525</w:t>
            </w:r>
          </w:p>
        </w:tc>
        <w:tc>
          <w:tcPr>
            <w:tcW w:w="554" w:type="pct"/>
            <w:tcBorders>
              <w:top w:val="nil"/>
              <w:left w:val="nil"/>
              <w:bottom w:val="single" w:sz="4" w:space="0" w:color="auto"/>
              <w:right w:val="single" w:sz="4" w:space="0" w:color="auto"/>
            </w:tcBorders>
            <w:shd w:val="clear" w:color="000000" w:fill="FFFFFF"/>
            <w:noWrap/>
            <w:vAlign w:val="bottom"/>
            <w:hideMark/>
          </w:tcPr>
          <w:p w14:paraId="59F97446"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1 434</w:t>
            </w:r>
          </w:p>
        </w:tc>
        <w:tc>
          <w:tcPr>
            <w:tcW w:w="554" w:type="pct"/>
            <w:tcBorders>
              <w:top w:val="nil"/>
              <w:left w:val="nil"/>
              <w:bottom w:val="single" w:sz="4" w:space="0" w:color="auto"/>
              <w:right w:val="single" w:sz="8" w:space="0" w:color="auto"/>
            </w:tcBorders>
            <w:shd w:val="clear" w:color="000000" w:fill="FFFFFF"/>
            <w:noWrap/>
            <w:vAlign w:val="bottom"/>
            <w:hideMark/>
          </w:tcPr>
          <w:p w14:paraId="51EE847C"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1 573</w:t>
            </w:r>
          </w:p>
        </w:tc>
      </w:tr>
      <w:tr w:rsidR="00C425F2" w:rsidRPr="00E7138D" w14:paraId="301A1CE5" w14:textId="77777777" w:rsidTr="009D2DF2">
        <w:trPr>
          <w:trHeight w:val="23"/>
        </w:trPr>
        <w:tc>
          <w:tcPr>
            <w:tcW w:w="1125" w:type="pct"/>
            <w:tcBorders>
              <w:top w:val="nil"/>
              <w:left w:val="single" w:sz="8" w:space="0" w:color="auto"/>
              <w:bottom w:val="single" w:sz="4" w:space="0" w:color="auto"/>
              <w:right w:val="single" w:sz="4" w:space="0" w:color="auto"/>
            </w:tcBorders>
            <w:shd w:val="clear" w:color="000000" w:fill="FFFFFF"/>
            <w:noWrap/>
            <w:vAlign w:val="bottom"/>
            <w:hideMark/>
          </w:tcPr>
          <w:p w14:paraId="0865279B" w14:textId="77777777" w:rsidR="00D55F31" w:rsidRPr="00E7138D" w:rsidRDefault="0024693B" w:rsidP="0002290A">
            <w:pPr>
              <w:rPr>
                <w:rFonts w:ascii="Calibri" w:hAnsi="Calibri" w:cs="Calibri"/>
                <w:sz w:val="20"/>
                <w:szCs w:val="20"/>
              </w:rPr>
            </w:pPr>
            <w:r w:rsidRPr="00E7138D">
              <w:rPr>
                <w:rFonts w:ascii="Calibri" w:hAnsi="Calibri" w:cs="Calibri"/>
                <w:sz w:val="20"/>
                <w:szCs w:val="20"/>
              </w:rPr>
              <w:t>XXVII/4</w:t>
            </w:r>
          </w:p>
        </w:tc>
        <w:tc>
          <w:tcPr>
            <w:tcW w:w="553" w:type="pct"/>
            <w:tcBorders>
              <w:top w:val="nil"/>
              <w:left w:val="nil"/>
              <w:bottom w:val="single" w:sz="4" w:space="0" w:color="auto"/>
              <w:right w:val="single" w:sz="4" w:space="0" w:color="auto"/>
            </w:tcBorders>
            <w:shd w:val="clear" w:color="000000" w:fill="FFFFFF"/>
            <w:noWrap/>
            <w:vAlign w:val="bottom"/>
            <w:hideMark/>
          </w:tcPr>
          <w:p w14:paraId="2BAD14E4"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1 419</w:t>
            </w:r>
          </w:p>
        </w:tc>
        <w:tc>
          <w:tcPr>
            <w:tcW w:w="553" w:type="pct"/>
            <w:tcBorders>
              <w:top w:val="nil"/>
              <w:left w:val="nil"/>
              <w:bottom w:val="single" w:sz="4" w:space="0" w:color="auto"/>
              <w:right w:val="single" w:sz="4" w:space="0" w:color="auto"/>
            </w:tcBorders>
            <w:shd w:val="clear" w:color="000000" w:fill="FFFFFF"/>
            <w:noWrap/>
            <w:vAlign w:val="bottom"/>
            <w:hideMark/>
          </w:tcPr>
          <w:p w14:paraId="2A072F6B"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1 413</w:t>
            </w:r>
          </w:p>
        </w:tc>
        <w:tc>
          <w:tcPr>
            <w:tcW w:w="553" w:type="pct"/>
            <w:tcBorders>
              <w:top w:val="nil"/>
              <w:left w:val="nil"/>
              <w:bottom w:val="single" w:sz="4" w:space="0" w:color="auto"/>
              <w:right w:val="single" w:sz="4" w:space="0" w:color="auto"/>
            </w:tcBorders>
            <w:shd w:val="clear" w:color="000000" w:fill="FFFFFF"/>
            <w:noWrap/>
            <w:vAlign w:val="bottom"/>
            <w:hideMark/>
          </w:tcPr>
          <w:p w14:paraId="70B2E560"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1 512</w:t>
            </w:r>
          </w:p>
        </w:tc>
        <w:tc>
          <w:tcPr>
            <w:tcW w:w="553" w:type="pct"/>
            <w:tcBorders>
              <w:top w:val="nil"/>
              <w:left w:val="nil"/>
              <w:bottom w:val="single" w:sz="4" w:space="0" w:color="auto"/>
              <w:right w:val="single" w:sz="4" w:space="0" w:color="auto"/>
            </w:tcBorders>
            <w:shd w:val="clear" w:color="000000" w:fill="FFFFFF"/>
            <w:noWrap/>
            <w:vAlign w:val="bottom"/>
            <w:hideMark/>
          </w:tcPr>
          <w:p w14:paraId="1A1674FC"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1 532</w:t>
            </w:r>
          </w:p>
        </w:tc>
        <w:tc>
          <w:tcPr>
            <w:tcW w:w="553" w:type="pct"/>
            <w:tcBorders>
              <w:top w:val="nil"/>
              <w:left w:val="nil"/>
              <w:bottom w:val="single" w:sz="4" w:space="0" w:color="auto"/>
              <w:right w:val="single" w:sz="4" w:space="0" w:color="auto"/>
            </w:tcBorders>
            <w:shd w:val="clear" w:color="000000" w:fill="FFFFFF"/>
            <w:noWrap/>
            <w:vAlign w:val="bottom"/>
            <w:hideMark/>
          </w:tcPr>
          <w:p w14:paraId="6A92AA9B"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1 507</w:t>
            </w:r>
          </w:p>
        </w:tc>
        <w:tc>
          <w:tcPr>
            <w:tcW w:w="554" w:type="pct"/>
            <w:tcBorders>
              <w:top w:val="nil"/>
              <w:left w:val="nil"/>
              <w:bottom w:val="single" w:sz="4" w:space="0" w:color="auto"/>
              <w:right w:val="single" w:sz="4" w:space="0" w:color="auto"/>
            </w:tcBorders>
            <w:shd w:val="clear" w:color="000000" w:fill="FFFFFF"/>
            <w:noWrap/>
            <w:vAlign w:val="bottom"/>
            <w:hideMark/>
          </w:tcPr>
          <w:p w14:paraId="17A7EBF4"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1 416</w:t>
            </w:r>
          </w:p>
        </w:tc>
        <w:tc>
          <w:tcPr>
            <w:tcW w:w="554" w:type="pct"/>
            <w:tcBorders>
              <w:top w:val="nil"/>
              <w:left w:val="nil"/>
              <w:bottom w:val="single" w:sz="4" w:space="0" w:color="auto"/>
              <w:right w:val="single" w:sz="8" w:space="0" w:color="auto"/>
            </w:tcBorders>
            <w:shd w:val="clear" w:color="000000" w:fill="FFFFFF"/>
            <w:noWrap/>
            <w:vAlign w:val="bottom"/>
            <w:hideMark/>
          </w:tcPr>
          <w:p w14:paraId="2013BBD8"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1 555</w:t>
            </w:r>
          </w:p>
        </w:tc>
      </w:tr>
      <w:tr w:rsidR="00C425F2" w:rsidRPr="00E7138D" w14:paraId="72B0E8A0" w14:textId="77777777" w:rsidTr="009D2DF2">
        <w:trPr>
          <w:trHeight w:val="23"/>
        </w:trPr>
        <w:tc>
          <w:tcPr>
            <w:tcW w:w="1125" w:type="pct"/>
            <w:tcBorders>
              <w:top w:val="nil"/>
              <w:left w:val="single" w:sz="8" w:space="0" w:color="auto"/>
              <w:bottom w:val="single" w:sz="4" w:space="0" w:color="auto"/>
              <w:right w:val="single" w:sz="4" w:space="0" w:color="auto"/>
            </w:tcBorders>
            <w:shd w:val="clear" w:color="000000" w:fill="FFFFFF"/>
            <w:noWrap/>
            <w:vAlign w:val="bottom"/>
            <w:hideMark/>
          </w:tcPr>
          <w:p w14:paraId="74D34558" w14:textId="77777777" w:rsidR="00D55F31" w:rsidRPr="00E7138D" w:rsidRDefault="0024693B" w:rsidP="0002290A">
            <w:pPr>
              <w:rPr>
                <w:rFonts w:ascii="Calibri" w:hAnsi="Calibri" w:cs="Calibri"/>
                <w:sz w:val="20"/>
                <w:szCs w:val="20"/>
              </w:rPr>
            </w:pPr>
            <w:r w:rsidRPr="00E7138D">
              <w:rPr>
                <w:rFonts w:ascii="Calibri" w:hAnsi="Calibri" w:cs="Calibri"/>
                <w:sz w:val="20"/>
                <w:szCs w:val="20"/>
              </w:rPr>
              <w:t>XXVII/4 děti nad 11 let</w:t>
            </w:r>
          </w:p>
        </w:tc>
        <w:tc>
          <w:tcPr>
            <w:tcW w:w="553" w:type="pct"/>
            <w:tcBorders>
              <w:top w:val="nil"/>
              <w:left w:val="nil"/>
              <w:bottom w:val="single" w:sz="4" w:space="0" w:color="auto"/>
              <w:right w:val="single" w:sz="4" w:space="0" w:color="auto"/>
            </w:tcBorders>
            <w:shd w:val="clear" w:color="000000" w:fill="FFFFFF"/>
            <w:noWrap/>
            <w:vAlign w:val="bottom"/>
            <w:hideMark/>
          </w:tcPr>
          <w:p w14:paraId="68183E19"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1 437</w:t>
            </w:r>
          </w:p>
        </w:tc>
        <w:tc>
          <w:tcPr>
            <w:tcW w:w="553" w:type="pct"/>
            <w:tcBorders>
              <w:top w:val="nil"/>
              <w:left w:val="nil"/>
              <w:bottom w:val="single" w:sz="4" w:space="0" w:color="auto"/>
              <w:right w:val="single" w:sz="4" w:space="0" w:color="auto"/>
            </w:tcBorders>
            <w:shd w:val="clear" w:color="000000" w:fill="FFFFFF"/>
            <w:noWrap/>
            <w:vAlign w:val="bottom"/>
            <w:hideMark/>
          </w:tcPr>
          <w:p w14:paraId="05132C1D"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1 430</w:t>
            </w:r>
          </w:p>
        </w:tc>
        <w:tc>
          <w:tcPr>
            <w:tcW w:w="553" w:type="pct"/>
            <w:tcBorders>
              <w:top w:val="nil"/>
              <w:left w:val="nil"/>
              <w:bottom w:val="single" w:sz="4" w:space="0" w:color="auto"/>
              <w:right w:val="single" w:sz="4" w:space="0" w:color="auto"/>
            </w:tcBorders>
            <w:shd w:val="clear" w:color="000000" w:fill="FFFFFF"/>
            <w:noWrap/>
            <w:vAlign w:val="bottom"/>
            <w:hideMark/>
          </w:tcPr>
          <w:p w14:paraId="4B8FFEA5"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1 530</w:t>
            </w:r>
          </w:p>
        </w:tc>
        <w:tc>
          <w:tcPr>
            <w:tcW w:w="553" w:type="pct"/>
            <w:tcBorders>
              <w:top w:val="nil"/>
              <w:left w:val="nil"/>
              <w:bottom w:val="single" w:sz="4" w:space="0" w:color="auto"/>
              <w:right w:val="single" w:sz="4" w:space="0" w:color="auto"/>
            </w:tcBorders>
            <w:shd w:val="clear" w:color="000000" w:fill="FFFFFF"/>
            <w:noWrap/>
            <w:vAlign w:val="bottom"/>
            <w:hideMark/>
          </w:tcPr>
          <w:p w14:paraId="6E28DCED"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1 556</w:t>
            </w:r>
          </w:p>
        </w:tc>
        <w:tc>
          <w:tcPr>
            <w:tcW w:w="553" w:type="pct"/>
            <w:tcBorders>
              <w:top w:val="nil"/>
              <w:left w:val="nil"/>
              <w:bottom w:val="single" w:sz="4" w:space="0" w:color="auto"/>
              <w:right w:val="single" w:sz="4" w:space="0" w:color="auto"/>
            </w:tcBorders>
            <w:shd w:val="clear" w:color="000000" w:fill="FFFFFF"/>
            <w:noWrap/>
            <w:vAlign w:val="bottom"/>
            <w:hideMark/>
          </w:tcPr>
          <w:p w14:paraId="30B059E6"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1 525</w:t>
            </w:r>
          </w:p>
        </w:tc>
        <w:tc>
          <w:tcPr>
            <w:tcW w:w="554" w:type="pct"/>
            <w:tcBorders>
              <w:top w:val="nil"/>
              <w:left w:val="nil"/>
              <w:bottom w:val="single" w:sz="4" w:space="0" w:color="auto"/>
              <w:right w:val="single" w:sz="4" w:space="0" w:color="auto"/>
            </w:tcBorders>
            <w:shd w:val="clear" w:color="000000" w:fill="FFFFFF"/>
            <w:noWrap/>
            <w:vAlign w:val="bottom"/>
            <w:hideMark/>
          </w:tcPr>
          <w:p w14:paraId="7875924F"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1 434</w:t>
            </w:r>
          </w:p>
        </w:tc>
        <w:tc>
          <w:tcPr>
            <w:tcW w:w="554" w:type="pct"/>
            <w:tcBorders>
              <w:top w:val="nil"/>
              <w:left w:val="nil"/>
              <w:bottom w:val="single" w:sz="4" w:space="0" w:color="auto"/>
              <w:right w:val="single" w:sz="8" w:space="0" w:color="auto"/>
            </w:tcBorders>
            <w:shd w:val="clear" w:color="000000" w:fill="FFFFFF"/>
            <w:noWrap/>
            <w:vAlign w:val="bottom"/>
            <w:hideMark/>
          </w:tcPr>
          <w:p w14:paraId="517AE506"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1 573</w:t>
            </w:r>
          </w:p>
        </w:tc>
      </w:tr>
      <w:tr w:rsidR="00C425F2" w:rsidRPr="00E7138D" w14:paraId="4DD24A9C" w14:textId="77777777" w:rsidTr="009D2DF2">
        <w:trPr>
          <w:trHeight w:val="23"/>
        </w:trPr>
        <w:tc>
          <w:tcPr>
            <w:tcW w:w="1125" w:type="pct"/>
            <w:tcBorders>
              <w:top w:val="nil"/>
              <w:left w:val="single" w:sz="8" w:space="0" w:color="auto"/>
              <w:bottom w:val="single" w:sz="4" w:space="0" w:color="auto"/>
              <w:right w:val="single" w:sz="4" w:space="0" w:color="auto"/>
            </w:tcBorders>
            <w:shd w:val="clear" w:color="000000" w:fill="FFFFFF"/>
            <w:noWrap/>
            <w:vAlign w:val="bottom"/>
            <w:hideMark/>
          </w:tcPr>
          <w:p w14:paraId="07D92CFA" w14:textId="77777777" w:rsidR="00D55F31" w:rsidRPr="00E7138D" w:rsidRDefault="0024693B" w:rsidP="0002290A">
            <w:pPr>
              <w:rPr>
                <w:rFonts w:ascii="Calibri" w:hAnsi="Calibri" w:cs="Calibri"/>
                <w:sz w:val="20"/>
                <w:szCs w:val="20"/>
              </w:rPr>
            </w:pPr>
            <w:r w:rsidRPr="00E7138D">
              <w:rPr>
                <w:rFonts w:ascii="Calibri" w:hAnsi="Calibri" w:cs="Calibri"/>
                <w:sz w:val="20"/>
                <w:szCs w:val="20"/>
              </w:rPr>
              <w:t>XXVII/5</w:t>
            </w:r>
          </w:p>
        </w:tc>
        <w:tc>
          <w:tcPr>
            <w:tcW w:w="553" w:type="pct"/>
            <w:tcBorders>
              <w:top w:val="nil"/>
              <w:left w:val="nil"/>
              <w:bottom w:val="single" w:sz="4" w:space="0" w:color="auto"/>
              <w:right w:val="single" w:sz="4" w:space="0" w:color="auto"/>
            </w:tcBorders>
            <w:shd w:val="clear" w:color="000000" w:fill="FFFFFF"/>
            <w:noWrap/>
            <w:vAlign w:val="bottom"/>
            <w:hideMark/>
          </w:tcPr>
          <w:p w14:paraId="319F2732"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1 397</w:t>
            </w:r>
          </w:p>
        </w:tc>
        <w:tc>
          <w:tcPr>
            <w:tcW w:w="553" w:type="pct"/>
            <w:tcBorders>
              <w:top w:val="nil"/>
              <w:left w:val="nil"/>
              <w:bottom w:val="single" w:sz="4" w:space="0" w:color="auto"/>
              <w:right w:val="single" w:sz="4" w:space="0" w:color="auto"/>
            </w:tcBorders>
            <w:shd w:val="clear" w:color="000000" w:fill="FFFFFF"/>
            <w:noWrap/>
            <w:vAlign w:val="bottom"/>
            <w:hideMark/>
          </w:tcPr>
          <w:p w14:paraId="41AF81BB"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1 391</w:t>
            </w:r>
          </w:p>
        </w:tc>
        <w:tc>
          <w:tcPr>
            <w:tcW w:w="553" w:type="pct"/>
            <w:tcBorders>
              <w:top w:val="nil"/>
              <w:left w:val="nil"/>
              <w:bottom w:val="single" w:sz="4" w:space="0" w:color="auto"/>
              <w:right w:val="single" w:sz="4" w:space="0" w:color="auto"/>
            </w:tcBorders>
            <w:shd w:val="clear" w:color="000000" w:fill="FFFFFF"/>
            <w:noWrap/>
            <w:vAlign w:val="bottom"/>
            <w:hideMark/>
          </w:tcPr>
          <w:p w14:paraId="0510B13D"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1 489</w:t>
            </w:r>
          </w:p>
        </w:tc>
        <w:tc>
          <w:tcPr>
            <w:tcW w:w="553" w:type="pct"/>
            <w:tcBorders>
              <w:top w:val="nil"/>
              <w:left w:val="nil"/>
              <w:bottom w:val="single" w:sz="4" w:space="0" w:color="auto"/>
              <w:right w:val="single" w:sz="4" w:space="0" w:color="auto"/>
            </w:tcBorders>
            <w:shd w:val="clear" w:color="000000" w:fill="FFFFFF"/>
            <w:noWrap/>
            <w:vAlign w:val="bottom"/>
            <w:hideMark/>
          </w:tcPr>
          <w:p w14:paraId="6C6C1D84"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1 511</w:t>
            </w:r>
          </w:p>
        </w:tc>
        <w:tc>
          <w:tcPr>
            <w:tcW w:w="553" w:type="pct"/>
            <w:tcBorders>
              <w:top w:val="nil"/>
              <w:left w:val="nil"/>
              <w:bottom w:val="single" w:sz="4" w:space="0" w:color="auto"/>
              <w:right w:val="single" w:sz="4" w:space="0" w:color="auto"/>
            </w:tcBorders>
            <w:shd w:val="clear" w:color="000000" w:fill="FFFFFF"/>
            <w:noWrap/>
            <w:vAlign w:val="bottom"/>
            <w:hideMark/>
          </w:tcPr>
          <w:p w14:paraId="0AB53F2D"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1 507</w:t>
            </w:r>
          </w:p>
        </w:tc>
        <w:tc>
          <w:tcPr>
            <w:tcW w:w="554" w:type="pct"/>
            <w:tcBorders>
              <w:top w:val="nil"/>
              <w:left w:val="nil"/>
              <w:bottom w:val="single" w:sz="4" w:space="0" w:color="auto"/>
              <w:right w:val="single" w:sz="4" w:space="0" w:color="auto"/>
            </w:tcBorders>
            <w:shd w:val="clear" w:color="000000" w:fill="FFFFFF"/>
            <w:noWrap/>
            <w:vAlign w:val="bottom"/>
            <w:hideMark/>
          </w:tcPr>
          <w:p w14:paraId="66455C50"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1 394</w:t>
            </w:r>
          </w:p>
        </w:tc>
        <w:tc>
          <w:tcPr>
            <w:tcW w:w="554" w:type="pct"/>
            <w:tcBorders>
              <w:top w:val="nil"/>
              <w:left w:val="nil"/>
              <w:bottom w:val="single" w:sz="4" w:space="0" w:color="auto"/>
              <w:right w:val="single" w:sz="8" w:space="0" w:color="auto"/>
            </w:tcBorders>
            <w:shd w:val="clear" w:color="000000" w:fill="FFFFFF"/>
            <w:noWrap/>
            <w:vAlign w:val="bottom"/>
            <w:hideMark/>
          </w:tcPr>
          <w:p w14:paraId="0DF36765"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1 533</w:t>
            </w:r>
          </w:p>
        </w:tc>
      </w:tr>
      <w:tr w:rsidR="00C425F2" w:rsidRPr="00E7138D" w14:paraId="71622A17" w14:textId="77777777" w:rsidTr="009D2DF2">
        <w:trPr>
          <w:trHeight w:val="23"/>
        </w:trPr>
        <w:tc>
          <w:tcPr>
            <w:tcW w:w="1125" w:type="pct"/>
            <w:tcBorders>
              <w:top w:val="nil"/>
              <w:left w:val="single" w:sz="8" w:space="0" w:color="auto"/>
              <w:bottom w:val="single" w:sz="4" w:space="0" w:color="auto"/>
              <w:right w:val="single" w:sz="4" w:space="0" w:color="auto"/>
            </w:tcBorders>
            <w:shd w:val="clear" w:color="000000" w:fill="FFFFFF"/>
            <w:noWrap/>
            <w:vAlign w:val="bottom"/>
            <w:hideMark/>
          </w:tcPr>
          <w:p w14:paraId="17851000" w14:textId="77777777" w:rsidR="00D55F31" w:rsidRPr="00E7138D" w:rsidRDefault="0024693B" w:rsidP="0002290A">
            <w:pPr>
              <w:rPr>
                <w:rFonts w:ascii="Calibri" w:hAnsi="Calibri" w:cs="Calibri"/>
                <w:sz w:val="20"/>
                <w:szCs w:val="20"/>
              </w:rPr>
            </w:pPr>
            <w:r w:rsidRPr="00E7138D">
              <w:rPr>
                <w:rFonts w:ascii="Calibri" w:hAnsi="Calibri" w:cs="Calibri"/>
                <w:sz w:val="20"/>
                <w:szCs w:val="20"/>
              </w:rPr>
              <w:t>XXVII/5 děti nad 11 let</w:t>
            </w:r>
          </w:p>
        </w:tc>
        <w:tc>
          <w:tcPr>
            <w:tcW w:w="553" w:type="pct"/>
            <w:tcBorders>
              <w:top w:val="nil"/>
              <w:left w:val="nil"/>
              <w:bottom w:val="single" w:sz="4" w:space="0" w:color="auto"/>
              <w:right w:val="single" w:sz="4" w:space="0" w:color="auto"/>
            </w:tcBorders>
            <w:shd w:val="clear" w:color="000000" w:fill="FFFFFF"/>
            <w:noWrap/>
            <w:vAlign w:val="bottom"/>
            <w:hideMark/>
          </w:tcPr>
          <w:p w14:paraId="66C394DB"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1 415</w:t>
            </w:r>
          </w:p>
        </w:tc>
        <w:tc>
          <w:tcPr>
            <w:tcW w:w="553" w:type="pct"/>
            <w:tcBorders>
              <w:top w:val="nil"/>
              <w:left w:val="nil"/>
              <w:bottom w:val="single" w:sz="4" w:space="0" w:color="auto"/>
              <w:right w:val="single" w:sz="4" w:space="0" w:color="auto"/>
            </w:tcBorders>
            <w:shd w:val="clear" w:color="000000" w:fill="FFFFFF"/>
            <w:noWrap/>
            <w:vAlign w:val="bottom"/>
            <w:hideMark/>
          </w:tcPr>
          <w:p w14:paraId="783292FC"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1 408</w:t>
            </w:r>
          </w:p>
        </w:tc>
        <w:tc>
          <w:tcPr>
            <w:tcW w:w="553" w:type="pct"/>
            <w:tcBorders>
              <w:top w:val="nil"/>
              <w:left w:val="nil"/>
              <w:bottom w:val="single" w:sz="4" w:space="0" w:color="auto"/>
              <w:right w:val="single" w:sz="4" w:space="0" w:color="auto"/>
            </w:tcBorders>
            <w:shd w:val="clear" w:color="000000" w:fill="FFFFFF"/>
            <w:noWrap/>
            <w:vAlign w:val="bottom"/>
            <w:hideMark/>
          </w:tcPr>
          <w:p w14:paraId="473DD04C"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1 507</w:t>
            </w:r>
          </w:p>
        </w:tc>
        <w:tc>
          <w:tcPr>
            <w:tcW w:w="553" w:type="pct"/>
            <w:tcBorders>
              <w:top w:val="nil"/>
              <w:left w:val="nil"/>
              <w:bottom w:val="single" w:sz="4" w:space="0" w:color="auto"/>
              <w:right w:val="single" w:sz="4" w:space="0" w:color="auto"/>
            </w:tcBorders>
            <w:shd w:val="clear" w:color="000000" w:fill="FFFFFF"/>
            <w:noWrap/>
            <w:vAlign w:val="bottom"/>
            <w:hideMark/>
          </w:tcPr>
          <w:p w14:paraId="296CCC1A"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1 535</w:t>
            </w:r>
          </w:p>
        </w:tc>
        <w:tc>
          <w:tcPr>
            <w:tcW w:w="553" w:type="pct"/>
            <w:tcBorders>
              <w:top w:val="nil"/>
              <w:left w:val="nil"/>
              <w:bottom w:val="single" w:sz="4" w:space="0" w:color="auto"/>
              <w:right w:val="single" w:sz="4" w:space="0" w:color="auto"/>
            </w:tcBorders>
            <w:shd w:val="clear" w:color="000000" w:fill="FFFFFF"/>
            <w:noWrap/>
            <w:vAlign w:val="bottom"/>
            <w:hideMark/>
          </w:tcPr>
          <w:p w14:paraId="4DDEC8C7"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1 525</w:t>
            </w:r>
          </w:p>
        </w:tc>
        <w:tc>
          <w:tcPr>
            <w:tcW w:w="554" w:type="pct"/>
            <w:tcBorders>
              <w:top w:val="nil"/>
              <w:left w:val="nil"/>
              <w:bottom w:val="single" w:sz="4" w:space="0" w:color="auto"/>
              <w:right w:val="single" w:sz="4" w:space="0" w:color="auto"/>
            </w:tcBorders>
            <w:shd w:val="clear" w:color="000000" w:fill="FFFFFF"/>
            <w:noWrap/>
            <w:vAlign w:val="bottom"/>
            <w:hideMark/>
          </w:tcPr>
          <w:p w14:paraId="76C95122"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1 412</w:t>
            </w:r>
          </w:p>
        </w:tc>
        <w:tc>
          <w:tcPr>
            <w:tcW w:w="554" w:type="pct"/>
            <w:tcBorders>
              <w:top w:val="nil"/>
              <w:left w:val="nil"/>
              <w:bottom w:val="single" w:sz="4" w:space="0" w:color="auto"/>
              <w:right w:val="single" w:sz="8" w:space="0" w:color="auto"/>
            </w:tcBorders>
            <w:shd w:val="clear" w:color="000000" w:fill="FFFFFF"/>
            <w:noWrap/>
            <w:vAlign w:val="bottom"/>
            <w:hideMark/>
          </w:tcPr>
          <w:p w14:paraId="243A7333"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1 551</w:t>
            </w:r>
          </w:p>
        </w:tc>
      </w:tr>
      <w:tr w:rsidR="00C425F2" w:rsidRPr="00E7138D" w14:paraId="6D6CA05E" w14:textId="77777777" w:rsidTr="009D2DF2">
        <w:trPr>
          <w:trHeight w:val="23"/>
        </w:trPr>
        <w:tc>
          <w:tcPr>
            <w:tcW w:w="1125" w:type="pct"/>
            <w:tcBorders>
              <w:top w:val="nil"/>
              <w:left w:val="single" w:sz="8" w:space="0" w:color="auto"/>
              <w:bottom w:val="single" w:sz="4" w:space="0" w:color="auto"/>
              <w:right w:val="single" w:sz="4" w:space="0" w:color="auto"/>
            </w:tcBorders>
            <w:shd w:val="clear" w:color="000000" w:fill="FFFFFF"/>
            <w:noWrap/>
            <w:vAlign w:val="bottom"/>
            <w:hideMark/>
          </w:tcPr>
          <w:p w14:paraId="5DF5A7E5" w14:textId="77777777" w:rsidR="00D55F31" w:rsidRPr="00E7138D" w:rsidRDefault="0024693B" w:rsidP="0002290A">
            <w:pPr>
              <w:rPr>
                <w:rFonts w:ascii="Calibri" w:hAnsi="Calibri" w:cs="Calibri"/>
                <w:sz w:val="20"/>
                <w:szCs w:val="20"/>
              </w:rPr>
            </w:pPr>
            <w:r w:rsidRPr="00E7138D">
              <w:rPr>
                <w:rFonts w:ascii="Calibri" w:hAnsi="Calibri" w:cs="Calibri"/>
                <w:sz w:val="20"/>
                <w:szCs w:val="20"/>
              </w:rPr>
              <w:t>XXVII/6</w:t>
            </w:r>
          </w:p>
        </w:tc>
        <w:tc>
          <w:tcPr>
            <w:tcW w:w="553" w:type="pct"/>
            <w:tcBorders>
              <w:top w:val="nil"/>
              <w:left w:val="nil"/>
              <w:bottom w:val="single" w:sz="4" w:space="0" w:color="auto"/>
              <w:right w:val="single" w:sz="4" w:space="0" w:color="auto"/>
            </w:tcBorders>
            <w:shd w:val="clear" w:color="000000" w:fill="FFFFFF"/>
            <w:noWrap/>
            <w:vAlign w:val="bottom"/>
            <w:hideMark/>
          </w:tcPr>
          <w:p w14:paraId="3436D9A1"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1 419</w:t>
            </w:r>
          </w:p>
        </w:tc>
        <w:tc>
          <w:tcPr>
            <w:tcW w:w="553" w:type="pct"/>
            <w:tcBorders>
              <w:top w:val="nil"/>
              <w:left w:val="nil"/>
              <w:bottom w:val="single" w:sz="4" w:space="0" w:color="auto"/>
              <w:right w:val="single" w:sz="4" w:space="0" w:color="auto"/>
            </w:tcBorders>
            <w:shd w:val="clear" w:color="000000" w:fill="FFFFFF"/>
            <w:noWrap/>
            <w:vAlign w:val="bottom"/>
            <w:hideMark/>
          </w:tcPr>
          <w:p w14:paraId="3747BC5F"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1 413</w:t>
            </w:r>
          </w:p>
        </w:tc>
        <w:tc>
          <w:tcPr>
            <w:tcW w:w="553" w:type="pct"/>
            <w:tcBorders>
              <w:top w:val="nil"/>
              <w:left w:val="nil"/>
              <w:bottom w:val="single" w:sz="4" w:space="0" w:color="auto"/>
              <w:right w:val="single" w:sz="4" w:space="0" w:color="auto"/>
            </w:tcBorders>
            <w:shd w:val="clear" w:color="000000" w:fill="FFFFFF"/>
            <w:noWrap/>
            <w:vAlign w:val="bottom"/>
            <w:hideMark/>
          </w:tcPr>
          <w:p w14:paraId="56125BE8"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1 512</w:t>
            </w:r>
          </w:p>
        </w:tc>
        <w:tc>
          <w:tcPr>
            <w:tcW w:w="553" w:type="pct"/>
            <w:tcBorders>
              <w:top w:val="nil"/>
              <w:left w:val="nil"/>
              <w:bottom w:val="single" w:sz="4" w:space="0" w:color="auto"/>
              <w:right w:val="single" w:sz="4" w:space="0" w:color="auto"/>
            </w:tcBorders>
            <w:shd w:val="clear" w:color="000000" w:fill="FFFFFF"/>
            <w:noWrap/>
            <w:vAlign w:val="bottom"/>
            <w:hideMark/>
          </w:tcPr>
          <w:p w14:paraId="195CB37E"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1 532</w:t>
            </w:r>
          </w:p>
        </w:tc>
        <w:tc>
          <w:tcPr>
            <w:tcW w:w="553" w:type="pct"/>
            <w:tcBorders>
              <w:top w:val="nil"/>
              <w:left w:val="nil"/>
              <w:bottom w:val="single" w:sz="4" w:space="0" w:color="auto"/>
              <w:right w:val="single" w:sz="4" w:space="0" w:color="auto"/>
            </w:tcBorders>
            <w:shd w:val="clear" w:color="000000" w:fill="FFFFFF"/>
            <w:noWrap/>
            <w:vAlign w:val="bottom"/>
            <w:hideMark/>
          </w:tcPr>
          <w:p w14:paraId="145EA4F2"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1 484</w:t>
            </w:r>
          </w:p>
        </w:tc>
        <w:tc>
          <w:tcPr>
            <w:tcW w:w="554" w:type="pct"/>
            <w:tcBorders>
              <w:top w:val="nil"/>
              <w:left w:val="nil"/>
              <w:bottom w:val="single" w:sz="4" w:space="0" w:color="auto"/>
              <w:right w:val="single" w:sz="4" w:space="0" w:color="auto"/>
            </w:tcBorders>
            <w:shd w:val="clear" w:color="000000" w:fill="FFFFFF"/>
            <w:noWrap/>
            <w:vAlign w:val="bottom"/>
            <w:hideMark/>
          </w:tcPr>
          <w:p w14:paraId="0DEA85EC"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1 416</w:t>
            </w:r>
          </w:p>
        </w:tc>
        <w:tc>
          <w:tcPr>
            <w:tcW w:w="554" w:type="pct"/>
            <w:tcBorders>
              <w:top w:val="nil"/>
              <w:left w:val="nil"/>
              <w:bottom w:val="single" w:sz="4" w:space="0" w:color="auto"/>
              <w:right w:val="single" w:sz="8" w:space="0" w:color="auto"/>
            </w:tcBorders>
            <w:shd w:val="clear" w:color="000000" w:fill="FFFFFF"/>
            <w:noWrap/>
            <w:vAlign w:val="bottom"/>
            <w:hideMark/>
          </w:tcPr>
          <w:p w14:paraId="79207670"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1 555</w:t>
            </w:r>
          </w:p>
        </w:tc>
      </w:tr>
      <w:tr w:rsidR="00C425F2" w:rsidRPr="00E7138D" w14:paraId="1F883C00" w14:textId="77777777" w:rsidTr="009D2DF2">
        <w:trPr>
          <w:trHeight w:val="23"/>
        </w:trPr>
        <w:tc>
          <w:tcPr>
            <w:tcW w:w="1125" w:type="pct"/>
            <w:tcBorders>
              <w:top w:val="nil"/>
              <w:left w:val="single" w:sz="8" w:space="0" w:color="auto"/>
              <w:bottom w:val="single" w:sz="4" w:space="0" w:color="auto"/>
              <w:right w:val="single" w:sz="4" w:space="0" w:color="auto"/>
            </w:tcBorders>
            <w:shd w:val="clear" w:color="000000" w:fill="FFFFFF"/>
            <w:noWrap/>
            <w:vAlign w:val="bottom"/>
            <w:hideMark/>
          </w:tcPr>
          <w:p w14:paraId="7B5135BF" w14:textId="77777777" w:rsidR="00D55F31" w:rsidRPr="00E7138D" w:rsidRDefault="0024693B" w:rsidP="0002290A">
            <w:pPr>
              <w:rPr>
                <w:rFonts w:ascii="Calibri" w:hAnsi="Calibri" w:cs="Calibri"/>
                <w:sz w:val="20"/>
                <w:szCs w:val="20"/>
              </w:rPr>
            </w:pPr>
            <w:r w:rsidRPr="00E7138D">
              <w:rPr>
                <w:rFonts w:ascii="Calibri" w:hAnsi="Calibri" w:cs="Calibri"/>
                <w:sz w:val="20"/>
                <w:szCs w:val="20"/>
              </w:rPr>
              <w:t>XXVII/6 děti nad 11 let</w:t>
            </w:r>
          </w:p>
        </w:tc>
        <w:tc>
          <w:tcPr>
            <w:tcW w:w="553" w:type="pct"/>
            <w:tcBorders>
              <w:top w:val="nil"/>
              <w:left w:val="nil"/>
              <w:bottom w:val="single" w:sz="4" w:space="0" w:color="auto"/>
              <w:right w:val="single" w:sz="4" w:space="0" w:color="auto"/>
            </w:tcBorders>
            <w:shd w:val="clear" w:color="000000" w:fill="FFFFFF"/>
            <w:noWrap/>
            <w:vAlign w:val="bottom"/>
            <w:hideMark/>
          </w:tcPr>
          <w:p w14:paraId="7587ED79"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1 437</w:t>
            </w:r>
          </w:p>
        </w:tc>
        <w:tc>
          <w:tcPr>
            <w:tcW w:w="553" w:type="pct"/>
            <w:tcBorders>
              <w:top w:val="nil"/>
              <w:left w:val="nil"/>
              <w:bottom w:val="single" w:sz="4" w:space="0" w:color="auto"/>
              <w:right w:val="single" w:sz="4" w:space="0" w:color="auto"/>
            </w:tcBorders>
            <w:shd w:val="clear" w:color="000000" w:fill="FFFFFF"/>
            <w:noWrap/>
            <w:vAlign w:val="bottom"/>
            <w:hideMark/>
          </w:tcPr>
          <w:p w14:paraId="7AAE3C5B"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1 430</w:t>
            </w:r>
          </w:p>
        </w:tc>
        <w:tc>
          <w:tcPr>
            <w:tcW w:w="553" w:type="pct"/>
            <w:tcBorders>
              <w:top w:val="nil"/>
              <w:left w:val="nil"/>
              <w:bottom w:val="single" w:sz="4" w:space="0" w:color="auto"/>
              <w:right w:val="single" w:sz="4" w:space="0" w:color="auto"/>
            </w:tcBorders>
            <w:shd w:val="clear" w:color="000000" w:fill="FFFFFF"/>
            <w:noWrap/>
            <w:vAlign w:val="bottom"/>
            <w:hideMark/>
          </w:tcPr>
          <w:p w14:paraId="094E6393"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1 530</w:t>
            </w:r>
          </w:p>
        </w:tc>
        <w:tc>
          <w:tcPr>
            <w:tcW w:w="553" w:type="pct"/>
            <w:tcBorders>
              <w:top w:val="nil"/>
              <w:left w:val="nil"/>
              <w:bottom w:val="single" w:sz="4" w:space="0" w:color="auto"/>
              <w:right w:val="single" w:sz="4" w:space="0" w:color="auto"/>
            </w:tcBorders>
            <w:shd w:val="clear" w:color="000000" w:fill="FFFFFF"/>
            <w:noWrap/>
            <w:vAlign w:val="bottom"/>
            <w:hideMark/>
          </w:tcPr>
          <w:p w14:paraId="1F4EC344"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1 556</w:t>
            </w:r>
          </w:p>
        </w:tc>
        <w:tc>
          <w:tcPr>
            <w:tcW w:w="553" w:type="pct"/>
            <w:tcBorders>
              <w:top w:val="nil"/>
              <w:left w:val="nil"/>
              <w:bottom w:val="single" w:sz="4" w:space="0" w:color="auto"/>
              <w:right w:val="single" w:sz="4" w:space="0" w:color="auto"/>
            </w:tcBorders>
            <w:shd w:val="clear" w:color="000000" w:fill="FFFFFF"/>
            <w:noWrap/>
            <w:vAlign w:val="bottom"/>
            <w:hideMark/>
          </w:tcPr>
          <w:p w14:paraId="2BA5B868"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1 502</w:t>
            </w:r>
          </w:p>
        </w:tc>
        <w:tc>
          <w:tcPr>
            <w:tcW w:w="554" w:type="pct"/>
            <w:tcBorders>
              <w:top w:val="nil"/>
              <w:left w:val="nil"/>
              <w:bottom w:val="single" w:sz="4" w:space="0" w:color="auto"/>
              <w:right w:val="single" w:sz="4" w:space="0" w:color="auto"/>
            </w:tcBorders>
            <w:shd w:val="clear" w:color="000000" w:fill="FFFFFF"/>
            <w:noWrap/>
            <w:vAlign w:val="bottom"/>
            <w:hideMark/>
          </w:tcPr>
          <w:p w14:paraId="0FA04A2C"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1 434</w:t>
            </w:r>
          </w:p>
        </w:tc>
        <w:tc>
          <w:tcPr>
            <w:tcW w:w="554" w:type="pct"/>
            <w:tcBorders>
              <w:top w:val="nil"/>
              <w:left w:val="nil"/>
              <w:bottom w:val="single" w:sz="4" w:space="0" w:color="auto"/>
              <w:right w:val="single" w:sz="8" w:space="0" w:color="auto"/>
            </w:tcBorders>
            <w:shd w:val="clear" w:color="000000" w:fill="FFFFFF"/>
            <w:noWrap/>
            <w:vAlign w:val="bottom"/>
            <w:hideMark/>
          </w:tcPr>
          <w:p w14:paraId="134A2C0A"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1 573</w:t>
            </w:r>
          </w:p>
        </w:tc>
      </w:tr>
      <w:tr w:rsidR="00C425F2" w:rsidRPr="00E7138D" w14:paraId="1E775732" w14:textId="77777777" w:rsidTr="009D2DF2">
        <w:trPr>
          <w:trHeight w:val="23"/>
        </w:trPr>
        <w:tc>
          <w:tcPr>
            <w:tcW w:w="1125" w:type="pct"/>
            <w:tcBorders>
              <w:top w:val="nil"/>
              <w:left w:val="single" w:sz="8" w:space="0" w:color="auto"/>
              <w:bottom w:val="single" w:sz="4" w:space="0" w:color="auto"/>
              <w:right w:val="single" w:sz="4" w:space="0" w:color="auto"/>
            </w:tcBorders>
            <w:shd w:val="clear" w:color="000000" w:fill="FFFFFF"/>
            <w:noWrap/>
            <w:vAlign w:val="bottom"/>
            <w:hideMark/>
          </w:tcPr>
          <w:p w14:paraId="48728099" w14:textId="77777777" w:rsidR="00D55F31" w:rsidRPr="00E7138D" w:rsidRDefault="0024693B" w:rsidP="0002290A">
            <w:pPr>
              <w:rPr>
                <w:rFonts w:ascii="Calibri" w:hAnsi="Calibri" w:cs="Calibri"/>
                <w:sz w:val="20"/>
                <w:szCs w:val="20"/>
              </w:rPr>
            </w:pPr>
            <w:r w:rsidRPr="00E7138D">
              <w:rPr>
                <w:rFonts w:ascii="Calibri" w:hAnsi="Calibri" w:cs="Calibri"/>
                <w:sz w:val="20"/>
                <w:szCs w:val="20"/>
              </w:rPr>
              <w:t>XXVII/7</w:t>
            </w:r>
          </w:p>
        </w:tc>
        <w:tc>
          <w:tcPr>
            <w:tcW w:w="553" w:type="pct"/>
            <w:tcBorders>
              <w:top w:val="nil"/>
              <w:left w:val="nil"/>
              <w:bottom w:val="single" w:sz="4" w:space="0" w:color="auto"/>
              <w:right w:val="single" w:sz="4" w:space="0" w:color="auto"/>
            </w:tcBorders>
            <w:shd w:val="clear" w:color="000000" w:fill="FFFFFF"/>
            <w:noWrap/>
            <w:vAlign w:val="bottom"/>
            <w:hideMark/>
          </w:tcPr>
          <w:p w14:paraId="6BBC5B0D"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1 426</w:t>
            </w:r>
          </w:p>
        </w:tc>
        <w:tc>
          <w:tcPr>
            <w:tcW w:w="553" w:type="pct"/>
            <w:tcBorders>
              <w:top w:val="nil"/>
              <w:left w:val="nil"/>
              <w:bottom w:val="single" w:sz="4" w:space="0" w:color="auto"/>
              <w:right w:val="single" w:sz="4" w:space="0" w:color="auto"/>
            </w:tcBorders>
            <w:shd w:val="clear" w:color="000000" w:fill="FFFFFF"/>
            <w:noWrap/>
            <w:vAlign w:val="bottom"/>
            <w:hideMark/>
          </w:tcPr>
          <w:p w14:paraId="33FDEA06"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1 391</w:t>
            </w:r>
          </w:p>
        </w:tc>
        <w:tc>
          <w:tcPr>
            <w:tcW w:w="553" w:type="pct"/>
            <w:tcBorders>
              <w:top w:val="nil"/>
              <w:left w:val="nil"/>
              <w:bottom w:val="single" w:sz="4" w:space="0" w:color="auto"/>
              <w:right w:val="single" w:sz="4" w:space="0" w:color="auto"/>
            </w:tcBorders>
            <w:shd w:val="clear" w:color="000000" w:fill="FFFFFF"/>
            <w:noWrap/>
            <w:vAlign w:val="bottom"/>
            <w:hideMark/>
          </w:tcPr>
          <w:p w14:paraId="2F07BC07"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1 489</w:t>
            </w:r>
          </w:p>
        </w:tc>
        <w:tc>
          <w:tcPr>
            <w:tcW w:w="553" w:type="pct"/>
            <w:tcBorders>
              <w:top w:val="nil"/>
              <w:left w:val="nil"/>
              <w:bottom w:val="single" w:sz="4" w:space="0" w:color="auto"/>
              <w:right w:val="single" w:sz="4" w:space="0" w:color="auto"/>
            </w:tcBorders>
            <w:shd w:val="clear" w:color="000000" w:fill="FFFFFF"/>
            <w:noWrap/>
            <w:vAlign w:val="bottom"/>
            <w:hideMark/>
          </w:tcPr>
          <w:p w14:paraId="56C515D5"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1 539</w:t>
            </w:r>
          </w:p>
        </w:tc>
        <w:tc>
          <w:tcPr>
            <w:tcW w:w="553" w:type="pct"/>
            <w:tcBorders>
              <w:top w:val="nil"/>
              <w:left w:val="nil"/>
              <w:bottom w:val="single" w:sz="4" w:space="0" w:color="auto"/>
              <w:right w:val="single" w:sz="4" w:space="0" w:color="auto"/>
            </w:tcBorders>
            <w:shd w:val="clear" w:color="000000" w:fill="FFFFFF"/>
            <w:noWrap/>
            <w:vAlign w:val="bottom"/>
            <w:hideMark/>
          </w:tcPr>
          <w:p w14:paraId="61E37C8B"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1 484</w:t>
            </w:r>
          </w:p>
        </w:tc>
        <w:tc>
          <w:tcPr>
            <w:tcW w:w="554" w:type="pct"/>
            <w:tcBorders>
              <w:top w:val="nil"/>
              <w:left w:val="nil"/>
              <w:bottom w:val="single" w:sz="4" w:space="0" w:color="auto"/>
              <w:right w:val="single" w:sz="4" w:space="0" w:color="auto"/>
            </w:tcBorders>
            <w:shd w:val="clear" w:color="000000" w:fill="FFFFFF"/>
            <w:noWrap/>
            <w:vAlign w:val="bottom"/>
            <w:hideMark/>
          </w:tcPr>
          <w:p w14:paraId="6F2DDD79"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1 394</w:t>
            </w:r>
          </w:p>
        </w:tc>
        <w:tc>
          <w:tcPr>
            <w:tcW w:w="554" w:type="pct"/>
            <w:tcBorders>
              <w:top w:val="nil"/>
              <w:left w:val="nil"/>
              <w:bottom w:val="single" w:sz="4" w:space="0" w:color="auto"/>
              <w:right w:val="single" w:sz="8" w:space="0" w:color="auto"/>
            </w:tcBorders>
            <w:shd w:val="clear" w:color="000000" w:fill="FFFFFF"/>
            <w:noWrap/>
            <w:vAlign w:val="bottom"/>
            <w:hideMark/>
          </w:tcPr>
          <w:p w14:paraId="4D966A42"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1 533</w:t>
            </w:r>
          </w:p>
        </w:tc>
      </w:tr>
      <w:tr w:rsidR="00C425F2" w:rsidRPr="00E7138D" w14:paraId="2E990692" w14:textId="77777777" w:rsidTr="009D2DF2">
        <w:trPr>
          <w:trHeight w:val="23"/>
        </w:trPr>
        <w:tc>
          <w:tcPr>
            <w:tcW w:w="1125" w:type="pct"/>
            <w:tcBorders>
              <w:top w:val="nil"/>
              <w:left w:val="single" w:sz="8" w:space="0" w:color="auto"/>
              <w:bottom w:val="single" w:sz="8" w:space="0" w:color="auto"/>
              <w:right w:val="single" w:sz="4" w:space="0" w:color="auto"/>
            </w:tcBorders>
            <w:shd w:val="clear" w:color="000000" w:fill="FFFFFF"/>
            <w:noWrap/>
            <w:vAlign w:val="bottom"/>
            <w:hideMark/>
          </w:tcPr>
          <w:p w14:paraId="6358DE3F" w14:textId="77777777" w:rsidR="00D55F31" w:rsidRPr="00E7138D" w:rsidRDefault="0024693B" w:rsidP="0002290A">
            <w:pPr>
              <w:rPr>
                <w:rFonts w:ascii="Calibri" w:hAnsi="Calibri" w:cs="Calibri"/>
                <w:sz w:val="20"/>
                <w:szCs w:val="20"/>
              </w:rPr>
            </w:pPr>
            <w:r w:rsidRPr="00E7138D">
              <w:rPr>
                <w:rFonts w:ascii="Calibri" w:hAnsi="Calibri" w:cs="Calibri"/>
                <w:sz w:val="20"/>
                <w:szCs w:val="20"/>
              </w:rPr>
              <w:t>XXVII/7 děti nad 11 let</w:t>
            </w:r>
          </w:p>
        </w:tc>
        <w:tc>
          <w:tcPr>
            <w:tcW w:w="553" w:type="pct"/>
            <w:tcBorders>
              <w:top w:val="nil"/>
              <w:left w:val="nil"/>
              <w:bottom w:val="single" w:sz="8" w:space="0" w:color="auto"/>
              <w:right w:val="single" w:sz="4" w:space="0" w:color="auto"/>
            </w:tcBorders>
            <w:shd w:val="clear" w:color="000000" w:fill="FFFFFF"/>
            <w:noWrap/>
            <w:vAlign w:val="bottom"/>
            <w:hideMark/>
          </w:tcPr>
          <w:p w14:paraId="635302DB"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1 444</w:t>
            </w:r>
          </w:p>
        </w:tc>
        <w:tc>
          <w:tcPr>
            <w:tcW w:w="553" w:type="pct"/>
            <w:tcBorders>
              <w:top w:val="nil"/>
              <w:left w:val="nil"/>
              <w:bottom w:val="single" w:sz="8" w:space="0" w:color="auto"/>
              <w:right w:val="single" w:sz="4" w:space="0" w:color="auto"/>
            </w:tcBorders>
            <w:shd w:val="clear" w:color="000000" w:fill="FFFFFF"/>
            <w:noWrap/>
            <w:vAlign w:val="bottom"/>
            <w:hideMark/>
          </w:tcPr>
          <w:p w14:paraId="02A181F3"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1 408</w:t>
            </w:r>
          </w:p>
        </w:tc>
        <w:tc>
          <w:tcPr>
            <w:tcW w:w="553" w:type="pct"/>
            <w:tcBorders>
              <w:top w:val="nil"/>
              <w:left w:val="nil"/>
              <w:bottom w:val="single" w:sz="8" w:space="0" w:color="auto"/>
              <w:right w:val="single" w:sz="4" w:space="0" w:color="auto"/>
            </w:tcBorders>
            <w:shd w:val="clear" w:color="000000" w:fill="FFFFFF"/>
            <w:noWrap/>
            <w:vAlign w:val="bottom"/>
            <w:hideMark/>
          </w:tcPr>
          <w:p w14:paraId="0902FA75"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1 507</w:t>
            </w:r>
          </w:p>
        </w:tc>
        <w:tc>
          <w:tcPr>
            <w:tcW w:w="553" w:type="pct"/>
            <w:tcBorders>
              <w:top w:val="nil"/>
              <w:left w:val="nil"/>
              <w:bottom w:val="single" w:sz="8" w:space="0" w:color="auto"/>
              <w:right w:val="single" w:sz="4" w:space="0" w:color="auto"/>
            </w:tcBorders>
            <w:shd w:val="clear" w:color="000000" w:fill="FFFFFF"/>
            <w:noWrap/>
            <w:vAlign w:val="bottom"/>
            <w:hideMark/>
          </w:tcPr>
          <w:p w14:paraId="524F104E"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1 563</w:t>
            </w:r>
          </w:p>
        </w:tc>
        <w:tc>
          <w:tcPr>
            <w:tcW w:w="553" w:type="pct"/>
            <w:tcBorders>
              <w:top w:val="nil"/>
              <w:left w:val="nil"/>
              <w:bottom w:val="single" w:sz="8" w:space="0" w:color="auto"/>
              <w:right w:val="single" w:sz="4" w:space="0" w:color="auto"/>
            </w:tcBorders>
            <w:shd w:val="clear" w:color="000000" w:fill="FFFFFF"/>
            <w:noWrap/>
            <w:vAlign w:val="bottom"/>
            <w:hideMark/>
          </w:tcPr>
          <w:p w14:paraId="3E315AD7"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1 502</w:t>
            </w:r>
          </w:p>
        </w:tc>
        <w:tc>
          <w:tcPr>
            <w:tcW w:w="554" w:type="pct"/>
            <w:tcBorders>
              <w:top w:val="nil"/>
              <w:left w:val="nil"/>
              <w:bottom w:val="single" w:sz="8" w:space="0" w:color="auto"/>
              <w:right w:val="single" w:sz="4" w:space="0" w:color="auto"/>
            </w:tcBorders>
            <w:shd w:val="clear" w:color="000000" w:fill="FFFFFF"/>
            <w:noWrap/>
            <w:vAlign w:val="bottom"/>
            <w:hideMark/>
          </w:tcPr>
          <w:p w14:paraId="0676C4D9"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1 412</w:t>
            </w:r>
          </w:p>
        </w:tc>
        <w:tc>
          <w:tcPr>
            <w:tcW w:w="554" w:type="pct"/>
            <w:tcBorders>
              <w:top w:val="nil"/>
              <w:left w:val="nil"/>
              <w:bottom w:val="single" w:sz="8" w:space="0" w:color="auto"/>
              <w:right w:val="single" w:sz="8" w:space="0" w:color="auto"/>
            </w:tcBorders>
            <w:shd w:val="clear" w:color="000000" w:fill="FFFFFF"/>
            <w:noWrap/>
            <w:vAlign w:val="bottom"/>
            <w:hideMark/>
          </w:tcPr>
          <w:p w14:paraId="156A6B09" w14:textId="77777777" w:rsidR="00D55F31" w:rsidRPr="00E7138D" w:rsidRDefault="0024693B" w:rsidP="0002290A">
            <w:pPr>
              <w:jc w:val="right"/>
              <w:rPr>
                <w:rFonts w:ascii="Calibri" w:hAnsi="Calibri" w:cs="Calibri"/>
                <w:sz w:val="20"/>
                <w:szCs w:val="20"/>
              </w:rPr>
            </w:pPr>
            <w:r w:rsidRPr="00E7138D">
              <w:rPr>
                <w:rFonts w:ascii="Calibri" w:hAnsi="Calibri" w:cs="Calibri"/>
                <w:sz w:val="20"/>
                <w:szCs w:val="20"/>
              </w:rPr>
              <w:t>1 551</w:t>
            </w:r>
          </w:p>
        </w:tc>
      </w:tr>
    </w:tbl>
    <w:p w14:paraId="3F9DE1C3" w14:textId="77777777" w:rsidR="00747051" w:rsidRPr="00E7138D" w:rsidRDefault="0024693B" w:rsidP="00747051">
      <w:pPr>
        <w:tabs>
          <w:tab w:val="left" w:pos="284"/>
        </w:tabs>
        <w:jc w:val="both"/>
        <w:rPr>
          <w:rFonts w:ascii="Calibri" w:eastAsia="Calibri" w:hAnsi="Calibri" w:cs="Calibri"/>
          <w:b/>
        </w:rPr>
      </w:pPr>
      <w:r w:rsidRPr="00E7138D">
        <w:rPr>
          <w:rFonts w:ascii="Calibri" w:hAnsi="Calibri" w:cs="Calibri"/>
          <w:b/>
          <w:bCs/>
          <w:sz w:val="20"/>
          <w:szCs w:val="20"/>
          <w:lang w:eastAsia="cs-CZ"/>
        </w:rPr>
        <w:t xml:space="preserve">Zdroj: </w:t>
      </w:r>
      <w:r w:rsidRPr="00E7138D">
        <w:rPr>
          <w:rFonts w:ascii="Calibri" w:hAnsi="Calibri" w:cs="Calibri"/>
          <w:bCs/>
          <w:sz w:val="20"/>
          <w:szCs w:val="20"/>
          <w:lang w:eastAsia="cs-CZ"/>
        </w:rPr>
        <w:t>cenová ujednání se ZP pro rok 2015.</w:t>
      </w:r>
    </w:p>
    <w:p w14:paraId="26EABDB3" w14:textId="1E20189A" w:rsidR="00D55F31" w:rsidRPr="00E7138D" w:rsidRDefault="0024693B" w:rsidP="00E7138D">
      <w:pPr>
        <w:tabs>
          <w:tab w:val="right" w:pos="9072"/>
        </w:tabs>
        <w:spacing w:before="240"/>
        <w:ind w:left="1418" w:hanging="1418"/>
        <w:jc w:val="both"/>
        <w:rPr>
          <w:rFonts w:ascii="Calibri" w:eastAsia="Calibri" w:hAnsi="Calibri" w:cs="Calibri"/>
          <w:b/>
        </w:rPr>
      </w:pPr>
      <w:r w:rsidRPr="00E7138D">
        <w:rPr>
          <w:rFonts w:ascii="Calibri" w:eastAsia="Calibri" w:hAnsi="Calibri" w:cs="Calibri"/>
          <w:b/>
        </w:rPr>
        <w:t xml:space="preserve">Tabulka č. 3 </w:t>
      </w:r>
      <w:r w:rsidR="000C7B00">
        <w:rPr>
          <w:rFonts w:ascii="Calibri" w:eastAsia="Calibri" w:hAnsi="Calibri" w:cs="Calibri"/>
          <w:b/>
        </w:rPr>
        <w:t>–</w:t>
      </w:r>
      <w:r w:rsidR="00E7138D">
        <w:rPr>
          <w:rFonts w:ascii="Calibri" w:eastAsia="Calibri" w:hAnsi="Calibri" w:cs="Calibri"/>
          <w:b/>
        </w:rPr>
        <w:tab/>
      </w:r>
      <w:r w:rsidRPr="00E7138D">
        <w:rPr>
          <w:rFonts w:ascii="Calibri" w:eastAsia="Calibri" w:hAnsi="Calibri" w:cs="Calibri"/>
          <w:b/>
        </w:rPr>
        <w:t xml:space="preserve">HL Karlova Studánka – sjednané ceny na rok 2015 se ZP pro shodné indikace za ošetřovací den (léčení, ubytování kategorie A, </w:t>
      </w:r>
      <w:proofErr w:type="gramStart"/>
      <w:r w:rsidRPr="00E7138D">
        <w:rPr>
          <w:rFonts w:ascii="Calibri" w:eastAsia="Calibri" w:hAnsi="Calibri" w:cs="Calibri"/>
          <w:b/>
        </w:rPr>
        <w:t>strava)</w:t>
      </w:r>
      <w:r w:rsidRPr="00E7138D">
        <w:rPr>
          <w:rFonts w:ascii="Calibri" w:eastAsia="Calibri" w:hAnsi="Calibri" w:cs="Calibri"/>
          <w:b/>
        </w:rPr>
        <w:tab/>
        <w:t>(v Kč</w:t>
      </w:r>
      <w:proofErr w:type="gramEnd"/>
      <w:r w:rsidRPr="00E7138D">
        <w:rPr>
          <w:rFonts w:ascii="Calibri" w:eastAsia="Calibri" w:hAnsi="Calibri" w:cs="Calibri"/>
          <w:b/>
        </w:rPr>
        <w:t>)</w:t>
      </w: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881"/>
        <w:gridCol w:w="1024"/>
        <w:gridCol w:w="1024"/>
        <w:gridCol w:w="1025"/>
        <w:gridCol w:w="1025"/>
        <w:gridCol w:w="1025"/>
        <w:gridCol w:w="1025"/>
        <w:gridCol w:w="1013"/>
      </w:tblGrid>
      <w:tr w:rsidR="00C425F2" w:rsidRPr="00E7138D" w14:paraId="68FF5A89" w14:textId="77777777" w:rsidTr="009D2DF2">
        <w:trPr>
          <w:trHeight w:val="20"/>
        </w:trPr>
        <w:tc>
          <w:tcPr>
            <w:tcW w:w="1040" w:type="pct"/>
            <w:shd w:val="clear" w:color="000000" w:fill="C5D9F1"/>
            <w:noWrap/>
            <w:vAlign w:val="center"/>
            <w:hideMark/>
          </w:tcPr>
          <w:p w14:paraId="167C36ED" w14:textId="77777777" w:rsidR="00D55F31" w:rsidRPr="00E7138D" w:rsidRDefault="0024693B" w:rsidP="0002290A">
            <w:pPr>
              <w:jc w:val="center"/>
              <w:rPr>
                <w:rFonts w:ascii="Calibri" w:hAnsi="Calibri" w:cs="Calibri"/>
                <w:b/>
                <w:bCs/>
                <w:iCs/>
                <w:sz w:val="20"/>
                <w:szCs w:val="20"/>
              </w:rPr>
            </w:pPr>
            <w:r w:rsidRPr="00E7138D">
              <w:rPr>
                <w:rFonts w:ascii="Calibri" w:hAnsi="Calibri" w:cs="Calibri"/>
                <w:b/>
                <w:bCs/>
                <w:iCs/>
                <w:sz w:val="20"/>
                <w:szCs w:val="20"/>
              </w:rPr>
              <w:t>Indikace</w:t>
            </w:r>
          </w:p>
        </w:tc>
        <w:tc>
          <w:tcPr>
            <w:tcW w:w="566" w:type="pct"/>
            <w:shd w:val="clear" w:color="000000" w:fill="C5D9F1"/>
            <w:noWrap/>
            <w:vAlign w:val="bottom"/>
            <w:hideMark/>
          </w:tcPr>
          <w:p w14:paraId="3653CCBC" w14:textId="77777777" w:rsidR="00D55F31" w:rsidRPr="00E7138D" w:rsidRDefault="0024693B" w:rsidP="0002290A">
            <w:pPr>
              <w:jc w:val="center"/>
              <w:rPr>
                <w:rFonts w:ascii="Calibri" w:hAnsi="Calibri" w:cs="Calibri"/>
                <w:b/>
                <w:bCs/>
                <w:iCs/>
                <w:sz w:val="20"/>
                <w:szCs w:val="20"/>
              </w:rPr>
            </w:pPr>
            <w:r w:rsidRPr="00E7138D">
              <w:rPr>
                <w:rFonts w:ascii="Calibri" w:hAnsi="Calibri" w:cs="Calibri"/>
                <w:b/>
                <w:bCs/>
                <w:iCs/>
                <w:sz w:val="20"/>
                <w:szCs w:val="20"/>
              </w:rPr>
              <w:t>ZP1</w:t>
            </w:r>
          </w:p>
        </w:tc>
        <w:tc>
          <w:tcPr>
            <w:tcW w:w="566" w:type="pct"/>
            <w:shd w:val="clear" w:color="000000" w:fill="C5D9F1"/>
            <w:noWrap/>
            <w:vAlign w:val="bottom"/>
            <w:hideMark/>
          </w:tcPr>
          <w:p w14:paraId="47E20956" w14:textId="77777777" w:rsidR="00D55F31" w:rsidRPr="00E7138D" w:rsidRDefault="0024693B" w:rsidP="0002290A">
            <w:pPr>
              <w:jc w:val="center"/>
              <w:rPr>
                <w:rFonts w:ascii="Calibri" w:hAnsi="Calibri" w:cs="Calibri"/>
                <w:b/>
                <w:bCs/>
                <w:iCs/>
                <w:sz w:val="20"/>
                <w:szCs w:val="20"/>
              </w:rPr>
            </w:pPr>
            <w:r w:rsidRPr="00E7138D">
              <w:rPr>
                <w:rFonts w:ascii="Calibri" w:hAnsi="Calibri" w:cs="Calibri"/>
                <w:b/>
                <w:bCs/>
                <w:iCs/>
                <w:sz w:val="20"/>
                <w:szCs w:val="20"/>
              </w:rPr>
              <w:t>ZP2</w:t>
            </w:r>
          </w:p>
        </w:tc>
        <w:tc>
          <w:tcPr>
            <w:tcW w:w="567" w:type="pct"/>
            <w:shd w:val="clear" w:color="000000" w:fill="C5D9F1"/>
            <w:noWrap/>
            <w:vAlign w:val="bottom"/>
            <w:hideMark/>
          </w:tcPr>
          <w:p w14:paraId="458CF532" w14:textId="77777777" w:rsidR="00D55F31" w:rsidRPr="00E7138D" w:rsidRDefault="0024693B" w:rsidP="0002290A">
            <w:pPr>
              <w:jc w:val="center"/>
              <w:rPr>
                <w:rFonts w:ascii="Calibri" w:hAnsi="Calibri" w:cs="Calibri"/>
                <w:b/>
                <w:bCs/>
                <w:iCs/>
                <w:sz w:val="20"/>
                <w:szCs w:val="20"/>
              </w:rPr>
            </w:pPr>
            <w:r w:rsidRPr="00E7138D">
              <w:rPr>
                <w:rFonts w:ascii="Calibri" w:hAnsi="Calibri" w:cs="Calibri"/>
                <w:b/>
                <w:bCs/>
                <w:iCs/>
                <w:sz w:val="20"/>
                <w:szCs w:val="20"/>
              </w:rPr>
              <w:t>ZP3</w:t>
            </w:r>
          </w:p>
        </w:tc>
        <w:tc>
          <w:tcPr>
            <w:tcW w:w="567" w:type="pct"/>
            <w:shd w:val="clear" w:color="000000" w:fill="C5D9F1"/>
            <w:noWrap/>
            <w:vAlign w:val="bottom"/>
            <w:hideMark/>
          </w:tcPr>
          <w:p w14:paraId="4BA7478B" w14:textId="77777777" w:rsidR="00D55F31" w:rsidRPr="00E7138D" w:rsidRDefault="0024693B" w:rsidP="0002290A">
            <w:pPr>
              <w:jc w:val="center"/>
              <w:rPr>
                <w:rFonts w:ascii="Calibri" w:hAnsi="Calibri" w:cs="Calibri"/>
                <w:b/>
                <w:bCs/>
                <w:iCs/>
                <w:sz w:val="20"/>
                <w:szCs w:val="20"/>
              </w:rPr>
            </w:pPr>
            <w:r w:rsidRPr="00E7138D">
              <w:rPr>
                <w:rFonts w:ascii="Calibri" w:hAnsi="Calibri" w:cs="Calibri"/>
                <w:b/>
                <w:bCs/>
                <w:iCs/>
                <w:sz w:val="20"/>
                <w:szCs w:val="20"/>
              </w:rPr>
              <w:t>ZP4</w:t>
            </w:r>
          </w:p>
        </w:tc>
        <w:tc>
          <w:tcPr>
            <w:tcW w:w="567" w:type="pct"/>
            <w:shd w:val="clear" w:color="000000" w:fill="C5D9F1"/>
            <w:noWrap/>
            <w:vAlign w:val="bottom"/>
            <w:hideMark/>
          </w:tcPr>
          <w:p w14:paraId="6B708B2A" w14:textId="77777777" w:rsidR="00D55F31" w:rsidRPr="00E7138D" w:rsidRDefault="0024693B" w:rsidP="0002290A">
            <w:pPr>
              <w:jc w:val="center"/>
              <w:rPr>
                <w:rFonts w:ascii="Calibri" w:hAnsi="Calibri" w:cs="Calibri"/>
                <w:b/>
                <w:bCs/>
                <w:iCs/>
                <w:sz w:val="20"/>
                <w:szCs w:val="20"/>
              </w:rPr>
            </w:pPr>
            <w:r w:rsidRPr="00E7138D">
              <w:rPr>
                <w:rFonts w:ascii="Calibri" w:hAnsi="Calibri" w:cs="Calibri"/>
                <w:b/>
                <w:bCs/>
                <w:iCs/>
                <w:sz w:val="20"/>
                <w:szCs w:val="20"/>
              </w:rPr>
              <w:t>ZP5</w:t>
            </w:r>
          </w:p>
        </w:tc>
        <w:tc>
          <w:tcPr>
            <w:tcW w:w="567" w:type="pct"/>
            <w:shd w:val="clear" w:color="000000" w:fill="C5D9F1"/>
            <w:noWrap/>
            <w:vAlign w:val="bottom"/>
            <w:hideMark/>
          </w:tcPr>
          <w:p w14:paraId="5797CB22" w14:textId="77777777" w:rsidR="00D55F31" w:rsidRPr="00E7138D" w:rsidRDefault="0024693B" w:rsidP="0002290A">
            <w:pPr>
              <w:jc w:val="center"/>
              <w:rPr>
                <w:rFonts w:ascii="Calibri" w:hAnsi="Calibri" w:cs="Calibri"/>
                <w:b/>
                <w:bCs/>
                <w:iCs/>
                <w:sz w:val="20"/>
                <w:szCs w:val="20"/>
              </w:rPr>
            </w:pPr>
            <w:r w:rsidRPr="00E7138D">
              <w:rPr>
                <w:rFonts w:ascii="Calibri" w:hAnsi="Calibri" w:cs="Calibri"/>
                <w:b/>
                <w:bCs/>
                <w:iCs/>
                <w:sz w:val="20"/>
                <w:szCs w:val="20"/>
              </w:rPr>
              <w:t>ZP6</w:t>
            </w:r>
          </w:p>
        </w:tc>
        <w:tc>
          <w:tcPr>
            <w:tcW w:w="560" w:type="pct"/>
            <w:shd w:val="clear" w:color="000000" w:fill="C5D9F1"/>
            <w:noWrap/>
            <w:vAlign w:val="bottom"/>
            <w:hideMark/>
          </w:tcPr>
          <w:p w14:paraId="7558C15F" w14:textId="77777777" w:rsidR="00D55F31" w:rsidRPr="00E7138D" w:rsidRDefault="0024693B" w:rsidP="0002290A">
            <w:pPr>
              <w:jc w:val="center"/>
              <w:rPr>
                <w:rFonts w:ascii="Calibri" w:hAnsi="Calibri" w:cs="Calibri"/>
                <w:b/>
                <w:bCs/>
                <w:iCs/>
                <w:sz w:val="20"/>
                <w:szCs w:val="20"/>
              </w:rPr>
            </w:pPr>
            <w:r w:rsidRPr="00E7138D">
              <w:rPr>
                <w:rFonts w:ascii="Calibri" w:hAnsi="Calibri" w:cs="Calibri"/>
                <w:b/>
                <w:bCs/>
                <w:iCs/>
                <w:sz w:val="20"/>
                <w:szCs w:val="20"/>
              </w:rPr>
              <w:t>ZP7</w:t>
            </w:r>
          </w:p>
        </w:tc>
      </w:tr>
      <w:tr w:rsidR="00C425F2" w:rsidRPr="00E7138D" w14:paraId="2E5A5FDC" w14:textId="77777777" w:rsidTr="009D2DF2">
        <w:trPr>
          <w:trHeight w:val="20"/>
        </w:trPr>
        <w:tc>
          <w:tcPr>
            <w:tcW w:w="1040" w:type="pct"/>
            <w:shd w:val="clear" w:color="000000" w:fill="FFFFFF"/>
            <w:noWrap/>
            <w:vAlign w:val="center"/>
            <w:hideMark/>
          </w:tcPr>
          <w:p w14:paraId="274131E2" w14:textId="77777777" w:rsidR="00D55F31" w:rsidRPr="00E7138D" w:rsidRDefault="0024693B" w:rsidP="0002290A">
            <w:pPr>
              <w:rPr>
                <w:rFonts w:ascii="Calibri" w:hAnsi="Calibri" w:cs="Calibri"/>
                <w:bCs/>
                <w:sz w:val="20"/>
                <w:szCs w:val="20"/>
              </w:rPr>
            </w:pPr>
            <w:r w:rsidRPr="00E7138D">
              <w:rPr>
                <w:rFonts w:ascii="Calibri" w:hAnsi="Calibri" w:cs="Calibri"/>
                <w:bCs/>
                <w:sz w:val="20"/>
                <w:szCs w:val="20"/>
              </w:rPr>
              <w:t>IV/1</w:t>
            </w:r>
          </w:p>
        </w:tc>
        <w:tc>
          <w:tcPr>
            <w:tcW w:w="566" w:type="pct"/>
            <w:shd w:val="clear" w:color="000000" w:fill="FFFFFF"/>
            <w:noWrap/>
            <w:vAlign w:val="bottom"/>
            <w:hideMark/>
          </w:tcPr>
          <w:p w14:paraId="0B23651A"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1 103</w:t>
            </w:r>
          </w:p>
        </w:tc>
        <w:tc>
          <w:tcPr>
            <w:tcW w:w="566" w:type="pct"/>
            <w:shd w:val="clear" w:color="000000" w:fill="FFFFFF"/>
            <w:noWrap/>
            <w:vAlign w:val="bottom"/>
            <w:hideMark/>
          </w:tcPr>
          <w:p w14:paraId="67EA3A2F"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1 030</w:t>
            </w:r>
          </w:p>
        </w:tc>
        <w:tc>
          <w:tcPr>
            <w:tcW w:w="567" w:type="pct"/>
            <w:shd w:val="clear" w:color="000000" w:fill="FFFFFF"/>
            <w:noWrap/>
            <w:vAlign w:val="bottom"/>
            <w:hideMark/>
          </w:tcPr>
          <w:p w14:paraId="1FC70F91"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1 072</w:t>
            </w:r>
          </w:p>
        </w:tc>
        <w:tc>
          <w:tcPr>
            <w:tcW w:w="567" w:type="pct"/>
            <w:shd w:val="clear" w:color="000000" w:fill="FFFFFF"/>
            <w:noWrap/>
            <w:vAlign w:val="bottom"/>
            <w:hideMark/>
          </w:tcPr>
          <w:p w14:paraId="32ACF622"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1 059</w:t>
            </w:r>
          </w:p>
        </w:tc>
        <w:tc>
          <w:tcPr>
            <w:tcW w:w="567" w:type="pct"/>
            <w:shd w:val="clear" w:color="000000" w:fill="FFFFFF"/>
            <w:noWrap/>
            <w:vAlign w:val="bottom"/>
            <w:hideMark/>
          </w:tcPr>
          <w:p w14:paraId="306B42A1"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1 052</w:t>
            </w:r>
          </w:p>
        </w:tc>
        <w:tc>
          <w:tcPr>
            <w:tcW w:w="567" w:type="pct"/>
            <w:shd w:val="clear" w:color="000000" w:fill="FFFFFF"/>
            <w:noWrap/>
            <w:vAlign w:val="bottom"/>
            <w:hideMark/>
          </w:tcPr>
          <w:p w14:paraId="1DE7F0E2"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1 075</w:t>
            </w:r>
          </w:p>
        </w:tc>
        <w:tc>
          <w:tcPr>
            <w:tcW w:w="560" w:type="pct"/>
            <w:shd w:val="clear" w:color="000000" w:fill="FFFFFF"/>
            <w:noWrap/>
            <w:vAlign w:val="bottom"/>
            <w:hideMark/>
          </w:tcPr>
          <w:p w14:paraId="6610D222"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1 073</w:t>
            </w:r>
          </w:p>
        </w:tc>
      </w:tr>
      <w:tr w:rsidR="00C425F2" w:rsidRPr="00E7138D" w14:paraId="347602E6" w14:textId="77777777" w:rsidTr="009D2DF2">
        <w:trPr>
          <w:trHeight w:val="20"/>
        </w:trPr>
        <w:tc>
          <w:tcPr>
            <w:tcW w:w="1040" w:type="pct"/>
            <w:shd w:val="clear" w:color="000000" w:fill="FFFFFF"/>
            <w:noWrap/>
            <w:vAlign w:val="center"/>
            <w:hideMark/>
          </w:tcPr>
          <w:p w14:paraId="5C1C37EA" w14:textId="77777777" w:rsidR="00D55F31" w:rsidRPr="00E7138D" w:rsidRDefault="0024693B" w:rsidP="0002290A">
            <w:pPr>
              <w:rPr>
                <w:rFonts w:ascii="Calibri" w:hAnsi="Calibri" w:cs="Calibri"/>
                <w:bCs/>
                <w:sz w:val="20"/>
                <w:szCs w:val="20"/>
              </w:rPr>
            </w:pPr>
            <w:r w:rsidRPr="00E7138D">
              <w:rPr>
                <w:rFonts w:ascii="Calibri" w:hAnsi="Calibri" w:cs="Calibri"/>
                <w:bCs/>
                <w:sz w:val="20"/>
                <w:szCs w:val="20"/>
              </w:rPr>
              <w:t>VII/3</w:t>
            </w:r>
          </w:p>
        </w:tc>
        <w:tc>
          <w:tcPr>
            <w:tcW w:w="566" w:type="pct"/>
            <w:shd w:val="clear" w:color="000000" w:fill="FFFFFF"/>
            <w:noWrap/>
            <w:vAlign w:val="bottom"/>
            <w:hideMark/>
          </w:tcPr>
          <w:p w14:paraId="4199E04D" w14:textId="77777777" w:rsidR="00D55F31" w:rsidRPr="00E7138D" w:rsidRDefault="0024693B" w:rsidP="0002290A">
            <w:pPr>
              <w:rPr>
                <w:rFonts w:ascii="Calibri" w:hAnsi="Calibri" w:cs="Calibri"/>
                <w:bCs/>
                <w:sz w:val="20"/>
                <w:szCs w:val="20"/>
              </w:rPr>
            </w:pPr>
            <w:r w:rsidRPr="00E7138D">
              <w:rPr>
                <w:rFonts w:ascii="Calibri" w:hAnsi="Calibri" w:cs="Calibri"/>
                <w:bCs/>
                <w:sz w:val="20"/>
                <w:szCs w:val="20"/>
              </w:rPr>
              <w:t> </w:t>
            </w:r>
          </w:p>
        </w:tc>
        <w:tc>
          <w:tcPr>
            <w:tcW w:w="566" w:type="pct"/>
            <w:shd w:val="clear" w:color="000000" w:fill="FFFFFF"/>
            <w:noWrap/>
            <w:vAlign w:val="bottom"/>
            <w:hideMark/>
          </w:tcPr>
          <w:p w14:paraId="473ED113" w14:textId="77777777" w:rsidR="00D55F31" w:rsidRPr="00E7138D" w:rsidRDefault="0024693B" w:rsidP="0002290A">
            <w:pPr>
              <w:rPr>
                <w:rFonts w:ascii="Calibri" w:hAnsi="Calibri" w:cs="Calibri"/>
                <w:bCs/>
                <w:sz w:val="20"/>
                <w:szCs w:val="20"/>
              </w:rPr>
            </w:pPr>
            <w:r w:rsidRPr="00E7138D">
              <w:rPr>
                <w:rFonts w:ascii="Calibri" w:hAnsi="Calibri" w:cs="Calibri"/>
                <w:bCs/>
                <w:sz w:val="20"/>
                <w:szCs w:val="20"/>
              </w:rPr>
              <w:t> </w:t>
            </w:r>
          </w:p>
        </w:tc>
        <w:tc>
          <w:tcPr>
            <w:tcW w:w="567" w:type="pct"/>
            <w:shd w:val="clear" w:color="000000" w:fill="FFFFFF"/>
            <w:noWrap/>
            <w:vAlign w:val="bottom"/>
            <w:hideMark/>
          </w:tcPr>
          <w:p w14:paraId="4FE79D58"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1 082</w:t>
            </w:r>
          </w:p>
        </w:tc>
        <w:tc>
          <w:tcPr>
            <w:tcW w:w="567" w:type="pct"/>
            <w:shd w:val="clear" w:color="000000" w:fill="FFFFFF"/>
            <w:noWrap/>
            <w:vAlign w:val="bottom"/>
            <w:hideMark/>
          </w:tcPr>
          <w:p w14:paraId="038C11D6"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1 087</w:t>
            </w:r>
          </w:p>
        </w:tc>
        <w:tc>
          <w:tcPr>
            <w:tcW w:w="567" w:type="pct"/>
            <w:shd w:val="clear" w:color="000000" w:fill="FFFFFF"/>
            <w:noWrap/>
            <w:vAlign w:val="bottom"/>
            <w:hideMark/>
          </w:tcPr>
          <w:p w14:paraId="2F95028E"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1 092</w:t>
            </w:r>
          </w:p>
        </w:tc>
        <w:tc>
          <w:tcPr>
            <w:tcW w:w="567" w:type="pct"/>
            <w:shd w:val="clear" w:color="000000" w:fill="FFFFFF"/>
            <w:noWrap/>
            <w:vAlign w:val="bottom"/>
            <w:hideMark/>
          </w:tcPr>
          <w:p w14:paraId="028FC3D4"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1 085</w:t>
            </w:r>
          </w:p>
        </w:tc>
        <w:tc>
          <w:tcPr>
            <w:tcW w:w="560" w:type="pct"/>
            <w:shd w:val="clear" w:color="000000" w:fill="FFFFFF"/>
            <w:noWrap/>
            <w:vAlign w:val="bottom"/>
            <w:hideMark/>
          </w:tcPr>
          <w:p w14:paraId="60583F01"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1 080</w:t>
            </w:r>
          </w:p>
        </w:tc>
      </w:tr>
      <w:tr w:rsidR="00C425F2" w:rsidRPr="00E7138D" w14:paraId="0067961A" w14:textId="77777777" w:rsidTr="009D2DF2">
        <w:trPr>
          <w:trHeight w:val="20"/>
        </w:trPr>
        <w:tc>
          <w:tcPr>
            <w:tcW w:w="1040" w:type="pct"/>
            <w:shd w:val="clear" w:color="000000" w:fill="FFFFFF"/>
            <w:noWrap/>
            <w:vAlign w:val="center"/>
            <w:hideMark/>
          </w:tcPr>
          <w:p w14:paraId="2E5A13DD" w14:textId="77777777" w:rsidR="00D55F31" w:rsidRPr="00E7138D" w:rsidRDefault="0024693B" w:rsidP="0002290A">
            <w:pPr>
              <w:rPr>
                <w:rFonts w:ascii="Calibri" w:hAnsi="Calibri" w:cs="Calibri"/>
                <w:bCs/>
                <w:sz w:val="20"/>
                <w:szCs w:val="20"/>
              </w:rPr>
            </w:pPr>
            <w:r w:rsidRPr="00E7138D">
              <w:rPr>
                <w:rFonts w:ascii="Calibri" w:hAnsi="Calibri" w:cs="Calibri"/>
                <w:bCs/>
                <w:sz w:val="20"/>
                <w:szCs w:val="20"/>
              </w:rPr>
              <w:t>VII/6</w:t>
            </w:r>
          </w:p>
        </w:tc>
        <w:tc>
          <w:tcPr>
            <w:tcW w:w="566" w:type="pct"/>
            <w:shd w:val="clear" w:color="000000" w:fill="FFFFFF"/>
            <w:noWrap/>
            <w:vAlign w:val="bottom"/>
            <w:hideMark/>
          </w:tcPr>
          <w:p w14:paraId="50B8C4C0"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1 113</w:t>
            </w:r>
          </w:p>
        </w:tc>
        <w:tc>
          <w:tcPr>
            <w:tcW w:w="566" w:type="pct"/>
            <w:shd w:val="clear" w:color="000000" w:fill="FFFFFF"/>
            <w:noWrap/>
            <w:vAlign w:val="bottom"/>
            <w:hideMark/>
          </w:tcPr>
          <w:p w14:paraId="5B60CDD1" w14:textId="77777777" w:rsidR="00D55F31" w:rsidRPr="00E7138D" w:rsidRDefault="0024693B" w:rsidP="0002290A">
            <w:pPr>
              <w:rPr>
                <w:rFonts w:ascii="Calibri" w:hAnsi="Calibri" w:cs="Calibri"/>
                <w:bCs/>
                <w:sz w:val="20"/>
                <w:szCs w:val="20"/>
              </w:rPr>
            </w:pPr>
            <w:r w:rsidRPr="00E7138D">
              <w:rPr>
                <w:rFonts w:ascii="Calibri" w:hAnsi="Calibri" w:cs="Calibri"/>
                <w:bCs/>
                <w:sz w:val="20"/>
                <w:szCs w:val="20"/>
              </w:rPr>
              <w:t> </w:t>
            </w:r>
          </w:p>
        </w:tc>
        <w:tc>
          <w:tcPr>
            <w:tcW w:w="567" w:type="pct"/>
            <w:shd w:val="clear" w:color="000000" w:fill="FFFFFF"/>
            <w:noWrap/>
            <w:vAlign w:val="bottom"/>
            <w:hideMark/>
          </w:tcPr>
          <w:p w14:paraId="2BC4C37D"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1 082</w:t>
            </w:r>
          </w:p>
        </w:tc>
        <w:tc>
          <w:tcPr>
            <w:tcW w:w="567" w:type="pct"/>
            <w:shd w:val="clear" w:color="000000" w:fill="FFFFFF"/>
            <w:noWrap/>
            <w:vAlign w:val="bottom"/>
            <w:hideMark/>
          </w:tcPr>
          <w:p w14:paraId="368C4FDA"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1 087</w:t>
            </w:r>
          </w:p>
        </w:tc>
        <w:tc>
          <w:tcPr>
            <w:tcW w:w="567" w:type="pct"/>
            <w:shd w:val="clear" w:color="000000" w:fill="FFFFFF"/>
            <w:noWrap/>
            <w:vAlign w:val="bottom"/>
            <w:hideMark/>
          </w:tcPr>
          <w:p w14:paraId="3FE035F0"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1 091</w:t>
            </w:r>
          </w:p>
        </w:tc>
        <w:tc>
          <w:tcPr>
            <w:tcW w:w="567" w:type="pct"/>
            <w:shd w:val="clear" w:color="000000" w:fill="FFFFFF"/>
            <w:noWrap/>
            <w:vAlign w:val="bottom"/>
            <w:hideMark/>
          </w:tcPr>
          <w:p w14:paraId="17820691"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1 085</w:t>
            </w:r>
          </w:p>
        </w:tc>
        <w:tc>
          <w:tcPr>
            <w:tcW w:w="560" w:type="pct"/>
            <w:shd w:val="clear" w:color="000000" w:fill="FFFFFF"/>
            <w:noWrap/>
            <w:vAlign w:val="bottom"/>
            <w:hideMark/>
          </w:tcPr>
          <w:p w14:paraId="72429C00"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1 080</w:t>
            </w:r>
          </w:p>
        </w:tc>
      </w:tr>
      <w:tr w:rsidR="00C425F2" w:rsidRPr="00E7138D" w14:paraId="0D82A75A" w14:textId="77777777" w:rsidTr="009D2DF2">
        <w:trPr>
          <w:trHeight w:val="20"/>
        </w:trPr>
        <w:tc>
          <w:tcPr>
            <w:tcW w:w="1040" w:type="pct"/>
            <w:shd w:val="clear" w:color="000000" w:fill="FFFFFF"/>
            <w:noWrap/>
            <w:vAlign w:val="center"/>
            <w:hideMark/>
          </w:tcPr>
          <w:p w14:paraId="20F61EB7" w14:textId="77777777" w:rsidR="00D55F31" w:rsidRPr="00E7138D" w:rsidRDefault="0024693B" w:rsidP="0002290A">
            <w:pPr>
              <w:rPr>
                <w:rFonts w:ascii="Calibri" w:hAnsi="Calibri" w:cs="Calibri"/>
                <w:bCs/>
                <w:sz w:val="20"/>
                <w:szCs w:val="20"/>
              </w:rPr>
            </w:pPr>
            <w:r w:rsidRPr="00E7138D">
              <w:rPr>
                <w:rFonts w:ascii="Calibri" w:hAnsi="Calibri" w:cs="Calibri"/>
                <w:bCs/>
                <w:sz w:val="20"/>
                <w:szCs w:val="20"/>
              </w:rPr>
              <w:t>VII/7</w:t>
            </w:r>
          </w:p>
        </w:tc>
        <w:tc>
          <w:tcPr>
            <w:tcW w:w="566" w:type="pct"/>
            <w:shd w:val="clear" w:color="000000" w:fill="FFFFFF"/>
            <w:noWrap/>
            <w:vAlign w:val="bottom"/>
            <w:hideMark/>
          </w:tcPr>
          <w:p w14:paraId="1D051FF6"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1 113</w:t>
            </w:r>
          </w:p>
        </w:tc>
        <w:tc>
          <w:tcPr>
            <w:tcW w:w="566" w:type="pct"/>
            <w:shd w:val="clear" w:color="000000" w:fill="FFFFFF"/>
            <w:noWrap/>
            <w:vAlign w:val="bottom"/>
            <w:hideMark/>
          </w:tcPr>
          <w:p w14:paraId="68A7DB2F" w14:textId="77777777" w:rsidR="00D55F31" w:rsidRPr="00E7138D" w:rsidRDefault="0024693B" w:rsidP="0002290A">
            <w:pPr>
              <w:rPr>
                <w:rFonts w:ascii="Calibri" w:hAnsi="Calibri" w:cs="Calibri"/>
                <w:bCs/>
                <w:sz w:val="20"/>
                <w:szCs w:val="20"/>
              </w:rPr>
            </w:pPr>
            <w:r w:rsidRPr="00E7138D">
              <w:rPr>
                <w:rFonts w:ascii="Calibri" w:hAnsi="Calibri" w:cs="Calibri"/>
                <w:bCs/>
                <w:sz w:val="20"/>
                <w:szCs w:val="20"/>
              </w:rPr>
              <w:t> </w:t>
            </w:r>
          </w:p>
        </w:tc>
        <w:tc>
          <w:tcPr>
            <w:tcW w:w="567" w:type="pct"/>
            <w:shd w:val="clear" w:color="000000" w:fill="FFFFFF"/>
            <w:noWrap/>
            <w:vAlign w:val="bottom"/>
            <w:hideMark/>
          </w:tcPr>
          <w:p w14:paraId="0A908A78"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1 082</w:t>
            </w:r>
          </w:p>
        </w:tc>
        <w:tc>
          <w:tcPr>
            <w:tcW w:w="567" w:type="pct"/>
            <w:shd w:val="clear" w:color="000000" w:fill="FFFFFF"/>
            <w:noWrap/>
            <w:vAlign w:val="bottom"/>
            <w:hideMark/>
          </w:tcPr>
          <w:p w14:paraId="661CE2C0"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1 087</w:t>
            </w:r>
          </w:p>
        </w:tc>
        <w:tc>
          <w:tcPr>
            <w:tcW w:w="567" w:type="pct"/>
            <w:shd w:val="clear" w:color="000000" w:fill="FFFFFF"/>
            <w:noWrap/>
            <w:vAlign w:val="bottom"/>
            <w:hideMark/>
          </w:tcPr>
          <w:p w14:paraId="7D33D2B0"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1 091</w:t>
            </w:r>
          </w:p>
        </w:tc>
        <w:tc>
          <w:tcPr>
            <w:tcW w:w="567" w:type="pct"/>
            <w:shd w:val="clear" w:color="000000" w:fill="FFFFFF"/>
            <w:noWrap/>
            <w:vAlign w:val="bottom"/>
            <w:hideMark/>
          </w:tcPr>
          <w:p w14:paraId="48269C34"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1 085</w:t>
            </w:r>
          </w:p>
        </w:tc>
        <w:tc>
          <w:tcPr>
            <w:tcW w:w="560" w:type="pct"/>
            <w:shd w:val="clear" w:color="000000" w:fill="FFFFFF"/>
            <w:noWrap/>
            <w:vAlign w:val="bottom"/>
            <w:hideMark/>
          </w:tcPr>
          <w:p w14:paraId="0C4350E2"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1 080</w:t>
            </w:r>
          </w:p>
        </w:tc>
      </w:tr>
      <w:tr w:rsidR="00C425F2" w:rsidRPr="00E7138D" w14:paraId="6AFF2737" w14:textId="77777777" w:rsidTr="009D2DF2">
        <w:trPr>
          <w:trHeight w:val="20"/>
        </w:trPr>
        <w:tc>
          <w:tcPr>
            <w:tcW w:w="1040" w:type="pct"/>
            <w:shd w:val="clear" w:color="000000" w:fill="FFFFFF"/>
            <w:noWrap/>
            <w:vAlign w:val="center"/>
            <w:hideMark/>
          </w:tcPr>
          <w:p w14:paraId="685AD27A" w14:textId="77777777" w:rsidR="00D55F31" w:rsidRPr="00E7138D" w:rsidRDefault="0024693B" w:rsidP="0002290A">
            <w:pPr>
              <w:rPr>
                <w:rFonts w:ascii="Calibri" w:hAnsi="Calibri" w:cs="Calibri"/>
                <w:bCs/>
                <w:sz w:val="20"/>
                <w:szCs w:val="20"/>
              </w:rPr>
            </w:pPr>
            <w:r w:rsidRPr="00E7138D">
              <w:rPr>
                <w:rFonts w:ascii="Calibri" w:hAnsi="Calibri" w:cs="Calibri"/>
                <w:bCs/>
                <w:sz w:val="20"/>
                <w:szCs w:val="20"/>
              </w:rPr>
              <w:t>VII/8</w:t>
            </w:r>
          </w:p>
        </w:tc>
        <w:tc>
          <w:tcPr>
            <w:tcW w:w="566" w:type="pct"/>
            <w:shd w:val="clear" w:color="000000" w:fill="FFFFFF"/>
            <w:noWrap/>
            <w:vAlign w:val="bottom"/>
            <w:hideMark/>
          </w:tcPr>
          <w:p w14:paraId="7F4987A8"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1 113</w:t>
            </w:r>
          </w:p>
        </w:tc>
        <w:tc>
          <w:tcPr>
            <w:tcW w:w="566" w:type="pct"/>
            <w:shd w:val="clear" w:color="000000" w:fill="FFFFFF"/>
            <w:noWrap/>
            <w:vAlign w:val="bottom"/>
            <w:hideMark/>
          </w:tcPr>
          <w:p w14:paraId="42E6231B" w14:textId="77777777" w:rsidR="00D55F31" w:rsidRPr="00E7138D" w:rsidRDefault="0024693B" w:rsidP="0002290A">
            <w:pPr>
              <w:rPr>
                <w:rFonts w:ascii="Calibri" w:hAnsi="Calibri" w:cs="Calibri"/>
                <w:bCs/>
                <w:sz w:val="20"/>
                <w:szCs w:val="20"/>
              </w:rPr>
            </w:pPr>
            <w:r w:rsidRPr="00E7138D">
              <w:rPr>
                <w:rFonts w:ascii="Calibri" w:hAnsi="Calibri" w:cs="Calibri"/>
                <w:bCs/>
                <w:sz w:val="20"/>
                <w:szCs w:val="20"/>
              </w:rPr>
              <w:t> </w:t>
            </w:r>
          </w:p>
        </w:tc>
        <w:tc>
          <w:tcPr>
            <w:tcW w:w="567" w:type="pct"/>
            <w:shd w:val="clear" w:color="000000" w:fill="FFFFFF"/>
            <w:noWrap/>
            <w:vAlign w:val="bottom"/>
            <w:hideMark/>
          </w:tcPr>
          <w:p w14:paraId="11DD8C04"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1 082</w:t>
            </w:r>
          </w:p>
        </w:tc>
        <w:tc>
          <w:tcPr>
            <w:tcW w:w="567" w:type="pct"/>
            <w:shd w:val="clear" w:color="000000" w:fill="FFFFFF"/>
            <w:noWrap/>
            <w:vAlign w:val="bottom"/>
            <w:hideMark/>
          </w:tcPr>
          <w:p w14:paraId="7B513AAF"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1 087</w:t>
            </w:r>
          </w:p>
        </w:tc>
        <w:tc>
          <w:tcPr>
            <w:tcW w:w="567" w:type="pct"/>
            <w:shd w:val="clear" w:color="000000" w:fill="FFFFFF"/>
            <w:noWrap/>
            <w:vAlign w:val="bottom"/>
            <w:hideMark/>
          </w:tcPr>
          <w:p w14:paraId="7645457B"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1 091</w:t>
            </w:r>
          </w:p>
        </w:tc>
        <w:tc>
          <w:tcPr>
            <w:tcW w:w="567" w:type="pct"/>
            <w:shd w:val="clear" w:color="000000" w:fill="FFFFFF"/>
            <w:noWrap/>
            <w:vAlign w:val="bottom"/>
            <w:hideMark/>
          </w:tcPr>
          <w:p w14:paraId="5A876DE7"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1 085</w:t>
            </w:r>
          </w:p>
        </w:tc>
        <w:tc>
          <w:tcPr>
            <w:tcW w:w="560" w:type="pct"/>
            <w:shd w:val="clear" w:color="000000" w:fill="FFFFFF"/>
            <w:noWrap/>
            <w:vAlign w:val="bottom"/>
            <w:hideMark/>
          </w:tcPr>
          <w:p w14:paraId="18901841"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1 080</w:t>
            </w:r>
          </w:p>
        </w:tc>
      </w:tr>
      <w:tr w:rsidR="00C425F2" w:rsidRPr="00E7138D" w14:paraId="6BF0C1F1" w14:textId="77777777" w:rsidTr="009D2DF2">
        <w:trPr>
          <w:trHeight w:val="20"/>
        </w:trPr>
        <w:tc>
          <w:tcPr>
            <w:tcW w:w="1040" w:type="pct"/>
            <w:shd w:val="clear" w:color="000000" w:fill="FFFFFF"/>
            <w:noWrap/>
            <w:vAlign w:val="center"/>
            <w:hideMark/>
          </w:tcPr>
          <w:p w14:paraId="59904C42" w14:textId="77777777" w:rsidR="00D55F31" w:rsidRPr="00E7138D" w:rsidRDefault="0024693B" w:rsidP="0002290A">
            <w:pPr>
              <w:rPr>
                <w:rFonts w:ascii="Calibri" w:hAnsi="Calibri" w:cs="Calibri"/>
                <w:bCs/>
                <w:sz w:val="20"/>
                <w:szCs w:val="20"/>
              </w:rPr>
            </w:pPr>
            <w:r w:rsidRPr="00E7138D">
              <w:rPr>
                <w:rFonts w:ascii="Calibri" w:hAnsi="Calibri" w:cs="Calibri"/>
                <w:bCs/>
                <w:sz w:val="20"/>
                <w:szCs w:val="20"/>
              </w:rPr>
              <w:t>VII/9</w:t>
            </w:r>
          </w:p>
        </w:tc>
        <w:tc>
          <w:tcPr>
            <w:tcW w:w="566" w:type="pct"/>
            <w:shd w:val="clear" w:color="000000" w:fill="FFFFFF"/>
            <w:noWrap/>
            <w:vAlign w:val="bottom"/>
            <w:hideMark/>
          </w:tcPr>
          <w:p w14:paraId="0FCA73BE"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1 113</w:t>
            </w:r>
          </w:p>
        </w:tc>
        <w:tc>
          <w:tcPr>
            <w:tcW w:w="566" w:type="pct"/>
            <w:shd w:val="clear" w:color="000000" w:fill="FFFFFF"/>
            <w:noWrap/>
            <w:vAlign w:val="bottom"/>
            <w:hideMark/>
          </w:tcPr>
          <w:p w14:paraId="64C70BD9" w14:textId="77777777" w:rsidR="00D55F31" w:rsidRPr="00E7138D" w:rsidRDefault="0024693B" w:rsidP="0002290A">
            <w:pPr>
              <w:rPr>
                <w:rFonts w:ascii="Calibri" w:hAnsi="Calibri" w:cs="Calibri"/>
                <w:bCs/>
                <w:sz w:val="20"/>
                <w:szCs w:val="20"/>
              </w:rPr>
            </w:pPr>
            <w:r w:rsidRPr="00E7138D">
              <w:rPr>
                <w:rFonts w:ascii="Calibri" w:hAnsi="Calibri" w:cs="Calibri"/>
                <w:bCs/>
                <w:sz w:val="20"/>
                <w:szCs w:val="20"/>
              </w:rPr>
              <w:t> </w:t>
            </w:r>
          </w:p>
        </w:tc>
        <w:tc>
          <w:tcPr>
            <w:tcW w:w="567" w:type="pct"/>
            <w:shd w:val="clear" w:color="000000" w:fill="FFFFFF"/>
            <w:noWrap/>
            <w:vAlign w:val="bottom"/>
            <w:hideMark/>
          </w:tcPr>
          <w:p w14:paraId="431E7D24"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1 082</w:t>
            </w:r>
          </w:p>
        </w:tc>
        <w:tc>
          <w:tcPr>
            <w:tcW w:w="567" w:type="pct"/>
            <w:shd w:val="clear" w:color="000000" w:fill="FFFFFF"/>
            <w:noWrap/>
            <w:vAlign w:val="bottom"/>
            <w:hideMark/>
          </w:tcPr>
          <w:p w14:paraId="03B3AAD8"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1 087</w:t>
            </w:r>
          </w:p>
        </w:tc>
        <w:tc>
          <w:tcPr>
            <w:tcW w:w="567" w:type="pct"/>
            <w:shd w:val="clear" w:color="000000" w:fill="FFFFFF"/>
            <w:noWrap/>
            <w:vAlign w:val="bottom"/>
            <w:hideMark/>
          </w:tcPr>
          <w:p w14:paraId="1EADCF00"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1 091</w:t>
            </w:r>
          </w:p>
        </w:tc>
        <w:tc>
          <w:tcPr>
            <w:tcW w:w="567" w:type="pct"/>
            <w:shd w:val="clear" w:color="000000" w:fill="FFFFFF"/>
            <w:noWrap/>
            <w:vAlign w:val="bottom"/>
            <w:hideMark/>
          </w:tcPr>
          <w:p w14:paraId="0CEB0520"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1 085</w:t>
            </w:r>
          </w:p>
        </w:tc>
        <w:tc>
          <w:tcPr>
            <w:tcW w:w="560" w:type="pct"/>
            <w:shd w:val="clear" w:color="000000" w:fill="FFFFFF"/>
            <w:noWrap/>
            <w:vAlign w:val="bottom"/>
            <w:hideMark/>
          </w:tcPr>
          <w:p w14:paraId="2F305319"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1 080</w:t>
            </w:r>
          </w:p>
        </w:tc>
      </w:tr>
      <w:tr w:rsidR="00C425F2" w:rsidRPr="00E7138D" w14:paraId="240268BF" w14:textId="77777777" w:rsidTr="009D2DF2">
        <w:trPr>
          <w:trHeight w:val="20"/>
        </w:trPr>
        <w:tc>
          <w:tcPr>
            <w:tcW w:w="1040" w:type="pct"/>
            <w:shd w:val="clear" w:color="000000" w:fill="FFFFFF"/>
            <w:noWrap/>
            <w:vAlign w:val="center"/>
            <w:hideMark/>
          </w:tcPr>
          <w:p w14:paraId="0E4D2EEB" w14:textId="77777777" w:rsidR="00D55F31" w:rsidRPr="00E7138D" w:rsidRDefault="0024693B" w:rsidP="0002290A">
            <w:pPr>
              <w:rPr>
                <w:rFonts w:ascii="Calibri" w:hAnsi="Calibri" w:cs="Calibri"/>
                <w:bCs/>
                <w:sz w:val="20"/>
                <w:szCs w:val="20"/>
              </w:rPr>
            </w:pPr>
            <w:r w:rsidRPr="00E7138D">
              <w:rPr>
                <w:rFonts w:ascii="Calibri" w:hAnsi="Calibri" w:cs="Calibri"/>
                <w:bCs/>
                <w:sz w:val="20"/>
                <w:szCs w:val="20"/>
              </w:rPr>
              <w:t>VII/10</w:t>
            </w:r>
          </w:p>
        </w:tc>
        <w:tc>
          <w:tcPr>
            <w:tcW w:w="566" w:type="pct"/>
            <w:shd w:val="clear" w:color="000000" w:fill="FFFFFF"/>
            <w:noWrap/>
            <w:vAlign w:val="bottom"/>
            <w:hideMark/>
          </w:tcPr>
          <w:p w14:paraId="420DA44B"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1 113</w:t>
            </w:r>
          </w:p>
        </w:tc>
        <w:tc>
          <w:tcPr>
            <w:tcW w:w="566" w:type="pct"/>
            <w:shd w:val="clear" w:color="000000" w:fill="FFFFFF"/>
            <w:noWrap/>
            <w:vAlign w:val="bottom"/>
            <w:hideMark/>
          </w:tcPr>
          <w:p w14:paraId="2064B08F" w14:textId="77777777" w:rsidR="00D55F31" w:rsidRPr="00E7138D" w:rsidRDefault="0024693B" w:rsidP="0002290A">
            <w:pPr>
              <w:rPr>
                <w:rFonts w:ascii="Calibri" w:hAnsi="Calibri" w:cs="Calibri"/>
                <w:bCs/>
                <w:sz w:val="20"/>
                <w:szCs w:val="20"/>
              </w:rPr>
            </w:pPr>
            <w:r w:rsidRPr="00E7138D">
              <w:rPr>
                <w:rFonts w:ascii="Calibri" w:hAnsi="Calibri" w:cs="Calibri"/>
                <w:bCs/>
                <w:sz w:val="20"/>
                <w:szCs w:val="20"/>
              </w:rPr>
              <w:t> </w:t>
            </w:r>
          </w:p>
        </w:tc>
        <w:tc>
          <w:tcPr>
            <w:tcW w:w="567" w:type="pct"/>
            <w:shd w:val="clear" w:color="000000" w:fill="FFFFFF"/>
            <w:noWrap/>
            <w:vAlign w:val="bottom"/>
            <w:hideMark/>
          </w:tcPr>
          <w:p w14:paraId="51D61339"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1 082</w:t>
            </w:r>
          </w:p>
        </w:tc>
        <w:tc>
          <w:tcPr>
            <w:tcW w:w="567" w:type="pct"/>
            <w:shd w:val="clear" w:color="000000" w:fill="FFFFFF"/>
            <w:noWrap/>
            <w:vAlign w:val="bottom"/>
            <w:hideMark/>
          </w:tcPr>
          <w:p w14:paraId="1CAC512B"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1 087</w:t>
            </w:r>
          </w:p>
        </w:tc>
        <w:tc>
          <w:tcPr>
            <w:tcW w:w="567" w:type="pct"/>
            <w:shd w:val="clear" w:color="000000" w:fill="FFFFFF"/>
            <w:noWrap/>
            <w:vAlign w:val="bottom"/>
            <w:hideMark/>
          </w:tcPr>
          <w:p w14:paraId="19B2A1D6"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1 128</w:t>
            </w:r>
          </w:p>
        </w:tc>
        <w:tc>
          <w:tcPr>
            <w:tcW w:w="567" w:type="pct"/>
            <w:shd w:val="clear" w:color="000000" w:fill="FFFFFF"/>
            <w:noWrap/>
            <w:vAlign w:val="bottom"/>
            <w:hideMark/>
          </w:tcPr>
          <w:p w14:paraId="74F73F98"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1 085</w:t>
            </w:r>
          </w:p>
        </w:tc>
        <w:tc>
          <w:tcPr>
            <w:tcW w:w="560" w:type="pct"/>
            <w:shd w:val="clear" w:color="000000" w:fill="FFFFFF"/>
            <w:noWrap/>
            <w:vAlign w:val="bottom"/>
            <w:hideMark/>
          </w:tcPr>
          <w:p w14:paraId="4C4F948B"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1 080</w:t>
            </w:r>
          </w:p>
        </w:tc>
      </w:tr>
      <w:tr w:rsidR="00C425F2" w:rsidRPr="00E7138D" w14:paraId="197EFBE5" w14:textId="77777777" w:rsidTr="009D2DF2">
        <w:trPr>
          <w:trHeight w:val="20"/>
        </w:trPr>
        <w:tc>
          <w:tcPr>
            <w:tcW w:w="1040" w:type="pct"/>
            <w:shd w:val="clear" w:color="000000" w:fill="FFFFFF"/>
            <w:noWrap/>
            <w:vAlign w:val="center"/>
            <w:hideMark/>
          </w:tcPr>
          <w:p w14:paraId="0B792F79" w14:textId="77777777" w:rsidR="00D55F31" w:rsidRPr="00E7138D" w:rsidRDefault="0024693B" w:rsidP="0002290A">
            <w:pPr>
              <w:rPr>
                <w:rFonts w:ascii="Calibri" w:hAnsi="Calibri" w:cs="Calibri"/>
                <w:bCs/>
                <w:sz w:val="20"/>
                <w:szCs w:val="20"/>
              </w:rPr>
            </w:pPr>
            <w:r w:rsidRPr="00E7138D">
              <w:rPr>
                <w:rFonts w:ascii="Calibri" w:hAnsi="Calibri" w:cs="Calibri"/>
                <w:bCs/>
                <w:sz w:val="20"/>
                <w:szCs w:val="20"/>
              </w:rPr>
              <w:t>VII/11</w:t>
            </w:r>
          </w:p>
        </w:tc>
        <w:tc>
          <w:tcPr>
            <w:tcW w:w="566" w:type="pct"/>
            <w:shd w:val="clear" w:color="000000" w:fill="FFFFFF"/>
            <w:noWrap/>
            <w:vAlign w:val="bottom"/>
            <w:hideMark/>
          </w:tcPr>
          <w:p w14:paraId="431EDE64" w14:textId="77777777" w:rsidR="00D55F31" w:rsidRPr="00E7138D" w:rsidRDefault="0024693B" w:rsidP="0002290A">
            <w:pPr>
              <w:rPr>
                <w:rFonts w:ascii="Calibri" w:hAnsi="Calibri" w:cs="Calibri"/>
                <w:bCs/>
                <w:sz w:val="20"/>
                <w:szCs w:val="20"/>
              </w:rPr>
            </w:pPr>
            <w:r w:rsidRPr="00E7138D">
              <w:rPr>
                <w:rFonts w:ascii="Calibri" w:hAnsi="Calibri" w:cs="Calibri"/>
                <w:bCs/>
                <w:sz w:val="20"/>
                <w:szCs w:val="20"/>
              </w:rPr>
              <w:t> </w:t>
            </w:r>
          </w:p>
        </w:tc>
        <w:tc>
          <w:tcPr>
            <w:tcW w:w="566" w:type="pct"/>
            <w:shd w:val="clear" w:color="000000" w:fill="FFFFFF"/>
            <w:noWrap/>
            <w:vAlign w:val="bottom"/>
            <w:hideMark/>
          </w:tcPr>
          <w:p w14:paraId="12468D54" w14:textId="77777777" w:rsidR="00D55F31" w:rsidRPr="00E7138D" w:rsidRDefault="0024693B" w:rsidP="0002290A">
            <w:pPr>
              <w:rPr>
                <w:rFonts w:ascii="Calibri" w:hAnsi="Calibri" w:cs="Calibri"/>
                <w:bCs/>
                <w:sz w:val="20"/>
                <w:szCs w:val="20"/>
              </w:rPr>
            </w:pPr>
            <w:r w:rsidRPr="00E7138D">
              <w:rPr>
                <w:rFonts w:ascii="Calibri" w:hAnsi="Calibri" w:cs="Calibri"/>
                <w:bCs/>
                <w:sz w:val="20"/>
                <w:szCs w:val="20"/>
              </w:rPr>
              <w:t> </w:t>
            </w:r>
          </w:p>
        </w:tc>
        <w:tc>
          <w:tcPr>
            <w:tcW w:w="567" w:type="pct"/>
            <w:shd w:val="clear" w:color="000000" w:fill="FFFFFF"/>
            <w:noWrap/>
            <w:vAlign w:val="bottom"/>
            <w:hideMark/>
          </w:tcPr>
          <w:p w14:paraId="37A891AE"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1 082</w:t>
            </w:r>
          </w:p>
        </w:tc>
        <w:tc>
          <w:tcPr>
            <w:tcW w:w="567" w:type="pct"/>
            <w:shd w:val="clear" w:color="000000" w:fill="FFFFFF"/>
            <w:noWrap/>
            <w:vAlign w:val="bottom"/>
            <w:hideMark/>
          </w:tcPr>
          <w:p w14:paraId="58E98299"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1 087</w:t>
            </w:r>
          </w:p>
        </w:tc>
        <w:tc>
          <w:tcPr>
            <w:tcW w:w="567" w:type="pct"/>
            <w:shd w:val="clear" w:color="000000" w:fill="FFFFFF"/>
            <w:noWrap/>
            <w:vAlign w:val="bottom"/>
            <w:hideMark/>
          </w:tcPr>
          <w:p w14:paraId="1143FEE0"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1 128</w:t>
            </w:r>
          </w:p>
        </w:tc>
        <w:tc>
          <w:tcPr>
            <w:tcW w:w="567" w:type="pct"/>
            <w:shd w:val="clear" w:color="000000" w:fill="FFFFFF"/>
            <w:noWrap/>
            <w:vAlign w:val="bottom"/>
            <w:hideMark/>
          </w:tcPr>
          <w:p w14:paraId="7895A24D"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1 085</w:t>
            </w:r>
          </w:p>
        </w:tc>
        <w:tc>
          <w:tcPr>
            <w:tcW w:w="560" w:type="pct"/>
            <w:shd w:val="clear" w:color="000000" w:fill="FFFFFF"/>
            <w:noWrap/>
            <w:vAlign w:val="bottom"/>
            <w:hideMark/>
          </w:tcPr>
          <w:p w14:paraId="1F805664" w14:textId="77777777" w:rsidR="00D55F31" w:rsidRPr="00E7138D" w:rsidRDefault="0024693B" w:rsidP="0002290A">
            <w:pPr>
              <w:jc w:val="right"/>
              <w:rPr>
                <w:rFonts w:ascii="Calibri" w:hAnsi="Calibri" w:cs="Calibri"/>
                <w:bCs/>
                <w:sz w:val="20"/>
                <w:szCs w:val="20"/>
              </w:rPr>
            </w:pPr>
            <w:r w:rsidRPr="00E7138D">
              <w:rPr>
                <w:rFonts w:ascii="Calibri" w:hAnsi="Calibri" w:cs="Calibri"/>
                <w:bCs/>
                <w:sz w:val="20"/>
                <w:szCs w:val="20"/>
              </w:rPr>
              <w:t>1 080</w:t>
            </w:r>
          </w:p>
        </w:tc>
      </w:tr>
    </w:tbl>
    <w:p w14:paraId="37923132" w14:textId="77777777" w:rsidR="00D55F31" w:rsidRPr="00E7138D" w:rsidRDefault="0024693B" w:rsidP="009D2DF2">
      <w:pPr>
        <w:tabs>
          <w:tab w:val="left" w:pos="284"/>
        </w:tabs>
        <w:jc w:val="both"/>
        <w:rPr>
          <w:rFonts w:ascii="Calibri" w:hAnsi="Calibri" w:cs="Calibri"/>
          <w:bCs/>
          <w:sz w:val="20"/>
          <w:szCs w:val="20"/>
          <w:lang w:eastAsia="cs-CZ"/>
        </w:rPr>
      </w:pPr>
      <w:r w:rsidRPr="00E7138D">
        <w:rPr>
          <w:rFonts w:ascii="Calibri" w:hAnsi="Calibri" w:cs="Calibri"/>
          <w:b/>
          <w:bCs/>
          <w:sz w:val="20"/>
          <w:szCs w:val="20"/>
          <w:lang w:eastAsia="cs-CZ"/>
        </w:rPr>
        <w:t xml:space="preserve">Zdroj: </w:t>
      </w:r>
      <w:r w:rsidRPr="00E7138D">
        <w:rPr>
          <w:rFonts w:ascii="Calibri" w:hAnsi="Calibri" w:cs="Calibri"/>
          <w:bCs/>
          <w:sz w:val="20"/>
          <w:szCs w:val="20"/>
          <w:lang w:eastAsia="cs-CZ"/>
        </w:rPr>
        <w:t>cenová ujednání se ZP pro rok 2015.</w:t>
      </w:r>
    </w:p>
    <w:sectPr w:rsidR="00D55F31" w:rsidRPr="00E7138D" w:rsidSect="00D55F3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97E9E" w14:textId="77777777" w:rsidR="009764C9" w:rsidRDefault="009764C9">
      <w:r>
        <w:separator/>
      </w:r>
    </w:p>
  </w:endnote>
  <w:endnote w:type="continuationSeparator" w:id="0">
    <w:p w14:paraId="07A34B18" w14:textId="77777777" w:rsidR="009764C9" w:rsidRDefault="00976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E obyeejné">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C3780" w14:textId="77777777" w:rsidR="009764C9" w:rsidRDefault="009764C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w:t>
    </w:r>
    <w:r>
      <w:rPr>
        <w:rStyle w:val="slostrnky"/>
      </w:rPr>
      <w:fldChar w:fldCharType="end"/>
    </w:r>
  </w:p>
  <w:p w14:paraId="1E8A0A76" w14:textId="77777777" w:rsidR="009764C9" w:rsidRDefault="009764C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721478"/>
      <w:docPartObj>
        <w:docPartGallery w:val="Page Numbers (Bottom of Page)"/>
        <w:docPartUnique/>
      </w:docPartObj>
    </w:sdtPr>
    <w:sdtEndPr>
      <w:rPr>
        <w:rFonts w:ascii="Calibri" w:hAnsi="Calibri" w:cs="Calibri"/>
      </w:rPr>
    </w:sdtEndPr>
    <w:sdtContent>
      <w:p w14:paraId="51B2B2CB" w14:textId="77777777" w:rsidR="009764C9" w:rsidRPr="00983CF4" w:rsidRDefault="009764C9" w:rsidP="00983CF4">
        <w:pPr>
          <w:pStyle w:val="Zpat"/>
          <w:jc w:val="center"/>
          <w:rPr>
            <w:rFonts w:ascii="Calibri" w:hAnsi="Calibri" w:cs="Calibri"/>
          </w:rPr>
        </w:pPr>
        <w:r w:rsidRPr="00983CF4">
          <w:rPr>
            <w:rFonts w:ascii="Calibri" w:hAnsi="Calibri" w:cs="Calibri"/>
          </w:rPr>
          <w:fldChar w:fldCharType="begin"/>
        </w:r>
        <w:r w:rsidRPr="00983CF4">
          <w:rPr>
            <w:rFonts w:ascii="Calibri" w:hAnsi="Calibri" w:cs="Calibri"/>
          </w:rPr>
          <w:instrText>PAGE   \* MERGEFORMAT</w:instrText>
        </w:r>
        <w:r w:rsidRPr="00983CF4">
          <w:rPr>
            <w:rFonts w:ascii="Calibri" w:hAnsi="Calibri" w:cs="Calibri"/>
          </w:rPr>
          <w:fldChar w:fldCharType="separate"/>
        </w:r>
        <w:r w:rsidR="00B443A7">
          <w:rPr>
            <w:rFonts w:ascii="Calibri" w:hAnsi="Calibri" w:cs="Calibri"/>
            <w:noProof/>
          </w:rPr>
          <w:t>10</w:t>
        </w:r>
        <w:r w:rsidRPr="00983CF4">
          <w:rPr>
            <w:rFonts w:ascii="Calibri" w:hAnsi="Calibri" w:cs="Calibri"/>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73E43" w14:textId="77777777" w:rsidR="00B443A7" w:rsidRDefault="00B443A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5A13A" w14:textId="77777777" w:rsidR="009764C9" w:rsidRDefault="009764C9">
      <w:r>
        <w:separator/>
      </w:r>
    </w:p>
  </w:footnote>
  <w:footnote w:type="continuationSeparator" w:id="0">
    <w:p w14:paraId="63C7BF71" w14:textId="77777777" w:rsidR="009764C9" w:rsidRDefault="009764C9">
      <w:r>
        <w:continuationSeparator/>
      </w:r>
    </w:p>
  </w:footnote>
  <w:footnote w:id="1">
    <w:p w14:paraId="37A9C4A9" w14:textId="77777777" w:rsidR="009764C9" w:rsidRPr="00632820" w:rsidRDefault="009764C9" w:rsidP="00D55F31">
      <w:pPr>
        <w:pStyle w:val="Textpoznpodarou"/>
        <w:ind w:left="284" w:hanging="284"/>
        <w:jc w:val="both"/>
        <w:rPr>
          <w:rFonts w:ascii="Calibri" w:hAnsi="Calibri" w:cs="Calibri"/>
        </w:rPr>
      </w:pPr>
      <w:r w:rsidRPr="00632820">
        <w:rPr>
          <w:rStyle w:val="Znakapoznpodarou"/>
          <w:rFonts w:ascii="Calibri" w:hAnsi="Calibri" w:cs="Calibri"/>
        </w:rPr>
        <w:footnoteRef/>
      </w:r>
      <w:r w:rsidRPr="00632820">
        <w:rPr>
          <w:rFonts w:ascii="Calibri" w:hAnsi="Calibri" w:cs="Calibri"/>
        </w:rPr>
        <w:t xml:space="preserve"> </w:t>
      </w:r>
      <w:r w:rsidRPr="00632820">
        <w:rPr>
          <w:rFonts w:ascii="Calibri" w:hAnsi="Calibri" w:cs="Calibri"/>
        </w:rPr>
        <w:tab/>
        <w:t>Zákon č. 2/1969 Sb., o zřízení ministerstev a jiných ústředních orgánů státní správy České republiky.</w:t>
      </w:r>
    </w:p>
  </w:footnote>
  <w:footnote w:id="2">
    <w:p w14:paraId="06EA5A6B" w14:textId="77777777" w:rsidR="009764C9" w:rsidRPr="00632820" w:rsidRDefault="009764C9" w:rsidP="00D55F31">
      <w:pPr>
        <w:pStyle w:val="Textpoznpodarou"/>
        <w:ind w:left="284" w:hanging="284"/>
        <w:jc w:val="both"/>
        <w:rPr>
          <w:rFonts w:ascii="Calibri" w:hAnsi="Calibri" w:cs="Calibri"/>
        </w:rPr>
      </w:pPr>
      <w:r w:rsidRPr="00632820">
        <w:rPr>
          <w:rStyle w:val="Znakapoznpodarou"/>
          <w:rFonts w:ascii="Calibri" w:hAnsi="Calibri" w:cs="Calibri"/>
        </w:rPr>
        <w:footnoteRef/>
      </w:r>
      <w:r w:rsidRPr="00632820">
        <w:rPr>
          <w:rFonts w:ascii="Calibri" w:hAnsi="Calibri" w:cs="Calibri"/>
        </w:rPr>
        <w:t xml:space="preserve"> </w:t>
      </w:r>
      <w:r w:rsidRPr="00632820">
        <w:rPr>
          <w:rFonts w:ascii="Calibri" w:hAnsi="Calibri" w:cs="Calibri"/>
        </w:rPr>
        <w:tab/>
        <w:t xml:space="preserve">Zákon č. 77/1997 Sb., o státním podniku, účinný od 1. 7. 1997. </w:t>
      </w:r>
    </w:p>
  </w:footnote>
  <w:footnote w:id="3">
    <w:p w14:paraId="679B783C" w14:textId="77777777" w:rsidR="009764C9" w:rsidRPr="00632820" w:rsidRDefault="009764C9" w:rsidP="00D55F31">
      <w:pPr>
        <w:pStyle w:val="Textpoznpodarou"/>
        <w:ind w:left="284" w:hanging="284"/>
        <w:jc w:val="both"/>
        <w:rPr>
          <w:rFonts w:ascii="Calibri" w:hAnsi="Calibri" w:cs="Calibri"/>
        </w:rPr>
      </w:pPr>
      <w:r w:rsidRPr="00632820">
        <w:rPr>
          <w:rStyle w:val="Znakapoznpodarou"/>
          <w:rFonts w:ascii="Calibri" w:hAnsi="Calibri" w:cs="Calibri"/>
        </w:rPr>
        <w:footnoteRef/>
      </w:r>
      <w:r w:rsidRPr="00632820">
        <w:rPr>
          <w:rFonts w:ascii="Calibri" w:hAnsi="Calibri" w:cs="Calibri"/>
        </w:rPr>
        <w:t xml:space="preserve"> </w:t>
      </w:r>
      <w:r w:rsidRPr="00632820">
        <w:rPr>
          <w:rFonts w:ascii="Calibri" w:hAnsi="Calibri" w:cs="Calibri"/>
        </w:rPr>
        <w:tab/>
        <w:t>Ustanovení § 3 odst. 1 zákona č. 77/1997 Sb., o státním podniku.</w:t>
      </w:r>
    </w:p>
  </w:footnote>
  <w:footnote w:id="4">
    <w:p w14:paraId="52608CEF" w14:textId="77777777" w:rsidR="009764C9" w:rsidRPr="00632820" w:rsidRDefault="009764C9" w:rsidP="00D55F31">
      <w:pPr>
        <w:pStyle w:val="Textpoznpodarou"/>
        <w:ind w:left="284" w:hanging="284"/>
        <w:jc w:val="both"/>
        <w:rPr>
          <w:rFonts w:ascii="Calibri" w:hAnsi="Calibri" w:cs="Calibri"/>
        </w:rPr>
      </w:pPr>
      <w:r w:rsidRPr="00632820">
        <w:rPr>
          <w:rStyle w:val="Znakapoznpodarou"/>
          <w:rFonts w:ascii="Calibri" w:hAnsi="Calibri" w:cs="Calibri"/>
        </w:rPr>
        <w:footnoteRef/>
      </w:r>
      <w:r w:rsidRPr="00632820">
        <w:rPr>
          <w:rFonts w:ascii="Calibri" w:hAnsi="Calibri" w:cs="Calibri"/>
        </w:rPr>
        <w:t xml:space="preserve"> </w:t>
      </w:r>
      <w:r w:rsidRPr="00632820">
        <w:rPr>
          <w:rFonts w:ascii="Calibri" w:hAnsi="Calibri" w:cs="Calibri"/>
        </w:rPr>
        <w:tab/>
        <w:t>Ustanovení § 4 odst. 1 a § 15 zákona č. 77/1997 Sb., o státním podniku.</w:t>
      </w:r>
    </w:p>
  </w:footnote>
  <w:footnote w:id="5">
    <w:p w14:paraId="5D0B7F52" w14:textId="77777777" w:rsidR="009764C9" w:rsidRPr="00632820" w:rsidRDefault="009764C9" w:rsidP="00D55F31">
      <w:pPr>
        <w:pStyle w:val="Textpoznpodarou"/>
        <w:ind w:left="284" w:hanging="284"/>
        <w:jc w:val="both"/>
        <w:rPr>
          <w:rFonts w:ascii="Calibri" w:hAnsi="Calibri" w:cs="Calibri"/>
        </w:rPr>
      </w:pPr>
      <w:r w:rsidRPr="00632820">
        <w:rPr>
          <w:rStyle w:val="Znakapoznpodarou"/>
          <w:rFonts w:ascii="Calibri" w:hAnsi="Calibri" w:cs="Calibri"/>
        </w:rPr>
        <w:footnoteRef/>
      </w:r>
      <w:r w:rsidRPr="00632820">
        <w:rPr>
          <w:rFonts w:ascii="Calibri" w:hAnsi="Calibri" w:cs="Calibri"/>
        </w:rPr>
        <w:t xml:space="preserve"> </w:t>
      </w:r>
      <w:r w:rsidRPr="00632820">
        <w:rPr>
          <w:rFonts w:ascii="Calibri" w:hAnsi="Calibri" w:cs="Calibri"/>
        </w:rPr>
        <w:tab/>
        <w:t>Ustanovení § 2 odst. 1 a 2 a § 3 odst. 2 zákona č. 77/1997 Sb., o státním podniku.</w:t>
      </w:r>
    </w:p>
  </w:footnote>
  <w:footnote w:id="6">
    <w:p w14:paraId="1D20461B" w14:textId="188CDA82" w:rsidR="009764C9" w:rsidRPr="00632820" w:rsidRDefault="009764C9" w:rsidP="00D55F31">
      <w:pPr>
        <w:autoSpaceDE w:val="0"/>
        <w:autoSpaceDN w:val="0"/>
        <w:adjustRightInd w:val="0"/>
        <w:ind w:left="284" w:hanging="284"/>
        <w:jc w:val="both"/>
        <w:rPr>
          <w:rFonts w:ascii="Calibri" w:hAnsi="Calibri" w:cs="Calibri"/>
          <w:sz w:val="20"/>
          <w:szCs w:val="20"/>
        </w:rPr>
      </w:pPr>
      <w:r w:rsidRPr="00632820">
        <w:rPr>
          <w:rStyle w:val="Znakapoznpodarou"/>
          <w:rFonts w:ascii="Calibri" w:hAnsi="Calibri" w:cs="Calibri"/>
          <w:sz w:val="20"/>
          <w:szCs w:val="20"/>
        </w:rPr>
        <w:footnoteRef/>
      </w:r>
      <w:r w:rsidRPr="00632820">
        <w:rPr>
          <w:rFonts w:ascii="Calibri" w:hAnsi="Calibri" w:cs="Calibri"/>
          <w:sz w:val="20"/>
          <w:szCs w:val="20"/>
        </w:rPr>
        <w:t xml:space="preserve"> </w:t>
      </w:r>
      <w:r w:rsidRPr="00632820">
        <w:rPr>
          <w:rFonts w:ascii="Calibri" w:hAnsi="Calibri" w:cs="Calibri"/>
          <w:sz w:val="20"/>
          <w:szCs w:val="20"/>
        </w:rPr>
        <w:tab/>
        <w:t xml:space="preserve">Seznam lázeňských míst dle Českého inspektorátu lázní a zřídel </w:t>
      </w:r>
      <w:r w:rsidRPr="00632820">
        <w:rPr>
          <w:rFonts w:ascii="Calibri" w:hAnsi="Calibri" w:cs="Calibri"/>
          <w:i/>
          <w:sz w:val="20"/>
          <w:szCs w:val="20"/>
        </w:rPr>
        <w:t xml:space="preserve">(území nebo část </w:t>
      </w:r>
      <w:proofErr w:type="spellStart"/>
      <w:r w:rsidRPr="00632820">
        <w:rPr>
          <w:rFonts w:ascii="Calibri" w:hAnsi="Calibri" w:cs="Calibri"/>
          <w:i/>
          <w:sz w:val="20"/>
          <w:szCs w:val="20"/>
        </w:rPr>
        <w:t>uzemí</w:t>
      </w:r>
      <w:proofErr w:type="spellEnd"/>
      <w:r w:rsidRPr="00632820">
        <w:rPr>
          <w:rFonts w:ascii="Calibri" w:hAnsi="Calibri" w:cs="Calibri"/>
          <w:i/>
          <w:sz w:val="20"/>
          <w:szCs w:val="20"/>
        </w:rPr>
        <w:t xml:space="preserve"> obce nebo více obcí, v </w:t>
      </w:r>
      <w:proofErr w:type="gramStart"/>
      <w:r w:rsidRPr="00632820">
        <w:rPr>
          <w:rFonts w:ascii="Calibri" w:hAnsi="Calibri" w:cs="Calibri"/>
          <w:i/>
          <w:sz w:val="20"/>
          <w:szCs w:val="20"/>
        </w:rPr>
        <w:t>němž</w:t>
      </w:r>
      <w:proofErr w:type="gramEnd"/>
      <w:r w:rsidRPr="00632820">
        <w:rPr>
          <w:rFonts w:ascii="Calibri" w:hAnsi="Calibri" w:cs="Calibri"/>
          <w:i/>
          <w:sz w:val="20"/>
          <w:szCs w:val="20"/>
        </w:rPr>
        <w:t xml:space="preserve"> se nacházejí přírodní léčebné lázně, stanovené za lázeňské místo podle zákona č. 164/2001 Sb.)</w:t>
      </w:r>
      <w:r w:rsidRPr="00632820">
        <w:rPr>
          <w:rFonts w:ascii="Calibri" w:hAnsi="Calibri" w:cs="Calibri"/>
          <w:sz w:val="20"/>
          <w:szCs w:val="20"/>
        </w:rPr>
        <w:t xml:space="preserve">: Bechyně, Běloves, Bílina, Bludov, Dubí, </w:t>
      </w:r>
      <w:hyperlink r:id="rId1" w:history="1">
        <w:r w:rsidRPr="00632820">
          <w:rPr>
            <w:rFonts w:ascii="Calibri" w:hAnsi="Calibri" w:cs="Calibri"/>
            <w:sz w:val="20"/>
            <w:szCs w:val="20"/>
          </w:rPr>
          <w:t>Františkovy Lázně</w:t>
        </w:r>
      </w:hyperlink>
      <w:r w:rsidRPr="00632820">
        <w:rPr>
          <w:rFonts w:ascii="Calibri" w:hAnsi="Calibri" w:cs="Calibri"/>
          <w:sz w:val="20"/>
          <w:szCs w:val="20"/>
        </w:rPr>
        <w:t xml:space="preserve">, Jáchymov, </w:t>
      </w:r>
      <w:hyperlink r:id="rId2" w:history="1">
        <w:r w:rsidRPr="00632820">
          <w:rPr>
            <w:rFonts w:ascii="Calibri" w:hAnsi="Calibri" w:cs="Calibri"/>
            <w:sz w:val="20"/>
            <w:szCs w:val="20"/>
          </w:rPr>
          <w:t>Janské Lázně</w:t>
        </w:r>
      </w:hyperlink>
      <w:r w:rsidRPr="00632820">
        <w:rPr>
          <w:rFonts w:ascii="Calibri" w:hAnsi="Calibri" w:cs="Calibri"/>
          <w:sz w:val="20"/>
          <w:szCs w:val="20"/>
        </w:rPr>
        <w:t xml:space="preserve">, </w:t>
      </w:r>
      <w:hyperlink r:id="rId3" w:history="1">
        <w:r w:rsidRPr="00632820">
          <w:rPr>
            <w:rFonts w:ascii="Calibri" w:hAnsi="Calibri" w:cs="Calibri"/>
            <w:sz w:val="20"/>
            <w:szCs w:val="20"/>
          </w:rPr>
          <w:t>Jeseník</w:t>
        </w:r>
      </w:hyperlink>
      <w:r w:rsidRPr="00632820">
        <w:rPr>
          <w:rFonts w:ascii="Calibri" w:hAnsi="Calibri" w:cs="Calibri"/>
          <w:sz w:val="20"/>
          <w:szCs w:val="20"/>
        </w:rPr>
        <w:t xml:space="preserve">, </w:t>
      </w:r>
      <w:hyperlink r:id="rId4" w:history="1">
        <w:r w:rsidRPr="00632820">
          <w:rPr>
            <w:rFonts w:ascii="Calibri" w:hAnsi="Calibri" w:cs="Calibri"/>
            <w:sz w:val="20"/>
            <w:szCs w:val="20"/>
          </w:rPr>
          <w:t>Karlova Studánka</w:t>
        </w:r>
      </w:hyperlink>
      <w:r w:rsidRPr="00632820">
        <w:rPr>
          <w:rFonts w:ascii="Calibri" w:hAnsi="Calibri" w:cs="Calibri"/>
          <w:sz w:val="20"/>
          <w:szCs w:val="20"/>
        </w:rPr>
        <w:t xml:space="preserve">, </w:t>
      </w:r>
      <w:hyperlink r:id="rId5" w:history="1">
        <w:r w:rsidRPr="00632820">
          <w:rPr>
            <w:rFonts w:ascii="Calibri" w:hAnsi="Calibri" w:cs="Calibri"/>
            <w:sz w:val="20"/>
            <w:szCs w:val="20"/>
          </w:rPr>
          <w:t>Karlovy Vary</w:t>
        </w:r>
      </w:hyperlink>
      <w:r w:rsidRPr="00632820">
        <w:rPr>
          <w:rFonts w:ascii="Calibri" w:hAnsi="Calibri" w:cs="Calibri"/>
          <w:sz w:val="20"/>
          <w:szCs w:val="20"/>
        </w:rPr>
        <w:t>, Karviná-</w:t>
      </w:r>
      <w:proofErr w:type="spellStart"/>
      <w:r w:rsidRPr="00632820">
        <w:rPr>
          <w:rFonts w:ascii="Calibri" w:hAnsi="Calibri" w:cs="Calibri"/>
          <w:sz w:val="20"/>
          <w:szCs w:val="20"/>
        </w:rPr>
        <w:t>Darkov</w:t>
      </w:r>
      <w:proofErr w:type="spellEnd"/>
      <w:r w:rsidRPr="00632820">
        <w:rPr>
          <w:rFonts w:ascii="Calibri" w:hAnsi="Calibri" w:cs="Calibri"/>
          <w:sz w:val="20"/>
          <w:szCs w:val="20"/>
        </w:rPr>
        <w:t xml:space="preserve">, Klášterec nad Ohří, </w:t>
      </w:r>
      <w:hyperlink r:id="rId6" w:history="1">
        <w:r w:rsidRPr="00632820">
          <w:rPr>
            <w:rFonts w:ascii="Calibri" w:hAnsi="Calibri" w:cs="Calibri"/>
            <w:sz w:val="20"/>
            <w:szCs w:val="20"/>
          </w:rPr>
          <w:t>Konstantinovy Lázně</w:t>
        </w:r>
      </w:hyperlink>
      <w:r w:rsidRPr="00632820">
        <w:rPr>
          <w:rFonts w:ascii="Calibri" w:hAnsi="Calibri" w:cs="Calibri"/>
          <w:sz w:val="20"/>
          <w:szCs w:val="20"/>
        </w:rPr>
        <w:t xml:space="preserve">, Kostelec u Zlína, </w:t>
      </w:r>
      <w:hyperlink r:id="rId7" w:history="1">
        <w:r w:rsidRPr="00632820">
          <w:rPr>
            <w:rFonts w:ascii="Calibri" w:hAnsi="Calibri" w:cs="Calibri"/>
            <w:sz w:val="20"/>
            <w:szCs w:val="20"/>
          </w:rPr>
          <w:t>Lázně Bělohrad</w:t>
        </w:r>
      </w:hyperlink>
      <w:r w:rsidRPr="00632820">
        <w:rPr>
          <w:rFonts w:ascii="Calibri" w:hAnsi="Calibri" w:cs="Calibri"/>
          <w:sz w:val="20"/>
          <w:szCs w:val="20"/>
        </w:rPr>
        <w:t xml:space="preserve">, </w:t>
      </w:r>
      <w:hyperlink r:id="rId8" w:history="1">
        <w:r w:rsidRPr="00632820">
          <w:rPr>
            <w:rFonts w:ascii="Calibri" w:hAnsi="Calibri" w:cs="Calibri"/>
            <w:sz w:val="20"/>
            <w:szCs w:val="20"/>
          </w:rPr>
          <w:t>Lázně Bohdaneč</w:t>
        </w:r>
      </w:hyperlink>
      <w:r w:rsidRPr="00632820">
        <w:rPr>
          <w:rFonts w:ascii="Calibri" w:hAnsi="Calibri" w:cs="Calibri"/>
          <w:sz w:val="20"/>
          <w:szCs w:val="20"/>
        </w:rPr>
        <w:t xml:space="preserve">, </w:t>
      </w:r>
      <w:hyperlink r:id="rId9" w:history="1">
        <w:r w:rsidRPr="00632820">
          <w:rPr>
            <w:rFonts w:ascii="Calibri" w:hAnsi="Calibri" w:cs="Calibri"/>
            <w:sz w:val="20"/>
            <w:szCs w:val="20"/>
          </w:rPr>
          <w:t>Lázně Kundratice</w:t>
        </w:r>
      </w:hyperlink>
      <w:r w:rsidRPr="00632820">
        <w:rPr>
          <w:rFonts w:ascii="Calibri" w:hAnsi="Calibri" w:cs="Calibri"/>
          <w:sz w:val="20"/>
          <w:szCs w:val="20"/>
        </w:rPr>
        <w:t xml:space="preserve">, </w:t>
      </w:r>
      <w:hyperlink r:id="rId10" w:history="1">
        <w:r w:rsidRPr="00632820">
          <w:rPr>
            <w:rFonts w:ascii="Calibri" w:hAnsi="Calibri" w:cs="Calibri"/>
            <w:sz w:val="20"/>
            <w:szCs w:val="20"/>
          </w:rPr>
          <w:t>Lázně Kynžvart</w:t>
        </w:r>
      </w:hyperlink>
      <w:r w:rsidRPr="00632820">
        <w:rPr>
          <w:rFonts w:ascii="Calibri" w:hAnsi="Calibri" w:cs="Calibri"/>
          <w:sz w:val="20"/>
          <w:szCs w:val="20"/>
        </w:rPr>
        <w:t xml:space="preserve">, </w:t>
      </w:r>
      <w:hyperlink r:id="rId11" w:history="1">
        <w:r w:rsidRPr="00632820">
          <w:rPr>
            <w:rFonts w:ascii="Calibri" w:hAnsi="Calibri" w:cs="Calibri"/>
            <w:sz w:val="20"/>
            <w:szCs w:val="20"/>
          </w:rPr>
          <w:t>Lázně Libverda</w:t>
        </w:r>
      </w:hyperlink>
      <w:r w:rsidRPr="00632820">
        <w:rPr>
          <w:rFonts w:ascii="Calibri" w:hAnsi="Calibri" w:cs="Calibri"/>
          <w:sz w:val="20"/>
          <w:szCs w:val="20"/>
        </w:rPr>
        <w:t xml:space="preserve">, Lipová-lázně, Luhačovice, </w:t>
      </w:r>
      <w:hyperlink r:id="rId12" w:history="1">
        <w:r w:rsidRPr="00632820">
          <w:rPr>
            <w:rFonts w:ascii="Calibri" w:hAnsi="Calibri" w:cs="Calibri"/>
            <w:sz w:val="20"/>
            <w:szCs w:val="20"/>
          </w:rPr>
          <w:t>Mariánské Lázně</w:t>
        </w:r>
      </w:hyperlink>
      <w:r w:rsidRPr="00632820">
        <w:rPr>
          <w:rFonts w:ascii="Calibri" w:hAnsi="Calibri" w:cs="Calibri"/>
          <w:sz w:val="20"/>
          <w:szCs w:val="20"/>
        </w:rPr>
        <w:t xml:space="preserve">, </w:t>
      </w:r>
      <w:hyperlink r:id="rId13" w:history="1">
        <w:r w:rsidRPr="00632820">
          <w:rPr>
            <w:rFonts w:ascii="Calibri" w:hAnsi="Calibri" w:cs="Calibri"/>
            <w:sz w:val="20"/>
            <w:szCs w:val="20"/>
          </w:rPr>
          <w:t>Mšené Lázně,</w:t>
        </w:r>
      </w:hyperlink>
      <w:r w:rsidRPr="00632820">
        <w:rPr>
          <w:rFonts w:ascii="Calibri" w:hAnsi="Calibri" w:cs="Calibri"/>
          <w:sz w:val="20"/>
          <w:szCs w:val="20"/>
        </w:rPr>
        <w:t xml:space="preserve"> Nový </w:t>
      </w:r>
      <w:proofErr w:type="spellStart"/>
      <w:r w:rsidRPr="00632820">
        <w:rPr>
          <w:rFonts w:ascii="Calibri" w:hAnsi="Calibri" w:cs="Calibri"/>
          <w:sz w:val="20"/>
          <w:szCs w:val="20"/>
        </w:rPr>
        <w:t>Darkov</w:t>
      </w:r>
      <w:proofErr w:type="spellEnd"/>
      <w:r w:rsidRPr="00632820">
        <w:rPr>
          <w:rFonts w:ascii="Calibri" w:hAnsi="Calibri" w:cs="Calibri"/>
          <w:sz w:val="20"/>
          <w:szCs w:val="20"/>
        </w:rPr>
        <w:t xml:space="preserve">-Klimkovice, </w:t>
      </w:r>
      <w:hyperlink r:id="rId14" w:history="1">
        <w:r w:rsidRPr="00632820">
          <w:rPr>
            <w:rFonts w:ascii="Calibri" w:hAnsi="Calibri" w:cs="Calibri"/>
            <w:sz w:val="20"/>
            <w:szCs w:val="20"/>
          </w:rPr>
          <w:t>Ostrožská Nová Ves</w:t>
        </w:r>
      </w:hyperlink>
      <w:r w:rsidRPr="00632820">
        <w:rPr>
          <w:rFonts w:ascii="Calibri" w:hAnsi="Calibri" w:cs="Calibri"/>
          <w:sz w:val="20"/>
          <w:szCs w:val="20"/>
        </w:rPr>
        <w:t xml:space="preserve">, </w:t>
      </w:r>
      <w:hyperlink r:id="rId15" w:history="1">
        <w:r w:rsidRPr="00632820">
          <w:rPr>
            <w:rFonts w:ascii="Calibri" w:hAnsi="Calibri" w:cs="Calibri"/>
            <w:sz w:val="20"/>
            <w:szCs w:val="20"/>
          </w:rPr>
          <w:t>Poděbrady</w:t>
        </w:r>
      </w:hyperlink>
      <w:r w:rsidRPr="00632820">
        <w:rPr>
          <w:rFonts w:ascii="Calibri" w:hAnsi="Calibri" w:cs="Calibri"/>
          <w:sz w:val="20"/>
          <w:szCs w:val="20"/>
        </w:rPr>
        <w:t xml:space="preserve">, </w:t>
      </w:r>
      <w:hyperlink r:id="rId16" w:history="1">
        <w:r w:rsidRPr="00632820">
          <w:rPr>
            <w:rFonts w:ascii="Calibri" w:hAnsi="Calibri" w:cs="Calibri"/>
            <w:sz w:val="20"/>
            <w:szCs w:val="20"/>
          </w:rPr>
          <w:t>Slatinice</w:t>
        </w:r>
      </w:hyperlink>
      <w:r w:rsidRPr="00632820">
        <w:rPr>
          <w:rFonts w:ascii="Calibri" w:hAnsi="Calibri" w:cs="Calibri"/>
          <w:sz w:val="20"/>
          <w:szCs w:val="20"/>
        </w:rPr>
        <w:t xml:space="preserve">, </w:t>
      </w:r>
      <w:r w:rsidR="00694C80">
        <w:rPr>
          <w:rFonts w:ascii="Calibri" w:hAnsi="Calibri" w:cs="Calibri"/>
          <w:sz w:val="20"/>
          <w:szCs w:val="20"/>
        </w:rPr>
        <w:t xml:space="preserve">Teplice, </w:t>
      </w:r>
      <w:hyperlink r:id="rId17" w:history="1">
        <w:r w:rsidRPr="00632820">
          <w:rPr>
            <w:rFonts w:ascii="Calibri" w:hAnsi="Calibri" w:cs="Calibri"/>
            <w:sz w:val="20"/>
            <w:szCs w:val="20"/>
          </w:rPr>
          <w:t>Teplice nad Bečvou</w:t>
        </w:r>
      </w:hyperlink>
      <w:r w:rsidRPr="00632820">
        <w:rPr>
          <w:rFonts w:ascii="Calibri" w:hAnsi="Calibri" w:cs="Calibri"/>
          <w:sz w:val="20"/>
          <w:szCs w:val="20"/>
        </w:rPr>
        <w:t xml:space="preserve">, Toušeň, </w:t>
      </w:r>
      <w:hyperlink r:id="rId18" w:history="1">
        <w:r w:rsidRPr="00632820">
          <w:rPr>
            <w:rFonts w:ascii="Calibri" w:hAnsi="Calibri" w:cs="Calibri"/>
            <w:sz w:val="20"/>
            <w:szCs w:val="20"/>
          </w:rPr>
          <w:t>Třeboň</w:t>
        </w:r>
      </w:hyperlink>
      <w:r w:rsidRPr="00632820">
        <w:rPr>
          <w:rFonts w:ascii="Calibri" w:hAnsi="Calibri" w:cs="Calibri"/>
          <w:sz w:val="20"/>
          <w:szCs w:val="20"/>
        </w:rPr>
        <w:t xml:space="preserve">, Velichovky, </w:t>
      </w:r>
      <w:hyperlink r:id="rId19" w:history="1">
        <w:r w:rsidRPr="00632820">
          <w:rPr>
            <w:rFonts w:ascii="Calibri" w:hAnsi="Calibri" w:cs="Calibri"/>
            <w:sz w:val="20"/>
            <w:szCs w:val="20"/>
          </w:rPr>
          <w:t>Velké Losiny</w:t>
        </w:r>
      </w:hyperlink>
      <w:r w:rsidRPr="00632820">
        <w:rPr>
          <w:rFonts w:ascii="Calibri" w:hAnsi="Calibri" w:cs="Calibri"/>
          <w:sz w:val="20"/>
          <w:szCs w:val="20"/>
        </w:rPr>
        <w:t xml:space="preserve"> a </w:t>
      </w:r>
      <w:hyperlink r:id="rId20" w:history="1">
        <w:r w:rsidRPr="00632820">
          <w:rPr>
            <w:rFonts w:ascii="Calibri" w:hAnsi="Calibri" w:cs="Calibri"/>
            <w:sz w:val="20"/>
            <w:szCs w:val="20"/>
          </w:rPr>
          <w:t>Vráž</w:t>
        </w:r>
      </w:hyperlink>
      <w:r w:rsidRPr="00632820">
        <w:rPr>
          <w:rFonts w:ascii="Calibri" w:hAnsi="Calibri" w:cs="Calibri"/>
          <w:sz w:val="20"/>
          <w:szCs w:val="20"/>
        </w:rPr>
        <w:t>.</w:t>
      </w:r>
    </w:p>
  </w:footnote>
  <w:footnote w:id="7">
    <w:p w14:paraId="7A2E4110" w14:textId="77777777" w:rsidR="009764C9" w:rsidRPr="00632820" w:rsidRDefault="009764C9" w:rsidP="00D55F31">
      <w:pPr>
        <w:pStyle w:val="Textpoznpodarou"/>
        <w:ind w:left="284" w:hanging="284"/>
        <w:jc w:val="both"/>
        <w:rPr>
          <w:rFonts w:ascii="Calibri" w:hAnsi="Calibri" w:cs="Calibri"/>
        </w:rPr>
      </w:pPr>
      <w:r w:rsidRPr="00632820">
        <w:rPr>
          <w:rStyle w:val="Znakapoznpodarou"/>
          <w:rFonts w:ascii="Calibri" w:hAnsi="Calibri" w:cs="Calibri"/>
        </w:rPr>
        <w:footnoteRef/>
      </w:r>
      <w:r w:rsidRPr="00632820">
        <w:rPr>
          <w:rFonts w:ascii="Calibri" w:hAnsi="Calibri" w:cs="Calibri"/>
        </w:rPr>
        <w:t xml:space="preserve"> </w:t>
      </w:r>
      <w:r w:rsidRPr="00632820">
        <w:rPr>
          <w:rFonts w:ascii="Calibri" w:hAnsi="Calibri" w:cs="Calibri"/>
        </w:rPr>
        <w:tab/>
        <w:t>Ustanovení § 13 odst. 2 a § 33 zákona č. 48/1997 Sb., o veřejném zdravotním pojištění a o změně a doplnění některých souvisejících zákonů.</w:t>
      </w:r>
    </w:p>
  </w:footnote>
  <w:footnote w:id="8">
    <w:p w14:paraId="5B82F90C" w14:textId="77777777" w:rsidR="009764C9" w:rsidRPr="00632820" w:rsidRDefault="009764C9" w:rsidP="00D55F31">
      <w:pPr>
        <w:pStyle w:val="Textpoznpodarou"/>
        <w:ind w:left="284" w:hanging="284"/>
        <w:jc w:val="both"/>
        <w:rPr>
          <w:rFonts w:ascii="Calibri" w:hAnsi="Calibri" w:cs="Calibri"/>
        </w:rPr>
      </w:pPr>
      <w:r w:rsidRPr="00632820">
        <w:rPr>
          <w:rStyle w:val="Znakapoznpodarou"/>
          <w:rFonts w:ascii="Calibri" w:hAnsi="Calibri" w:cs="Calibri"/>
        </w:rPr>
        <w:footnoteRef/>
      </w:r>
      <w:r w:rsidRPr="00632820">
        <w:rPr>
          <w:rFonts w:ascii="Calibri" w:hAnsi="Calibri" w:cs="Calibri"/>
        </w:rPr>
        <w:t xml:space="preserve"> </w:t>
      </w:r>
      <w:r w:rsidRPr="00632820">
        <w:rPr>
          <w:rFonts w:ascii="Calibri" w:hAnsi="Calibri" w:cs="Calibri"/>
        </w:rPr>
        <w:tab/>
        <w:t>Usnesení vlády ze dne 9. března 2016 č. 187</w:t>
      </w:r>
      <w:r>
        <w:rPr>
          <w:rFonts w:ascii="Calibri" w:hAnsi="Calibri" w:cs="Calibri"/>
        </w:rPr>
        <w:t>,</w:t>
      </w:r>
      <w:r w:rsidRPr="00632820">
        <w:rPr>
          <w:rFonts w:ascii="Calibri" w:hAnsi="Calibri" w:cs="Calibri"/>
        </w:rPr>
        <w:t xml:space="preserve"> </w:t>
      </w:r>
      <w:r w:rsidRPr="00B30283">
        <w:rPr>
          <w:rFonts w:ascii="Calibri" w:hAnsi="Calibri" w:cs="Calibri"/>
          <w:i/>
        </w:rPr>
        <w:t>k dalšímu postupu privatizace některých zdravotnických zařízení</w:t>
      </w:r>
      <w:r w:rsidRPr="00632820">
        <w:rPr>
          <w:rFonts w:ascii="Calibri" w:hAnsi="Calibri" w:cs="Calibri"/>
        </w:rPr>
        <w:t>.</w:t>
      </w:r>
    </w:p>
  </w:footnote>
  <w:footnote w:id="9">
    <w:p w14:paraId="4A99337A" w14:textId="77777777" w:rsidR="009764C9" w:rsidRPr="0083497B" w:rsidRDefault="009764C9" w:rsidP="00632820">
      <w:pPr>
        <w:pStyle w:val="Textpoznpodarou"/>
        <w:ind w:left="284" w:hanging="284"/>
        <w:jc w:val="both"/>
        <w:rPr>
          <w:rFonts w:asciiTheme="minorHAnsi" w:hAnsiTheme="minorHAnsi"/>
        </w:rPr>
      </w:pPr>
      <w:r w:rsidRPr="0083497B">
        <w:rPr>
          <w:rStyle w:val="Znakapoznpodarou"/>
          <w:rFonts w:asciiTheme="minorHAnsi" w:hAnsiTheme="minorHAnsi"/>
        </w:rPr>
        <w:footnoteRef/>
      </w:r>
      <w:r w:rsidRPr="0083497B">
        <w:rPr>
          <w:rFonts w:asciiTheme="minorHAnsi" w:hAnsiTheme="minorHAnsi"/>
        </w:rPr>
        <w:t xml:space="preserve"> </w:t>
      </w:r>
      <w:r>
        <w:rPr>
          <w:rFonts w:asciiTheme="minorHAnsi" w:hAnsiTheme="minorHAnsi"/>
        </w:rPr>
        <w:tab/>
      </w:r>
      <w:r w:rsidRPr="0083497B">
        <w:rPr>
          <w:rFonts w:asciiTheme="minorHAnsi" w:hAnsiTheme="minorHAnsi"/>
        </w:rPr>
        <w:t>Zejména ustanovení § 4 odst. 2 a 3 zákona č. 77/1997 Sb., o státním podniku.</w:t>
      </w:r>
    </w:p>
  </w:footnote>
  <w:footnote w:id="10">
    <w:p w14:paraId="72589B4B" w14:textId="7F3C7798" w:rsidR="009764C9" w:rsidRPr="0083497B" w:rsidRDefault="009764C9" w:rsidP="00632820">
      <w:pPr>
        <w:pStyle w:val="Textpoznpodarou"/>
        <w:ind w:left="284" w:hanging="284"/>
        <w:jc w:val="both"/>
        <w:rPr>
          <w:rFonts w:asciiTheme="minorHAnsi" w:hAnsiTheme="minorHAnsi"/>
          <w:i/>
        </w:rPr>
      </w:pPr>
      <w:r w:rsidRPr="0083497B">
        <w:rPr>
          <w:rStyle w:val="Znakapoznpodarou"/>
          <w:rFonts w:asciiTheme="minorHAnsi" w:hAnsiTheme="minorHAnsi"/>
        </w:rPr>
        <w:footnoteRef/>
      </w:r>
      <w:r w:rsidRPr="0083497B">
        <w:rPr>
          <w:rFonts w:asciiTheme="minorHAnsi" w:hAnsiTheme="minorHAnsi"/>
        </w:rPr>
        <w:t xml:space="preserve"> </w:t>
      </w:r>
      <w:r>
        <w:rPr>
          <w:rFonts w:asciiTheme="minorHAnsi" w:hAnsiTheme="minorHAnsi"/>
        </w:rPr>
        <w:tab/>
      </w:r>
      <w:r w:rsidRPr="0083497B">
        <w:rPr>
          <w:rFonts w:asciiTheme="minorHAnsi" w:hAnsiTheme="minorHAnsi"/>
        </w:rPr>
        <w:t xml:space="preserve">Ustanovení § 4 odst. 2 zákona č. 77/1997 Sb., o státním podniku: </w:t>
      </w:r>
      <w:r w:rsidRPr="00B30283">
        <w:rPr>
          <w:rFonts w:asciiTheme="minorHAnsi" w:hAnsiTheme="minorHAnsi"/>
        </w:rPr>
        <w:t>„</w:t>
      </w:r>
      <w:r w:rsidRPr="0083497B">
        <w:rPr>
          <w:rFonts w:asciiTheme="minorHAnsi" w:hAnsiTheme="minorHAnsi"/>
          <w:i/>
        </w:rPr>
        <w:t xml:space="preserve">Zakládací listina je zakladatelským </w:t>
      </w:r>
      <w:proofErr w:type="gramStart"/>
      <w:r w:rsidRPr="0083497B">
        <w:rPr>
          <w:rFonts w:asciiTheme="minorHAnsi" w:hAnsiTheme="minorHAnsi"/>
          <w:i/>
        </w:rPr>
        <w:t xml:space="preserve">dokumentem </w:t>
      </w:r>
      <w:r>
        <w:rPr>
          <w:rFonts w:asciiTheme="minorHAnsi" w:hAnsiTheme="minorHAnsi"/>
          <w:i/>
        </w:rPr>
        <w:t>(</w:t>
      </w:r>
      <w:r w:rsidRPr="0083497B">
        <w:rPr>
          <w:rFonts w:asciiTheme="minorHAnsi" w:hAnsiTheme="minorHAnsi"/>
          <w:i/>
        </w:rPr>
        <w:t>...</w:t>
      </w:r>
      <w:r>
        <w:rPr>
          <w:rFonts w:asciiTheme="minorHAnsi" w:hAnsiTheme="minorHAnsi"/>
          <w:i/>
        </w:rPr>
        <w:t>)</w:t>
      </w:r>
      <w:r w:rsidRPr="0083497B">
        <w:rPr>
          <w:rFonts w:asciiTheme="minorHAnsi" w:hAnsiTheme="minorHAnsi"/>
          <w:i/>
        </w:rPr>
        <w:t xml:space="preserve"> její</w:t>
      </w:r>
      <w:proofErr w:type="gramEnd"/>
      <w:r w:rsidRPr="0083497B">
        <w:rPr>
          <w:rFonts w:asciiTheme="minorHAnsi" w:hAnsiTheme="minorHAnsi"/>
          <w:i/>
        </w:rPr>
        <w:t xml:space="preserve"> nedílnou součástí je příloha obsahující vymezení určeného majetku.</w:t>
      </w:r>
      <w:r w:rsidRPr="00B30283">
        <w:rPr>
          <w:rFonts w:asciiTheme="minorHAnsi" w:hAnsiTheme="minorHAnsi"/>
        </w:rPr>
        <w:t>“</w:t>
      </w:r>
      <w:r w:rsidRPr="0083497B">
        <w:rPr>
          <w:rFonts w:asciiTheme="minorHAnsi" w:hAnsiTheme="minorHAnsi"/>
          <w:i/>
        </w:rPr>
        <w:t xml:space="preserve"> </w:t>
      </w:r>
    </w:p>
  </w:footnote>
  <w:footnote w:id="11">
    <w:p w14:paraId="4C4A937E" w14:textId="77777777" w:rsidR="009764C9" w:rsidRPr="009D5372" w:rsidRDefault="009764C9" w:rsidP="00632820">
      <w:pPr>
        <w:pStyle w:val="Textpoznpodarou"/>
        <w:ind w:left="284" w:hanging="284"/>
        <w:jc w:val="both"/>
        <w:rPr>
          <w:rFonts w:asciiTheme="minorHAnsi" w:hAnsiTheme="minorHAnsi"/>
        </w:rPr>
      </w:pPr>
      <w:r w:rsidRPr="009D5372">
        <w:rPr>
          <w:rStyle w:val="Znakapoznpodarou"/>
          <w:rFonts w:asciiTheme="minorHAnsi" w:hAnsiTheme="minorHAnsi"/>
        </w:rPr>
        <w:footnoteRef/>
      </w:r>
      <w:r w:rsidRPr="009D5372">
        <w:rPr>
          <w:rFonts w:asciiTheme="minorHAnsi" w:hAnsiTheme="minorHAnsi"/>
        </w:rPr>
        <w:t xml:space="preserve"> </w:t>
      </w:r>
      <w:r>
        <w:rPr>
          <w:rFonts w:asciiTheme="minorHAnsi" w:hAnsiTheme="minorHAnsi"/>
        </w:rPr>
        <w:tab/>
        <w:t>Soudním rozhodnutím v roce 2015 bylo uznáno, že ČR je podílovým spoluvlastníkem se spoluvlastnickým podílem v rozsahu 13/100 nemovitostí zapsaných u katastrálního úřadu. Na základě znaleckého posudku z roku 2016 činí reprodukční pořizovací cena nemovitých věcí celkem cca 70 mil. Kč, v tom cca 9 mil. Kč tvoří spoluvlastnický 13/100 podíl ČR s právem hospodaření pro SLL Bludov.</w:t>
      </w:r>
    </w:p>
  </w:footnote>
  <w:footnote w:id="12">
    <w:p w14:paraId="64091D5E" w14:textId="77777777" w:rsidR="009764C9" w:rsidRPr="009D5372" w:rsidRDefault="009764C9" w:rsidP="00632820">
      <w:pPr>
        <w:pStyle w:val="Textpoznpodarou"/>
        <w:ind w:left="284" w:hanging="284"/>
        <w:jc w:val="both"/>
        <w:rPr>
          <w:rFonts w:asciiTheme="minorHAnsi" w:hAnsiTheme="minorHAnsi"/>
        </w:rPr>
      </w:pPr>
      <w:r w:rsidRPr="009D5372">
        <w:rPr>
          <w:rStyle w:val="Znakapoznpodarou"/>
          <w:rFonts w:asciiTheme="minorHAnsi" w:hAnsiTheme="minorHAnsi"/>
        </w:rPr>
        <w:footnoteRef/>
      </w:r>
      <w:r>
        <w:rPr>
          <w:rFonts w:asciiTheme="minorHAnsi" w:hAnsiTheme="minorHAnsi"/>
        </w:rPr>
        <w:t xml:space="preserve"> </w:t>
      </w:r>
      <w:r>
        <w:rPr>
          <w:rFonts w:asciiTheme="minorHAnsi" w:hAnsiTheme="minorHAnsi"/>
        </w:rPr>
        <w:tab/>
        <w:t>Zákon č. 253/2016 Sb., kterým se mění zákon č. 77/1997 Sb., o státním podniku, účinný od 1. 1. 2017.</w:t>
      </w:r>
    </w:p>
  </w:footnote>
  <w:footnote w:id="13">
    <w:p w14:paraId="4CB87BC2" w14:textId="4DC505B8" w:rsidR="009764C9" w:rsidRPr="0083497B" w:rsidRDefault="009764C9" w:rsidP="00632820">
      <w:pPr>
        <w:pStyle w:val="Textpoznpodarou"/>
        <w:ind w:left="284" w:hanging="284"/>
        <w:jc w:val="both"/>
        <w:rPr>
          <w:rFonts w:asciiTheme="minorHAnsi" w:hAnsiTheme="minorHAnsi"/>
          <w:i/>
        </w:rPr>
      </w:pPr>
      <w:r w:rsidRPr="0083497B">
        <w:rPr>
          <w:rStyle w:val="Znakapoznpodarou"/>
          <w:rFonts w:asciiTheme="minorHAnsi" w:hAnsiTheme="minorHAnsi"/>
        </w:rPr>
        <w:footnoteRef/>
      </w:r>
      <w:r w:rsidRPr="0083497B">
        <w:rPr>
          <w:rFonts w:asciiTheme="minorHAnsi" w:hAnsiTheme="minorHAnsi"/>
        </w:rPr>
        <w:t xml:space="preserve"> </w:t>
      </w:r>
      <w:r>
        <w:rPr>
          <w:rFonts w:asciiTheme="minorHAnsi" w:hAnsiTheme="minorHAnsi"/>
        </w:rPr>
        <w:tab/>
      </w:r>
      <w:r w:rsidRPr="0083497B">
        <w:rPr>
          <w:rFonts w:asciiTheme="minorHAnsi" w:hAnsiTheme="minorHAnsi"/>
        </w:rPr>
        <w:t xml:space="preserve">Ustanovení § 15 písm. b) zákona č. 77/1997 Sb., o státním podniku: </w:t>
      </w:r>
      <w:r w:rsidRPr="00B30283">
        <w:rPr>
          <w:rFonts w:asciiTheme="minorHAnsi" w:hAnsiTheme="minorHAnsi"/>
        </w:rPr>
        <w:t>„</w:t>
      </w:r>
      <w:proofErr w:type="gramStart"/>
      <w:r w:rsidRPr="0083497B">
        <w:rPr>
          <w:rFonts w:asciiTheme="minorHAnsi" w:hAnsiTheme="minorHAnsi"/>
          <w:i/>
        </w:rPr>
        <w:t>Zakladatel</w:t>
      </w:r>
      <w:r>
        <w:rPr>
          <w:rFonts w:asciiTheme="minorHAnsi" w:hAnsiTheme="minorHAnsi"/>
          <w:i/>
        </w:rPr>
        <w:t xml:space="preserve"> (</w:t>
      </w:r>
      <w:r w:rsidRPr="0083497B">
        <w:rPr>
          <w:rFonts w:asciiTheme="minorHAnsi" w:hAnsiTheme="minorHAnsi"/>
          <w:i/>
        </w:rPr>
        <w:t>...</w:t>
      </w:r>
      <w:r>
        <w:rPr>
          <w:rFonts w:asciiTheme="minorHAnsi" w:hAnsiTheme="minorHAnsi"/>
          <w:i/>
        </w:rPr>
        <w:t>)</w:t>
      </w:r>
      <w:r w:rsidRPr="0083497B">
        <w:rPr>
          <w:rFonts w:asciiTheme="minorHAnsi" w:hAnsiTheme="minorHAnsi"/>
          <w:i/>
        </w:rPr>
        <w:t xml:space="preserve"> b) jmenuje</w:t>
      </w:r>
      <w:proofErr w:type="gramEnd"/>
      <w:r w:rsidRPr="0083497B">
        <w:rPr>
          <w:rFonts w:asciiTheme="minorHAnsi" w:hAnsiTheme="minorHAnsi"/>
          <w:i/>
        </w:rPr>
        <w:t xml:space="preserve"> a odvolává ředitele, vyjma případu jmenování ředitele vládou, členy dozorčí rady </w:t>
      </w:r>
      <w:r>
        <w:rPr>
          <w:rFonts w:asciiTheme="minorHAnsi" w:hAnsiTheme="minorHAnsi"/>
          <w:i/>
        </w:rPr>
        <w:t>(</w:t>
      </w:r>
      <w:r w:rsidRPr="0083497B">
        <w:rPr>
          <w:rFonts w:asciiTheme="minorHAnsi" w:hAnsiTheme="minorHAnsi"/>
          <w:i/>
        </w:rPr>
        <w:t>...</w:t>
      </w:r>
      <w:r>
        <w:rPr>
          <w:rFonts w:asciiTheme="minorHAnsi" w:hAnsiTheme="minorHAnsi"/>
          <w:i/>
        </w:rPr>
        <w:t>)</w:t>
      </w:r>
      <w:r w:rsidRPr="00B30283">
        <w:rPr>
          <w:rFonts w:asciiTheme="minorHAnsi" w:hAnsiTheme="minorHAnsi"/>
        </w:rPr>
        <w:t>“</w:t>
      </w:r>
      <w:r w:rsidRPr="0083497B">
        <w:rPr>
          <w:rFonts w:asciiTheme="minorHAnsi" w:hAnsiTheme="minorHAnsi"/>
        </w:rPr>
        <w:t xml:space="preserve"> .</w:t>
      </w:r>
    </w:p>
  </w:footnote>
  <w:footnote w:id="14">
    <w:p w14:paraId="5C70AECC" w14:textId="6A9F2D09" w:rsidR="009764C9" w:rsidRPr="0083497B" w:rsidRDefault="009764C9" w:rsidP="00632820">
      <w:pPr>
        <w:pStyle w:val="Textpoznpodarou"/>
        <w:ind w:left="284" w:hanging="284"/>
        <w:jc w:val="both"/>
        <w:rPr>
          <w:rFonts w:asciiTheme="minorHAnsi" w:hAnsiTheme="minorHAnsi"/>
        </w:rPr>
      </w:pPr>
      <w:r w:rsidRPr="0083497B">
        <w:rPr>
          <w:rStyle w:val="Znakapoznpodarou"/>
          <w:rFonts w:asciiTheme="minorHAnsi" w:hAnsiTheme="minorHAnsi"/>
        </w:rPr>
        <w:footnoteRef/>
      </w:r>
      <w:r w:rsidRPr="0083497B">
        <w:rPr>
          <w:rFonts w:asciiTheme="minorHAnsi" w:hAnsiTheme="minorHAnsi"/>
        </w:rPr>
        <w:t xml:space="preserve"> </w:t>
      </w:r>
      <w:r>
        <w:rPr>
          <w:rFonts w:asciiTheme="minorHAnsi" w:hAnsiTheme="minorHAnsi"/>
        </w:rPr>
        <w:tab/>
      </w:r>
      <w:r w:rsidRPr="0083497B">
        <w:rPr>
          <w:rFonts w:asciiTheme="minorHAnsi" w:hAnsiTheme="minorHAnsi"/>
        </w:rPr>
        <w:t xml:space="preserve">Ustanovení § 13 odst. 2 zákona č. 77/1997 Sb., o státním podniku: </w:t>
      </w:r>
      <w:r w:rsidRPr="00B30283">
        <w:rPr>
          <w:rFonts w:asciiTheme="minorHAnsi" w:hAnsiTheme="minorHAnsi"/>
        </w:rPr>
        <w:t>„</w:t>
      </w:r>
      <w:r w:rsidRPr="0083497B">
        <w:rPr>
          <w:rFonts w:asciiTheme="minorHAnsi" w:hAnsiTheme="minorHAnsi"/>
          <w:i/>
        </w:rPr>
        <w:t>Dozorčí rada musí mít minimálně tři členy.</w:t>
      </w:r>
      <w:r w:rsidRPr="0083497B">
        <w:rPr>
          <w:rFonts w:asciiTheme="minorHAnsi" w:hAnsiTheme="minorHAnsi"/>
        </w:rPr>
        <w:t>“</w:t>
      </w:r>
    </w:p>
  </w:footnote>
  <w:footnote w:id="15">
    <w:p w14:paraId="69EEA278" w14:textId="778F965F" w:rsidR="009764C9" w:rsidRPr="00632820" w:rsidRDefault="009764C9" w:rsidP="00632820">
      <w:pPr>
        <w:ind w:left="284" w:hanging="284"/>
        <w:jc w:val="both"/>
        <w:rPr>
          <w:rFonts w:ascii="Calibri" w:hAnsi="Calibri" w:cs="Calibri"/>
          <w:sz w:val="20"/>
          <w:szCs w:val="20"/>
        </w:rPr>
      </w:pPr>
      <w:r w:rsidRPr="00632820">
        <w:rPr>
          <w:rStyle w:val="Znakapoznpodarou"/>
          <w:rFonts w:ascii="Calibri" w:hAnsi="Calibri" w:cs="Calibri"/>
          <w:sz w:val="20"/>
          <w:szCs w:val="20"/>
        </w:rPr>
        <w:footnoteRef/>
      </w:r>
      <w:r w:rsidRPr="00632820">
        <w:rPr>
          <w:rFonts w:ascii="Calibri" w:hAnsi="Calibri" w:cs="Calibri"/>
          <w:sz w:val="20"/>
          <w:szCs w:val="20"/>
        </w:rPr>
        <w:t xml:space="preserve"> </w:t>
      </w:r>
      <w:r w:rsidRPr="00632820">
        <w:rPr>
          <w:rFonts w:ascii="Calibri" w:hAnsi="Calibri" w:cs="Calibri"/>
          <w:sz w:val="20"/>
          <w:szCs w:val="20"/>
        </w:rPr>
        <w:tab/>
        <w:t>Ustanovení § 14 odst. 1 písm. d) zákona č. 77/1997 Sb., o státním podniku: „</w:t>
      </w:r>
      <w:r w:rsidRPr="00632820">
        <w:rPr>
          <w:rFonts w:ascii="Calibri" w:hAnsi="Calibri" w:cs="Calibri"/>
          <w:i/>
          <w:sz w:val="20"/>
          <w:szCs w:val="20"/>
        </w:rPr>
        <w:t xml:space="preserve">Ředitel podniku, jeho zástupce a členové dozorčí rady </w:t>
      </w:r>
      <w:proofErr w:type="gramStart"/>
      <w:r w:rsidRPr="00632820">
        <w:rPr>
          <w:rFonts w:ascii="Calibri" w:hAnsi="Calibri" w:cs="Calibri"/>
          <w:i/>
          <w:sz w:val="20"/>
          <w:szCs w:val="20"/>
        </w:rPr>
        <w:t xml:space="preserve">nesmějí </w:t>
      </w:r>
      <w:r>
        <w:rPr>
          <w:rFonts w:ascii="Calibri" w:hAnsi="Calibri" w:cs="Calibri"/>
          <w:i/>
          <w:sz w:val="20"/>
          <w:szCs w:val="20"/>
        </w:rPr>
        <w:t>(</w:t>
      </w:r>
      <w:r w:rsidRPr="00632820">
        <w:rPr>
          <w:rFonts w:ascii="Calibri" w:hAnsi="Calibri" w:cs="Calibri"/>
          <w:i/>
          <w:sz w:val="20"/>
          <w:szCs w:val="20"/>
        </w:rPr>
        <w:t>...</w:t>
      </w:r>
      <w:r>
        <w:rPr>
          <w:rFonts w:ascii="Calibri" w:hAnsi="Calibri" w:cs="Calibri"/>
          <w:i/>
          <w:sz w:val="20"/>
          <w:szCs w:val="20"/>
        </w:rPr>
        <w:t>)</w:t>
      </w:r>
      <w:r w:rsidRPr="00632820">
        <w:rPr>
          <w:rFonts w:ascii="Calibri" w:hAnsi="Calibri" w:cs="Calibri"/>
          <w:i/>
          <w:sz w:val="20"/>
          <w:szCs w:val="20"/>
        </w:rPr>
        <w:t xml:space="preserve"> d) vykonávat</w:t>
      </w:r>
      <w:proofErr w:type="gramEnd"/>
      <w:r w:rsidRPr="00632820">
        <w:rPr>
          <w:rFonts w:ascii="Calibri" w:hAnsi="Calibri" w:cs="Calibri"/>
          <w:i/>
          <w:sz w:val="20"/>
          <w:szCs w:val="20"/>
        </w:rPr>
        <w:t xml:space="preserve"> funkci statutárního orgánu nebo člena dozorčí (správní) rady právnické osoby s obdobnou podnikatelskou činností, nejde-li o právnickou osobu, na jejímž podnikání se podnik účastní.</w:t>
      </w:r>
      <w:r w:rsidRPr="00632820">
        <w:rPr>
          <w:rFonts w:ascii="Calibri" w:hAnsi="Calibri" w:cs="Calibri"/>
          <w:sz w:val="20"/>
          <w:szCs w:val="20"/>
        </w:rPr>
        <w:t>“</w:t>
      </w:r>
    </w:p>
  </w:footnote>
  <w:footnote w:id="16">
    <w:p w14:paraId="02DBD80C" w14:textId="605EA3CC" w:rsidR="009764C9" w:rsidRPr="00632820" w:rsidRDefault="009764C9" w:rsidP="00632820">
      <w:pPr>
        <w:ind w:left="284" w:hanging="284"/>
        <w:jc w:val="both"/>
        <w:rPr>
          <w:rFonts w:ascii="Calibri" w:hAnsi="Calibri" w:cs="Calibri"/>
          <w:sz w:val="20"/>
          <w:szCs w:val="20"/>
        </w:rPr>
      </w:pPr>
      <w:r w:rsidRPr="00632820">
        <w:rPr>
          <w:rStyle w:val="Znakapoznpodarou"/>
          <w:rFonts w:ascii="Calibri" w:hAnsi="Calibri" w:cs="Calibri"/>
          <w:sz w:val="20"/>
          <w:szCs w:val="20"/>
        </w:rPr>
        <w:footnoteRef/>
      </w:r>
      <w:r w:rsidRPr="00632820">
        <w:rPr>
          <w:rFonts w:ascii="Calibri" w:hAnsi="Calibri" w:cs="Calibri"/>
          <w:sz w:val="20"/>
          <w:szCs w:val="20"/>
        </w:rPr>
        <w:t xml:space="preserve"> </w:t>
      </w:r>
      <w:r w:rsidRPr="00632820">
        <w:rPr>
          <w:rFonts w:ascii="Calibri" w:hAnsi="Calibri" w:cs="Calibri"/>
          <w:sz w:val="20"/>
          <w:szCs w:val="20"/>
        </w:rPr>
        <w:tab/>
        <w:t>Ustanovení § 13 odst. 1 písm. a) zákona č. 77/1997 Sb., o státním podniku: „</w:t>
      </w:r>
      <w:r w:rsidRPr="00632820">
        <w:rPr>
          <w:rFonts w:ascii="Calibri" w:hAnsi="Calibri" w:cs="Calibri"/>
          <w:i/>
          <w:sz w:val="20"/>
          <w:szCs w:val="20"/>
        </w:rPr>
        <w:t>Dozorčí rada a) schvaluje v rozsahu, který určí zakladatel, zásadní otázky koncepce rozvoje podniku (zejména strategii rozvoje výroby a služeb, investiční a vědecko-technické programy, využití know-how podniku, programy společného podnikání s tuzemskými a zahraničními subjekty atd.)</w:t>
      </w:r>
      <w:r>
        <w:rPr>
          <w:rFonts w:ascii="Calibri" w:hAnsi="Calibri" w:cs="Calibri"/>
          <w:i/>
          <w:sz w:val="20"/>
          <w:szCs w:val="20"/>
        </w:rPr>
        <w:t>.</w:t>
      </w:r>
      <w:r w:rsidRPr="00632820">
        <w:rPr>
          <w:rFonts w:ascii="Calibri" w:hAnsi="Calibri" w:cs="Calibri"/>
          <w:sz w:val="20"/>
          <w:szCs w:val="20"/>
        </w:rPr>
        <w:t>“</w:t>
      </w:r>
    </w:p>
  </w:footnote>
  <w:footnote w:id="17">
    <w:p w14:paraId="46FC00E7" w14:textId="11335951" w:rsidR="009764C9" w:rsidRPr="00632820" w:rsidRDefault="009764C9" w:rsidP="00632820">
      <w:pPr>
        <w:ind w:left="284" w:hanging="284"/>
        <w:jc w:val="both"/>
        <w:rPr>
          <w:rFonts w:ascii="Calibri" w:hAnsi="Calibri" w:cs="Calibri"/>
          <w:sz w:val="20"/>
          <w:szCs w:val="20"/>
        </w:rPr>
      </w:pPr>
      <w:r w:rsidRPr="00632820">
        <w:rPr>
          <w:rStyle w:val="Znakapoznpodarou"/>
          <w:rFonts w:ascii="Calibri" w:hAnsi="Calibri" w:cs="Calibri"/>
          <w:sz w:val="20"/>
          <w:szCs w:val="20"/>
        </w:rPr>
        <w:footnoteRef/>
      </w:r>
      <w:r w:rsidRPr="00632820">
        <w:rPr>
          <w:rFonts w:ascii="Calibri" w:hAnsi="Calibri" w:cs="Calibri"/>
          <w:sz w:val="20"/>
          <w:szCs w:val="20"/>
        </w:rPr>
        <w:t xml:space="preserve"> </w:t>
      </w:r>
      <w:r w:rsidRPr="00632820">
        <w:rPr>
          <w:rFonts w:ascii="Calibri" w:hAnsi="Calibri" w:cs="Calibri"/>
          <w:sz w:val="20"/>
          <w:szCs w:val="20"/>
        </w:rPr>
        <w:tab/>
        <w:t>Ustanovení § 15 písm. g, h) zákona č. 77/1997 Sb., o státním podniku: „</w:t>
      </w:r>
      <w:proofErr w:type="gramStart"/>
      <w:r w:rsidRPr="00632820">
        <w:rPr>
          <w:rFonts w:ascii="Calibri" w:hAnsi="Calibri" w:cs="Calibri"/>
          <w:i/>
          <w:sz w:val="20"/>
          <w:szCs w:val="20"/>
        </w:rPr>
        <w:t xml:space="preserve">Zakladatel </w:t>
      </w:r>
      <w:r>
        <w:rPr>
          <w:rFonts w:ascii="Calibri" w:hAnsi="Calibri" w:cs="Calibri"/>
          <w:i/>
          <w:sz w:val="20"/>
          <w:szCs w:val="20"/>
        </w:rPr>
        <w:t>(</w:t>
      </w:r>
      <w:r w:rsidRPr="00632820">
        <w:rPr>
          <w:rFonts w:ascii="Calibri" w:hAnsi="Calibri" w:cs="Calibri"/>
          <w:i/>
          <w:sz w:val="20"/>
          <w:szCs w:val="20"/>
        </w:rPr>
        <w:t>...</w:t>
      </w:r>
      <w:r>
        <w:rPr>
          <w:rFonts w:ascii="Calibri" w:hAnsi="Calibri" w:cs="Calibri"/>
          <w:i/>
          <w:sz w:val="20"/>
          <w:szCs w:val="20"/>
        </w:rPr>
        <w:t>)</w:t>
      </w:r>
      <w:r w:rsidRPr="00632820">
        <w:rPr>
          <w:rFonts w:ascii="Calibri" w:hAnsi="Calibri" w:cs="Calibri"/>
          <w:i/>
          <w:sz w:val="20"/>
          <w:szCs w:val="20"/>
        </w:rPr>
        <w:t xml:space="preserve"> g) má</w:t>
      </w:r>
      <w:proofErr w:type="gramEnd"/>
      <w:r w:rsidRPr="00632820">
        <w:rPr>
          <w:rFonts w:ascii="Calibri" w:hAnsi="Calibri" w:cs="Calibri"/>
          <w:i/>
          <w:sz w:val="20"/>
          <w:szCs w:val="20"/>
        </w:rPr>
        <w:t xml:space="preserve"> právo a povinnost požadovat informace o hospodářské činnosti a stavu majetku podniku a na kontrolu a ověřování těchto informací způsobem stanoveným zvláštním předpisem, h) kontroluje, zda potřeby státu, které podnik svou podnikatelskou činností zabezpečuje, jsou zajišťovány účelně a hospodárně</w:t>
      </w:r>
      <w:r>
        <w:rPr>
          <w:rFonts w:ascii="Calibri" w:hAnsi="Calibri" w:cs="Calibri"/>
          <w:i/>
          <w:sz w:val="20"/>
          <w:szCs w:val="20"/>
        </w:rPr>
        <w:t>.</w:t>
      </w:r>
      <w:r w:rsidRPr="00632820">
        <w:rPr>
          <w:rFonts w:ascii="Calibri" w:hAnsi="Calibri" w:cs="Calibri"/>
          <w:sz w:val="20"/>
          <w:szCs w:val="20"/>
        </w:rPr>
        <w:t>“</w:t>
      </w:r>
    </w:p>
  </w:footnote>
  <w:footnote w:id="18">
    <w:p w14:paraId="4CBB6EC4" w14:textId="1C503839" w:rsidR="009764C9" w:rsidRPr="00632820" w:rsidRDefault="009764C9" w:rsidP="00D55F31">
      <w:pPr>
        <w:pStyle w:val="Textpoznpodarou"/>
        <w:ind w:left="284" w:hanging="284"/>
        <w:jc w:val="both"/>
        <w:rPr>
          <w:rFonts w:ascii="Calibri" w:hAnsi="Calibri" w:cs="Calibri"/>
        </w:rPr>
      </w:pPr>
      <w:r w:rsidRPr="00632820">
        <w:rPr>
          <w:rStyle w:val="Znakapoznpodarou"/>
          <w:rFonts w:ascii="Calibri" w:hAnsi="Calibri" w:cs="Calibri"/>
        </w:rPr>
        <w:footnoteRef/>
      </w:r>
      <w:r w:rsidRPr="00632820">
        <w:rPr>
          <w:rFonts w:ascii="Calibri" w:hAnsi="Calibri" w:cs="Calibri"/>
        </w:rPr>
        <w:t xml:space="preserve"> </w:t>
      </w:r>
      <w:r w:rsidRPr="00632820">
        <w:rPr>
          <w:rFonts w:ascii="Calibri" w:hAnsi="Calibri" w:cs="Calibri"/>
        </w:rPr>
        <w:tab/>
        <w:t xml:space="preserve">Ustanovení § 13 odst. 1 písm. i) zákona č. 77/1997 Sb., o státním podniku: </w:t>
      </w:r>
      <w:r w:rsidRPr="00B30283">
        <w:rPr>
          <w:rFonts w:ascii="Calibri" w:hAnsi="Calibri" w:cs="Calibri"/>
        </w:rPr>
        <w:t>„</w:t>
      </w:r>
      <w:r w:rsidRPr="00632820">
        <w:rPr>
          <w:rFonts w:ascii="Calibri" w:hAnsi="Calibri" w:cs="Calibri"/>
          <w:i/>
        </w:rPr>
        <w:t>Dozorčí rada i) schvaluje auditora</w:t>
      </w:r>
      <w:r>
        <w:rPr>
          <w:rFonts w:ascii="Calibri" w:hAnsi="Calibri" w:cs="Calibri"/>
          <w:i/>
        </w:rPr>
        <w:t>.</w:t>
      </w:r>
      <w:r w:rsidRPr="00B30283">
        <w:rPr>
          <w:rFonts w:ascii="Calibri" w:hAnsi="Calibri" w:cs="Calibri"/>
        </w:rPr>
        <w:t>“</w:t>
      </w:r>
      <w:r w:rsidRPr="00632820">
        <w:rPr>
          <w:rFonts w:ascii="Calibri" w:hAnsi="Calibri" w:cs="Calibri"/>
        </w:rPr>
        <w:t>.</w:t>
      </w:r>
    </w:p>
  </w:footnote>
  <w:footnote w:id="19">
    <w:p w14:paraId="4D9545AC" w14:textId="77777777" w:rsidR="009764C9" w:rsidRPr="00632820" w:rsidRDefault="009764C9" w:rsidP="00D55F31">
      <w:pPr>
        <w:pStyle w:val="Textpoznpodarou"/>
        <w:ind w:left="284" w:hanging="284"/>
        <w:jc w:val="both"/>
        <w:rPr>
          <w:rFonts w:ascii="Calibri" w:hAnsi="Calibri" w:cs="Calibri"/>
        </w:rPr>
      </w:pPr>
      <w:r w:rsidRPr="00632820">
        <w:rPr>
          <w:rStyle w:val="Znakapoznpodarou"/>
          <w:rFonts w:ascii="Calibri" w:hAnsi="Calibri" w:cs="Calibri"/>
        </w:rPr>
        <w:footnoteRef/>
      </w:r>
      <w:r w:rsidRPr="00632820">
        <w:rPr>
          <w:rFonts w:ascii="Calibri" w:hAnsi="Calibri" w:cs="Calibri"/>
        </w:rPr>
        <w:t xml:space="preserve"> </w:t>
      </w:r>
      <w:r w:rsidRPr="00632820">
        <w:rPr>
          <w:rFonts w:ascii="Calibri" w:hAnsi="Calibri" w:cs="Calibri"/>
        </w:rPr>
        <w:tab/>
        <w:t xml:space="preserve">Ustanovení § 39 vyhlášky č. 500/2002 Sb., </w:t>
      </w:r>
      <w:r w:rsidRPr="00632820">
        <w:rPr>
          <w:rFonts w:ascii="Calibri" w:hAnsi="Calibri" w:cs="Calibri"/>
          <w:bCs/>
          <w:lang w:eastAsia="cs-CZ"/>
        </w:rPr>
        <w:t xml:space="preserve">kterou se provádějí některá ustanovení zákona č. </w:t>
      </w:r>
      <w:hyperlink r:id="rId21" w:history="1">
        <w:r w:rsidRPr="00632820">
          <w:rPr>
            <w:rFonts w:ascii="Calibri" w:hAnsi="Calibri" w:cs="Calibri"/>
            <w:bCs/>
            <w:lang w:eastAsia="cs-CZ"/>
          </w:rPr>
          <w:t>563/1991 Sb.</w:t>
        </w:r>
      </w:hyperlink>
      <w:r w:rsidRPr="00632820">
        <w:rPr>
          <w:rFonts w:ascii="Calibri" w:hAnsi="Calibri" w:cs="Calibri"/>
          <w:bCs/>
          <w:lang w:eastAsia="cs-CZ"/>
        </w:rPr>
        <w:t>, o účetnictví, ve znění pozdějších předpisů, pro účetní jednotky, které jsou podnikateli účtujícími v soustavě podvojného účetnictví.</w:t>
      </w:r>
    </w:p>
  </w:footnote>
  <w:footnote w:id="20">
    <w:p w14:paraId="729EA39C" w14:textId="77777777" w:rsidR="009764C9" w:rsidRPr="00632820" w:rsidRDefault="009764C9" w:rsidP="00D55F31">
      <w:pPr>
        <w:pStyle w:val="Textpoznpodarou"/>
        <w:ind w:left="284" w:hanging="284"/>
        <w:jc w:val="both"/>
        <w:rPr>
          <w:rFonts w:ascii="Calibri" w:hAnsi="Calibri" w:cs="Calibri"/>
        </w:rPr>
      </w:pPr>
      <w:r w:rsidRPr="00632820">
        <w:rPr>
          <w:rStyle w:val="Znakapoznpodarou"/>
          <w:rFonts w:ascii="Calibri" w:hAnsi="Calibri" w:cs="Calibri"/>
        </w:rPr>
        <w:footnoteRef/>
      </w:r>
      <w:r w:rsidRPr="00632820">
        <w:rPr>
          <w:rFonts w:ascii="Calibri" w:hAnsi="Calibri" w:cs="Calibri"/>
        </w:rPr>
        <w:t xml:space="preserve"> </w:t>
      </w:r>
      <w:r w:rsidRPr="00632820">
        <w:rPr>
          <w:rFonts w:ascii="Calibri" w:hAnsi="Calibri" w:cs="Calibri"/>
        </w:rPr>
        <w:tab/>
        <w:t>Ustanovení § 21 zákona č. 563/1991 Sb., o účetnictví.</w:t>
      </w:r>
    </w:p>
  </w:footnote>
  <w:footnote w:id="21">
    <w:p w14:paraId="4AF7867E" w14:textId="77777777" w:rsidR="009764C9" w:rsidRPr="00632820" w:rsidRDefault="009764C9" w:rsidP="00D55F31">
      <w:pPr>
        <w:pStyle w:val="Textpoznpodarou"/>
        <w:ind w:left="284" w:hanging="284"/>
        <w:jc w:val="both"/>
        <w:rPr>
          <w:rFonts w:ascii="Calibri" w:hAnsi="Calibri" w:cs="Calibri"/>
        </w:rPr>
      </w:pPr>
      <w:r w:rsidRPr="00632820">
        <w:rPr>
          <w:rStyle w:val="Znakapoznpodarou"/>
          <w:rFonts w:ascii="Calibri" w:hAnsi="Calibri" w:cs="Calibri"/>
        </w:rPr>
        <w:footnoteRef/>
      </w:r>
      <w:r w:rsidRPr="00632820">
        <w:rPr>
          <w:rFonts w:ascii="Calibri" w:hAnsi="Calibri" w:cs="Calibri"/>
        </w:rPr>
        <w:t xml:space="preserve"> </w:t>
      </w:r>
      <w:r w:rsidRPr="00632820">
        <w:rPr>
          <w:rFonts w:ascii="Calibri" w:hAnsi="Calibri" w:cs="Calibri"/>
        </w:rPr>
        <w:tab/>
        <w:t>Ustanovení § 21 odst. 6 zákona č. 563/1991 Sb., o účetnictví.</w:t>
      </w:r>
    </w:p>
  </w:footnote>
  <w:footnote w:id="22">
    <w:p w14:paraId="14EF5C21" w14:textId="77777777" w:rsidR="009764C9" w:rsidRPr="00632820" w:rsidRDefault="009764C9" w:rsidP="00D55F31">
      <w:pPr>
        <w:pStyle w:val="Textpoznpodarou"/>
        <w:ind w:left="284" w:hanging="284"/>
        <w:jc w:val="both"/>
        <w:rPr>
          <w:rFonts w:ascii="Calibri" w:hAnsi="Calibri" w:cs="Calibri"/>
        </w:rPr>
      </w:pPr>
      <w:r w:rsidRPr="00632820">
        <w:rPr>
          <w:rStyle w:val="Znakapoznpodarou"/>
          <w:rFonts w:ascii="Calibri" w:hAnsi="Calibri" w:cs="Calibri"/>
        </w:rPr>
        <w:footnoteRef/>
      </w:r>
      <w:r w:rsidRPr="00632820">
        <w:rPr>
          <w:rFonts w:ascii="Calibri" w:hAnsi="Calibri" w:cs="Calibri"/>
        </w:rPr>
        <w:t xml:space="preserve"> </w:t>
      </w:r>
      <w:r w:rsidRPr="00632820">
        <w:rPr>
          <w:rFonts w:ascii="Calibri" w:hAnsi="Calibri" w:cs="Calibri"/>
        </w:rPr>
        <w:tab/>
        <w:t>Ustanovení § 38i zákona č. 513/1991 Sb., obchodní zákoník (účinnost do 31. 12. 2013); resp. § 66 zákona č. 304/2013 Sb., o veřejných rejstřících právnických a fyzických osob (účinnost od 1. 1. 2014).</w:t>
      </w:r>
    </w:p>
  </w:footnote>
  <w:footnote w:id="23">
    <w:p w14:paraId="3DAE14FC" w14:textId="33EC30D4" w:rsidR="009764C9" w:rsidRPr="00632820" w:rsidRDefault="009764C9" w:rsidP="00D55F31">
      <w:pPr>
        <w:pStyle w:val="Textpoznpodarou"/>
        <w:ind w:left="284" w:hanging="284"/>
        <w:jc w:val="both"/>
        <w:rPr>
          <w:rFonts w:ascii="Calibri" w:hAnsi="Calibri" w:cs="Calibri"/>
        </w:rPr>
      </w:pPr>
      <w:r w:rsidRPr="00632820">
        <w:rPr>
          <w:rStyle w:val="Znakapoznpodarou"/>
          <w:rFonts w:ascii="Calibri" w:hAnsi="Calibri" w:cs="Calibri"/>
        </w:rPr>
        <w:footnoteRef/>
      </w:r>
      <w:r w:rsidRPr="00632820">
        <w:rPr>
          <w:rFonts w:ascii="Calibri" w:hAnsi="Calibri" w:cs="Calibri"/>
        </w:rPr>
        <w:t xml:space="preserve"> </w:t>
      </w:r>
      <w:r w:rsidRPr="00632820">
        <w:rPr>
          <w:rFonts w:ascii="Calibri" w:hAnsi="Calibri" w:cs="Calibri"/>
        </w:rPr>
        <w:tab/>
        <w:t xml:space="preserve">Vyhláška č. 267/2012 Sb., o stanovení indikačního seznamu pro lázeňskou léčebně rehabilitační péči o dospělé, děti a dorost; </w:t>
      </w:r>
      <w:r>
        <w:rPr>
          <w:rFonts w:ascii="Calibri" w:hAnsi="Calibri" w:cs="Calibri"/>
        </w:rPr>
        <w:t>p</w:t>
      </w:r>
      <w:r w:rsidRPr="00632820">
        <w:rPr>
          <w:rFonts w:ascii="Calibri" w:hAnsi="Calibri" w:cs="Calibri"/>
        </w:rPr>
        <w:t>říloha č. 5 k zákonu č. 48/1997 Sb. definuje jednotlivé indikační skupiny, tj. skupiny onemocnění dle jednotlivých ústrojí.</w:t>
      </w:r>
    </w:p>
  </w:footnote>
  <w:footnote w:id="24">
    <w:p w14:paraId="5A67EDD3" w14:textId="77777777" w:rsidR="009764C9" w:rsidRPr="00632820" w:rsidRDefault="009764C9" w:rsidP="00D55F31">
      <w:pPr>
        <w:pStyle w:val="Textpoznpodarou"/>
        <w:ind w:left="284" w:hanging="284"/>
        <w:jc w:val="both"/>
        <w:rPr>
          <w:rFonts w:ascii="Calibri" w:hAnsi="Calibri" w:cs="Calibri"/>
        </w:rPr>
      </w:pPr>
      <w:r w:rsidRPr="00632820">
        <w:rPr>
          <w:rStyle w:val="Znakapoznpodarou"/>
          <w:rFonts w:ascii="Calibri" w:hAnsi="Calibri" w:cs="Calibri"/>
        </w:rPr>
        <w:footnoteRef/>
      </w:r>
      <w:r w:rsidRPr="00632820">
        <w:rPr>
          <w:rFonts w:ascii="Calibri" w:hAnsi="Calibri" w:cs="Calibri"/>
        </w:rPr>
        <w:t xml:space="preserve"> </w:t>
      </w:r>
      <w:r w:rsidRPr="00632820">
        <w:rPr>
          <w:rFonts w:ascii="Calibri" w:hAnsi="Calibri" w:cs="Calibri"/>
        </w:rPr>
        <w:tab/>
        <w:t>Vyhláška č. 428/2013 Sb., o stanovení hodnot bodů, výše úhrad hrazených služeb a regulačních omezení pro rok 2014.</w:t>
      </w:r>
    </w:p>
  </w:footnote>
  <w:footnote w:id="25">
    <w:p w14:paraId="601B8F2B" w14:textId="77777777" w:rsidR="009764C9" w:rsidRPr="00632820" w:rsidRDefault="009764C9" w:rsidP="00D55F31">
      <w:pPr>
        <w:pStyle w:val="Textpoznpodarou"/>
        <w:ind w:left="284" w:hanging="284"/>
        <w:jc w:val="both"/>
        <w:rPr>
          <w:rFonts w:ascii="Calibri" w:hAnsi="Calibri" w:cs="Calibri"/>
        </w:rPr>
      </w:pPr>
      <w:r w:rsidRPr="00632820">
        <w:rPr>
          <w:rStyle w:val="Znakapoznpodarou"/>
          <w:rFonts w:ascii="Calibri" w:hAnsi="Calibri" w:cs="Calibri"/>
        </w:rPr>
        <w:footnoteRef/>
      </w:r>
      <w:r w:rsidRPr="00632820">
        <w:rPr>
          <w:rFonts w:ascii="Calibri" w:hAnsi="Calibri" w:cs="Calibri"/>
        </w:rPr>
        <w:t xml:space="preserve"> </w:t>
      </w:r>
      <w:r w:rsidRPr="00632820">
        <w:rPr>
          <w:rFonts w:ascii="Calibri" w:hAnsi="Calibri" w:cs="Calibri"/>
        </w:rPr>
        <w:tab/>
        <w:t>Zákon č. 1/2015 Sb., kterým se mění zákon č. 48/1997 Sb., o veřejném zdravotním pojištění a o změně a doplnění některých souvisejících zákonů, ve znění pozdějších předpisů, účinný od 6. 1. 2015.</w:t>
      </w:r>
    </w:p>
  </w:footnote>
  <w:footnote w:id="26">
    <w:p w14:paraId="1C504475" w14:textId="0719F768" w:rsidR="009764C9" w:rsidRPr="00632820" w:rsidRDefault="009764C9" w:rsidP="00D55F31">
      <w:pPr>
        <w:autoSpaceDE w:val="0"/>
        <w:autoSpaceDN w:val="0"/>
        <w:adjustRightInd w:val="0"/>
        <w:ind w:left="284" w:hanging="284"/>
        <w:jc w:val="both"/>
        <w:rPr>
          <w:rFonts w:ascii="Calibri" w:hAnsi="Calibri" w:cs="Calibri"/>
          <w:sz w:val="20"/>
          <w:szCs w:val="20"/>
        </w:rPr>
      </w:pPr>
      <w:r w:rsidRPr="00632820">
        <w:rPr>
          <w:rStyle w:val="Znakapoznpodarou"/>
          <w:rFonts w:ascii="Calibri" w:hAnsi="Calibri" w:cs="Calibri"/>
          <w:sz w:val="20"/>
          <w:szCs w:val="20"/>
        </w:rPr>
        <w:footnoteRef/>
      </w:r>
      <w:r w:rsidRPr="00632820">
        <w:rPr>
          <w:rFonts w:ascii="Calibri" w:hAnsi="Calibri" w:cs="Calibri"/>
          <w:sz w:val="20"/>
          <w:szCs w:val="20"/>
        </w:rPr>
        <w:t xml:space="preserve"> </w:t>
      </w:r>
      <w:r w:rsidRPr="00632820">
        <w:rPr>
          <w:rFonts w:ascii="Calibri" w:hAnsi="Calibri" w:cs="Calibri"/>
          <w:sz w:val="20"/>
          <w:szCs w:val="20"/>
        </w:rPr>
        <w:tab/>
        <w:t xml:space="preserve">Novelizovaný </w:t>
      </w:r>
      <w:r>
        <w:rPr>
          <w:rFonts w:ascii="Calibri" w:hAnsi="Calibri" w:cs="Calibri"/>
          <w:sz w:val="20"/>
          <w:szCs w:val="20"/>
        </w:rPr>
        <w:t>i</w:t>
      </w:r>
      <w:r w:rsidRPr="00632820">
        <w:rPr>
          <w:rFonts w:ascii="Calibri" w:hAnsi="Calibri" w:cs="Calibri"/>
          <w:sz w:val="20"/>
          <w:szCs w:val="20"/>
        </w:rPr>
        <w:t>ndikační seznam byl pro klienty příznivější mimo jiné i tím, že u vybraných diagnóz vrátil zpět délku pobytu na 28 dní. U řady dětských diagnóz pak umožnil prodloužení léčby.</w:t>
      </w:r>
    </w:p>
  </w:footnote>
  <w:footnote w:id="27">
    <w:p w14:paraId="4E5EFC31" w14:textId="77777777" w:rsidR="009764C9" w:rsidRPr="00632820" w:rsidRDefault="009764C9" w:rsidP="00D55F31">
      <w:pPr>
        <w:pStyle w:val="Textpoznpodarou"/>
        <w:ind w:left="284" w:hanging="284"/>
        <w:jc w:val="both"/>
        <w:rPr>
          <w:rFonts w:ascii="Calibri" w:hAnsi="Calibri" w:cs="Calibri"/>
        </w:rPr>
      </w:pPr>
      <w:r w:rsidRPr="00632820">
        <w:rPr>
          <w:rStyle w:val="Znakapoznpodarou"/>
          <w:rFonts w:ascii="Calibri" w:hAnsi="Calibri" w:cs="Calibri"/>
        </w:rPr>
        <w:footnoteRef/>
      </w:r>
      <w:r w:rsidRPr="00632820">
        <w:rPr>
          <w:rFonts w:ascii="Calibri" w:hAnsi="Calibri" w:cs="Calibri"/>
        </w:rPr>
        <w:t xml:space="preserve"> </w:t>
      </w:r>
      <w:r w:rsidRPr="00632820">
        <w:rPr>
          <w:rFonts w:ascii="Calibri" w:hAnsi="Calibri" w:cs="Calibri"/>
        </w:rPr>
        <w:tab/>
        <w:t xml:space="preserve">Kontrolní akce NKÚ č. 08/21 – </w:t>
      </w:r>
      <w:r w:rsidRPr="00B30283">
        <w:rPr>
          <w:rFonts w:ascii="Calibri" w:hAnsi="Calibri" w:cs="Calibri"/>
          <w:i/>
        </w:rPr>
        <w:t>Hospodaření státních podniků, u nichž funkci zakladatele vykonává Ministerstvo zdravotnictví</w:t>
      </w:r>
      <w:r>
        <w:rPr>
          <w:rFonts w:ascii="Calibri" w:hAnsi="Calibri" w:cs="Calibri"/>
        </w:rPr>
        <w:t xml:space="preserve"> (kontrolní závěr byl zveřejněn v částce 1/2009 </w:t>
      </w:r>
      <w:r>
        <w:rPr>
          <w:rFonts w:ascii="Calibri" w:hAnsi="Calibri" w:cs="Calibri"/>
          <w:i/>
        </w:rPr>
        <w:t>Věstníku NKÚ</w:t>
      </w:r>
      <w:r>
        <w:rPr>
          <w:rFonts w:ascii="Calibri" w:hAnsi="Calibri" w:cs="Calibri"/>
        </w:rPr>
        <w:t>)</w:t>
      </w:r>
      <w:r w:rsidRPr="00632820">
        <w:rPr>
          <w:rFonts w:ascii="Calibri" w:hAnsi="Calibri" w:cs="Calibri"/>
        </w:rPr>
        <w:t>.</w:t>
      </w:r>
    </w:p>
  </w:footnote>
  <w:footnote w:id="28">
    <w:p w14:paraId="2CFDCCC7" w14:textId="77777777" w:rsidR="009764C9" w:rsidRPr="00632820" w:rsidRDefault="009764C9" w:rsidP="0065263C">
      <w:pPr>
        <w:pStyle w:val="Textpoznpodarou"/>
        <w:ind w:left="284" w:hanging="284"/>
        <w:jc w:val="both"/>
        <w:rPr>
          <w:rFonts w:ascii="Calibri" w:hAnsi="Calibri" w:cs="Calibri"/>
        </w:rPr>
      </w:pPr>
      <w:r w:rsidRPr="00632820">
        <w:rPr>
          <w:rStyle w:val="Znakapoznpodarou"/>
          <w:rFonts w:ascii="Calibri" w:hAnsi="Calibri" w:cs="Calibri"/>
        </w:rPr>
        <w:footnoteRef/>
      </w:r>
      <w:r w:rsidRPr="00632820">
        <w:rPr>
          <w:rFonts w:ascii="Calibri" w:hAnsi="Calibri" w:cs="Calibri"/>
        </w:rPr>
        <w:t xml:space="preserve"> </w:t>
      </w:r>
      <w:r>
        <w:rPr>
          <w:rFonts w:ascii="Calibri" w:hAnsi="Calibri" w:cs="Calibri"/>
        </w:rPr>
        <w:tab/>
      </w:r>
      <w:proofErr w:type="spellStart"/>
      <w:r w:rsidRPr="00632820">
        <w:rPr>
          <w:rFonts w:ascii="Calibri" w:hAnsi="Calibri" w:cs="Calibri"/>
        </w:rPr>
        <w:t>MZdr</w:t>
      </w:r>
      <w:proofErr w:type="spellEnd"/>
      <w:r w:rsidRPr="00632820">
        <w:rPr>
          <w:rFonts w:ascii="Calibri" w:hAnsi="Calibri" w:cs="Calibri"/>
        </w:rPr>
        <w:t xml:space="preserve"> zdůvodnilo, že činnost státního podniku nebyla dosud ukončena zejména proto, že probíhá restituční řízení a že není vypořádán vztah k nemovitému majetku, na němž se nachází ložiska přírodních léčivých zdrojů.</w:t>
      </w:r>
    </w:p>
  </w:footnote>
  <w:footnote w:id="29">
    <w:p w14:paraId="1FA5B421" w14:textId="77777777" w:rsidR="009764C9" w:rsidRPr="00632820" w:rsidRDefault="009764C9" w:rsidP="00632820">
      <w:pPr>
        <w:pStyle w:val="Textpoznpodarou"/>
        <w:ind w:left="284" w:hanging="284"/>
        <w:rPr>
          <w:rFonts w:ascii="Calibri" w:hAnsi="Calibri" w:cs="Calibri"/>
        </w:rPr>
      </w:pPr>
      <w:r w:rsidRPr="00632820">
        <w:rPr>
          <w:rStyle w:val="Znakapoznpodarou"/>
          <w:rFonts w:ascii="Calibri" w:hAnsi="Calibri" w:cs="Calibri"/>
        </w:rPr>
        <w:footnoteRef/>
      </w:r>
      <w:r w:rsidRPr="00632820">
        <w:rPr>
          <w:rFonts w:ascii="Calibri" w:hAnsi="Calibri" w:cs="Calibri"/>
        </w:rPr>
        <w:tab/>
        <w:t>Celkový kapitál = suma celkových aktiv, resp. pasiv podniku.</w:t>
      </w:r>
    </w:p>
  </w:footnote>
  <w:footnote w:id="30">
    <w:p w14:paraId="32FC148E" w14:textId="77777777" w:rsidR="009764C9" w:rsidRPr="00471ABD" w:rsidRDefault="009764C9" w:rsidP="00D55F31">
      <w:pPr>
        <w:pStyle w:val="Textpoznpodarou"/>
        <w:ind w:left="284" w:hanging="284"/>
        <w:jc w:val="both"/>
      </w:pPr>
      <w:r w:rsidRPr="00471ABD">
        <w:rPr>
          <w:rStyle w:val="Znakapoznpodarou"/>
          <w:rFonts w:asciiTheme="minorHAnsi" w:hAnsiTheme="minorHAnsi"/>
        </w:rPr>
        <w:footnoteRef/>
      </w:r>
      <w:r w:rsidRPr="00471ABD">
        <w:rPr>
          <w:rFonts w:asciiTheme="minorHAnsi" w:hAnsiTheme="minorHAnsi"/>
        </w:rPr>
        <w:t xml:space="preserve"> </w:t>
      </w:r>
      <w:r>
        <w:rPr>
          <w:rFonts w:asciiTheme="minorHAnsi" w:hAnsiTheme="minorHAnsi"/>
        </w:rPr>
        <w:tab/>
      </w:r>
      <w:r w:rsidRPr="00471ABD">
        <w:rPr>
          <w:rFonts w:asciiTheme="minorHAnsi" w:hAnsiTheme="minorHAnsi" w:cstheme="minorHAnsi"/>
        </w:rPr>
        <w:t>Z</w:t>
      </w:r>
      <w:r w:rsidRPr="00471ABD">
        <w:rPr>
          <w:rFonts w:asciiTheme="minorHAnsi" w:hAnsiTheme="minorHAnsi" w:cstheme="minorHAnsi"/>
          <w:lang w:eastAsia="cs-CZ"/>
        </w:rPr>
        <w:t>ákon č. 137/2006 Sb., o veřejných zakázkách.</w:t>
      </w:r>
    </w:p>
  </w:footnote>
  <w:footnote w:id="31">
    <w:p w14:paraId="0BAD58C4" w14:textId="77777777" w:rsidR="009764C9" w:rsidRPr="00471ABD" w:rsidRDefault="009764C9" w:rsidP="00D55F31">
      <w:pPr>
        <w:pStyle w:val="Textpoznpodarou"/>
        <w:ind w:left="284" w:hanging="284"/>
      </w:pPr>
      <w:r w:rsidRPr="00471ABD">
        <w:rPr>
          <w:rStyle w:val="Znakapoznpodarou"/>
          <w:rFonts w:asciiTheme="minorHAnsi" w:hAnsiTheme="minorHAnsi"/>
        </w:rPr>
        <w:footnoteRef/>
      </w:r>
      <w:r w:rsidRPr="00471ABD">
        <w:rPr>
          <w:rFonts w:asciiTheme="minorHAnsi" w:hAnsiTheme="minorHAnsi"/>
        </w:rPr>
        <w:t xml:space="preserve"> </w:t>
      </w:r>
      <w:r>
        <w:rPr>
          <w:rFonts w:asciiTheme="minorHAnsi" w:hAnsiTheme="minorHAnsi"/>
        </w:rPr>
        <w:tab/>
      </w:r>
      <w:r w:rsidRPr="00471ABD">
        <w:rPr>
          <w:rFonts w:asciiTheme="minorHAnsi" w:hAnsiTheme="minorHAnsi" w:cs="Calibri"/>
        </w:rPr>
        <w:t xml:space="preserve">Ustanovení § 13 odst. 1 </w:t>
      </w:r>
      <w:r w:rsidRPr="00471ABD">
        <w:rPr>
          <w:rFonts w:asciiTheme="minorHAnsi" w:hAnsiTheme="minorHAnsi" w:cs="Calibri"/>
          <w:bCs/>
        </w:rPr>
        <w:t>zákona č. 137/2006 Sb., o veřejných zakázkách.</w:t>
      </w:r>
    </w:p>
  </w:footnote>
  <w:footnote w:id="32">
    <w:p w14:paraId="14330E21" w14:textId="77777777" w:rsidR="009764C9" w:rsidRPr="00471ABD" w:rsidRDefault="009764C9" w:rsidP="00D55F31">
      <w:pPr>
        <w:pStyle w:val="Textpoznpodarou"/>
        <w:ind w:left="284" w:hanging="284"/>
      </w:pPr>
      <w:r w:rsidRPr="00471ABD">
        <w:rPr>
          <w:rStyle w:val="Znakapoznpodarou"/>
          <w:rFonts w:asciiTheme="minorHAnsi" w:hAnsiTheme="minorHAnsi"/>
        </w:rPr>
        <w:footnoteRef/>
      </w:r>
      <w:r w:rsidRPr="00471ABD">
        <w:rPr>
          <w:rFonts w:asciiTheme="minorHAnsi" w:hAnsiTheme="minorHAnsi"/>
        </w:rPr>
        <w:t xml:space="preserve"> </w:t>
      </w:r>
      <w:r>
        <w:rPr>
          <w:rFonts w:asciiTheme="minorHAnsi" w:hAnsiTheme="minorHAnsi"/>
        </w:rPr>
        <w:tab/>
      </w:r>
      <w:r w:rsidRPr="00471ABD">
        <w:rPr>
          <w:rFonts w:asciiTheme="minorHAnsi" w:hAnsiTheme="minorHAnsi" w:cs="Calibri"/>
        </w:rPr>
        <w:t xml:space="preserve">Ustanovení § 21 odst. 1 zákona č. 137/2006 Sb., </w:t>
      </w:r>
      <w:r w:rsidRPr="00471ABD">
        <w:rPr>
          <w:rFonts w:asciiTheme="minorHAnsi" w:hAnsiTheme="minorHAnsi" w:cs="Calibri"/>
          <w:bCs/>
        </w:rPr>
        <w:t>o veřejných zakázkách.</w:t>
      </w:r>
    </w:p>
  </w:footnote>
  <w:footnote w:id="33">
    <w:p w14:paraId="05B1C0F0" w14:textId="77777777" w:rsidR="009764C9" w:rsidRPr="00471ABD" w:rsidRDefault="009764C9" w:rsidP="00D55F31">
      <w:pPr>
        <w:pStyle w:val="Textpoznpodarou"/>
        <w:ind w:left="284" w:hanging="284"/>
      </w:pPr>
      <w:r w:rsidRPr="00471ABD">
        <w:rPr>
          <w:rStyle w:val="Znakapoznpodarou"/>
          <w:rFonts w:asciiTheme="minorHAnsi" w:hAnsiTheme="minorHAnsi"/>
        </w:rPr>
        <w:footnoteRef/>
      </w:r>
      <w:r w:rsidRPr="00471ABD">
        <w:rPr>
          <w:rFonts w:asciiTheme="minorHAnsi" w:hAnsiTheme="minorHAnsi"/>
        </w:rPr>
        <w:t xml:space="preserve"> </w:t>
      </w:r>
      <w:r>
        <w:rPr>
          <w:rFonts w:asciiTheme="minorHAnsi" w:hAnsiTheme="minorHAnsi"/>
        </w:rPr>
        <w:tab/>
      </w:r>
      <w:r w:rsidRPr="00471ABD">
        <w:rPr>
          <w:rFonts w:asciiTheme="minorHAnsi" w:hAnsiTheme="minorHAnsi" w:cs="Calibri"/>
        </w:rPr>
        <w:t xml:space="preserve">Ustanovení § 38 odst. 1 zákona č. 137/2006 Sb., </w:t>
      </w:r>
      <w:r w:rsidRPr="00471ABD">
        <w:rPr>
          <w:rFonts w:asciiTheme="minorHAnsi" w:hAnsiTheme="minorHAnsi" w:cs="Calibri"/>
          <w:bCs/>
        </w:rPr>
        <w:t>o veřejných zakázkách.</w:t>
      </w:r>
    </w:p>
  </w:footnote>
  <w:footnote w:id="34">
    <w:p w14:paraId="0F436C77" w14:textId="77777777" w:rsidR="009764C9" w:rsidRPr="00471ABD" w:rsidRDefault="009764C9" w:rsidP="00D55F31">
      <w:pPr>
        <w:pStyle w:val="Textpoznpodarou"/>
        <w:ind w:left="284" w:hanging="284"/>
      </w:pPr>
      <w:r w:rsidRPr="00471ABD">
        <w:rPr>
          <w:rStyle w:val="Znakapoznpodarou"/>
          <w:rFonts w:asciiTheme="minorHAnsi" w:hAnsiTheme="minorHAnsi"/>
        </w:rPr>
        <w:footnoteRef/>
      </w:r>
      <w:r w:rsidRPr="00471ABD">
        <w:rPr>
          <w:rFonts w:asciiTheme="minorHAnsi" w:hAnsiTheme="minorHAnsi"/>
        </w:rPr>
        <w:t xml:space="preserve"> </w:t>
      </w:r>
      <w:r>
        <w:rPr>
          <w:rFonts w:asciiTheme="minorHAnsi" w:hAnsiTheme="minorHAnsi"/>
        </w:rPr>
        <w:tab/>
      </w:r>
      <w:r w:rsidRPr="00471ABD">
        <w:rPr>
          <w:rFonts w:asciiTheme="minorHAnsi" w:hAnsiTheme="minorHAnsi" w:cs="Calibri"/>
        </w:rPr>
        <w:t xml:space="preserve">Ustanovení § 82 odst. 2 </w:t>
      </w:r>
      <w:r w:rsidRPr="00471ABD">
        <w:rPr>
          <w:rFonts w:asciiTheme="minorHAnsi" w:hAnsiTheme="minorHAnsi" w:cs="Calibri"/>
          <w:bCs/>
        </w:rPr>
        <w:t>zákona č. 137/2006 Sb., o veřejných zakázkách.</w:t>
      </w:r>
    </w:p>
  </w:footnote>
  <w:footnote w:id="35">
    <w:p w14:paraId="28A4CA54" w14:textId="77777777" w:rsidR="009764C9" w:rsidRPr="00471ABD" w:rsidRDefault="009764C9" w:rsidP="00D55F31">
      <w:pPr>
        <w:pStyle w:val="Textpoznpodarou"/>
        <w:ind w:left="284" w:hanging="284"/>
        <w:jc w:val="both"/>
        <w:rPr>
          <w:rFonts w:asciiTheme="minorHAnsi" w:hAnsiTheme="minorHAnsi"/>
        </w:rPr>
      </w:pPr>
      <w:r w:rsidRPr="00471ABD">
        <w:rPr>
          <w:rStyle w:val="Znakapoznpodarou"/>
          <w:rFonts w:asciiTheme="minorHAnsi" w:hAnsiTheme="minorHAnsi"/>
        </w:rPr>
        <w:footnoteRef/>
      </w:r>
      <w:r>
        <w:rPr>
          <w:rFonts w:asciiTheme="minorHAnsi" w:hAnsiTheme="minorHAnsi"/>
        </w:rPr>
        <w:tab/>
      </w:r>
      <w:r w:rsidRPr="00471ABD">
        <w:rPr>
          <w:rFonts w:asciiTheme="minorHAnsi" w:hAnsiTheme="minorHAnsi" w:cs="Calibri"/>
        </w:rPr>
        <w:t xml:space="preserve">Ustanovení § 17 odst. 2 zákona č. 77/1997 Sb., o státním podniku: </w:t>
      </w:r>
      <w:r w:rsidRPr="00021783">
        <w:rPr>
          <w:rFonts w:asciiTheme="minorHAnsi" w:hAnsiTheme="minorHAnsi" w:cs="Calibri"/>
        </w:rPr>
        <w:t>„</w:t>
      </w:r>
      <w:r w:rsidRPr="00471ABD">
        <w:rPr>
          <w:rFonts w:asciiTheme="minorHAnsi" w:hAnsiTheme="minorHAnsi" w:cs="Calibri"/>
          <w:i/>
        </w:rPr>
        <w:t>S určeným majetkem může podnik nakládat pouze se schválením zakladatele.</w:t>
      </w:r>
      <w:r w:rsidRPr="00021783">
        <w:rPr>
          <w:rFonts w:asciiTheme="minorHAnsi" w:hAnsiTheme="minorHAnsi" w:cs="Calibri"/>
        </w:rPr>
        <w:t>“</w:t>
      </w:r>
    </w:p>
  </w:footnote>
  <w:footnote w:id="36">
    <w:p w14:paraId="54F2BBBA" w14:textId="72D83669" w:rsidR="009764C9" w:rsidRPr="00632820" w:rsidRDefault="009764C9" w:rsidP="00632820">
      <w:pPr>
        <w:pStyle w:val="Textpoznpodarou"/>
        <w:ind w:left="284" w:hanging="284"/>
        <w:jc w:val="both"/>
        <w:rPr>
          <w:rFonts w:ascii="Calibri" w:hAnsi="Calibri" w:cs="Calibri"/>
        </w:rPr>
      </w:pPr>
      <w:r w:rsidRPr="00632820">
        <w:rPr>
          <w:rStyle w:val="Znakapoznpodarou"/>
          <w:rFonts w:ascii="Calibri" w:hAnsi="Calibri" w:cs="Calibri"/>
        </w:rPr>
        <w:footnoteRef/>
      </w:r>
      <w:r w:rsidRPr="00632820">
        <w:rPr>
          <w:rFonts w:ascii="Calibri" w:hAnsi="Calibri" w:cs="Calibri"/>
        </w:rPr>
        <w:t xml:space="preserve"> </w:t>
      </w:r>
      <w:r w:rsidRPr="00632820">
        <w:rPr>
          <w:rFonts w:ascii="Calibri" w:hAnsi="Calibri" w:cs="Calibri"/>
        </w:rPr>
        <w:tab/>
        <w:t>Přírodní léčivý zdroj – přirozeně se vyskytující minerální voda, plyn nebo peloid, které mají vlastnost vhodnou pro léčebné využití, a o tom</w:t>
      </w:r>
      <w:r>
        <w:rPr>
          <w:rFonts w:ascii="Calibri" w:hAnsi="Calibri" w:cs="Calibri"/>
        </w:rPr>
        <w:t>to</w:t>
      </w:r>
      <w:r w:rsidRPr="00632820">
        <w:rPr>
          <w:rFonts w:ascii="Calibri" w:hAnsi="Calibri" w:cs="Calibri"/>
        </w:rPr>
        <w:t xml:space="preserve"> zdroji je vydáno osvědčení dle zákona č. 164/2001 Sb.</w:t>
      </w:r>
    </w:p>
  </w:footnote>
  <w:footnote w:id="37">
    <w:p w14:paraId="7F18A5C9" w14:textId="77777777" w:rsidR="009764C9" w:rsidRPr="00632820" w:rsidRDefault="009764C9" w:rsidP="00632820">
      <w:pPr>
        <w:pStyle w:val="Textpoznpodarou"/>
        <w:ind w:left="284" w:hanging="284"/>
        <w:rPr>
          <w:rFonts w:ascii="Calibri" w:hAnsi="Calibri" w:cs="Calibri"/>
        </w:rPr>
      </w:pPr>
      <w:r w:rsidRPr="00632820">
        <w:rPr>
          <w:rStyle w:val="Znakapoznpodarou"/>
          <w:rFonts w:ascii="Calibri" w:hAnsi="Calibri" w:cs="Calibri"/>
        </w:rPr>
        <w:footnoteRef/>
      </w:r>
      <w:r w:rsidRPr="00632820">
        <w:rPr>
          <w:rFonts w:ascii="Calibri" w:hAnsi="Calibri" w:cs="Calibri"/>
        </w:rPr>
        <w:t xml:space="preserve"> </w:t>
      </w:r>
      <w:r w:rsidRPr="00632820">
        <w:rPr>
          <w:rFonts w:ascii="Calibri" w:hAnsi="Calibri" w:cs="Calibri"/>
        </w:rPr>
        <w:tab/>
        <w:t>Peloid – rašelina, slatina nebo bahno.</w:t>
      </w:r>
    </w:p>
  </w:footnote>
  <w:footnote w:id="38">
    <w:p w14:paraId="6F9CFA57" w14:textId="5DC92C3B" w:rsidR="009764C9" w:rsidRPr="00632820" w:rsidRDefault="009764C9" w:rsidP="00632820">
      <w:pPr>
        <w:pStyle w:val="Textpoznpodarou"/>
        <w:ind w:left="284" w:hanging="284"/>
        <w:jc w:val="both"/>
        <w:rPr>
          <w:rFonts w:ascii="Calibri" w:hAnsi="Calibri" w:cs="Calibri"/>
        </w:rPr>
      </w:pPr>
      <w:r w:rsidRPr="00632820">
        <w:rPr>
          <w:rStyle w:val="Znakapoznpodarou"/>
          <w:rFonts w:ascii="Calibri" w:hAnsi="Calibri" w:cs="Calibri"/>
        </w:rPr>
        <w:footnoteRef/>
      </w:r>
      <w:r w:rsidRPr="00632820">
        <w:rPr>
          <w:rFonts w:ascii="Calibri" w:hAnsi="Calibri" w:cs="Calibri"/>
        </w:rPr>
        <w:t xml:space="preserve"> </w:t>
      </w:r>
      <w:r w:rsidRPr="00632820">
        <w:rPr>
          <w:rFonts w:ascii="Calibri" w:hAnsi="Calibri" w:cs="Calibri"/>
        </w:rPr>
        <w:tab/>
        <w:t>Zákon č. 164/2001 Sb., o přírodních léčivých zdrojích, zdrojích přírodních minerálních vod, přírodních léčebných lázních a lázeňských místech a o změně některých souvisejících zákonů (lázeňský zákon); prováděcí vyhláška č. 423/2001 Sb., kterou se stanoví způsob a rozsah hodnocení přírodních léčivých zdrojů a zdrojů přírodních minerálních vod a další podrobnosti jejich využívání, požadavky na životní prostředí a vybavení přírodních léčebných lázní a náležitosti odborného posudku o využitelnosti přírodních léčivých zdrojů a klimatických podmínek k léčebným účelům, přírodní minerální vody k výrobě přírodních minerálních vod a o stavu životního prostředí přírodních léčebných lázní (vyhláška o zdrojích a lázních); prováděcí vyhláška č. 370/2001 Sb., o zkoušce o odborné způsobilosti k výkonu odborného dohledu nad využíváním a ochranou přírodních léčivých zdrojů a zdrojů přírodních minerálních vod</w:t>
      </w:r>
      <w:r>
        <w:rPr>
          <w:rFonts w:ascii="Calibri" w:hAnsi="Calibri" w:cs="Calibri"/>
        </w:rPr>
        <w:t>,</w:t>
      </w:r>
      <w:r w:rsidRPr="00632820">
        <w:rPr>
          <w:rFonts w:ascii="Calibri" w:hAnsi="Calibri" w:cs="Calibri"/>
        </w:rPr>
        <w:t xml:space="preserve"> a nařízení vlády č. 385/2001 Sb., kterým se stanoví jednotková výše poplatku za přírodní minerální vodu odebíranou ze zdroje přírodní minerální vody.</w:t>
      </w:r>
    </w:p>
  </w:footnote>
  <w:footnote w:id="39">
    <w:p w14:paraId="743CD237" w14:textId="52E890D8" w:rsidR="009764C9" w:rsidRPr="00632820" w:rsidRDefault="009764C9" w:rsidP="00632820">
      <w:pPr>
        <w:pStyle w:val="Textpoznpodarou"/>
        <w:ind w:left="284" w:hanging="284"/>
        <w:jc w:val="both"/>
        <w:rPr>
          <w:rFonts w:ascii="Calibri" w:hAnsi="Calibri" w:cs="Calibri"/>
        </w:rPr>
      </w:pPr>
      <w:r w:rsidRPr="00632820">
        <w:rPr>
          <w:rStyle w:val="Znakapoznpodarou"/>
          <w:rFonts w:ascii="Calibri" w:hAnsi="Calibri" w:cs="Calibri"/>
        </w:rPr>
        <w:footnoteRef/>
      </w:r>
      <w:r w:rsidRPr="00632820">
        <w:rPr>
          <w:rFonts w:ascii="Calibri" w:hAnsi="Calibri" w:cs="Calibri"/>
        </w:rPr>
        <w:t xml:space="preserve"> </w:t>
      </w:r>
      <w:r w:rsidRPr="00632820">
        <w:rPr>
          <w:rFonts w:ascii="Calibri" w:hAnsi="Calibri" w:cs="Calibri"/>
        </w:rPr>
        <w:tab/>
        <w:t xml:space="preserve">Lázeňské místo a </w:t>
      </w:r>
      <w:r>
        <w:rPr>
          <w:rFonts w:ascii="Calibri" w:hAnsi="Calibri" w:cs="Calibri"/>
        </w:rPr>
        <w:t>s</w:t>
      </w:r>
      <w:r w:rsidRPr="00632820">
        <w:rPr>
          <w:rFonts w:ascii="Calibri" w:hAnsi="Calibri" w:cs="Calibri"/>
        </w:rPr>
        <w:t>tatut lázeňského místa stanoví vláda nařízením (ustanovení § 28 zákona č. 164/2001 Sb.). Návrh na stanovení lázeňského místa a návrh statutu lázeňského místa podává obec nebo společně více obcí, v jejichž územním obvodu jsou nebo mají být přírodní léčebné lázně (ustanovení § 29 zákona č. 164/2001</w:t>
      </w:r>
      <w:r>
        <w:rPr>
          <w:rFonts w:ascii="Calibri" w:hAnsi="Calibri" w:cs="Calibri"/>
        </w:rPr>
        <w:t> </w:t>
      </w:r>
      <w:r w:rsidRPr="00632820">
        <w:rPr>
          <w:rFonts w:ascii="Calibri" w:hAnsi="Calibri" w:cs="Calibri"/>
        </w:rPr>
        <w:t>Sb.); statut SLL Bludov z roku 1977, statut SLL Jánské Lázně z roku 1959 a statut HL K. Studánka z roku 1957.</w:t>
      </w:r>
    </w:p>
  </w:footnote>
  <w:footnote w:id="40">
    <w:p w14:paraId="5C597680" w14:textId="1AEEC57D" w:rsidR="009764C9" w:rsidRPr="00632820" w:rsidRDefault="009764C9" w:rsidP="00632820">
      <w:pPr>
        <w:ind w:left="284" w:hanging="284"/>
        <w:jc w:val="both"/>
        <w:rPr>
          <w:rFonts w:ascii="Calibri" w:hAnsi="Calibri" w:cs="Calibri"/>
          <w:sz w:val="20"/>
          <w:szCs w:val="20"/>
        </w:rPr>
      </w:pPr>
      <w:r w:rsidRPr="00632820">
        <w:rPr>
          <w:rStyle w:val="Znakapoznpodarou"/>
          <w:rFonts w:ascii="Calibri" w:hAnsi="Calibri" w:cs="Calibri"/>
          <w:sz w:val="20"/>
          <w:szCs w:val="20"/>
        </w:rPr>
        <w:footnoteRef/>
      </w:r>
      <w:r w:rsidRPr="00632820">
        <w:rPr>
          <w:rFonts w:ascii="Calibri" w:hAnsi="Calibri" w:cs="Calibri"/>
          <w:sz w:val="20"/>
          <w:szCs w:val="20"/>
        </w:rPr>
        <w:t xml:space="preserve"> </w:t>
      </w:r>
      <w:r w:rsidRPr="00632820">
        <w:rPr>
          <w:rFonts w:ascii="Calibri" w:hAnsi="Calibri" w:cs="Calibri"/>
          <w:sz w:val="20"/>
          <w:szCs w:val="20"/>
        </w:rPr>
        <w:tab/>
        <w:t>Vyhláška č. 267/2012 Sb., o stanovení indikačního seznamu pro lázeňskou léčebně rehabilitační péči o dospělé, děti a dorost (účinnost do 31. 12. 2014)</w:t>
      </w:r>
      <w:r>
        <w:rPr>
          <w:rFonts w:ascii="Calibri" w:hAnsi="Calibri" w:cs="Calibri"/>
          <w:sz w:val="20"/>
          <w:szCs w:val="20"/>
        </w:rPr>
        <w:t>,</w:t>
      </w:r>
      <w:r w:rsidRPr="00632820">
        <w:rPr>
          <w:rFonts w:ascii="Calibri" w:hAnsi="Calibri" w:cs="Calibri"/>
          <w:sz w:val="20"/>
          <w:szCs w:val="20"/>
        </w:rPr>
        <w:t xml:space="preserve"> </w:t>
      </w:r>
      <w:r>
        <w:rPr>
          <w:rFonts w:ascii="Calibri" w:hAnsi="Calibri" w:cs="Calibri"/>
          <w:sz w:val="20"/>
          <w:szCs w:val="20"/>
        </w:rPr>
        <w:t>a p</w:t>
      </w:r>
      <w:r w:rsidRPr="00632820">
        <w:rPr>
          <w:rFonts w:ascii="Calibri" w:hAnsi="Calibri" w:cs="Calibri"/>
          <w:sz w:val="20"/>
          <w:szCs w:val="20"/>
        </w:rPr>
        <w:t>říloha č. 5 k zákonu č. 48/1997 Sb.</w:t>
      </w:r>
      <w:r w:rsidRPr="005D3209">
        <w:rPr>
          <w:rFonts w:ascii="Calibri" w:hAnsi="Calibri" w:cs="Calibri"/>
          <w:sz w:val="20"/>
          <w:szCs w:val="20"/>
        </w:rPr>
        <w:t xml:space="preserve"> </w:t>
      </w:r>
      <w:r w:rsidRPr="00632820">
        <w:rPr>
          <w:rFonts w:ascii="Calibri" w:hAnsi="Calibri" w:cs="Calibri"/>
          <w:sz w:val="20"/>
          <w:szCs w:val="20"/>
        </w:rPr>
        <w:t>(účinná od 6. 1. 2015) definují jednotlivé indikační skupiny, tj. skupiny onemocnění dle jednotlivých ústrojí.</w:t>
      </w:r>
    </w:p>
  </w:footnote>
  <w:footnote w:id="41">
    <w:p w14:paraId="6F23E357" w14:textId="3070DFD9" w:rsidR="009764C9" w:rsidRPr="00632820" w:rsidRDefault="009764C9" w:rsidP="00632820">
      <w:pPr>
        <w:ind w:left="284" w:hanging="284"/>
        <w:jc w:val="both"/>
        <w:rPr>
          <w:rFonts w:ascii="Calibri" w:hAnsi="Calibri" w:cs="Calibri"/>
          <w:sz w:val="20"/>
          <w:szCs w:val="20"/>
        </w:rPr>
      </w:pPr>
      <w:r w:rsidRPr="00632820">
        <w:rPr>
          <w:rStyle w:val="Znakapoznpodarou"/>
          <w:rFonts w:ascii="Calibri" w:hAnsi="Calibri" w:cs="Calibri"/>
          <w:sz w:val="20"/>
          <w:szCs w:val="20"/>
        </w:rPr>
        <w:footnoteRef/>
      </w:r>
      <w:r w:rsidRPr="00632820">
        <w:rPr>
          <w:rFonts w:ascii="Calibri" w:hAnsi="Calibri" w:cs="Calibri"/>
          <w:sz w:val="20"/>
          <w:szCs w:val="20"/>
        </w:rPr>
        <w:t xml:space="preserve"> </w:t>
      </w:r>
      <w:r w:rsidRPr="00632820">
        <w:rPr>
          <w:rFonts w:ascii="Calibri" w:hAnsi="Calibri" w:cs="Calibri"/>
          <w:sz w:val="20"/>
          <w:szCs w:val="20"/>
        </w:rPr>
        <w:tab/>
        <w:t xml:space="preserve">Indikační skupiny pro dospělé: I </w:t>
      </w:r>
      <w:r>
        <w:rPr>
          <w:rFonts w:ascii="Calibri" w:hAnsi="Calibri" w:cs="Calibri"/>
          <w:sz w:val="20"/>
          <w:szCs w:val="20"/>
        </w:rPr>
        <w:t>–</w:t>
      </w:r>
      <w:r w:rsidRPr="00632820">
        <w:rPr>
          <w:rFonts w:ascii="Calibri" w:hAnsi="Calibri" w:cs="Calibri"/>
          <w:sz w:val="20"/>
          <w:szCs w:val="20"/>
        </w:rPr>
        <w:t xml:space="preserve"> nemoci onkologické, II </w:t>
      </w:r>
      <w:r>
        <w:rPr>
          <w:rFonts w:ascii="Calibri" w:hAnsi="Calibri" w:cs="Calibri"/>
          <w:sz w:val="20"/>
          <w:szCs w:val="20"/>
        </w:rPr>
        <w:t>–</w:t>
      </w:r>
      <w:r w:rsidRPr="00632820">
        <w:rPr>
          <w:rFonts w:ascii="Calibri" w:hAnsi="Calibri" w:cs="Calibri"/>
          <w:sz w:val="20"/>
          <w:szCs w:val="20"/>
        </w:rPr>
        <w:t xml:space="preserve"> nemoci oběhového ústrojí, III </w:t>
      </w:r>
      <w:r>
        <w:rPr>
          <w:rFonts w:ascii="Calibri" w:hAnsi="Calibri" w:cs="Calibri"/>
          <w:sz w:val="20"/>
          <w:szCs w:val="20"/>
        </w:rPr>
        <w:t>–</w:t>
      </w:r>
      <w:r w:rsidRPr="00632820">
        <w:rPr>
          <w:rFonts w:ascii="Calibri" w:hAnsi="Calibri" w:cs="Calibri"/>
          <w:sz w:val="20"/>
          <w:szCs w:val="20"/>
        </w:rPr>
        <w:t xml:space="preserve"> nemoci trávicího ústrojí, IV</w:t>
      </w:r>
      <w:r w:rsidR="00FD33D5">
        <w:rPr>
          <w:rFonts w:ascii="Calibri" w:hAnsi="Calibri" w:cs="Calibri"/>
          <w:sz w:val="20"/>
          <w:szCs w:val="20"/>
        </w:rPr>
        <w:t xml:space="preserve"> </w:t>
      </w:r>
      <w:r>
        <w:rPr>
          <w:rFonts w:ascii="Calibri" w:hAnsi="Calibri" w:cs="Calibri"/>
          <w:sz w:val="20"/>
          <w:szCs w:val="20"/>
        </w:rPr>
        <w:t>–</w:t>
      </w:r>
      <w:r w:rsidRPr="00632820">
        <w:rPr>
          <w:rFonts w:ascii="Calibri" w:hAnsi="Calibri" w:cs="Calibri"/>
          <w:sz w:val="20"/>
          <w:szCs w:val="20"/>
        </w:rPr>
        <w:t xml:space="preserve"> nemoci z poruch výměny látkové, V </w:t>
      </w:r>
      <w:r>
        <w:rPr>
          <w:rFonts w:ascii="Calibri" w:hAnsi="Calibri" w:cs="Calibri"/>
          <w:sz w:val="20"/>
          <w:szCs w:val="20"/>
        </w:rPr>
        <w:t>–</w:t>
      </w:r>
      <w:r w:rsidRPr="00632820">
        <w:rPr>
          <w:rFonts w:ascii="Calibri" w:hAnsi="Calibri" w:cs="Calibri"/>
          <w:sz w:val="20"/>
          <w:szCs w:val="20"/>
        </w:rPr>
        <w:t xml:space="preserve"> nemoci dýchacího ústrojí, VI </w:t>
      </w:r>
      <w:r>
        <w:rPr>
          <w:rFonts w:ascii="Calibri" w:hAnsi="Calibri" w:cs="Calibri"/>
          <w:sz w:val="20"/>
          <w:szCs w:val="20"/>
        </w:rPr>
        <w:t>–</w:t>
      </w:r>
      <w:r w:rsidRPr="00632820">
        <w:rPr>
          <w:rFonts w:ascii="Calibri" w:hAnsi="Calibri" w:cs="Calibri"/>
          <w:sz w:val="20"/>
          <w:szCs w:val="20"/>
        </w:rPr>
        <w:t xml:space="preserve"> nemoci nervové, VII </w:t>
      </w:r>
      <w:r>
        <w:rPr>
          <w:rFonts w:ascii="Calibri" w:hAnsi="Calibri" w:cs="Calibri"/>
          <w:sz w:val="20"/>
          <w:szCs w:val="20"/>
        </w:rPr>
        <w:t xml:space="preserve">– </w:t>
      </w:r>
      <w:r w:rsidRPr="00632820">
        <w:rPr>
          <w:rFonts w:ascii="Calibri" w:hAnsi="Calibri" w:cs="Calibri"/>
          <w:sz w:val="20"/>
          <w:szCs w:val="20"/>
        </w:rPr>
        <w:t xml:space="preserve">nemoci pohybového ústrojí, VIII </w:t>
      </w:r>
      <w:r>
        <w:rPr>
          <w:rFonts w:ascii="Calibri" w:hAnsi="Calibri" w:cs="Calibri"/>
          <w:sz w:val="20"/>
          <w:szCs w:val="20"/>
        </w:rPr>
        <w:t>–</w:t>
      </w:r>
      <w:r w:rsidRPr="00632820">
        <w:rPr>
          <w:rFonts w:ascii="Calibri" w:hAnsi="Calibri" w:cs="Calibri"/>
          <w:sz w:val="20"/>
          <w:szCs w:val="20"/>
        </w:rPr>
        <w:t xml:space="preserve"> nemoci močového ústrojí, IX </w:t>
      </w:r>
      <w:r>
        <w:rPr>
          <w:rFonts w:ascii="Calibri" w:hAnsi="Calibri" w:cs="Calibri"/>
          <w:sz w:val="20"/>
          <w:szCs w:val="20"/>
        </w:rPr>
        <w:t>–</w:t>
      </w:r>
      <w:r w:rsidRPr="00632820">
        <w:rPr>
          <w:rFonts w:ascii="Calibri" w:hAnsi="Calibri" w:cs="Calibri"/>
          <w:sz w:val="20"/>
          <w:szCs w:val="20"/>
        </w:rPr>
        <w:t xml:space="preserve"> duševní poruchy, X </w:t>
      </w:r>
      <w:r>
        <w:rPr>
          <w:rFonts w:ascii="Calibri" w:hAnsi="Calibri" w:cs="Calibri"/>
          <w:sz w:val="20"/>
          <w:szCs w:val="20"/>
        </w:rPr>
        <w:t>–</w:t>
      </w:r>
      <w:r w:rsidRPr="00632820">
        <w:rPr>
          <w:rFonts w:ascii="Calibri" w:hAnsi="Calibri" w:cs="Calibri"/>
          <w:sz w:val="20"/>
          <w:szCs w:val="20"/>
        </w:rPr>
        <w:t xml:space="preserve"> nemoci kožní, XI </w:t>
      </w:r>
      <w:r>
        <w:rPr>
          <w:rFonts w:ascii="Calibri" w:hAnsi="Calibri" w:cs="Calibri"/>
          <w:sz w:val="20"/>
          <w:szCs w:val="20"/>
        </w:rPr>
        <w:t>–</w:t>
      </w:r>
      <w:r w:rsidRPr="00632820">
        <w:rPr>
          <w:rFonts w:ascii="Calibri" w:hAnsi="Calibri" w:cs="Calibri"/>
          <w:sz w:val="20"/>
          <w:szCs w:val="20"/>
        </w:rPr>
        <w:t xml:space="preserve"> nemoci gynekologické. </w:t>
      </w:r>
    </w:p>
    <w:p w14:paraId="4ED56E73" w14:textId="2D5755FD" w:rsidR="009764C9" w:rsidRPr="00632820" w:rsidRDefault="009764C9" w:rsidP="00632820">
      <w:pPr>
        <w:ind w:left="284" w:hanging="284"/>
        <w:jc w:val="both"/>
        <w:rPr>
          <w:rFonts w:ascii="Calibri" w:hAnsi="Calibri" w:cs="Calibri"/>
          <w:sz w:val="20"/>
          <w:szCs w:val="20"/>
        </w:rPr>
      </w:pPr>
      <w:r w:rsidRPr="00632820">
        <w:rPr>
          <w:rFonts w:ascii="Calibri" w:hAnsi="Calibri" w:cs="Calibri"/>
          <w:sz w:val="20"/>
          <w:szCs w:val="20"/>
        </w:rPr>
        <w:tab/>
        <w:t xml:space="preserve">Indikační skupiny pro děti: XXI </w:t>
      </w:r>
      <w:r>
        <w:rPr>
          <w:rFonts w:ascii="Calibri" w:hAnsi="Calibri" w:cs="Calibri"/>
          <w:sz w:val="20"/>
          <w:szCs w:val="20"/>
        </w:rPr>
        <w:t>–</w:t>
      </w:r>
      <w:r w:rsidRPr="00632820">
        <w:rPr>
          <w:rFonts w:ascii="Calibri" w:hAnsi="Calibri" w:cs="Calibri"/>
          <w:sz w:val="20"/>
          <w:szCs w:val="20"/>
        </w:rPr>
        <w:t xml:space="preserve"> nemoci onkologické, XXII </w:t>
      </w:r>
      <w:r>
        <w:rPr>
          <w:rFonts w:ascii="Calibri" w:hAnsi="Calibri" w:cs="Calibri"/>
          <w:sz w:val="20"/>
          <w:szCs w:val="20"/>
        </w:rPr>
        <w:t>–</w:t>
      </w:r>
      <w:r w:rsidRPr="00632820">
        <w:rPr>
          <w:rFonts w:ascii="Calibri" w:hAnsi="Calibri" w:cs="Calibri"/>
          <w:sz w:val="20"/>
          <w:szCs w:val="20"/>
        </w:rPr>
        <w:t xml:space="preserve"> nemoci oběhového ústrojí, XXIII </w:t>
      </w:r>
      <w:r>
        <w:rPr>
          <w:rFonts w:ascii="Calibri" w:hAnsi="Calibri" w:cs="Calibri"/>
          <w:sz w:val="20"/>
          <w:szCs w:val="20"/>
        </w:rPr>
        <w:t>–</w:t>
      </w:r>
      <w:r w:rsidRPr="00632820">
        <w:rPr>
          <w:rFonts w:ascii="Calibri" w:hAnsi="Calibri" w:cs="Calibri"/>
          <w:sz w:val="20"/>
          <w:szCs w:val="20"/>
        </w:rPr>
        <w:t xml:space="preserve"> nemoci trávicího ústrojí, XXIV </w:t>
      </w:r>
      <w:r>
        <w:rPr>
          <w:rFonts w:ascii="Calibri" w:hAnsi="Calibri" w:cs="Calibri"/>
          <w:sz w:val="20"/>
          <w:szCs w:val="20"/>
        </w:rPr>
        <w:t>–</w:t>
      </w:r>
      <w:r w:rsidRPr="00632820">
        <w:rPr>
          <w:rFonts w:ascii="Calibri" w:hAnsi="Calibri" w:cs="Calibri"/>
          <w:sz w:val="20"/>
          <w:szCs w:val="20"/>
        </w:rPr>
        <w:t xml:space="preserve"> nemoci z poruch výměny látkové a žláz s vnitřní sekrecí a obezita, XXV</w:t>
      </w:r>
      <w:r>
        <w:rPr>
          <w:rFonts w:ascii="Calibri" w:hAnsi="Calibri" w:cs="Calibri"/>
          <w:sz w:val="20"/>
          <w:szCs w:val="20"/>
        </w:rPr>
        <w:t xml:space="preserve"> –</w:t>
      </w:r>
      <w:r w:rsidRPr="00632820">
        <w:rPr>
          <w:rFonts w:ascii="Calibri" w:hAnsi="Calibri" w:cs="Calibri"/>
          <w:sz w:val="20"/>
          <w:szCs w:val="20"/>
        </w:rPr>
        <w:t xml:space="preserve"> nemoci dýchacího ústrojí, XXVI</w:t>
      </w:r>
      <w:r>
        <w:rPr>
          <w:rFonts w:ascii="Calibri" w:hAnsi="Calibri" w:cs="Calibri"/>
          <w:sz w:val="20"/>
          <w:szCs w:val="20"/>
        </w:rPr>
        <w:t xml:space="preserve"> –</w:t>
      </w:r>
      <w:r w:rsidRPr="00632820">
        <w:rPr>
          <w:rFonts w:ascii="Calibri" w:hAnsi="Calibri" w:cs="Calibri"/>
          <w:sz w:val="20"/>
          <w:szCs w:val="20"/>
        </w:rPr>
        <w:t xml:space="preserve"> nemoci nervové, XXVII</w:t>
      </w:r>
      <w:r>
        <w:rPr>
          <w:rFonts w:ascii="Calibri" w:hAnsi="Calibri" w:cs="Calibri"/>
          <w:sz w:val="20"/>
          <w:szCs w:val="20"/>
        </w:rPr>
        <w:t xml:space="preserve"> –</w:t>
      </w:r>
      <w:r w:rsidRPr="00632820">
        <w:rPr>
          <w:rFonts w:ascii="Calibri" w:hAnsi="Calibri" w:cs="Calibri"/>
          <w:sz w:val="20"/>
          <w:szCs w:val="20"/>
        </w:rPr>
        <w:t xml:space="preserve"> nemoci pohybového ústrojí, XXVIII</w:t>
      </w:r>
      <w:r>
        <w:rPr>
          <w:rFonts w:ascii="Calibri" w:hAnsi="Calibri" w:cs="Calibri"/>
          <w:sz w:val="20"/>
          <w:szCs w:val="20"/>
        </w:rPr>
        <w:t xml:space="preserve"> –</w:t>
      </w:r>
      <w:r w:rsidRPr="00632820">
        <w:rPr>
          <w:rFonts w:ascii="Calibri" w:hAnsi="Calibri" w:cs="Calibri"/>
          <w:sz w:val="20"/>
          <w:szCs w:val="20"/>
        </w:rPr>
        <w:t xml:space="preserve"> nemoci močového ústrojí, XXIX </w:t>
      </w:r>
      <w:r>
        <w:rPr>
          <w:rFonts w:ascii="Calibri" w:hAnsi="Calibri" w:cs="Calibri"/>
          <w:sz w:val="20"/>
          <w:szCs w:val="20"/>
        </w:rPr>
        <w:t>–</w:t>
      </w:r>
      <w:r w:rsidRPr="00632820">
        <w:rPr>
          <w:rFonts w:ascii="Calibri" w:hAnsi="Calibri" w:cs="Calibri"/>
          <w:sz w:val="20"/>
          <w:szCs w:val="20"/>
        </w:rPr>
        <w:t xml:space="preserve"> duševní poruchy, XXX </w:t>
      </w:r>
      <w:r>
        <w:rPr>
          <w:rFonts w:ascii="Calibri" w:hAnsi="Calibri" w:cs="Calibri"/>
          <w:sz w:val="20"/>
          <w:szCs w:val="20"/>
        </w:rPr>
        <w:t>–</w:t>
      </w:r>
      <w:r w:rsidRPr="00632820">
        <w:rPr>
          <w:rFonts w:ascii="Calibri" w:hAnsi="Calibri" w:cs="Calibri"/>
          <w:sz w:val="20"/>
          <w:szCs w:val="20"/>
        </w:rPr>
        <w:t xml:space="preserve"> nemoci kožní, XXXI </w:t>
      </w:r>
      <w:r>
        <w:rPr>
          <w:rFonts w:ascii="Calibri" w:hAnsi="Calibri" w:cs="Calibri"/>
          <w:sz w:val="20"/>
          <w:szCs w:val="20"/>
        </w:rPr>
        <w:t>–</w:t>
      </w:r>
      <w:r w:rsidRPr="00632820">
        <w:rPr>
          <w:rFonts w:ascii="Calibri" w:hAnsi="Calibri" w:cs="Calibri"/>
          <w:sz w:val="20"/>
          <w:szCs w:val="20"/>
        </w:rPr>
        <w:t xml:space="preserve"> nemoci gynekologické.</w:t>
      </w:r>
    </w:p>
  </w:footnote>
  <w:footnote w:id="42">
    <w:p w14:paraId="6CFB16B4" w14:textId="689B2B3C" w:rsidR="009764C9" w:rsidRPr="00632820" w:rsidRDefault="009764C9" w:rsidP="00632820">
      <w:pPr>
        <w:ind w:left="284" w:hanging="284"/>
        <w:jc w:val="both"/>
        <w:rPr>
          <w:rFonts w:ascii="Calibri" w:hAnsi="Calibri" w:cs="Calibri"/>
          <w:sz w:val="20"/>
          <w:szCs w:val="20"/>
        </w:rPr>
      </w:pPr>
      <w:r w:rsidRPr="00632820">
        <w:rPr>
          <w:rStyle w:val="Znakapoznpodarou"/>
          <w:rFonts w:ascii="Calibri" w:hAnsi="Calibri" w:cs="Calibri"/>
          <w:sz w:val="20"/>
          <w:szCs w:val="20"/>
        </w:rPr>
        <w:footnoteRef/>
      </w:r>
      <w:r w:rsidRPr="00632820">
        <w:rPr>
          <w:rFonts w:ascii="Calibri" w:hAnsi="Calibri" w:cs="Calibri"/>
          <w:sz w:val="20"/>
          <w:szCs w:val="20"/>
        </w:rPr>
        <w:t xml:space="preserve"> </w:t>
      </w:r>
      <w:r w:rsidRPr="00632820">
        <w:rPr>
          <w:rFonts w:ascii="Calibri" w:hAnsi="Calibri" w:cs="Calibri"/>
          <w:sz w:val="20"/>
          <w:szCs w:val="20"/>
        </w:rPr>
        <w:tab/>
        <w:t xml:space="preserve">Vyhláška č. 618/2006 Sb., kterou se vydávají rámcové smlouvy, </w:t>
      </w:r>
      <w:r>
        <w:rPr>
          <w:rFonts w:ascii="Calibri" w:hAnsi="Calibri" w:cs="Calibri"/>
          <w:sz w:val="20"/>
          <w:szCs w:val="20"/>
        </w:rPr>
        <w:t>p</w:t>
      </w:r>
      <w:r w:rsidRPr="00632820">
        <w:rPr>
          <w:rFonts w:ascii="Calibri" w:hAnsi="Calibri" w:cs="Calibri"/>
          <w:sz w:val="20"/>
          <w:szCs w:val="20"/>
        </w:rPr>
        <w:t>říloha č. 9 – Rámcová smlouva pro zdravotnická zařízení poskytující lázeňskou péči a zdravotní pojišťovny.</w:t>
      </w:r>
    </w:p>
  </w:footnote>
  <w:footnote w:id="43">
    <w:p w14:paraId="77A2EAED" w14:textId="77777777" w:rsidR="009764C9" w:rsidRPr="00632820" w:rsidRDefault="009764C9" w:rsidP="00632820">
      <w:pPr>
        <w:pStyle w:val="Textpoznpodarou"/>
        <w:ind w:left="284" w:hanging="284"/>
        <w:rPr>
          <w:rFonts w:ascii="Calibri" w:hAnsi="Calibri" w:cs="Calibri"/>
        </w:rPr>
      </w:pPr>
      <w:r w:rsidRPr="00632820">
        <w:rPr>
          <w:rStyle w:val="Znakapoznpodarou"/>
          <w:rFonts w:ascii="Calibri" w:hAnsi="Calibri" w:cs="Calibri"/>
        </w:rPr>
        <w:footnoteRef/>
      </w:r>
      <w:r w:rsidRPr="00632820">
        <w:rPr>
          <w:rFonts w:ascii="Calibri" w:hAnsi="Calibri" w:cs="Calibri"/>
        </w:rPr>
        <w:t xml:space="preserve"> </w:t>
      </w:r>
      <w:r>
        <w:rPr>
          <w:rFonts w:ascii="Calibri" w:hAnsi="Calibri" w:cs="Calibri"/>
        </w:rPr>
        <w:tab/>
      </w:r>
      <w:r w:rsidRPr="00632820">
        <w:rPr>
          <w:rFonts w:ascii="Calibri" w:hAnsi="Calibri" w:cs="Calibri"/>
        </w:rPr>
        <w:t>Zákon č. 592/1992 Sb., o pojistném na veřejné zdravotní pojištění.</w:t>
      </w:r>
    </w:p>
  </w:footnote>
  <w:footnote w:id="44">
    <w:p w14:paraId="401B89E6" w14:textId="77777777" w:rsidR="009764C9" w:rsidRPr="00632820" w:rsidRDefault="009764C9" w:rsidP="00632820">
      <w:pPr>
        <w:pStyle w:val="Textpoznpodarou"/>
        <w:ind w:left="284" w:hanging="284"/>
        <w:jc w:val="both"/>
        <w:rPr>
          <w:rFonts w:ascii="Calibri" w:hAnsi="Calibri" w:cs="Calibri"/>
        </w:rPr>
      </w:pPr>
      <w:r w:rsidRPr="00632820">
        <w:rPr>
          <w:rStyle w:val="Znakapoznpodarou"/>
          <w:rFonts w:ascii="Calibri" w:hAnsi="Calibri" w:cs="Calibri"/>
        </w:rPr>
        <w:footnoteRef/>
      </w:r>
      <w:r w:rsidRPr="00632820">
        <w:rPr>
          <w:rFonts w:ascii="Calibri" w:hAnsi="Calibri" w:cs="Calibri"/>
        </w:rPr>
        <w:t xml:space="preserve"> </w:t>
      </w:r>
      <w:r>
        <w:rPr>
          <w:rFonts w:ascii="Calibri" w:hAnsi="Calibri" w:cs="Calibri"/>
        </w:rPr>
        <w:tab/>
      </w:r>
      <w:r w:rsidRPr="00632820">
        <w:rPr>
          <w:rFonts w:ascii="Calibri" w:hAnsi="Calibri" w:cs="Calibri"/>
        </w:rPr>
        <w:t>Vyhláška č. 475/2012 Sb., o stanovení hodnot bodu, výše úhrad hrazených služeb a regulačních omezení pro rok 2013; vyhláška č. 428/2013 Sb., o stanovení hodnot bodu, výše úhrad hrazených služeb a regulačních omezení pro rok 2014; vyhláška č. 324/2014 Sb., o stanovení hodnot bodu, výše úhrad hrazených služeb a regulačních omezení pro rok 2015.</w:t>
      </w:r>
    </w:p>
  </w:footnote>
  <w:footnote w:id="45">
    <w:p w14:paraId="7B860382" w14:textId="21E49B2F" w:rsidR="009764C9" w:rsidRPr="00632820" w:rsidRDefault="009764C9" w:rsidP="00632820">
      <w:pPr>
        <w:ind w:left="284" w:hanging="284"/>
        <w:jc w:val="both"/>
        <w:rPr>
          <w:rFonts w:ascii="Calibri" w:hAnsi="Calibri" w:cs="Calibri"/>
          <w:sz w:val="20"/>
          <w:szCs w:val="20"/>
        </w:rPr>
      </w:pPr>
      <w:r w:rsidRPr="00632820">
        <w:rPr>
          <w:rStyle w:val="Znakapoznpodarou"/>
          <w:rFonts w:ascii="Calibri" w:hAnsi="Calibri" w:cs="Calibri"/>
          <w:sz w:val="20"/>
          <w:szCs w:val="20"/>
        </w:rPr>
        <w:footnoteRef/>
      </w:r>
      <w:r w:rsidRPr="00632820">
        <w:rPr>
          <w:rFonts w:ascii="Calibri" w:hAnsi="Calibri" w:cs="Calibri"/>
          <w:sz w:val="20"/>
          <w:szCs w:val="20"/>
        </w:rPr>
        <w:t xml:space="preserve"> </w:t>
      </w:r>
      <w:r>
        <w:rPr>
          <w:rFonts w:ascii="Calibri" w:hAnsi="Calibri" w:cs="Calibri"/>
          <w:sz w:val="20"/>
          <w:szCs w:val="20"/>
        </w:rPr>
        <w:tab/>
      </w:r>
      <w:r w:rsidRPr="00632820">
        <w:rPr>
          <w:rFonts w:ascii="Calibri" w:hAnsi="Calibri" w:cs="Calibri"/>
          <w:sz w:val="20"/>
          <w:szCs w:val="20"/>
        </w:rPr>
        <w:t xml:space="preserve">Kontrolní akce NKÚ č. 13/22 </w:t>
      </w:r>
      <w:r>
        <w:rPr>
          <w:rFonts w:ascii="Calibri" w:hAnsi="Calibri" w:cs="Calibri"/>
          <w:sz w:val="20"/>
          <w:szCs w:val="20"/>
        </w:rPr>
        <w:t>–</w:t>
      </w:r>
      <w:r w:rsidRPr="00632820">
        <w:rPr>
          <w:rFonts w:ascii="Calibri" w:hAnsi="Calibri" w:cs="Calibri"/>
          <w:sz w:val="20"/>
          <w:szCs w:val="20"/>
        </w:rPr>
        <w:t xml:space="preserve"> </w:t>
      </w:r>
      <w:hyperlink r:id="rId22" w:history="1">
        <w:r w:rsidRPr="00021783">
          <w:rPr>
            <w:rFonts w:ascii="Calibri" w:hAnsi="Calibri" w:cs="Calibri"/>
            <w:i/>
            <w:sz w:val="20"/>
            <w:szCs w:val="20"/>
            <w:lang w:eastAsia="cs-CZ"/>
          </w:rPr>
          <w:t>Prostředky vybírané na základě zákona ve prospěch České průmyslové zdravotní pojišťovny</w:t>
        </w:r>
      </w:hyperlink>
      <w:r w:rsidRPr="00632820">
        <w:rPr>
          <w:rFonts w:ascii="Calibri" w:hAnsi="Calibri" w:cs="Calibri"/>
          <w:sz w:val="20"/>
          <w:szCs w:val="20"/>
          <w:lang w:eastAsia="cs-CZ"/>
        </w:rPr>
        <w:t xml:space="preserve"> </w:t>
      </w:r>
      <w:r>
        <w:rPr>
          <w:rFonts w:ascii="Calibri" w:hAnsi="Calibri" w:cs="Calibri"/>
          <w:sz w:val="20"/>
          <w:szCs w:val="20"/>
          <w:lang w:eastAsia="cs-CZ"/>
        </w:rPr>
        <w:t xml:space="preserve">(kontrolní závěr byl zveřejněn v částce 2/2014 </w:t>
      </w:r>
      <w:r>
        <w:rPr>
          <w:rFonts w:ascii="Calibri" w:hAnsi="Calibri" w:cs="Calibri"/>
          <w:i/>
          <w:sz w:val="20"/>
          <w:szCs w:val="20"/>
          <w:lang w:eastAsia="cs-CZ"/>
        </w:rPr>
        <w:t>Věstníku NKÚ</w:t>
      </w:r>
      <w:r>
        <w:rPr>
          <w:rFonts w:ascii="Calibri" w:hAnsi="Calibri" w:cs="Calibri"/>
          <w:sz w:val="20"/>
          <w:szCs w:val="20"/>
          <w:lang w:eastAsia="cs-CZ"/>
        </w:rPr>
        <w:t xml:space="preserve">) </w:t>
      </w:r>
      <w:r w:rsidRPr="00C025C7">
        <w:rPr>
          <w:rFonts w:ascii="Calibri" w:hAnsi="Calibri" w:cs="Calibri"/>
          <w:sz w:val="20"/>
          <w:szCs w:val="20"/>
        </w:rPr>
        <w:t>a</w:t>
      </w:r>
      <w:r w:rsidRPr="00632820">
        <w:rPr>
          <w:rFonts w:ascii="Calibri" w:hAnsi="Calibri" w:cs="Calibri"/>
          <w:sz w:val="20"/>
          <w:szCs w:val="20"/>
        </w:rPr>
        <w:t xml:space="preserve"> kontrolní akce NKÚ č. 14/33 </w:t>
      </w:r>
      <w:r>
        <w:rPr>
          <w:rFonts w:ascii="Calibri" w:hAnsi="Calibri" w:cs="Calibri"/>
          <w:sz w:val="20"/>
          <w:szCs w:val="20"/>
        </w:rPr>
        <w:t>–</w:t>
      </w:r>
      <w:r w:rsidRPr="00632820">
        <w:rPr>
          <w:rFonts w:ascii="Calibri" w:hAnsi="Calibri" w:cs="Calibri"/>
          <w:sz w:val="20"/>
          <w:szCs w:val="20"/>
        </w:rPr>
        <w:t xml:space="preserve"> </w:t>
      </w:r>
      <w:hyperlink r:id="rId23" w:history="1">
        <w:r w:rsidRPr="00021783">
          <w:rPr>
            <w:rFonts w:ascii="Calibri" w:hAnsi="Calibri" w:cs="Calibri"/>
            <w:i/>
            <w:sz w:val="20"/>
            <w:szCs w:val="20"/>
            <w:lang w:eastAsia="cs-CZ"/>
          </w:rPr>
          <w:t>Prostředky vybírané na základě zákona ve prospěch Zdravotní pojišťovny ministerstva vnitra České republiky</w:t>
        </w:r>
      </w:hyperlink>
      <w:r>
        <w:rPr>
          <w:rFonts w:ascii="Calibri" w:hAnsi="Calibri" w:cs="Calibri"/>
          <w:i/>
          <w:sz w:val="20"/>
          <w:szCs w:val="20"/>
          <w:lang w:eastAsia="cs-CZ"/>
        </w:rPr>
        <w:t xml:space="preserve"> </w:t>
      </w:r>
      <w:r>
        <w:rPr>
          <w:rFonts w:ascii="Calibri" w:hAnsi="Calibri" w:cs="Calibri"/>
          <w:sz w:val="20"/>
          <w:szCs w:val="20"/>
          <w:lang w:eastAsia="cs-CZ"/>
        </w:rPr>
        <w:t xml:space="preserve">(kontrolní závěr byl zveřejněn v částce 1/2016 </w:t>
      </w:r>
      <w:r>
        <w:rPr>
          <w:rFonts w:ascii="Calibri" w:hAnsi="Calibri" w:cs="Calibri"/>
          <w:i/>
          <w:sz w:val="20"/>
          <w:szCs w:val="20"/>
          <w:lang w:eastAsia="cs-CZ"/>
        </w:rPr>
        <w:t>Věstníku NKÚ</w:t>
      </w:r>
      <w:r>
        <w:rPr>
          <w:rFonts w:ascii="Calibri" w:hAnsi="Calibri" w:cs="Calibri"/>
          <w:sz w:val="20"/>
          <w:szCs w:val="20"/>
          <w:lang w:eastAsia="cs-CZ"/>
        </w:rPr>
        <w:t>)</w:t>
      </w:r>
      <w:r w:rsidRPr="00632820">
        <w:rPr>
          <w:rFonts w:ascii="Calibri" w:hAnsi="Calibri" w:cs="Calibri"/>
          <w:sz w:val="20"/>
          <w:szCs w:val="20"/>
          <w:lang w:eastAsia="cs-CZ"/>
        </w:rPr>
        <w:t>.</w:t>
      </w:r>
    </w:p>
  </w:footnote>
  <w:footnote w:id="46">
    <w:p w14:paraId="5F4192F4" w14:textId="5B7E2555" w:rsidR="009764C9" w:rsidRPr="00632820" w:rsidRDefault="009764C9" w:rsidP="00632820">
      <w:pPr>
        <w:pStyle w:val="Textpoznpodarou"/>
        <w:ind w:left="284" w:hanging="284"/>
        <w:jc w:val="both"/>
        <w:rPr>
          <w:rFonts w:ascii="Calibri" w:hAnsi="Calibri" w:cs="Calibri"/>
        </w:rPr>
      </w:pPr>
      <w:r w:rsidRPr="00632820">
        <w:rPr>
          <w:rStyle w:val="Znakapoznpodarou"/>
          <w:rFonts w:ascii="Calibri" w:hAnsi="Calibri" w:cs="Calibri"/>
        </w:rPr>
        <w:footnoteRef/>
      </w:r>
      <w:r w:rsidRPr="00632820">
        <w:rPr>
          <w:rFonts w:ascii="Calibri" w:hAnsi="Calibri" w:cs="Calibri"/>
        </w:rPr>
        <w:t xml:space="preserve"> </w:t>
      </w:r>
      <w:r>
        <w:rPr>
          <w:rFonts w:ascii="Calibri" w:hAnsi="Calibri" w:cs="Calibri"/>
        </w:rPr>
        <w:tab/>
      </w:r>
      <w:r w:rsidRPr="00632820">
        <w:rPr>
          <w:rFonts w:ascii="Calibri" w:hAnsi="Calibri" w:cs="Calibri"/>
        </w:rPr>
        <w:t xml:space="preserve">Vyhláška č. 618/2006 Sb., kterou se vydávají rámcové smlouvy; </w:t>
      </w:r>
      <w:r>
        <w:rPr>
          <w:rFonts w:ascii="Calibri" w:hAnsi="Calibri" w:cs="Calibri"/>
        </w:rPr>
        <w:t>p</w:t>
      </w:r>
      <w:r w:rsidRPr="00632820">
        <w:rPr>
          <w:rFonts w:ascii="Calibri" w:hAnsi="Calibri" w:cs="Calibri"/>
        </w:rPr>
        <w:t xml:space="preserve">říloha č. 9 – </w:t>
      </w:r>
      <w:r w:rsidR="00F90940">
        <w:rPr>
          <w:rFonts w:ascii="Calibri" w:hAnsi="Calibri" w:cs="Calibri"/>
        </w:rPr>
        <w:t>R</w:t>
      </w:r>
      <w:r w:rsidRPr="00632820">
        <w:rPr>
          <w:rFonts w:ascii="Calibri" w:hAnsi="Calibri" w:cs="Calibri"/>
        </w:rPr>
        <w:t>ámcová smlouva pro zdravotnická zařízení poskytující lázeňskou péči a zdravotní pojišťovny.</w:t>
      </w:r>
    </w:p>
  </w:footnote>
  <w:footnote w:id="47">
    <w:p w14:paraId="71AF76E0" w14:textId="4A326507" w:rsidR="009764C9" w:rsidRPr="00632820" w:rsidRDefault="009764C9" w:rsidP="00632820">
      <w:pPr>
        <w:pStyle w:val="Textpoznpodarou"/>
        <w:ind w:left="284" w:hanging="284"/>
        <w:jc w:val="both"/>
        <w:rPr>
          <w:rFonts w:ascii="Calibri" w:hAnsi="Calibri" w:cs="Calibri"/>
        </w:rPr>
      </w:pPr>
      <w:r w:rsidRPr="00632820">
        <w:rPr>
          <w:rStyle w:val="Znakapoznpodarou"/>
          <w:rFonts w:ascii="Calibri" w:hAnsi="Calibri" w:cs="Calibri"/>
        </w:rPr>
        <w:footnoteRef/>
      </w:r>
      <w:r w:rsidRPr="00632820">
        <w:rPr>
          <w:rFonts w:ascii="Calibri" w:hAnsi="Calibri" w:cs="Calibri"/>
        </w:rPr>
        <w:t xml:space="preserve"> </w:t>
      </w:r>
      <w:r w:rsidRPr="00632820">
        <w:rPr>
          <w:rFonts w:ascii="Calibri" w:hAnsi="Calibri" w:cs="Calibri"/>
        </w:rPr>
        <w:tab/>
        <w:t xml:space="preserve">Kategorie ubytování „A“ – standardní </w:t>
      </w:r>
      <w:r>
        <w:rPr>
          <w:rFonts w:ascii="Calibri" w:hAnsi="Calibri" w:cs="Calibri"/>
        </w:rPr>
        <w:t xml:space="preserve">pro </w:t>
      </w:r>
      <w:r w:rsidRPr="00632820">
        <w:rPr>
          <w:rFonts w:ascii="Calibri" w:hAnsi="Calibri" w:cs="Calibri"/>
        </w:rPr>
        <w:t>dospěl</w:t>
      </w:r>
      <w:r>
        <w:rPr>
          <w:rFonts w:ascii="Calibri" w:hAnsi="Calibri" w:cs="Calibri"/>
        </w:rPr>
        <w:t>é</w:t>
      </w:r>
      <w:r w:rsidRPr="00632820">
        <w:rPr>
          <w:rFonts w:ascii="Calibri" w:hAnsi="Calibri" w:cs="Calibri"/>
        </w:rPr>
        <w:t>: dvoulůžkový pokoj minimálně 12m² obytné plochy. Vybavení: samostatné lůžko 2</w:t>
      </w:r>
      <w:r>
        <w:rPr>
          <w:rFonts w:ascii="Calibri" w:hAnsi="Calibri" w:cs="Calibri"/>
        </w:rPr>
        <w:t>×</w:t>
      </w:r>
      <w:r w:rsidRPr="00632820">
        <w:rPr>
          <w:rFonts w:ascii="Calibri" w:hAnsi="Calibri" w:cs="Calibri"/>
        </w:rPr>
        <w:t>, šatník 2</w:t>
      </w:r>
      <w:r>
        <w:rPr>
          <w:rFonts w:ascii="Calibri" w:hAnsi="Calibri" w:cs="Calibri"/>
        </w:rPr>
        <w:t>×</w:t>
      </w:r>
      <w:r w:rsidRPr="00632820">
        <w:rPr>
          <w:rFonts w:ascii="Calibri" w:hAnsi="Calibri" w:cs="Calibri"/>
        </w:rPr>
        <w:t xml:space="preserve">, </w:t>
      </w:r>
      <w:r>
        <w:rPr>
          <w:rFonts w:ascii="Calibri" w:hAnsi="Calibri" w:cs="Calibri"/>
        </w:rPr>
        <w:t>místo k sezení</w:t>
      </w:r>
      <w:r w:rsidRPr="00632820">
        <w:rPr>
          <w:rFonts w:ascii="Calibri" w:hAnsi="Calibri" w:cs="Calibri"/>
        </w:rPr>
        <w:t xml:space="preserve"> 2</w:t>
      </w:r>
      <w:r>
        <w:rPr>
          <w:rFonts w:ascii="Calibri" w:hAnsi="Calibri" w:cs="Calibri"/>
        </w:rPr>
        <w:t>×</w:t>
      </w:r>
      <w:r w:rsidRPr="00632820">
        <w:rPr>
          <w:rFonts w:ascii="Calibri" w:hAnsi="Calibri" w:cs="Calibri"/>
        </w:rPr>
        <w:t>, noční lampička 2</w:t>
      </w:r>
      <w:r>
        <w:rPr>
          <w:rFonts w:ascii="Calibri" w:hAnsi="Calibri" w:cs="Calibri"/>
        </w:rPr>
        <w:t>×</w:t>
      </w:r>
      <w:r w:rsidRPr="00632820">
        <w:rPr>
          <w:rFonts w:ascii="Calibri" w:hAnsi="Calibri" w:cs="Calibri"/>
        </w:rPr>
        <w:t>, uzamykatelná skřínka (zásuvka) 2</w:t>
      </w:r>
      <w:r>
        <w:rPr>
          <w:rFonts w:ascii="Calibri" w:hAnsi="Calibri" w:cs="Calibri"/>
        </w:rPr>
        <w:t>×</w:t>
      </w:r>
      <w:r w:rsidRPr="00632820">
        <w:rPr>
          <w:rFonts w:ascii="Calibri" w:hAnsi="Calibri" w:cs="Calibri"/>
        </w:rPr>
        <w:t>, stůl, osvětlení pokoje, odkládací stěna, koš na odpadky, WC, sprcha nebo vana, telefon nebo signalizace na pokoji.</w:t>
      </w:r>
    </w:p>
  </w:footnote>
  <w:footnote w:id="48">
    <w:p w14:paraId="73706037" w14:textId="02C5B4FE" w:rsidR="009764C9" w:rsidRPr="00632820" w:rsidRDefault="009764C9" w:rsidP="00632820">
      <w:pPr>
        <w:pStyle w:val="Textpoznpodarou"/>
        <w:ind w:left="284" w:hanging="284"/>
        <w:jc w:val="both"/>
        <w:rPr>
          <w:rFonts w:ascii="Calibri" w:hAnsi="Calibri" w:cs="Calibri"/>
        </w:rPr>
      </w:pPr>
      <w:r w:rsidRPr="00632820">
        <w:rPr>
          <w:rStyle w:val="Znakapoznpodarou"/>
          <w:rFonts w:ascii="Calibri" w:hAnsi="Calibri" w:cs="Calibri"/>
        </w:rPr>
        <w:footnoteRef/>
      </w:r>
      <w:r w:rsidRPr="00632820">
        <w:rPr>
          <w:rFonts w:ascii="Calibri" w:hAnsi="Calibri" w:cs="Calibri"/>
        </w:rPr>
        <w:t xml:space="preserve"> </w:t>
      </w:r>
      <w:r w:rsidRPr="00632820">
        <w:rPr>
          <w:rFonts w:ascii="Calibri" w:hAnsi="Calibri" w:cs="Calibri"/>
        </w:rPr>
        <w:tab/>
        <w:t>Kategorie ubytování „B“</w:t>
      </w:r>
      <w:r>
        <w:rPr>
          <w:rFonts w:ascii="Calibri" w:hAnsi="Calibri" w:cs="Calibri"/>
        </w:rPr>
        <w:t xml:space="preserve"> –</w:t>
      </w:r>
      <w:r w:rsidRPr="00632820">
        <w:rPr>
          <w:rFonts w:ascii="Calibri" w:hAnsi="Calibri" w:cs="Calibri"/>
        </w:rPr>
        <w:t xml:space="preserve"> dvoulůžkový pokoj minimálně 12m² obytné plochy. Vybavení: samostatné lůžko 2</w:t>
      </w:r>
      <w:r>
        <w:rPr>
          <w:rFonts w:ascii="Calibri" w:hAnsi="Calibri" w:cs="Calibri"/>
        </w:rPr>
        <w:t>×</w:t>
      </w:r>
      <w:r w:rsidRPr="00632820">
        <w:rPr>
          <w:rFonts w:ascii="Calibri" w:hAnsi="Calibri" w:cs="Calibri"/>
        </w:rPr>
        <w:t>, šatník 2</w:t>
      </w:r>
      <w:r>
        <w:rPr>
          <w:rFonts w:ascii="Calibri" w:hAnsi="Calibri" w:cs="Calibri"/>
        </w:rPr>
        <w:t>×</w:t>
      </w:r>
      <w:r w:rsidRPr="00632820">
        <w:rPr>
          <w:rFonts w:ascii="Calibri" w:hAnsi="Calibri" w:cs="Calibri"/>
        </w:rPr>
        <w:t xml:space="preserve">, </w:t>
      </w:r>
      <w:r>
        <w:rPr>
          <w:rFonts w:ascii="Calibri" w:hAnsi="Calibri" w:cs="Calibri"/>
        </w:rPr>
        <w:t>místo k sezení</w:t>
      </w:r>
      <w:r w:rsidRPr="00632820">
        <w:rPr>
          <w:rFonts w:ascii="Calibri" w:hAnsi="Calibri" w:cs="Calibri"/>
        </w:rPr>
        <w:t xml:space="preserve"> 2</w:t>
      </w:r>
      <w:r>
        <w:rPr>
          <w:rFonts w:ascii="Calibri" w:hAnsi="Calibri" w:cs="Calibri"/>
        </w:rPr>
        <w:t>×</w:t>
      </w:r>
      <w:r w:rsidRPr="00632820">
        <w:rPr>
          <w:rFonts w:ascii="Calibri" w:hAnsi="Calibri" w:cs="Calibri"/>
        </w:rPr>
        <w:t>, noční lampička 2</w:t>
      </w:r>
      <w:r>
        <w:rPr>
          <w:rFonts w:ascii="Calibri" w:hAnsi="Calibri" w:cs="Calibri"/>
        </w:rPr>
        <w:t>×</w:t>
      </w:r>
      <w:r w:rsidRPr="00632820">
        <w:rPr>
          <w:rFonts w:ascii="Calibri" w:hAnsi="Calibri" w:cs="Calibri"/>
        </w:rPr>
        <w:t>, uzamykatelná skřínka (zásuvka) 2</w:t>
      </w:r>
      <w:r>
        <w:rPr>
          <w:rFonts w:ascii="Calibri" w:hAnsi="Calibri" w:cs="Calibri"/>
        </w:rPr>
        <w:t>×</w:t>
      </w:r>
      <w:r w:rsidRPr="00632820">
        <w:rPr>
          <w:rFonts w:ascii="Calibri" w:hAnsi="Calibri" w:cs="Calibri"/>
        </w:rPr>
        <w:t>, stůl, osvětlení pokoje, odkládací stěna, koš na odpadky, umyvadlo s teplou a studenou vodou, telefon nebo signalizace na pokoji nebo na chodbě, dostupné sociální zařízení splňující hygienické normy ve vazbě na počet lůžek v objektu.</w:t>
      </w:r>
    </w:p>
  </w:footnote>
  <w:footnote w:id="49">
    <w:p w14:paraId="39280D1A" w14:textId="77777777" w:rsidR="009764C9" w:rsidRPr="00632820" w:rsidRDefault="009764C9" w:rsidP="00D55F31">
      <w:pPr>
        <w:pStyle w:val="Textpoznpodarou"/>
        <w:ind w:left="284" w:hanging="284"/>
        <w:jc w:val="both"/>
        <w:rPr>
          <w:rFonts w:ascii="Calibri" w:hAnsi="Calibri" w:cs="Calibri"/>
        </w:rPr>
      </w:pPr>
      <w:r w:rsidRPr="00632820">
        <w:rPr>
          <w:rStyle w:val="Znakapoznpodarou"/>
          <w:rFonts w:ascii="Calibri" w:hAnsi="Calibri" w:cs="Calibri"/>
        </w:rPr>
        <w:footnoteRef/>
      </w:r>
      <w:r w:rsidRPr="00632820">
        <w:rPr>
          <w:rFonts w:ascii="Calibri" w:hAnsi="Calibri" w:cs="Calibri"/>
        </w:rPr>
        <w:t xml:space="preserve"> </w:t>
      </w:r>
      <w:r w:rsidRPr="00632820">
        <w:rPr>
          <w:rFonts w:ascii="Calibri" w:hAnsi="Calibri" w:cs="Calibri"/>
        </w:rPr>
        <w:tab/>
        <w:t>Ustanovení § 13 zákona č. 48/1997 Sb., o veřejném zdravotním pojištění.</w:t>
      </w:r>
    </w:p>
  </w:footnote>
  <w:footnote w:id="50">
    <w:p w14:paraId="508B604E" w14:textId="16032FE6" w:rsidR="009764C9" w:rsidRPr="00632820" w:rsidRDefault="009764C9" w:rsidP="00D55F31">
      <w:pPr>
        <w:pStyle w:val="Textpoznpodarou"/>
        <w:ind w:left="284" w:hanging="284"/>
        <w:jc w:val="both"/>
        <w:rPr>
          <w:rFonts w:ascii="Calibri" w:hAnsi="Calibri" w:cs="Calibri"/>
        </w:rPr>
      </w:pPr>
      <w:r w:rsidRPr="00632820">
        <w:rPr>
          <w:rStyle w:val="Znakapoznpodarou"/>
          <w:rFonts w:ascii="Calibri" w:hAnsi="Calibri" w:cs="Calibri"/>
        </w:rPr>
        <w:footnoteRef/>
      </w:r>
      <w:r w:rsidRPr="00632820">
        <w:rPr>
          <w:rFonts w:ascii="Calibri" w:hAnsi="Calibri" w:cs="Calibri"/>
        </w:rPr>
        <w:t xml:space="preserve"> </w:t>
      </w:r>
      <w:r w:rsidRPr="00632820">
        <w:rPr>
          <w:rFonts w:ascii="Calibri" w:hAnsi="Calibri" w:cs="Calibri"/>
        </w:rPr>
        <w:tab/>
        <w:t>Tj. 63 léčebných procedur pro 21denní pobyt a 84 léčebných procedur pro 28denní pobyt.</w:t>
      </w:r>
    </w:p>
  </w:footnote>
  <w:footnote w:id="51">
    <w:p w14:paraId="0DFA8394" w14:textId="77777777" w:rsidR="009764C9" w:rsidRPr="00632820" w:rsidRDefault="009764C9" w:rsidP="00D55F31">
      <w:pPr>
        <w:pStyle w:val="Textpoznpodarou"/>
        <w:ind w:left="284" w:hanging="284"/>
        <w:jc w:val="both"/>
        <w:rPr>
          <w:rFonts w:ascii="Calibri" w:hAnsi="Calibri" w:cs="Calibri"/>
        </w:rPr>
      </w:pPr>
      <w:r w:rsidRPr="00632820">
        <w:rPr>
          <w:rStyle w:val="Znakapoznpodarou"/>
          <w:rFonts w:ascii="Calibri" w:hAnsi="Calibri" w:cs="Calibri"/>
        </w:rPr>
        <w:footnoteRef/>
      </w:r>
      <w:r w:rsidRPr="00632820">
        <w:rPr>
          <w:rFonts w:ascii="Calibri" w:hAnsi="Calibri" w:cs="Calibri"/>
        </w:rPr>
        <w:t xml:space="preserve"> </w:t>
      </w:r>
      <w:r w:rsidRPr="00632820">
        <w:rPr>
          <w:rFonts w:ascii="Calibri" w:hAnsi="Calibri" w:cs="Calibri"/>
        </w:rPr>
        <w:tab/>
        <w:t>Vyhláška č. 99/2012 Sb., o požadavcích na minimální personální zabezpečení zdravotních služeb.</w:t>
      </w:r>
    </w:p>
  </w:footnote>
  <w:footnote w:id="52">
    <w:p w14:paraId="5E96862D" w14:textId="77777777" w:rsidR="009764C9" w:rsidRPr="006F0BA5" w:rsidRDefault="009764C9" w:rsidP="00D55F31">
      <w:pPr>
        <w:pStyle w:val="Textpoznpodarou"/>
        <w:ind w:left="284" w:hanging="284"/>
        <w:rPr>
          <w:rFonts w:ascii="Calibri" w:hAnsi="Calibri" w:cs="Calibri"/>
        </w:rPr>
      </w:pPr>
      <w:r w:rsidRPr="006F0BA5">
        <w:rPr>
          <w:rStyle w:val="Znakapoznpodarou"/>
          <w:rFonts w:ascii="Calibri" w:hAnsi="Calibri" w:cs="Calibri"/>
          <w:i/>
        </w:rPr>
        <w:footnoteRef/>
      </w:r>
      <w:r w:rsidRPr="006F0BA5">
        <w:rPr>
          <w:rFonts w:ascii="Calibri" w:hAnsi="Calibri" w:cs="Calibri"/>
          <w:i/>
        </w:rPr>
        <w:tab/>
        <w:t>Provozní kapitál = oběžná aktiva – krátkodobé závazky.</w:t>
      </w:r>
    </w:p>
  </w:footnote>
  <w:footnote w:id="53">
    <w:p w14:paraId="4FA65C24" w14:textId="77777777" w:rsidR="009764C9" w:rsidRPr="006F0BA5" w:rsidRDefault="009764C9" w:rsidP="00D55F31">
      <w:pPr>
        <w:ind w:left="284" w:hanging="284"/>
        <w:jc w:val="both"/>
        <w:rPr>
          <w:rFonts w:ascii="Calibri" w:hAnsi="Calibri" w:cs="Calibri"/>
          <w:sz w:val="20"/>
          <w:szCs w:val="20"/>
        </w:rPr>
      </w:pPr>
      <w:r w:rsidRPr="006F0BA5">
        <w:rPr>
          <w:rStyle w:val="Znakapoznpodarou"/>
          <w:rFonts w:ascii="Calibri" w:hAnsi="Calibri" w:cs="Calibri"/>
          <w:i/>
          <w:sz w:val="20"/>
          <w:szCs w:val="20"/>
        </w:rPr>
        <w:footnoteRef/>
      </w:r>
      <w:r w:rsidRPr="006F0BA5">
        <w:rPr>
          <w:rFonts w:ascii="Calibri" w:hAnsi="Calibri" w:cs="Calibri"/>
          <w:i/>
          <w:sz w:val="20"/>
          <w:szCs w:val="20"/>
        </w:rPr>
        <w:tab/>
        <w:t>Solventnost = oběžná aktiva / krátkodobé závazky.</w:t>
      </w:r>
    </w:p>
  </w:footnote>
  <w:footnote w:id="54">
    <w:p w14:paraId="3C29AB38" w14:textId="77777777" w:rsidR="009764C9" w:rsidRPr="006F0BA5" w:rsidRDefault="009764C9" w:rsidP="00D55F31">
      <w:pPr>
        <w:pStyle w:val="Textpoznpodarou"/>
        <w:ind w:left="284" w:hanging="284"/>
        <w:rPr>
          <w:rFonts w:ascii="Calibri" w:hAnsi="Calibri" w:cs="Calibri"/>
        </w:rPr>
      </w:pPr>
      <w:r w:rsidRPr="006F0BA5">
        <w:rPr>
          <w:rStyle w:val="Znakapoznpodarou"/>
          <w:rFonts w:ascii="Calibri" w:hAnsi="Calibri" w:cs="Calibri"/>
          <w:i/>
        </w:rPr>
        <w:footnoteRef/>
      </w:r>
      <w:r w:rsidRPr="006F0BA5">
        <w:rPr>
          <w:rFonts w:ascii="Calibri" w:hAnsi="Calibri" w:cs="Calibri"/>
          <w:i/>
        </w:rPr>
        <w:t xml:space="preserve"> </w:t>
      </w:r>
      <w:r w:rsidRPr="006F0BA5">
        <w:rPr>
          <w:rFonts w:ascii="Calibri" w:hAnsi="Calibri" w:cs="Calibri"/>
          <w:i/>
        </w:rPr>
        <w:tab/>
        <w:t>Pohotová likvidita = (oběžná aktiva – zásoby) / krátkodobé závazky.</w:t>
      </w:r>
    </w:p>
  </w:footnote>
  <w:footnote w:id="55">
    <w:p w14:paraId="259A4A87" w14:textId="1A7BCCAE" w:rsidR="009764C9" w:rsidRPr="006F0BA5" w:rsidRDefault="009764C9" w:rsidP="00D55F31">
      <w:pPr>
        <w:pStyle w:val="Textpoznpodarou"/>
        <w:ind w:left="284" w:hanging="284"/>
        <w:rPr>
          <w:rFonts w:ascii="Calibri" w:hAnsi="Calibri" w:cs="Calibri"/>
        </w:rPr>
      </w:pPr>
      <w:r w:rsidRPr="006F0BA5">
        <w:rPr>
          <w:rStyle w:val="Znakapoznpodarou"/>
          <w:rFonts w:ascii="Calibri" w:hAnsi="Calibri" w:cs="Calibri"/>
          <w:i/>
        </w:rPr>
        <w:footnoteRef/>
      </w:r>
      <w:r w:rsidRPr="006F0BA5">
        <w:rPr>
          <w:rFonts w:ascii="Calibri" w:hAnsi="Calibri" w:cs="Calibri"/>
          <w:i/>
        </w:rPr>
        <w:t xml:space="preserve"> </w:t>
      </w:r>
      <w:r w:rsidRPr="006F0BA5">
        <w:rPr>
          <w:rFonts w:ascii="Calibri" w:hAnsi="Calibri" w:cs="Calibri"/>
          <w:i/>
        </w:rPr>
        <w:tab/>
        <w:t xml:space="preserve">Provozní kapitál k hodnotě celkových aktiv = (provozní kapitál / celková aktiva) </w:t>
      </w:r>
      <w:r>
        <w:rPr>
          <w:rFonts w:ascii="Calibri" w:hAnsi="Calibri" w:cs="Calibri"/>
          <w:i/>
        </w:rPr>
        <w:t>×</w:t>
      </w:r>
      <w:r w:rsidRPr="006F0BA5">
        <w:rPr>
          <w:rFonts w:ascii="Calibri" w:hAnsi="Calibri" w:cs="Calibri"/>
          <w:i/>
        </w:rPr>
        <w:t xml:space="preserve"> 100.</w:t>
      </w:r>
    </w:p>
  </w:footnote>
  <w:footnote w:id="56">
    <w:p w14:paraId="2B29E5F3" w14:textId="77777777" w:rsidR="009764C9" w:rsidRPr="006F0BA5" w:rsidRDefault="009764C9" w:rsidP="00D55F31">
      <w:pPr>
        <w:pStyle w:val="Textpoznpodarou"/>
        <w:ind w:left="284" w:hanging="284"/>
        <w:rPr>
          <w:rFonts w:ascii="Calibri" w:hAnsi="Calibri" w:cs="Calibri"/>
        </w:rPr>
      </w:pPr>
      <w:r w:rsidRPr="006F0BA5">
        <w:rPr>
          <w:rStyle w:val="Znakapoznpodarou"/>
          <w:rFonts w:ascii="Calibri" w:hAnsi="Calibri" w:cs="Calibri"/>
          <w:i/>
        </w:rPr>
        <w:footnoteRef/>
      </w:r>
      <w:r w:rsidRPr="006F0BA5">
        <w:rPr>
          <w:rFonts w:ascii="Calibri" w:hAnsi="Calibri" w:cs="Calibri"/>
          <w:i/>
        </w:rPr>
        <w:tab/>
        <w:t>Finanční nezávislost = vlastní kapitál / celková aktiva, resp. pasiva.</w:t>
      </w:r>
    </w:p>
  </w:footnote>
  <w:footnote w:id="57">
    <w:p w14:paraId="01676B01" w14:textId="77777777" w:rsidR="009764C9" w:rsidRPr="006F0BA5" w:rsidRDefault="009764C9" w:rsidP="00D55F31">
      <w:pPr>
        <w:pStyle w:val="Textpoznpodarou"/>
        <w:ind w:left="284" w:hanging="284"/>
        <w:rPr>
          <w:rFonts w:ascii="Calibri" w:hAnsi="Calibri" w:cs="Calibri"/>
        </w:rPr>
      </w:pPr>
      <w:r w:rsidRPr="006F0BA5">
        <w:rPr>
          <w:rStyle w:val="Znakapoznpodarou"/>
          <w:rFonts w:ascii="Calibri" w:hAnsi="Calibri" w:cs="Calibri"/>
          <w:i/>
        </w:rPr>
        <w:footnoteRef/>
      </w:r>
      <w:r w:rsidRPr="006F0BA5">
        <w:rPr>
          <w:rFonts w:ascii="Calibri" w:hAnsi="Calibri" w:cs="Calibri"/>
          <w:i/>
        </w:rPr>
        <w:tab/>
        <w:t>Celková zadluženost = cizí zdroje / celková aktiva, resp. pasiva.</w:t>
      </w:r>
    </w:p>
  </w:footnote>
  <w:footnote w:id="58">
    <w:p w14:paraId="7780C307" w14:textId="77777777" w:rsidR="009764C9" w:rsidRPr="006F0BA5" w:rsidRDefault="009764C9" w:rsidP="00D55F31">
      <w:pPr>
        <w:pStyle w:val="Textpoznpodarou"/>
        <w:ind w:left="284" w:hanging="284"/>
        <w:rPr>
          <w:rFonts w:ascii="Calibri" w:hAnsi="Calibri" w:cs="Calibri"/>
        </w:rPr>
      </w:pPr>
      <w:r w:rsidRPr="006F0BA5">
        <w:rPr>
          <w:rStyle w:val="Znakapoznpodarou"/>
          <w:rFonts w:ascii="Calibri" w:hAnsi="Calibri" w:cs="Calibri"/>
          <w:i/>
        </w:rPr>
        <w:footnoteRef/>
      </w:r>
      <w:r w:rsidRPr="006F0BA5">
        <w:rPr>
          <w:rFonts w:ascii="Calibri" w:hAnsi="Calibri" w:cs="Calibri"/>
          <w:i/>
        </w:rPr>
        <w:t xml:space="preserve"> </w:t>
      </w:r>
      <w:r w:rsidRPr="006F0BA5">
        <w:rPr>
          <w:rFonts w:ascii="Calibri" w:hAnsi="Calibri" w:cs="Calibri"/>
          <w:i/>
        </w:rPr>
        <w:tab/>
        <w:t>Běžná zadluženost = krátkodobé závazky / celková aktiva, resp. pasiva.</w:t>
      </w:r>
    </w:p>
  </w:footnote>
  <w:footnote w:id="59">
    <w:p w14:paraId="21C6D031" w14:textId="77777777" w:rsidR="009764C9" w:rsidRPr="006F0BA5" w:rsidRDefault="009764C9" w:rsidP="00D55F31">
      <w:pPr>
        <w:pStyle w:val="Textpoznpodarou"/>
        <w:ind w:left="284" w:hanging="284"/>
        <w:rPr>
          <w:rFonts w:ascii="Calibri" w:hAnsi="Calibri" w:cs="Calibri"/>
        </w:rPr>
      </w:pPr>
      <w:r w:rsidRPr="006F0BA5">
        <w:rPr>
          <w:rStyle w:val="Znakapoznpodarou"/>
          <w:rFonts w:ascii="Calibri" w:hAnsi="Calibri" w:cs="Calibri"/>
          <w:i/>
        </w:rPr>
        <w:footnoteRef/>
      </w:r>
      <w:r w:rsidRPr="006F0BA5">
        <w:rPr>
          <w:rFonts w:ascii="Calibri" w:hAnsi="Calibri" w:cs="Calibri"/>
          <w:i/>
        </w:rPr>
        <w:t xml:space="preserve"> </w:t>
      </w:r>
      <w:r w:rsidRPr="006F0BA5">
        <w:rPr>
          <w:rFonts w:ascii="Calibri" w:hAnsi="Calibri" w:cs="Calibri"/>
          <w:i/>
        </w:rPr>
        <w:tab/>
        <w:t>Dlouhodobá zadluženost = dlouhodobé závazky / celková aktiva, resp. pasiva.</w:t>
      </w:r>
    </w:p>
  </w:footnote>
  <w:footnote w:id="60">
    <w:p w14:paraId="632DB55A" w14:textId="77777777" w:rsidR="009764C9" w:rsidRPr="006F0BA5" w:rsidRDefault="009764C9" w:rsidP="00D55F31">
      <w:pPr>
        <w:pStyle w:val="Textpoznpodarou"/>
        <w:ind w:left="284" w:hanging="284"/>
        <w:jc w:val="both"/>
        <w:rPr>
          <w:rFonts w:ascii="Calibri" w:hAnsi="Calibri" w:cs="Calibri"/>
        </w:rPr>
      </w:pPr>
      <w:r w:rsidRPr="006F0BA5">
        <w:rPr>
          <w:rStyle w:val="Znakapoznpodarou"/>
          <w:rFonts w:ascii="Calibri" w:hAnsi="Calibri" w:cs="Calibri"/>
          <w:i/>
          <w:sz w:val="16"/>
          <w:szCs w:val="18"/>
        </w:rPr>
        <w:footnoteRef/>
      </w:r>
      <w:r w:rsidRPr="006F0BA5">
        <w:rPr>
          <w:rFonts w:ascii="Calibri" w:hAnsi="Calibri" w:cs="Calibri"/>
          <w:i/>
          <w:sz w:val="16"/>
          <w:szCs w:val="18"/>
        </w:rPr>
        <w:tab/>
        <w:t>Podkapitalizace = (dlouhodobé závazky + vlastní kapitál) / stálá aktiva.</w:t>
      </w:r>
    </w:p>
  </w:footnote>
  <w:footnote w:id="61">
    <w:p w14:paraId="6B931775" w14:textId="77777777" w:rsidR="009764C9" w:rsidRPr="006F0BA5" w:rsidRDefault="009764C9" w:rsidP="00D55F31">
      <w:pPr>
        <w:pStyle w:val="Textpoznpodarou"/>
        <w:ind w:left="284" w:hanging="284"/>
        <w:jc w:val="both"/>
        <w:rPr>
          <w:rFonts w:ascii="Calibri" w:hAnsi="Calibri" w:cs="Calibri"/>
        </w:rPr>
      </w:pPr>
      <w:r w:rsidRPr="006F0BA5">
        <w:rPr>
          <w:rStyle w:val="Znakapoznpodarou"/>
          <w:rFonts w:ascii="Calibri" w:hAnsi="Calibri" w:cs="Calibri"/>
          <w:i/>
          <w:sz w:val="16"/>
          <w:szCs w:val="18"/>
        </w:rPr>
        <w:footnoteRef/>
      </w:r>
      <w:r w:rsidRPr="006F0BA5">
        <w:rPr>
          <w:rFonts w:ascii="Calibri" w:hAnsi="Calibri" w:cs="Calibri"/>
          <w:i/>
          <w:sz w:val="16"/>
          <w:szCs w:val="18"/>
        </w:rPr>
        <w:tab/>
        <w:t>Výnosnost celkového kapitálu = výsledek hospodaření za účetní období po zdanění / celková aktiva, resp. pasiva.</w:t>
      </w:r>
    </w:p>
  </w:footnote>
  <w:footnote w:id="62">
    <w:p w14:paraId="04F7D493" w14:textId="77777777" w:rsidR="009764C9" w:rsidRPr="006F0BA5" w:rsidRDefault="009764C9" w:rsidP="00D55F31">
      <w:pPr>
        <w:pStyle w:val="Textpoznpodarou"/>
        <w:ind w:left="284" w:hanging="284"/>
        <w:jc w:val="both"/>
        <w:rPr>
          <w:rFonts w:ascii="Calibri" w:hAnsi="Calibri" w:cs="Calibri"/>
        </w:rPr>
      </w:pPr>
      <w:r w:rsidRPr="006F0BA5">
        <w:rPr>
          <w:rStyle w:val="Znakapoznpodarou"/>
          <w:rFonts w:ascii="Calibri" w:hAnsi="Calibri" w:cs="Calibri"/>
          <w:i/>
          <w:sz w:val="16"/>
          <w:szCs w:val="18"/>
        </w:rPr>
        <w:footnoteRef/>
      </w:r>
      <w:r w:rsidRPr="006F0BA5">
        <w:rPr>
          <w:rFonts w:ascii="Calibri" w:hAnsi="Calibri" w:cs="Calibri"/>
          <w:i/>
          <w:sz w:val="16"/>
          <w:szCs w:val="18"/>
        </w:rPr>
        <w:t xml:space="preserve"> </w:t>
      </w:r>
      <w:r w:rsidRPr="006F0BA5">
        <w:rPr>
          <w:rFonts w:ascii="Calibri" w:hAnsi="Calibri" w:cs="Calibri"/>
          <w:i/>
          <w:sz w:val="16"/>
          <w:szCs w:val="18"/>
        </w:rPr>
        <w:tab/>
        <w:t>Základní produkční síla = provozní výsledek hospodaření / celková aktiva, resp. pasiva.</w:t>
      </w:r>
    </w:p>
  </w:footnote>
  <w:footnote w:id="63">
    <w:p w14:paraId="32A2C2A0" w14:textId="77777777" w:rsidR="009764C9" w:rsidRPr="006F0BA5" w:rsidRDefault="009764C9" w:rsidP="00D55F31">
      <w:pPr>
        <w:pStyle w:val="Textpoznpodarou"/>
        <w:ind w:left="284" w:hanging="284"/>
        <w:jc w:val="both"/>
        <w:rPr>
          <w:rFonts w:ascii="Calibri" w:hAnsi="Calibri" w:cs="Calibri"/>
        </w:rPr>
      </w:pPr>
      <w:r w:rsidRPr="006F0BA5">
        <w:rPr>
          <w:rStyle w:val="Znakapoznpodarou"/>
          <w:rFonts w:ascii="Calibri" w:hAnsi="Calibri" w:cs="Calibri"/>
          <w:i/>
          <w:sz w:val="16"/>
          <w:szCs w:val="18"/>
        </w:rPr>
        <w:footnoteRef/>
      </w:r>
      <w:r w:rsidRPr="006F0BA5">
        <w:rPr>
          <w:rFonts w:ascii="Calibri" w:hAnsi="Calibri" w:cs="Calibri"/>
          <w:i/>
          <w:sz w:val="16"/>
          <w:szCs w:val="18"/>
        </w:rPr>
        <w:tab/>
        <w:t>Výnosnost vlastního jmění = výsledek hospodaření za účetní období po zdanění / vlastní kapitál.</w:t>
      </w:r>
    </w:p>
  </w:footnote>
  <w:footnote w:id="64">
    <w:p w14:paraId="291148F2" w14:textId="77777777" w:rsidR="009764C9" w:rsidRPr="006F0BA5" w:rsidRDefault="009764C9" w:rsidP="00D55F31">
      <w:pPr>
        <w:pStyle w:val="Textpoznpodarou"/>
        <w:ind w:left="284" w:hanging="284"/>
        <w:jc w:val="both"/>
        <w:rPr>
          <w:rFonts w:ascii="Calibri" w:hAnsi="Calibri" w:cs="Calibri"/>
        </w:rPr>
      </w:pPr>
      <w:r w:rsidRPr="006F0BA5">
        <w:rPr>
          <w:rStyle w:val="Znakapoznpodarou"/>
          <w:rFonts w:ascii="Calibri" w:hAnsi="Calibri" w:cs="Calibri"/>
          <w:i/>
          <w:sz w:val="16"/>
          <w:szCs w:val="18"/>
        </w:rPr>
        <w:footnoteRef/>
      </w:r>
      <w:r w:rsidRPr="006F0BA5">
        <w:rPr>
          <w:rFonts w:ascii="Calibri" w:hAnsi="Calibri" w:cs="Calibri"/>
          <w:i/>
          <w:sz w:val="16"/>
          <w:szCs w:val="18"/>
        </w:rPr>
        <w:t xml:space="preserve"> </w:t>
      </w:r>
      <w:r w:rsidRPr="006F0BA5">
        <w:rPr>
          <w:rFonts w:ascii="Calibri" w:hAnsi="Calibri" w:cs="Calibri"/>
          <w:i/>
          <w:sz w:val="16"/>
          <w:szCs w:val="18"/>
        </w:rPr>
        <w:tab/>
        <w:t>Výnosnost cizích zdrojů = výsledek hospodaření za účetní období po zdanění / cizí zdroje.</w:t>
      </w:r>
    </w:p>
  </w:footnote>
  <w:footnote w:id="65">
    <w:p w14:paraId="17283712" w14:textId="77777777" w:rsidR="009764C9" w:rsidRPr="006F0BA5" w:rsidRDefault="009764C9" w:rsidP="00D55F31">
      <w:pPr>
        <w:ind w:left="284" w:hanging="284"/>
        <w:jc w:val="both"/>
        <w:rPr>
          <w:rFonts w:ascii="Calibri" w:hAnsi="Calibri" w:cs="Calibri"/>
        </w:rPr>
      </w:pPr>
      <w:r w:rsidRPr="006F0BA5">
        <w:rPr>
          <w:rStyle w:val="Znakapoznpodarou"/>
          <w:rFonts w:ascii="Calibri" w:hAnsi="Calibri" w:cs="Calibri"/>
          <w:i/>
          <w:sz w:val="16"/>
          <w:szCs w:val="18"/>
        </w:rPr>
        <w:footnoteRef/>
      </w:r>
      <w:r w:rsidRPr="006F0BA5">
        <w:rPr>
          <w:rFonts w:ascii="Calibri" w:hAnsi="Calibri" w:cs="Calibri"/>
          <w:i/>
          <w:sz w:val="16"/>
          <w:szCs w:val="18"/>
        </w:rPr>
        <w:tab/>
        <w:t>Zisková marže = výsledek hospodaření za účetní období po zdanění / celkové roční tržby.</w:t>
      </w:r>
    </w:p>
  </w:footnote>
  <w:footnote w:id="66">
    <w:p w14:paraId="7CD56821" w14:textId="77777777" w:rsidR="009764C9" w:rsidRPr="006F0BA5" w:rsidRDefault="009764C9" w:rsidP="00D55F31">
      <w:pPr>
        <w:pStyle w:val="Textpoznpodarou"/>
        <w:ind w:left="284" w:hanging="284"/>
        <w:jc w:val="both"/>
        <w:rPr>
          <w:rFonts w:ascii="Calibri" w:hAnsi="Calibri" w:cs="Calibri"/>
        </w:rPr>
      </w:pPr>
      <w:r w:rsidRPr="006F0BA5">
        <w:rPr>
          <w:rStyle w:val="Znakapoznpodarou"/>
          <w:rFonts w:ascii="Calibri" w:hAnsi="Calibri" w:cs="Calibri"/>
          <w:i/>
          <w:sz w:val="16"/>
          <w:szCs w:val="18"/>
        </w:rPr>
        <w:footnoteRef/>
      </w:r>
      <w:r w:rsidRPr="006F0BA5">
        <w:rPr>
          <w:rFonts w:ascii="Calibri" w:hAnsi="Calibri" w:cs="Calibri"/>
          <w:i/>
          <w:sz w:val="16"/>
          <w:szCs w:val="18"/>
        </w:rPr>
        <w:tab/>
        <w:t>Obrat celkového kapitálu = roční tržby / celkový kapitál.</w:t>
      </w:r>
    </w:p>
  </w:footnote>
  <w:footnote w:id="67">
    <w:p w14:paraId="2208BBD7" w14:textId="77777777" w:rsidR="009764C9" w:rsidRPr="006F0BA5" w:rsidRDefault="009764C9" w:rsidP="00D55F31">
      <w:pPr>
        <w:pStyle w:val="Textpoznpodarou"/>
        <w:ind w:left="284" w:hanging="284"/>
        <w:rPr>
          <w:rFonts w:ascii="Calibri" w:hAnsi="Calibri" w:cs="Calibri"/>
        </w:rPr>
      </w:pPr>
      <w:r w:rsidRPr="006F0BA5">
        <w:rPr>
          <w:rStyle w:val="Znakapoznpodarou"/>
          <w:rFonts w:ascii="Calibri" w:hAnsi="Calibri" w:cs="Calibri"/>
          <w:i/>
          <w:sz w:val="16"/>
          <w:szCs w:val="18"/>
        </w:rPr>
        <w:footnoteRef/>
      </w:r>
      <w:r w:rsidRPr="006F0BA5">
        <w:rPr>
          <w:rFonts w:ascii="Calibri" w:hAnsi="Calibri" w:cs="Calibri"/>
          <w:i/>
          <w:sz w:val="16"/>
          <w:szCs w:val="18"/>
        </w:rPr>
        <w:t xml:space="preserve"> </w:t>
      </w:r>
      <w:r>
        <w:rPr>
          <w:rFonts w:ascii="Calibri" w:hAnsi="Calibri" w:cs="Calibri"/>
          <w:i/>
          <w:sz w:val="16"/>
          <w:szCs w:val="18"/>
        </w:rPr>
        <w:tab/>
      </w:r>
      <w:r w:rsidRPr="006F0BA5">
        <w:rPr>
          <w:rFonts w:ascii="Calibri" w:hAnsi="Calibri" w:cs="Calibri"/>
          <w:i/>
          <w:sz w:val="16"/>
          <w:szCs w:val="18"/>
        </w:rPr>
        <w:t>Obrat oběžných aktiv = roční tržby / oběžná aktiva.</w:t>
      </w:r>
    </w:p>
  </w:footnote>
  <w:footnote w:id="68">
    <w:p w14:paraId="441AF8B4" w14:textId="77777777" w:rsidR="009764C9" w:rsidRPr="006F0BA5" w:rsidRDefault="009764C9" w:rsidP="00D55F31">
      <w:pPr>
        <w:pStyle w:val="Textpoznpodarou"/>
        <w:ind w:left="284" w:hanging="284"/>
        <w:rPr>
          <w:rFonts w:ascii="Calibri" w:hAnsi="Calibri" w:cs="Calibri"/>
        </w:rPr>
      </w:pPr>
      <w:r w:rsidRPr="006F0BA5">
        <w:rPr>
          <w:rStyle w:val="Znakapoznpodarou"/>
          <w:rFonts w:ascii="Calibri" w:hAnsi="Calibri" w:cs="Calibri"/>
          <w:sz w:val="16"/>
          <w:szCs w:val="16"/>
        </w:rPr>
        <w:footnoteRef/>
      </w:r>
      <w:r w:rsidRPr="006F0BA5">
        <w:rPr>
          <w:rFonts w:ascii="Calibri" w:hAnsi="Calibri" w:cs="Calibri"/>
          <w:sz w:val="16"/>
          <w:szCs w:val="16"/>
        </w:rPr>
        <w:t xml:space="preserve"> </w:t>
      </w:r>
      <w:r>
        <w:rPr>
          <w:rFonts w:ascii="Calibri" w:hAnsi="Calibri" w:cs="Calibri"/>
          <w:sz w:val="16"/>
          <w:szCs w:val="16"/>
        </w:rPr>
        <w:tab/>
      </w:r>
      <w:r w:rsidRPr="006F0BA5">
        <w:rPr>
          <w:rFonts w:ascii="Calibri" w:hAnsi="Calibri" w:cs="Calibri"/>
          <w:sz w:val="16"/>
          <w:szCs w:val="16"/>
        </w:rPr>
        <w:t>Denní tržby = suma celkových ročních tržeb podniku vydělená 365 dny.</w:t>
      </w:r>
    </w:p>
  </w:footnote>
  <w:footnote w:id="69">
    <w:p w14:paraId="59C3E3CF" w14:textId="77777777" w:rsidR="009764C9" w:rsidRPr="00DA0573" w:rsidRDefault="009764C9" w:rsidP="00D55F31">
      <w:pPr>
        <w:ind w:left="284" w:hanging="284"/>
        <w:jc w:val="both"/>
        <w:rPr>
          <w:rFonts w:ascii="Calibri" w:hAnsi="Calibri" w:cs="Calibri"/>
          <w:sz w:val="20"/>
          <w:szCs w:val="20"/>
        </w:rPr>
      </w:pPr>
      <w:r w:rsidRPr="006F0BA5">
        <w:rPr>
          <w:rStyle w:val="Znakapoznpodarou"/>
          <w:rFonts w:ascii="Calibri" w:hAnsi="Calibri" w:cs="Calibri"/>
          <w:i/>
          <w:sz w:val="16"/>
          <w:szCs w:val="18"/>
        </w:rPr>
        <w:footnoteRef/>
      </w:r>
      <w:r w:rsidRPr="006F0BA5">
        <w:rPr>
          <w:rFonts w:ascii="Calibri" w:hAnsi="Calibri" w:cs="Calibri"/>
          <w:i/>
          <w:sz w:val="16"/>
          <w:szCs w:val="18"/>
        </w:rPr>
        <w:tab/>
      </w:r>
      <w:r w:rsidRPr="00DA0573">
        <w:rPr>
          <w:rFonts w:ascii="Calibri" w:hAnsi="Calibri" w:cs="Calibri"/>
          <w:i/>
          <w:sz w:val="20"/>
          <w:szCs w:val="20"/>
        </w:rPr>
        <w:t>Doba obratu pohledávek = celkové pohledávky / denní tržby.</w:t>
      </w:r>
    </w:p>
  </w:footnote>
  <w:footnote w:id="70">
    <w:p w14:paraId="4B0774E9" w14:textId="77777777" w:rsidR="009764C9" w:rsidRPr="00DA0573" w:rsidRDefault="009764C9" w:rsidP="00D55F31">
      <w:pPr>
        <w:pStyle w:val="Textpoznpodarou"/>
        <w:ind w:left="284" w:hanging="284"/>
        <w:jc w:val="both"/>
      </w:pPr>
      <w:r w:rsidRPr="00DA0573">
        <w:rPr>
          <w:rStyle w:val="Znakapoznpodarou"/>
          <w:rFonts w:ascii="Calibri" w:hAnsi="Calibri" w:cs="Calibri"/>
          <w:i/>
        </w:rPr>
        <w:footnoteRef/>
      </w:r>
      <w:r w:rsidRPr="00DA0573">
        <w:rPr>
          <w:rFonts w:ascii="Calibri" w:hAnsi="Calibri" w:cs="Calibri"/>
          <w:i/>
        </w:rPr>
        <w:tab/>
        <w:t>Doba obratu krátkodobých závazků = krátkodobé závazky / denní tržby.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B8504" w14:textId="77777777" w:rsidR="00B443A7" w:rsidRDefault="00B443A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8D2D7" w14:textId="77777777" w:rsidR="00B443A7" w:rsidRDefault="00B443A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50BC1" w14:textId="77777777" w:rsidR="00B443A7" w:rsidRDefault="00B443A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69DF"/>
    <w:multiLevelType w:val="hybridMultilevel"/>
    <w:tmpl w:val="D74AD626"/>
    <w:lvl w:ilvl="0" w:tplc="B5D8976A">
      <w:start w:val="1"/>
      <w:numFmt w:val="bullet"/>
      <w:lvlText w:val="-"/>
      <w:lvlJc w:val="left"/>
      <w:pPr>
        <w:ind w:left="720" w:hanging="360"/>
      </w:pPr>
      <w:rPr>
        <w:rFonts w:ascii="Calibri" w:eastAsiaTheme="minorHAnsi" w:hAnsi="Calibri" w:cs="Calibri" w:hint="default"/>
      </w:rPr>
    </w:lvl>
    <w:lvl w:ilvl="1" w:tplc="40E04F4A" w:tentative="1">
      <w:start w:val="1"/>
      <w:numFmt w:val="bullet"/>
      <w:lvlText w:val="o"/>
      <w:lvlJc w:val="left"/>
      <w:pPr>
        <w:ind w:left="1440" w:hanging="360"/>
      </w:pPr>
      <w:rPr>
        <w:rFonts w:ascii="Courier New" w:hAnsi="Courier New" w:cs="Courier New" w:hint="default"/>
      </w:rPr>
    </w:lvl>
    <w:lvl w:ilvl="2" w:tplc="6214FA1C" w:tentative="1">
      <w:start w:val="1"/>
      <w:numFmt w:val="bullet"/>
      <w:lvlText w:val=""/>
      <w:lvlJc w:val="left"/>
      <w:pPr>
        <w:ind w:left="2160" w:hanging="360"/>
      </w:pPr>
      <w:rPr>
        <w:rFonts w:ascii="Wingdings" w:hAnsi="Wingdings" w:hint="default"/>
      </w:rPr>
    </w:lvl>
    <w:lvl w:ilvl="3" w:tplc="94BA1F4E" w:tentative="1">
      <w:start w:val="1"/>
      <w:numFmt w:val="bullet"/>
      <w:lvlText w:val=""/>
      <w:lvlJc w:val="left"/>
      <w:pPr>
        <w:ind w:left="2880" w:hanging="360"/>
      </w:pPr>
      <w:rPr>
        <w:rFonts w:ascii="Symbol" w:hAnsi="Symbol" w:hint="default"/>
      </w:rPr>
    </w:lvl>
    <w:lvl w:ilvl="4" w:tplc="441A2CE4" w:tentative="1">
      <w:start w:val="1"/>
      <w:numFmt w:val="bullet"/>
      <w:lvlText w:val="o"/>
      <w:lvlJc w:val="left"/>
      <w:pPr>
        <w:ind w:left="3600" w:hanging="360"/>
      </w:pPr>
      <w:rPr>
        <w:rFonts w:ascii="Courier New" w:hAnsi="Courier New" w:cs="Courier New" w:hint="default"/>
      </w:rPr>
    </w:lvl>
    <w:lvl w:ilvl="5" w:tplc="752C7F10" w:tentative="1">
      <w:start w:val="1"/>
      <w:numFmt w:val="bullet"/>
      <w:lvlText w:val=""/>
      <w:lvlJc w:val="left"/>
      <w:pPr>
        <w:ind w:left="4320" w:hanging="360"/>
      </w:pPr>
      <w:rPr>
        <w:rFonts w:ascii="Wingdings" w:hAnsi="Wingdings" w:hint="default"/>
      </w:rPr>
    </w:lvl>
    <w:lvl w:ilvl="6" w:tplc="16C283E8" w:tentative="1">
      <w:start w:val="1"/>
      <w:numFmt w:val="bullet"/>
      <w:lvlText w:val=""/>
      <w:lvlJc w:val="left"/>
      <w:pPr>
        <w:ind w:left="5040" w:hanging="360"/>
      </w:pPr>
      <w:rPr>
        <w:rFonts w:ascii="Symbol" w:hAnsi="Symbol" w:hint="default"/>
      </w:rPr>
    </w:lvl>
    <w:lvl w:ilvl="7" w:tplc="F2903030" w:tentative="1">
      <w:start w:val="1"/>
      <w:numFmt w:val="bullet"/>
      <w:lvlText w:val="o"/>
      <w:lvlJc w:val="left"/>
      <w:pPr>
        <w:ind w:left="5760" w:hanging="360"/>
      </w:pPr>
      <w:rPr>
        <w:rFonts w:ascii="Courier New" w:hAnsi="Courier New" w:cs="Courier New" w:hint="default"/>
      </w:rPr>
    </w:lvl>
    <w:lvl w:ilvl="8" w:tplc="27EAB42C" w:tentative="1">
      <w:start w:val="1"/>
      <w:numFmt w:val="bullet"/>
      <w:lvlText w:val=""/>
      <w:lvlJc w:val="left"/>
      <w:pPr>
        <w:ind w:left="6480" w:hanging="360"/>
      </w:pPr>
      <w:rPr>
        <w:rFonts w:ascii="Wingdings" w:hAnsi="Wingdings" w:hint="default"/>
      </w:rPr>
    </w:lvl>
  </w:abstractNum>
  <w:abstractNum w:abstractNumId="1">
    <w:nsid w:val="04DF03D3"/>
    <w:multiLevelType w:val="hybridMultilevel"/>
    <w:tmpl w:val="E6DE4ECA"/>
    <w:lvl w:ilvl="0" w:tplc="9C8E93EE">
      <w:start w:val="1"/>
      <w:numFmt w:val="bullet"/>
      <w:lvlText w:val=""/>
      <w:lvlJc w:val="left"/>
      <w:pPr>
        <w:ind w:left="720" w:hanging="360"/>
      </w:pPr>
      <w:rPr>
        <w:rFonts w:ascii="Symbol" w:hAnsi="Symbol" w:hint="default"/>
      </w:rPr>
    </w:lvl>
    <w:lvl w:ilvl="1" w:tplc="F582FE34" w:tentative="1">
      <w:start w:val="1"/>
      <w:numFmt w:val="bullet"/>
      <w:lvlText w:val="o"/>
      <w:lvlJc w:val="left"/>
      <w:pPr>
        <w:ind w:left="1440" w:hanging="360"/>
      </w:pPr>
      <w:rPr>
        <w:rFonts w:ascii="Courier New" w:hAnsi="Courier New" w:cs="Courier New" w:hint="default"/>
      </w:rPr>
    </w:lvl>
    <w:lvl w:ilvl="2" w:tplc="D05AB844" w:tentative="1">
      <w:start w:val="1"/>
      <w:numFmt w:val="bullet"/>
      <w:lvlText w:val=""/>
      <w:lvlJc w:val="left"/>
      <w:pPr>
        <w:ind w:left="2160" w:hanging="360"/>
      </w:pPr>
      <w:rPr>
        <w:rFonts w:ascii="Wingdings" w:hAnsi="Wingdings" w:hint="default"/>
      </w:rPr>
    </w:lvl>
    <w:lvl w:ilvl="3" w:tplc="B37AF28E" w:tentative="1">
      <w:start w:val="1"/>
      <w:numFmt w:val="bullet"/>
      <w:lvlText w:val=""/>
      <w:lvlJc w:val="left"/>
      <w:pPr>
        <w:ind w:left="2880" w:hanging="360"/>
      </w:pPr>
      <w:rPr>
        <w:rFonts w:ascii="Symbol" w:hAnsi="Symbol" w:hint="default"/>
      </w:rPr>
    </w:lvl>
    <w:lvl w:ilvl="4" w:tplc="C904340C" w:tentative="1">
      <w:start w:val="1"/>
      <w:numFmt w:val="bullet"/>
      <w:lvlText w:val="o"/>
      <w:lvlJc w:val="left"/>
      <w:pPr>
        <w:ind w:left="3600" w:hanging="360"/>
      </w:pPr>
      <w:rPr>
        <w:rFonts w:ascii="Courier New" w:hAnsi="Courier New" w:cs="Courier New" w:hint="default"/>
      </w:rPr>
    </w:lvl>
    <w:lvl w:ilvl="5" w:tplc="2ABE033C" w:tentative="1">
      <w:start w:val="1"/>
      <w:numFmt w:val="bullet"/>
      <w:lvlText w:val=""/>
      <w:lvlJc w:val="left"/>
      <w:pPr>
        <w:ind w:left="4320" w:hanging="360"/>
      </w:pPr>
      <w:rPr>
        <w:rFonts w:ascii="Wingdings" w:hAnsi="Wingdings" w:hint="default"/>
      </w:rPr>
    </w:lvl>
    <w:lvl w:ilvl="6" w:tplc="7B54E842" w:tentative="1">
      <w:start w:val="1"/>
      <w:numFmt w:val="bullet"/>
      <w:lvlText w:val=""/>
      <w:lvlJc w:val="left"/>
      <w:pPr>
        <w:ind w:left="5040" w:hanging="360"/>
      </w:pPr>
      <w:rPr>
        <w:rFonts w:ascii="Symbol" w:hAnsi="Symbol" w:hint="default"/>
      </w:rPr>
    </w:lvl>
    <w:lvl w:ilvl="7" w:tplc="B6602F74" w:tentative="1">
      <w:start w:val="1"/>
      <w:numFmt w:val="bullet"/>
      <w:lvlText w:val="o"/>
      <w:lvlJc w:val="left"/>
      <w:pPr>
        <w:ind w:left="5760" w:hanging="360"/>
      </w:pPr>
      <w:rPr>
        <w:rFonts w:ascii="Courier New" w:hAnsi="Courier New" w:cs="Courier New" w:hint="default"/>
      </w:rPr>
    </w:lvl>
    <w:lvl w:ilvl="8" w:tplc="CAF6B4CC" w:tentative="1">
      <w:start w:val="1"/>
      <w:numFmt w:val="bullet"/>
      <w:lvlText w:val=""/>
      <w:lvlJc w:val="left"/>
      <w:pPr>
        <w:ind w:left="6480" w:hanging="360"/>
      </w:pPr>
      <w:rPr>
        <w:rFonts w:ascii="Wingdings" w:hAnsi="Wingdings" w:hint="default"/>
      </w:rPr>
    </w:lvl>
  </w:abstractNum>
  <w:abstractNum w:abstractNumId="2">
    <w:nsid w:val="05B520DD"/>
    <w:multiLevelType w:val="hybridMultilevel"/>
    <w:tmpl w:val="07E64A4A"/>
    <w:lvl w:ilvl="0" w:tplc="B67C32CE">
      <w:start w:val="1"/>
      <w:numFmt w:val="bullet"/>
      <w:lvlText w:val="-"/>
      <w:lvlJc w:val="left"/>
      <w:pPr>
        <w:ind w:left="1069" w:hanging="360"/>
      </w:pPr>
      <w:rPr>
        <w:rFonts w:ascii="Calibri" w:eastAsiaTheme="minorHAnsi" w:hAnsi="Calibri" w:cs="Calibri" w:hint="default"/>
      </w:rPr>
    </w:lvl>
    <w:lvl w:ilvl="1" w:tplc="62B89C68" w:tentative="1">
      <w:start w:val="1"/>
      <w:numFmt w:val="bullet"/>
      <w:lvlText w:val="o"/>
      <w:lvlJc w:val="left"/>
      <w:pPr>
        <w:ind w:left="1789" w:hanging="360"/>
      </w:pPr>
      <w:rPr>
        <w:rFonts w:ascii="Courier New" w:hAnsi="Courier New" w:cs="Courier New" w:hint="default"/>
      </w:rPr>
    </w:lvl>
    <w:lvl w:ilvl="2" w:tplc="C57CD2CA" w:tentative="1">
      <w:start w:val="1"/>
      <w:numFmt w:val="bullet"/>
      <w:lvlText w:val=""/>
      <w:lvlJc w:val="left"/>
      <w:pPr>
        <w:ind w:left="2509" w:hanging="360"/>
      </w:pPr>
      <w:rPr>
        <w:rFonts w:ascii="Wingdings" w:hAnsi="Wingdings" w:hint="default"/>
      </w:rPr>
    </w:lvl>
    <w:lvl w:ilvl="3" w:tplc="1C5C6A52" w:tentative="1">
      <w:start w:val="1"/>
      <w:numFmt w:val="bullet"/>
      <w:lvlText w:val=""/>
      <w:lvlJc w:val="left"/>
      <w:pPr>
        <w:ind w:left="3229" w:hanging="360"/>
      </w:pPr>
      <w:rPr>
        <w:rFonts w:ascii="Symbol" w:hAnsi="Symbol" w:hint="default"/>
      </w:rPr>
    </w:lvl>
    <w:lvl w:ilvl="4" w:tplc="6BEEE9E8" w:tentative="1">
      <w:start w:val="1"/>
      <w:numFmt w:val="bullet"/>
      <w:lvlText w:val="o"/>
      <w:lvlJc w:val="left"/>
      <w:pPr>
        <w:ind w:left="3949" w:hanging="360"/>
      </w:pPr>
      <w:rPr>
        <w:rFonts w:ascii="Courier New" w:hAnsi="Courier New" w:cs="Courier New" w:hint="default"/>
      </w:rPr>
    </w:lvl>
    <w:lvl w:ilvl="5" w:tplc="23C801C0" w:tentative="1">
      <w:start w:val="1"/>
      <w:numFmt w:val="bullet"/>
      <w:lvlText w:val=""/>
      <w:lvlJc w:val="left"/>
      <w:pPr>
        <w:ind w:left="4669" w:hanging="360"/>
      </w:pPr>
      <w:rPr>
        <w:rFonts w:ascii="Wingdings" w:hAnsi="Wingdings" w:hint="default"/>
      </w:rPr>
    </w:lvl>
    <w:lvl w:ilvl="6" w:tplc="6F28DD88" w:tentative="1">
      <w:start w:val="1"/>
      <w:numFmt w:val="bullet"/>
      <w:lvlText w:val=""/>
      <w:lvlJc w:val="left"/>
      <w:pPr>
        <w:ind w:left="5389" w:hanging="360"/>
      </w:pPr>
      <w:rPr>
        <w:rFonts w:ascii="Symbol" w:hAnsi="Symbol" w:hint="default"/>
      </w:rPr>
    </w:lvl>
    <w:lvl w:ilvl="7" w:tplc="6D920994" w:tentative="1">
      <w:start w:val="1"/>
      <w:numFmt w:val="bullet"/>
      <w:lvlText w:val="o"/>
      <w:lvlJc w:val="left"/>
      <w:pPr>
        <w:ind w:left="6109" w:hanging="360"/>
      </w:pPr>
      <w:rPr>
        <w:rFonts w:ascii="Courier New" w:hAnsi="Courier New" w:cs="Courier New" w:hint="default"/>
      </w:rPr>
    </w:lvl>
    <w:lvl w:ilvl="8" w:tplc="D180C500" w:tentative="1">
      <w:start w:val="1"/>
      <w:numFmt w:val="bullet"/>
      <w:lvlText w:val=""/>
      <w:lvlJc w:val="left"/>
      <w:pPr>
        <w:ind w:left="6829" w:hanging="360"/>
      </w:pPr>
      <w:rPr>
        <w:rFonts w:ascii="Wingdings" w:hAnsi="Wingdings" w:hint="default"/>
      </w:rPr>
    </w:lvl>
  </w:abstractNum>
  <w:abstractNum w:abstractNumId="3">
    <w:nsid w:val="074F0860"/>
    <w:multiLevelType w:val="hybridMultilevel"/>
    <w:tmpl w:val="0D6C4A80"/>
    <w:lvl w:ilvl="0" w:tplc="9C8E93EE">
      <w:start w:val="1"/>
      <w:numFmt w:val="bullet"/>
      <w:lvlText w:val=""/>
      <w:lvlJc w:val="left"/>
      <w:pPr>
        <w:ind w:left="1146" w:hanging="360"/>
      </w:pPr>
      <w:rPr>
        <w:rFonts w:ascii="Symbol" w:hAnsi="Symbol" w:hint="default"/>
      </w:rPr>
    </w:lvl>
    <w:lvl w:ilvl="1" w:tplc="FCA03036" w:tentative="1">
      <w:start w:val="1"/>
      <w:numFmt w:val="bullet"/>
      <w:lvlText w:val="o"/>
      <w:lvlJc w:val="left"/>
      <w:pPr>
        <w:ind w:left="1866" w:hanging="360"/>
      </w:pPr>
      <w:rPr>
        <w:rFonts w:ascii="Courier New" w:hAnsi="Courier New" w:hint="default"/>
      </w:rPr>
    </w:lvl>
    <w:lvl w:ilvl="2" w:tplc="0FF4443C" w:tentative="1">
      <w:start w:val="1"/>
      <w:numFmt w:val="bullet"/>
      <w:lvlText w:val=""/>
      <w:lvlJc w:val="left"/>
      <w:pPr>
        <w:ind w:left="2586" w:hanging="360"/>
      </w:pPr>
      <w:rPr>
        <w:rFonts w:ascii="Wingdings" w:hAnsi="Wingdings" w:hint="default"/>
      </w:rPr>
    </w:lvl>
    <w:lvl w:ilvl="3" w:tplc="121ABAC6" w:tentative="1">
      <w:start w:val="1"/>
      <w:numFmt w:val="bullet"/>
      <w:lvlText w:val=""/>
      <w:lvlJc w:val="left"/>
      <w:pPr>
        <w:ind w:left="3306" w:hanging="360"/>
      </w:pPr>
      <w:rPr>
        <w:rFonts w:ascii="Symbol" w:hAnsi="Symbol" w:hint="default"/>
      </w:rPr>
    </w:lvl>
    <w:lvl w:ilvl="4" w:tplc="C53C4216" w:tentative="1">
      <w:start w:val="1"/>
      <w:numFmt w:val="bullet"/>
      <w:lvlText w:val="o"/>
      <w:lvlJc w:val="left"/>
      <w:pPr>
        <w:ind w:left="4026" w:hanging="360"/>
      </w:pPr>
      <w:rPr>
        <w:rFonts w:ascii="Courier New" w:hAnsi="Courier New" w:hint="default"/>
      </w:rPr>
    </w:lvl>
    <w:lvl w:ilvl="5" w:tplc="9336F75E" w:tentative="1">
      <w:start w:val="1"/>
      <w:numFmt w:val="bullet"/>
      <w:lvlText w:val=""/>
      <w:lvlJc w:val="left"/>
      <w:pPr>
        <w:ind w:left="4746" w:hanging="360"/>
      </w:pPr>
      <w:rPr>
        <w:rFonts w:ascii="Wingdings" w:hAnsi="Wingdings" w:hint="default"/>
      </w:rPr>
    </w:lvl>
    <w:lvl w:ilvl="6" w:tplc="5EF689EA" w:tentative="1">
      <w:start w:val="1"/>
      <w:numFmt w:val="bullet"/>
      <w:lvlText w:val=""/>
      <w:lvlJc w:val="left"/>
      <w:pPr>
        <w:ind w:left="5466" w:hanging="360"/>
      </w:pPr>
      <w:rPr>
        <w:rFonts w:ascii="Symbol" w:hAnsi="Symbol" w:hint="default"/>
      </w:rPr>
    </w:lvl>
    <w:lvl w:ilvl="7" w:tplc="5CF80370" w:tentative="1">
      <w:start w:val="1"/>
      <w:numFmt w:val="bullet"/>
      <w:lvlText w:val="o"/>
      <w:lvlJc w:val="left"/>
      <w:pPr>
        <w:ind w:left="6186" w:hanging="360"/>
      </w:pPr>
      <w:rPr>
        <w:rFonts w:ascii="Courier New" w:hAnsi="Courier New" w:hint="default"/>
      </w:rPr>
    </w:lvl>
    <w:lvl w:ilvl="8" w:tplc="37D2D638" w:tentative="1">
      <w:start w:val="1"/>
      <w:numFmt w:val="bullet"/>
      <w:lvlText w:val=""/>
      <w:lvlJc w:val="left"/>
      <w:pPr>
        <w:ind w:left="6906" w:hanging="360"/>
      </w:pPr>
      <w:rPr>
        <w:rFonts w:ascii="Wingdings" w:hAnsi="Wingdings" w:hint="default"/>
      </w:rPr>
    </w:lvl>
  </w:abstractNum>
  <w:abstractNum w:abstractNumId="4">
    <w:nsid w:val="08CA5114"/>
    <w:multiLevelType w:val="hybridMultilevel"/>
    <w:tmpl w:val="1386493C"/>
    <w:lvl w:ilvl="0" w:tplc="04802632">
      <w:numFmt w:val="bullet"/>
      <w:lvlText w:val="-"/>
      <w:lvlJc w:val="left"/>
      <w:pPr>
        <w:ind w:left="1004" w:hanging="360"/>
      </w:pPr>
      <w:rPr>
        <w:rFonts w:ascii="Calibri" w:eastAsia="Times New Roman" w:hAnsi="Calibri" w:cs="Times New Roman" w:hint="default"/>
      </w:rPr>
    </w:lvl>
    <w:lvl w:ilvl="1" w:tplc="CEB44378" w:tentative="1">
      <w:start w:val="1"/>
      <w:numFmt w:val="bullet"/>
      <w:lvlText w:val="o"/>
      <w:lvlJc w:val="left"/>
      <w:pPr>
        <w:ind w:left="1724" w:hanging="360"/>
      </w:pPr>
      <w:rPr>
        <w:rFonts w:ascii="Courier New" w:hAnsi="Courier New" w:cs="Courier New" w:hint="default"/>
      </w:rPr>
    </w:lvl>
    <w:lvl w:ilvl="2" w:tplc="9F5AA838" w:tentative="1">
      <w:start w:val="1"/>
      <w:numFmt w:val="bullet"/>
      <w:lvlText w:val=""/>
      <w:lvlJc w:val="left"/>
      <w:pPr>
        <w:ind w:left="2444" w:hanging="360"/>
      </w:pPr>
      <w:rPr>
        <w:rFonts w:ascii="Wingdings" w:hAnsi="Wingdings" w:hint="default"/>
      </w:rPr>
    </w:lvl>
    <w:lvl w:ilvl="3" w:tplc="F63880F4" w:tentative="1">
      <w:start w:val="1"/>
      <w:numFmt w:val="bullet"/>
      <w:lvlText w:val=""/>
      <w:lvlJc w:val="left"/>
      <w:pPr>
        <w:ind w:left="3164" w:hanging="360"/>
      </w:pPr>
      <w:rPr>
        <w:rFonts w:ascii="Symbol" w:hAnsi="Symbol" w:hint="default"/>
      </w:rPr>
    </w:lvl>
    <w:lvl w:ilvl="4" w:tplc="B588B2FC" w:tentative="1">
      <w:start w:val="1"/>
      <w:numFmt w:val="bullet"/>
      <w:lvlText w:val="o"/>
      <w:lvlJc w:val="left"/>
      <w:pPr>
        <w:ind w:left="3884" w:hanging="360"/>
      </w:pPr>
      <w:rPr>
        <w:rFonts w:ascii="Courier New" w:hAnsi="Courier New" w:cs="Courier New" w:hint="default"/>
      </w:rPr>
    </w:lvl>
    <w:lvl w:ilvl="5" w:tplc="DC403CBE" w:tentative="1">
      <w:start w:val="1"/>
      <w:numFmt w:val="bullet"/>
      <w:lvlText w:val=""/>
      <w:lvlJc w:val="left"/>
      <w:pPr>
        <w:ind w:left="4604" w:hanging="360"/>
      </w:pPr>
      <w:rPr>
        <w:rFonts w:ascii="Wingdings" w:hAnsi="Wingdings" w:hint="default"/>
      </w:rPr>
    </w:lvl>
    <w:lvl w:ilvl="6" w:tplc="CD4A0736" w:tentative="1">
      <w:start w:val="1"/>
      <w:numFmt w:val="bullet"/>
      <w:lvlText w:val=""/>
      <w:lvlJc w:val="left"/>
      <w:pPr>
        <w:ind w:left="5324" w:hanging="360"/>
      </w:pPr>
      <w:rPr>
        <w:rFonts w:ascii="Symbol" w:hAnsi="Symbol" w:hint="default"/>
      </w:rPr>
    </w:lvl>
    <w:lvl w:ilvl="7" w:tplc="1A242E42" w:tentative="1">
      <w:start w:val="1"/>
      <w:numFmt w:val="bullet"/>
      <w:lvlText w:val="o"/>
      <w:lvlJc w:val="left"/>
      <w:pPr>
        <w:ind w:left="6044" w:hanging="360"/>
      </w:pPr>
      <w:rPr>
        <w:rFonts w:ascii="Courier New" w:hAnsi="Courier New" w:cs="Courier New" w:hint="default"/>
      </w:rPr>
    </w:lvl>
    <w:lvl w:ilvl="8" w:tplc="2712206E" w:tentative="1">
      <w:start w:val="1"/>
      <w:numFmt w:val="bullet"/>
      <w:lvlText w:val=""/>
      <w:lvlJc w:val="left"/>
      <w:pPr>
        <w:ind w:left="6764" w:hanging="360"/>
      </w:pPr>
      <w:rPr>
        <w:rFonts w:ascii="Wingdings" w:hAnsi="Wingdings" w:hint="default"/>
      </w:rPr>
    </w:lvl>
  </w:abstractNum>
  <w:abstractNum w:abstractNumId="5">
    <w:nsid w:val="0A9931EC"/>
    <w:multiLevelType w:val="hybridMultilevel"/>
    <w:tmpl w:val="E594EB9C"/>
    <w:lvl w:ilvl="0" w:tplc="C76048F2">
      <w:start w:val="1"/>
      <w:numFmt w:val="bullet"/>
      <w:lvlText w:val="-"/>
      <w:lvlJc w:val="left"/>
      <w:pPr>
        <w:ind w:left="720" w:hanging="360"/>
      </w:pPr>
      <w:rPr>
        <w:rFonts w:ascii="Calibri" w:eastAsiaTheme="minorHAnsi" w:hAnsi="Calibri" w:cs="Calibri" w:hint="default"/>
      </w:rPr>
    </w:lvl>
    <w:lvl w:ilvl="1" w:tplc="FD822D54" w:tentative="1">
      <w:start w:val="1"/>
      <w:numFmt w:val="bullet"/>
      <w:lvlText w:val="o"/>
      <w:lvlJc w:val="left"/>
      <w:pPr>
        <w:ind w:left="1440" w:hanging="360"/>
      </w:pPr>
      <w:rPr>
        <w:rFonts w:ascii="Courier New" w:hAnsi="Courier New" w:cs="Courier New" w:hint="default"/>
      </w:rPr>
    </w:lvl>
    <w:lvl w:ilvl="2" w:tplc="4636DC74" w:tentative="1">
      <w:start w:val="1"/>
      <w:numFmt w:val="bullet"/>
      <w:lvlText w:val=""/>
      <w:lvlJc w:val="left"/>
      <w:pPr>
        <w:ind w:left="2160" w:hanging="360"/>
      </w:pPr>
      <w:rPr>
        <w:rFonts w:ascii="Wingdings" w:hAnsi="Wingdings" w:hint="default"/>
      </w:rPr>
    </w:lvl>
    <w:lvl w:ilvl="3" w:tplc="D2CA3C6E" w:tentative="1">
      <w:start w:val="1"/>
      <w:numFmt w:val="bullet"/>
      <w:lvlText w:val=""/>
      <w:lvlJc w:val="left"/>
      <w:pPr>
        <w:ind w:left="2880" w:hanging="360"/>
      </w:pPr>
      <w:rPr>
        <w:rFonts w:ascii="Symbol" w:hAnsi="Symbol" w:hint="default"/>
      </w:rPr>
    </w:lvl>
    <w:lvl w:ilvl="4" w:tplc="A6C2C9DE" w:tentative="1">
      <w:start w:val="1"/>
      <w:numFmt w:val="bullet"/>
      <w:lvlText w:val="o"/>
      <w:lvlJc w:val="left"/>
      <w:pPr>
        <w:ind w:left="3600" w:hanging="360"/>
      </w:pPr>
      <w:rPr>
        <w:rFonts w:ascii="Courier New" w:hAnsi="Courier New" w:cs="Courier New" w:hint="default"/>
      </w:rPr>
    </w:lvl>
    <w:lvl w:ilvl="5" w:tplc="FC5C0A22" w:tentative="1">
      <w:start w:val="1"/>
      <w:numFmt w:val="bullet"/>
      <w:lvlText w:val=""/>
      <w:lvlJc w:val="left"/>
      <w:pPr>
        <w:ind w:left="4320" w:hanging="360"/>
      </w:pPr>
      <w:rPr>
        <w:rFonts w:ascii="Wingdings" w:hAnsi="Wingdings" w:hint="default"/>
      </w:rPr>
    </w:lvl>
    <w:lvl w:ilvl="6" w:tplc="2B189912" w:tentative="1">
      <w:start w:val="1"/>
      <w:numFmt w:val="bullet"/>
      <w:lvlText w:val=""/>
      <w:lvlJc w:val="left"/>
      <w:pPr>
        <w:ind w:left="5040" w:hanging="360"/>
      </w:pPr>
      <w:rPr>
        <w:rFonts w:ascii="Symbol" w:hAnsi="Symbol" w:hint="default"/>
      </w:rPr>
    </w:lvl>
    <w:lvl w:ilvl="7" w:tplc="F600143A" w:tentative="1">
      <w:start w:val="1"/>
      <w:numFmt w:val="bullet"/>
      <w:lvlText w:val="o"/>
      <w:lvlJc w:val="left"/>
      <w:pPr>
        <w:ind w:left="5760" w:hanging="360"/>
      </w:pPr>
      <w:rPr>
        <w:rFonts w:ascii="Courier New" w:hAnsi="Courier New" w:cs="Courier New" w:hint="default"/>
      </w:rPr>
    </w:lvl>
    <w:lvl w:ilvl="8" w:tplc="7B7835C4" w:tentative="1">
      <w:start w:val="1"/>
      <w:numFmt w:val="bullet"/>
      <w:lvlText w:val=""/>
      <w:lvlJc w:val="left"/>
      <w:pPr>
        <w:ind w:left="6480" w:hanging="360"/>
      </w:pPr>
      <w:rPr>
        <w:rFonts w:ascii="Wingdings" w:hAnsi="Wingdings" w:hint="default"/>
      </w:rPr>
    </w:lvl>
  </w:abstractNum>
  <w:abstractNum w:abstractNumId="6">
    <w:nsid w:val="0C891552"/>
    <w:multiLevelType w:val="hybridMultilevel"/>
    <w:tmpl w:val="3D52D040"/>
    <w:lvl w:ilvl="0" w:tplc="25D6FDF0">
      <w:numFmt w:val="bullet"/>
      <w:lvlText w:val="-"/>
      <w:lvlJc w:val="left"/>
      <w:pPr>
        <w:ind w:left="720" w:hanging="360"/>
      </w:pPr>
      <w:rPr>
        <w:rFonts w:ascii="Calibri" w:eastAsia="Times New Roman" w:hAnsi="Calibri" w:cs="Times New Roman" w:hint="default"/>
      </w:rPr>
    </w:lvl>
    <w:lvl w:ilvl="1" w:tplc="8A30C724" w:tentative="1">
      <w:start w:val="1"/>
      <w:numFmt w:val="bullet"/>
      <w:lvlText w:val="o"/>
      <w:lvlJc w:val="left"/>
      <w:pPr>
        <w:ind w:left="1440" w:hanging="360"/>
      </w:pPr>
      <w:rPr>
        <w:rFonts w:ascii="Courier New" w:hAnsi="Courier New" w:cs="Courier New" w:hint="default"/>
      </w:rPr>
    </w:lvl>
    <w:lvl w:ilvl="2" w:tplc="432A28C2" w:tentative="1">
      <w:start w:val="1"/>
      <w:numFmt w:val="bullet"/>
      <w:lvlText w:val=""/>
      <w:lvlJc w:val="left"/>
      <w:pPr>
        <w:ind w:left="2160" w:hanging="360"/>
      </w:pPr>
      <w:rPr>
        <w:rFonts w:ascii="Wingdings" w:hAnsi="Wingdings" w:hint="default"/>
      </w:rPr>
    </w:lvl>
    <w:lvl w:ilvl="3" w:tplc="0124FC36" w:tentative="1">
      <w:start w:val="1"/>
      <w:numFmt w:val="bullet"/>
      <w:lvlText w:val=""/>
      <w:lvlJc w:val="left"/>
      <w:pPr>
        <w:ind w:left="2880" w:hanging="360"/>
      </w:pPr>
      <w:rPr>
        <w:rFonts w:ascii="Symbol" w:hAnsi="Symbol" w:hint="default"/>
      </w:rPr>
    </w:lvl>
    <w:lvl w:ilvl="4" w:tplc="2EE443AC" w:tentative="1">
      <w:start w:val="1"/>
      <w:numFmt w:val="bullet"/>
      <w:lvlText w:val="o"/>
      <w:lvlJc w:val="left"/>
      <w:pPr>
        <w:ind w:left="3600" w:hanging="360"/>
      </w:pPr>
      <w:rPr>
        <w:rFonts w:ascii="Courier New" w:hAnsi="Courier New" w:cs="Courier New" w:hint="default"/>
      </w:rPr>
    </w:lvl>
    <w:lvl w:ilvl="5" w:tplc="9E6AD728" w:tentative="1">
      <w:start w:val="1"/>
      <w:numFmt w:val="bullet"/>
      <w:lvlText w:val=""/>
      <w:lvlJc w:val="left"/>
      <w:pPr>
        <w:ind w:left="4320" w:hanging="360"/>
      </w:pPr>
      <w:rPr>
        <w:rFonts w:ascii="Wingdings" w:hAnsi="Wingdings" w:hint="default"/>
      </w:rPr>
    </w:lvl>
    <w:lvl w:ilvl="6" w:tplc="CF30EC0A" w:tentative="1">
      <w:start w:val="1"/>
      <w:numFmt w:val="bullet"/>
      <w:lvlText w:val=""/>
      <w:lvlJc w:val="left"/>
      <w:pPr>
        <w:ind w:left="5040" w:hanging="360"/>
      </w:pPr>
      <w:rPr>
        <w:rFonts w:ascii="Symbol" w:hAnsi="Symbol" w:hint="default"/>
      </w:rPr>
    </w:lvl>
    <w:lvl w:ilvl="7" w:tplc="FE081862" w:tentative="1">
      <w:start w:val="1"/>
      <w:numFmt w:val="bullet"/>
      <w:lvlText w:val="o"/>
      <w:lvlJc w:val="left"/>
      <w:pPr>
        <w:ind w:left="5760" w:hanging="360"/>
      </w:pPr>
      <w:rPr>
        <w:rFonts w:ascii="Courier New" w:hAnsi="Courier New" w:cs="Courier New" w:hint="default"/>
      </w:rPr>
    </w:lvl>
    <w:lvl w:ilvl="8" w:tplc="E61EC9F6" w:tentative="1">
      <w:start w:val="1"/>
      <w:numFmt w:val="bullet"/>
      <w:lvlText w:val=""/>
      <w:lvlJc w:val="left"/>
      <w:pPr>
        <w:ind w:left="6480" w:hanging="360"/>
      </w:pPr>
      <w:rPr>
        <w:rFonts w:ascii="Wingdings" w:hAnsi="Wingdings" w:hint="default"/>
      </w:rPr>
    </w:lvl>
  </w:abstractNum>
  <w:abstractNum w:abstractNumId="7">
    <w:nsid w:val="11326A8F"/>
    <w:multiLevelType w:val="multilevel"/>
    <w:tmpl w:val="ADA2C588"/>
    <w:lvl w:ilvl="0">
      <w:start w:val="1"/>
      <w:numFmt w:val="upperRoman"/>
      <w:pStyle w:val="lnek1"/>
      <w:suff w:val="nothing"/>
      <w:lvlText w:val="Čl. %1"/>
      <w:lvlJc w:val="left"/>
      <w:pPr>
        <w:ind w:left="486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nek2"/>
      <w:isLgl/>
      <w:lvlText w:val="%1.%2"/>
      <w:lvlJc w:val="left"/>
      <w:pPr>
        <w:tabs>
          <w:tab w:val="num" w:pos="624"/>
        </w:tabs>
        <w:ind w:left="624" w:hanging="624"/>
      </w:pPr>
      <w:rPr>
        <w:rFonts w:ascii="Times New Roman" w:hAnsi="Times New Roman" w:hint="default"/>
        <w:b/>
        <w:i w:val="0"/>
      </w:rPr>
    </w:lvl>
    <w:lvl w:ilvl="2">
      <w:start w:val="1"/>
      <w:numFmt w:val="decimal"/>
      <w:pStyle w:val="lnek3"/>
      <w:isLgl/>
      <w:lvlText w:val="%1.%2.%3"/>
      <w:lvlJc w:val="left"/>
      <w:pPr>
        <w:tabs>
          <w:tab w:val="num" w:pos="1277"/>
        </w:tabs>
        <w:ind w:left="653" w:hanging="113"/>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721"/>
        </w:tabs>
        <w:ind w:left="1721" w:hanging="360"/>
      </w:pPr>
      <w:rPr>
        <w:rFonts w:hint="default"/>
        <w:b/>
        <w:i w:val="0"/>
        <w:sz w:val="28"/>
        <w:szCs w:val="28"/>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135E333D"/>
    <w:multiLevelType w:val="hybridMultilevel"/>
    <w:tmpl w:val="5A18AEC4"/>
    <w:lvl w:ilvl="0" w:tplc="9426DBA4">
      <w:start w:val="1"/>
      <w:numFmt w:val="bullet"/>
      <w:lvlText w:val="-"/>
      <w:lvlJc w:val="left"/>
      <w:pPr>
        <w:ind w:left="720" w:hanging="360"/>
      </w:pPr>
      <w:rPr>
        <w:rFonts w:ascii="Calibri" w:eastAsiaTheme="minorHAnsi" w:hAnsi="Calibri" w:cs="Calibri" w:hint="default"/>
      </w:rPr>
    </w:lvl>
    <w:lvl w:ilvl="1" w:tplc="ACFCDFE4" w:tentative="1">
      <w:start w:val="1"/>
      <w:numFmt w:val="bullet"/>
      <w:lvlText w:val="o"/>
      <w:lvlJc w:val="left"/>
      <w:pPr>
        <w:ind w:left="1440" w:hanging="360"/>
      </w:pPr>
      <w:rPr>
        <w:rFonts w:ascii="Courier New" w:hAnsi="Courier New" w:cs="Courier New" w:hint="default"/>
      </w:rPr>
    </w:lvl>
    <w:lvl w:ilvl="2" w:tplc="BAD86792" w:tentative="1">
      <w:start w:val="1"/>
      <w:numFmt w:val="bullet"/>
      <w:lvlText w:val=""/>
      <w:lvlJc w:val="left"/>
      <w:pPr>
        <w:ind w:left="2160" w:hanging="360"/>
      </w:pPr>
      <w:rPr>
        <w:rFonts w:ascii="Wingdings" w:hAnsi="Wingdings" w:hint="default"/>
      </w:rPr>
    </w:lvl>
    <w:lvl w:ilvl="3" w:tplc="D4DC7C82" w:tentative="1">
      <w:start w:val="1"/>
      <w:numFmt w:val="bullet"/>
      <w:lvlText w:val=""/>
      <w:lvlJc w:val="left"/>
      <w:pPr>
        <w:ind w:left="2880" w:hanging="360"/>
      </w:pPr>
      <w:rPr>
        <w:rFonts w:ascii="Symbol" w:hAnsi="Symbol" w:hint="default"/>
      </w:rPr>
    </w:lvl>
    <w:lvl w:ilvl="4" w:tplc="1B3871FC" w:tentative="1">
      <w:start w:val="1"/>
      <w:numFmt w:val="bullet"/>
      <w:lvlText w:val="o"/>
      <w:lvlJc w:val="left"/>
      <w:pPr>
        <w:ind w:left="3600" w:hanging="360"/>
      </w:pPr>
      <w:rPr>
        <w:rFonts w:ascii="Courier New" w:hAnsi="Courier New" w:cs="Courier New" w:hint="default"/>
      </w:rPr>
    </w:lvl>
    <w:lvl w:ilvl="5" w:tplc="692650BC" w:tentative="1">
      <w:start w:val="1"/>
      <w:numFmt w:val="bullet"/>
      <w:lvlText w:val=""/>
      <w:lvlJc w:val="left"/>
      <w:pPr>
        <w:ind w:left="4320" w:hanging="360"/>
      </w:pPr>
      <w:rPr>
        <w:rFonts w:ascii="Wingdings" w:hAnsi="Wingdings" w:hint="default"/>
      </w:rPr>
    </w:lvl>
    <w:lvl w:ilvl="6" w:tplc="8E4094D4" w:tentative="1">
      <w:start w:val="1"/>
      <w:numFmt w:val="bullet"/>
      <w:lvlText w:val=""/>
      <w:lvlJc w:val="left"/>
      <w:pPr>
        <w:ind w:left="5040" w:hanging="360"/>
      </w:pPr>
      <w:rPr>
        <w:rFonts w:ascii="Symbol" w:hAnsi="Symbol" w:hint="default"/>
      </w:rPr>
    </w:lvl>
    <w:lvl w:ilvl="7" w:tplc="F4EEDE9E" w:tentative="1">
      <w:start w:val="1"/>
      <w:numFmt w:val="bullet"/>
      <w:lvlText w:val="o"/>
      <w:lvlJc w:val="left"/>
      <w:pPr>
        <w:ind w:left="5760" w:hanging="360"/>
      </w:pPr>
      <w:rPr>
        <w:rFonts w:ascii="Courier New" w:hAnsi="Courier New" w:cs="Courier New" w:hint="default"/>
      </w:rPr>
    </w:lvl>
    <w:lvl w:ilvl="8" w:tplc="DA86EF44" w:tentative="1">
      <w:start w:val="1"/>
      <w:numFmt w:val="bullet"/>
      <w:lvlText w:val=""/>
      <w:lvlJc w:val="left"/>
      <w:pPr>
        <w:ind w:left="6480" w:hanging="360"/>
      </w:pPr>
      <w:rPr>
        <w:rFonts w:ascii="Wingdings" w:hAnsi="Wingdings" w:hint="default"/>
      </w:rPr>
    </w:lvl>
  </w:abstractNum>
  <w:abstractNum w:abstractNumId="9">
    <w:nsid w:val="15BF00FF"/>
    <w:multiLevelType w:val="hybridMultilevel"/>
    <w:tmpl w:val="C42EC616"/>
    <w:lvl w:ilvl="0" w:tplc="9C8E93E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A3802A4"/>
    <w:multiLevelType w:val="hybridMultilevel"/>
    <w:tmpl w:val="1B025FFA"/>
    <w:lvl w:ilvl="0" w:tplc="9C8E93E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12659BD"/>
    <w:multiLevelType w:val="hybridMultilevel"/>
    <w:tmpl w:val="D0584EB6"/>
    <w:lvl w:ilvl="0" w:tplc="7B8636C2">
      <w:start w:val="1"/>
      <w:numFmt w:val="bullet"/>
      <w:lvlText w:val=""/>
      <w:lvlJc w:val="left"/>
      <w:pPr>
        <w:ind w:left="720" w:hanging="360"/>
      </w:pPr>
      <w:rPr>
        <w:rFonts w:ascii="Symbol" w:hAnsi="Symbol" w:hint="default"/>
      </w:rPr>
    </w:lvl>
    <w:lvl w:ilvl="1" w:tplc="9C8E93EE">
      <w:start w:val="1"/>
      <w:numFmt w:val="bullet"/>
      <w:lvlText w:val=""/>
      <w:lvlJc w:val="left"/>
      <w:pPr>
        <w:ind w:left="1440" w:hanging="360"/>
      </w:pPr>
      <w:rPr>
        <w:rFonts w:ascii="Symbol" w:hAnsi="Symbol" w:hint="default"/>
      </w:rPr>
    </w:lvl>
    <w:lvl w:ilvl="2" w:tplc="B854FFF2" w:tentative="1">
      <w:start w:val="1"/>
      <w:numFmt w:val="bullet"/>
      <w:lvlText w:val=""/>
      <w:lvlJc w:val="left"/>
      <w:pPr>
        <w:ind w:left="2160" w:hanging="360"/>
      </w:pPr>
      <w:rPr>
        <w:rFonts w:ascii="Wingdings" w:hAnsi="Wingdings" w:hint="default"/>
      </w:rPr>
    </w:lvl>
    <w:lvl w:ilvl="3" w:tplc="80826A0E" w:tentative="1">
      <w:start w:val="1"/>
      <w:numFmt w:val="bullet"/>
      <w:lvlText w:val=""/>
      <w:lvlJc w:val="left"/>
      <w:pPr>
        <w:ind w:left="2880" w:hanging="360"/>
      </w:pPr>
      <w:rPr>
        <w:rFonts w:ascii="Symbol" w:hAnsi="Symbol" w:hint="default"/>
      </w:rPr>
    </w:lvl>
    <w:lvl w:ilvl="4" w:tplc="03EEF90A" w:tentative="1">
      <w:start w:val="1"/>
      <w:numFmt w:val="bullet"/>
      <w:lvlText w:val="o"/>
      <w:lvlJc w:val="left"/>
      <w:pPr>
        <w:ind w:left="3600" w:hanging="360"/>
      </w:pPr>
      <w:rPr>
        <w:rFonts w:ascii="Courier New" w:hAnsi="Courier New" w:cs="Courier New" w:hint="default"/>
      </w:rPr>
    </w:lvl>
    <w:lvl w:ilvl="5" w:tplc="B9CE9160" w:tentative="1">
      <w:start w:val="1"/>
      <w:numFmt w:val="bullet"/>
      <w:lvlText w:val=""/>
      <w:lvlJc w:val="left"/>
      <w:pPr>
        <w:ind w:left="4320" w:hanging="360"/>
      </w:pPr>
      <w:rPr>
        <w:rFonts w:ascii="Wingdings" w:hAnsi="Wingdings" w:hint="default"/>
      </w:rPr>
    </w:lvl>
    <w:lvl w:ilvl="6" w:tplc="AB24FA4C" w:tentative="1">
      <w:start w:val="1"/>
      <w:numFmt w:val="bullet"/>
      <w:lvlText w:val=""/>
      <w:lvlJc w:val="left"/>
      <w:pPr>
        <w:ind w:left="5040" w:hanging="360"/>
      </w:pPr>
      <w:rPr>
        <w:rFonts w:ascii="Symbol" w:hAnsi="Symbol" w:hint="default"/>
      </w:rPr>
    </w:lvl>
    <w:lvl w:ilvl="7" w:tplc="FC169DA8" w:tentative="1">
      <w:start w:val="1"/>
      <w:numFmt w:val="bullet"/>
      <w:lvlText w:val="o"/>
      <w:lvlJc w:val="left"/>
      <w:pPr>
        <w:ind w:left="5760" w:hanging="360"/>
      </w:pPr>
      <w:rPr>
        <w:rFonts w:ascii="Courier New" w:hAnsi="Courier New" w:cs="Courier New" w:hint="default"/>
      </w:rPr>
    </w:lvl>
    <w:lvl w:ilvl="8" w:tplc="D4D68E6A" w:tentative="1">
      <w:start w:val="1"/>
      <w:numFmt w:val="bullet"/>
      <w:lvlText w:val=""/>
      <w:lvlJc w:val="left"/>
      <w:pPr>
        <w:ind w:left="6480" w:hanging="360"/>
      </w:pPr>
      <w:rPr>
        <w:rFonts w:ascii="Wingdings" w:hAnsi="Wingdings" w:hint="default"/>
      </w:rPr>
    </w:lvl>
  </w:abstractNum>
  <w:abstractNum w:abstractNumId="12">
    <w:nsid w:val="2412750B"/>
    <w:multiLevelType w:val="hybridMultilevel"/>
    <w:tmpl w:val="D6F89478"/>
    <w:lvl w:ilvl="0" w:tplc="9C8E93EE">
      <w:start w:val="1"/>
      <w:numFmt w:val="bullet"/>
      <w:lvlText w:val=""/>
      <w:lvlJc w:val="left"/>
      <w:pPr>
        <w:ind w:left="720" w:hanging="360"/>
      </w:pPr>
      <w:rPr>
        <w:rFonts w:ascii="Symbol" w:hAnsi="Symbol" w:hint="default"/>
      </w:rPr>
    </w:lvl>
    <w:lvl w:ilvl="1" w:tplc="21285390" w:tentative="1">
      <w:start w:val="1"/>
      <w:numFmt w:val="bullet"/>
      <w:lvlText w:val="o"/>
      <w:lvlJc w:val="left"/>
      <w:pPr>
        <w:ind w:left="1440" w:hanging="360"/>
      </w:pPr>
      <w:rPr>
        <w:rFonts w:ascii="Courier New" w:hAnsi="Courier New" w:cs="Courier New" w:hint="default"/>
      </w:rPr>
    </w:lvl>
    <w:lvl w:ilvl="2" w:tplc="54ACE108" w:tentative="1">
      <w:start w:val="1"/>
      <w:numFmt w:val="bullet"/>
      <w:lvlText w:val=""/>
      <w:lvlJc w:val="left"/>
      <w:pPr>
        <w:ind w:left="2160" w:hanging="360"/>
      </w:pPr>
      <w:rPr>
        <w:rFonts w:ascii="Wingdings" w:hAnsi="Wingdings" w:hint="default"/>
      </w:rPr>
    </w:lvl>
    <w:lvl w:ilvl="3" w:tplc="A65462A6" w:tentative="1">
      <w:start w:val="1"/>
      <w:numFmt w:val="bullet"/>
      <w:lvlText w:val=""/>
      <w:lvlJc w:val="left"/>
      <w:pPr>
        <w:ind w:left="2880" w:hanging="360"/>
      </w:pPr>
      <w:rPr>
        <w:rFonts w:ascii="Symbol" w:hAnsi="Symbol" w:hint="default"/>
      </w:rPr>
    </w:lvl>
    <w:lvl w:ilvl="4" w:tplc="11CE8E44" w:tentative="1">
      <w:start w:val="1"/>
      <w:numFmt w:val="bullet"/>
      <w:lvlText w:val="o"/>
      <w:lvlJc w:val="left"/>
      <w:pPr>
        <w:ind w:left="3600" w:hanging="360"/>
      </w:pPr>
      <w:rPr>
        <w:rFonts w:ascii="Courier New" w:hAnsi="Courier New" w:cs="Courier New" w:hint="default"/>
      </w:rPr>
    </w:lvl>
    <w:lvl w:ilvl="5" w:tplc="39327EC0" w:tentative="1">
      <w:start w:val="1"/>
      <w:numFmt w:val="bullet"/>
      <w:lvlText w:val=""/>
      <w:lvlJc w:val="left"/>
      <w:pPr>
        <w:ind w:left="4320" w:hanging="360"/>
      </w:pPr>
      <w:rPr>
        <w:rFonts w:ascii="Wingdings" w:hAnsi="Wingdings" w:hint="default"/>
      </w:rPr>
    </w:lvl>
    <w:lvl w:ilvl="6" w:tplc="000C2706" w:tentative="1">
      <w:start w:val="1"/>
      <w:numFmt w:val="bullet"/>
      <w:lvlText w:val=""/>
      <w:lvlJc w:val="left"/>
      <w:pPr>
        <w:ind w:left="5040" w:hanging="360"/>
      </w:pPr>
      <w:rPr>
        <w:rFonts w:ascii="Symbol" w:hAnsi="Symbol" w:hint="default"/>
      </w:rPr>
    </w:lvl>
    <w:lvl w:ilvl="7" w:tplc="6EEA6850" w:tentative="1">
      <w:start w:val="1"/>
      <w:numFmt w:val="bullet"/>
      <w:lvlText w:val="o"/>
      <w:lvlJc w:val="left"/>
      <w:pPr>
        <w:ind w:left="5760" w:hanging="360"/>
      </w:pPr>
      <w:rPr>
        <w:rFonts w:ascii="Courier New" w:hAnsi="Courier New" w:cs="Courier New" w:hint="default"/>
      </w:rPr>
    </w:lvl>
    <w:lvl w:ilvl="8" w:tplc="3BFEE4DC" w:tentative="1">
      <w:start w:val="1"/>
      <w:numFmt w:val="bullet"/>
      <w:lvlText w:val=""/>
      <w:lvlJc w:val="left"/>
      <w:pPr>
        <w:ind w:left="6480" w:hanging="360"/>
      </w:pPr>
      <w:rPr>
        <w:rFonts w:ascii="Wingdings" w:hAnsi="Wingdings" w:hint="default"/>
      </w:rPr>
    </w:lvl>
  </w:abstractNum>
  <w:abstractNum w:abstractNumId="13">
    <w:nsid w:val="2D415F65"/>
    <w:multiLevelType w:val="hybridMultilevel"/>
    <w:tmpl w:val="0088A338"/>
    <w:lvl w:ilvl="0" w:tplc="760A02E4">
      <w:numFmt w:val="bullet"/>
      <w:lvlText w:val="-"/>
      <w:lvlJc w:val="left"/>
      <w:pPr>
        <w:ind w:left="720" w:hanging="360"/>
      </w:pPr>
      <w:rPr>
        <w:rFonts w:ascii="Calibri" w:eastAsia="Times New Roman" w:hAnsi="Calibri" w:cs="Times New Roman" w:hint="default"/>
      </w:rPr>
    </w:lvl>
    <w:lvl w:ilvl="1" w:tplc="3566FDFC" w:tentative="1">
      <w:start w:val="1"/>
      <w:numFmt w:val="bullet"/>
      <w:lvlText w:val="o"/>
      <w:lvlJc w:val="left"/>
      <w:pPr>
        <w:ind w:left="1440" w:hanging="360"/>
      </w:pPr>
      <w:rPr>
        <w:rFonts w:ascii="Courier New" w:hAnsi="Courier New" w:hint="default"/>
      </w:rPr>
    </w:lvl>
    <w:lvl w:ilvl="2" w:tplc="4FF4AD4A" w:tentative="1">
      <w:start w:val="1"/>
      <w:numFmt w:val="bullet"/>
      <w:lvlText w:val=""/>
      <w:lvlJc w:val="left"/>
      <w:pPr>
        <w:ind w:left="2160" w:hanging="360"/>
      </w:pPr>
      <w:rPr>
        <w:rFonts w:ascii="Wingdings" w:hAnsi="Wingdings" w:hint="default"/>
      </w:rPr>
    </w:lvl>
    <w:lvl w:ilvl="3" w:tplc="71F66FFC" w:tentative="1">
      <w:start w:val="1"/>
      <w:numFmt w:val="bullet"/>
      <w:lvlText w:val=""/>
      <w:lvlJc w:val="left"/>
      <w:pPr>
        <w:ind w:left="2880" w:hanging="360"/>
      </w:pPr>
      <w:rPr>
        <w:rFonts w:ascii="Symbol" w:hAnsi="Symbol" w:hint="default"/>
      </w:rPr>
    </w:lvl>
    <w:lvl w:ilvl="4" w:tplc="B7A246A6" w:tentative="1">
      <w:start w:val="1"/>
      <w:numFmt w:val="bullet"/>
      <w:lvlText w:val="o"/>
      <w:lvlJc w:val="left"/>
      <w:pPr>
        <w:ind w:left="3600" w:hanging="360"/>
      </w:pPr>
      <w:rPr>
        <w:rFonts w:ascii="Courier New" w:hAnsi="Courier New" w:hint="default"/>
      </w:rPr>
    </w:lvl>
    <w:lvl w:ilvl="5" w:tplc="B928C7A2" w:tentative="1">
      <w:start w:val="1"/>
      <w:numFmt w:val="bullet"/>
      <w:lvlText w:val=""/>
      <w:lvlJc w:val="left"/>
      <w:pPr>
        <w:ind w:left="4320" w:hanging="360"/>
      </w:pPr>
      <w:rPr>
        <w:rFonts w:ascii="Wingdings" w:hAnsi="Wingdings" w:hint="default"/>
      </w:rPr>
    </w:lvl>
    <w:lvl w:ilvl="6" w:tplc="110E92A4" w:tentative="1">
      <w:start w:val="1"/>
      <w:numFmt w:val="bullet"/>
      <w:lvlText w:val=""/>
      <w:lvlJc w:val="left"/>
      <w:pPr>
        <w:ind w:left="5040" w:hanging="360"/>
      </w:pPr>
      <w:rPr>
        <w:rFonts w:ascii="Symbol" w:hAnsi="Symbol" w:hint="default"/>
      </w:rPr>
    </w:lvl>
    <w:lvl w:ilvl="7" w:tplc="27A664F4" w:tentative="1">
      <w:start w:val="1"/>
      <w:numFmt w:val="bullet"/>
      <w:lvlText w:val="o"/>
      <w:lvlJc w:val="left"/>
      <w:pPr>
        <w:ind w:left="5760" w:hanging="360"/>
      </w:pPr>
      <w:rPr>
        <w:rFonts w:ascii="Courier New" w:hAnsi="Courier New" w:hint="default"/>
      </w:rPr>
    </w:lvl>
    <w:lvl w:ilvl="8" w:tplc="4FB686DE" w:tentative="1">
      <w:start w:val="1"/>
      <w:numFmt w:val="bullet"/>
      <w:lvlText w:val=""/>
      <w:lvlJc w:val="left"/>
      <w:pPr>
        <w:ind w:left="6480" w:hanging="360"/>
      </w:pPr>
      <w:rPr>
        <w:rFonts w:ascii="Wingdings" w:hAnsi="Wingdings" w:hint="default"/>
      </w:rPr>
    </w:lvl>
  </w:abstractNum>
  <w:abstractNum w:abstractNumId="14">
    <w:nsid w:val="2E621888"/>
    <w:multiLevelType w:val="hybridMultilevel"/>
    <w:tmpl w:val="C298C10A"/>
    <w:lvl w:ilvl="0" w:tplc="9C8E93EE">
      <w:start w:val="1"/>
      <w:numFmt w:val="bullet"/>
      <w:lvlText w:val=""/>
      <w:lvlJc w:val="left"/>
      <w:pPr>
        <w:ind w:left="720" w:hanging="360"/>
      </w:pPr>
      <w:rPr>
        <w:rFonts w:ascii="Symbol" w:hAnsi="Symbol" w:hint="default"/>
      </w:rPr>
    </w:lvl>
    <w:lvl w:ilvl="1" w:tplc="FD822D54" w:tentative="1">
      <w:start w:val="1"/>
      <w:numFmt w:val="bullet"/>
      <w:lvlText w:val="o"/>
      <w:lvlJc w:val="left"/>
      <w:pPr>
        <w:ind w:left="1440" w:hanging="360"/>
      </w:pPr>
      <w:rPr>
        <w:rFonts w:ascii="Courier New" w:hAnsi="Courier New" w:cs="Courier New" w:hint="default"/>
      </w:rPr>
    </w:lvl>
    <w:lvl w:ilvl="2" w:tplc="4636DC74" w:tentative="1">
      <w:start w:val="1"/>
      <w:numFmt w:val="bullet"/>
      <w:lvlText w:val=""/>
      <w:lvlJc w:val="left"/>
      <w:pPr>
        <w:ind w:left="2160" w:hanging="360"/>
      </w:pPr>
      <w:rPr>
        <w:rFonts w:ascii="Wingdings" w:hAnsi="Wingdings" w:hint="default"/>
      </w:rPr>
    </w:lvl>
    <w:lvl w:ilvl="3" w:tplc="D2CA3C6E" w:tentative="1">
      <w:start w:val="1"/>
      <w:numFmt w:val="bullet"/>
      <w:lvlText w:val=""/>
      <w:lvlJc w:val="left"/>
      <w:pPr>
        <w:ind w:left="2880" w:hanging="360"/>
      </w:pPr>
      <w:rPr>
        <w:rFonts w:ascii="Symbol" w:hAnsi="Symbol" w:hint="default"/>
      </w:rPr>
    </w:lvl>
    <w:lvl w:ilvl="4" w:tplc="A6C2C9DE" w:tentative="1">
      <w:start w:val="1"/>
      <w:numFmt w:val="bullet"/>
      <w:lvlText w:val="o"/>
      <w:lvlJc w:val="left"/>
      <w:pPr>
        <w:ind w:left="3600" w:hanging="360"/>
      </w:pPr>
      <w:rPr>
        <w:rFonts w:ascii="Courier New" w:hAnsi="Courier New" w:cs="Courier New" w:hint="default"/>
      </w:rPr>
    </w:lvl>
    <w:lvl w:ilvl="5" w:tplc="FC5C0A22" w:tentative="1">
      <w:start w:val="1"/>
      <w:numFmt w:val="bullet"/>
      <w:lvlText w:val=""/>
      <w:lvlJc w:val="left"/>
      <w:pPr>
        <w:ind w:left="4320" w:hanging="360"/>
      </w:pPr>
      <w:rPr>
        <w:rFonts w:ascii="Wingdings" w:hAnsi="Wingdings" w:hint="default"/>
      </w:rPr>
    </w:lvl>
    <w:lvl w:ilvl="6" w:tplc="2B189912" w:tentative="1">
      <w:start w:val="1"/>
      <w:numFmt w:val="bullet"/>
      <w:lvlText w:val=""/>
      <w:lvlJc w:val="left"/>
      <w:pPr>
        <w:ind w:left="5040" w:hanging="360"/>
      </w:pPr>
      <w:rPr>
        <w:rFonts w:ascii="Symbol" w:hAnsi="Symbol" w:hint="default"/>
      </w:rPr>
    </w:lvl>
    <w:lvl w:ilvl="7" w:tplc="F600143A" w:tentative="1">
      <w:start w:val="1"/>
      <w:numFmt w:val="bullet"/>
      <w:lvlText w:val="o"/>
      <w:lvlJc w:val="left"/>
      <w:pPr>
        <w:ind w:left="5760" w:hanging="360"/>
      </w:pPr>
      <w:rPr>
        <w:rFonts w:ascii="Courier New" w:hAnsi="Courier New" w:cs="Courier New" w:hint="default"/>
      </w:rPr>
    </w:lvl>
    <w:lvl w:ilvl="8" w:tplc="7B7835C4" w:tentative="1">
      <w:start w:val="1"/>
      <w:numFmt w:val="bullet"/>
      <w:lvlText w:val=""/>
      <w:lvlJc w:val="left"/>
      <w:pPr>
        <w:ind w:left="6480" w:hanging="360"/>
      </w:pPr>
      <w:rPr>
        <w:rFonts w:ascii="Wingdings" w:hAnsi="Wingdings" w:hint="default"/>
      </w:rPr>
    </w:lvl>
  </w:abstractNum>
  <w:abstractNum w:abstractNumId="15">
    <w:nsid w:val="38A83C79"/>
    <w:multiLevelType w:val="multilevel"/>
    <w:tmpl w:val="69C29BF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9E13DB6"/>
    <w:multiLevelType w:val="hybridMultilevel"/>
    <w:tmpl w:val="4672D412"/>
    <w:lvl w:ilvl="0" w:tplc="68E0EAD8">
      <w:start w:val="1"/>
      <w:numFmt w:val="bullet"/>
      <w:lvlText w:val="-"/>
      <w:lvlJc w:val="left"/>
      <w:pPr>
        <w:ind w:left="720" w:hanging="360"/>
      </w:pPr>
      <w:rPr>
        <w:rFonts w:ascii="Calibri" w:eastAsiaTheme="minorHAnsi" w:hAnsi="Calibri" w:cs="Calibri" w:hint="default"/>
      </w:rPr>
    </w:lvl>
    <w:lvl w:ilvl="1" w:tplc="1BA2A0AA" w:tentative="1">
      <w:start w:val="1"/>
      <w:numFmt w:val="bullet"/>
      <w:lvlText w:val="o"/>
      <w:lvlJc w:val="left"/>
      <w:pPr>
        <w:ind w:left="1440" w:hanging="360"/>
      </w:pPr>
      <w:rPr>
        <w:rFonts w:ascii="Courier New" w:hAnsi="Courier New" w:cs="Courier New" w:hint="default"/>
      </w:rPr>
    </w:lvl>
    <w:lvl w:ilvl="2" w:tplc="2A6CFC5C" w:tentative="1">
      <w:start w:val="1"/>
      <w:numFmt w:val="bullet"/>
      <w:lvlText w:val=""/>
      <w:lvlJc w:val="left"/>
      <w:pPr>
        <w:ind w:left="2160" w:hanging="360"/>
      </w:pPr>
      <w:rPr>
        <w:rFonts w:ascii="Wingdings" w:hAnsi="Wingdings" w:hint="default"/>
      </w:rPr>
    </w:lvl>
    <w:lvl w:ilvl="3" w:tplc="DEF26B22" w:tentative="1">
      <w:start w:val="1"/>
      <w:numFmt w:val="bullet"/>
      <w:lvlText w:val=""/>
      <w:lvlJc w:val="left"/>
      <w:pPr>
        <w:ind w:left="2880" w:hanging="360"/>
      </w:pPr>
      <w:rPr>
        <w:rFonts w:ascii="Symbol" w:hAnsi="Symbol" w:hint="default"/>
      </w:rPr>
    </w:lvl>
    <w:lvl w:ilvl="4" w:tplc="5D04ECCC" w:tentative="1">
      <w:start w:val="1"/>
      <w:numFmt w:val="bullet"/>
      <w:lvlText w:val="o"/>
      <w:lvlJc w:val="left"/>
      <w:pPr>
        <w:ind w:left="3600" w:hanging="360"/>
      </w:pPr>
      <w:rPr>
        <w:rFonts w:ascii="Courier New" w:hAnsi="Courier New" w:cs="Courier New" w:hint="default"/>
      </w:rPr>
    </w:lvl>
    <w:lvl w:ilvl="5" w:tplc="EC68D38C" w:tentative="1">
      <w:start w:val="1"/>
      <w:numFmt w:val="bullet"/>
      <w:lvlText w:val=""/>
      <w:lvlJc w:val="left"/>
      <w:pPr>
        <w:ind w:left="4320" w:hanging="360"/>
      </w:pPr>
      <w:rPr>
        <w:rFonts w:ascii="Wingdings" w:hAnsi="Wingdings" w:hint="default"/>
      </w:rPr>
    </w:lvl>
    <w:lvl w:ilvl="6" w:tplc="4FC0CDD2" w:tentative="1">
      <w:start w:val="1"/>
      <w:numFmt w:val="bullet"/>
      <w:lvlText w:val=""/>
      <w:lvlJc w:val="left"/>
      <w:pPr>
        <w:ind w:left="5040" w:hanging="360"/>
      </w:pPr>
      <w:rPr>
        <w:rFonts w:ascii="Symbol" w:hAnsi="Symbol" w:hint="default"/>
      </w:rPr>
    </w:lvl>
    <w:lvl w:ilvl="7" w:tplc="98EC1F56" w:tentative="1">
      <w:start w:val="1"/>
      <w:numFmt w:val="bullet"/>
      <w:lvlText w:val="o"/>
      <w:lvlJc w:val="left"/>
      <w:pPr>
        <w:ind w:left="5760" w:hanging="360"/>
      </w:pPr>
      <w:rPr>
        <w:rFonts w:ascii="Courier New" w:hAnsi="Courier New" w:cs="Courier New" w:hint="default"/>
      </w:rPr>
    </w:lvl>
    <w:lvl w:ilvl="8" w:tplc="881C0ED2" w:tentative="1">
      <w:start w:val="1"/>
      <w:numFmt w:val="bullet"/>
      <w:lvlText w:val=""/>
      <w:lvlJc w:val="left"/>
      <w:pPr>
        <w:ind w:left="6480" w:hanging="360"/>
      </w:pPr>
      <w:rPr>
        <w:rFonts w:ascii="Wingdings" w:hAnsi="Wingdings" w:hint="default"/>
      </w:rPr>
    </w:lvl>
  </w:abstractNum>
  <w:abstractNum w:abstractNumId="17">
    <w:nsid w:val="3D4E26CB"/>
    <w:multiLevelType w:val="hybridMultilevel"/>
    <w:tmpl w:val="4D14524A"/>
    <w:lvl w:ilvl="0" w:tplc="7B8636C2">
      <w:start w:val="1"/>
      <w:numFmt w:val="bullet"/>
      <w:lvlText w:val=""/>
      <w:lvlJc w:val="left"/>
      <w:pPr>
        <w:ind w:left="720" w:hanging="360"/>
      </w:pPr>
      <w:rPr>
        <w:rFonts w:ascii="Symbol" w:hAnsi="Symbol" w:hint="default"/>
      </w:rPr>
    </w:lvl>
    <w:lvl w:ilvl="1" w:tplc="3030F92C">
      <w:start w:val="1"/>
      <w:numFmt w:val="bullet"/>
      <w:lvlText w:val="-"/>
      <w:lvlJc w:val="left"/>
      <w:pPr>
        <w:ind w:left="1440" w:hanging="360"/>
      </w:pPr>
      <w:rPr>
        <w:rFonts w:ascii="Calibri" w:eastAsiaTheme="minorHAnsi" w:hAnsi="Calibri" w:cs="Calibri" w:hint="default"/>
      </w:rPr>
    </w:lvl>
    <w:lvl w:ilvl="2" w:tplc="B854FFF2" w:tentative="1">
      <w:start w:val="1"/>
      <w:numFmt w:val="bullet"/>
      <w:lvlText w:val=""/>
      <w:lvlJc w:val="left"/>
      <w:pPr>
        <w:ind w:left="2160" w:hanging="360"/>
      </w:pPr>
      <w:rPr>
        <w:rFonts w:ascii="Wingdings" w:hAnsi="Wingdings" w:hint="default"/>
      </w:rPr>
    </w:lvl>
    <w:lvl w:ilvl="3" w:tplc="80826A0E" w:tentative="1">
      <w:start w:val="1"/>
      <w:numFmt w:val="bullet"/>
      <w:lvlText w:val=""/>
      <w:lvlJc w:val="left"/>
      <w:pPr>
        <w:ind w:left="2880" w:hanging="360"/>
      </w:pPr>
      <w:rPr>
        <w:rFonts w:ascii="Symbol" w:hAnsi="Symbol" w:hint="default"/>
      </w:rPr>
    </w:lvl>
    <w:lvl w:ilvl="4" w:tplc="03EEF90A" w:tentative="1">
      <w:start w:val="1"/>
      <w:numFmt w:val="bullet"/>
      <w:lvlText w:val="o"/>
      <w:lvlJc w:val="left"/>
      <w:pPr>
        <w:ind w:left="3600" w:hanging="360"/>
      </w:pPr>
      <w:rPr>
        <w:rFonts w:ascii="Courier New" w:hAnsi="Courier New" w:cs="Courier New" w:hint="default"/>
      </w:rPr>
    </w:lvl>
    <w:lvl w:ilvl="5" w:tplc="B9CE9160" w:tentative="1">
      <w:start w:val="1"/>
      <w:numFmt w:val="bullet"/>
      <w:lvlText w:val=""/>
      <w:lvlJc w:val="left"/>
      <w:pPr>
        <w:ind w:left="4320" w:hanging="360"/>
      </w:pPr>
      <w:rPr>
        <w:rFonts w:ascii="Wingdings" w:hAnsi="Wingdings" w:hint="default"/>
      </w:rPr>
    </w:lvl>
    <w:lvl w:ilvl="6" w:tplc="AB24FA4C" w:tentative="1">
      <w:start w:val="1"/>
      <w:numFmt w:val="bullet"/>
      <w:lvlText w:val=""/>
      <w:lvlJc w:val="left"/>
      <w:pPr>
        <w:ind w:left="5040" w:hanging="360"/>
      </w:pPr>
      <w:rPr>
        <w:rFonts w:ascii="Symbol" w:hAnsi="Symbol" w:hint="default"/>
      </w:rPr>
    </w:lvl>
    <w:lvl w:ilvl="7" w:tplc="FC169DA8" w:tentative="1">
      <w:start w:val="1"/>
      <w:numFmt w:val="bullet"/>
      <w:lvlText w:val="o"/>
      <w:lvlJc w:val="left"/>
      <w:pPr>
        <w:ind w:left="5760" w:hanging="360"/>
      </w:pPr>
      <w:rPr>
        <w:rFonts w:ascii="Courier New" w:hAnsi="Courier New" w:cs="Courier New" w:hint="default"/>
      </w:rPr>
    </w:lvl>
    <w:lvl w:ilvl="8" w:tplc="D4D68E6A" w:tentative="1">
      <w:start w:val="1"/>
      <w:numFmt w:val="bullet"/>
      <w:lvlText w:val=""/>
      <w:lvlJc w:val="left"/>
      <w:pPr>
        <w:ind w:left="6480" w:hanging="360"/>
      </w:pPr>
      <w:rPr>
        <w:rFonts w:ascii="Wingdings" w:hAnsi="Wingdings" w:hint="default"/>
      </w:rPr>
    </w:lvl>
  </w:abstractNum>
  <w:abstractNum w:abstractNumId="18">
    <w:nsid w:val="46503714"/>
    <w:multiLevelType w:val="hybridMultilevel"/>
    <w:tmpl w:val="6DFCB8BA"/>
    <w:lvl w:ilvl="0" w:tplc="9C8E93EE">
      <w:start w:val="1"/>
      <w:numFmt w:val="bullet"/>
      <w:lvlText w:val=""/>
      <w:lvlJc w:val="left"/>
      <w:pPr>
        <w:ind w:left="720" w:hanging="360"/>
      </w:pPr>
      <w:rPr>
        <w:rFonts w:ascii="Symbol" w:hAnsi="Symbol" w:hint="default"/>
      </w:rPr>
    </w:lvl>
    <w:lvl w:ilvl="1" w:tplc="3566FDFC" w:tentative="1">
      <w:start w:val="1"/>
      <w:numFmt w:val="bullet"/>
      <w:lvlText w:val="o"/>
      <w:lvlJc w:val="left"/>
      <w:pPr>
        <w:ind w:left="1440" w:hanging="360"/>
      </w:pPr>
      <w:rPr>
        <w:rFonts w:ascii="Courier New" w:hAnsi="Courier New" w:hint="default"/>
      </w:rPr>
    </w:lvl>
    <w:lvl w:ilvl="2" w:tplc="4FF4AD4A" w:tentative="1">
      <w:start w:val="1"/>
      <w:numFmt w:val="bullet"/>
      <w:lvlText w:val=""/>
      <w:lvlJc w:val="left"/>
      <w:pPr>
        <w:ind w:left="2160" w:hanging="360"/>
      </w:pPr>
      <w:rPr>
        <w:rFonts w:ascii="Wingdings" w:hAnsi="Wingdings" w:hint="default"/>
      </w:rPr>
    </w:lvl>
    <w:lvl w:ilvl="3" w:tplc="71F66FFC" w:tentative="1">
      <w:start w:val="1"/>
      <w:numFmt w:val="bullet"/>
      <w:lvlText w:val=""/>
      <w:lvlJc w:val="left"/>
      <w:pPr>
        <w:ind w:left="2880" w:hanging="360"/>
      </w:pPr>
      <w:rPr>
        <w:rFonts w:ascii="Symbol" w:hAnsi="Symbol" w:hint="default"/>
      </w:rPr>
    </w:lvl>
    <w:lvl w:ilvl="4" w:tplc="B7A246A6" w:tentative="1">
      <w:start w:val="1"/>
      <w:numFmt w:val="bullet"/>
      <w:lvlText w:val="o"/>
      <w:lvlJc w:val="left"/>
      <w:pPr>
        <w:ind w:left="3600" w:hanging="360"/>
      </w:pPr>
      <w:rPr>
        <w:rFonts w:ascii="Courier New" w:hAnsi="Courier New" w:hint="default"/>
      </w:rPr>
    </w:lvl>
    <w:lvl w:ilvl="5" w:tplc="B928C7A2" w:tentative="1">
      <w:start w:val="1"/>
      <w:numFmt w:val="bullet"/>
      <w:lvlText w:val=""/>
      <w:lvlJc w:val="left"/>
      <w:pPr>
        <w:ind w:left="4320" w:hanging="360"/>
      </w:pPr>
      <w:rPr>
        <w:rFonts w:ascii="Wingdings" w:hAnsi="Wingdings" w:hint="default"/>
      </w:rPr>
    </w:lvl>
    <w:lvl w:ilvl="6" w:tplc="110E92A4" w:tentative="1">
      <w:start w:val="1"/>
      <w:numFmt w:val="bullet"/>
      <w:lvlText w:val=""/>
      <w:lvlJc w:val="left"/>
      <w:pPr>
        <w:ind w:left="5040" w:hanging="360"/>
      </w:pPr>
      <w:rPr>
        <w:rFonts w:ascii="Symbol" w:hAnsi="Symbol" w:hint="default"/>
      </w:rPr>
    </w:lvl>
    <w:lvl w:ilvl="7" w:tplc="27A664F4" w:tentative="1">
      <w:start w:val="1"/>
      <w:numFmt w:val="bullet"/>
      <w:lvlText w:val="o"/>
      <w:lvlJc w:val="left"/>
      <w:pPr>
        <w:ind w:left="5760" w:hanging="360"/>
      </w:pPr>
      <w:rPr>
        <w:rFonts w:ascii="Courier New" w:hAnsi="Courier New" w:hint="default"/>
      </w:rPr>
    </w:lvl>
    <w:lvl w:ilvl="8" w:tplc="4FB686DE" w:tentative="1">
      <w:start w:val="1"/>
      <w:numFmt w:val="bullet"/>
      <w:lvlText w:val=""/>
      <w:lvlJc w:val="left"/>
      <w:pPr>
        <w:ind w:left="6480" w:hanging="360"/>
      </w:pPr>
      <w:rPr>
        <w:rFonts w:ascii="Wingdings" w:hAnsi="Wingdings" w:hint="default"/>
      </w:rPr>
    </w:lvl>
  </w:abstractNum>
  <w:abstractNum w:abstractNumId="19">
    <w:nsid w:val="4705541D"/>
    <w:multiLevelType w:val="hybridMultilevel"/>
    <w:tmpl w:val="26B44E6E"/>
    <w:lvl w:ilvl="0" w:tplc="9C8E93EE">
      <w:start w:val="1"/>
      <w:numFmt w:val="bullet"/>
      <w:lvlText w:val=""/>
      <w:lvlJc w:val="left"/>
      <w:pPr>
        <w:ind w:left="720" w:hanging="360"/>
      </w:pPr>
      <w:rPr>
        <w:rFonts w:ascii="Symbol" w:hAnsi="Symbol" w:hint="default"/>
        <w:i w:val="0"/>
      </w:rPr>
    </w:lvl>
    <w:lvl w:ilvl="1" w:tplc="F6C6B594" w:tentative="1">
      <w:start w:val="1"/>
      <w:numFmt w:val="bullet"/>
      <w:lvlText w:val="o"/>
      <w:lvlJc w:val="left"/>
      <w:pPr>
        <w:ind w:left="1440" w:hanging="360"/>
      </w:pPr>
      <w:rPr>
        <w:rFonts w:ascii="Courier New" w:hAnsi="Courier New" w:cs="Courier New" w:hint="default"/>
      </w:rPr>
    </w:lvl>
    <w:lvl w:ilvl="2" w:tplc="78B65960" w:tentative="1">
      <w:start w:val="1"/>
      <w:numFmt w:val="bullet"/>
      <w:lvlText w:val=""/>
      <w:lvlJc w:val="left"/>
      <w:pPr>
        <w:ind w:left="2160" w:hanging="360"/>
      </w:pPr>
      <w:rPr>
        <w:rFonts w:ascii="Wingdings" w:hAnsi="Wingdings" w:hint="default"/>
      </w:rPr>
    </w:lvl>
    <w:lvl w:ilvl="3" w:tplc="21CAA392" w:tentative="1">
      <w:start w:val="1"/>
      <w:numFmt w:val="bullet"/>
      <w:lvlText w:val=""/>
      <w:lvlJc w:val="left"/>
      <w:pPr>
        <w:ind w:left="2880" w:hanging="360"/>
      </w:pPr>
      <w:rPr>
        <w:rFonts w:ascii="Symbol" w:hAnsi="Symbol" w:hint="default"/>
      </w:rPr>
    </w:lvl>
    <w:lvl w:ilvl="4" w:tplc="C85044AC" w:tentative="1">
      <w:start w:val="1"/>
      <w:numFmt w:val="bullet"/>
      <w:lvlText w:val="o"/>
      <w:lvlJc w:val="left"/>
      <w:pPr>
        <w:ind w:left="3600" w:hanging="360"/>
      </w:pPr>
      <w:rPr>
        <w:rFonts w:ascii="Courier New" w:hAnsi="Courier New" w:cs="Courier New" w:hint="default"/>
      </w:rPr>
    </w:lvl>
    <w:lvl w:ilvl="5" w:tplc="E0801878" w:tentative="1">
      <w:start w:val="1"/>
      <w:numFmt w:val="bullet"/>
      <w:lvlText w:val=""/>
      <w:lvlJc w:val="left"/>
      <w:pPr>
        <w:ind w:left="4320" w:hanging="360"/>
      </w:pPr>
      <w:rPr>
        <w:rFonts w:ascii="Wingdings" w:hAnsi="Wingdings" w:hint="default"/>
      </w:rPr>
    </w:lvl>
    <w:lvl w:ilvl="6" w:tplc="0BFC04AC" w:tentative="1">
      <w:start w:val="1"/>
      <w:numFmt w:val="bullet"/>
      <w:lvlText w:val=""/>
      <w:lvlJc w:val="left"/>
      <w:pPr>
        <w:ind w:left="5040" w:hanging="360"/>
      </w:pPr>
      <w:rPr>
        <w:rFonts w:ascii="Symbol" w:hAnsi="Symbol" w:hint="default"/>
      </w:rPr>
    </w:lvl>
    <w:lvl w:ilvl="7" w:tplc="B9603136" w:tentative="1">
      <w:start w:val="1"/>
      <w:numFmt w:val="bullet"/>
      <w:lvlText w:val="o"/>
      <w:lvlJc w:val="left"/>
      <w:pPr>
        <w:ind w:left="5760" w:hanging="360"/>
      </w:pPr>
      <w:rPr>
        <w:rFonts w:ascii="Courier New" w:hAnsi="Courier New" w:cs="Courier New" w:hint="default"/>
      </w:rPr>
    </w:lvl>
    <w:lvl w:ilvl="8" w:tplc="69E608AA" w:tentative="1">
      <w:start w:val="1"/>
      <w:numFmt w:val="bullet"/>
      <w:lvlText w:val=""/>
      <w:lvlJc w:val="left"/>
      <w:pPr>
        <w:ind w:left="6480" w:hanging="360"/>
      </w:pPr>
      <w:rPr>
        <w:rFonts w:ascii="Wingdings" w:hAnsi="Wingdings" w:hint="default"/>
      </w:rPr>
    </w:lvl>
  </w:abstractNum>
  <w:abstractNum w:abstractNumId="20">
    <w:nsid w:val="4A2A7516"/>
    <w:multiLevelType w:val="hybridMultilevel"/>
    <w:tmpl w:val="566A9A40"/>
    <w:lvl w:ilvl="0" w:tplc="9C8E93EE">
      <w:start w:val="1"/>
      <w:numFmt w:val="bullet"/>
      <w:lvlText w:val=""/>
      <w:lvlJc w:val="left"/>
      <w:pPr>
        <w:ind w:left="720" w:hanging="360"/>
      </w:pPr>
      <w:rPr>
        <w:rFonts w:ascii="Symbol" w:hAnsi="Symbol" w:hint="default"/>
      </w:rPr>
    </w:lvl>
    <w:lvl w:ilvl="1" w:tplc="F582FE34" w:tentative="1">
      <w:start w:val="1"/>
      <w:numFmt w:val="bullet"/>
      <w:lvlText w:val="o"/>
      <w:lvlJc w:val="left"/>
      <w:pPr>
        <w:ind w:left="1440" w:hanging="360"/>
      </w:pPr>
      <w:rPr>
        <w:rFonts w:ascii="Courier New" w:hAnsi="Courier New" w:cs="Courier New" w:hint="default"/>
      </w:rPr>
    </w:lvl>
    <w:lvl w:ilvl="2" w:tplc="D05AB844" w:tentative="1">
      <w:start w:val="1"/>
      <w:numFmt w:val="bullet"/>
      <w:lvlText w:val=""/>
      <w:lvlJc w:val="left"/>
      <w:pPr>
        <w:ind w:left="2160" w:hanging="360"/>
      </w:pPr>
      <w:rPr>
        <w:rFonts w:ascii="Wingdings" w:hAnsi="Wingdings" w:hint="default"/>
      </w:rPr>
    </w:lvl>
    <w:lvl w:ilvl="3" w:tplc="B37AF28E" w:tentative="1">
      <w:start w:val="1"/>
      <w:numFmt w:val="bullet"/>
      <w:lvlText w:val=""/>
      <w:lvlJc w:val="left"/>
      <w:pPr>
        <w:ind w:left="2880" w:hanging="360"/>
      </w:pPr>
      <w:rPr>
        <w:rFonts w:ascii="Symbol" w:hAnsi="Symbol" w:hint="default"/>
      </w:rPr>
    </w:lvl>
    <w:lvl w:ilvl="4" w:tplc="C904340C" w:tentative="1">
      <w:start w:val="1"/>
      <w:numFmt w:val="bullet"/>
      <w:lvlText w:val="o"/>
      <w:lvlJc w:val="left"/>
      <w:pPr>
        <w:ind w:left="3600" w:hanging="360"/>
      </w:pPr>
      <w:rPr>
        <w:rFonts w:ascii="Courier New" w:hAnsi="Courier New" w:cs="Courier New" w:hint="default"/>
      </w:rPr>
    </w:lvl>
    <w:lvl w:ilvl="5" w:tplc="2ABE033C" w:tentative="1">
      <w:start w:val="1"/>
      <w:numFmt w:val="bullet"/>
      <w:lvlText w:val=""/>
      <w:lvlJc w:val="left"/>
      <w:pPr>
        <w:ind w:left="4320" w:hanging="360"/>
      </w:pPr>
      <w:rPr>
        <w:rFonts w:ascii="Wingdings" w:hAnsi="Wingdings" w:hint="default"/>
      </w:rPr>
    </w:lvl>
    <w:lvl w:ilvl="6" w:tplc="7B54E842" w:tentative="1">
      <w:start w:val="1"/>
      <w:numFmt w:val="bullet"/>
      <w:lvlText w:val=""/>
      <w:lvlJc w:val="left"/>
      <w:pPr>
        <w:ind w:left="5040" w:hanging="360"/>
      </w:pPr>
      <w:rPr>
        <w:rFonts w:ascii="Symbol" w:hAnsi="Symbol" w:hint="default"/>
      </w:rPr>
    </w:lvl>
    <w:lvl w:ilvl="7" w:tplc="B6602F74" w:tentative="1">
      <w:start w:val="1"/>
      <w:numFmt w:val="bullet"/>
      <w:lvlText w:val="o"/>
      <w:lvlJc w:val="left"/>
      <w:pPr>
        <w:ind w:left="5760" w:hanging="360"/>
      </w:pPr>
      <w:rPr>
        <w:rFonts w:ascii="Courier New" w:hAnsi="Courier New" w:cs="Courier New" w:hint="default"/>
      </w:rPr>
    </w:lvl>
    <w:lvl w:ilvl="8" w:tplc="CAF6B4CC" w:tentative="1">
      <w:start w:val="1"/>
      <w:numFmt w:val="bullet"/>
      <w:lvlText w:val=""/>
      <w:lvlJc w:val="left"/>
      <w:pPr>
        <w:ind w:left="6480" w:hanging="360"/>
      </w:pPr>
      <w:rPr>
        <w:rFonts w:ascii="Wingdings" w:hAnsi="Wingdings" w:hint="default"/>
      </w:rPr>
    </w:lvl>
  </w:abstractNum>
  <w:abstractNum w:abstractNumId="21">
    <w:nsid w:val="4C9C53EE"/>
    <w:multiLevelType w:val="hybridMultilevel"/>
    <w:tmpl w:val="45E605FA"/>
    <w:lvl w:ilvl="0" w:tplc="BFCEB9B6">
      <w:start w:val="1"/>
      <w:numFmt w:val="bullet"/>
      <w:lvlText w:val="-"/>
      <w:lvlJc w:val="left"/>
      <w:pPr>
        <w:ind w:left="1146" w:hanging="360"/>
      </w:pPr>
      <w:rPr>
        <w:rFonts w:ascii="Calibri" w:eastAsiaTheme="minorHAnsi" w:hAnsi="Calibri" w:cs="Calibri" w:hint="default"/>
      </w:rPr>
    </w:lvl>
    <w:lvl w:ilvl="1" w:tplc="FCA03036" w:tentative="1">
      <w:start w:val="1"/>
      <w:numFmt w:val="bullet"/>
      <w:lvlText w:val="o"/>
      <w:lvlJc w:val="left"/>
      <w:pPr>
        <w:ind w:left="1866" w:hanging="360"/>
      </w:pPr>
      <w:rPr>
        <w:rFonts w:ascii="Courier New" w:hAnsi="Courier New" w:hint="default"/>
      </w:rPr>
    </w:lvl>
    <w:lvl w:ilvl="2" w:tplc="0FF4443C" w:tentative="1">
      <w:start w:val="1"/>
      <w:numFmt w:val="bullet"/>
      <w:lvlText w:val=""/>
      <w:lvlJc w:val="left"/>
      <w:pPr>
        <w:ind w:left="2586" w:hanging="360"/>
      </w:pPr>
      <w:rPr>
        <w:rFonts w:ascii="Wingdings" w:hAnsi="Wingdings" w:hint="default"/>
      </w:rPr>
    </w:lvl>
    <w:lvl w:ilvl="3" w:tplc="121ABAC6" w:tentative="1">
      <w:start w:val="1"/>
      <w:numFmt w:val="bullet"/>
      <w:lvlText w:val=""/>
      <w:lvlJc w:val="left"/>
      <w:pPr>
        <w:ind w:left="3306" w:hanging="360"/>
      </w:pPr>
      <w:rPr>
        <w:rFonts w:ascii="Symbol" w:hAnsi="Symbol" w:hint="default"/>
      </w:rPr>
    </w:lvl>
    <w:lvl w:ilvl="4" w:tplc="C53C4216" w:tentative="1">
      <w:start w:val="1"/>
      <w:numFmt w:val="bullet"/>
      <w:lvlText w:val="o"/>
      <w:lvlJc w:val="left"/>
      <w:pPr>
        <w:ind w:left="4026" w:hanging="360"/>
      </w:pPr>
      <w:rPr>
        <w:rFonts w:ascii="Courier New" w:hAnsi="Courier New" w:hint="default"/>
      </w:rPr>
    </w:lvl>
    <w:lvl w:ilvl="5" w:tplc="9336F75E" w:tentative="1">
      <w:start w:val="1"/>
      <w:numFmt w:val="bullet"/>
      <w:lvlText w:val=""/>
      <w:lvlJc w:val="left"/>
      <w:pPr>
        <w:ind w:left="4746" w:hanging="360"/>
      </w:pPr>
      <w:rPr>
        <w:rFonts w:ascii="Wingdings" w:hAnsi="Wingdings" w:hint="default"/>
      </w:rPr>
    </w:lvl>
    <w:lvl w:ilvl="6" w:tplc="5EF689EA" w:tentative="1">
      <w:start w:val="1"/>
      <w:numFmt w:val="bullet"/>
      <w:lvlText w:val=""/>
      <w:lvlJc w:val="left"/>
      <w:pPr>
        <w:ind w:left="5466" w:hanging="360"/>
      </w:pPr>
      <w:rPr>
        <w:rFonts w:ascii="Symbol" w:hAnsi="Symbol" w:hint="default"/>
      </w:rPr>
    </w:lvl>
    <w:lvl w:ilvl="7" w:tplc="5CF80370" w:tentative="1">
      <w:start w:val="1"/>
      <w:numFmt w:val="bullet"/>
      <w:lvlText w:val="o"/>
      <w:lvlJc w:val="left"/>
      <w:pPr>
        <w:ind w:left="6186" w:hanging="360"/>
      </w:pPr>
      <w:rPr>
        <w:rFonts w:ascii="Courier New" w:hAnsi="Courier New" w:hint="default"/>
      </w:rPr>
    </w:lvl>
    <w:lvl w:ilvl="8" w:tplc="37D2D638" w:tentative="1">
      <w:start w:val="1"/>
      <w:numFmt w:val="bullet"/>
      <w:lvlText w:val=""/>
      <w:lvlJc w:val="left"/>
      <w:pPr>
        <w:ind w:left="6906" w:hanging="360"/>
      </w:pPr>
      <w:rPr>
        <w:rFonts w:ascii="Wingdings" w:hAnsi="Wingdings" w:hint="default"/>
      </w:rPr>
    </w:lvl>
  </w:abstractNum>
  <w:abstractNum w:abstractNumId="22">
    <w:nsid w:val="513F2E4C"/>
    <w:multiLevelType w:val="hybridMultilevel"/>
    <w:tmpl w:val="87FC6A72"/>
    <w:lvl w:ilvl="0" w:tplc="9C8E93EE">
      <w:start w:val="1"/>
      <w:numFmt w:val="bullet"/>
      <w:lvlText w:val=""/>
      <w:lvlJc w:val="left"/>
      <w:pPr>
        <w:ind w:left="720" w:hanging="360"/>
      </w:pPr>
      <w:rPr>
        <w:rFonts w:ascii="Symbol" w:hAnsi="Symbol" w:hint="default"/>
      </w:rPr>
    </w:lvl>
    <w:lvl w:ilvl="1" w:tplc="E4BCAF44" w:tentative="1">
      <w:start w:val="1"/>
      <w:numFmt w:val="bullet"/>
      <w:lvlText w:val="o"/>
      <w:lvlJc w:val="left"/>
      <w:pPr>
        <w:ind w:left="1440" w:hanging="360"/>
      </w:pPr>
      <w:rPr>
        <w:rFonts w:ascii="Courier New" w:hAnsi="Courier New" w:cs="Courier New" w:hint="default"/>
      </w:rPr>
    </w:lvl>
    <w:lvl w:ilvl="2" w:tplc="404898CC" w:tentative="1">
      <w:start w:val="1"/>
      <w:numFmt w:val="bullet"/>
      <w:lvlText w:val=""/>
      <w:lvlJc w:val="left"/>
      <w:pPr>
        <w:ind w:left="2160" w:hanging="360"/>
      </w:pPr>
      <w:rPr>
        <w:rFonts w:ascii="Wingdings" w:hAnsi="Wingdings" w:hint="default"/>
      </w:rPr>
    </w:lvl>
    <w:lvl w:ilvl="3" w:tplc="4696411A" w:tentative="1">
      <w:start w:val="1"/>
      <w:numFmt w:val="bullet"/>
      <w:lvlText w:val=""/>
      <w:lvlJc w:val="left"/>
      <w:pPr>
        <w:ind w:left="2880" w:hanging="360"/>
      </w:pPr>
      <w:rPr>
        <w:rFonts w:ascii="Symbol" w:hAnsi="Symbol" w:hint="default"/>
      </w:rPr>
    </w:lvl>
    <w:lvl w:ilvl="4" w:tplc="D12631F8" w:tentative="1">
      <w:start w:val="1"/>
      <w:numFmt w:val="bullet"/>
      <w:lvlText w:val="o"/>
      <w:lvlJc w:val="left"/>
      <w:pPr>
        <w:ind w:left="3600" w:hanging="360"/>
      </w:pPr>
      <w:rPr>
        <w:rFonts w:ascii="Courier New" w:hAnsi="Courier New" w:cs="Courier New" w:hint="default"/>
      </w:rPr>
    </w:lvl>
    <w:lvl w:ilvl="5" w:tplc="48D2015E" w:tentative="1">
      <w:start w:val="1"/>
      <w:numFmt w:val="bullet"/>
      <w:lvlText w:val=""/>
      <w:lvlJc w:val="left"/>
      <w:pPr>
        <w:ind w:left="4320" w:hanging="360"/>
      </w:pPr>
      <w:rPr>
        <w:rFonts w:ascii="Wingdings" w:hAnsi="Wingdings" w:hint="default"/>
      </w:rPr>
    </w:lvl>
    <w:lvl w:ilvl="6" w:tplc="BE7875DA" w:tentative="1">
      <w:start w:val="1"/>
      <w:numFmt w:val="bullet"/>
      <w:lvlText w:val=""/>
      <w:lvlJc w:val="left"/>
      <w:pPr>
        <w:ind w:left="5040" w:hanging="360"/>
      </w:pPr>
      <w:rPr>
        <w:rFonts w:ascii="Symbol" w:hAnsi="Symbol" w:hint="default"/>
      </w:rPr>
    </w:lvl>
    <w:lvl w:ilvl="7" w:tplc="A8346462" w:tentative="1">
      <w:start w:val="1"/>
      <w:numFmt w:val="bullet"/>
      <w:lvlText w:val="o"/>
      <w:lvlJc w:val="left"/>
      <w:pPr>
        <w:ind w:left="5760" w:hanging="360"/>
      </w:pPr>
      <w:rPr>
        <w:rFonts w:ascii="Courier New" w:hAnsi="Courier New" w:cs="Courier New" w:hint="default"/>
      </w:rPr>
    </w:lvl>
    <w:lvl w:ilvl="8" w:tplc="5E348E70" w:tentative="1">
      <w:start w:val="1"/>
      <w:numFmt w:val="bullet"/>
      <w:lvlText w:val=""/>
      <w:lvlJc w:val="left"/>
      <w:pPr>
        <w:ind w:left="6480" w:hanging="360"/>
      </w:pPr>
      <w:rPr>
        <w:rFonts w:ascii="Wingdings" w:hAnsi="Wingdings" w:hint="default"/>
      </w:rPr>
    </w:lvl>
  </w:abstractNum>
  <w:abstractNum w:abstractNumId="23">
    <w:nsid w:val="569262B8"/>
    <w:multiLevelType w:val="hybridMultilevel"/>
    <w:tmpl w:val="CED41D40"/>
    <w:lvl w:ilvl="0" w:tplc="9C8E93E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F547359"/>
    <w:multiLevelType w:val="hybridMultilevel"/>
    <w:tmpl w:val="E5489E30"/>
    <w:lvl w:ilvl="0" w:tplc="7B8636C2">
      <w:start w:val="1"/>
      <w:numFmt w:val="bullet"/>
      <w:lvlText w:val=""/>
      <w:lvlJc w:val="left"/>
      <w:pPr>
        <w:ind w:left="720" w:hanging="360"/>
      </w:pPr>
      <w:rPr>
        <w:rFonts w:ascii="Symbol" w:hAnsi="Symbol" w:hint="default"/>
      </w:rPr>
    </w:lvl>
    <w:lvl w:ilvl="1" w:tplc="9C8E93EE">
      <w:start w:val="1"/>
      <w:numFmt w:val="bullet"/>
      <w:lvlText w:val=""/>
      <w:lvlJc w:val="left"/>
      <w:pPr>
        <w:ind w:left="1440" w:hanging="360"/>
      </w:pPr>
      <w:rPr>
        <w:rFonts w:ascii="Symbol" w:hAnsi="Symbol" w:hint="default"/>
      </w:rPr>
    </w:lvl>
    <w:lvl w:ilvl="2" w:tplc="B854FFF2" w:tentative="1">
      <w:start w:val="1"/>
      <w:numFmt w:val="bullet"/>
      <w:lvlText w:val=""/>
      <w:lvlJc w:val="left"/>
      <w:pPr>
        <w:ind w:left="2160" w:hanging="360"/>
      </w:pPr>
      <w:rPr>
        <w:rFonts w:ascii="Wingdings" w:hAnsi="Wingdings" w:hint="default"/>
      </w:rPr>
    </w:lvl>
    <w:lvl w:ilvl="3" w:tplc="80826A0E" w:tentative="1">
      <w:start w:val="1"/>
      <w:numFmt w:val="bullet"/>
      <w:lvlText w:val=""/>
      <w:lvlJc w:val="left"/>
      <w:pPr>
        <w:ind w:left="2880" w:hanging="360"/>
      </w:pPr>
      <w:rPr>
        <w:rFonts w:ascii="Symbol" w:hAnsi="Symbol" w:hint="default"/>
      </w:rPr>
    </w:lvl>
    <w:lvl w:ilvl="4" w:tplc="03EEF90A" w:tentative="1">
      <w:start w:val="1"/>
      <w:numFmt w:val="bullet"/>
      <w:lvlText w:val="o"/>
      <w:lvlJc w:val="left"/>
      <w:pPr>
        <w:ind w:left="3600" w:hanging="360"/>
      </w:pPr>
      <w:rPr>
        <w:rFonts w:ascii="Courier New" w:hAnsi="Courier New" w:cs="Courier New" w:hint="default"/>
      </w:rPr>
    </w:lvl>
    <w:lvl w:ilvl="5" w:tplc="B9CE9160" w:tentative="1">
      <w:start w:val="1"/>
      <w:numFmt w:val="bullet"/>
      <w:lvlText w:val=""/>
      <w:lvlJc w:val="left"/>
      <w:pPr>
        <w:ind w:left="4320" w:hanging="360"/>
      </w:pPr>
      <w:rPr>
        <w:rFonts w:ascii="Wingdings" w:hAnsi="Wingdings" w:hint="default"/>
      </w:rPr>
    </w:lvl>
    <w:lvl w:ilvl="6" w:tplc="AB24FA4C" w:tentative="1">
      <w:start w:val="1"/>
      <w:numFmt w:val="bullet"/>
      <w:lvlText w:val=""/>
      <w:lvlJc w:val="left"/>
      <w:pPr>
        <w:ind w:left="5040" w:hanging="360"/>
      </w:pPr>
      <w:rPr>
        <w:rFonts w:ascii="Symbol" w:hAnsi="Symbol" w:hint="default"/>
      </w:rPr>
    </w:lvl>
    <w:lvl w:ilvl="7" w:tplc="FC169DA8" w:tentative="1">
      <w:start w:val="1"/>
      <w:numFmt w:val="bullet"/>
      <w:lvlText w:val="o"/>
      <w:lvlJc w:val="left"/>
      <w:pPr>
        <w:ind w:left="5760" w:hanging="360"/>
      </w:pPr>
      <w:rPr>
        <w:rFonts w:ascii="Courier New" w:hAnsi="Courier New" w:cs="Courier New" w:hint="default"/>
      </w:rPr>
    </w:lvl>
    <w:lvl w:ilvl="8" w:tplc="D4D68E6A" w:tentative="1">
      <w:start w:val="1"/>
      <w:numFmt w:val="bullet"/>
      <w:lvlText w:val=""/>
      <w:lvlJc w:val="left"/>
      <w:pPr>
        <w:ind w:left="6480" w:hanging="360"/>
      </w:pPr>
      <w:rPr>
        <w:rFonts w:ascii="Wingdings" w:hAnsi="Wingdings" w:hint="default"/>
      </w:rPr>
    </w:lvl>
  </w:abstractNum>
  <w:abstractNum w:abstractNumId="25">
    <w:nsid w:val="61BA73BE"/>
    <w:multiLevelType w:val="multilevel"/>
    <w:tmpl w:val="FE1AF72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3E46F58"/>
    <w:multiLevelType w:val="hybridMultilevel"/>
    <w:tmpl w:val="B14C30DC"/>
    <w:lvl w:ilvl="0" w:tplc="C65E9808">
      <w:start w:val="1"/>
      <w:numFmt w:val="bullet"/>
      <w:lvlText w:val="-"/>
      <w:lvlJc w:val="left"/>
      <w:pPr>
        <w:ind w:left="720" w:hanging="360"/>
      </w:pPr>
      <w:rPr>
        <w:rFonts w:ascii="Calibri" w:eastAsiaTheme="minorHAnsi" w:hAnsi="Calibri" w:cs="Calibri" w:hint="default"/>
      </w:rPr>
    </w:lvl>
    <w:lvl w:ilvl="1" w:tplc="F582FE34" w:tentative="1">
      <w:start w:val="1"/>
      <w:numFmt w:val="bullet"/>
      <w:lvlText w:val="o"/>
      <w:lvlJc w:val="left"/>
      <w:pPr>
        <w:ind w:left="1440" w:hanging="360"/>
      </w:pPr>
      <w:rPr>
        <w:rFonts w:ascii="Courier New" w:hAnsi="Courier New" w:cs="Courier New" w:hint="default"/>
      </w:rPr>
    </w:lvl>
    <w:lvl w:ilvl="2" w:tplc="D05AB844" w:tentative="1">
      <w:start w:val="1"/>
      <w:numFmt w:val="bullet"/>
      <w:lvlText w:val=""/>
      <w:lvlJc w:val="left"/>
      <w:pPr>
        <w:ind w:left="2160" w:hanging="360"/>
      </w:pPr>
      <w:rPr>
        <w:rFonts w:ascii="Wingdings" w:hAnsi="Wingdings" w:hint="default"/>
      </w:rPr>
    </w:lvl>
    <w:lvl w:ilvl="3" w:tplc="B37AF28E" w:tentative="1">
      <w:start w:val="1"/>
      <w:numFmt w:val="bullet"/>
      <w:lvlText w:val=""/>
      <w:lvlJc w:val="left"/>
      <w:pPr>
        <w:ind w:left="2880" w:hanging="360"/>
      </w:pPr>
      <w:rPr>
        <w:rFonts w:ascii="Symbol" w:hAnsi="Symbol" w:hint="default"/>
      </w:rPr>
    </w:lvl>
    <w:lvl w:ilvl="4" w:tplc="C904340C" w:tentative="1">
      <w:start w:val="1"/>
      <w:numFmt w:val="bullet"/>
      <w:lvlText w:val="o"/>
      <w:lvlJc w:val="left"/>
      <w:pPr>
        <w:ind w:left="3600" w:hanging="360"/>
      </w:pPr>
      <w:rPr>
        <w:rFonts w:ascii="Courier New" w:hAnsi="Courier New" w:cs="Courier New" w:hint="default"/>
      </w:rPr>
    </w:lvl>
    <w:lvl w:ilvl="5" w:tplc="2ABE033C" w:tentative="1">
      <w:start w:val="1"/>
      <w:numFmt w:val="bullet"/>
      <w:lvlText w:val=""/>
      <w:lvlJc w:val="left"/>
      <w:pPr>
        <w:ind w:left="4320" w:hanging="360"/>
      </w:pPr>
      <w:rPr>
        <w:rFonts w:ascii="Wingdings" w:hAnsi="Wingdings" w:hint="default"/>
      </w:rPr>
    </w:lvl>
    <w:lvl w:ilvl="6" w:tplc="7B54E842" w:tentative="1">
      <w:start w:val="1"/>
      <w:numFmt w:val="bullet"/>
      <w:lvlText w:val=""/>
      <w:lvlJc w:val="left"/>
      <w:pPr>
        <w:ind w:left="5040" w:hanging="360"/>
      </w:pPr>
      <w:rPr>
        <w:rFonts w:ascii="Symbol" w:hAnsi="Symbol" w:hint="default"/>
      </w:rPr>
    </w:lvl>
    <w:lvl w:ilvl="7" w:tplc="B6602F74" w:tentative="1">
      <w:start w:val="1"/>
      <w:numFmt w:val="bullet"/>
      <w:lvlText w:val="o"/>
      <w:lvlJc w:val="left"/>
      <w:pPr>
        <w:ind w:left="5760" w:hanging="360"/>
      </w:pPr>
      <w:rPr>
        <w:rFonts w:ascii="Courier New" w:hAnsi="Courier New" w:cs="Courier New" w:hint="default"/>
      </w:rPr>
    </w:lvl>
    <w:lvl w:ilvl="8" w:tplc="CAF6B4CC" w:tentative="1">
      <w:start w:val="1"/>
      <w:numFmt w:val="bullet"/>
      <w:lvlText w:val=""/>
      <w:lvlJc w:val="left"/>
      <w:pPr>
        <w:ind w:left="6480" w:hanging="360"/>
      </w:pPr>
      <w:rPr>
        <w:rFonts w:ascii="Wingdings" w:hAnsi="Wingdings" w:hint="default"/>
      </w:rPr>
    </w:lvl>
  </w:abstractNum>
  <w:abstractNum w:abstractNumId="27">
    <w:nsid w:val="691B774F"/>
    <w:multiLevelType w:val="hybridMultilevel"/>
    <w:tmpl w:val="64963762"/>
    <w:lvl w:ilvl="0" w:tplc="F586D596">
      <w:start w:val="1"/>
      <w:numFmt w:val="bullet"/>
      <w:pStyle w:val="Fous"/>
      <w:lvlText w:val=""/>
      <w:lvlJc w:val="left"/>
      <w:pPr>
        <w:tabs>
          <w:tab w:val="num" w:pos="722"/>
        </w:tabs>
        <w:ind w:left="722" w:hanging="382"/>
      </w:pPr>
      <w:rPr>
        <w:rFonts w:ascii="Symbol" w:hAnsi="Symbol" w:hint="default"/>
      </w:rPr>
    </w:lvl>
    <w:lvl w:ilvl="1" w:tplc="75A2603E" w:tentative="1">
      <w:start w:val="1"/>
      <w:numFmt w:val="bullet"/>
      <w:lvlText w:val="o"/>
      <w:lvlJc w:val="left"/>
      <w:pPr>
        <w:tabs>
          <w:tab w:val="num" w:pos="1442"/>
        </w:tabs>
        <w:ind w:left="1442" w:hanging="360"/>
      </w:pPr>
      <w:rPr>
        <w:rFonts w:ascii="Courier New" w:hAnsi="Courier New" w:hint="default"/>
      </w:rPr>
    </w:lvl>
    <w:lvl w:ilvl="2" w:tplc="C2F845DC" w:tentative="1">
      <w:start w:val="1"/>
      <w:numFmt w:val="bullet"/>
      <w:lvlText w:val=""/>
      <w:lvlJc w:val="left"/>
      <w:pPr>
        <w:tabs>
          <w:tab w:val="num" w:pos="2162"/>
        </w:tabs>
        <w:ind w:left="2162" w:hanging="360"/>
      </w:pPr>
      <w:rPr>
        <w:rFonts w:ascii="Wingdings" w:hAnsi="Wingdings" w:hint="default"/>
      </w:rPr>
    </w:lvl>
    <w:lvl w:ilvl="3" w:tplc="778CB0FC" w:tentative="1">
      <w:start w:val="1"/>
      <w:numFmt w:val="bullet"/>
      <w:lvlText w:val=""/>
      <w:lvlJc w:val="left"/>
      <w:pPr>
        <w:tabs>
          <w:tab w:val="num" w:pos="2882"/>
        </w:tabs>
        <w:ind w:left="2882" w:hanging="360"/>
      </w:pPr>
      <w:rPr>
        <w:rFonts w:ascii="Symbol" w:hAnsi="Symbol" w:hint="default"/>
      </w:rPr>
    </w:lvl>
    <w:lvl w:ilvl="4" w:tplc="65142CC2" w:tentative="1">
      <w:start w:val="1"/>
      <w:numFmt w:val="bullet"/>
      <w:lvlText w:val="o"/>
      <w:lvlJc w:val="left"/>
      <w:pPr>
        <w:tabs>
          <w:tab w:val="num" w:pos="3602"/>
        </w:tabs>
        <w:ind w:left="3602" w:hanging="360"/>
      </w:pPr>
      <w:rPr>
        <w:rFonts w:ascii="Courier New" w:hAnsi="Courier New" w:hint="default"/>
      </w:rPr>
    </w:lvl>
    <w:lvl w:ilvl="5" w:tplc="89F4CBC0" w:tentative="1">
      <w:start w:val="1"/>
      <w:numFmt w:val="bullet"/>
      <w:lvlText w:val=""/>
      <w:lvlJc w:val="left"/>
      <w:pPr>
        <w:tabs>
          <w:tab w:val="num" w:pos="4322"/>
        </w:tabs>
        <w:ind w:left="4322" w:hanging="360"/>
      </w:pPr>
      <w:rPr>
        <w:rFonts w:ascii="Wingdings" w:hAnsi="Wingdings" w:hint="default"/>
      </w:rPr>
    </w:lvl>
    <w:lvl w:ilvl="6" w:tplc="04768918" w:tentative="1">
      <w:start w:val="1"/>
      <w:numFmt w:val="bullet"/>
      <w:lvlText w:val=""/>
      <w:lvlJc w:val="left"/>
      <w:pPr>
        <w:tabs>
          <w:tab w:val="num" w:pos="5042"/>
        </w:tabs>
        <w:ind w:left="5042" w:hanging="360"/>
      </w:pPr>
      <w:rPr>
        <w:rFonts w:ascii="Symbol" w:hAnsi="Symbol" w:hint="default"/>
      </w:rPr>
    </w:lvl>
    <w:lvl w:ilvl="7" w:tplc="C01C73DE" w:tentative="1">
      <w:start w:val="1"/>
      <w:numFmt w:val="bullet"/>
      <w:lvlText w:val="o"/>
      <w:lvlJc w:val="left"/>
      <w:pPr>
        <w:tabs>
          <w:tab w:val="num" w:pos="5762"/>
        </w:tabs>
        <w:ind w:left="5762" w:hanging="360"/>
      </w:pPr>
      <w:rPr>
        <w:rFonts w:ascii="Courier New" w:hAnsi="Courier New" w:hint="default"/>
      </w:rPr>
    </w:lvl>
    <w:lvl w:ilvl="8" w:tplc="6504CA7E" w:tentative="1">
      <w:start w:val="1"/>
      <w:numFmt w:val="bullet"/>
      <w:lvlText w:val=""/>
      <w:lvlJc w:val="left"/>
      <w:pPr>
        <w:tabs>
          <w:tab w:val="num" w:pos="6482"/>
        </w:tabs>
        <w:ind w:left="6482" w:hanging="360"/>
      </w:pPr>
      <w:rPr>
        <w:rFonts w:ascii="Wingdings" w:hAnsi="Wingdings" w:hint="default"/>
      </w:rPr>
    </w:lvl>
  </w:abstractNum>
  <w:abstractNum w:abstractNumId="28">
    <w:nsid w:val="6A7736E8"/>
    <w:multiLevelType w:val="multilevel"/>
    <w:tmpl w:val="FE56E9E2"/>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9312FC3"/>
    <w:multiLevelType w:val="hybridMultilevel"/>
    <w:tmpl w:val="FA1E0EA0"/>
    <w:lvl w:ilvl="0" w:tplc="9C8E93EE">
      <w:start w:val="1"/>
      <w:numFmt w:val="bullet"/>
      <w:lvlText w:val=""/>
      <w:lvlJc w:val="left"/>
      <w:pPr>
        <w:ind w:left="720" w:hanging="360"/>
      </w:pPr>
      <w:rPr>
        <w:rFonts w:ascii="Symbol" w:hAnsi="Symbol" w:hint="default"/>
      </w:rPr>
    </w:lvl>
    <w:lvl w:ilvl="1" w:tplc="40E04F4A" w:tentative="1">
      <w:start w:val="1"/>
      <w:numFmt w:val="bullet"/>
      <w:lvlText w:val="o"/>
      <w:lvlJc w:val="left"/>
      <w:pPr>
        <w:ind w:left="1440" w:hanging="360"/>
      </w:pPr>
      <w:rPr>
        <w:rFonts w:ascii="Courier New" w:hAnsi="Courier New" w:cs="Courier New" w:hint="default"/>
      </w:rPr>
    </w:lvl>
    <w:lvl w:ilvl="2" w:tplc="6214FA1C" w:tentative="1">
      <w:start w:val="1"/>
      <w:numFmt w:val="bullet"/>
      <w:lvlText w:val=""/>
      <w:lvlJc w:val="left"/>
      <w:pPr>
        <w:ind w:left="2160" w:hanging="360"/>
      </w:pPr>
      <w:rPr>
        <w:rFonts w:ascii="Wingdings" w:hAnsi="Wingdings" w:hint="default"/>
      </w:rPr>
    </w:lvl>
    <w:lvl w:ilvl="3" w:tplc="94BA1F4E" w:tentative="1">
      <w:start w:val="1"/>
      <w:numFmt w:val="bullet"/>
      <w:lvlText w:val=""/>
      <w:lvlJc w:val="left"/>
      <w:pPr>
        <w:ind w:left="2880" w:hanging="360"/>
      </w:pPr>
      <w:rPr>
        <w:rFonts w:ascii="Symbol" w:hAnsi="Symbol" w:hint="default"/>
      </w:rPr>
    </w:lvl>
    <w:lvl w:ilvl="4" w:tplc="441A2CE4" w:tentative="1">
      <w:start w:val="1"/>
      <w:numFmt w:val="bullet"/>
      <w:lvlText w:val="o"/>
      <w:lvlJc w:val="left"/>
      <w:pPr>
        <w:ind w:left="3600" w:hanging="360"/>
      </w:pPr>
      <w:rPr>
        <w:rFonts w:ascii="Courier New" w:hAnsi="Courier New" w:cs="Courier New" w:hint="default"/>
      </w:rPr>
    </w:lvl>
    <w:lvl w:ilvl="5" w:tplc="752C7F10" w:tentative="1">
      <w:start w:val="1"/>
      <w:numFmt w:val="bullet"/>
      <w:lvlText w:val=""/>
      <w:lvlJc w:val="left"/>
      <w:pPr>
        <w:ind w:left="4320" w:hanging="360"/>
      </w:pPr>
      <w:rPr>
        <w:rFonts w:ascii="Wingdings" w:hAnsi="Wingdings" w:hint="default"/>
      </w:rPr>
    </w:lvl>
    <w:lvl w:ilvl="6" w:tplc="16C283E8" w:tentative="1">
      <w:start w:val="1"/>
      <w:numFmt w:val="bullet"/>
      <w:lvlText w:val=""/>
      <w:lvlJc w:val="left"/>
      <w:pPr>
        <w:ind w:left="5040" w:hanging="360"/>
      </w:pPr>
      <w:rPr>
        <w:rFonts w:ascii="Symbol" w:hAnsi="Symbol" w:hint="default"/>
      </w:rPr>
    </w:lvl>
    <w:lvl w:ilvl="7" w:tplc="F2903030" w:tentative="1">
      <w:start w:val="1"/>
      <w:numFmt w:val="bullet"/>
      <w:lvlText w:val="o"/>
      <w:lvlJc w:val="left"/>
      <w:pPr>
        <w:ind w:left="5760" w:hanging="360"/>
      </w:pPr>
      <w:rPr>
        <w:rFonts w:ascii="Courier New" w:hAnsi="Courier New" w:cs="Courier New" w:hint="default"/>
      </w:rPr>
    </w:lvl>
    <w:lvl w:ilvl="8" w:tplc="27EAB42C" w:tentative="1">
      <w:start w:val="1"/>
      <w:numFmt w:val="bullet"/>
      <w:lvlText w:val=""/>
      <w:lvlJc w:val="left"/>
      <w:pPr>
        <w:ind w:left="6480" w:hanging="360"/>
      </w:pPr>
      <w:rPr>
        <w:rFonts w:ascii="Wingdings" w:hAnsi="Wingdings" w:hint="default"/>
      </w:rPr>
    </w:lvl>
  </w:abstractNum>
  <w:abstractNum w:abstractNumId="30">
    <w:nsid w:val="7BF702FC"/>
    <w:multiLevelType w:val="hybridMultilevel"/>
    <w:tmpl w:val="6CA2E68E"/>
    <w:lvl w:ilvl="0" w:tplc="9C8E93EE">
      <w:start w:val="1"/>
      <w:numFmt w:val="bullet"/>
      <w:lvlText w:val=""/>
      <w:lvlJc w:val="left"/>
      <w:pPr>
        <w:ind w:left="1004" w:hanging="360"/>
      </w:pPr>
      <w:rPr>
        <w:rFonts w:ascii="Symbol" w:hAnsi="Symbol" w:hint="default"/>
      </w:rPr>
    </w:lvl>
    <w:lvl w:ilvl="1" w:tplc="CEB44378" w:tentative="1">
      <w:start w:val="1"/>
      <w:numFmt w:val="bullet"/>
      <w:lvlText w:val="o"/>
      <w:lvlJc w:val="left"/>
      <w:pPr>
        <w:ind w:left="1724" w:hanging="360"/>
      </w:pPr>
      <w:rPr>
        <w:rFonts w:ascii="Courier New" w:hAnsi="Courier New" w:cs="Courier New" w:hint="default"/>
      </w:rPr>
    </w:lvl>
    <w:lvl w:ilvl="2" w:tplc="9F5AA838" w:tentative="1">
      <w:start w:val="1"/>
      <w:numFmt w:val="bullet"/>
      <w:lvlText w:val=""/>
      <w:lvlJc w:val="left"/>
      <w:pPr>
        <w:ind w:left="2444" w:hanging="360"/>
      </w:pPr>
      <w:rPr>
        <w:rFonts w:ascii="Wingdings" w:hAnsi="Wingdings" w:hint="default"/>
      </w:rPr>
    </w:lvl>
    <w:lvl w:ilvl="3" w:tplc="F63880F4" w:tentative="1">
      <w:start w:val="1"/>
      <w:numFmt w:val="bullet"/>
      <w:lvlText w:val=""/>
      <w:lvlJc w:val="left"/>
      <w:pPr>
        <w:ind w:left="3164" w:hanging="360"/>
      </w:pPr>
      <w:rPr>
        <w:rFonts w:ascii="Symbol" w:hAnsi="Symbol" w:hint="default"/>
      </w:rPr>
    </w:lvl>
    <w:lvl w:ilvl="4" w:tplc="B588B2FC" w:tentative="1">
      <w:start w:val="1"/>
      <w:numFmt w:val="bullet"/>
      <w:lvlText w:val="o"/>
      <w:lvlJc w:val="left"/>
      <w:pPr>
        <w:ind w:left="3884" w:hanging="360"/>
      </w:pPr>
      <w:rPr>
        <w:rFonts w:ascii="Courier New" w:hAnsi="Courier New" w:cs="Courier New" w:hint="default"/>
      </w:rPr>
    </w:lvl>
    <w:lvl w:ilvl="5" w:tplc="DC403CBE" w:tentative="1">
      <w:start w:val="1"/>
      <w:numFmt w:val="bullet"/>
      <w:lvlText w:val=""/>
      <w:lvlJc w:val="left"/>
      <w:pPr>
        <w:ind w:left="4604" w:hanging="360"/>
      </w:pPr>
      <w:rPr>
        <w:rFonts w:ascii="Wingdings" w:hAnsi="Wingdings" w:hint="default"/>
      </w:rPr>
    </w:lvl>
    <w:lvl w:ilvl="6" w:tplc="CD4A0736" w:tentative="1">
      <w:start w:val="1"/>
      <w:numFmt w:val="bullet"/>
      <w:lvlText w:val=""/>
      <w:lvlJc w:val="left"/>
      <w:pPr>
        <w:ind w:left="5324" w:hanging="360"/>
      </w:pPr>
      <w:rPr>
        <w:rFonts w:ascii="Symbol" w:hAnsi="Symbol" w:hint="default"/>
      </w:rPr>
    </w:lvl>
    <w:lvl w:ilvl="7" w:tplc="1A242E42" w:tentative="1">
      <w:start w:val="1"/>
      <w:numFmt w:val="bullet"/>
      <w:lvlText w:val="o"/>
      <w:lvlJc w:val="left"/>
      <w:pPr>
        <w:ind w:left="6044" w:hanging="360"/>
      </w:pPr>
      <w:rPr>
        <w:rFonts w:ascii="Courier New" w:hAnsi="Courier New" w:cs="Courier New" w:hint="default"/>
      </w:rPr>
    </w:lvl>
    <w:lvl w:ilvl="8" w:tplc="2712206E" w:tentative="1">
      <w:start w:val="1"/>
      <w:numFmt w:val="bullet"/>
      <w:lvlText w:val=""/>
      <w:lvlJc w:val="left"/>
      <w:pPr>
        <w:ind w:left="6764" w:hanging="360"/>
      </w:pPr>
      <w:rPr>
        <w:rFonts w:ascii="Wingdings" w:hAnsi="Wingdings" w:hint="default"/>
      </w:rPr>
    </w:lvl>
  </w:abstractNum>
  <w:num w:numId="1">
    <w:abstractNumId w:val="7"/>
  </w:num>
  <w:num w:numId="2">
    <w:abstractNumId w:val="27"/>
  </w:num>
  <w:num w:numId="3">
    <w:abstractNumId w:val="28"/>
  </w:num>
  <w:num w:numId="4">
    <w:abstractNumId w:val="0"/>
  </w:num>
  <w:num w:numId="5">
    <w:abstractNumId w:val="25"/>
  </w:num>
  <w:num w:numId="6">
    <w:abstractNumId w:val="8"/>
  </w:num>
  <w:num w:numId="7">
    <w:abstractNumId w:val="15"/>
  </w:num>
  <w:num w:numId="8">
    <w:abstractNumId w:val="13"/>
  </w:num>
  <w:num w:numId="9">
    <w:abstractNumId w:val="6"/>
  </w:num>
  <w:num w:numId="10">
    <w:abstractNumId w:val="16"/>
  </w:num>
  <w:num w:numId="11">
    <w:abstractNumId w:val="26"/>
  </w:num>
  <w:num w:numId="12">
    <w:abstractNumId w:val="21"/>
  </w:num>
  <w:num w:numId="13">
    <w:abstractNumId w:val="2"/>
  </w:num>
  <w:num w:numId="14">
    <w:abstractNumId w:val="5"/>
  </w:num>
  <w:num w:numId="15">
    <w:abstractNumId w:val="4"/>
  </w:num>
  <w:num w:numId="16">
    <w:abstractNumId w:val="17"/>
  </w:num>
  <w:num w:numId="17">
    <w:abstractNumId w:val="19"/>
  </w:num>
  <w:num w:numId="18">
    <w:abstractNumId w:val="23"/>
  </w:num>
  <w:num w:numId="19">
    <w:abstractNumId w:val="11"/>
  </w:num>
  <w:num w:numId="20">
    <w:abstractNumId w:val="24"/>
  </w:num>
  <w:num w:numId="21">
    <w:abstractNumId w:val="12"/>
  </w:num>
  <w:num w:numId="22">
    <w:abstractNumId w:val="22"/>
  </w:num>
  <w:num w:numId="23">
    <w:abstractNumId w:val="29"/>
  </w:num>
  <w:num w:numId="24">
    <w:abstractNumId w:val="1"/>
  </w:num>
  <w:num w:numId="25">
    <w:abstractNumId w:val="3"/>
  </w:num>
  <w:num w:numId="26">
    <w:abstractNumId w:val="9"/>
  </w:num>
  <w:num w:numId="27">
    <w:abstractNumId w:val="18"/>
  </w:num>
  <w:num w:numId="28">
    <w:abstractNumId w:val="10"/>
  </w:num>
  <w:num w:numId="29">
    <w:abstractNumId w:val="30"/>
  </w:num>
  <w:num w:numId="30">
    <w:abstractNumId w:val="20"/>
  </w:num>
  <w:num w:numId="31">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5F2"/>
    <w:rsid w:val="00004843"/>
    <w:rsid w:val="00021783"/>
    <w:rsid w:val="0002290A"/>
    <w:rsid w:val="000606F4"/>
    <w:rsid w:val="000751B8"/>
    <w:rsid w:val="00083E82"/>
    <w:rsid w:val="000C2678"/>
    <w:rsid w:val="000C64A3"/>
    <w:rsid w:val="000C7B00"/>
    <w:rsid w:val="000D44D5"/>
    <w:rsid w:val="000D68D3"/>
    <w:rsid w:val="000D6FBB"/>
    <w:rsid w:val="000E63A0"/>
    <w:rsid w:val="000E7CBF"/>
    <w:rsid w:val="001068DD"/>
    <w:rsid w:val="001175AE"/>
    <w:rsid w:val="00122FF7"/>
    <w:rsid w:val="00125199"/>
    <w:rsid w:val="001446EC"/>
    <w:rsid w:val="00170FBD"/>
    <w:rsid w:val="001741F3"/>
    <w:rsid w:val="001D2FFE"/>
    <w:rsid w:val="001D6ECC"/>
    <w:rsid w:val="001E25ED"/>
    <w:rsid w:val="001F2829"/>
    <w:rsid w:val="001F5AA5"/>
    <w:rsid w:val="00203AF3"/>
    <w:rsid w:val="00205868"/>
    <w:rsid w:val="002174E5"/>
    <w:rsid w:val="00230CC5"/>
    <w:rsid w:val="00243101"/>
    <w:rsid w:val="0024570C"/>
    <w:rsid w:val="0024693B"/>
    <w:rsid w:val="00247741"/>
    <w:rsid w:val="00255813"/>
    <w:rsid w:val="00262AAE"/>
    <w:rsid w:val="00270130"/>
    <w:rsid w:val="00276FDB"/>
    <w:rsid w:val="00295369"/>
    <w:rsid w:val="00295A5A"/>
    <w:rsid w:val="00296345"/>
    <w:rsid w:val="002C435D"/>
    <w:rsid w:val="002C4FE0"/>
    <w:rsid w:val="002D142F"/>
    <w:rsid w:val="002E6E3A"/>
    <w:rsid w:val="002E6E55"/>
    <w:rsid w:val="00320AA4"/>
    <w:rsid w:val="00337D35"/>
    <w:rsid w:val="003559E7"/>
    <w:rsid w:val="00387C3C"/>
    <w:rsid w:val="003A1E69"/>
    <w:rsid w:val="003C4A8B"/>
    <w:rsid w:val="003D1C64"/>
    <w:rsid w:val="003D2117"/>
    <w:rsid w:val="003D2AB0"/>
    <w:rsid w:val="003D7541"/>
    <w:rsid w:val="003E3221"/>
    <w:rsid w:val="003E414E"/>
    <w:rsid w:val="003E7EBC"/>
    <w:rsid w:val="003F5F38"/>
    <w:rsid w:val="00431F65"/>
    <w:rsid w:val="00433A75"/>
    <w:rsid w:val="00446C7F"/>
    <w:rsid w:val="00467196"/>
    <w:rsid w:val="004704F4"/>
    <w:rsid w:val="004779AC"/>
    <w:rsid w:val="00482A77"/>
    <w:rsid w:val="0048523F"/>
    <w:rsid w:val="00487841"/>
    <w:rsid w:val="004E0CE8"/>
    <w:rsid w:val="004E5E06"/>
    <w:rsid w:val="005004CD"/>
    <w:rsid w:val="00506C42"/>
    <w:rsid w:val="005236EB"/>
    <w:rsid w:val="005554D0"/>
    <w:rsid w:val="00571612"/>
    <w:rsid w:val="00576C68"/>
    <w:rsid w:val="00584517"/>
    <w:rsid w:val="005865DF"/>
    <w:rsid w:val="005B2A6A"/>
    <w:rsid w:val="005C748F"/>
    <w:rsid w:val="005D3209"/>
    <w:rsid w:val="00605120"/>
    <w:rsid w:val="00613588"/>
    <w:rsid w:val="00630B90"/>
    <w:rsid w:val="00632820"/>
    <w:rsid w:val="006457FE"/>
    <w:rsid w:val="006474EE"/>
    <w:rsid w:val="0065263C"/>
    <w:rsid w:val="006533E0"/>
    <w:rsid w:val="00673CC9"/>
    <w:rsid w:val="006851F6"/>
    <w:rsid w:val="00694C80"/>
    <w:rsid w:val="006B2349"/>
    <w:rsid w:val="006B5AE3"/>
    <w:rsid w:val="006C52C5"/>
    <w:rsid w:val="006D0253"/>
    <w:rsid w:val="006D7080"/>
    <w:rsid w:val="0070388F"/>
    <w:rsid w:val="0073225C"/>
    <w:rsid w:val="00741161"/>
    <w:rsid w:val="00747051"/>
    <w:rsid w:val="00747332"/>
    <w:rsid w:val="00756935"/>
    <w:rsid w:val="00760D50"/>
    <w:rsid w:val="00782C8B"/>
    <w:rsid w:val="00784E92"/>
    <w:rsid w:val="007923C6"/>
    <w:rsid w:val="007A7763"/>
    <w:rsid w:val="007B3D2C"/>
    <w:rsid w:val="007F3176"/>
    <w:rsid w:val="0081508A"/>
    <w:rsid w:val="00823E31"/>
    <w:rsid w:val="00824675"/>
    <w:rsid w:val="00826683"/>
    <w:rsid w:val="008311E6"/>
    <w:rsid w:val="008B22AA"/>
    <w:rsid w:val="008E2E01"/>
    <w:rsid w:val="00912359"/>
    <w:rsid w:val="00914879"/>
    <w:rsid w:val="00922B9E"/>
    <w:rsid w:val="009443FF"/>
    <w:rsid w:val="00953532"/>
    <w:rsid w:val="00964FAD"/>
    <w:rsid w:val="009764C9"/>
    <w:rsid w:val="00983CF4"/>
    <w:rsid w:val="00986D17"/>
    <w:rsid w:val="009912FB"/>
    <w:rsid w:val="009A0986"/>
    <w:rsid w:val="009B135C"/>
    <w:rsid w:val="009D2DF2"/>
    <w:rsid w:val="009D5372"/>
    <w:rsid w:val="009D6062"/>
    <w:rsid w:val="009E6309"/>
    <w:rsid w:val="009E767B"/>
    <w:rsid w:val="009F56C5"/>
    <w:rsid w:val="00A000FE"/>
    <w:rsid w:val="00A40DDA"/>
    <w:rsid w:val="00AA225D"/>
    <w:rsid w:val="00AE3CD3"/>
    <w:rsid w:val="00AE69A6"/>
    <w:rsid w:val="00AF4954"/>
    <w:rsid w:val="00B162B9"/>
    <w:rsid w:val="00B30283"/>
    <w:rsid w:val="00B42715"/>
    <w:rsid w:val="00B443A7"/>
    <w:rsid w:val="00B9262D"/>
    <w:rsid w:val="00B96289"/>
    <w:rsid w:val="00BA64AB"/>
    <w:rsid w:val="00BB4B15"/>
    <w:rsid w:val="00BC490C"/>
    <w:rsid w:val="00BD1905"/>
    <w:rsid w:val="00BF11EF"/>
    <w:rsid w:val="00C025C7"/>
    <w:rsid w:val="00C279E0"/>
    <w:rsid w:val="00C425F2"/>
    <w:rsid w:val="00C575A6"/>
    <w:rsid w:val="00C578B2"/>
    <w:rsid w:val="00C725FC"/>
    <w:rsid w:val="00C91666"/>
    <w:rsid w:val="00C92D4E"/>
    <w:rsid w:val="00C945FA"/>
    <w:rsid w:val="00CB51B4"/>
    <w:rsid w:val="00CD1416"/>
    <w:rsid w:val="00CF0C6F"/>
    <w:rsid w:val="00D25441"/>
    <w:rsid w:val="00D37E46"/>
    <w:rsid w:val="00D44C53"/>
    <w:rsid w:val="00D466C2"/>
    <w:rsid w:val="00D476B1"/>
    <w:rsid w:val="00D55F31"/>
    <w:rsid w:val="00D60310"/>
    <w:rsid w:val="00D76EB4"/>
    <w:rsid w:val="00D90857"/>
    <w:rsid w:val="00D955A6"/>
    <w:rsid w:val="00DA0573"/>
    <w:rsid w:val="00DA62BC"/>
    <w:rsid w:val="00DC3945"/>
    <w:rsid w:val="00DE226B"/>
    <w:rsid w:val="00DE4A6C"/>
    <w:rsid w:val="00DF571D"/>
    <w:rsid w:val="00DF673C"/>
    <w:rsid w:val="00E02459"/>
    <w:rsid w:val="00E04FB5"/>
    <w:rsid w:val="00E05E70"/>
    <w:rsid w:val="00E27615"/>
    <w:rsid w:val="00E3781B"/>
    <w:rsid w:val="00E67640"/>
    <w:rsid w:val="00E7138D"/>
    <w:rsid w:val="00E96825"/>
    <w:rsid w:val="00EC5C56"/>
    <w:rsid w:val="00F012D2"/>
    <w:rsid w:val="00F057A9"/>
    <w:rsid w:val="00F1293C"/>
    <w:rsid w:val="00F17372"/>
    <w:rsid w:val="00F31B48"/>
    <w:rsid w:val="00F64128"/>
    <w:rsid w:val="00F7506F"/>
    <w:rsid w:val="00F83481"/>
    <w:rsid w:val="00F86229"/>
    <w:rsid w:val="00F90387"/>
    <w:rsid w:val="00F90940"/>
    <w:rsid w:val="00F90D39"/>
    <w:rsid w:val="00F94A05"/>
    <w:rsid w:val="00FA12FC"/>
    <w:rsid w:val="00FD33D5"/>
    <w:rsid w:val="00FD7522"/>
    <w:rsid w:val="00FD7C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A1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53C46"/>
    <w:rPr>
      <w:sz w:val="24"/>
      <w:szCs w:val="24"/>
      <w:lang w:eastAsia="en-US"/>
    </w:rPr>
  </w:style>
  <w:style w:type="paragraph" w:styleId="Nadpis1">
    <w:name w:val="heading 1"/>
    <w:aliases w:val="Nadpis 1 Char,vlevo 18b."/>
    <w:basedOn w:val="Normln"/>
    <w:next w:val="Normln"/>
    <w:qFormat/>
    <w:rsid w:val="00445CE4"/>
    <w:pPr>
      <w:keepNext/>
      <w:jc w:val="center"/>
      <w:outlineLvl w:val="0"/>
    </w:pPr>
    <w:rPr>
      <w:b/>
      <w:bCs/>
      <w:sz w:val="48"/>
      <w:szCs w:val="34"/>
    </w:rPr>
  </w:style>
  <w:style w:type="paragraph" w:styleId="Nadpis2">
    <w:name w:val="heading 2"/>
    <w:aliases w:val="H2,POŘ-Nadpis 2,vlevo 16b."/>
    <w:basedOn w:val="Normln"/>
    <w:next w:val="Normln"/>
    <w:qFormat/>
    <w:rsid w:val="00445CE4"/>
    <w:pPr>
      <w:keepNext/>
      <w:autoSpaceDE w:val="0"/>
      <w:autoSpaceDN w:val="0"/>
      <w:adjustRightInd w:val="0"/>
      <w:outlineLvl w:val="1"/>
    </w:pPr>
    <w:rPr>
      <w:rFonts w:eastAsia="SimSun"/>
      <w:b/>
      <w:szCs w:val="20"/>
      <w:lang w:eastAsia="cs-CZ"/>
    </w:rPr>
  </w:style>
  <w:style w:type="paragraph" w:styleId="Nadpis3">
    <w:name w:val="heading 3"/>
    <w:aliases w:val="H3,vlevo 14b."/>
    <w:basedOn w:val="Normln"/>
    <w:next w:val="Normln"/>
    <w:link w:val="Nadpis3Char"/>
    <w:qFormat/>
    <w:rsid w:val="00445CE4"/>
    <w:pPr>
      <w:keepNext/>
      <w:jc w:val="center"/>
      <w:outlineLvl w:val="2"/>
    </w:pPr>
    <w:rPr>
      <w:b/>
      <w:bCs/>
      <w:color w:val="000000"/>
      <w:sz w:val="20"/>
      <w:szCs w:val="20"/>
      <w:lang w:eastAsia="cs-CZ"/>
    </w:rPr>
  </w:style>
  <w:style w:type="paragraph" w:styleId="Nadpis4">
    <w:name w:val="heading 4"/>
    <w:aliases w:val="vlevo 12b."/>
    <w:basedOn w:val="Normln"/>
    <w:next w:val="Normln"/>
    <w:qFormat/>
    <w:rsid w:val="00445CE4"/>
    <w:pPr>
      <w:keepNext/>
      <w:ind w:firstLine="720"/>
      <w:jc w:val="both"/>
      <w:outlineLvl w:val="3"/>
    </w:pPr>
    <w:rPr>
      <w:b/>
      <w:bCs/>
      <w:color w:val="FF0000"/>
    </w:rPr>
  </w:style>
  <w:style w:type="paragraph" w:styleId="Nadpis5">
    <w:name w:val="heading 5"/>
    <w:basedOn w:val="Normln"/>
    <w:next w:val="Normln"/>
    <w:qFormat/>
    <w:rsid w:val="00445CE4"/>
    <w:pPr>
      <w:keepNext/>
      <w:spacing w:before="240" w:after="120"/>
      <w:jc w:val="both"/>
      <w:outlineLvl w:val="4"/>
    </w:pPr>
    <w:rPr>
      <w:b/>
      <w:noProof/>
    </w:rPr>
  </w:style>
  <w:style w:type="paragraph" w:styleId="Nadpis6">
    <w:name w:val="heading 6"/>
    <w:aliases w:val="střed 14b."/>
    <w:basedOn w:val="Normln"/>
    <w:next w:val="Normln"/>
    <w:qFormat/>
    <w:rsid w:val="00445CE4"/>
    <w:pPr>
      <w:keepNext/>
      <w:spacing w:before="360"/>
      <w:ind w:firstLine="720"/>
      <w:jc w:val="both"/>
      <w:outlineLvl w:val="5"/>
    </w:pPr>
    <w:rPr>
      <w:b/>
      <w:bCs/>
      <w:noProof/>
      <w:u w:val="single"/>
    </w:rPr>
  </w:style>
  <w:style w:type="paragraph" w:styleId="Nadpis8">
    <w:name w:val="heading 8"/>
    <w:basedOn w:val="Normln"/>
    <w:next w:val="Normln"/>
    <w:qFormat/>
    <w:rsid w:val="00445CE4"/>
    <w:pPr>
      <w:keepNext/>
      <w:jc w:val="center"/>
      <w:outlineLvl w:val="7"/>
    </w:pPr>
    <w:rPr>
      <w:b/>
      <w:bCs/>
      <w:noProof/>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KZ">
    <w:name w:val="Číslo KZ"/>
    <w:basedOn w:val="Normln"/>
    <w:rsid w:val="00445CE4"/>
    <w:rPr>
      <w:b/>
      <w:bCs/>
      <w:sz w:val="32"/>
      <w:lang w:eastAsia="cs-CZ"/>
    </w:rPr>
  </w:style>
  <w:style w:type="paragraph" w:customStyle="1" w:styleId="odsazen">
    <w:name w:val="odsazený"/>
    <w:basedOn w:val="Normln"/>
    <w:rsid w:val="00445CE4"/>
    <w:pPr>
      <w:spacing w:before="120"/>
      <w:ind w:firstLine="567"/>
      <w:jc w:val="both"/>
    </w:pPr>
    <w:rPr>
      <w:iCs/>
      <w:lang w:eastAsia="cs-CZ"/>
    </w:rPr>
  </w:style>
  <w:style w:type="paragraph" w:styleId="Zkladntext">
    <w:name w:val="Body Text"/>
    <w:aliases w:val="?????1,Body ...,Body Text Char,Body Text Char Char,Body Text Char Char Char,Body Text Char1 Char Char,Body Text Char2 Char,Corps de texte INTSUM,Nornální,Základní text - D,Základní text Char,b,Číslovaný seznam (i),Текст1"/>
    <w:basedOn w:val="Normln"/>
    <w:semiHidden/>
    <w:rsid w:val="00445CE4"/>
    <w:pPr>
      <w:jc w:val="both"/>
    </w:pPr>
    <w:rPr>
      <w:b/>
      <w:bCs/>
      <w:sz w:val="28"/>
      <w:szCs w:val="28"/>
    </w:rPr>
  </w:style>
  <w:style w:type="paragraph" w:styleId="Zkladntextodsazen2">
    <w:name w:val="Body Text Indent 2"/>
    <w:basedOn w:val="Normln"/>
    <w:semiHidden/>
    <w:rsid w:val="00445CE4"/>
    <w:pPr>
      <w:ind w:left="1080" w:hanging="1080"/>
    </w:pPr>
    <w:rPr>
      <w:sz w:val="20"/>
      <w:szCs w:val="20"/>
    </w:rPr>
  </w:style>
  <w:style w:type="paragraph" w:customStyle="1" w:styleId="vod">
    <w:name w:val="Úvod"/>
    <w:basedOn w:val="Normln"/>
    <w:rsid w:val="00445CE4"/>
    <w:pPr>
      <w:keepNext/>
      <w:spacing w:before="360" w:after="240"/>
      <w:jc w:val="both"/>
      <w:outlineLvl w:val="0"/>
    </w:pPr>
    <w:rPr>
      <w:b/>
      <w:bCs/>
      <w:sz w:val="28"/>
      <w:szCs w:val="28"/>
      <w:lang w:eastAsia="cs-CZ"/>
    </w:rPr>
  </w:style>
  <w:style w:type="paragraph" w:customStyle="1" w:styleId="PlainText1">
    <w:name w:val="Plain Text1"/>
    <w:basedOn w:val="Normln"/>
    <w:rsid w:val="00445CE4"/>
    <w:rPr>
      <w:rFonts w:ascii="Courier New" w:hAnsi="Courier New"/>
      <w:sz w:val="20"/>
      <w:szCs w:val="20"/>
      <w:lang w:eastAsia="cs-CZ"/>
    </w:rPr>
  </w:style>
  <w:style w:type="paragraph" w:styleId="Zkladntextodsazen">
    <w:name w:val="Body Text Indent"/>
    <w:aliases w:val=" Char Char Char, Char Char Char Char Char, Char Char1, Char Char1 Char Char,Základní text odsazený Char Char,Základní text odsazený Char Char Char Char,Základní text odsazený Char1,Základní text odsazený Char1 Char Char"/>
    <w:basedOn w:val="Normln"/>
    <w:semiHidden/>
    <w:rsid w:val="00445CE4"/>
    <w:pPr>
      <w:ind w:firstLine="720"/>
      <w:jc w:val="both"/>
    </w:pPr>
  </w:style>
  <w:style w:type="paragraph" w:styleId="Zkladntext3">
    <w:name w:val="Body Text 3"/>
    <w:basedOn w:val="Normln"/>
    <w:semiHidden/>
    <w:rsid w:val="00445CE4"/>
    <w:pPr>
      <w:keepNext/>
      <w:keepLines/>
      <w:jc w:val="both"/>
    </w:pPr>
    <w:rPr>
      <w:b/>
      <w:bCs/>
    </w:rPr>
  </w:style>
  <w:style w:type="paragraph" w:styleId="Zkladntext2">
    <w:name w:val="Body Text 2"/>
    <w:basedOn w:val="Normln"/>
    <w:semiHidden/>
    <w:rsid w:val="00445CE4"/>
    <w:pPr>
      <w:spacing w:after="120" w:line="480" w:lineRule="auto"/>
    </w:pPr>
  </w:style>
  <w:style w:type="paragraph" w:customStyle="1" w:styleId="BodyText21">
    <w:name w:val="Body Text 21"/>
    <w:basedOn w:val="Normln"/>
    <w:rsid w:val="00445CE4"/>
    <w:pPr>
      <w:overflowPunct w:val="0"/>
      <w:autoSpaceDE w:val="0"/>
      <w:autoSpaceDN w:val="0"/>
      <w:adjustRightInd w:val="0"/>
      <w:spacing w:after="120"/>
      <w:jc w:val="both"/>
      <w:textAlignment w:val="baseline"/>
    </w:pPr>
    <w:rPr>
      <w:szCs w:val="20"/>
      <w:lang w:eastAsia="cs-CZ"/>
    </w:rPr>
  </w:style>
  <w:style w:type="paragraph" w:styleId="Zpat">
    <w:name w:val="footer"/>
    <w:basedOn w:val="Normln"/>
    <w:link w:val="ZpatChar"/>
    <w:uiPriority w:val="99"/>
    <w:rsid w:val="00445CE4"/>
    <w:pPr>
      <w:tabs>
        <w:tab w:val="center" w:pos="4536"/>
        <w:tab w:val="right" w:pos="9072"/>
      </w:tabs>
    </w:pPr>
  </w:style>
  <w:style w:type="character" w:styleId="slostrnky">
    <w:name w:val="page number"/>
    <w:basedOn w:val="Standardnpsmoodstavce"/>
    <w:semiHidden/>
    <w:rsid w:val="00445CE4"/>
  </w:style>
  <w:style w:type="paragraph" w:styleId="Zhlav">
    <w:name w:val="header"/>
    <w:basedOn w:val="Normln"/>
    <w:semiHidden/>
    <w:rsid w:val="00445CE4"/>
    <w:pPr>
      <w:tabs>
        <w:tab w:val="center" w:pos="4536"/>
        <w:tab w:val="right" w:pos="9072"/>
      </w:tabs>
    </w:pPr>
  </w:style>
  <w:style w:type="character" w:styleId="Odkaznakoment">
    <w:name w:val="annotation reference"/>
    <w:basedOn w:val="Standardnpsmoodstavce"/>
    <w:semiHidden/>
    <w:rsid w:val="00445CE4"/>
    <w:rPr>
      <w:sz w:val="16"/>
      <w:szCs w:val="16"/>
    </w:rPr>
  </w:style>
  <w:style w:type="paragraph" w:styleId="Textkomente">
    <w:name w:val="annotation text"/>
    <w:basedOn w:val="Normln"/>
    <w:link w:val="TextkomenteChar"/>
    <w:semiHidden/>
    <w:rsid w:val="00445CE4"/>
    <w:rPr>
      <w:sz w:val="20"/>
      <w:szCs w:val="20"/>
    </w:rPr>
  </w:style>
  <w:style w:type="paragraph" w:styleId="Zkladntextodsazen3">
    <w:name w:val="Body Text Indent 3"/>
    <w:basedOn w:val="Normln"/>
    <w:semiHidden/>
    <w:rsid w:val="00445CE4"/>
    <w:pPr>
      <w:tabs>
        <w:tab w:val="center" w:pos="4535"/>
      </w:tabs>
      <w:ind w:left="360"/>
      <w:jc w:val="both"/>
    </w:pPr>
    <w:rPr>
      <w:noProof/>
      <w:sz w:val="20"/>
      <w:szCs w:val="20"/>
      <w:lang w:eastAsia="cs-CZ"/>
    </w:rPr>
  </w:style>
  <w:style w:type="paragraph" w:customStyle="1" w:styleId="Styl1">
    <w:name w:val="Styl1"/>
    <w:basedOn w:val="Normln"/>
    <w:rsid w:val="00445CE4"/>
    <w:pPr>
      <w:widowControl w:val="0"/>
      <w:autoSpaceDE w:val="0"/>
      <w:autoSpaceDN w:val="0"/>
      <w:adjustRightInd w:val="0"/>
      <w:spacing w:before="120"/>
      <w:ind w:firstLine="709"/>
      <w:jc w:val="both"/>
    </w:pPr>
    <w:rPr>
      <w:noProof/>
      <w:lang w:eastAsia="cs-CZ"/>
    </w:rPr>
  </w:style>
  <w:style w:type="paragraph" w:customStyle="1" w:styleId="Odstavec">
    <w:name w:val="Odstavec"/>
    <w:basedOn w:val="Normln"/>
    <w:rsid w:val="00445CE4"/>
    <w:pPr>
      <w:spacing w:before="120"/>
      <w:ind w:firstLine="709"/>
      <w:jc w:val="both"/>
    </w:pPr>
    <w:rPr>
      <w:noProof/>
      <w:szCs w:val="20"/>
      <w:lang w:eastAsia="cs-CZ"/>
    </w:rPr>
  </w:style>
  <w:style w:type="paragraph" w:styleId="Bezmezer">
    <w:name w:val="No Spacing"/>
    <w:uiPriority w:val="1"/>
    <w:qFormat/>
    <w:rsid w:val="00CF0D65"/>
    <w:rPr>
      <w:sz w:val="24"/>
      <w:szCs w:val="24"/>
      <w:lang w:val="en-US" w:eastAsia="en-US"/>
    </w:rPr>
  </w:style>
  <w:style w:type="paragraph" w:styleId="Odstavecseseznamem">
    <w:name w:val="List Paragraph"/>
    <w:aliases w:val="odrážky"/>
    <w:basedOn w:val="Normln"/>
    <w:uiPriority w:val="34"/>
    <w:qFormat/>
    <w:rsid w:val="00814C74"/>
    <w:pPr>
      <w:ind w:left="708"/>
    </w:pPr>
  </w:style>
  <w:style w:type="character" w:styleId="Siln">
    <w:name w:val="Strong"/>
    <w:basedOn w:val="Standardnpsmoodstavce"/>
    <w:uiPriority w:val="22"/>
    <w:qFormat/>
    <w:rsid w:val="00B35C94"/>
    <w:rPr>
      <w:b/>
      <w:bCs/>
    </w:rPr>
  </w:style>
  <w:style w:type="character" w:styleId="Znakapoznpodarou">
    <w:name w:val="footnote reference"/>
    <w:aliases w:val="BVI fnr Char Char Char,Char1 Char Char Char,Footnote Char Char Char,Footnote reference number Char Char Char,Footnote symbol Char Char Char,Ref Char Char Char,Times 10 Point Char Char Char,de nota al pie Char Char Char"/>
    <w:basedOn w:val="Standardnpsmoodstavce"/>
    <w:link w:val="BVIfnrCharChar"/>
    <w:uiPriority w:val="99"/>
    <w:rsid w:val="00DC76F7"/>
    <w:rPr>
      <w:vertAlign w:val="superscript"/>
    </w:rPr>
  </w:style>
  <w:style w:type="paragraph" w:styleId="Textpoznpodarou">
    <w:name w:val="footnote text"/>
    <w:aliases w:val="Char,Char Char Char1,Char Char1,FSR footnote,Footnote Text Char1,Fußnote,Geneva 9,Plonk,Schriftart: 10 pt,Schriftart: 8 pt,Schriftart: 9 pt,Text pozn. pod čarou1,Text pozn. pod čarou_martin_ang,f,fn,lábléc"/>
    <w:basedOn w:val="Normln"/>
    <w:link w:val="TextpoznpodarouChar"/>
    <w:uiPriority w:val="99"/>
    <w:rsid w:val="00DC76F7"/>
    <w:rPr>
      <w:sz w:val="20"/>
      <w:szCs w:val="20"/>
    </w:rPr>
  </w:style>
  <w:style w:type="character" w:customStyle="1" w:styleId="TextpoznpodarouChar">
    <w:name w:val="Text pozn. pod čarou Char"/>
    <w:aliases w:val="Char Char,Char Char Char1 Char,Char Char1 Char,FSR footnote Char,Footnote Text Char1 Char,Fußnote Char,Geneva 9 Char,Plonk Char,Schriftart: 10 pt Char,Schriftart: 8 pt Char,Schriftart: 9 pt Char,Text pozn. pod čarou1 Char"/>
    <w:basedOn w:val="Standardnpsmoodstavce"/>
    <w:link w:val="Textpoznpodarou"/>
    <w:uiPriority w:val="99"/>
    <w:rsid w:val="00DC76F7"/>
    <w:rPr>
      <w:lang w:val="en-US" w:eastAsia="en-US"/>
    </w:rPr>
  </w:style>
  <w:style w:type="paragraph" w:styleId="Nzev">
    <w:name w:val="Title"/>
    <w:basedOn w:val="Normln"/>
    <w:link w:val="NzevChar"/>
    <w:uiPriority w:val="99"/>
    <w:qFormat/>
    <w:rsid w:val="00AA4EA4"/>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jc w:val="center"/>
    </w:pPr>
    <w:rPr>
      <w:rFonts w:ascii="Times New Roman CE obyeejné" w:hAnsi="Times New Roman CE obyeejné" w:cs="Times New Roman CE obyeejné"/>
      <w:b/>
      <w:bCs/>
      <w:sz w:val="28"/>
      <w:szCs w:val="28"/>
      <w:lang w:eastAsia="cs-CZ"/>
    </w:rPr>
  </w:style>
  <w:style w:type="character" w:customStyle="1" w:styleId="NzevChar">
    <w:name w:val="Název Char"/>
    <w:basedOn w:val="Standardnpsmoodstavce"/>
    <w:link w:val="Nzev"/>
    <w:uiPriority w:val="99"/>
    <w:rsid w:val="00AA4EA4"/>
    <w:rPr>
      <w:rFonts w:ascii="Times New Roman CE obyeejné" w:hAnsi="Times New Roman CE obyeejné" w:cs="Times New Roman CE obyeejné"/>
      <w:b/>
      <w:bCs/>
      <w:sz w:val="28"/>
      <w:szCs w:val="28"/>
    </w:rPr>
  </w:style>
  <w:style w:type="character" w:styleId="Hypertextovodkaz">
    <w:name w:val="Hyperlink"/>
    <w:basedOn w:val="Standardnpsmoodstavce"/>
    <w:uiPriority w:val="99"/>
    <w:rsid w:val="00FE449A"/>
    <w:rPr>
      <w:color w:val="0000FF"/>
      <w:u w:val="single"/>
    </w:rPr>
  </w:style>
  <w:style w:type="paragraph" w:styleId="Prosttext">
    <w:name w:val="Plain Text"/>
    <w:basedOn w:val="Normln"/>
    <w:link w:val="ProsttextChar"/>
    <w:uiPriority w:val="99"/>
    <w:unhideWhenUsed/>
    <w:rsid w:val="00CC77E3"/>
    <w:rPr>
      <w:rFonts w:ascii="Consolas" w:eastAsia="Calibri" w:hAnsi="Consolas"/>
      <w:sz w:val="21"/>
      <w:szCs w:val="21"/>
    </w:rPr>
  </w:style>
  <w:style w:type="character" w:customStyle="1" w:styleId="ProsttextChar">
    <w:name w:val="Prostý text Char"/>
    <w:basedOn w:val="Standardnpsmoodstavce"/>
    <w:link w:val="Prosttext"/>
    <w:uiPriority w:val="99"/>
    <w:rsid w:val="00CC77E3"/>
    <w:rPr>
      <w:rFonts w:ascii="Consolas" w:eastAsia="Calibri" w:hAnsi="Consolas"/>
      <w:sz w:val="21"/>
      <w:szCs w:val="21"/>
      <w:lang w:eastAsia="en-US"/>
    </w:rPr>
  </w:style>
  <w:style w:type="table" w:styleId="Mkatabulky">
    <w:name w:val="Table Grid"/>
    <w:basedOn w:val="Normlntabulka"/>
    <w:uiPriority w:val="39"/>
    <w:rsid w:val="00CA6F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ulek">
    <w:name w:val="caption"/>
    <w:basedOn w:val="Normln"/>
    <w:next w:val="Normln"/>
    <w:uiPriority w:val="35"/>
    <w:unhideWhenUsed/>
    <w:qFormat/>
    <w:rsid w:val="00891AB3"/>
    <w:pPr>
      <w:spacing w:after="200"/>
    </w:pPr>
    <w:rPr>
      <w:rFonts w:ascii="Arial" w:eastAsia="Calibri" w:hAnsi="Arial"/>
      <w:b/>
      <w:bCs/>
      <w:color w:val="4F81BD"/>
      <w:sz w:val="18"/>
      <w:szCs w:val="18"/>
    </w:rPr>
  </w:style>
  <w:style w:type="paragraph" w:styleId="Textbubliny">
    <w:name w:val="Balloon Text"/>
    <w:basedOn w:val="Normln"/>
    <w:link w:val="TextbublinyChar"/>
    <w:semiHidden/>
    <w:unhideWhenUsed/>
    <w:rsid w:val="001711B8"/>
    <w:rPr>
      <w:rFonts w:ascii="Tahoma" w:hAnsi="Tahoma" w:cs="Tahoma"/>
      <w:sz w:val="16"/>
      <w:szCs w:val="16"/>
    </w:rPr>
  </w:style>
  <w:style w:type="character" w:customStyle="1" w:styleId="TextbublinyChar">
    <w:name w:val="Text bubliny Char"/>
    <w:basedOn w:val="Standardnpsmoodstavce"/>
    <w:link w:val="Textbubliny"/>
    <w:semiHidden/>
    <w:rsid w:val="001711B8"/>
    <w:rPr>
      <w:rFonts w:ascii="Tahoma" w:hAnsi="Tahoma" w:cs="Tahoma"/>
      <w:sz w:val="16"/>
      <w:szCs w:val="16"/>
      <w:lang w:val="en-US" w:eastAsia="en-US"/>
    </w:rPr>
  </w:style>
  <w:style w:type="paragraph" w:customStyle="1" w:styleId="normalodsazene3">
    <w:name w:val="normalodsazene3"/>
    <w:basedOn w:val="Normln"/>
    <w:rsid w:val="00834C0F"/>
    <w:pPr>
      <w:spacing w:before="30" w:after="75"/>
      <w:jc w:val="both"/>
    </w:pPr>
    <w:rPr>
      <w:rFonts w:ascii="Verdana" w:hAnsi="Verdana"/>
      <w:color w:val="585858"/>
      <w:sz w:val="26"/>
      <w:szCs w:val="26"/>
      <w:lang w:eastAsia="cs-CZ"/>
    </w:rPr>
  </w:style>
  <w:style w:type="paragraph" w:styleId="Normlnweb">
    <w:name w:val="Normal (Web)"/>
    <w:basedOn w:val="Normln"/>
    <w:uiPriority w:val="99"/>
    <w:unhideWhenUsed/>
    <w:rsid w:val="004B5A40"/>
    <w:pPr>
      <w:spacing w:before="100" w:beforeAutospacing="1" w:after="100" w:afterAutospacing="1"/>
    </w:pPr>
    <w:rPr>
      <w:lang w:eastAsia="cs-CZ"/>
    </w:rPr>
  </w:style>
  <w:style w:type="paragraph" w:customStyle="1" w:styleId="Odstavecseseznamem1">
    <w:name w:val="Odstavec se seznamem1"/>
    <w:basedOn w:val="Normln"/>
    <w:semiHidden/>
    <w:rsid w:val="0055636A"/>
    <w:pPr>
      <w:spacing w:after="200" w:line="276" w:lineRule="auto"/>
      <w:ind w:left="720"/>
      <w:contextualSpacing/>
    </w:pPr>
    <w:rPr>
      <w:rFonts w:ascii="Calibri" w:hAnsi="Calibri"/>
      <w:sz w:val="22"/>
      <w:szCs w:val="22"/>
    </w:rPr>
  </w:style>
  <w:style w:type="character" w:customStyle="1" w:styleId="bbtext">
    <w:name w:val="bbtext"/>
    <w:basedOn w:val="Standardnpsmoodstavce"/>
    <w:rsid w:val="005F012E"/>
  </w:style>
  <w:style w:type="paragraph" w:customStyle="1" w:styleId="lnek3">
    <w:name w:val="článek3"/>
    <w:basedOn w:val="Normln"/>
    <w:rsid w:val="00E579E8"/>
    <w:pPr>
      <w:numPr>
        <w:ilvl w:val="2"/>
        <w:numId w:val="1"/>
      </w:numPr>
      <w:spacing w:after="120"/>
    </w:pPr>
    <w:rPr>
      <w:lang w:eastAsia="cs-CZ"/>
    </w:rPr>
  </w:style>
  <w:style w:type="paragraph" w:customStyle="1" w:styleId="lnek1">
    <w:name w:val="článek1"/>
    <w:basedOn w:val="Normln"/>
    <w:next w:val="lnek2"/>
    <w:rsid w:val="00E579E8"/>
    <w:pPr>
      <w:keepNext/>
      <w:keepLines/>
      <w:numPr>
        <w:numId w:val="1"/>
      </w:numPr>
      <w:spacing w:before="240" w:after="240"/>
      <w:jc w:val="center"/>
    </w:pPr>
    <w:rPr>
      <w:b/>
      <w:sz w:val="28"/>
      <w:szCs w:val="28"/>
      <w:lang w:eastAsia="cs-CZ"/>
    </w:rPr>
  </w:style>
  <w:style w:type="paragraph" w:customStyle="1" w:styleId="lnek2">
    <w:name w:val="článek2"/>
    <w:basedOn w:val="Normln"/>
    <w:next w:val="lnek3"/>
    <w:rsid w:val="00E579E8"/>
    <w:pPr>
      <w:numPr>
        <w:ilvl w:val="1"/>
        <w:numId w:val="1"/>
      </w:numPr>
      <w:spacing w:before="120" w:after="120"/>
    </w:pPr>
    <w:rPr>
      <w:b/>
      <w:lang w:eastAsia="cs-CZ"/>
    </w:rPr>
  </w:style>
  <w:style w:type="paragraph" w:customStyle="1" w:styleId="NormlnKZ">
    <w:name w:val="Normální KZ"/>
    <w:basedOn w:val="Normln"/>
    <w:rsid w:val="006A7F16"/>
    <w:pPr>
      <w:spacing w:after="120"/>
      <w:ind w:firstLine="425"/>
      <w:jc w:val="both"/>
    </w:pPr>
    <w:rPr>
      <w:sz w:val="22"/>
      <w:lang w:eastAsia="cs-CZ"/>
    </w:rPr>
  </w:style>
  <w:style w:type="paragraph" w:customStyle="1" w:styleId="Fous">
    <w:name w:val="Fous"/>
    <w:basedOn w:val="Normln"/>
    <w:rsid w:val="006A7F16"/>
    <w:pPr>
      <w:numPr>
        <w:numId w:val="2"/>
      </w:numPr>
      <w:tabs>
        <w:tab w:val="clear" w:pos="722"/>
        <w:tab w:val="num" w:pos="360"/>
      </w:tabs>
      <w:ind w:left="360" w:hanging="360"/>
      <w:jc w:val="both"/>
    </w:pPr>
    <w:rPr>
      <w:sz w:val="22"/>
      <w:lang w:eastAsia="cs-CZ"/>
    </w:rPr>
  </w:style>
  <w:style w:type="paragraph" w:customStyle="1" w:styleId="Default">
    <w:name w:val="Default"/>
    <w:rsid w:val="00C50826"/>
    <w:pPr>
      <w:autoSpaceDE w:val="0"/>
      <w:autoSpaceDN w:val="0"/>
      <w:adjustRightInd w:val="0"/>
    </w:pPr>
    <w:rPr>
      <w:rFonts w:ascii="Arial" w:hAnsi="Arial" w:cs="Arial"/>
      <w:color w:val="000000"/>
      <w:sz w:val="24"/>
      <w:szCs w:val="24"/>
      <w:lang w:eastAsia="en-US"/>
    </w:rPr>
  </w:style>
  <w:style w:type="paragraph" w:customStyle="1" w:styleId="BVIfnrCharChar">
    <w:name w:val="BVI fnr Char Char"/>
    <w:aliases w:val="Char1 Char Char,Exposant 3 Point Char Char,Footnote Char Char,Footnote reference number Char Char,Footnote symbol Char Char,Ref Char Char,Times 10 Point Char Char,de nota al pie Char Char"/>
    <w:basedOn w:val="Normln"/>
    <w:link w:val="Znakapoznpodarou"/>
    <w:uiPriority w:val="99"/>
    <w:rsid w:val="00A30E79"/>
    <w:pPr>
      <w:spacing w:after="160" w:line="240" w:lineRule="exact"/>
    </w:pPr>
    <w:rPr>
      <w:sz w:val="20"/>
      <w:szCs w:val="20"/>
      <w:vertAlign w:val="superscript"/>
      <w:lang w:eastAsia="cs-CZ"/>
    </w:rPr>
  </w:style>
  <w:style w:type="character" w:styleId="Zdraznn">
    <w:name w:val="Emphasis"/>
    <w:basedOn w:val="Standardnpsmoodstavce"/>
    <w:uiPriority w:val="20"/>
    <w:qFormat/>
    <w:rsid w:val="00524340"/>
    <w:rPr>
      <w:b/>
      <w:bCs/>
      <w:i w:val="0"/>
      <w:iCs w:val="0"/>
    </w:rPr>
  </w:style>
  <w:style w:type="character" w:customStyle="1" w:styleId="st1">
    <w:name w:val="st1"/>
    <w:basedOn w:val="Standardnpsmoodstavce"/>
    <w:rsid w:val="004C70C2"/>
  </w:style>
  <w:style w:type="character" w:customStyle="1" w:styleId="cizojazycne">
    <w:name w:val="cizojazycne"/>
    <w:basedOn w:val="Standardnpsmoodstavce"/>
    <w:rsid w:val="004C70C2"/>
  </w:style>
  <w:style w:type="character" w:customStyle="1" w:styleId="red-icon">
    <w:name w:val="red-icon"/>
    <w:basedOn w:val="Standardnpsmoodstavce"/>
    <w:rsid w:val="00A91E58"/>
  </w:style>
  <w:style w:type="character" w:customStyle="1" w:styleId="black-icon">
    <w:name w:val="black-icon"/>
    <w:basedOn w:val="Standardnpsmoodstavce"/>
    <w:rsid w:val="00A91E58"/>
  </w:style>
  <w:style w:type="character" w:customStyle="1" w:styleId="hps">
    <w:name w:val="hps"/>
    <w:basedOn w:val="Standardnpsmoodstavce"/>
    <w:rsid w:val="00692B18"/>
  </w:style>
  <w:style w:type="character" w:customStyle="1" w:styleId="shorttext">
    <w:name w:val="short_text"/>
    <w:basedOn w:val="Standardnpsmoodstavce"/>
    <w:rsid w:val="00692B18"/>
  </w:style>
  <w:style w:type="character" w:customStyle="1" w:styleId="Nadpis3Char">
    <w:name w:val="Nadpis 3 Char"/>
    <w:aliases w:val="H3 Char,vlevo 14b. Char"/>
    <w:basedOn w:val="Standardnpsmoodstavce"/>
    <w:link w:val="Nadpis3"/>
    <w:rsid w:val="00174C92"/>
    <w:rPr>
      <w:b/>
      <w:bCs/>
      <w:color w:val="000000"/>
    </w:rPr>
  </w:style>
  <w:style w:type="character" w:customStyle="1" w:styleId="ZpatChar">
    <w:name w:val="Zápatí Char"/>
    <w:basedOn w:val="Standardnpsmoodstavce"/>
    <w:link w:val="Zpat"/>
    <w:uiPriority w:val="99"/>
    <w:rsid w:val="003D7541"/>
    <w:rPr>
      <w:sz w:val="24"/>
      <w:szCs w:val="24"/>
      <w:lang w:eastAsia="en-US"/>
    </w:rPr>
  </w:style>
  <w:style w:type="paragraph" w:styleId="Pedmtkomente">
    <w:name w:val="annotation subject"/>
    <w:basedOn w:val="Textkomente"/>
    <w:next w:val="Textkomente"/>
    <w:link w:val="PedmtkomenteChar"/>
    <w:uiPriority w:val="99"/>
    <w:semiHidden/>
    <w:unhideWhenUsed/>
    <w:rsid w:val="008E2E01"/>
    <w:rPr>
      <w:b/>
      <w:bCs/>
    </w:rPr>
  </w:style>
  <w:style w:type="character" w:customStyle="1" w:styleId="TextkomenteChar">
    <w:name w:val="Text komentáře Char"/>
    <w:basedOn w:val="Standardnpsmoodstavce"/>
    <w:link w:val="Textkomente"/>
    <w:semiHidden/>
    <w:rsid w:val="008E2E01"/>
    <w:rPr>
      <w:lang w:eastAsia="en-US"/>
    </w:rPr>
  </w:style>
  <w:style w:type="character" w:customStyle="1" w:styleId="PedmtkomenteChar">
    <w:name w:val="Předmět komentáře Char"/>
    <w:basedOn w:val="TextkomenteChar"/>
    <w:link w:val="Pedmtkomente"/>
    <w:uiPriority w:val="99"/>
    <w:semiHidden/>
    <w:rsid w:val="008E2E0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55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cid:image001.png@01D2337A.77130E9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file:///D:\cs\o-svazu-lazni\seznam-clenu\lazne-bohdanec" TargetMode="External"/><Relationship Id="rId13" Type="http://schemas.openxmlformats.org/officeDocument/2006/relationships/hyperlink" Target="file:///D:\cs\o-svazu-lazni\seznam-clenu\msene-lazne" TargetMode="External"/><Relationship Id="rId18" Type="http://schemas.openxmlformats.org/officeDocument/2006/relationships/hyperlink" Target="file:///D:\cs\o-svazu-lazni\seznam-clenu\trebon" TargetMode="External"/><Relationship Id="rId3" Type="http://schemas.openxmlformats.org/officeDocument/2006/relationships/hyperlink" Target="file:///D:\cs\o-svazu-lazni\seznam-clenu\jesenik" TargetMode="External"/><Relationship Id="rId21" Type="http://schemas.openxmlformats.org/officeDocument/2006/relationships/hyperlink" Target="aspi://module='ASPI'&amp;link='563/1991%20Sb.%2523'&amp;ucin-k-dni='31.12.2014'" TargetMode="External"/><Relationship Id="rId7" Type="http://schemas.openxmlformats.org/officeDocument/2006/relationships/hyperlink" Target="file:///D:\cs\o-svazu-lazni\seznam-clenu\lazne-belohrad" TargetMode="External"/><Relationship Id="rId12" Type="http://schemas.openxmlformats.org/officeDocument/2006/relationships/hyperlink" Target="file:///D:\cs\o-svazu-lazni\seznam-clenu\marianske-lazne" TargetMode="External"/><Relationship Id="rId17" Type="http://schemas.openxmlformats.org/officeDocument/2006/relationships/hyperlink" Target="file:///D:\cs\o-svazu-lazni\seznam-clenu\teplice-nad-becvou" TargetMode="External"/><Relationship Id="rId2" Type="http://schemas.openxmlformats.org/officeDocument/2006/relationships/hyperlink" Target="file:///D:\cs\o-svazu-lazni\seznam-clenu\janske-lazne" TargetMode="External"/><Relationship Id="rId16" Type="http://schemas.openxmlformats.org/officeDocument/2006/relationships/hyperlink" Target="file:///D:\cs\o-svazu-lazni\seznam-clenu\slatinice" TargetMode="External"/><Relationship Id="rId20" Type="http://schemas.openxmlformats.org/officeDocument/2006/relationships/hyperlink" Target="file:///D:\cs\o-svazu-lazni\seznam-clenu\vraz" TargetMode="External"/><Relationship Id="rId1" Type="http://schemas.openxmlformats.org/officeDocument/2006/relationships/hyperlink" Target="file:///D:\cs\o-svazu-lazni\seznam-clenu\frantiskovy-lazne" TargetMode="External"/><Relationship Id="rId6" Type="http://schemas.openxmlformats.org/officeDocument/2006/relationships/hyperlink" Target="file:///D:\cs\o-svazu-lazni\seznam-clenu\konstantinovy-lazne" TargetMode="External"/><Relationship Id="rId11" Type="http://schemas.openxmlformats.org/officeDocument/2006/relationships/hyperlink" Target="file:///D:\cs\o-svazu-lazni\seznam-clenu\lazne-libverda" TargetMode="External"/><Relationship Id="rId5" Type="http://schemas.openxmlformats.org/officeDocument/2006/relationships/hyperlink" Target="file:///D:\cs\o-svazu-lazni\seznam-clenu\karlovy-vary" TargetMode="External"/><Relationship Id="rId15" Type="http://schemas.openxmlformats.org/officeDocument/2006/relationships/hyperlink" Target="file:///D:\cs\o-svazu-lazni\seznam-clenu\podebrady" TargetMode="External"/><Relationship Id="rId23" Type="http://schemas.openxmlformats.org/officeDocument/2006/relationships/hyperlink" Target="file:///\\tsclient\d\MojePlocha\KA_16_04_L&#225;zn&#283;\Z&#225;v&#283;r\detail.asp%3fcisloakce=14\33&amp;rok=0&amp;sestava=0" TargetMode="External"/><Relationship Id="rId10" Type="http://schemas.openxmlformats.org/officeDocument/2006/relationships/hyperlink" Target="file:///D:\cs\o-svazu-lazni\seznam-clenu\lazne-kynzvart" TargetMode="External"/><Relationship Id="rId19" Type="http://schemas.openxmlformats.org/officeDocument/2006/relationships/hyperlink" Target="file:///D:\cs\o-svazu-lazni\seznam-clenu\velke-losiny" TargetMode="External"/><Relationship Id="rId4" Type="http://schemas.openxmlformats.org/officeDocument/2006/relationships/hyperlink" Target="file:///D:\cs\o-svazu-lazni\seznam-clenu\karlova-studanka" TargetMode="External"/><Relationship Id="rId9" Type="http://schemas.openxmlformats.org/officeDocument/2006/relationships/hyperlink" Target="file:///D:\cs\o-svazu-lazni\seznam-clenu\lazne-kundratice" TargetMode="External"/><Relationship Id="rId14" Type="http://schemas.openxmlformats.org/officeDocument/2006/relationships/hyperlink" Target="file:///D:\cs\o-svazu-lazni\seznam-clenu\ostrozska-nova-ves" TargetMode="External"/><Relationship Id="rId22" Type="http://schemas.openxmlformats.org/officeDocument/2006/relationships/hyperlink" Target="file:///\\tsclient\d\MojePlocha\KA_16_04_L&#225;zn&#283;\Z&#225;v&#283;r\detail.asp%3fcisloakce=13\22&amp;rok=0&amp;sestava=0"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AD290-2427-4DDD-AE90-9445D7C95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119DFB52.dotm</Template>
  <TotalTime>0</TotalTime>
  <Pages>29</Pages>
  <Words>10250</Words>
  <Characters>53211</Characters>
  <Application>Microsoft Office Word</Application>
  <DocSecurity>0</DocSecurity>
  <Lines>443</Lines>
  <Paragraphs>126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16/04 - Majetek, s nímž mají právo hospodařit státní podniky v působnosti Ministerstva zdravotnictví</dc:title>
  <dc:creator/>
  <cp:keywords>kontrolní závěr, ministerstvo zdravotnictví, státní podniky</cp:keywords>
  <dc:description/>
  <cp:lastModifiedBy/>
  <cp:revision>1</cp:revision>
  <dcterms:created xsi:type="dcterms:W3CDTF">2016-11-03T13:23:00Z</dcterms:created>
  <dcterms:modified xsi:type="dcterms:W3CDTF">2016-11-03T13:24:00Z</dcterms:modified>
</cp:coreProperties>
</file>