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3DC63" w14:textId="77777777" w:rsidR="0077328C" w:rsidRPr="00343079" w:rsidRDefault="0077328C" w:rsidP="00014A22">
      <w:pPr>
        <w:spacing w:after="0" w:line="240" w:lineRule="auto"/>
        <w:jc w:val="center"/>
        <w:rPr>
          <w:rFonts w:cstheme="minorHAnsi"/>
          <w:b/>
          <w:szCs w:val="24"/>
        </w:rPr>
      </w:pPr>
      <w:r w:rsidRPr="00343079">
        <w:rPr>
          <w:rFonts w:cstheme="minorHAnsi"/>
          <w:b/>
          <w:noProof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78618E37" wp14:editId="5199BFCD">
            <wp:simplePos x="0" y="0"/>
            <wp:positionH relativeFrom="column">
              <wp:posOffset>2494915</wp:posOffset>
            </wp:positionH>
            <wp:positionV relativeFrom="paragraph">
              <wp:posOffset>-1905</wp:posOffset>
            </wp:positionV>
            <wp:extent cx="792480" cy="5607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AC65C" w14:textId="77777777" w:rsidR="00320C9F" w:rsidRPr="00343079" w:rsidRDefault="00320C9F" w:rsidP="00014A22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00A8B621" w14:textId="77777777" w:rsidR="0077328C" w:rsidRPr="00343079" w:rsidRDefault="0077328C" w:rsidP="00014A22">
      <w:pPr>
        <w:spacing w:after="0" w:line="240" w:lineRule="auto"/>
        <w:jc w:val="center"/>
        <w:rPr>
          <w:rFonts w:cstheme="minorHAnsi"/>
          <w:b/>
          <w:szCs w:val="24"/>
        </w:rPr>
      </w:pPr>
    </w:p>
    <w:p w14:paraId="635FC962" w14:textId="77777777" w:rsidR="00665555" w:rsidRPr="00343079" w:rsidRDefault="00665555" w:rsidP="006B67D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43079">
        <w:rPr>
          <w:rFonts w:cstheme="minorHAnsi"/>
          <w:b/>
          <w:sz w:val="28"/>
          <w:szCs w:val="28"/>
        </w:rPr>
        <w:t>Kontrolní závěr z kontrolní akce</w:t>
      </w:r>
    </w:p>
    <w:p w14:paraId="6CBD93AF" w14:textId="77777777" w:rsidR="006B67DC" w:rsidRDefault="006B67DC" w:rsidP="006B67DC">
      <w:pPr>
        <w:pStyle w:val="Zkladn"/>
        <w:spacing w:before="0"/>
        <w:jc w:val="center"/>
        <w:rPr>
          <w:rFonts w:asciiTheme="minorHAnsi" w:hAnsiTheme="minorHAnsi" w:cstheme="minorHAnsi"/>
        </w:rPr>
      </w:pPr>
    </w:p>
    <w:p w14:paraId="3FD79922" w14:textId="77777777" w:rsidR="00665555" w:rsidRPr="00343079" w:rsidRDefault="00665555" w:rsidP="006B67DC">
      <w:pPr>
        <w:spacing w:after="0" w:line="240" w:lineRule="auto"/>
        <w:ind w:right="68"/>
        <w:jc w:val="center"/>
        <w:rPr>
          <w:rFonts w:cstheme="minorHAnsi"/>
          <w:b/>
          <w:bCs/>
          <w:sz w:val="28"/>
          <w:szCs w:val="28"/>
        </w:rPr>
      </w:pPr>
      <w:r w:rsidRPr="00343079">
        <w:rPr>
          <w:rFonts w:cstheme="minorHAnsi"/>
          <w:b/>
          <w:bCs/>
          <w:sz w:val="28"/>
          <w:szCs w:val="28"/>
        </w:rPr>
        <w:t>1</w:t>
      </w:r>
      <w:r w:rsidR="00876012" w:rsidRPr="00343079">
        <w:rPr>
          <w:rFonts w:cstheme="minorHAnsi"/>
          <w:b/>
          <w:bCs/>
          <w:sz w:val="28"/>
          <w:szCs w:val="28"/>
        </w:rPr>
        <w:t>7/24</w:t>
      </w:r>
    </w:p>
    <w:p w14:paraId="4D1A913B" w14:textId="77777777" w:rsidR="006B67DC" w:rsidRDefault="006B67DC" w:rsidP="006B67DC">
      <w:pPr>
        <w:pStyle w:val="Zkladn"/>
        <w:spacing w:before="0"/>
        <w:jc w:val="center"/>
        <w:rPr>
          <w:rFonts w:asciiTheme="minorHAnsi" w:hAnsiTheme="minorHAnsi" w:cstheme="minorHAnsi"/>
        </w:rPr>
      </w:pPr>
    </w:p>
    <w:p w14:paraId="0F426325" w14:textId="77777777" w:rsidR="003C561E" w:rsidRPr="00343079" w:rsidRDefault="00E65565" w:rsidP="006B67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4"/>
        </w:rPr>
      </w:pPr>
      <w:r w:rsidRPr="00343079">
        <w:rPr>
          <w:rFonts w:cs="Times New Roman"/>
          <w:b/>
          <w:sz w:val="28"/>
          <w:szCs w:val="24"/>
        </w:rPr>
        <w:t>Veřejné nákupy v oblasti státní správy a využití centralizovaného zadávání</w:t>
      </w:r>
    </w:p>
    <w:p w14:paraId="00E24CB3" w14:textId="77777777" w:rsidR="00014A22" w:rsidRDefault="00014A22" w:rsidP="006B67DC">
      <w:pPr>
        <w:pStyle w:val="Zkladn"/>
        <w:spacing w:before="0"/>
        <w:rPr>
          <w:rFonts w:asciiTheme="minorHAnsi" w:hAnsiTheme="minorHAnsi" w:cstheme="minorHAnsi"/>
        </w:rPr>
      </w:pPr>
    </w:p>
    <w:p w14:paraId="04A522BB" w14:textId="77777777" w:rsidR="008431E0" w:rsidRPr="00343079" w:rsidRDefault="008431E0" w:rsidP="009C78F4">
      <w:pPr>
        <w:pStyle w:val="Zkladn"/>
        <w:spacing w:before="0" w:line="259" w:lineRule="auto"/>
        <w:rPr>
          <w:rFonts w:asciiTheme="minorHAnsi" w:hAnsiTheme="minorHAnsi" w:cstheme="minorHAnsi"/>
        </w:rPr>
      </w:pPr>
    </w:p>
    <w:p w14:paraId="4E322026" w14:textId="77777777" w:rsidR="00665555" w:rsidRPr="00343079" w:rsidRDefault="00665555" w:rsidP="009C78F4">
      <w:pPr>
        <w:pStyle w:val="Zkladn"/>
        <w:spacing w:before="0" w:line="259" w:lineRule="auto"/>
        <w:rPr>
          <w:rFonts w:asciiTheme="minorHAnsi" w:hAnsiTheme="minorHAnsi" w:cstheme="minorHAnsi"/>
        </w:rPr>
      </w:pPr>
      <w:r w:rsidRPr="00343079">
        <w:rPr>
          <w:rFonts w:asciiTheme="minorHAnsi" w:hAnsiTheme="minorHAnsi" w:cstheme="minorHAnsi"/>
        </w:rPr>
        <w:t xml:space="preserve">Kontrolní akce byla zařazena do plánu kontrolní činnosti Nejvyššího kontrolního úřadu (dále </w:t>
      </w:r>
      <w:r w:rsidR="00F51A04" w:rsidRPr="00343079">
        <w:rPr>
          <w:rFonts w:asciiTheme="minorHAnsi" w:hAnsiTheme="minorHAnsi" w:cstheme="minorHAnsi"/>
        </w:rPr>
        <w:t>také</w:t>
      </w:r>
      <w:r w:rsidRPr="00343079">
        <w:rPr>
          <w:rFonts w:asciiTheme="minorHAnsi" w:hAnsiTheme="minorHAnsi" w:cstheme="minorHAnsi"/>
        </w:rPr>
        <w:t xml:space="preserve"> „NKÚ“) na rok 201</w:t>
      </w:r>
      <w:r w:rsidR="00E65565" w:rsidRPr="00343079">
        <w:rPr>
          <w:rFonts w:asciiTheme="minorHAnsi" w:hAnsiTheme="minorHAnsi" w:cstheme="minorHAnsi"/>
        </w:rPr>
        <w:t>7</w:t>
      </w:r>
      <w:r w:rsidRPr="00343079">
        <w:rPr>
          <w:rFonts w:asciiTheme="minorHAnsi" w:hAnsiTheme="minorHAnsi" w:cstheme="minorHAnsi"/>
        </w:rPr>
        <w:t xml:space="preserve"> pod číslem 1</w:t>
      </w:r>
      <w:r w:rsidR="00E65565" w:rsidRPr="00343079">
        <w:rPr>
          <w:rFonts w:asciiTheme="minorHAnsi" w:hAnsiTheme="minorHAnsi" w:cstheme="minorHAnsi"/>
        </w:rPr>
        <w:t>7</w:t>
      </w:r>
      <w:r w:rsidRPr="00343079">
        <w:rPr>
          <w:rFonts w:asciiTheme="minorHAnsi" w:hAnsiTheme="minorHAnsi" w:cstheme="minorHAnsi"/>
        </w:rPr>
        <w:t>/</w:t>
      </w:r>
      <w:r w:rsidR="00AA4A83" w:rsidRPr="00343079">
        <w:rPr>
          <w:rFonts w:asciiTheme="minorHAnsi" w:hAnsiTheme="minorHAnsi" w:cstheme="minorHAnsi"/>
        </w:rPr>
        <w:t>2</w:t>
      </w:r>
      <w:r w:rsidR="00E65565" w:rsidRPr="00343079">
        <w:rPr>
          <w:rFonts w:asciiTheme="minorHAnsi" w:hAnsiTheme="minorHAnsi" w:cstheme="minorHAnsi"/>
        </w:rPr>
        <w:t>4</w:t>
      </w:r>
      <w:r w:rsidRPr="00343079">
        <w:rPr>
          <w:rFonts w:asciiTheme="minorHAnsi" w:hAnsiTheme="minorHAnsi" w:cstheme="minorHAnsi"/>
        </w:rPr>
        <w:t>. Kontrolní akci</w:t>
      </w:r>
      <w:r w:rsidR="005D26C0" w:rsidRPr="00343079">
        <w:rPr>
          <w:rFonts w:asciiTheme="minorHAnsi" w:hAnsiTheme="minorHAnsi" w:cstheme="minorHAnsi"/>
        </w:rPr>
        <w:t xml:space="preserve"> (dále také „KA“)</w:t>
      </w:r>
      <w:r w:rsidRPr="00343079">
        <w:rPr>
          <w:rFonts w:asciiTheme="minorHAnsi" w:hAnsiTheme="minorHAnsi" w:cstheme="minorHAnsi"/>
        </w:rPr>
        <w:t xml:space="preserve"> řídil a</w:t>
      </w:r>
      <w:r w:rsidR="00963B01">
        <w:rPr>
          <w:rFonts w:asciiTheme="minorHAnsi" w:hAnsiTheme="minorHAnsi" w:cstheme="minorHAnsi"/>
        </w:rPr>
        <w:t xml:space="preserve"> </w:t>
      </w:r>
      <w:r w:rsidRPr="00343079">
        <w:rPr>
          <w:rFonts w:asciiTheme="minorHAnsi" w:hAnsiTheme="minorHAnsi" w:cstheme="minorHAnsi"/>
        </w:rPr>
        <w:t xml:space="preserve">kontrolní závěr vypracoval člen NKÚ </w:t>
      </w:r>
      <w:r w:rsidR="00E65565" w:rsidRPr="00343079">
        <w:rPr>
          <w:rFonts w:asciiTheme="minorHAnsi" w:hAnsiTheme="minorHAnsi" w:cstheme="minorHAnsi"/>
        </w:rPr>
        <w:t>Ing. Daniel Reisiegel, MPA</w:t>
      </w:r>
      <w:r w:rsidR="0077328C" w:rsidRPr="00343079">
        <w:rPr>
          <w:rFonts w:asciiTheme="minorHAnsi" w:hAnsiTheme="minorHAnsi" w:cstheme="minorHAnsi"/>
        </w:rPr>
        <w:t>.</w:t>
      </w:r>
    </w:p>
    <w:p w14:paraId="74082A53" w14:textId="77777777" w:rsidR="00F51A04" w:rsidRPr="00343079" w:rsidRDefault="00F51A04" w:rsidP="009C78F4">
      <w:pPr>
        <w:pStyle w:val="Zkladn"/>
        <w:spacing w:before="0" w:line="259" w:lineRule="auto"/>
        <w:rPr>
          <w:rFonts w:asciiTheme="minorHAnsi" w:hAnsiTheme="minorHAnsi" w:cstheme="minorHAnsi"/>
          <w:highlight w:val="yellow"/>
        </w:rPr>
      </w:pPr>
    </w:p>
    <w:p w14:paraId="784CAEE8" w14:textId="77777777" w:rsidR="00F51A04" w:rsidRPr="00343079" w:rsidRDefault="00665555" w:rsidP="009C78F4">
      <w:pPr>
        <w:spacing w:after="0"/>
        <w:rPr>
          <w:rFonts w:cstheme="minorHAnsi"/>
          <w:color w:val="000000"/>
        </w:rPr>
      </w:pPr>
      <w:r w:rsidRPr="00343079">
        <w:rPr>
          <w:rFonts w:cstheme="minorHAnsi"/>
          <w:b/>
          <w:szCs w:val="24"/>
        </w:rPr>
        <w:t>Cílem kontroly</w:t>
      </w:r>
      <w:r w:rsidRPr="00343079">
        <w:rPr>
          <w:rFonts w:cstheme="minorHAnsi"/>
          <w:szCs w:val="24"/>
        </w:rPr>
        <w:t xml:space="preserve"> </w:t>
      </w:r>
      <w:r w:rsidR="00AA4A83" w:rsidRPr="00343079">
        <w:t xml:space="preserve">bylo </w:t>
      </w:r>
      <w:r w:rsidR="00E65565" w:rsidRPr="00343079">
        <w:rPr>
          <w:rFonts w:ascii="Calibri" w:hAnsi="Calibri" w:cs="Calibri"/>
          <w:snapToGrid w:val="0"/>
        </w:rPr>
        <w:t xml:space="preserve">prověřit </w:t>
      </w:r>
      <w:r w:rsidR="00E65565" w:rsidRPr="00343079">
        <w:t>nastavení a využívání centralizovaného zadávání ve státní správě a</w:t>
      </w:r>
      <w:r w:rsidR="00963B01">
        <w:t xml:space="preserve"> </w:t>
      </w:r>
      <w:r w:rsidR="00E65565" w:rsidRPr="00343079">
        <w:t>prověřit hospodárnost pořízení vybraných komodit</w:t>
      </w:r>
      <w:r w:rsidR="00AA4A83" w:rsidRPr="00343079">
        <w:t>.</w:t>
      </w:r>
    </w:p>
    <w:p w14:paraId="30DEE4C1" w14:textId="77777777" w:rsidR="003C561E" w:rsidRPr="00343079" w:rsidRDefault="003C561E" w:rsidP="005C30C9">
      <w:pPr>
        <w:spacing w:after="0"/>
        <w:rPr>
          <w:rFonts w:cs="Times New Roman"/>
          <w:szCs w:val="24"/>
        </w:rPr>
      </w:pPr>
    </w:p>
    <w:p w14:paraId="71FA9E4C" w14:textId="77777777" w:rsidR="00665555" w:rsidRPr="00343079" w:rsidRDefault="00F51A04" w:rsidP="009C78F4">
      <w:pPr>
        <w:pStyle w:val="Zkladn"/>
        <w:spacing w:before="0" w:line="259" w:lineRule="auto"/>
        <w:rPr>
          <w:rFonts w:asciiTheme="minorHAnsi" w:hAnsiTheme="minorHAnsi" w:cstheme="minorHAnsi"/>
          <w:b/>
        </w:rPr>
      </w:pPr>
      <w:r w:rsidRPr="00343079">
        <w:rPr>
          <w:rFonts w:asciiTheme="minorHAnsi" w:hAnsiTheme="minorHAnsi" w:cstheme="minorHAnsi"/>
          <w:b/>
        </w:rPr>
        <w:t>Kontrolované osoby:</w:t>
      </w:r>
    </w:p>
    <w:p w14:paraId="3697AFD0" w14:textId="77777777" w:rsidR="00E65565" w:rsidRPr="00343079" w:rsidRDefault="00E65565" w:rsidP="009C78F4">
      <w:pPr>
        <w:pStyle w:val="Zkladn"/>
        <w:spacing w:before="0" w:line="259" w:lineRule="auto"/>
        <w:rPr>
          <w:rFonts w:asciiTheme="minorHAnsi" w:hAnsiTheme="minorHAnsi" w:cstheme="minorHAnsi"/>
        </w:rPr>
      </w:pPr>
      <w:r w:rsidRPr="00343079">
        <w:rPr>
          <w:rFonts w:asciiTheme="minorHAnsi" w:hAnsiTheme="minorHAnsi" w:cstheme="minorHAnsi"/>
        </w:rPr>
        <w:t>Ministerstvo financí (dále také „MF“),</w:t>
      </w:r>
    </w:p>
    <w:p w14:paraId="74408F1C" w14:textId="77777777" w:rsidR="00E65565" w:rsidRPr="00343079" w:rsidRDefault="00E65565" w:rsidP="009C78F4">
      <w:pPr>
        <w:pStyle w:val="Zkladn"/>
        <w:spacing w:before="0" w:line="259" w:lineRule="auto"/>
        <w:rPr>
          <w:rFonts w:asciiTheme="minorHAnsi" w:hAnsiTheme="minorHAnsi" w:cstheme="minorHAnsi"/>
        </w:rPr>
      </w:pPr>
      <w:r w:rsidRPr="00343079">
        <w:rPr>
          <w:rFonts w:asciiTheme="minorHAnsi" w:hAnsiTheme="minorHAnsi" w:cstheme="minorHAnsi"/>
        </w:rPr>
        <w:t>Ministerstvo pro místní rozvoj (dále také „MMR“)</w:t>
      </w:r>
      <w:r w:rsidR="00164695" w:rsidRPr="00343079">
        <w:rPr>
          <w:rFonts w:asciiTheme="minorHAnsi" w:hAnsiTheme="minorHAnsi" w:cstheme="minorHAnsi"/>
        </w:rPr>
        <w:t>,</w:t>
      </w:r>
    </w:p>
    <w:p w14:paraId="6BBF0920" w14:textId="77777777" w:rsidR="00F51A04" w:rsidRPr="00343079" w:rsidRDefault="00AA4A83" w:rsidP="00E65565">
      <w:pPr>
        <w:contextualSpacing/>
        <w:rPr>
          <w:rFonts w:cstheme="minorHAnsi"/>
        </w:rPr>
      </w:pPr>
      <w:r w:rsidRPr="00343079">
        <w:t>Ministerstvo vnitra</w:t>
      </w:r>
      <w:r w:rsidRPr="00343079">
        <w:rPr>
          <w:rFonts w:cstheme="minorHAnsi"/>
        </w:rPr>
        <w:t xml:space="preserve"> (dále také „M</w:t>
      </w:r>
      <w:r w:rsidR="00E65565" w:rsidRPr="00343079">
        <w:rPr>
          <w:rFonts w:cstheme="minorHAnsi"/>
        </w:rPr>
        <w:t>V“).</w:t>
      </w:r>
    </w:p>
    <w:p w14:paraId="1ACDF675" w14:textId="77777777" w:rsidR="00687FC2" w:rsidRPr="00343079" w:rsidRDefault="00687FC2">
      <w:pPr>
        <w:contextualSpacing/>
        <w:rPr>
          <w:rFonts w:cstheme="minorHAnsi"/>
        </w:rPr>
      </w:pPr>
    </w:p>
    <w:p w14:paraId="6A749448" w14:textId="77777777" w:rsidR="00665555" w:rsidRPr="00343079" w:rsidRDefault="00665555" w:rsidP="009C78F4">
      <w:pPr>
        <w:spacing w:after="0"/>
        <w:rPr>
          <w:rFonts w:cstheme="minorHAnsi"/>
          <w:szCs w:val="24"/>
        </w:rPr>
      </w:pPr>
      <w:r w:rsidRPr="00343079">
        <w:rPr>
          <w:rFonts w:eastAsia="Calibri" w:cstheme="minorHAnsi"/>
          <w:szCs w:val="24"/>
        </w:rPr>
        <w:t>K</w:t>
      </w:r>
      <w:r w:rsidRPr="00343079">
        <w:rPr>
          <w:rFonts w:cstheme="minorHAnsi"/>
          <w:szCs w:val="24"/>
        </w:rPr>
        <w:t>ontrola byla prováděna u kontrolovaných osob v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 xml:space="preserve">období od </w:t>
      </w:r>
      <w:r w:rsidR="00E65565" w:rsidRPr="00343079">
        <w:rPr>
          <w:rFonts w:cstheme="minorHAnsi"/>
          <w:szCs w:val="24"/>
        </w:rPr>
        <w:t>srpna</w:t>
      </w:r>
      <w:r w:rsidR="00AA4A83" w:rsidRPr="00343079">
        <w:rPr>
          <w:rFonts w:cstheme="minorHAnsi"/>
          <w:szCs w:val="24"/>
        </w:rPr>
        <w:t xml:space="preserve"> 201</w:t>
      </w:r>
      <w:r w:rsidR="00E65565" w:rsidRPr="00343079">
        <w:rPr>
          <w:rFonts w:cstheme="minorHAnsi"/>
          <w:szCs w:val="24"/>
        </w:rPr>
        <w:t>7</w:t>
      </w:r>
      <w:r w:rsidR="0077328C" w:rsidRPr="00343079">
        <w:rPr>
          <w:rFonts w:cstheme="minorHAnsi"/>
          <w:szCs w:val="24"/>
        </w:rPr>
        <w:t xml:space="preserve"> do </w:t>
      </w:r>
      <w:r w:rsidR="00AA4A83" w:rsidRPr="00343079">
        <w:rPr>
          <w:rFonts w:cstheme="minorHAnsi"/>
          <w:szCs w:val="24"/>
        </w:rPr>
        <w:t>dubna 201</w:t>
      </w:r>
      <w:r w:rsidR="00E65565" w:rsidRPr="00343079">
        <w:rPr>
          <w:rFonts w:cstheme="minorHAnsi"/>
          <w:szCs w:val="24"/>
        </w:rPr>
        <w:t>8</w:t>
      </w:r>
      <w:r w:rsidRPr="00343079">
        <w:rPr>
          <w:rFonts w:cstheme="minorHAnsi"/>
          <w:szCs w:val="24"/>
        </w:rPr>
        <w:t>.</w:t>
      </w:r>
    </w:p>
    <w:p w14:paraId="15698DB0" w14:textId="77777777" w:rsidR="00665555" w:rsidRPr="00343079" w:rsidRDefault="00665555" w:rsidP="009C78F4">
      <w:pPr>
        <w:pStyle w:val="Zkladntextodsazen"/>
        <w:spacing w:after="0" w:line="259" w:lineRule="auto"/>
        <w:ind w:left="0"/>
        <w:rPr>
          <w:rFonts w:asciiTheme="minorHAnsi" w:hAnsiTheme="minorHAnsi" w:cstheme="minorHAnsi"/>
        </w:rPr>
      </w:pPr>
    </w:p>
    <w:p w14:paraId="0D6D5243" w14:textId="77777777" w:rsidR="00665555" w:rsidRPr="00343079" w:rsidRDefault="00F51A04" w:rsidP="009C78F4">
      <w:pPr>
        <w:pStyle w:val="Zkladntextodsazen"/>
        <w:spacing w:after="0" w:line="259" w:lineRule="auto"/>
        <w:ind w:left="0"/>
        <w:rPr>
          <w:rFonts w:asciiTheme="minorHAnsi" w:hAnsiTheme="minorHAnsi" w:cstheme="minorHAnsi"/>
        </w:rPr>
      </w:pPr>
      <w:r w:rsidRPr="00343079">
        <w:rPr>
          <w:rFonts w:asciiTheme="minorHAnsi" w:hAnsiTheme="minorHAnsi" w:cstheme="minorHAnsi"/>
          <w:b/>
        </w:rPr>
        <w:t>Kontrolováno bylo období</w:t>
      </w:r>
      <w:r w:rsidR="00C30D5D" w:rsidRPr="00343079">
        <w:rPr>
          <w:rFonts w:asciiTheme="minorHAnsi" w:hAnsiTheme="minorHAnsi" w:cstheme="minorHAnsi"/>
        </w:rPr>
        <w:t xml:space="preserve"> od </w:t>
      </w:r>
      <w:r w:rsidR="00AA4A83" w:rsidRPr="00343079">
        <w:rPr>
          <w:rFonts w:asciiTheme="minorHAnsi" w:hAnsiTheme="minorHAnsi" w:cstheme="minorHAnsi"/>
        </w:rPr>
        <w:t>roku 2014</w:t>
      </w:r>
      <w:r w:rsidRPr="00343079">
        <w:rPr>
          <w:rFonts w:asciiTheme="minorHAnsi" w:hAnsiTheme="minorHAnsi" w:cstheme="minorHAnsi"/>
        </w:rPr>
        <w:t xml:space="preserve"> do </w:t>
      </w:r>
      <w:r w:rsidR="00AA4A83" w:rsidRPr="00343079">
        <w:rPr>
          <w:rFonts w:asciiTheme="minorHAnsi" w:hAnsiTheme="minorHAnsi" w:cstheme="minorHAnsi"/>
        </w:rPr>
        <w:t>roku 201</w:t>
      </w:r>
      <w:r w:rsidR="00E65565" w:rsidRPr="00343079">
        <w:rPr>
          <w:rFonts w:asciiTheme="minorHAnsi" w:hAnsiTheme="minorHAnsi" w:cstheme="minorHAnsi"/>
        </w:rPr>
        <w:t>7</w:t>
      </w:r>
      <w:r w:rsidRPr="00343079">
        <w:rPr>
          <w:rFonts w:asciiTheme="minorHAnsi" w:hAnsiTheme="minorHAnsi" w:cstheme="minorHAnsi"/>
        </w:rPr>
        <w:t>, v případě</w:t>
      </w:r>
      <w:r w:rsidR="00665555" w:rsidRPr="00343079">
        <w:rPr>
          <w:rFonts w:asciiTheme="minorHAnsi" w:hAnsiTheme="minorHAnsi" w:cstheme="minorHAnsi"/>
        </w:rPr>
        <w:t xml:space="preserve"> věcných souv</w:t>
      </w:r>
      <w:r w:rsidRPr="00343079">
        <w:rPr>
          <w:rFonts w:asciiTheme="minorHAnsi" w:hAnsiTheme="minorHAnsi" w:cstheme="minorHAnsi"/>
        </w:rPr>
        <w:t>islostí i</w:t>
      </w:r>
      <w:r w:rsidR="00EB18E5" w:rsidRPr="00343079">
        <w:rPr>
          <w:rFonts w:asciiTheme="minorHAnsi" w:hAnsiTheme="minorHAnsi" w:cstheme="minorHAnsi"/>
        </w:rPr>
        <w:t> </w:t>
      </w:r>
      <w:r w:rsidRPr="00343079">
        <w:rPr>
          <w:rFonts w:asciiTheme="minorHAnsi" w:hAnsiTheme="minorHAnsi" w:cstheme="minorHAnsi"/>
        </w:rPr>
        <w:t>období předcházející</w:t>
      </w:r>
      <w:r w:rsidR="00AA4A83" w:rsidRPr="00343079">
        <w:rPr>
          <w:rFonts w:asciiTheme="minorHAnsi" w:hAnsiTheme="minorHAnsi" w:cstheme="minorHAnsi"/>
        </w:rPr>
        <w:t xml:space="preserve"> a následující</w:t>
      </w:r>
      <w:r w:rsidR="00665555" w:rsidRPr="00343079">
        <w:rPr>
          <w:rFonts w:asciiTheme="minorHAnsi" w:hAnsiTheme="minorHAnsi" w:cstheme="minorHAnsi"/>
        </w:rPr>
        <w:t>.</w:t>
      </w:r>
    </w:p>
    <w:p w14:paraId="35F98618" w14:textId="77777777" w:rsidR="00665555" w:rsidRPr="00343079" w:rsidRDefault="00665555" w:rsidP="009C78F4">
      <w:pPr>
        <w:pStyle w:val="Zkladn"/>
        <w:spacing w:before="0" w:line="259" w:lineRule="auto"/>
        <w:rPr>
          <w:rFonts w:asciiTheme="minorHAnsi" w:hAnsiTheme="minorHAnsi" w:cstheme="minorHAnsi"/>
        </w:rPr>
      </w:pPr>
    </w:p>
    <w:p w14:paraId="409A1193" w14:textId="38EAD08E" w:rsidR="001761BC" w:rsidRPr="00343079" w:rsidRDefault="001761BC" w:rsidP="005C30C9">
      <w:pPr>
        <w:rPr>
          <w:rFonts w:cs="Calibri"/>
          <w:highlight w:val="yellow"/>
        </w:rPr>
      </w:pPr>
      <w:r w:rsidRPr="00343079">
        <w:rPr>
          <w:rFonts w:cs="Calibri"/>
          <w:szCs w:val="24"/>
        </w:rPr>
        <w:t>Námitky, které proti kontrolnímu protokolu pod</w:t>
      </w:r>
      <w:r w:rsidR="00CA58F6" w:rsidRPr="00343079">
        <w:rPr>
          <w:rFonts w:cs="Calibri"/>
          <w:szCs w:val="24"/>
        </w:rPr>
        <w:t>al</w:t>
      </w:r>
      <w:r w:rsidR="00E65565" w:rsidRPr="00343079">
        <w:rPr>
          <w:rFonts w:cs="Calibri"/>
          <w:szCs w:val="24"/>
        </w:rPr>
        <w:t>y</w:t>
      </w:r>
      <w:r w:rsidRPr="00343079">
        <w:rPr>
          <w:rFonts w:cs="Calibri"/>
          <w:szCs w:val="24"/>
        </w:rPr>
        <w:t xml:space="preserve"> </w:t>
      </w:r>
      <w:r w:rsidR="00E65565" w:rsidRPr="00343079">
        <w:rPr>
          <w:rFonts w:cs="Calibri"/>
          <w:szCs w:val="24"/>
        </w:rPr>
        <w:t>MF, MMR</w:t>
      </w:r>
      <w:r w:rsidR="00B26A7B" w:rsidRPr="00343079">
        <w:rPr>
          <w:rFonts w:cs="Calibri"/>
          <w:szCs w:val="24"/>
        </w:rPr>
        <w:t xml:space="preserve"> a</w:t>
      </w:r>
      <w:r w:rsidR="00E65565" w:rsidRPr="00343079">
        <w:rPr>
          <w:rFonts w:cs="Calibri"/>
          <w:szCs w:val="24"/>
        </w:rPr>
        <w:t xml:space="preserve"> </w:t>
      </w:r>
      <w:r w:rsidR="00F51A04" w:rsidRPr="00343079">
        <w:rPr>
          <w:rFonts w:cs="Calibri"/>
          <w:szCs w:val="24"/>
        </w:rPr>
        <w:t>M</w:t>
      </w:r>
      <w:r w:rsidR="00AA4A83" w:rsidRPr="00343079">
        <w:rPr>
          <w:rFonts w:cs="Calibri"/>
          <w:szCs w:val="24"/>
        </w:rPr>
        <w:t>V</w:t>
      </w:r>
      <w:r w:rsidR="00F51A04" w:rsidRPr="00343079">
        <w:rPr>
          <w:rFonts w:cs="Calibri"/>
          <w:szCs w:val="24"/>
        </w:rPr>
        <w:t xml:space="preserve">, </w:t>
      </w:r>
      <w:r w:rsidRPr="00343079">
        <w:rPr>
          <w:rFonts w:cs="Calibri"/>
          <w:szCs w:val="24"/>
        </w:rPr>
        <w:t>byly vypořádány vedoucími skupin</w:t>
      </w:r>
      <w:r w:rsidRPr="00343079">
        <w:rPr>
          <w:rFonts w:cs="Calibri"/>
        </w:rPr>
        <w:t xml:space="preserve"> kontrolujících rozhodnutími o námitkách. Odvolání, která proti rozhodnutím o</w:t>
      </w:r>
      <w:r w:rsidR="00963B01">
        <w:rPr>
          <w:rFonts w:cs="Calibri"/>
        </w:rPr>
        <w:t xml:space="preserve"> </w:t>
      </w:r>
      <w:r w:rsidRPr="00343079">
        <w:rPr>
          <w:rFonts w:cs="Calibri"/>
        </w:rPr>
        <w:t>námitkách podal</w:t>
      </w:r>
      <w:r w:rsidR="00212EB6">
        <w:rPr>
          <w:rFonts w:cs="Calibri"/>
        </w:rPr>
        <w:t>y</w:t>
      </w:r>
      <w:r w:rsidR="007345D9" w:rsidRPr="00343079">
        <w:rPr>
          <w:rFonts w:cs="Calibri"/>
        </w:rPr>
        <w:t xml:space="preserve"> </w:t>
      </w:r>
      <w:r w:rsidR="00786516" w:rsidRPr="00343079">
        <w:rPr>
          <w:rFonts w:cs="Calibri"/>
        </w:rPr>
        <w:t>MMR</w:t>
      </w:r>
      <w:r w:rsidR="00912897" w:rsidRPr="00343079">
        <w:rPr>
          <w:rFonts w:cs="Calibri"/>
        </w:rPr>
        <w:t xml:space="preserve"> a MV</w:t>
      </w:r>
      <w:r w:rsidR="007345D9" w:rsidRPr="00343079">
        <w:rPr>
          <w:rFonts w:cs="Calibri"/>
        </w:rPr>
        <w:t>,</w:t>
      </w:r>
      <w:r w:rsidR="00F51A04" w:rsidRPr="00343079">
        <w:rPr>
          <w:rFonts w:cs="Calibri"/>
        </w:rPr>
        <w:t xml:space="preserve"> </w:t>
      </w:r>
      <w:r w:rsidR="00CC7203" w:rsidRPr="00343079">
        <w:rPr>
          <w:rFonts w:cs="Calibri"/>
        </w:rPr>
        <w:t>byl</w:t>
      </w:r>
      <w:r w:rsidR="00B26A7B" w:rsidRPr="00343079">
        <w:rPr>
          <w:rFonts w:cs="Calibri"/>
        </w:rPr>
        <w:t>a</w:t>
      </w:r>
      <w:r w:rsidR="00CC7203" w:rsidRPr="00343079">
        <w:rPr>
          <w:rFonts w:cs="Calibri"/>
        </w:rPr>
        <w:t xml:space="preserve"> vypořádán</w:t>
      </w:r>
      <w:r w:rsidR="00B26A7B" w:rsidRPr="00343079">
        <w:rPr>
          <w:rFonts w:cs="Calibri"/>
        </w:rPr>
        <w:t>a</w:t>
      </w:r>
      <w:r w:rsidR="00CC7203" w:rsidRPr="00343079">
        <w:rPr>
          <w:rFonts w:cs="Calibri"/>
        </w:rPr>
        <w:t xml:space="preserve"> usnesením</w:t>
      </w:r>
      <w:r w:rsidR="00B26A7B" w:rsidRPr="00343079">
        <w:rPr>
          <w:rFonts w:cs="Calibri"/>
        </w:rPr>
        <w:t>i</w:t>
      </w:r>
      <w:r w:rsidRPr="00343079">
        <w:rPr>
          <w:rFonts w:cs="Calibri"/>
        </w:rPr>
        <w:t xml:space="preserve"> Kolegia NKÚ.</w:t>
      </w:r>
    </w:p>
    <w:p w14:paraId="71A0F97C" w14:textId="77777777" w:rsidR="00EA41A6" w:rsidRPr="00343079" w:rsidRDefault="00EA41A6" w:rsidP="004A0AA3">
      <w:pPr>
        <w:spacing w:after="0" w:line="240" w:lineRule="auto"/>
        <w:rPr>
          <w:rFonts w:cstheme="minorHAnsi"/>
          <w:szCs w:val="24"/>
          <w:highlight w:val="yellow"/>
        </w:rPr>
      </w:pPr>
    </w:p>
    <w:p w14:paraId="478FF605" w14:textId="77777777" w:rsidR="00320C9F" w:rsidRPr="00343079" w:rsidRDefault="00320C9F" w:rsidP="004A0AA3">
      <w:pPr>
        <w:spacing w:after="0" w:line="240" w:lineRule="auto"/>
        <w:rPr>
          <w:rFonts w:cstheme="minorHAnsi"/>
          <w:szCs w:val="24"/>
          <w:highlight w:val="yellow"/>
        </w:rPr>
      </w:pPr>
    </w:p>
    <w:p w14:paraId="78DDEDE9" w14:textId="77777777" w:rsidR="00665555" w:rsidRPr="00513864" w:rsidRDefault="00665555" w:rsidP="00901FED">
      <w:pPr>
        <w:spacing w:before="120" w:after="120" w:line="240" w:lineRule="auto"/>
        <w:ind w:right="70"/>
        <w:rPr>
          <w:rFonts w:cstheme="minorHAnsi"/>
          <w:szCs w:val="24"/>
        </w:rPr>
      </w:pPr>
      <w:r w:rsidRPr="00513864">
        <w:rPr>
          <w:rFonts w:cstheme="minorHAnsi"/>
          <w:b/>
          <w:bCs/>
          <w:i/>
          <w:iCs/>
          <w:szCs w:val="24"/>
        </w:rPr>
        <w:t>K o l e g i u m   N K Ú</w:t>
      </w:r>
      <w:r w:rsidRPr="00513864">
        <w:rPr>
          <w:rFonts w:cstheme="minorHAnsi"/>
          <w:b/>
          <w:bCs/>
          <w:iCs/>
          <w:szCs w:val="24"/>
        </w:rPr>
        <w:t xml:space="preserve">   </w:t>
      </w:r>
      <w:r w:rsidRPr="00513864">
        <w:rPr>
          <w:rFonts w:cstheme="minorHAnsi"/>
          <w:szCs w:val="24"/>
        </w:rPr>
        <w:t xml:space="preserve">na svém </w:t>
      </w:r>
      <w:r w:rsidR="008431E0">
        <w:rPr>
          <w:rFonts w:cstheme="minorHAnsi"/>
          <w:szCs w:val="24"/>
        </w:rPr>
        <w:t xml:space="preserve">X. </w:t>
      </w:r>
      <w:r w:rsidRPr="00513864">
        <w:rPr>
          <w:rFonts w:cstheme="minorHAnsi"/>
          <w:szCs w:val="24"/>
        </w:rPr>
        <w:t xml:space="preserve">jednání, které se konalo dne </w:t>
      </w:r>
      <w:r w:rsidR="008431E0">
        <w:rPr>
          <w:rFonts w:cstheme="minorHAnsi"/>
          <w:szCs w:val="24"/>
        </w:rPr>
        <w:t xml:space="preserve">30. července </w:t>
      </w:r>
      <w:r w:rsidRPr="00513864">
        <w:rPr>
          <w:rFonts w:cstheme="minorHAnsi"/>
          <w:szCs w:val="24"/>
        </w:rPr>
        <w:t>201</w:t>
      </w:r>
      <w:r w:rsidR="00A32905" w:rsidRPr="00513864">
        <w:rPr>
          <w:rFonts w:cstheme="minorHAnsi"/>
          <w:szCs w:val="24"/>
        </w:rPr>
        <w:t>8</w:t>
      </w:r>
      <w:r w:rsidRPr="00513864">
        <w:rPr>
          <w:rFonts w:cstheme="minorHAnsi"/>
          <w:szCs w:val="24"/>
        </w:rPr>
        <w:t>,</w:t>
      </w:r>
    </w:p>
    <w:p w14:paraId="74FD0A83" w14:textId="77777777" w:rsidR="00665555" w:rsidRPr="00513864" w:rsidRDefault="00665555" w:rsidP="00901FED">
      <w:pPr>
        <w:spacing w:before="120" w:after="120" w:line="240" w:lineRule="auto"/>
        <w:ind w:right="68"/>
        <w:rPr>
          <w:rFonts w:cstheme="minorHAnsi"/>
          <w:szCs w:val="24"/>
        </w:rPr>
      </w:pPr>
      <w:r w:rsidRPr="00513864">
        <w:rPr>
          <w:rFonts w:cstheme="minorHAnsi"/>
          <w:b/>
          <w:bCs/>
          <w:i/>
          <w:iCs/>
          <w:szCs w:val="24"/>
        </w:rPr>
        <w:t>s c h v á l i l o</w:t>
      </w:r>
      <w:r w:rsidRPr="00513864">
        <w:rPr>
          <w:rFonts w:cstheme="minorHAnsi"/>
          <w:b/>
          <w:bCs/>
          <w:iCs/>
          <w:szCs w:val="24"/>
        </w:rPr>
        <w:t xml:space="preserve">   </w:t>
      </w:r>
      <w:r w:rsidR="002B1CD3">
        <w:rPr>
          <w:rFonts w:cstheme="minorHAnsi"/>
          <w:szCs w:val="24"/>
        </w:rPr>
        <w:t>usnesením č. 9</w:t>
      </w:r>
      <w:r w:rsidR="00F51A04" w:rsidRPr="00513864">
        <w:rPr>
          <w:rFonts w:cstheme="minorHAnsi"/>
          <w:szCs w:val="24"/>
        </w:rPr>
        <w:t>/</w:t>
      </w:r>
      <w:r w:rsidR="008431E0">
        <w:rPr>
          <w:rFonts w:cstheme="minorHAnsi"/>
          <w:szCs w:val="24"/>
        </w:rPr>
        <w:t>X</w:t>
      </w:r>
      <w:r w:rsidR="00F51A04" w:rsidRPr="00513864">
        <w:rPr>
          <w:rFonts w:cstheme="minorHAnsi"/>
          <w:szCs w:val="24"/>
        </w:rPr>
        <w:t>/201</w:t>
      </w:r>
      <w:r w:rsidR="00A32905" w:rsidRPr="00513864">
        <w:rPr>
          <w:rFonts w:cstheme="minorHAnsi"/>
          <w:szCs w:val="24"/>
        </w:rPr>
        <w:t>8</w:t>
      </w:r>
    </w:p>
    <w:p w14:paraId="2A8941FF" w14:textId="77777777" w:rsidR="00536F26" w:rsidRPr="00343079" w:rsidRDefault="00665555" w:rsidP="00901FED">
      <w:pPr>
        <w:spacing w:before="120" w:after="120" w:line="240" w:lineRule="auto"/>
        <w:ind w:right="70"/>
        <w:rPr>
          <w:rFonts w:cstheme="minorHAnsi"/>
          <w:szCs w:val="24"/>
        </w:rPr>
      </w:pPr>
      <w:r w:rsidRPr="00513864">
        <w:rPr>
          <w:rFonts w:cstheme="minorHAnsi"/>
          <w:b/>
          <w:bCs/>
          <w:i/>
          <w:iCs/>
          <w:szCs w:val="24"/>
        </w:rPr>
        <w:t>k o n t r o l n í   z á v ě r</w:t>
      </w:r>
      <w:r w:rsidRPr="00513864">
        <w:rPr>
          <w:rFonts w:cstheme="minorHAnsi"/>
          <w:b/>
          <w:szCs w:val="24"/>
        </w:rPr>
        <w:t xml:space="preserve">   </w:t>
      </w:r>
      <w:r w:rsidRPr="00513864">
        <w:rPr>
          <w:rFonts w:cstheme="minorHAnsi"/>
          <w:szCs w:val="24"/>
        </w:rPr>
        <w:t>v tomto znění:</w:t>
      </w:r>
    </w:p>
    <w:p w14:paraId="6EB59798" w14:textId="77777777" w:rsidR="00577ADC" w:rsidRPr="00343079" w:rsidRDefault="00577ADC" w:rsidP="00A51B8F">
      <w:pPr>
        <w:rPr>
          <w:rFonts w:cstheme="minorHAnsi"/>
          <w:szCs w:val="24"/>
        </w:rPr>
      </w:pPr>
      <w:r w:rsidRPr="00343079">
        <w:rPr>
          <w:lang w:eastAsia="cs-CZ"/>
        </w:rPr>
        <w:br w:type="page"/>
      </w:r>
    </w:p>
    <w:p w14:paraId="478598C1" w14:textId="77777777" w:rsidR="00E751B4" w:rsidRDefault="002752AA" w:rsidP="008E1672">
      <w:pPr>
        <w:pStyle w:val="Nadpis1"/>
        <w:numPr>
          <w:ilvl w:val="0"/>
          <w:numId w:val="0"/>
        </w:numPr>
        <w:spacing w:line="240" w:lineRule="auto"/>
      </w:pPr>
      <w:r>
        <w:rPr>
          <w:b w:val="0"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17CB3858" wp14:editId="6A3D5598">
            <wp:simplePos x="0" y="0"/>
            <wp:positionH relativeFrom="column">
              <wp:posOffset>-3175</wp:posOffset>
            </wp:positionH>
            <wp:positionV relativeFrom="paragraph">
              <wp:posOffset>376555</wp:posOffset>
            </wp:positionV>
            <wp:extent cx="5760720" cy="2242820"/>
            <wp:effectExtent l="0" t="0" r="0" b="0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éma 1A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06"/>
                    <a:stretch/>
                  </pic:blipFill>
                  <pic:spPr bwMode="auto">
                    <a:xfrm>
                      <a:off x="0" y="0"/>
                      <a:ext cx="5760720" cy="224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F04">
        <w:t>Klíčová fakta</w:t>
      </w:r>
    </w:p>
    <w:p w14:paraId="6B420BBD" w14:textId="65C6691C" w:rsidR="00927143" w:rsidRPr="00E5027E" w:rsidRDefault="00DC2420" w:rsidP="00984DAB">
      <w:pPr>
        <w:keepNext/>
        <w:spacing w:after="0"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Vysvětlivky:</w:t>
      </w:r>
    </w:p>
    <w:p w14:paraId="5FC93384" w14:textId="07BB4612" w:rsidR="00984DAB" w:rsidRPr="002752AA" w:rsidRDefault="00984DAB" w:rsidP="002752AA">
      <w:pPr>
        <w:keepNext/>
        <w:spacing w:after="0" w:line="240" w:lineRule="auto"/>
        <w:ind w:left="284" w:hanging="284"/>
        <w:rPr>
          <w:sz w:val="19"/>
          <w:szCs w:val="19"/>
        </w:rPr>
      </w:pPr>
      <w:r w:rsidRPr="002752AA">
        <w:rPr>
          <w:sz w:val="19"/>
          <w:szCs w:val="19"/>
        </w:rPr>
        <w:t xml:space="preserve">* </w:t>
      </w:r>
      <w:r w:rsidR="002752AA" w:rsidRPr="002752AA">
        <w:rPr>
          <w:sz w:val="19"/>
          <w:szCs w:val="19"/>
        </w:rPr>
        <w:tab/>
      </w:r>
      <w:r w:rsidRPr="002752AA">
        <w:rPr>
          <w:sz w:val="19"/>
          <w:szCs w:val="19"/>
        </w:rPr>
        <w:t>Odhad MMR v roce 2011</w:t>
      </w:r>
      <w:r w:rsidR="002752AA" w:rsidRPr="002752AA">
        <w:rPr>
          <w:sz w:val="19"/>
          <w:szCs w:val="19"/>
        </w:rPr>
        <w:t xml:space="preserve"> (materiál č. 732/11 k usnesení vlády č. 563 ze dne </w:t>
      </w:r>
      <w:r w:rsidR="00DC2420">
        <w:rPr>
          <w:sz w:val="19"/>
          <w:szCs w:val="19"/>
        </w:rPr>
        <w:t xml:space="preserve">20. července </w:t>
      </w:r>
      <w:r w:rsidR="002752AA" w:rsidRPr="002752AA">
        <w:rPr>
          <w:sz w:val="19"/>
          <w:szCs w:val="19"/>
        </w:rPr>
        <w:t>2011).</w:t>
      </w:r>
    </w:p>
    <w:p w14:paraId="44CA317C" w14:textId="367BCD6C" w:rsidR="002752AA" w:rsidRPr="002752AA" w:rsidRDefault="002752AA" w:rsidP="002752AA">
      <w:pPr>
        <w:keepNext/>
        <w:spacing w:after="0" w:line="240" w:lineRule="auto"/>
        <w:ind w:left="284" w:hanging="284"/>
        <w:rPr>
          <w:i/>
          <w:sz w:val="19"/>
          <w:szCs w:val="19"/>
        </w:rPr>
      </w:pPr>
      <w:r w:rsidRPr="002752AA">
        <w:rPr>
          <w:sz w:val="19"/>
          <w:szCs w:val="19"/>
        </w:rPr>
        <w:t>**</w:t>
      </w:r>
      <w:r w:rsidRPr="002752AA">
        <w:rPr>
          <w:sz w:val="19"/>
          <w:szCs w:val="19"/>
        </w:rPr>
        <w:tab/>
        <w:t xml:space="preserve">Dle </w:t>
      </w:r>
      <w:r w:rsidRPr="002752AA">
        <w:rPr>
          <w:i/>
          <w:sz w:val="19"/>
          <w:szCs w:val="19"/>
        </w:rPr>
        <w:t>Zprávy o hodnocení resortních systémů centralizovaného zadávání a centrálního nákupu státu za rok 2016.</w:t>
      </w:r>
    </w:p>
    <w:p w14:paraId="1BD9366B" w14:textId="77777777" w:rsidR="002752AA" w:rsidRDefault="002752AA" w:rsidP="002752AA">
      <w:pPr>
        <w:keepNext/>
        <w:spacing w:after="0" w:line="240" w:lineRule="auto"/>
        <w:ind w:left="284" w:hanging="284"/>
        <w:rPr>
          <w:szCs w:val="20"/>
        </w:rPr>
      </w:pPr>
    </w:p>
    <w:p w14:paraId="77096E93" w14:textId="77777777" w:rsidR="00EC0BF0" w:rsidRPr="002752AA" w:rsidRDefault="00EC0BF0" w:rsidP="002752AA">
      <w:pPr>
        <w:keepNext/>
        <w:spacing w:after="0" w:line="240" w:lineRule="auto"/>
        <w:ind w:left="284" w:hanging="284"/>
        <w:rPr>
          <w:szCs w:val="20"/>
        </w:rPr>
      </w:pPr>
    </w:p>
    <w:p w14:paraId="3FE3F716" w14:textId="635C91A2" w:rsidR="009D2FCF" w:rsidRPr="00762C1C" w:rsidRDefault="009D2FCF" w:rsidP="008E1672">
      <w:pPr>
        <w:keepNext/>
        <w:rPr>
          <w:b/>
        </w:rPr>
      </w:pPr>
      <w:r w:rsidRPr="008E1672">
        <w:rPr>
          <w:b/>
        </w:rPr>
        <w:t xml:space="preserve">Míra užívání centralizovaného zadávání </w:t>
      </w:r>
      <w:r w:rsidR="00553330">
        <w:rPr>
          <w:b/>
        </w:rPr>
        <w:t>v </w:t>
      </w:r>
      <w:r w:rsidRPr="008E1672">
        <w:rPr>
          <w:b/>
        </w:rPr>
        <w:t>jednotlivých stát</w:t>
      </w:r>
      <w:r w:rsidR="00553330">
        <w:rPr>
          <w:b/>
        </w:rPr>
        <w:t>ech</w:t>
      </w:r>
      <w:r w:rsidRPr="008E1672">
        <w:rPr>
          <w:b/>
        </w:rPr>
        <w:t xml:space="preserve"> Evropské unie</w:t>
      </w:r>
      <w:r w:rsidR="005512CE" w:rsidRPr="008E1672">
        <w:rPr>
          <w:b/>
        </w:rPr>
        <w:t xml:space="preserve"> v roce 2016</w:t>
      </w:r>
    </w:p>
    <w:p w14:paraId="278AE03C" w14:textId="77777777" w:rsidR="005D462C" w:rsidRDefault="00A97E17" w:rsidP="008E1672">
      <w:pPr>
        <w:rPr>
          <w:b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71516F" wp14:editId="314DFC0C">
                <wp:simplePos x="0" y="0"/>
                <wp:positionH relativeFrom="column">
                  <wp:posOffset>5199977</wp:posOffset>
                </wp:positionH>
                <wp:positionV relativeFrom="paragraph">
                  <wp:posOffset>1385598</wp:posOffset>
                </wp:positionV>
                <wp:extent cx="504825" cy="23812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49DD" w14:textId="77777777" w:rsidR="005D0A6E" w:rsidRPr="005D2146" w:rsidRDefault="005D0A6E" w:rsidP="005D462C">
                            <w:pPr>
                              <w:rPr>
                                <w:b/>
                                <w:color w:val="C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</w:rPr>
                              <w:t xml:space="preserve">10 </w:t>
                            </w:r>
                            <w:r w:rsidRPr="005D2146">
                              <w:rPr>
                                <w:b/>
                                <w:color w:val="C00000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1516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9.45pt;margin-top:109.1pt;width:39.7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" filled="f" stroked="f">
                <v:textbox>
                  <w:txbxContent>
                    <w:p w14:paraId="1D1549DD" w14:textId="77777777" w:rsidR="005D0A6E" w:rsidRPr="005D2146" w:rsidRDefault="005D0A6E" w:rsidP="005D462C">
                      <w:pPr>
                        <w:rPr>
                          <w:b/>
                          <w:color w:val="C00000"/>
                          <w:sz w:val="20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</w:rPr>
                        <w:t xml:space="preserve">10 </w:t>
                      </w:r>
                      <w:r w:rsidRPr="005D2146">
                        <w:rPr>
                          <w:b/>
                          <w:color w:val="C00000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7B3FB9">
        <w:rPr>
          <w:noProof/>
          <w:lang w:eastAsia="cs-CZ"/>
        </w:rPr>
        <w:drawing>
          <wp:inline distT="0" distB="0" distL="0" distR="0" wp14:anchorId="2E18A291" wp14:editId="02216D78">
            <wp:extent cx="5760720" cy="3020060"/>
            <wp:effectExtent l="0" t="0" r="0" b="8890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B3FB9">
        <w:rPr>
          <w:noProof/>
          <w:lang w:eastAsia="cs-CZ"/>
        </w:rPr>
        <w:t xml:space="preserve"> </w:t>
      </w:r>
    </w:p>
    <w:p w14:paraId="15C91E17" w14:textId="59C71FB9" w:rsidR="00C0139A" w:rsidRPr="00DC2420" w:rsidRDefault="00C0139A" w:rsidP="006B67DC">
      <w:pPr>
        <w:pStyle w:val="Titulek"/>
        <w:ind w:left="567" w:right="-567" w:hanging="567"/>
        <w:jc w:val="left"/>
        <w:rPr>
          <w:i w:val="0"/>
          <w:color w:val="auto"/>
          <w:sz w:val="20"/>
          <w:szCs w:val="20"/>
        </w:rPr>
      </w:pPr>
      <w:r w:rsidRPr="001B27EF">
        <w:rPr>
          <w:b/>
          <w:i w:val="0"/>
          <w:color w:val="auto"/>
          <w:sz w:val="20"/>
          <w:szCs w:val="20"/>
        </w:rPr>
        <w:t>Zdroj:</w:t>
      </w:r>
      <w:r w:rsidRPr="001B27EF">
        <w:rPr>
          <w:i w:val="0"/>
          <w:color w:val="auto"/>
          <w:sz w:val="20"/>
          <w:szCs w:val="20"/>
        </w:rPr>
        <w:t xml:space="preserve"> </w:t>
      </w:r>
      <w:r w:rsidR="006B67DC">
        <w:rPr>
          <w:i w:val="0"/>
          <w:color w:val="auto"/>
          <w:sz w:val="20"/>
          <w:szCs w:val="20"/>
        </w:rPr>
        <w:tab/>
      </w:r>
      <w:r w:rsidRPr="001B27EF">
        <w:rPr>
          <w:i w:val="0"/>
          <w:color w:val="auto"/>
          <w:sz w:val="20"/>
          <w:szCs w:val="20"/>
        </w:rPr>
        <w:t xml:space="preserve">veřejné zadávání v EU </w:t>
      </w:r>
      <w:r w:rsidR="009A5CC5">
        <w:rPr>
          <w:i w:val="0"/>
          <w:color w:val="auto"/>
          <w:sz w:val="20"/>
          <w:szCs w:val="20"/>
        </w:rPr>
        <w:t>dle ukazatele „</w:t>
      </w:r>
      <w:r w:rsidR="00212EB6">
        <w:rPr>
          <w:i w:val="0"/>
          <w:color w:val="auto"/>
          <w:sz w:val="20"/>
          <w:szCs w:val="20"/>
        </w:rPr>
        <w:t>c</w:t>
      </w:r>
      <w:r w:rsidR="009A5CC5" w:rsidRPr="009A5CC5">
        <w:rPr>
          <w:i w:val="0"/>
          <w:color w:val="auto"/>
          <w:sz w:val="20"/>
          <w:szCs w:val="20"/>
        </w:rPr>
        <w:t xml:space="preserve">ooperative </w:t>
      </w:r>
      <w:r w:rsidR="00212EB6">
        <w:rPr>
          <w:i w:val="0"/>
          <w:color w:val="auto"/>
          <w:sz w:val="20"/>
          <w:szCs w:val="20"/>
        </w:rPr>
        <w:t>p</w:t>
      </w:r>
      <w:r w:rsidR="009A5CC5" w:rsidRPr="009A5CC5">
        <w:rPr>
          <w:i w:val="0"/>
          <w:color w:val="auto"/>
          <w:sz w:val="20"/>
          <w:szCs w:val="20"/>
        </w:rPr>
        <w:t>rocurement</w:t>
      </w:r>
      <w:r w:rsidR="00212EB6">
        <w:rPr>
          <w:i w:val="0"/>
          <w:color w:val="auto"/>
          <w:sz w:val="20"/>
          <w:szCs w:val="20"/>
        </w:rPr>
        <w:t>“</w:t>
      </w:r>
      <w:r w:rsidR="009A5CC5">
        <w:rPr>
          <w:i w:val="0"/>
          <w:color w:val="auto"/>
          <w:sz w:val="20"/>
          <w:szCs w:val="20"/>
        </w:rPr>
        <w:t xml:space="preserve"> </w:t>
      </w:r>
      <w:r w:rsidRPr="001B27EF">
        <w:rPr>
          <w:i w:val="0"/>
          <w:color w:val="auto"/>
          <w:sz w:val="20"/>
          <w:szCs w:val="20"/>
        </w:rPr>
        <w:t xml:space="preserve">dostupné na adrese: </w:t>
      </w:r>
      <w:hyperlink r:id="rId14" w:history="1">
        <w:r w:rsidR="006B67DC" w:rsidRPr="004F2CAC">
          <w:rPr>
            <w:rStyle w:val="Hypertextovodkaz"/>
            <w:i w:val="0"/>
            <w:sz w:val="20"/>
            <w:szCs w:val="20"/>
          </w:rPr>
          <w:t>http://ec.europa.eu/internal_market/scoreboard/performance_per_policy_area/public_procurement/index_en.htm</w:t>
        </w:r>
      </w:hyperlink>
      <w:r w:rsidR="00DC2420">
        <w:rPr>
          <w:rStyle w:val="Hypertextovodkaz"/>
          <w:i w:val="0"/>
          <w:sz w:val="20"/>
          <w:szCs w:val="20"/>
          <w:u w:val="none"/>
        </w:rPr>
        <w:t>.</w:t>
      </w:r>
    </w:p>
    <w:p w14:paraId="5F9405FC" w14:textId="77777777" w:rsidR="00E751B4" w:rsidRDefault="00E751B4" w:rsidP="00E751B4"/>
    <w:p w14:paraId="4CB68623" w14:textId="77777777" w:rsidR="006B3F04" w:rsidRPr="00343079" w:rsidRDefault="006B67DC" w:rsidP="006B67DC">
      <w:pPr>
        <w:pStyle w:val="Nadpis1"/>
        <w:pageBreakBefore/>
        <w:numPr>
          <w:ilvl w:val="0"/>
          <w:numId w:val="0"/>
        </w:numPr>
      </w:pPr>
      <w:r>
        <w:lastRenderedPageBreak/>
        <w:t xml:space="preserve">I. </w:t>
      </w:r>
      <w:r w:rsidR="006B3F04" w:rsidRPr="00343079">
        <w:t>Shrnutí a vyhodnocení</w:t>
      </w:r>
    </w:p>
    <w:p w14:paraId="1144D4A5" w14:textId="77777777" w:rsidR="00E51EBE" w:rsidRPr="00E55EF3" w:rsidRDefault="00E51EBE" w:rsidP="00E51EBE">
      <w:pPr>
        <w:rPr>
          <w:b/>
        </w:rPr>
      </w:pPr>
      <w:r w:rsidRPr="008E1672">
        <w:t>V České republice existují souběžně dva systémy centralizovaného zadávání</w:t>
      </w:r>
      <w:r w:rsidR="0057779F" w:rsidRPr="008E1672">
        <w:t xml:space="preserve">. </w:t>
      </w:r>
      <w:r w:rsidR="006951C2" w:rsidRPr="008E1672">
        <w:t>R</w:t>
      </w:r>
      <w:r w:rsidR="0057779F" w:rsidRPr="008E1672">
        <w:t>esortní systém</w:t>
      </w:r>
      <w:r w:rsidR="006951C2" w:rsidRPr="008E1672">
        <w:t xml:space="preserve"> </w:t>
      </w:r>
      <w:r w:rsidR="00E55EF3" w:rsidRPr="008E1672">
        <w:t xml:space="preserve">centralizovaného zadávání </w:t>
      </w:r>
      <w:r w:rsidR="004825FD" w:rsidRPr="008E1672">
        <w:t>(dále také „RS</w:t>
      </w:r>
      <w:r w:rsidR="00963B01" w:rsidRPr="008E1672">
        <w:t xml:space="preserve"> </w:t>
      </w:r>
      <w:r w:rsidR="004825FD" w:rsidRPr="008E1672">
        <w:t>CZ“)</w:t>
      </w:r>
      <w:r w:rsidR="00BE65F2" w:rsidRPr="008E1672">
        <w:t xml:space="preserve"> je využíván od roku 2012 a NKÚ jej</w:t>
      </w:r>
      <w:r w:rsidR="004825FD" w:rsidRPr="008E1672">
        <w:t xml:space="preserve"> </w:t>
      </w:r>
      <w:r w:rsidR="00694C50" w:rsidRPr="008E1672">
        <w:t xml:space="preserve">na rozdíl od centrálního </w:t>
      </w:r>
      <w:r w:rsidR="004825FD" w:rsidRPr="008E1672">
        <w:t>nákupu s</w:t>
      </w:r>
      <w:r w:rsidR="00BE65F2" w:rsidRPr="008E1672">
        <w:t>tátu (dále také „CNS“) považuje</w:t>
      </w:r>
      <w:r w:rsidR="004825FD" w:rsidRPr="008E1672">
        <w:t xml:space="preserve"> za funkční.</w:t>
      </w:r>
      <w:r w:rsidR="00CC0021" w:rsidRPr="008E1672">
        <w:t xml:space="preserve"> Přestože </w:t>
      </w:r>
      <w:r w:rsidR="00D937A4" w:rsidRPr="008E1672">
        <w:t xml:space="preserve">vláda </w:t>
      </w:r>
      <w:r w:rsidR="00CC0021" w:rsidRPr="008E1672">
        <w:t>zavedením CNS plánoval</w:t>
      </w:r>
      <w:r w:rsidR="00D937A4" w:rsidRPr="008E1672">
        <w:t>a</w:t>
      </w:r>
      <w:r w:rsidR="00CC0021" w:rsidRPr="00E61AB2">
        <w:t xml:space="preserve"> </w:t>
      </w:r>
      <w:r w:rsidR="00D937A4" w:rsidRPr="00E61AB2">
        <w:t>významně posílit</w:t>
      </w:r>
      <w:r w:rsidR="00CC0021" w:rsidRPr="008E1672">
        <w:t xml:space="preserve"> ekonomické efekty dosahované prostřednictvím RS CZ,</w:t>
      </w:r>
      <w:r w:rsidR="004825FD" w:rsidRPr="00DD7309">
        <w:rPr>
          <w:b/>
        </w:rPr>
        <w:t xml:space="preserve"> </w:t>
      </w:r>
      <w:r w:rsidR="00DD7309" w:rsidRPr="005375DB">
        <w:rPr>
          <w:b/>
        </w:rPr>
        <w:t>využívání CNS</w:t>
      </w:r>
      <w:r w:rsidR="0057779F" w:rsidRPr="000B7280">
        <w:rPr>
          <w:b/>
        </w:rPr>
        <w:t xml:space="preserve"> po</w:t>
      </w:r>
      <w:r w:rsidR="00963B01" w:rsidRPr="000B7280">
        <w:rPr>
          <w:b/>
        </w:rPr>
        <w:t xml:space="preserve"> </w:t>
      </w:r>
      <w:r w:rsidR="0057779F" w:rsidRPr="000B7280">
        <w:rPr>
          <w:b/>
        </w:rPr>
        <w:t xml:space="preserve">čtyřech </w:t>
      </w:r>
      <w:r w:rsidR="00835A20" w:rsidRPr="00DD7309">
        <w:rPr>
          <w:b/>
        </w:rPr>
        <w:t xml:space="preserve">letech </w:t>
      </w:r>
      <w:r w:rsidR="0057779F" w:rsidRPr="00DD7309">
        <w:rPr>
          <w:b/>
        </w:rPr>
        <w:t xml:space="preserve">od zahájení </w:t>
      </w:r>
      <w:r w:rsidR="00DD7309">
        <w:rPr>
          <w:b/>
        </w:rPr>
        <w:t xml:space="preserve">jeho </w:t>
      </w:r>
      <w:r w:rsidR="0057779F" w:rsidRPr="000B7280">
        <w:rPr>
          <w:b/>
        </w:rPr>
        <w:t>příprav</w:t>
      </w:r>
      <w:r w:rsidR="006951C2" w:rsidRPr="000B7280">
        <w:rPr>
          <w:b/>
        </w:rPr>
        <w:t xml:space="preserve"> </w:t>
      </w:r>
      <w:r w:rsidR="002D0889" w:rsidRPr="008E1672">
        <w:rPr>
          <w:b/>
        </w:rPr>
        <w:t xml:space="preserve">výrazně zaostává za </w:t>
      </w:r>
      <w:r w:rsidR="00D937A4">
        <w:rPr>
          <w:b/>
        </w:rPr>
        <w:t xml:space="preserve">jejími </w:t>
      </w:r>
      <w:r w:rsidR="002D0889" w:rsidRPr="008E1672">
        <w:rPr>
          <w:b/>
        </w:rPr>
        <w:t xml:space="preserve">původními </w:t>
      </w:r>
      <w:r w:rsidR="00FC7002">
        <w:rPr>
          <w:b/>
        </w:rPr>
        <w:t>plány</w:t>
      </w:r>
      <w:r w:rsidR="00D937A4">
        <w:rPr>
          <w:b/>
        </w:rPr>
        <w:t>.</w:t>
      </w:r>
      <w:r w:rsidR="00E75102" w:rsidRPr="00E75102">
        <w:rPr>
          <w:b/>
        </w:rPr>
        <w:t xml:space="preserve"> </w:t>
      </w:r>
    </w:p>
    <w:p w14:paraId="189E6EF2" w14:textId="77777777" w:rsidR="004E02A0" w:rsidRDefault="00DB5874" w:rsidP="006951C2">
      <w:r w:rsidRPr="00343079">
        <w:t>Dle údajů</w:t>
      </w:r>
      <w:r w:rsidR="00C03DFB">
        <w:t xml:space="preserve"> MMR</w:t>
      </w:r>
      <w:r w:rsidR="00C03DFB" w:rsidRPr="008E1672">
        <w:rPr>
          <w:rStyle w:val="Znakapoznpodarou"/>
        </w:rPr>
        <w:footnoteReference w:id="2"/>
      </w:r>
      <w:r w:rsidR="00C03DFB" w:rsidRPr="00343079">
        <w:t xml:space="preserve"> </w:t>
      </w:r>
      <w:r w:rsidRPr="004E02A0">
        <w:t xml:space="preserve">dosahoval </w:t>
      </w:r>
      <w:r w:rsidRPr="0067248C">
        <w:t>trh veřejných zakázek v</w:t>
      </w:r>
      <w:r w:rsidR="00963B01" w:rsidRPr="0067248C">
        <w:t xml:space="preserve"> </w:t>
      </w:r>
      <w:r w:rsidRPr="0067248C">
        <w:t>roce 2016 výše</w:t>
      </w:r>
      <w:r w:rsidRPr="004E02A0">
        <w:t xml:space="preserve"> </w:t>
      </w:r>
      <w:r w:rsidRPr="0067248C">
        <w:t>486</w:t>
      </w:r>
      <w:r w:rsidR="00963B01" w:rsidRPr="0067248C">
        <w:t xml:space="preserve"> </w:t>
      </w:r>
      <w:r w:rsidRPr="0067248C">
        <w:t>mld.</w:t>
      </w:r>
      <w:r w:rsidR="00963B01" w:rsidRPr="0067248C">
        <w:t xml:space="preserve"> </w:t>
      </w:r>
      <w:r w:rsidRPr="0067248C">
        <w:t xml:space="preserve">Kč. </w:t>
      </w:r>
      <w:r w:rsidR="0072116A" w:rsidRPr="004E02A0">
        <w:t xml:space="preserve">Evropská komise považuje za </w:t>
      </w:r>
      <w:r w:rsidR="0072116A" w:rsidRPr="0067248C">
        <w:t>optimální míru využití centralizovaného zadávání 10 %</w:t>
      </w:r>
      <w:r w:rsidR="0072116A" w:rsidRPr="004E02A0">
        <w:t xml:space="preserve">, </w:t>
      </w:r>
      <w:r w:rsidR="00D937A4" w:rsidRPr="004E02A0">
        <w:t>čemuž odpovídá</w:t>
      </w:r>
      <w:r w:rsidR="0072116A" w:rsidRPr="004E02A0">
        <w:t xml:space="preserve"> </w:t>
      </w:r>
      <w:r w:rsidR="00C03DFB" w:rsidRPr="004E02A0">
        <w:t xml:space="preserve">objem zakázek ve výši </w:t>
      </w:r>
      <w:r w:rsidR="0072116A" w:rsidRPr="004E02A0">
        <w:t>48,6 mld</w:t>
      </w:r>
      <w:r w:rsidR="0072116A">
        <w:t xml:space="preserve">. Kč. Této míry však Česká republika nedosahuje. </w:t>
      </w:r>
      <w:r w:rsidR="0072116A" w:rsidRPr="0067248C">
        <w:rPr>
          <w:b/>
        </w:rPr>
        <w:t>Při zavádění RS CZ se</w:t>
      </w:r>
      <w:r w:rsidR="0072116A">
        <w:t xml:space="preserve"> </w:t>
      </w:r>
      <w:r w:rsidR="0072116A" w:rsidRPr="008E1672">
        <w:rPr>
          <w:b/>
        </w:rPr>
        <w:t>předpokládalo, že jeho prostřednictvím budou ročně zadávány veřejné zakázky v</w:t>
      </w:r>
      <w:r w:rsidR="008431E0">
        <w:rPr>
          <w:b/>
        </w:rPr>
        <w:t> </w:t>
      </w:r>
      <w:r w:rsidR="0072116A" w:rsidRPr="008E1672">
        <w:rPr>
          <w:b/>
        </w:rPr>
        <w:t>objemu 45,22 mld. Kč</w:t>
      </w:r>
      <w:r w:rsidR="0072116A">
        <w:t xml:space="preserve">. </w:t>
      </w:r>
      <w:r w:rsidRPr="0025314C">
        <w:rPr>
          <w:b/>
        </w:rPr>
        <w:t xml:space="preserve">Objem plnění v </w:t>
      </w:r>
      <w:r w:rsidR="00A63F31" w:rsidRPr="0025314C">
        <w:rPr>
          <w:b/>
        </w:rPr>
        <w:t>RS CZ</w:t>
      </w:r>
      <w:r w:rsidRPr="0025314C">
        <w:rPr>
          <w:b/>
        </w:rPr>
        <w:t xml:space="preserve"> činil za rok 2016 </w:t>
      </w:r>
      <w:r w:rsidR="0072116A">
        <w:rPr>
          <w:b/>
        </w:rPr>
        <w:t>pouze</w:t>
      </w:r>
      <w:r w:rsidR="0072116A" w:rsidRPr="0025314C">
        <w:rPr>
          <w:b/>
        </w:rPr>
        <w:t xml:space="preserve"> </w:t>
      </w:r>
      <w:r w:rsidRPr="00A04813">
        <w:rPr>
          <w:b/>
        </w:rPr>
        <w:t>8,2</w:t>
      </w:r>
      <w:r w:rsidR="00963B01">
        <w:rPr>
          <w:b/>
        </w:rPr>
        <w:t xml:space="preserve"> </w:t>
      </w:r>
      <w:r w:rsidRPr="00A04813">
        <w:rPr>
          <w:b/>
        </w:rPr>
        <w:t>mld.</w:t>
      </w:r>
      <w:r w:rsidRPr="0025314C">
        <w:rPr>
          <w:b/>
        </w:rPr>
        <w:t xml:space="preserve"> </w:t>
      </w:r>
      <w:r w:rsidRPr="00A04813">
        <w:rPr>
          <w:b/>
        </w:rPr>
        <w:t>Kč</w:t>
      </w:r>
      <w:r w:rsidR="0072116A">
        <w:rPr>
          <w:b/>
        </w:rPr>
        <w:t>.</w:t>
      </w:r>
      <w:r w:rsidR="0072116A" w:rsidRPr="00343079">
        <w:rPr>
          <w:rStyle w:val="Znakapoznpodarou"/>
        </w:rPr>
        <w:footnoteReference w:id="3"/>
      </w:r>
      <w:r w:rsidR="0072116A" w:rsidRPr="0072116A">
        <w:t xml:space="preserve"> </w:t>
      </w:r>
      <w:r w:rsidR="0072116A">
        <w:t>Předpokládaný potenciál RS CZ tak není využit</w:t>
      </w:r>
      <w:r w:rsidR="0072116A" w:rsidRPr="004E02A0">
        <w:t xml:space="preserve">. </w:t>
      </w:r>
    </w:p>
    <w:p w14:paraId="11130BD0" w14:textId="77777777" w:rsidR="00C31781" w:rsidRDefault="00CF7B64" w:rsidP="006951C2">
      <w:r w:rsidRPr="0067248C">
        <w:t xml:space="preserve">Oproti </w:t>
      </w:r>
      <w:r w:rsidR="00906734" w:rsidRPr="0067248C">
        <w:t>RS</w:t>
      </w:r>
      <w:r w:rsidR="00963B01" w:rsidRPr="0067248C">
        <w:t xml:space="preserve"> </w:t>
      </w:r>
      <w:r w:rsidR="00906734" w:rsidRPr="0067248C">
        <w:t>CZ byla</w:t>
      </w:r>
      <w:r w:rsidR="00906734" w:rsidRPr="00A04813">
        <w:rPr>
          <w:b/>
        </w:rPr>
        <w:t xml:space="preserve"> </w:t>
      </w:r>
      <w:r w:rsidRPr="00A04813">
        <w:rPr>
          <w:b/>
        </w:rPr>
        <w:t>v</w:t>
      </w:r>
      <w:r w:rsidR="00963B01">
        <w:rPr>
          <w:b/>
        </w:rPr>
        <w:t xml:space="preserve"> </w:t>
      </w:r>
      <w:r w:rsidRPr="00A04813">
        <w:rPr>
          <w:b/>
        </w:rPr>
        <w:t xml:space="preserve">CNS </w:t>
      </w:r>
      <w:r w:rsidR="00906734" w:rsidRPr="00A04813">
        <w:rPr>
          <w:b/>
        </w:rPr>
        <w:t>r</w:t>
      </w:r>
      <w:r w:rsidRPr="00A04813">
        <w:rPr>
          <w:b/>
        </w:rPr>
        <w:t>ealizována</w:t>
      </w:r>
      <w:r>
        <w:t xml:space="preserve"> </w:t>
      </w:r>
      <w:r w:rsidRPr="00A04813">
        <w:rPr>
          <w:b/>
        </w:rPr>
        <w:t>jediná veřejná zakázka</w:t>
      </w:r>
      <w:r w:rsidR="00551D27" w:rsidRPr="000658B9">
        <w:rPr>
          <w:b/>
        </w:rPr>
        <w:t>,</w:t>
      </w:r>
      <w:r w:rsidR="00551D27">
        <w:t xml:space="preserve"> a to na nákup kancelářského papíru</w:t>
      </w:r>
      <w:r w:rsidRPr="00343079">
        <w:t>,</w:t>
      </w:r>
      <w:r>
        <w:t xml:space="preserve"> </w:t>
      </w:r>
      <w:r w:rsidR="00906734">
        <w:t>p</w:t>
      </w:r>
      <w:r w:rsidRPr="00343079">
        <w:t xml:space="preserve">řičemž objem plnění </w:t>
      </w:r>
      <w:r w:rsidR="001B6C01">
        <w:t>v roce</w:t>
      </w:r>
      <w:r w:rsidRPr="00343079">
        <w:t xml:space="preserve"> 2016 činil </w:t>
      </w:r>
      <w:r>
        <w:t xml:space="preserve">pouze </w:t>
      </w:r>
      <w:r w:rsidRPr="00A04813">
        <w:rPr>
          <w:b/>
        </w:rPr>
        <w:t>11</w:t>
      </w:r>
      <w:r w:rsidR="00963B01">
        <w:rPr>
          <w:b/>
        </w:rPr>
        <w:t xml:space="preserve"> </w:t>
      </w:r>
      <w:r w:rsidRPr="00A04813">
        <w:rPr>
          <w:b/>
        </w:rPr>
        <w:t>mil.</w:t>
      </w:r>
      <w:r w:rsidR="00963B01">
        <w:rPr>
          <w:b/>
        </w:rPr>
        <w:t xml:space="preserve"> </w:t>
      </w:r>
      <w:r w:rsidRPr="00A04813">
        <w:rPr>
          <w:b/>
        </w:rPr>
        <w:t>Kč</w:t>
      </w:r>
      <w:r w:rsidR="00693597">
        <w:t xml:space="preserve"> (v následujícím roce 36 mil. Kč).</w:t>
      </w:r>
      <w:r w:rsidR="00906734" w:rsidRPr="00906734">
        <w:t xml:space="preserve"> </w:t>
      </w:r>
    </w:p>
    <w:p w14:paraId="22B8F27F" w14:textId="77777777" w:rsidR="00CF7B64" w:rsidRDefault="00C31781" w:rsidP="00901FED">
      <w:pPr>
        <w:spacing w:after="0"/>
      </w:pPr>
      <w:r>
        <w:t>Systém</w:t>
      </w:r>
      <w:r w:rsidR="00906734">
        <w:t xml:space="preserve"> </w:t>
      </w:r>
      <w:r w:rsidR="00906734" w:rsidRPr="00354F0B">
        <w:rPr>
          <w:b/>
        </w:rPr>
        <w:t>CNS není funkční</w:t>
      </w:r>
      <w:r w:rsidR="00E75102" w:rsidRPr="000658B9">
        <w:rPr>
          <w:b/>
        </w:rPr>
        <w:t>,</w:t>
      </w:r>
      <w:r w:rsidR="00551D27">
        <w:t xml:space="preserve"> a to zejména</w:t>
      </w:r>
      <w:r w:rsidR="00213720">
        <w:t xml:space="preserve"> z</w:t>
      </w:r>
      <w:r w:rsidR="00963B01">
        <w:t xml:space="preserve"> </w:t>
      </w:r>
      <w:r w:rsidR="00213720">
        <w:t>těchto důvodů</w:t>
      </w:r>
      <w:r w:rsidR="00906734">
        <w:t>:</w:t>
      </w:r>
    </w:p>
    <w:p w14:paraId="2C3BB400" w14:textId="77777777" w:rsidR="00E75102" w:rsidRDefault="00E75102" w:rsidP="00204386">
      <w:pPr>
        <w:pStyle w:val="Odstavecseseznamem"/>
        <w:numPr>
          <w:ilvl w:val="0"/>
          <w:numId w:val="17"/>
        </w:numPr>
        <w:ind w:left="284" w:hanging="284"/>
      </w:pPr>
      <w:r>
        <w:t>zapojení</w:t>
      </w:r>
      <w:r w:rsidR="00694C50">
        <w:t xml:space="preserve"> do</w:t>
      </w:r>
      <w:r w:rsidR="00963B01">
        <w:t xml:space="preserve"> </w:t>
      </w:r>
      <w:r>
        <w:t>CNS je na rozdíl od RS</w:t>
      </w:r>
      <w:r w:rsidR="00963B01">
        <w:t xml:space="preserve"> </w:t>
      </w:r>
      <w:r>
        <w:t>CZ dobrovolné</w:t>
      </w:r>
      <w:r w:rsidR="00A5360F">
        <w:t>;</w:t>
      </w:r>
      <w:r>
        <w:t xml:space="preserve"> </w:t>
      </w:r>
    </w:p>
    <w:p w14:paraId="097530E1" w14:textId="0CCFF743" w:rsidR="00832DCB" w:rsidRDefault="00832DCB" w:rsidP="00204386">
      <w:pPr>
        <w:pStyle w:val="Odstavecseseznamem"/>
        <w:numPr>
          <w:ilvl w:val="0"/>
          <w:numId w:val="17"/>
        </w:numPr>
        <w:ind w:left="284" w:hanging="284"/>
      </w:pPr>
      <w:r>
        <w:t>stejné komodity lze nakupovat v</w:t>
      </w:r>
      <w:r w:rsidR="00963B01">
        <w:t xml:space="preserve"> </w:t>
      </w:r>
      <w:r>
        <w:t>obou syst</w:t>
      </w:r>
      <w:r w:rsidR="00C31781">
        <w:t>ém</w:t>
      </w:r>
      <w:r w:rsidR="00AA6B6D">
        <w:t xml:space="preserve">ech centralizovaného zadávání </w:t>
      </w:r>
      <w:r w:rsidR="00F0034E">
        <w:t>a</w:t>
      </w:r>
      <w:r w:rsidR="000E4A9C">
        <w:t> </w:t>
      </w:r>
      <w:r w:rsidR="00AA6B6D">
        <w:t>nap</w:t>
      </w:r>
      <w:r>
        <w:t>říklad</w:t>
      </w:r>
      <w:r w:rsidR="00AA6B6D">
        <w:t xml:space="preserve"> u</w:t>
      </w:r>
      <w:r w:rsidR="00204386">
        <w:t> </w:t>
      </w:r>
      <w:r w:rsidR="00D1478F">
        <w:t xml:space="preserve">komodity </w:t>
      </w:r>
      <w:r w:rsidR="00D1478F" w:rsidRPr="000658B9">
        <w:rPr>
          <w:i/>
        </w:rPr>
        <w:t>kancelářsk</w:t>
      </w:r>
      <w:r w:rsidR="005F29FA" w:rsidRPr="000658B9">
        <w:rPr>
          <w:i/>
        </w:rPr>
        <w:t>ý</w:t>
      </w:r>
      <w:r w:rsidR="00D1478F" w:rsidRPr="000658B9">
        <w:rPr>
          <w:i/>
        </w:rPr>
        <w:t xml:space="preserve"> papír</w:t>
      </w:r>
      <w:r w:rsidR="00D1478F">
        <w:t xml:space="preserve"> jako</w:t>
      </w:r>
      <w:r>
        <w:t xml:space="preserve"> jediné dosud realizované veřejné zakázky v</w:t>
      </w:r>
      <w:r w:rsidR="00963B01">
        <w:t xml:space="preserve"> </w:t>
      </w:r>
      <w:r>
        <w:t>CNS ukázal, že v</w:t>
      </w:r>
      <w:r w:rsidR="00963B01">
        <w:t xml:space="preserve"> </w:t>
      </w:r>
      <w:r>
        <w:t>CNS ne</w:t>
      </w:r>
      <w:r w:rsidR="00D1478F">
        <w:t xml:space="preserve">bylo </w:t>
      </w:r>
      <w:r>
        <w:t xml:space="preserve">dosaženo </w:t>
      </w:r>
      <w:r w:rsidR="00AA6B6D">
        <w:t>nižších</w:t>
      </w:r>
      <w:r>
        <w:t xml:space="preserve"> cen než v RS</w:t>
      </w:r>
      <w:r w:rsidR="00963B01">
        <w:t xml:space="preserve"> </w:t>
      </w:r>
      <w:r>
        <w:t>CZ</w:t>
      </w:r>
      <w:r w:rsidR="00D1478F">
        <w:t>;</w:t>
      </w:r>
      <w:r>
        <w:t xml:space="preserve"> </w:t>
      </w:r>
    </w:p>
    <w:p w14:paraId="6FE0E926" w14:textId="77777777" w:rsidR="00906734" w:rsidRPr="00343079" w:rsidRDefault="00906734" w:rsidP="00204386">
      <w:pPr>
        <w:pStyle w:val="Odstavecseseznamem"/>
        <w:numPr>
          <w:ilvl w:val="0"/>
          <w:numId w:val="17"/>
        </w:numPr>
        <w:ind w:left="284" w:hanging="284"/>
      </w:pPr>
      <w:r w:rsidRPr="00343079">
        <w:t>nejsou schváleny technické standardy</w:t>
      </w:r>
      <w:r>
        <w:t xml:space="preserve"> či standardy </w:t>
      </w:r>
      <w:r w:rsidRPr="00D73B41">
        <w:t>funkčních vlastností</w:t>
      </w:r>
      <w:r>
        <w:t>, s</w:t>
      </w:r>
      <w:r w:rsidR="00963B01">
        <w:t xml:space="preserve"> </w:t>
      </w:r>
      <w:r>
        <w:t xml:space="preserve">výjimkou technických standardů na osobní automobily. Schválené technické standardy jsou však jedním z </w:t>
      </w:r>
      <w:r w:rsidRPr="00343079">
        <w:t>nutný</w:t>
      </w:r>
      <w:r>
        <w:t>ch</w:t>
      </w:r>
      <w:r w:rsidRPr="00343079">
        <w:t xml:space="preserve"> předpoklad</w:t>
      </w:r>
      <w:r>
        <w:t>ů</w:t>
      </w:r>
      <w:r w:rsidRPr="00343079">
        <w:t xml:space="preserve"> pro</w:t>
      </w:r>
      <w:r>
        <w:t xml:space="preserve"> optimální</w:t>
      </w:r>
      <w:r w:rsidRPr="00343079">
        <w:t xml:space="preserve"> fungování </w:t>
      </w:r>
      <w:r w:rsidR="00835A20">
        <w:t>CNS</w:t>
      </w:r>
      <w:r w:rsidR="00D1478F">
        <w:t>;</w:t>
      </w:r>
    </w:p>
    <w:p w14:paraId="225D469A" w14:textId="77777777" w:rsidR="00906734" w:rsidRPr="00D1478F" w:rsidRDefault="00906734" w:rsidP="00204386">
      <w:pPr>
        <w:pStyle w:val="Odstavecseseznamem"/>
        <w:numPr>
          <w:ilvl w:val="0"/>
          <w:numId w:val="17"/>
        </w:numPr>
        <w:ind w:left="284" w:hanging="284"/>
      </w:pPr>
      <w:r w:rsidRPr="00343079">
        <w:t xml:space="preserve">není zajištěn elektronický nástroj pro podporu </w:t>
      </w:r>
      <w:r w:rsidR="00835A20">
        <w:t>CNS</w:t>
      </w:r>
      <w:r w:rsidRPr="00343079">
        <w:t xml:space="preserve">, který by vyhovoval potřebám </w:t>
      </w:r>
      <w:r>
        <w:t>centrálních zadavatelů</w:t>
      </w:r>
      <w:r w:rsidRPr="00343079">
        <w:t xml:space="preserve"> zejména </w:t>
      </w:r>
      <w:r>
        <w:t>v</w:t>
      </w:r>
      <w:r w:rsidR="00963B01">
        <w:t xml:space="preserve"> </w:t>
      </w:r>
      <w:r>
        <w:t xml:space="preserve">oblasti </w:t>
      </w:r>
      <w:r w:rsidRPr="00343079">
        <w:t>sběru požad</w:t>
      </w:r>
      <w:r>
        <w:t>avků od</w:t>
      </w:r>
      <w:r w:rsidR="00963B01">
        <w:t xml:space="preserve"> </w:t>
      </w:r>
      <w:r>
        <w:t>pověřujících zadavatelů</w:t>
      </w:r>
      <w:r w:rsidR="00B85DC4">
        <w:rPr>
          <w:rFonts w:cstheme="minorHAnsi"/>
        </w:rPr>
        <w:t>.</w:t>
      </w:r>
    </w:p>
    <w:p w14:paraId="6F6A35B8" w14:textId="593B3F4F" w:rsidR="005A6029" w:rsidRDefault="003C0398" w:rsidP="00D403A1">
      <w:r w:rsidRPr="00A04813">
        <w:rPr>
          <w:b/>
        </w:rPr>
        <w:t>Povinnost zavést RS</w:t>
      </w:r>
      <w:r w:rsidR="00963B01">
        <w:rPr>
          <w:b/>
        </w:rPr>
        <w:t xml:space="preserve"> </w:t>
      </w:r>
      <w:r w:rsidRPr="00A04813">
        <w:rPr>
          <w:b/>
        </w:rPr>
        <w:t xml:space="preserve">CZ </w:t>
      </w:r>
      <w:r w:rsidRPr="00343079">
        <w:t xml:space="preserve">dopadá </w:t>
      </w:r>
      <w:r>
        <w:t xml:space="preserve">na </w:t>
      </w:r>
      <w:r w:rsidRPr="00A04813">
        <w:rPr>
          <w:b/>
        </w:rPr>
        <w:t>1</w:t>
      </w:r>
      <w:r w:rsidR="004E1BAF" w:rsidRPr="00A04813">
        <w:rPr>
          <w:b/>
        </w:rPr>
        <w:t>6</w:t>
      </w:r>
      <w:r w:rsidRPr="00A04813">
        <w:rPr>
          <w:b/>
        </w:rPr>
        <w:t xml:space="preserve"> </w:t>
      </w:r>
      <w:r w:rsidR="004E1BAF" w:rsidRPr="00A04813">
        <w:rPr>
          <w:b/>
        </w:rPr>
        <w:t>ústředních orgánů</w:t>
      </w:r>
      <w:r w:rsidR="004E1BAF">
        <w:t xml:space="preserve"> </w:t>
      </w:r>
      <w:r w:rsidR="004E1BAF" w:rsidRPr="00A04813">
        <w:rPr>
          <w:b/>
        </w:rPr>
        <w:t>státní správy</w:t>
      </w:r>
      <w:r w:rsidR="00FE4B2C">
        <w:t xml:space="preserve"> (dále také „ÚOSS“)</w:t>
      </w:r>
      <w:r>
        <w:t xml:space="preserve">, </w:t>
      </w:r>
      <w:r w:rsidR="004C796E">
        <w:t>pod které spadá</w:t>
      </w:r>
      <w:r>
        <w:t xml:space="preserve"> přes </w:t>
      </w:r>
      <w:r w:rsidRPr="00A04813">
        <w:t>500 organizačních</w:t>
      </w:r>
      <w:r w:rsidRPr="00343079">
        <w:t xml:space="preserve"> složek státu a</w:t>
      </w:r>
      <w:r w:rsidR="00963B01">
        <w:t xml:space="preserve"> </w:t>
      </w:r>
      <w:r w:rsidRPr="00343079">
        <w:t>příspěvkových organizací.</w:t>
      </w:r>
      <w:r w:rsidR="00506841">
        <w:t xml:space="preserve"> Přestože</w:t>
      </w:r>
      <w:r w:rsidRPr="00343079">
        <w:t xml:space="preserve"> </w:t>
      </w:r>
      <w:r w:rsidR="00506841">
        <w:t>RS </w:t>
      </w:r>
      <w:r w:rsidR="004C796E">
        <w:t>CZ mělo mj. přinést</w:t>
      </w:r>
      <w:r>
        <w:t xml:space="preserve"> </w:t>
      </w:r>
      <w:r w:rsidR="004C796E">
        <w:t xml:space="preserve">snížení </w:t>
      </w:r>
      <w:r>
        <w:t>administrativní zátěže</w:t>
      </w:r>
      <w:r w:rsidR="00506841">
        <w:t xml:space="preserve">, </w:t>
      </w:r>
      <w:r w:rsidR="004C796E">
        <w:t xml:space="preserve">uplatňování výjimek </w:t>
      </w:r>
      <w:r w:rsidR="00CA5886">
        <w:t>na</w:t>
      </w:r>
      <w:r w:rsidR="00204386">
        <w:t xml:space="preserve"> </w:t>
      </w:r>
      <w:r w:rsidR="00CA5886">
        <w:t xml:space="preserve">nákup komodit odpovídajících specifickým potřebám zadavatelů </w:t>
      </w:r>
      <w:r w:rsidR="00506841">
        <w:t xml:space="preserve">administrativní zátěž </w:t>
      </w:r>
      <w:r w:rsidR="00CA5886">
        <w:t>zvyšuje. N</w:t>
      </w:r>
      <w:r w:rsidR="005A6029">
        <w:t>apříklad</w:t>
      </w:r>
      <w:r w:rsidR="00892A50">
        <w:t xml:space="preserve"> </w:t>
      </w:r>
      <w:r w:rsidR="00CA5886">
        <w:t xml:space="preserve">MV v roce 2017 </w:t>
      </w:r>
      <w:r w:rsidR="0061177A">
        <w:t>u komodit</w:t>
      </w:r>
      <w:r w:rsidR="00CA5886" w:rsidRPr="00CA5886">
        <w:t xml:space="preserve"> </w:t>
      </w:r>
      <w:r w:rsidR="00204386">
        <w:rPr>
          <w:i/>
        </w:rPr>
        <w:t>k</w:t>
      </w:r>
      <w:r w:rsidR="00ED626C" w:rsidRPr="00ED626C">
        <w:rPr>
          <w:i/>
        </w:rPr>
        <w:t>ancelářsk</w:t>
      </w:r>
      <w:r w:rsidR="00ED626C">
        <w:rPr>
          <w:i/>
        </w:rPr>
        <w:t>é</w:t>
      </w:r>
      <w:r w:rsidR="00ED626C" w:rsidRPr="00ED626C">
        <w:rPr>
          <w:i/>
        </w:rPr>
        <w:t xml:space="preserve"> potřeb</w:t>
      </w:r>
      <w:r w:rsidR="00ED626C">
        <w:rPr>
          <w:i/>
        </w:rPr>
        <w:t>y</w:t>
      </w:r>
      <w:r w:rsidR="00ED626C">
        <w:t xml:space="preserve"> a</w:t>
      </w:r>
      <w:r w:rsidR="00963B01">
        <w:t xml:space="preserve"> </w:t>
      </w:r>
      <w:r w:rsidR="00204386">
        <w:rPr>
          <w:i/>
        </w:rPr>
        <w:t>p</w:t>
      </w:r>
      <w:r w:rsidR="00ED626C">
        <w:rPr>
          <w:i/>
        </w:rPr>
        <w:t>očítače a stroje</w:t>
      </w:r>
      <w:r w:rsidR="00ED626C">
        <w:t xml:space="preserve"> </w:t>
      </w:r>
      <w:r w:rsidR="00CA5886">
        <w:t xml:space="preserve">schválilo </w:t>
      </w:r>
      <w:r w:rsidR="00ED626C">
        <w:t>398</w:t>
      </w:r>
      <w:r w:rsidR="006F4812">
        <w:t xml:space="preserve"> </w:t>
      </w:r>
      <w:r w:rsidR="004E1BAF">
        <w:t>žádostí o</w:t>
      </w:r>
      <w:r w:rsidR="003F47A3">
        <w:t> </w:t>
      </w:r>
      <w:r w:rsidR="004E1BAF">
        <w:t>výjimku</w:t>
      </w:r>
      <w:r w:rsidR="0061177A">
        <w:t>.</w:t>
      </w:r>
      <w:r w:rsidR="00A374CA">
        <w:t xml:space="preserve"> </w:t>
      </w:r>
      <w:r w:rsidR="00A374CA" w:rsidRPr="00343079">
        <w:t>Centrální</w:t>
      </w:r>
      <w:r w:rsidR="00A374CA">
        <w:t xml:space="preserve"> a pověřující </w:t>
      </w:r>
      <w:r w:rsidR="00A374CA" w:rsidRPr="00343079">
        <w:t xml:space="preserve">zadavatele </w:t>
      </w:r>
      <w:r w:rsidR="00A374CA">
        <w:t xml:space="preserve">dále </w:t>
      </w:r>
      <w:r w:rsidR="00A374CA" w:rsidRPr="00343079">
        <w:t xml:space="preserve">administrativně zatěžuje povinnost každoročně vyčíslovat úspory </w:t>
      </w:r>
      <w:r w:rsidR="00A374CA">
        <w:t>veřejných zakázek zadaných v</w:t>
      </w:r>
      <w:r w:rsidR="00963B01">
        <w:t xml:space="preserve"> </w:t>
      </w:r>
      <w:r w:rsidR="00A374CA">
        <w:t>RS</w:t>
      </w:r>
      <w:r w:rsidR="00963B01">
        <w:t xml:space="preserve"> </w:t>
      </w:r>
      <w:r w:rsidR="00A374CA">
        <w:t xml:space="preserve">CZ, které jsou </w:t>
      </w:r>
      <w:r w:rsidR="005A6029">
        <w:t>navíc</w:t>
      </w:r>
      <w:r w:rsidR="00A374CA">
        <w:t xml:space="preserve"> zkreslené</w:t>
      </w:r>
      <w:r w:rsidR="005A6029">
        <w:t xml:space="preserve">. </w:t>
      </w:r>
      <w:r w:rsidR="005A6029" w:rsidRPr="008E1672">
        <w:rPr>
          <w:b/>
        </w:rPr>
        <w:lastRenderedPageBreak/>
        <w:t>S</w:t>
      </w:r>
      <w:r w:rsidR="003D5E9B" w:rsidRPr="008E1672">
        <w:rPr>
          <w:b/>
        </w:rPr>
        <w:t xml:space="preserve">nížení </w:t>
      </w:r>
      <w:r w:rsidR="005A6029" w:rsidRPr="008E1672">
        <w:rPr>
          <w:b/>
        </w:rPr>
        <w:t>administrativní</w:t>
      </w:r>
      <w:r w:rsidR="00C90EBC" w:rsidRPr="008E1672">
        <w:rPr>
          <w:b/>
        </w:rPr>
        <w:t>ch</w:t>
      </w:r>
      <w:r w:rsidR="00245D73" w:rsidRPr="008E1672">
        <w:rPr>
          <w:b/>
        </w:rPr>
        <w:t xml:space="preserve"> nákladů či </w:t>
      </w:r>
      <w:r w:rsidR="00FA3D9E" w:rsidRPr="008E1672">
        <w:rPr>
          <w:b/>
        </w:rPr>
        <w:t>z</w:t>
      </w:r>
      <w:r w:rsidR="003D5E9B" w:rsidRPr="008E1672">
        <w:rPr>
          <w:b/>
        </w:rPr>
        <w:t>efekt</w:t>
      </w:r>
      <w:r w:rsidR="00FA3D9E" w:rsidRPr="008E1672">
        <w:rPr>
          <w:b/>
        </w:rPr>
        <w:t xml:space="preserve">ivnění nákupních procesů </w:t>
      </w:r>
      <w:r w:rsidR="00245D73" w:rsidRPr="008E1672">
        <w:rPr>
          <w:b/>
        </w:rPr>
        <w:t>ne</w:t>
      </w:r>
      <w:r w:rsidR="0063514C" w:rsidRPr="008E1672">
        <w:rPr>
          <w:b/>
        </w:rPr>
        <w:t>ní</w:t>
      </w:r>
      <w:r w:rsidR="00245D73" w:rsidRPr="008E1672">
        <w:rPr>
          <w:b/>
        </w:rPr>
        <w:t xml:space="preserve"> </w:t>
      </w:r>
      <w:r w:rsidR="00333FC1">
        <w:rPr>
          <w:b/>
        </w:rPr>
        <w:t>ve</w:t>
      </w:r>
      <w:r w:rsidR="00245D73" w:rsidRPr="008E1672">
        <w:rPr>
          <w:b/>
        </w:rPr>
        <w:t xml:space="preserve"> všech</w:t>
      </w:r>
      <w:r w:rsidR="00963B01" w:rsidRPr="008E1672">
        <w:rPr>
          <w:b/>
        </w:rPr>
        <w:t xml:space="preserve"> </w:t>
      </w:r>
      <w:r w:rsidR="005A6029" w:rsidRPr="008E1672">
        <w:rPr>
          <w:b/>
        </w:rPr>
        <w:t xml:space="preserve">RS CZ ani </w:t>
      </w:r>
      <w:r w:rsidR="00245D73" w:rsidRPr="008E1672">
        <w:rPr>
          <w:b/>
        </w:rPr>
        <w:t>v </w:t>
      </w:r>
      <w:r w:rsidR="005A6029" w:rsidRPr="008E1672">
        <w:rPr>
          <w:b/>
        </w:rPr>
        <w:t>CNS sledován</w:t>
      </w:r>
      <w:r w:rsidR="0063514C">
        <w:rPr>
          <w:b/>
        </w:rPr>
        <w:t>o</w:t>
      </w:r>
      <w:r w:rsidR="005A6029" w:rsidRPr="008E1672">
        <w:rPr>
          <w:b/>
        </w:rPr>
        <w:t xml:space="preserve"> a</w:t>
      </w:r>
      <w:r w:rsidR="00963B01" w:rsidRPr="008E1672">
        <w:rPr>
          <w:b/>
        </w:rPr>
        <w:t xml:space="preserve"> </w:t>
      </w:r>
      <w:r w:rsidR="005A6029" w:rsidRPr="008E1672">
        <w:rPr>
          <w:b/>
        </w:rPr>
        <w:t>hodnocen</w:t>
      </w:r>
      <w:r w:rsidR="0063514C">
        <w:rPr>
          <w:b/>
        </w:rPr>
        <w:t>o</w:t>
      </w:r>
      <w:r w:rsidR="00FA3D9E" w:rsidRPr="008E1672">
        <w:rPr>
          <w:b/>
        </w:rPr>
        <w:t>.</w:t>
      </w:r>
    </w:p>
    <w:p w14:paraId="589BC163" w14:textId="77777777" w:rsidR="00F766A0" w:rsidRDefault="00625956" w:rsidP="00D403A1">
      <w:pPr>
        <w:rPr>
          <w:rFonts w:cstheme="minorHAnsi"/>
        </w:rPr>
      </w:pPr>
      <w:r>
        <w:rPr>
          <w:rFonts w:cstheme="minorHAnsi"/>
        </w:rPr>
        <w:t>Povinné pořizování komodit v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RS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 xml:space="preserve">CZ </w:t>
      </w:r>
      <w:r>
        <w:t xml:space="preserve">se vztahuje pouze na jejich nákup a jiné způsoby pořízení (např. nájem) nejsou </w:t>
      </w:r>
      <w:r>
        <w:rPr>
          <w:rFonts w:cstheme="minorHAnsi"/>
        </w:rPr>
        <w:t>do této povinnosti zahrnuty</w:t>
      </w:r>
      <w:r w:rsidR="00B35DFA">
        <w:rPr>
          <w:rFonts w:cstheme="minorHAnsi"/>
        </w:rPr>
        <w:t xml:space="preserve">, přestože </w:t>
      </w:r>
      <w:r w:rsidR="009A4BCA">
        <w:rPr>
          <w:rFonts w:cstheme="minorHAnsi"/>
        </w:rPr>
        <w:t>můžou</w:t>
      </w:r>
      <w:r w:rsidR="00390F08" w:rsidRPr="001A4165">
        <w:rPr>
          <w:rFonts w:cstheme="minorHAnsi"/>
        </w:rPr>
        <w:t xml:space="preserve"> </w:t>
      </w:r>
      <w:r w:rsidR="00105282" w:rsidRPr="001A4165">
        <w:rPr>
          <w:rFonts w:cstheme="minorHAnsi"/>
        </w:rPr>
        <w:t xml:space="preserve">být </w:t>
      </w:r>
      <w:r w:rsidR="00390F08" w:rsidRPr="001A4165">
        <w:rPr>
          <w:rFonts w:cstheme="minorHAnsi"/>
        </w:rPr>
        <w:t>hospodárnější</w:t>
      </w:r>
      <w:r w:rsidR="00B35DFA">
        <w:rPr>
          <w:rFonts w:cstheme="minorHAnsi"/>
        </w:rPr>
        <w:t>.</w:t>
      </w:r>
    </w:p>
    <w:p w14:paraId="6A56E262" w14:textId="77777777" w:rsidR="006B30C0" w:rsidRDefault="005A6029" w:rsidP="00D403A1">
      <w:r>
        <w:t>M</w:t>
      </w:r>
      <w:r w:rsidR="003D5E9B">
        <w:t>V průběžně analyzuje podmínky na trhu veřejných zakázek a</w:t>
      </w:r>
      <w:r w:rsidR="00963B01">
        <w:t xml:space="preserve"> </w:t>
      </w:r>
      <w:r w:rsidR="003D5E9B">
        <w:t>vyhodnocuje vhodnost centralizovaného pořizování komodit</w:t>
      </w:r>
      <w:r w:rsidR="009E7BF3">
        <w:t xml:space="preserve"> v</w:t>
      </w:r>
      <w:r w:rsidR="00963B01">
        <w:t xml:space="preserve"> </w:t>
      </w:r>
      <w:r w:rsidR="00CA651C">
        <w:t>RS</w:t>
      </w:r>
      <w:r w:rsidR="00963B01">
        <w:t xml:space="preserve"> </w:t>
      </w:r>
      <w:r w:rsidR="009E7BF3">
        <w:t>CZ</w:t>
      </w:r>
      <w:r w:rsidR="00FF548D">
        <w:t>,</w:t>
      </w:r>
      <w:r w:rsidR="006B30C0">
        <w:t xml:space="preserve"> a jako </w:t>
      </w:r>
      <w:r w:rsidR="00CA651C">
        <w:t>jediné</w:t>
      </w:r>
      <w:r w:rsidR="006B30C0" w:rsidRPr="006B30C0">
        <w:t xml:space="preserve"> </w:t>
      </w:r>
      <w:r w:rsidR="006B30C0">
        <w:t>z</w:t>
      </w:r>
      <w:r w:rsidR="00963B01">
        <w:t xml:space="preserve"> </w:t>
      </w:r>
      <w:r w:rsidR="006B30C0">
        <w:t>kontrolovaných osob</w:t>
      </w:r>
      <w:r w:rsidR="00390F08">
        <w:t xml:space="preserve"> proto</w:t>
      </w:r>
      <w:r w:rsidR="006B30C0">
        <w:t xml:space="preserve"> zřídilo odborný útvar</w:t>
      </w:r>
      <w:r w:rsidR="003D5E9B">
        <w:t>.</w:t>
      </w:r>
      <w:r w:rsidR="00FA3D9E">
        <w:t xml:space="preserve"> </w:t>
      </w:r>
    </w:p>
    <w:p w14:paraId="2237A744" w14:textId="77777777" w:rsidR="00AE1882" w:rsidRDefault="00C30D4C" w:rsidP="00250950">
      <w:r>
        <w:t>O</w:t>
      </w:r>
      <w:r w:rsidR="00A2362D">
        <w:t xml:space="preserve"> </w:t>
      </w:r>
      <w:r w:rsidR="00C90EBC">
        <w:t xml:space="preserve">zahrnutí </w:t>
      </w:r>
      <w:r w:rsidR="00214B96">
        <w:t>nákup</w:t>
      </w:r>
      <w:r w:rsidR="00350CD2">
        <w:t>ů</w:t>
      </w:r>
      <w:r w:rsidR="00214B96">
        <w:t xml:space="preserve"> </w:t>
      </w:r>
      <w:r w:rsidR="001866CA">
        <w:t>softwarových produktů</w:t>
      </w:r>
      <w:r w:rsidR="00214B96">
        <w:t xml:space="preserve"> </w:t>
      </w:r>
      <w:r w:rsidR="00C90EBC">
        <w:t xml:space="preserve">do </w:t>
      </w:r>
      <w:r w:rsidR="00214B96">
        <w:t xml:space="preserve">CNS </w:t>
      </w:r>
      <w:r w:rsidR="008B0436">
        <w:t xml:space="preserve">vláda </w:t>
      </w:r>
      <w:r w:rsidR="00A2362D">
        <w:t>rozhod</w:t>
      </w:r>
      <w:r w:rsidR="008B0436">
        <w:t>la</w:t>
      </w:r>
      <w:r w:rsidR="00A2362D">
        <w:t xml:space="preserve"> </w:t>
      </w:r>
      <w:r w:rsidR="00C17CAF">
        <w:t>v</w:t>
      </w:r>
      <w:r w:rsidR="00963B01">
        <w:t xml:space="preserve"> </w:t>
      </w:r>
      <w:r w:rsidR="00C17CAF">
        <w:t>roce 2014</w:t>
      </w:r>
      <w:r w:rsidR="00BB010F">
        <w:t>.</w:t>
      </w:r>
      <w:r>
        <w:t xml:space="preserve"> </w:t>
      </w:r>
      <w:r w:rsidR="00BB010F">
        <w:t>Jelikož</w:t>
      </w:r>
      <w:r w:rsidR="00B52FFA">
        <w:t xml:space="preserve"> </w:t>
      </w:r>
      <w:r w:rsidR="00214B96">
        <w:t>MV</w:t>
      </w:r>
      <w:r w:rsidR="00214B96" w:rsidRPr="00343079">
        <w:t xml:space="preserve"> </w:t>
      </w:r>
      <w:r w:rsidR="00E51EBE" w:rsidRPr="00343079">
        <w:t xml:space="preserve">jako centrální zadavatel </w:t>
      </w:r>
      <w:r w:rsidR="00214B96">
        <w:t xml:space="preserve">zajišťovalo tyto nákupy již </w:t>
      </w:r>
      <w:r w:rsidR="00214B96" w:rsidRPr="00343079">
        <w:t>od roku 2008</w:t>
      </w:r>
      <w:r w:rsidR="00214B96" w:rsidRPr="00214B96">
        <w:t xml:space="preserve"> </w:t>
      </w:r>
      <w:r w:rsidR="00214B96" w:rsidRPr="00343079">
        <w:t>pro subjekty z</w:t>
      </w:r>
      <w:r w:rsidR="00963B01">
        <w:t xml:space="preserve"> </w:t>
      </w:r>
      <w:r w:rsidR="00214B96" w:rsidRPr="00343079">
        <w:t>celé veřejné správy</w:t>
      </w:r>
      <w:r w:rsidR="00BB010F">
        <w:t>,</w:t>
      </w:r>
      <w:r w:rsidR="00BB010F" w:rsidRPr="00BB010F">
        <w:t xml:space="preserve"> </w:t>
      </w:r>
      <w:r w:rsidR="00BB010F">
        <w:t>nelze je považovat za přínos zavedení CNS</w:t>
      </w:r>
      <w:r w:rsidR="001543F7">
        <w:t>.</w:t>
      </w:r>
      <w:r w:rsidR="000C6C32">
        <w:t xml:space="preserve"> </w:t>
      </w:r>
      <w:r w:rsidR="000C6C32" w:rsidRPr="00245D73">
        <w:t>N</w:t>
      </w:r>
      <w:r w:rsidR="001543F7" w:rsidRPr="00245D73">
        <w:t>ákupy</w:t>
      </w:r>
      <w:r w:rsidR="00750656" w:rsidRPr="00245D73">
        <w:t xml:space="preserve"> </w:t>
      </w:r>
      <w:r w:rsidR="000C6C32" w:rsidRPr="00245D73">
        <w:t xml:space="preserve">SW </w:t>
      </w:r>
      <w:r w:rsidR="00750656" w:rsidRPr="00245D73">
        <w:t>činily za</w:t>
      </w:r>
      <w:r w:rsidR="00963B01">
        <w:t xml:space="preserve"> </w:t>
      </w:r>
      <w:r w:rsidR="00750656" w:rsidRPr="00245D73">
        <w:t>roky 2014</w:t>
      </w:r>
      <w:r w:rsidR="00A16242" w:rsidRPr="00245D73">
        <w:t xml:space="preserve"> až </w:t>
      </w:r>
      <w:r w:rsidR="00750656" w:rsidRPr="00245D73">
        <w:t>2017 celkem 3,39 mld. Kč.</w:t>
      </w:r>
      <w:r w:rsidR="001543F7" w:rsidRPr="00245D73">
        <w:t xml:space="preserve"> </w:t>
      </w:r>
      <w:r w:rsidR="00A16242">
        <w:t xml:space="preserve">Rámcové </w:t>
      </w:r>
      <w:r w:rsidR="008F5193">
        <w:t xml:space="preserve">dohody </w:t>
      </w:r>
      <w:r w:rsidR="00E51EBE" w:rsidRPr="00343079">
        <w:t>garantují všem odběratelům výši slevy z</w:t>
      </w:r>
      <w:r w:rsidR="00963B01">
        <w:t xml:space="preserve"> </w:t>
      </w:r>
      <w:r w:rsidR="00E51EBE" w:rsidRPr="00343079">
        <w:t>ceníkových cen</w:t>
      </w:r>
      <w:r w:rsidR="001543F7">
        <w:t>.</w:t>
      </w:r>
      <w:r w:rsidR="001543F7" w:rsidRPr="001543F7">
        <w:t xml:space="preserve"> </w:t>
      </w:r>
      <w:r w:rsidR="00AE1882">
        <w:t>P</w:t>
      </w:r>
      <w:r w:rsidR="00AE1882" w:rsidRPr="00343079">
        <w:t xml:space="preserve">ři nákupu </w:t>
      </w:r>
      <w:r w:rsidR="000C6C32">
        <w:t>SW</w:t>
      </w:r>
      <w:r w:rsidR="00AE1882" w:rsidRPr="00343079">
        <w:t xml:space="preserve"> pro MV, MF i MMR byl</w:t>
      </w:r>
      <w:r w:rsidR="00AE1882">
        <w:t>o</w:t>
      </w:r>
      <w:r w:rsidR="00AE1882" w:rsidRPr="00343079">
        <w:t xml:space="preserve"> </w:t>
      </w:r>
      <w:r w:rsidR="00AE1882">
        <w:t>dosaženo garantovaných slev</w:t>
      </w:r>
      <w:r w:rsidR="00AE1882" w:rsidRPr="00343079">
        <w:t xml:space="preserve"> v</w:t>
      </w:r>
      <w:r w:rsidR="00963B01">
        <w:t xml:space="preserve"> </w:t>
      </w:r>
      <w:r w:rsidR="00AE1882" w:rsidRPr="00343079">
        <w:t xml:space="preserve">souladu </w:t>
      </w:r>
      <w:r w:rsidR="0063514C" w:rsidRPr="00343079">
        <w:t>s</w:t>
      </w:r>
      <w:r w:rsidR="0063514C">
        <w:t> </w:t>
      </w:r>
      <w:r w:rsidR="00AE1882" w:rsidRPr="00343079">
        <w:t xml:space="preserve">rámcovými </w:t>
      </w:r>
      <w:r w:rsidR="008F5193">
        <w:t>dohodami</w:t>
      </w:r>
      <w:r w:rsidR="00AE1882">
        <w:t>, resp. v</w:t>
      </w:r>
      <w:r w:rsidR="00963B01">
        <w:t xml:space="preserve"> </w:t>
      </w:r>
      <w:r w:rsidR="00AE1882">
        <w:t xml:space="preserve">některých případech byly </w:t>
      </w:r>
      <w:r w:rsidR="00A16242">
        <w:t>získány</w:t>
      </w:r>
      <w:r w:rsidR="00AE1882">
        <w:t xml:space="preserve"> i slevy vyšší. </w:t>
      </w:r>
      <w:r w:rsidR="000C6C32" w:rsidRPr="008E1672">
        <w:rPr>
          <w:b/>
        </w:rPr>
        <w:t>C</w:t>
      </w:r>
      <w:r w:rsidR="000C6C32" w:rsidRPr="008E1672" w:rsidDel="00D51823">
        <w:rPr>
          <w:b/>
        </w:rPr>
        <w:t>entralizovan</w:t>
      </w:r>
      <w:r w:rsidR="000C6C32" w:rsidRPr="008E1672">
        <w:rPr>
          <w:b/>
        </w:rPr>
        <w:t>ý nákup SW</w:t>
      </w:r>
      <w:r w:rsidR="000C6C32" w:rsidRPr="008E1672" w:rsidDel="00D51823">
        <w:rPr>
          <w:b/>
        </w:rPr>
        <w:t xml:space="preserve"> </w:t>
      </w:r>
      <w:r w:rsidR="000C6C32" w:rsidRPr="008E1672">
        <w:rPr>
          <w:b/>
        </w:rPr>
        <w:t xml:space="preserve">umožňuje zadavatelům rychlý a jednoduchý nákup softwarových produktů spolu </w:t>
      </w:r>
      <w:r w:rsidR="0063514C" w:rsidRPr="008E1672">
        <w:rPr>
          <w:b/>
        </w:rPr>
        <w:t>s </w:t>
      </w:r>
      <w:r w:rsidR="000C6C32" w:rsidRPr="008E1672">
        <w:rPr>
          <w:b/>
        </w:rPr>
        <w:t>využitím odborné podpory centrálního zadavatele.</w:t>
      </w:r>
      <w:r w:rsidR="00250950" w:rsidRPr="00250950">
        <w:t xml:space="preserve"> </w:t>
      </w:r>
      <w:r w:rsidR="00250950">
        <w:t>SW je z pohledu finančního objemu jednou z</w:t>
      </w:r>
      <w:r w:rsidR="00963B01">
        <w:t xml:space="preserve"> </w:t>
      </w:r>
      <w:r w:rsidR="00250950">
        <w:t xml:space="preserve">nejvíce nakupovaných komodit prostřednictvím centralizovaného </w:t>
      </w:r>
      <w:r w:rsidR="00202C92">
        <w:t>za</w:t>
      </w:r>
      <w:r w:rsidR="00250950">
        <w:t>dávání.</w:t>
      </w:r>
    </w:p>
    <w:p w14:paraId="4C189120" w14:textId="77777777" w:rsidR="000E113D" w:rsidRDefault="00E51EBE" w:rsidP="00A506CC">
      <w:r w:rsidRPr="00343079">
        <w:t xml:space="preserve">U vybraného vzorku </w:t>
      </w:r>
      <w:r w:rsidR="008C6070">
        <w:t>centralizovaně nakupovaných komodit</w:t>
      </w:r>
      <w:r w:rsidR="00AE1882">
        <w:t xml:space="preserve"> SW,</w:t>
      </w:r>
      <w:r w:rsidR="00A16242">
        <w:t xml:space="preserve"> papíru, osobních vozidel a</w:t>
      </w:r>
      <w:r w:rsidR="003F3651">
        <w:t> </w:t>
      </w:r>
      <w:r w:rsidR="008C6070">
        <w:t xml:space="preserve">nábytku NKÚ nezjistil nehospodárné </w:t>
      </w:r>
      <w:r w:rsidR="002E2D77">
        <w:t>vynaložení prostředků.</w:t>
      </w:r>
      <w:r w:rsidR="008C6070" w:rsidRPr="008C6070">
        <w:t xml:space="preserve"> </w:t>
      </w:r>
    </w:p>
    <w:p w14:paraId="65846605" w14:textId="3906F9B3" w:rsidR="008B045E" w:rsidRDefault="008B045E" w:rsidP="00202C92">
      <w:r>
        <w:t>MMR je správcem informačního systému o veřejných zakázkách, který obsahuje údaje z </w:t>
      </w:r>
      <w:r w:rsidRPr="000658B9">
        <w:rPr>
          <w:i/>
        </w:rPr>
        <w:t>Věstníku veřejných zakázek</w:t>
      </w:r>
      <w:r>
        <w:t xml:space="preserve"> a zpřístupňuje je široké veřejnosti. Přístup ke všem údajům o veřejných zakázkách v agregované </w:t>
      </w:r>
      <w:r w:rsidR="00981494">
        <w:t>podobě</w:t>
      </w:r>
      <w:r>
        <w:t xml:space="preserve"> </w:t>
      </w:r>
      <w:r w:rsidR="00EE5985">
        <w:t xml:space="preserve">může </w:t>
      </w:r>
      <w:r w:rsidR="00E61AB2">
        <w:t>MMR získat</w:t>
      </w:r>
      <w:r>
        <w:t xml:space="preserve"> pouze za úplatu. </w:t>
      </w:r>
      <w:r w:rsidRPr="008E1672">
        <w:rPr>
          <w:b/>
        </w:rPr>
        <w:t>MMR</w:t>
      </w:r>
      <w:r w:rsidR="00204386">
        <w:rPr>
          <w:b/>
        </w:rPr>
        <w:t xml:space="preserve"> </w:t>
      </w:r>
      <w:r w:rsidRPr="008E1672">
        <w:rPr>
          <w:b/>
        </w:rPr>
        <w:t>do</w:t>
      </w:r>
      <w:r w:rsidR="00204386">
        <w:rPr>
          <w:b/>
        </w:rPr>
        <w:t xml:space="preserve"> </w:t>
      </w:r>
      <w:r w:rsidRPr="008E1672">
        <w:rPr>
          <w:b/>
        </w:rPr>
        <w:t>ukončení kontroly neomezilo závislost na dodavateli</w:t>
      </w:r>
      <w:r w:rsidR="00E179EE">
        <w:rPr>
          <w:b/>
        </w:rPr>
        <w:t xml:space="preserve"> informačního systému</w:t>
      </w:r>
      <w:r w:rsidR="00981494" w:rsidRPr="008E1672">
        <w:rPr>
          <w:b/>
        </w:rPr>
        <w:t>, tzv.</w:t>
      </w:r>
      <w:r w:rsidR="00E179EE" w:rsidRPr="008E1672">
        <w:rPr>
          <w:b/>
        </w:rPr>
        <w:t> </w:t>
      </w:r>
      <w:r w:rsidR="00981494" w:rsidRPr="008E1672">
        <w:rPr>
          <w:b/>
        </w:rPr>
        <w:t>vendor</w:t>
      </w:r>
      <w:r w:rsidR="00E179EE">
        <w:rPr>
          <w:b/>
        </w:rPr>
        <w:t> </w:t>
      </w:r>
      <w:r w:rsidR="00981494" w:rsidRPr="008E1672">
        <w:rPr>
          <w:b/>
        </w:rPr>
        <w:t>lock-in</w:t>
      </w:r>
      <w:r w:rsidRPr="008E1672">
        <w:rPr>
          <w:b/>
        </w:rPr>
        <w:t>.</w:t>
      </w:r>
      <w:r>
        <w:t xml:space="preserve"> </w:t>
      </w:r>
    </w:p>
    <w:p w14:paraId="234AAF26" w14:textId="0E62BF5A" w:rsidR="00517DB6" w:rsidRDefault="00901603" w:rsidP="007B426B">
      <w:pPr>
        <w:spacing w:after="0"/>
      </w:pPr>
      <w:r>
        <w:t>N</w:t>
      </w:r>
      <w:r w:rsidR="000E113D">
        <w:t xml:space="preserve">a základě </w:t>
      </w:r>
      <w:r w:rsidR="00DF7A4A">
        <w:t>identifikovaných nedostatků v</w:t>
      </w:r>
      <w:r w:rsidR="00963B01">
        <w:t xml:space="preserve"> </w:t>
      </w:r>
      <w:r w:rsidR="00DF7A4A">
        <w:t xml:space="preserve">centralizovaném zadávání </w:t>
      </w:r>
      <w:r w:rsidR="00DF7A4A" w:rsidRPr="00354F0B">
        <w:rPr>
          <w:b/>
        </w:rPr>
        <w:t>NKÚ doporučuje</w:t>
      </w:r>
      <w:r w:rsidR="003F3651">
        <w:t xml:space="preserve"> </w:t>
      </w:r>
      <w:r w:rsidR="007B426B">
        <w:t>přehodnotit stávající nastavení systému centralizovaného zadávání a zejména:</w:t>
      </w:r>
      <w:r w:rsidR="000E113D">
        <w:t xml:space="preserve"> </w:t>
      </w:r>
    </w:p>
    <w:p w14:paraId="032E1CC6" w14:textId="77777777" w:rsidR="00517DB6" w:rsidRDefault="00DF7A4A" w:rsidP="007B426B">
      <w:pPr>
        <w:pStyle w:val="Odstavecseseznamem"/>
        <w:numPr>
          <w:ilvl w:val="0"/>
          <w:numId w:val="23"/>
        </w:numPr>
      </w:pPr>
      <w:r>
        <w:t>zaměřit pozor</w:t>
      </w:r>
      <w:r w:rsidR="00214B96">
        <w:t>nost</w:t>
      </w:r>
      <w:r>
        <w:t xml:space="preserve"> na </w:t>
      </w:r>
      <w:r w:rsidR="004243F7">
        <w:t xml:space="preserve">snižování </w:t>
      </w:r>
      <w:r w:rsidR="00A2362D">
        <w:t>administrativních</w:t>
      </w:r>
      <w:r>
        <w:t xml:space="preserve"> nákladů</w:t>
      </w:r>
      <w:r w:rsidR="00ED626C">
        <w:t xml:space="preserve"> </w:t>
      </w:r>
      <w:r>
        <w:t>a vyhodnocov</w:t>
      </w:r>
      <w:r w:rsidR="004243F7">
        <w:t xml:space="preserve">ání </w:t>
      </w:r>
      <w:r>
        <w:t>nefinančních přínos</w:t>
      </w:r>
      <w:r w:rsidR="004243F7">
        <w:t>ů</w:t>
      </w:r>
      <w:r>
        <w:t xml:space="preserve">; </w:t>
      </w:r>
    </w:p>
    <w:p w14:paraId="1B1294D9" w14:textId="77777777" w:rsidR="00517DB6" w:rsidRDefault="00517DB6" w:rsidP="007B426B">
      <w:pPr>
        <w:pStyle w:val="Odstavecseseznamem"/>
        <w:numPr>
          <w:ilvl w:val="0"/>
          <w:numId w:val="23"/>
        </w:numPr>
      </w:pPr>
      <w:r>
        <w:t xml:space="preserve">zajistit </w:t>
      </w:r>
      <w:r w:rsidR="00DF7A4A">
        <w:t xml:space="preserve">celkovou </w:t>
      </w:r>
      <w:r>
        <w:t>elektronizac</w:t>
      </w:r>
      <w:r w:rsidR="004243F7">
        <w:t>i</w:t>
      </w:r>
      <w:r>
        <w:t xml:space="preserve"> procesu centralizovaného zadávání</w:t>
      </w:r>
      <w:r w:rsidR="00140438">
        <w:t xml:space="preserve"> dle potřeb centrálních </w:t>
      </w:r>
      <w:r w:rsidR="004243F7">
        <w:t xml:space="preserve">a pověřujících </w:t>
      </w:r>
      <w:r w:rsidR="00140438">
        <w:t>zadavatelů</w:t>
      </w:r>
      <w:r>
        <w:t xml:space="preserve">, </w:t>
      </w:r>
      <w:r w:rsidR="004243F7">
        <w:t xml:space="preserve">která </w:t>
      </w:r>
      <w:r w:rsidR="000429FA">
        <w:t>by zajišťovala</w:t>
      </w:r>
      <w:r w:rsidR="004243F7">
        <w:t xml:space="preserve"> </w:t>
      </w:r>
      <w:r w:rsidR="00ED626C">
        <w:t xml:space="preserve">i </w:t>
      </w:r>
      <w:r>
        <w:t>automatiz</w:t>
      </w:r>
      <w:r w:rsidR="004243F7">
        <w:t xml:space="preserve">ovaný monitoring a </w:t>
      </w:r>
      <w:r>
        <w:t xml:space="preserve">vyhodnocování </w:t>
      </w:r>
      <w:r w:rsidR="00214B96">
        <w:t>finančních přínosů včetně</w:t>
      </w:r>
      <w:r w:rsidR="004243F7">
        <w:t xml:space="preserve"> vývoj</w:t>
      </w:r>
      <w:r w:rsidR="00214B96">
        <w:t>e</w:t>
      </w:r>
      <w:r w:rsidR="004243F7">
        <w:t xml:space="preserve"> cen nakupovaných komodit</w:t>
      </w:r>
      <w:r w:rsidR="00214B96">
        <w:t>;</w:t>
      </w:r>
    </w:p>
    <w:p w14:paraId="32E51629" w14:textId="77777777" w:rsidR="006B67DC" w:rsidRDefault="00A16242" w:rsidP="007B426B">
      <w:pPr>
        <w:pStyle w:val="Odstavecseseznamem"/>
        <w:numPr>
          <w:ilvl w:val="0"/>
          <w:numId w:val="22"/>
        </w:numPr>
      </w:pPr>
      <w:r>
        <w:t>p</w:t>
      </w:r>
      <w:r w:rsidR="004243F7">
        <w:t xml:space="preserve">řehodnotit </w:t>
      </w:r>
      <w:r w:rsidR="007B426B">
        <w:t xml:space="preserve">rozsah povinně </w:t>
      </w:r>
      <w:r w:rsidR="00214B96">
        <w:t>nakupovaných</w:t>
      </w:r>
      <w:r w:rsidR="007B426B">
        <w:t xml:space="preserve"> komodit</w:t>
      </w:r>
      <w:r w:rsidR="00280A9F">
        <w:t xml:space="preserve"> </w:t>
      </w:r>
      <w:r w:rsidR="004C7C83">
        <w:t>s ohledem na přínosy a negativní dopady na</w:t>
      </w:r>
      <w:r w:rsidR="00280A9F">
        <w:t xml:space="preserve"> centralizované zadávání.</w:t>
      </w:r>
    </w:p>
    <w:p w14:paraId="198FFEC2" w14:textId="77777777" w:rsidR="00F75C67" w:rsidRPr="00343079" w:rsidRDefault="004979FA" w:rsidP="006B67DC">
      <w:pPr>
        <w:pStyle w:val="Odstavecseseznamem"/>
        <w:numPr>
          <w:ilvl w:val="0"/>
          <w:numId w:val="22"/>
        </w:numPr>
        <w:ind w:left="0" w:firstLine="0"/>
      </w:pPr>
      <w:r w:rsidRPr="00343079">
        <w:br w:type="page"/>
      </w:r>
    </w:p>
    <w:p w14:paraId="442D267A" w14:textId="77777777" w:rsidR="00112DF7" w:rsidRPr="00343079" w:rsidRDefault="006B67DC" w:rsidP="006B67DC">
      <w:pPr>
        <w:pStyle w:val="Nadpis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lastRenderedPageBreak/>
        <w:t xml:space="preserve">II. </w:t>
      </w:r>
      <w:r w:rsidR="006445F0" w:rsidRPr="00343079">
        <w:rPr>
          <w:lang w:eastAsia="cs-CZ"/>
        </w:rPr>
        <w:t>I</w:t>
      </w:r>
      <w:r w:rsidR="000A35FB" w:rsidRPr="00343079">
        <w:rPr>
          <w:lang w:eastAsia="cs-CZ"/>
        </w:rPr>
        <w:t>nformace o kontrolované oblasti</w:t>
      </w:r>
    </w:p>
    <w:p w14:paraId="1329F389" w14:textId="1FCD17CB" w:rsidR="00223095" w:rsidRPr="00343079" w:rsidRDefault="006445F0" w:rsidP="008137B7">
      <w:pPr>
        <w:pStyle w:val="KZnormln"/>
        <w:rPr>
          <w:lang w:val="cs-CZ"/>
        </w:rPr>
      </w:pPr>
      <w:r w:rsidRPr="00343079">
        <w:rPr>
          <w:lang w:val="cs-CZ"/>
        </w:rPr>
        <w:t xml:space="preserve">Centralizované zadávání představuje způsob pořizování dodávek, služeb nebo stavebních prací </w:t>
      </w:r>
      <w:r w:rsidR="00485D93" w:rsidRPr="00343079">
        <w:rPr>
          <w:lang w:val="cs-CZ"/>
        </w:rPr>
        <w:t>realizovan</w:t>
      </w:r>
      <w:r w:rsidR="00D3146C">
        <w:rPr>
          <w:lang w:val="cs-CZ"/>
        </w:rPr>
        <w:t>ého</w:t>
      </w:r>
      <w:r w:rsidR="00485D93" w:rsidRPr="00343079">
        <w:rPr>
          <w:lang w:val="cs-CZ"/>
        </w:rPr>
        <w:t xml:space="preserve"> </w:t>
      </w:r>
      <w:r w:rsidR="000246F3">
        <w:rPr>
          <w:lang w:val="cs-CZ"/>
        </w:rPr>
        <w:t>jedním zadavatelem (</w:t>
      </w:r>
      <w:r w:rsidRPr="00343079">
        <w:rPr>
          <w:lang w:val="cs-CZ"/>
        </w:rPr>
        <w:t>centrální zadavatel</w:t>
      </w:r>
      <w:r w:rsidR="000246F3">
        <w:rPr>
          <w:lang w:val="cs-CZ"/>
        </w:rPr>
        <w:t>)</w:t>
      </w:r>
      <w:r w:rsidRPr="00343079">
        <w:rPr>
          <w:lang w:val="cs-CZ"/>
        </w:rPr>
        <w:t xml:space="preserve">, který </w:t>
      </w:r>
      <w:r w:rsidR="00452BC9" w:rsidRPr="00343079">
        <w:rPr>
          <w:lang w:val="cs-CZ"/>
        </w:rPr>
        <w:t>kumuluje</w:t>
      </w:r>
      <w:r w:rsidR="00485D93" w:rsidRPr="00343079">
        <w:rPr>
          <w:lang w:val="cs-CZ"/>
        </w:rPr>
        <w:t xml:space="preserve"> </w:t>
      </w:r>
      <w:r w:rsidR="00720293" w:rsidRPr="00343079">
        <w:rPr>
          <w:lang w:val="cs-CZ"/>
        </w:rPr>
        <w:t xml:space="preserve">poptávku </w:t>
      </w:r>
      <w:r w:rsidR="00004CB1" w:rsidRPr="00343079">
        <w:rPr>
          <w:lang w:val="cs-CZ"/>
        </w:rPr>
        <w:t>po</w:t>
      </w:r>
      <w:r w:rsidR="00204386">
        <w:rPr>
          <w:lang w:val="cs-CZ"/>
        </w:rPr>
        <w:t xml:space="preserve"> </w:t>
      </w:r>
      <w:r w:rsidR="000246F3" w:rsidRPr="00343079">
        <w:rPr>
          <w:lang w:val="cs-CZ"/>
        </w:rPr>
        <w:t>komoditách</w:t>
      </w:r>
      <w:r w:rsidR="000246F3">
        <w:rPr>
          <w:lang w:val="cs-CZ"/>
        </w:rPr>
        <w:t xml:space="preserve"> od dalších zadavatelů (</w:t>
      </w:r>
      <w:r w:rsidR="00485D93" w:rsidRPr="00343079" w:rsidDel="00972CDE">
        <w:rPr>
          <w:lang w:val="cs-CZ"/>
        </w:rPr>
        <w:t xml:space="preserve">pověřující </w:t>
      </w:r>
      <w:r w:rsidRPr="00343079" w:rsidDel="00972CDE">
        <w:rPr>
          <w:lang w:val="cs-CZ"/>
        </w:rPr>
        <w:t>zadavatel</w:t>
      </w:r>
      <w:r w:rsidR="000246F3">
        <w:rPr>
          <w:lang w:val="cs-CZ"/>
        </w:rPr>
        <w:t>é)</w:t>
      </w:r>
      <w:r w:rsidRPr="00343079" w:rsidDel="00972CDE">
        <w:rPr>
          <w:lang w:val="cs-CZ"/>
        </w:rPr>
        <w:t>.</w:t>
      </w:r>
      <w:r w:rsidRPr="00343079">
        <w:rPr>
          <w:lang w:val="cs-CZ" w:eastAsia="cs-CZ"/>
        </w:rPr>
        <w:t xml:space="preserve"> </w:t>
      </w:r>
      <w:r w:rsidR="00720293" w:rsidRPr="00343079">
        <w:rPr>
          <w:lang w:val="cs-CZ" w:eastAsia="cs-CZ"/>
        </w:rPr>
        <w:t>Z</w:t>
      </w:r>
      <w:r w:rsidRPr="00343079">
        <w:rPr>
          <w:lang w:val="cs-CZ" w:eastAsia="cs-CZ"/>
        </w:rPr>
        <w:t>ákon č</w:t>
      </w:r>
      <w:r w:rsidR="0093460D" w:rsidRPr="00343079">
        <w:rPr>
          <w:lang w:val="cs-CZ" w:eastAsia="cs-CZ"/>
        </w:rPr>
        <w:t>.</w:t>
      </w:r>
      <w:r w:rsidR="00963B01">
        <w:rPr>
          <w:lang w:val="cs-CZ" w:eastAsia="cs-CZ"/>
        </w:rPr>
        <w:t xml:space="preserve"> </w:t>
      </w:r>
      <w:r w:rsidRPr="00343079">
        <w:rPr>
          <w:lang w:val="cs-CZ" w:eastAsia="cs-CZ"/>
        </w:rPr>
        <w:t>134/</w:t>
      </w:r>
      <w:r w:rsidR="0093460D" w:rsidRPr="00343079">
        <w:rPr>
          <w:lang w:val="cs-CZ" w:eastAsia="cs-CZ"/>
        </w:rPr>
        <w:t>2016</w:t>
      </w:r>
      <w:r w:rsidR="00963B01">
        <w:rPr>
          <w:lang w:val="cs-CZ" w:eastAsia="cs-CZ"/>
        </w:rPr>
        <w:t xml:space="preserve"> </w:t>
      </w:r>
      <w:r w:rsidRPr="00343079">
        <w:rPr>
          <w:lang w:val="cs-CZ" w:eastAsia="cs-CZ"/>
        </w:rPr>
        <w:t xml:space="preserve">Sb., </w:t>
      </w:r>
      <w:r w:rsidR="00004CB1" w:rsidRPr="00343079">
        <w:rPr>
          <w:lang w:val="cs-CZ" w:eastAsia="cs-CZ"/>
        </w:rPr>
        <w:t>o</w:t>
      </w:r>
      <w:r w:rsidR="00004CB1">
        <w:rPr>
          <w:lang w:val="cs-CZ" w:eastAsia="cs-CZ"/>
        </w:rPr>
        <w:t> </w:t>
      </w:r>
      <w:r w:rsidRPr="00343079">
        <w:rPr>
          <w:lang w:val="cs-CZ" w:eastAsia="cs-CZ"/>
        </w:rPr>
        <w:t>zadávání veřejných zakázek,</w:t>
      </w:r>
      <w:r w:rsidR="0019331A">
        <w:rPr>
          <w:lang w:val="cs-CZ" w:eastAsia="cs-CZ"/>
        </w:rPr>
        <w:t xml:space="preserve"> </w:t>
      </w:r>
      <w:r w:rsidR="0019331A" w:rsidRPr="00343079">
        <w:rPr>
          <w:lang w:val="cs-CZ" w:eastAsia="cs-CZ"/>
        </w:rPr>
        <w:t xml:space="preserve">obecně </w:t>
      </w:r>
      <w:r w:rsidRPr="00343079">
        <w:rPr>
          <w:lang w:val="cs-CZ" w:eastAsia="cs-CZ"/>
        </w:rPr>
        <w:t>vymezuje fungování</w:t>
      </w:r>
      <w:r w:rsidR="00720293" w:rsidRPr="00343079">
        <w:rPr>
          <w:lang w:val="cs-CZ" w:eastAsia="cs-CZ"/>
        </w:rPr>
        <w:t xml:space="preserve"> centralizovaného zadávání a</w:t>
      </w:r>
      <w:r w:rsidRPr="00343079" w:rsidDel="00720293">
        <w:rPr>
          <w:lang w:val="cs-CZ" w:eastAsia="cs-CZ"/>
        </w:rPr>
        <w:t xml:space="preserve"> </w:t>
      </w:r>
      <w:r w:rsidR="00E46366" w:rsidRPr="00343079">
        <w:rPr>
          <w:lang w:val="cs-CZ" w:eastAsia="cs-CZ"/>
        </w:rPr>
        <w:t>dále též</w:t>
      </w:r>
      <w:r w:rsidRPr="00343079">
        <w:rPr>
          <w:lang w:val="cs-CZ" w:eastAsia="cs-CZ"/>
        </w:rPr>
        <w:t xml:space="preserve"> práva a</w:t>
      </w:r>
      <w:r w:rsidR="00CE5C60">
        <w:rPr>
          <w:lang w:val="cs-CZ" w:eastAsia="cs-CZ"/>
        </w:rPr>
        <w:t> </w:t>
      </w:r>
      <w:r w:rsidRPr="00343079">
        <w:rPr>
          <w:lang w:val="cs-CZ" w:eastAsia="cs-CZ"/>
        </w:rPr>
        <w:t xml:space="preserve">povinnosti </w:t>
      </w:r>
      <w:r w:rsidR="00A41C57" w:rsidRPr="00343079">
        <w:rPr>
          <w:lang w:val="cs-CZ" w:eastAsia="cs-CZ"/>
        </w:rPr>
        <w:t>centrálního</w:t>
      </w:r>
      <w:r w:rsidR="00A41C57" w:rsidRPr="00343079" w:rsidDel="0093460D">
        <w:rPr>
          <w:lang w:val="cs-CZ" w:eastAsia="cs-CZ"/>
        </w:rPr>
        <w:t xml:space="preserve"> </w:t>
      </w:r>
      <w:r w:rsidR="00A41C57" w:rsidRPr="00343079">
        <w:rPr>
          <w:lang w:val="cs-CZ" w:eastAsia="cs-CZ"/>
        </w:rPr>
        <w:t>a pověřují</w:t>
      </w:r>
      <w:r w:rsidR="00D07D21" w:rsidRPr="00343079">
        <w:rPr>
          <w:lang w:val="cs-CZ" w:eastAsia="cs-CZ"/>
        </w:rPr>
        <w:t>cího</w:t>
      </w:r>
      <w:r w:rsidR="00A41C57" w:rsidRPr="00343079">
        <w:rPr>
          <w:lang w:val="cs-CZ" w:eastAsia="cs-CZ"/>
        </w:rPr>
        <w:t xml:space="preserve"> zadavatele</w:t>
      </w:r>
      <w:r w:rsidR="0088320F">
        <w:rPr>
          <w:lang w:val="cs-CZ" w:eastAsia="cs-CZ"/>
        </w:rPr>
        <w:t>.</w:t>
      </w:r>
      <w:r w:rsidRPr="00343079">
        <w:rPr>
          <w:rStyle w:val="Znakapoznpodarou"/>
          <w:lang w:val="cs-CZ" w:eastAsia="cs-CZ"/>
        </w:rPr>
        <w:footnoteReference w:id="4"/>
      </w:r>
      <w:r w:rsidR="00485D93" w:rsidRPr="00343079">
        <w:rPr>
          <w:lang w:val="cs-CZ" w:eastAsia="cs-CZ"/>
        </w:rPr>
        <w:t xml:space="preserve"> </w:t>
      </w:r>
      <w:r w:rsidR="00CB41F5">
        <w:rPr>
          <w:lang w:val="cs-CZ" w:eastAsia="cs-CZ"/>
        </w:rPr>
        <w:t>Na základě toho</w:t>
      </w:r>
      <w:r w:rsidR="00694C50">
        <w:rPr>
          <w:lang w:val="cs-CZ" w:eastAsia="cs-CZ"/>
        </w:rPr>
        <w:t>to zákona</w:t>
      </w:r>
      <w:r w:rsidR="00CB41F5">
        <w:rPr>
          <w:lang w:val="cs-CZ" w:eastAsia="cs-CZ"/>
        </w:rPr>
        <w:t xml:space="preserve"> </w:t>
      </w:r>
      <w:r w:rsidR="00004CB1">
        <w:rPr>
          <w:lang w:val="cs-CZ" w:eastAsia="cs-CZ"/>
        </w:rPr>
        <w:t>se</w:t>
      </w:r>
      <w:r w:rsidR="00204386">
        <w:rPr>
          <w:lang w:val="cs-CZ" w:eastAsia="cs-CZ"/>
        </w:rPr>
        <w:t xml:space="preserve"> </w:t>
      </w:r>
      <w:r w:rsidR="00CB41F5">
        <w:rPr>
          <w:lang w:val="cs-CZ" w:eastAsia="cs-CZ"/>
        </w:rPr>
        <w:t>zadavatelé mohou dohodnout na centralizovaném nákupu libovolné komodity.</w:t>
      </w:r>
    </w:p>
    <w:p w14:paraId="4B7080BF" w14:textId="77777777" w:rsidR="00BC0199" w:rsidRDefault="00491068" w:rsidP="008137B7">
      <w:pPr>
        <w:pStyle w:val="KZnormln"/>
        <w:rPr>
          <w:lang w:val="cs-CZ"/>
        </w:rPr>
      </w:pPr>
      <w:r>
        <w:rPr>
          <w:lang w:val="cs-CZ"/>
        </w:rPr>
        <w:t>Vláda</w:t>
      </w:r>
      <w:r w:rsidR="000246F3">
        <w:rPr>
          <w:lang w:val="cs-CZ"/>
        </w:rPr>
        <w:t xml:space="preserve"> </w:t>
      </w:r>
      <w:r>
        <w:rPr>
          <w:lang w:val="cs-CZ"/>
        </w:rPr>
        <w:t xml:space="preserve">zavedla </w:t>
      </w:r>
      <w:r w:rsidR="00DD07BB" w:rsidRPr="00343079">
        <w:rPr>
          <w:lang w:val="cs-CZ"/>
        </w:rPr>
        <w:t>dva</w:t>
      </w:r>
      <w:r w:rsidR="002D5CF6" w:rsidRPr="00343079">
        <w:rPr>
          <w:lang w:val="cs-CZ"/>
        </w:rPr>
        <w:t xml:space="preserve"> </w:t>
      </w:r>
      <w:r w:rsidR="00DD07BB" w:rsidRPr="00343079">
        <w:rPr>
          <w:lang w:val="cs-CZ"/>
        </w:rPr>
        <w:t>systémy centralizovaného zadáván</w:t>
      </w:r>
      <w:r w:rsidR="00140438">
        <w:rPr>
          <w:lang w:val="cs-CZ"/>
        </w:rPr>
        <w:t>í,</w:t>
      </w:r>
      <w:r w:rsidR="002D5CF6" w:rsidRPr="00343079">
        <w:rPr>
          <w:lang w:val="cs-CZ"/>
        </w:rPr>
        <w:t xml:space="preserve"> </w:t>
      </w:r>
      <w:r w:rsidR="000246F3">
        <w:rPr>
          <w:lang w:val="cs-CZ"/>
        </w:rPr>
        <w:t xml:space="preserve">a to </w:t>
      </w:r>
      <w:r w:rsidR="000246F3" w:rsidRPr="00343079">
        <w:rPr>
          <w:i/>
          <w:lang w:val="cs-CZ"/>
        </w:rPr>
        <w:t>Resortní systém centralizovaného zadávání veřejných zakázek</w:t>
      </w:r>
      <w:r w:rsidR="000246F3" w:rsidRPr="00343079">
        <w:rPr>
          <w:lang w:val="cs-CZ"/>
        </w:rPr>
        <w:t xml:space="preserve"> </w:t>
      </w:r>
      <w:r w:rsidR="003F3651">
        <w:rPr>
          <w:lang w:val="cs-CZ"/>
        </w:rPr>
        <w:t>(RS</w:t>
      </w:r>
      <w:r w:rsidR="00963B01">
        <w:rPr>
          <w:lang w:val="cs-CZ"/>
        </w:rPr>
        <w:t xml:space="preserve"> </w:t>
      </w:r>
      <w:r w:rsidR="003F3651">
        <w:rPr>
          <w:lang w:val="cs-CZ"/>
        </w:rPr>
        <w:t>CZ)</w:t>
      </w:r>
      <w:r w:rsidR="00CD26F8">
        <w:rPr>
          <w:rStyle w:val="Znakapoznpodarou"/>
          <w:lang w:val="cs-CZ"/>
        </w:rPr>
        <w:footnoteReference w:id="5"/>
      </w:r>
      <w:r w:rsidR="000246F3" w:rsidRPr="00343079">
        <w:rPr>
          <w:lang w:val="cs-CZ"/>
        </w:rPr>
        <w:t xml:space="preserve"> a </w:t>
      </w:r>
      <w:r w:rsidR="000246F3" w:rsidRPr="00343079">
        <w:rPr>
          <w:i/>
          <w:lang w:val="cs-CZ"/>
        </w:rPr>
        <w:t>Centrální nákup státu</w:t>
      </w:r>
      <w:r w:rsidR="003F3651">
        <w:rPr>
          <w:lang w:val="cs-CZ"/>
        </w:rPr>
        <w:t xml:space="preserve"> (CNS)</w:t>
      </w:r>
      <w:r w:rsidR="00CD26F8">
        <w:rPr>
          <w:rStyle w:val="Znakapoznpodarou"/>
          <w:lang w:val="cs-CZ"/>
        </w:rPr>
        <w:footnoteReference w:id="6"/>
      </w:r>
      <w:r w:rsidR="000246F3" w:rsidRPr="00343079">
        <w:rPr>
          <w:lang w:val="cs-CZ"/>
        </w:rPr>
        <w:t>.</w:t>
      </w:r>
      <w:r w:rsidR="00CB41F5">
        <w:rPr>
          <w:lang w:val="cs-CZ"/>
        </w:rPr>
        <w:t xml:space="preserve"> </w:t>
      </w:r>
      <w:r w:rsidR="00EB4B10">
        <w:rPr>
          <w:lang w:val="cs-CZ"/>
        </w:rPr>
        <w:t xml:space="preserve">Vláda vymezila subjekty, </w:t>
      </w:r>
      <w:r w:rsidR="00CB41F5">
        <w:rPr>
          <w:lang w:val="cs-CZ"/>
        </w:rPr>
        <w:t>které mají vykonávat roli</w:t>
      </w:r>
      <w:r w:rsidR="00CB41F5" w:rsidRPr="00343079">
        <w:rPr>
          <w:lang w:val="cs-CZ"/>
        </w:rPr>
        <w:t xml:space="preserve"> centrální</w:t>
      </w:r>
      <w:r w:rsidR="00CB41F5">
        <w:rPr>
          <w:lang w:val="cs-CZ"/>
        </w:rPr>
        <w:t>ch</w:t>
      </w:r>
      <w:r w:rsidR="00CB41F5" w:rsidRPr="00343079">
        <w:rPr>
          <w:lang w:val="cs-CZ"/>
        </w:rPr>
        <w:t xml:space="preserve"> a pověřujících zadavatelů</w:t>
      </w:r>
      <w:r w:rsidR="00EB4B10">
        <w:rPr>
          <w:lang w:val="cs-CZ"/>
        </w:rPr>
        <w:t>, jejich</w:t>
      </w:r>
      <w:r>
        <w:rPr>
          <w:lang w:val="cs-CZ"/>
        </w:rPr>
        <w:t xml:space="preserve"> </w:t>
      </w:r>
      <w:r w:rsidR="002D5CF6" w:rsidRPr="00343079">
        <w:rPr>
          <w:lang w:val="cs-CZ"/>
        </w:rPr>
        <w:t>práv</w:t>
      </w:r>
      <w:r w:rsidR="00D72800">
        <w:rPr>
          <w:lang w:val="cs-CZ"/>
        </w:rPr>
        <w:t>a</w:t>
      </w:r>
      <w:r w:rsidR="002D5CF6" w:rsidRPr="00343079">
        <w:rPr>
          <w:lang w:val="cs-CZ"/>
        </w:rPr>
        <w:t xml:space="preserve"> a povinnost</w:t>
      </w:r>
      <w:r w:rsidR="000246F3">
        <w:rPr>
          <w:lang w:val="cs-CZ"/>
        </w:rPr>
        <w:t>i</w:t>
      </w:r>
      <w:r w:rsidR="002D5CF6" w:rsidRPr="00343079">
        <w:rPr>
          <w:lang w:val="cs-CZ"/>
        </w:rPr>
        <w:t>, komodit</w:t>
      </w:r>
      <w:r w:rsidR="000246F3">
        <w:rPr>
          <w:lang w:val="cs-CZ"/>
        </w:rPr>
        <w:t>y pořizované v</w:t>
      </w:r>
      <w:r w:rsidR="00963B01">
        <w:rPr>
          <w:lang w:val="cs-CZ"/>
        </w:rPr>
        <w:t xml:space="preserve"> </w:t>
      </w:r>
      <w:r w:rsidR="000246F3">
        <w:rPr>
          <w:lang w:val="cs-CZ"/>
        </w:rPr>
        <w:t>těchto systémech</w:t>
      </w:r>
      <w:r w:rsidR="002D5CF6" w:rsidRPr="00343079">
        <w:rPr>
          <w:lang w:val="cs-CZ"/>
        </w:rPr>
        <w:t xml:space="preserve"> a</w:t>
      </w:r>
      <w:r w:rsidR="00963B01">
        <w:rPr>
          <w:lang w:val="cs-CZ"/>
        </w:rPr>
        <w:t xml:space="preserve"> </w:t>
      </w:r>
      <w:r w:rsidR="00EB4B10">
        <w:rPr>
          <w:lang w:val="cs-CZ"/>
        </w:rPr>
        <w:t xml:space="preserve">dále </w:t>
      </w:r>
      <w:r w:rsidR="002D5D26">
        <w:rPr>
          <w:lang w:val="cs-CZ"/>
        </w:rPr>
        <w:t xml:space="preserve">stanovila </w:t>
      </w:r>
      <w:r w:rsidR="002D5CF6" w:rsidRPr="00343079">
        <w:rPr>
          <w:lang w:val="cs-CZ"/>
        </w:rPr>
        <w:t>pravid</w:t>
      </w:r>
      <w:r w:rsidR="000246F3">
        <w:rPr>
          <w:lang w:val="cs-CZ"/>
        </w:rPr>
        <w:t>la</w:t>
      </w:r>
      <w:r w:rsidR="00CB41F5">
        <w:rPr>
          <w:lang w:val="cs-CZ"/>
        </w:rPr>
        <w:t xml:space="preserve"> </w:t>
      </w:r>
      <w:r w:rsidR="00D14CA5">
        <w:rPr>
          <w:lang w:val="cs-CZ"/>
        </w:rPr>
        <w:t>fungování</w:t>
      </w:r>
      <w:r w:rsidR="00EB4B10">
        <w:rPr>
          <w:lang w:val="cs-CZ"/>
        </w:rPr>
        <w:t xml:space="preserve"> CNS a RS CZ</w:t>
      </w:r>
      <w:r w:rsidR="00D14CA5">
        <w:rPr>
          <w:lang w:val="cs-CZ"/>
        </w:rPr>
        <w:t>.</w:t>
      </w:r>
    </w:p>
    <w:p w14:paraId="3607FF25" w14:textId="77777777" w:rsidR="00BC0199" w:rsidRPr="00343079" w:rsidRDefault="00B2536F" w:rsidP="00231F0E">
      <w:pPr>
        <w:spacing w:before="120"/>
      </w:pPr>
      <w:r>
        <w:t>V RS</w:t>
      </w:r>
      <w:r w:rsidR="00963B01">
        <w:t xml:space="preserve"> </w:t>
      </w:r>
      <w:r>
        <w:t xml:space="preserve">CZ </w:t>
      </w:r>
      <w:r w:rsidR="00231F0E">
        <w:t xml:space="preserve">pořizují </w:t>
      </w:r>
      <w:r>
        <w:t>centrální zadavatelé povinné i resortní komodity</w:t>
      </w:r>
      <w:r w:rsidR="00231F0E">
        <w:rPr>
          <w:rStyle w:val="Znakapoznpodarou"/>
        </w:rPr>
        <w:footnoteReference w:id="7"/>
      </w:r>
      <w:r>
        <w:t xml:space="preserve"> pro potřeby</w:t>
      </w:r>
      <w:r w:rsidR="007D230E">
        <w:t xml:space="preserve"> všech</w:t>
      </w:r>
      <w:r>
        <w:t xml:space="preserve"> organizací daného resortu.</w:t>
      </w:r>
      <w:r w:rsidRPr="00343079">
        <w:t xml:space="preserve"> </w:t>
      </w:r>
      <w:r w:rsidR="00CB41F5">
        <w:t xml:space="preserve">Povinné komodity </w:t>
      </w:r>
      <w:r w:rsidR="00A57B2A">
        <w:t>v</w:t>
      </w:r>
      <w:r w:rsidR="00963B01">
        <w:t xml:space="preserve"> </w:t>
      </w:r>
      <w:r w:rsidR="00A57B2A">
        <w:t xml:space="preserve">RS CZ </w:t>
      </w:r>
      <w:r w:rsidR="00CB41F5">
        <w:t>byly stanoveny usnesením vlády</w:t>
      </w:r>
      <w:r w:rsidR="00CB41F5">
        <w:rPr>
          <w:rStyle w:val="Znakapoznpodarou"/>
        </w:rPr>
        <w:footnoteReference w:id="8"/>
      </w:r>
      <w:r w:rsidR="00CB41F5">
        <w:t xml:space="preserve"> a</w:t>
      </w:r>
      <w:r w:rsidR="00DC580E">
        <w:t> </w:t>
      </w:r>
      <w:r w:rsidR="00CB41F5">
        <w:t xml:space="preserve">zahrnují např. elektrickou energii, osobní vozidla či kancelářskou techniku a zařízení. </w:t>
      </w:r>
      <w:r w:rsidR="00D72800">
        <w:t>RS</w:t>
      </w:r>
      <w:r w:rsidR="00963B01">
        <w:t xml:space="preserve"> </w:t>
      </w:r>
      <w:r w:rsidR="00D72800">
        <w:t xml:space="preserve">CZ měly zavést všechny </w:t>
      </w:r>
      <w:r w:rsidR="003F3651">
        <w:t xml:space="preserve">ústřední orgány státní správy </w:t>
      </w:r>
      <w:r w:rsidR="00D72800">
        <w:t>v</w:t>
      </w:r>
      <w:r w:rsidR="00963B01">
        <w:t xml:space="preserve"> </w:t>
      </w:r>
      <w:r w:rsidR="00D72800">
        <w:t>případě</w:t>
      </w:r>
      <w:r w:rsidR="00AD4E73">
        <w:t>,</w:t>
      </w:r>
      <w:r w:rsidR="00D72800">
        <w:t xml:space="preserve"> že měly </w:t>
      </w:r>
      <w:r w:rsidR="00E67719">
        <w:t>alespoň dvě podřízené organizace</w:t>
      </w:r>
      <w:r w:rsidR="00F06351">
        <w:rPr>
          <w:rStyle w:val="Znakapoznpodarou"/>
        </w:rPr>
        <w:footnoteReference w:id="9"/>
      </w:r>
      <w:r w:rsidR="00574355">
        <w:t xml:space="preserve">, </w:t>
      </w:r>
      <w:r w:rsidR="00F06351">
        <w:t xml:space="preserve">a to </w:t>
      </w:r>
      <w:r w:rsidR="00574355">
        <w:t xml:space="preserve">nejpozději </w:t>
      </w:r>
      <w:r w:rsidR="00574355" w:rsidRPr="00411C96">
        <w:t>do</w:t>
      </w:r>
      <w:r w:rsidR="00963B01">
        <w:t xml:space="preserve"> </w:t>
      </w:r>
      <w:r w:rsidR="00574355" w:rsidRPr="00411C96">
        <w:t>30.</w:t>
      </w:r>
      <w:r w:rsidR="00963B01">
        <w:t xml:space="preserve"> </w:t>
      </w:r>
      <w:r w:rsidR="00574355" w:rsidRPr="00411C96">
        <w:t xml:space="preserve">dubna </w:t>
      </w:r>
      <w:r w:rsidR="00F06351">
        <w:t>2012</w:t>
      </w:r>
      <w:r w:rsidR="00FB3EAE">
        <w:t>.</w:t>
      </w:r>
      <w:r w:rsidR="00E67719" w:rsidRPr="00343079">
        <w:t xml:space="preserve"> </w:t>
      </w:r>
      <w:r w:rsidR="00BC0199" w:rsidRPr="00343079">
        <w:t>V</w:t>
      </w:r>
      <w:r w:rsidR="00963B01">
        <w:t xml:space="preserve"> </w:t>
      </w:r>
      <w:r w:rsidR="00BC0199" w:rsidRPr="00343079">
        <w:t>době ukončení kontroly bylo zavedeno 16</w:t>
      </w:r>
      <w:r w:rsidR="00491573">
        <w:t> </w:t>
      </w:r>
      <w:r w:rsidR="00BC0199" w:rsidRPr="00343079">
        <w:t xml:space="preserve">resortních systémů centralizovaného zadávání. </w:t>
      </w:r>
    </w:p>
    <w:p w14:paraId="6BD40D86" w14:textId="77777777" w:rsidR="00FB3EAE" w:rsidRDefault="00FB3EAE" w:rsidP="00FB3EAE">
      <w:pPr>
        <w:pStyle w:val="KZnormln"/>
        <w:rPr>
          <w:highlight w:val="yellow"/>
          <w:lang w:val="cs-CZ"/>
        </w:rPr>
      </w:pPr>
      <w:r>
        <w:t>Správcem RS</w:t>
      </w:r>
      <w:r w:rsidR="00963B01">
        <w:t xml:space="preserve"> </w:t>
      </w:r>
      <w:r>
        <w:t xml:space="preserve">CZ bylo stanoveno MMR, </w:t>
      </w:r>
      <w:r w:rsidR="003A49D2">
        <w:rPr>
          <w:lang w:val="cs-CZ"/>
        </w:rPr>
        <w:t>které</w:t>
      </w:r>
      <w:r w:rsidR="00574355">
        <w:rPr>
          <w:lang w:val="cs-CZ"/>
        </w:rPr>
        <w:t xml:space="preserve"> mělo</w:t>
      </w:r>
      <w:r>
        <w:t xml:space="preserve"> zajistit zejména metodickou podporu všech resortních systémů, připravit seznam povinných komodit, spravovat číselník NIPEZ</w:t>
      </w:r>
      <w:r w:rsidR="00796BF2">
        <w:rPr>
          <w:rStyle w:val="Znakapoznpodarou"/>
        </w:rPr>
        <w:footnoteReference w:id="10"/>
      </w:r>
      <w:r>
        <w:t xml:space="preserve">, připravit a spravovat vzorové smlouvy a vzorové zadávací postupy, vypracovat </w:t>
      </w:r>
      <w:r w:rsidRPr="00343079">
        <w:t>metodik</w:t>
      </w:r>
      <w:r>
        <w:t>u</w:t>
      </w:r>
      <w:r w:rsidRPr="00343079">
        <w:t xml:space="preserve"> výpočtu úspor</w:t>
      </w:r>
      <w:r>
        <w:t>, př</w:t>
      </w:r>
      <w:r w:rsidR="00BC386B">
        <w:t>edkládat změny pravidel RS</w:t>
      </w:r>
      <w:r w:rsidR="00963B01">
        <w:t xml:space="preserve"> </w:t>
      </w:r>
      <w:r w:rsidR="00BC386B">
        <w:t>CZ</w:t>
      </w:r>
      <w:r w:rsidR="00BC386B">
        <w:rPr>
          <w:lang w:val="cs-CZ"/>
        </w:rPr>
        <w:t xml:space="preserve">, </w:t>
      </w:r>
      <w:r>
        <w:t>provádět kontrolu, zda resortní pravidla jsou v</w:t>
      </w:r>
      <w:r w:rsidR="00963B01">
        <w:t xml:space="preserve"> </w:t>
      </w:r>
      <w:r>
        <w:t>souladu s</w:t>
      </w:r>
      <w:r w:rsidR="00963B01">
        <w:t xml:space="preserve"> </w:t>
      </w:r>
      <w:r>
        <w:t>pravidly RS</w:t>
      </w:r>
      <w:r w:rsidR="00963B01">
        <w:t xml:space="preserve"> </w:t>
      </w:r>
      <w:r>
        <w:t>CZ</w:t>
      </w:r>
      <w:r w:rsidR="00D3146C">
        <w:rPr>
          <w:lang w:val="cs-CZ"/>
        </w:rPr>
        <w:t>,</w:t>
      </w:r>
      <w:r w:rsidR="00BC386B">
        <w:rPr>
          <w:lang w:val="cs-CZ"/>
        </w:rPr>
        <w:t xml:space="preserve"> a vypracovávat zprávu o hodnocení resortních systémů centralizovaného zadávání</w:t>
      </w:r>
      <w:r w:rsidR="00796BF2">
        <w:rPr>
          <w:rStyle w:val="Znakapoznpodarou"/>
        </w:rPr>
        <w:footnoteReference w:id="11"/>
      </w:r>
      <w:r w:rsidRPr="00343079">
        <w:t>.</w:t>
      </w:r>
    </w:p>
    <w:p w14:paraId="4117BAC7" w14:textId="6B347F3C" w:rsidR="009D0927" w:rsidRPr="00FA44AB" w:rsidRDefault="00E070D3" w:rsidP="009D0927">
      <w:pPr>
        <w:pStyle w:val="KZnormln"/>
        <w:rPr>
          <w:rFonts w:cs="Arial"/>
          <w:i/>
          <w:szCs w:val="20"/>
        </w:rPr>
      </w:pPr>
      <w:r>
        <w:rPr>
          <w:lang w:val="cs-CZ"/>
        </w:rPr>
        <w:t>Vláda</w:t>
      </w:r>
      <w:r w:rsidRPr="00E070D3">
        <w:rPr>
          <w:lang w:val="cs-CZ"/>
        </w:rPr>
        <w:t xml:space="preserve"> </w:t>
      </w:r>
      <w:r>
        <w:rPr>
          <w:lang w:val="cs-CZ"/>
        </w:rPr>
        <w:t>stanovil</w:t>
      </w:r>
      <w:r w:rsidR="005953E5">
        <w:rPr>
          <w:lang w:val="cs-CZ"/>
        </w:rPr>
        <w:t>a</w:t>
      </w:r>
      <w:r>
        <w:rPr>
          <w:lang w:val="cs-CZ"/>
        </w:rPr>
        <w:t xml:space="preserve"> ve svém programovém prohlášení z</w:t>
      </w:r>
      <w:r w:rsidR="00963B01">
        <w:rPr>
          <w:lang w:val="cs-CZ"/>
        </w:rPr>
        <w:t xml:space="preserve"> </w:t>
      </w:r>
      <w:r>
        <w:rPr>
          <w:lang w:val="cs-CZ"/>
        </w:rPr>
        <w:t xml:space="preserve">roku 2014 za jednu ze svých priorit maximální možnou míru centralizace nákupu zboží a služeb. </w:t>
      </w:r>
      <w:r w:rsidR="003A49D2">
        <w:rPr>
          <w:lang w:val="cs-CZ"/>
        </w:rPr>
        <w:t>Dle</w:t>
      </w:r>
      <w:r>
        <w:rPr>
          <w:lang w:val="cs-CZ"/>
        </w:rPr>
        <w:t xml:space="preserve"> usnesení </w:t>
      </w:r>
      <w:r w:rsidR="003A49D2">
        <w:rPr>
          <w:lang w:val="cs-CZ" w:eastAsia="cs-CZ"/>
        </w:rPr>
        <w:t>vlády</w:t>
      </w:r>
      <w:r w:rsidR="00CD26F8">
        <w:rPr>
          <w:vertAlign w:val="superscript"/>
          <w:lang w:val="cs-CZ" w:eastAsia="cs-CZ"/>
        </w:rPr>
        <w:t>5</w:t>
      </w:r>
      <w:r w:rsidR="00A41C57" w:rsidRPr="00343079">
        <w:rPr>
          <w:lang w:val="cs-CZ" w:eastAsia="cs-CZ"/>
        </w:rPr>
        <w:t xml:space="preserve"> měl </w:t>
      </w:r>
      <w:r w:rsidR="00047BCE">
        <w:rPr>
          <w:lang w:val="cs-CZ" w:eastAsia="cs-CZ"/>
        </w:rPr>
        <w:t>1. </w:t>
      </w:r>
      <w:r w:rsidR="00A41C57" w:rsidRPr="00343079">
        <w:rPr>
          <w:lang w:val="cs-CZ" w:eastAsia="cs-CZ"/>
        </w:rPr>
        <w:t>místopředseda vlády pro ekonomiku a ministr financí zahájit přípravu CNS</w:t>
      </w:r>
      <w:r w:rsidR="002A6CA1" w:rsidRPr="00343079">
        <w:rPr>
          <w:lang w:val="cs-CZ" w:eastAsia="cs-CZ"/>
        </w:rPr>
        <w:t>, přičemž</w:t>
      </w:r>
      <w:r w:rsidR="00032D97" w:rsidRPr="00343079">
        <w:rPr>
          <w:lang w:val="cs-CZ" w:eastAsia="cs-CZ"/>
        </w:rPr>
        <w:t xml:space="preserve"> ostatní</w:t>
      </w:r>
      <w:r w:rsidR="002A6CA1" w:rsidRPr="00343079">
        <w:rPr>
          <w:lang w:val="cs-CZ" w:eastAsia="cs-CZ"/>
        </w:rPr>
        <w:t xml:space="preserve"> členové vlády </w:t>
      </w:r>
      <w:r w:rsidR="00D3146C">
        <w:rPr>
          <w:lang w:val="cs-CZ" w:eastAsia="cs-CZ"/>
        </w:rPr>
        <w:t>mu</w:t>
      </w:r>
      <w:r w:rsidR="002A6CA1" w:rsidRPr="00343079">
        <w:rPr>
          <w:lang w:val="cs-CZ" w:eastAsia="cs-CZ"/>
        </w:rPr>
        <w:t xml:space="preserve"> měli poskytnout součinnost</w:t>
      </w:r>
      <w:r w:rsidR="00DD07BB" w:rsidRPr="00343079">
        <w:rPr>
          <w:lang w:val="cs-CZ" w:eastAsia="cs-CZ"/>
        </w:rPr>
        <w:t>.</w:t>
      </w:r>
      <w:r w:rsidR="005E698C" w:rsidRPr="00343079">
        <w:rPr>
          <w:lang w:val="cs-CZ" w:eastAsia="cs-CZ"/>
        </w:rPr>
        <w:t xml:space="preserve"> </w:t>
      </w:r>
      <w:r w:rsidR="00BD64EF" w:rsidRPr="00343079">
        <w:rPr>
          <w:lang w:val="cs-CZ" w:eastAsia="cs-CZ"/>
        </w:rPr>
        <w:t>R</w:t>
      </w:r>
      <w:r w:rsidR="005E698C" w:rsidRPr="00343079">
        <w:rPr>
          <w:lang w:val="cs-CZ" w:eastAsia="cs-CZ"/>
        </w:rPr>
        <w:t>ole</w:t>
      </w:r>
      <w:r w:rsidR="00BD64EF" w:rsidRPr="00343079" w:rsidDel="00C03B5E">
        <w:rPr>
          <w:lang w:val="cs-CZ" w:eastAsia="cs-CZ"/>
        </w:rPr>
        <w:t xml:space="preserve"> </w:t>
      </w:r>
      <w:r w:rsidR="00491068">
        <w:rPr>
          <w:lang w:val="cs-CZ" w:eastAsia="cs-CZ"/>
        </w:rPr>
        <w:t>v</w:t>
      </w:r>
      <w:r w:rsidR="002D317D" w:rsidRPr="00343079">
        <w:rPr>
          <w:lang w:val="cs-CZ" w:eastAsia="cs-CZ"/>
        </w:rPr>
        <w:t xml:space="preserve"> CNS </w:t>
      </w:r>
      <w:r w:rsidR="00BD64EF" w:rsidRPr="00343079">
        <w:rPr>
          <w:lang w:val="cs-CZ" w:eastAsia="cs-CZ"/>
        </w:rPr>
        <w:t xml:space="preserve">byly </w:t>
      </w:r>
      <w:r w:rsidR="005E698C" w:rsidRPr="00343079">
        <w:rPr>
          <w:lang w:val="cs-CZ" w:eastAsia="cs-CZ"/>
        </w:rPr>
        <w:t>rozděleny mezi MF</w:t>
      </w:r>
      <w:r w:rsidR="001B29D4" w:rsidRPr="00343079">
        <w:rPr>
          <w:lang w:val="cs-CZ" w:eastAsia="cs-CZ"/>
        </w:rPr>
        <w:t xml:space="preserve">, </w:t>
      </w:r>
      <w:r w:rsidR="00C03B5E" w:rsidRPr="00343079">
        <w:rPr>
          <w:lang w:val="cs-CZ" w:eastAsia="cs-CZ"/>
        </w:rPr>
        <w:t xml:space="preserve">které mělo zajistit </w:t>
      </w:r>
      <w:r w:rsidR="001B29D4" w:rsidRPr="00343079">
        <w:rPr>
          <w:lang w:val="cs-CZ" w:eastAsia="cs-CZ"/>
        </w:rPr>
        <w:t>veškeré činnosti související s centralizovaným zadáváním</w:t>
      </w:r>
      <w:r w:rsidR="00A22526">
        <w:rPr>
          <w:lang w:val="cs-CZ" w:eastAsia="cs-CZ"/>
        </w:rPr>
        <w:t>,</w:t>
      </w:r>
      <w:r w:rsidR="005E698C" w:rsidRPr="00343079">
        <w:rPr>
          <w:lang w:val="cs-CZ" w:eastAsia="cs-CZ"/>
        </w:rPr>
        <w:t xml:space="preserve"> a</w:t>
      </w:r>
      <w:r w:rsidR="00963B01">
        <w:rPr>
          <w:lang w:val="cs-CZ" w:eastAsia="cs-CZ"/>
        </w:rPr>
        <w:t xml:space="preserve"> </w:t>
      </w:r>
      <w:r w:rsidR="005E698C" w:rsidRPr="00343079">
        <w:rPr>
          <w:lang w:val="cs-CZ" w:eastAsia="cs-CZ"/>
        </w:rPr>
        <w:t>MMR</w:t>
      </w:r>
      <w:r w:rsidR="001B29D4" w:rsidRPr="00343079">
        <w:rPr>
          <w:lang w:val="cs-CZ" w:eastAsia="cs-CZ"/>
        </w:rPr>
        <w:t>, které mělo společně s</w:t>
      </w:r>
      <w:r w:rsidR="00963B01">
        <w:rPr>
          <w:lang w:val="cs-CZ" w:eastAsia="cs-CZ"/>
        </w:rPr>
        <w:t xml:space="preserve"> </w:t>
      </w:r>
      <w:r w:rsidR="001B29D4" w:rsidRPr="00343079">
        <w:rPr>
          <w:lang w:val="cs-CZ" w:eastAsia="cs-CZ"/>
        </w:rPr>
        <w:t>MF zajistit informační podporu centrálního nákupu státu</w:t>
      </w:r>
      <w:r w:rsidR="00263963">
        <w:rPr>
          <w:lang w:val="cs-CZ" w:eastAsia="cs-CZ"/>
        </w:rPr>
        <w:t xml:space="preserve">. </w:t>
      </w:r>
      <w:r w:rsidR="00692F52">
        <w:rPr>
          <w:lang w:val="cs-CZ" w:eastAsia="cs-CZ"/>
        </w:rPr>
        <w:t xml:space="preserve">MMR navrhlo využít pro </w:t>
      </w:r>
      <w:r w:rsidR="00692F52">
        <w:rPr>
          <w:lang w:val="cs-CZ" w:eastAsia="cs-CZ"/>
        </w:rPr>
        <w:lastRenderedPageBreak/>
        <w:t xml:space="preserve">CNS stávající funkce </w:t>
      </w:r>
      <w:r w:rsidR="00692F52" w:rsidRPr="001A2D4A">
        <w:rPr>
          <w:i/>
          <w:lang w:val="cs-CZ" w:eastAsia="cs-CZ"/>
        </w:rPr>
        <w:t>Národního elektronického nástroje</w:t>
      </w:r>
      <w:r w:rsidR="00333A06">
        <w:rPr>
          <w:lang w:val="cs-CZ" w:eastAsia="cs-CZ"/>
        </w:rPr>
        <w:t xml:space="preserve"> (dále také „</w:t>
      </w:r>
      <w:r w:rsidR="00333A06" w:rsidRPr="009D0927">
        <w:rPr>
          <w:lang w:val="cs-CZ" w:eastAsia="cs-CZ"/>
        </w:rPr>
        <w:t>NEN</w:t>
      </w:r>
      <w:r w:rsidR="00333A06">
        <w:rPr>
          <w:lang w:val="cs-CZ" w:eastAsia="cs-CZ"/>
        </w:rPr>
        <w:t>“)</w:t>
      </w:r>
      <w:r w:rsidR="00333FC1">
        <w:rPr>
          <w:lang w:val="cs-CZ" w:eastAsia="cs-CZ"/>
        </w:rPr>
        <w:t xml:space="preserve">. MMR </w:t>
      </w:r>
      <w:r w:rsidR="00692F52">
        <w:rPr>
          <w:lang w:val="cs-CZ" w:eastAsia="cs-CZ"/>
        </w:rPr>
        <w:t xml:space="preserve">mělo zajistit jeho úpravu tak, aby vyhovoval případným dalším požadavkům pro CNS. </w:t>
      </w:r>
      <w:r w:rsidR="00C560B5">
        <w:rPr>
          <w:lang w:val="cs-CZ" w:eastAsia="cs-CZ"/>
        </w:rPr>
        <w:t>NEN</w:t>
      </w:r>
      <w:r w:rsidR="00333A06" w:rsidRPr="009D0927">
        <w:rPr>
          <w:lang w:val="cs-CZ" w:eastAsia="cs-CZ"/>
        </w:rPr>
        <w:t xml:space="preserve"> </w:t>
      </w:r>
      <w:r w:rsidR="00A22526">
        <w:rPr>
          <w:lang w:val="cs-CZ" w:eastAsia="cs-CZ"/>
        </w:rPr>
        <w:t>svými</w:t>
      </w:r>
      <w:r w:rsidR="00333A06" w:rsidRPr="009D0927">
        <w:rPr>
          <w:lang w:val="cs-CZ" w:eastAsia="cs-CZ"/>
        </w:rPr>
        <w:t xml:space="preserve"> funkcionalit</w:t>
      </w:r>
      <w:r w:rsidR="00A22526">
        <w:rPr>
          <w:lang w:val="cs-CZ" w:eastAsia="cs-CZ"/>
        </w:rPr>
        <w:t>ami</w:t>
      </w:r>
      <w:r w:rsidR="00333A06" w:rsidRPr="009D0927">
        <w:rPr>
          <w:lang w:val="cs-CZ" w:eastAsia="cs-CZ"/>
        </w:rPr>
        <w:t xml:space="preserve"> pokrývá </w:t>
      </w:r>
      <w:r w:rsidR="00333A06">
        <w:rPr>
          <w:lang w:val="cs-CZ" w:eastAsia="cs-CZ"/>
        </w:rPr>
        <w:t>oblast</w:t>
      </w:r>
      <w:r w:rsidR="00333A06" w:rsidRPr="009D0927">
        <w:rPr>
          <w:lang w:val="cs-CZ" w:eastAsia="cs-CZ"/>
        </w:rPr>
        <w:t xml:space="preserve"> </w:t>
      </w:r>
      <w:r w:rsidR="00333A06">
        <w:rPr>
          <w:lang w:val="cs-CZ" w:eastAsia="cs-CZ"/>
        </w:rPr>
        <w:t xml:space="preserve">zadávání veřejných zakázek i oblast </w:t>
      </w:r>
      <w:r w:rsidR="00333A06" w:rsidRPr="009D0927">
        <w:rPr>
          <w:lang w:val="cs-CZ" w:eastAsia="cs-CZ"/>
        </w:rPr>
        <w:t>centralizace nákupů.</w:t>
      </w:r>
      <w:r w:rsidR="00C560B5">
        <w:rPr>
          <w:rStyle w:val="Znakapoznpodarou"/>
          <w:lang w:val="cs-CZ" w:eastAsia="cs-CZ"/>
        </w:rPr>
        <w:footnoteReference w:id="12"/>
      </w:r>
      <w:r w:rsidR="00333A06">
        <w:rPr>
          <w:lang w:val="cs-CZ" w:eastAsia="cs-CZ"/>
        </w:rPr>
        <w:t xml:space="preserve"> NKÚ v kontrole č. 15/10</w:t>
      </w:r>
      <w:r w:rsidR="00A22526">
        <w:rPr>
          <w:lang w:val="cs-CZ" w:eastAsia="cs-CZ"/>
        </w:rPr>
        <w:t> –</w:t>
      </w:r>
      <w:r w:rsidR="00333A06">
        <w:rPr>
          <w:lang w:val="cs-CZ" w:eastAsia="cs-CZ"/>
        </w:rPr>
        <w:t xml:space="preserve"> </w:t>
      </w:r>
      <w:r w:rsidR="00333A06" w:rsidRPr="00343079">
        <w:rPr>
          <w:rFonts w:cs="Arial"/>
          <w:i/>
          <w:szCs w:val="20"/>
        </w:rPr>
        <w:t>Peněžní prostředky vynakládané na Národní infrastrukturu pro</w:t>
      </w:r>
      <w:r w:rsidR="00004CB1">
        <w:rPr>
          <w:rFonts w:cs="Arial"/>
          <w:i/>
          <w:szCs w:val="20"/>
          <w:lang w:val="cs-CZ"/>
        </w:rPr>
        <w:t> </w:t>
      </w:r>
      <w:r w:rsidR="00333A06" w:rsidRPr="00343079">
        <w:rPr>
          <w:rFonts w:cs="Arial"/>
          <w:i/>
          <w:szCs w:val="20"/>
        </w:rPr>
        <w:t xml:space="preserve">elektronické zadávání </w:t>
      </w:r>
      <w:r w:rsidR="00333A06" w:rsidRPr="00E61AB2">
        <w:rPr>
          <w:rFonts w:cs="Arial"/>
          <w:i/>
          <w:szCs w:val="24"/>
        </w:rPr>
        <w:t>veřejných zakázek (NIPEZ) a nákup komodit jeho prostřednictvím</w:t>
      </w:r>
      <w:r w:rsidR="003C2CAA">
        <w:rPr>
          <w:rStyle w:val="Znakapoznpodarou"/>
          <w:rFonts w:cs="Arial"/>
          <w:i/>
          <w:szCs w:val="24"/>
        </w:rPr>
        <w:footnoteReference w:id="13"/>
      </w:r>
      <w:r w:rsidR="00333A06" w:rsidRPr="00E61AB2">
        <w:rPr>
          <w:rFonts w:cs="Arial"/>
          <w:szCs w:val="24"/>
          <w:lang w:val="cs-CZ"/>
        </w:rPr>
        <w:t xml:space="preserve"> vyčíslil náklady na vývoj NEN spolu </w:t>
      </w:r>
      <w:r w:rsidR="00333A06" w:rsidRPr="008E1672">
        <w:rPr>
          <w:szCs w:val="24"/>
        </w:rPr>
        <w:t>s náklady na související služby autorského dozoru, školení a</w:t>
      </w:r>
      <w:r w:rsidR="00333A06" w:rsidRPr="008E1672">
        <w:rPr>
          <w:szCs w:val="24"/>
          <w:lang w:val="cs-CZ"/>
        </w:rPr>
        <w:t> </w:t>
      </w:r>
      <w:r w:rsidR="00333A06" w:rsidRPr="008E1672">
        <w:rPr>
          <w:szCs w:val="24"/>
        </w:rPr>
        <w:t>zakoupení hardware a software</w:t>
      </w:r>
      <w:r w:rsidR="00411D5B">
        <w:rPr>
          <w:szCs w:val="24"/>
          <w:lang w:val="cs-CZ"/>
        </w:rPr>
        <w:t xml:space="preserve"> </w:t>
      </w:r>
      <w:r w:rsidR="00263963">
        <w:rPr>
          <w:szCs w:val="24"/>
          <w:lang w:val="cs-CZ"/>
        </w:rPr>
        <w:t>v</w:t>
      </w:r>
      <w:r w:rsidR="00333FC1">
        <w:rPr>
          <w:szCs w:val="24"/>
          <w:lang w:val="cs-CZ"/>
        </w:rPr>
        <w:t>e</w:t>
      </w:r>
      <w:r w:rsidR="00263963">
        <w:rPr>
          <w:szCs w:val="24"/>
          <w:lang w:val="cs-CZ"/>
        </w:rPr>
        <w:t xml:space="preserve"> výši</w:t>
      </w:r>
      <w:r w:rsidR="00333A06" w:rsidRPr="008E1672">
        <w:rPr>
          <w:szCs w:val="24"/>
        </w:rPr>
        <w:t xml:space="preserve"> </w:t>
      </w:r>
      <w:r w:rsidR="0063514C" w:rsidRPr="00BD64BA">
        <w:rPr>
          <w:szCs w:val="24"/>
        </w:rPr>
        <w:t xml:space="preserve">230 </w:t>
      </w:r>
      <w:r w:rsidR="0063514C" w:rsidRPr="00BD64BA">
        <w:rPr>
          <w:szCs w:val="24"/>
          <w:lang w:val="cs-CZ"/>
        </w:rPr>
        <w:t>mil.</w:t>
      </w:r>
      <w:r w:rsidR="0063514C" w:rsidRPr="00BD64BA">
        <w:rPr>
          <w:szCs w:val="24"/>
        </w:rPr>
        <w:t xml:space="preserve"> Kč</w:t>
      </w:r>
      <w:r w:rsidR="0063514C" w:rsidRPr="00E61AB2">
        <w:rPr>
          <w:szCs w:val="24"/>
        </w:rPr>
        <w:t xml:space="preserve"> </w:t>
      </w:r>
      <w:r w:rsidR="00333A06" w:rsidRPr="008E1672">
        <w:rPr>
          <w:szCs w:val="24"/>
        </w:rPr>
        <w:t>k datu jeho akceptace (tj.</w:t>
      </w:r>
      <w:r w:rsidR="00004CB1">
        <w:rPr>
          <w:szCs w:val="24"/>
          <w:lang w:val="cs-CZ"/>
        </w:rPr>
        <w:t> </w:t>
      </w:r>
      <w:r w:rsidR="00333A06" w:rsidRPr="008E1672">
        <w:rPr>
          <w:szCs w:val="24"/>
        </w:rPr>
        <w:t>31.</w:t>
      </w:r>
      <w:r w:rsidR="0063514C">
        <w:rPr>
          <w:szCs w:val="24"/>
          <w:lang w:val="cs-CZ"/>
        </w:rPr>
        <w:t> </w:t>
      </w:r>
      <w:r w:rsidR="00333A06" w:rsidRPr="008E1672">
        <w:rPr>
          <w:szCs w:val="24"/>
        </w:rPr>
        <w:t>3.</w:t>
      </w:r>
      <w:r w:rsidR="0063514C">
        <w:rPr>
          <w:szCs w:val="24"/>
          <w:lang w:val="cs-CZ"/>
        </w:rPr>
        <w:t> </w:t>
      </w:r>
      <w:r w:rsidR="00333A06" w:rsidRPr="008E1672">
        <w:rPr>
          <w:szCs w:val="24"/>
        </w:rPr>
        <w:t>2014)</w:t>
      </w:r>
      <w:r w:rsidR="00411D5B">
        <w:rPr>
          <w:szCs w:val="24"/>
          <w:lang w:val="cs-CZ"/>
        </w:rPr>
        <w:t>.</w:t>
      </w:r>
      <w:r w:rsidR="00333A06" w:rsidRPr="00E61AB2">
        <w:rPr>
          <w:szCs w:val="24"/>
          <w:lang w:val="cs-CZ" w:eastAsia="cs-CZ"/>
        </w:rPr>
        <w:t xml:space="preserve"> </w:t>
      </w:r>
    </w:p>
    <w:p w14:paraId="466529C0" w14:textId="36C50B4E" w:rsidR="00DD07BB" w:rsidRDefault="003A49D2" w:rsidP="00C00B3C">
      <w:pPr>
        <w:pStyle w:val="KZnormln"/>
        <w:rPr>
          <w:lang w:val="cs-CZ"/>
        </w:rPr>
      </w:pPr>
      <w:r w:rsidRPr="00343079">
        <w:rPr>
          <w:lang w:val="cs-CZ" w:eastAsia="cs-CZ"/>
        </w:rPr>
        <w:t xml:space="preserve">MV </w:t>
      </w:r>
      <w:r w:rsidR="00FF03B6" w:rsidRPr="00343079">
        <w:rPr>
          <w:lang w:val="cs-CZ" w:eastAsia="cs-CZ"/>
        </w:rPr>
        <w:t xml:space="preserve">se </w:t>
      </w:r>
      <w:r w:rsidRPr="00343079">
        <w:rPr>
          <w:lang w:val="cs-CZ" w:eastAsia="cs-CZ"/>
        </w:rPr>
        <w:t xml:space="preserve">zapojilo </w:t>
      </w:r>
      <w:r w:rsidR="00FF03B6" w:rsidRPr="00343079">
        <w:rPr>
          <w:lang w:val="cs-CZ" w:eastAsia="cs-CZ"/>
        </w:rPr>
        <w:t>do</w:t>
      </w:r>
      <w:r w:rsidR="00963B01">
        <w:rPr>
          <w:lang w:val="cs-CZ" w:eastAsia="cs-CZ"/>
        </w:rPr>
        <w:t xml:space="preserve"> </w:t>
      </w:r>
      <w:r w:rsidR="00FF03B6" w:rsidRPr="00343079">
        <w:rPr>
          <w:lang w:val="cs-CZ" w:eastAsia="cs-CZ"/>
        </w:rPr>
        <w:t xml:space="preserve">CNS </w:t>
      </w:r>
      <w:r>
        <w:rPr>
          <w:lang w:val="cs-CZ" w:eastAsia="cs-CZ"/>
        </w:rPr>
        <w:t>později</w:t>
      </w:r>
      <w:r w:rsidR="00574355">
        <w:rPr>
          <w:rStyle w:val="Znakapoznpodarou"/>
          <w:lang w:val="cs-CZ" w:eastAsia="cs-CZ"/>
        </w:rPr>
        <w:footnoteReference w:id="14"/>
      </w:r>
      <w:r>
        <w:rPr>
          <w:lang w:val="cs-CZ" w:eastAsia="cs-CZ"/>
        </w:rPr>
        <w:t>,</w:t>
      </w:r>
      <w:r w:rsidR="00574355">
        <w:rPr>
          <w:lang w:val="cs-CZ" w:eastAsia="cs-CZ"/>
        </w:rPr>
        <w:t xml:space="preserve"> </w:t>
      </w:r>
      <w:r w:rsidR="002D317D" w:rsidRPr="00343079">
        <w:rPr>
          <w:lang w:val="cs-CZ" w:eastAsia="cs-CZ"/>
        </w:rPr>
        <w:t>a to</w:t>
      </w:r>
      <w:r w:rsidR="00FF03B6" w:rsidRPr="00343079">
        <w:rPr>
          <w:lang w:val="cs-CZ" w:eastAsia="cs-CZ"/>
        </w:rPr>
        <w:t xml:space="preserve"> v</w:t>
      </w:r>
      <w:r w:rsidR="00963B01">
        <w:rPr>
          <w:lang w:val="cs-CZ" w:eastAsia="cs-CZ"/>
        </w:rPr>
        <w:t xml:space="preserve"> </w:t>
      </w:r>
      <w:r w:rsidR="00FF03B6" w:rsidRPr="00343079">
        <w:rPr>
          <w:lang w:val="cs-CZ" w:eastAsia="cs-CZ"/>
        </w:rPr>
        <w:t xml:space="preserve">roli gestora </w:t>
      </w:r>
      <w:r w:rsidR="00491068">
        <w:rPr>
          <w:lang w:val="cs-CZ" w:eastAsia="cs-CZ"/>
        </w:rPr>
        <w:t xml:space="preserve">a centrálního zadavatele </w:t>
      </w:r>
      <w:r w:rsidR="00FF03B6" w:rsidRPr="00343079">
        <w:rPr>
          <w:lang w:val="cs-CZ" w:eastAsia="cs-CZ"/>
        </w:rPr>
        <w:t xml:space="preserve">pro </w:t>
      </w:r>
      <w:r w:rsidR="00EC1DAF" w:rsidRPr="00343079">
        <w:rPr>
          <w:lang w:val="cs-CZ" w:eastAsia="cs-CZ"/>
        </w:rPr>
        <w:t xml:space="preserve">oblast </w:t>
      </w:r>
      <w:r w:rsidR="00FF03B6" w:rsidRPr="00343079">
        <w:rPr>
          <w:lang w:val="cs-CZ" w:eastAsia="cs-CZ"/>
        </w:rPr>
        <w:t>ICT</w:t>
      </w:r>
      <w:r w:rsidR="003F3651">
        <w:rPr>
          <w:rStyle w:val="Znakapoznpodarou"/>
          <w:lang w:eastAsia="cs-CZ"/>
        </w:rPr>
        <w:footnoteReference w:id="15"/>
      </w:r>
      <w:r w:rsidR="00FF03B6" w:rsidRPr="00343079">
        <w:rPr>
          <w:lang w:val="cs-CZ" w:eastAsia="cs-CZ"/>
        </w:rPr>
        <w:t xml:space="preserve"> komodit (tj. výpočetní technik</w:t>
      </w:r>
      <w:r w:rsidR="00E94B2F">
        <w:rPr>
          <w:lang w:val="cs-CZ" w:eastAsia="cs-CZ"/>
        </w:rPr>
        <w:t>a</w:t>
      </w:r>
      <w:r w:rsidR="00FF03B6" w:rsidRPr="00343079">
        <w:rPr>
          <w:lang w:val="cs-CZ" w:eastAsia="cs-CZ"/>
        </w:rPr>
        <w:t xml:space="preserve"> </w:t>
      </w:r>
      <w:r w:rsidRPr="00343079">
        <w:rPr>
          <w:lang w:val="cs-CZ" w:eastAsia="cs-CZ"/>
        </w:rPr>
        <w:t>a</w:t>
      </w:r>
      <w:r w:rsidR="00963B01">
        <w:rPr>
          <w:lang w:val="cs-CZ" w:eastAsia="cs-CZ"/>
        </w:rPr>
        <w:t xml:space="preserve"> </w:t>
      </w:r>
      <w:r w:rsidR="00FF03B6" w:rsidRPr="00343079">
        <w:rPr>
          <w:lang w:val="cs-CZ" w:eastAsia="cs-CZ"/>
        </w:rPr>
        <w:t xml:space="preserve">softwarové produkty). Centrálním zadavatelem pro </w:t>
      </w:r>
      <w:r w:rsidR="00796BF2">
        <w:rPr>
          <w:lang w:val="cs-CZ" w:eastAsia="cs-CZ"/>
        </w:rPr>
        <w:t xml:space="preserve">ostatní </w:t>
      </w:r>
      <w:r w:rsidR="00460EAD">
        <w:rPr>
          <w:lang w:val="cs-CZ" w:eastAsia="cs-CZ"/>
        </w:rPr>
        <w:t>skupin</w:t>
      </w:r>
      <w:r w:rsidR="00F4119E">
        <w:rPr>
          <w:lang w:val="cs-CZ" w:eastAsia="cs-CZ"/>
        </w:rPr>
        <w:t>y</w:t>
      </w:r>
      <w:r w:rsidR="00460EAD">
        <w:rPr>
          <w:lang w:val="cs-CZ" w:eastAsia="cs-CZ"/>
        </w:rPr>
        <w:t xml:space="preserve"> komodit</w:t>
      </w:r>
      <w:r w:rsidR="00FF03B6" w:rsidRPr="00343079">
        <w:rPr>
          <w:lang w:val="cs-CZ" w:eastAsia="cs-CZ"/>
        </w:rPr>
        <w:t xml:space="preserve"> </w:t>
      </w:r>
      <w:r w:rsidR="00460EAD">
        <w:rPr>
          <w:lang w:val="cs-CZ" w:eastAsia="cs-CZ"/>
        </w:rPr>
        <w:t>(tj.</w:t>
      </w:r>
      <w:r w:rsidR="00413E5B">
        <w:rPr>
          <w:lang w:val="cs-CZ" w:eastAsia="cs-CZ"/>
        </w:rPr>
        <w:t> </w:t>
      </w:r>
      <w:r w:rsidR="00F4119E" w:rsidRPr="001A2D4A">
        <w:rPr>
          <w:i/>
          <w:lang w:val="cs-CZ" w:eastAsia="cs-CZ"/>
        </w:rPr>
        <w:t>v</w:t>
      </w:r>
      <w:r w:rsidR="00460EAD" w:rsidRPr="001A2D4A">
        <w:rPr>
          <w:i/>
          <w:lang w:val="cs-CZ" w:eastAsia="cs-CZ"/>
        </w:rPr>
        <w:t xml:space="preserve">ozový park a </w:t>
      </w:r>
      <w:r w:rsidR="003F3651" w:rsidRPr="001A2D4A">
        <w:rPr>
          <w:i/>
          <w:lang w:val="cs-CZ" w:eastAsia="cs-CZ"/>
        </w:rPr>
        <w:t>pohonné hmoty</w:t>
      </w:r>
      <w:r w:rsidR="00460EAD">
        <w:rPr>
          <w:lang w:val="cs-CZ" w:eastAsia="cs-CZ"/>
        </w:rPr>
        <w:t xml:space="preserve">, </w:t>
      </w:r>
      <w:r w:rsidR="00460EAD" w:rsidRPr="001A2D4A">
        <w:rPr>
          <w:i/>
          <w:lang w:val="cs-CZ" w:eastAsia="cs-CZ"/>
        </w:rPr>
        <w:t>kancelářské potřeby a</w:t>
      </w:r>
      <w:r w:rsidR="00B66113">
        <w:rPr>
          <w:i/>
          <w:lang w:val="cs-CZ" w:eastAsia="cs-CZ"/>
        </w:rPr>
        <w:t> </w:t>
      </w:r>
      <w:r w:rsidR="00460EAD" w:rsidRPr="001A2D4A">
        <w:rPr>
          <w:i/>
          <w:lang w:val="cs-CZ" w:eastAsia="cs-CZ"/>
        </w:rPr>
        <w:t>kancelářská technika</w:t>
      </w:r>
      <w:r w:rsidR="00460EAD">
        <w:rPr>
          <w:lang w:val="cs-CZ" w:eastAsia="cs-CZ"/>
        </w:rPr>
        <w:t xml:space="preserve">, </w:t>
      </w:r>
      <w:r w:rsidR="00460EAD" w:rsidRPr="001A2D4A">
        <w:rPr>
          <w:i/>
          <w:lang w:val="cs-CZ" w:eastAsia="cs-CZ"/>
        </w:rPr>
        <w:t>energie a</w:t>
      </w:r>
      <w:r w:rsidR="00413E5B" w:rsidRPr="001A2D4A">
        <w:rPr>
          <w:i/>
          <w:lang w:val="cs-CZ" w:eastAsia="cs-CZ"/>
        </w:rPr>
        <w:t> </w:t>
      </w:r>
      <w:r w:rsidR="00460EAD" w:rsidRPr="001A2D4A">
        <w:rPr>
          <w:i/>
          <w:lang w:val="cs-CZ" w:eastAsia="cs-CZ"/>
        </w:rPr>
        <w:t>správa budov</w:t>
      </w:r>
      <w:r w:rsidR="00460EAD">
        <w:rPr>
          <w:lang w:val="cs-CZ" w:eastAsia="cs-CZ"/>
        </w:rPr>
        <w:t xml:space="preserve">) </w:t>
      </w:r>
      <w:r w:rsidR="00FF03B6" w:rsidRPr="00343079">
        <w:rPr>
          <w:lang w:val="cs-CZ" w:eastAsia="cs-CZ"/>
        </w:rPr>
        <w:t>v</w:t>
      </w:r>
      <w:r w:rsidR="00963B01">
        <w:rPr>
          <w:lang w:val="cs-CZ" w:eastAsia="cs-CZ"/>
        </w:rPr>
        <w:t xml:space="preserve"> </w:t>
      </w:r>
      <w:r w:rsidR="00FF03B6" w:rsidRPr="00343079">
        <w:rPr>
          <w:lang w:val="cs-CZ" w:eastAsia="cs-CZ"/>
        </w:rPr>
        <w:t>CNS bylo pověřeno MF.</w:t>
      </w:r>
      <w:r w:rsidR="00F4119E">
        <w:rPr>
          <w:lang w:val="cs-CZ" w:eastAsia="cs-CZ"/>
        </w:rPr>
        <w:t xml:space="preserve"> Dle stanovených pravidel </w:t>
      </w:r>
      <w:r w:rsidR="00004CB1">
        <w:rPr>
          <w:lang w:val="cs-CZ" w:eastAsia="cs-CZ"/>
        </w:rPr>
        <w:t>je</w:t>
      </w:r>
      <w:r w:rsidR="00E7425B">
        <w:rPr>
          <w:lang w:val="cs-CZ" w:eastAsia="cs-CZ"/>
        </w:rPr>
        <w:t xml:space="preserve"> </w:t>
      </w:r>
      <w:r w:rsidR="00F4119E">
        <w:rPr>
          <w:lang w:val="cs-CZ" w:eastAsia="cs-CZ"/>
        </w:rPr>
        <w:t>účast</w:t>
      </w:r>
      <w:r w:rsidR="002D5D26" w:rsidRPr="002D5D26">
        <w:rPr>
          <w:lang w:val="cs-CZ" w:eastAsia="cs-CZ"/>
        </w:rPr>
        <w:t xml:space="preserve"> </w:t>
      </w:r>
      <w:r w:rsidR="002D5D26">
        <w:rPr>
          <w:lang w:val="cs-CZ" w:eastAsia="cs-CZ"/>
        </w:rPr>
        <w:t>v CNS</w:t>
      </w:r>
      <w:r w:rsidR="00F4119E">
        <w:rPr>
          <w:lang w:val="cs-CZ" w:eastAsia="cs-CZ"/>
        </w:rPr>
        <w:t xml:space="preserve"> </w:t>
      </w:r>
      <w:r w:rsidR="002D5D26">
        <w:rPr>
          <w:lang w:val="cs-CZ" w:eastAsia="cs-CZ"/>
        </w:rPr>
        <w:t xml:space="preserve">pro všechny </w:t>
      </w:r>
      <w:r w:rsidR="00F4119E">
        <w:rPr>
          <w:lang w:val="cs-CZ" w:eastAsia="cs-CZ"/>
        </w:rPr>
        <w:t>ÚOSS dobrovolná.</w:t>
      </w:r>
    </w:p>
    <w:p w14:paraId="31FF9334" w14:textId="4AA8F0FA" w:rsidR="00404155" w:rsidRDefault="008A4255" w:rsidP="00C00B3C">
      <w:pPr>
        <w:pStyle w:val="KZnormln"/>
        <w:rPr>
          <w:lang w:val="cs-CZ"/>
        </w:rPr>
      </w:pPr>
      <w:r w:rsidRPr="00343079">
        <w:rPr>
          <w:lang w:val="cs-CZ" w:eastAsia="cs-CZ"/>
        </w:rPr>
        <w:t xml:space="preserve">Ministrovi financí a ministrovi vnitra </w:t>
      </w:r>
      <w:r w:rsidR="006C17E0" w:rsidRPr="00343079">
        <w:rPr>
          <w:lang w:val="cs-CZ" w:eastAsia="cs-CZ"/>
        </w:rPr>
        <w:t>bylo</w:t>
      </w:r>
      <w:r w:rsidRPr="00343079">
        <w:rPr>
          <w:lang w:val="cs-CZ" w:eastAsia="cs-CZ"/>
        </w:rPr>
        <w:t xml:space="preserve"> uloženo, aby zahájili činnost meziresortních standardizačních skupin</w:t>
      </w:r>
      <w:r w:rsidR="00E7425B">
        <w:rPr>
          <w:vertAlign w:val="superscript"/>
          <w:lang w:val="cs-CZ" w:eastAsia="cs-CZ"/>
        </w:rPr>
        <w:t>13</w:t>
      </w:r>
      <w:r w:rsidR="00B20458">
        <w:rPr>
          <w:lang w:val="cs-CZ" w:eastAsia="cs-CZ"/>
        </w:rPr>
        <w:t xml:space="preserve">. </w:t>
      </w:r>
      <w:r w:rsidRPr="00343079">
        <w:rPr>
          <w:lang w:val="cs-CZ" w:eastAsia="cs-CZ"/>
        </w:rPr>
        <w:t xml:space="preserve">Za tímto účelem </w:t>
      </w:r>
      <w:r w:rsidR="002D5AF1" w:rsidRPr="00343079">
        <w:rPr>
          <w:lang w:val="cs-CZ" w:eastAsia="cs-CZ"/>
        </w:rPr>
        <w:t>ustanovili</w:t>
      </w:r>
      <w:r w:rsidRPr="00343079">
        <w:rPr>
          <w:lang w:val="cs-CZ" w:eastAsia="cs-CZ"/>
        </w:rPr>
        <w:t xml:space="preserve"> </w:t>
      </w:r>
      <w:r w:rsidR="00E7425B">
        <w:rPr>
          <w:lang w:val="cs-CZ" w:eastAsia="cs-CZ"/>
        </w:rPr>
        <w:t>n</w:t>
      </w:r>
      <w:r w:rsidR="002D5AF1" w:rsidRPr="00343079">
        <w:rPr>
          <w:lang w:val="cs-CZ" w:eastAsia="cs-CZ"/>
        </w:rPr>
        <w:t>adresortní koordinační skupinu</w:t>
      </w:r>
      <w:r w:rsidRPr="00343079">
        <w:rPr>
          <w:lang w:val="cs-CZ" w:eastAsia="cs-CZ"/>
        </w:rPr>
        <w:t xml:space="preserve"> </w:t>
      </w:r>
      <w:r w:rsidR="003F3651">
        <w:rPr>
          <w:lang w:val="cs-CZ" w:eastAsia="cs-CZ"/>
        </w:rPr>
        <w:t xml:space="preserve">(dále také „NKS“) </w:t>
      </w:r>
      <w:r w:rsidRPr="00343079">
        <w:rPr>
          <w:lang w:val="cs-CZ" w:eastAsia="cs-CZ"/>
        </w:rPr>
        <w:t>a</w:t>
      </w:r>
      <w:r w:rsidR="00963B01">
        <w:rPr>
          <w:lang w:val="cs-CZ" w:eastAsia="cs-CZ"/>
        </w:rPr>
        <w:t xml:space="preserve"> </w:t>
      </w:r>
      <w:r w:rsidRPr="00343079">
        <w:rPr>
          <w:lang w:val="cs-CZ" w:eastAsia="cs-CZ"/>
        </w:rPr>
        <w:t>komoditní standardizační skupiny</w:t>
      </w:r>
      <w:r w:rsidR="003A49D2">
        <w:rPr>
          <w:lang w:val="cs-CZ" w:eastAsia="cs-CZ"/>
        </w:rPr>
        <w:t xml:space="preserve"> </w:t>
      </w:r>
      <w:r w:rsidR="003F3651">
        <w:rPr>
          <w:lang w:val="cs-CZ" w:eastAsia="cs-CZ"/>
        </w:rPr>
        <w:t xml:space="preserve">(dále také „KSS“) </w:t>
      </w:r>
      <w:r w:rsidR="003A49D2">
        <w:rPr>
          <w:lang w:val="cs-CZ" w:eastAsia="cs-CZ"/>
        </w:rPr>
        <w:t>pro jednotlivé</w:t>
      </w:r>
      <w:r w:rsidR="00574355">
        <w:rPr>
          <w:lang w:val="cs-CZ" w:eastAsia="cs-CZ"/>
        </w:rPr>
        <w:t xml:space="preserve"> skupiny</w:t>
      </w:r>
      <w:r w:rsidR="003A49D2">
        <w:rPr>
          <w:lang w:val="cs-CZ" w:eastAsia="cs-CZ"/>
        </w:rPr>
        <w:t xml:space="preserve"> komodit</w:t>
      </w:r>
      <w:r w:rsidR="003A49D2" w:rsidRPr="00343079">
        <w:rPr>
          <w:rStyle w:val="Znakapoznpodarou"/>
          <w:lang w:val="cs-CZ" w:eastAsia="cs-CZ"/>
        </w:rPr>
        <w:footnoteReference w:id="16"/>
      </w:r>
      <w:r w:rsidR="003A49D2">
        <w:rPr>
          <w:lang w:val="cs-CZ" w:eastAsia="cs-CZ"/>
        </w:rPr>
        <w:t>. Tyto skupiny</w:t>
      </w:r>
      <w:r w:rsidRPr="00343079">
        <w:rPr>
          <w:lang w:val="cs-CZ" w:eastAsia="cs-CZ"/>
        </w:rPr>
        <w:t xml:space="preserve"> měly zejména </w:t>
      </w:r>
      <w:r w:rsidR="00404155" w:rsidRPr="00343079">
        <w:rPr>
          <w:lang w:val="cs-CZ" w:eastAsia="cs-CZ"/>
        </w:rPr>
        <w:t>vypracov</w:t>
      </w:r>
      <w:r w:rsidRPr="00343079">
        <w:rPr>
          <w:lang w:val="cs-CZ" w:eastAsia="cs-CZ"/>
        </w:rPr>
        <w:t>at</w:t>
      </w:r>
      <w:r w:rsidR="00404155" w:rsidRPr="00343079">
        <w:rPr>
          <w:lang w:val="cs-CZ" w:eastAsia="cs-CZ"/>
        </w:rPr>
        <w:t xml:space="preserve"> technick</w:t>
      </w:r>
      <w:r w:rsidR="005953E5">
        <w:rPr>
          <w:lang w:val="cs-CZ" w:eastAsia="cs-CZ"/>
        </w:rPr>
        <w:t>é</w:t>
      </w:r>
      <w:r w:rsidR="00F4119E">
        <w:rPr>
          <w:lang w:val="cs-CZ" w:eastAsia="cs-CZ"/>
        </w:rPr>
        <w:t xml:space="preserve"> </w:t>
      </w:r>
      <w:r w:rsidR="00404155" w:rsidRPr="00343079">
        <w:rPr>
          <w:lang w:val="cs-CZ" w:eastAsia="cs-CZ"/>
        </w:rPr>
        <w:t>standard</w:t>
      </w:r>
      <w:r w:rsidRPr="00343079">
        <w:rPr>
          <w:lang w:val="cs-CZ" w:eastAsia="cs-CZ"/>
        </w:rPr>
        <w:t>y</w:t>
      </w:r>
      <w:r w:rsidR="00404155" w:rsidRPr="00343079">
        <w:rPr>
          <w:lang w:val="cs-CZ" w:eastAsia="cs-CZ"/>
        </w:rPr>
        <w:t xml:space="preserve"> a</w:t>
      </w:r>
      <w:r w:rsidR="00963B01">
        <w:rPr>
          <w:lang w:val="cs-CZ" w:eastAsia="cs-CZ"/>
        </w:rPr>
        <w:t xml:space="preserve"> </w:t>
      </w:r>
      <w:r w:rsidR="002D5AF1" w:rsidRPr="00343079">
        <w:rPr>
          <w:lang w:val="cs-CZ" w:eastAsia="cs-CZ"/>
        </w:rPr>
        <w:t>zajistit</w:t>
      </w:r>
      <w:r w:rsidR="00404155" w:rsidRPr="00343079">
        <w:rPr>
          <w:lang w:val="cs-CZ" w:eastAsia="cs-CZ"/>
        </w:rPr>
        <w:t xml:space="preserve"> přípravu </w:t>
      </w:r>
      <w:r w:rsidR="00175CE0">
        <w:rPr>
          <w:lang w:val="cs-CZ" w:eastAsia="cs-CZ"/>
        </w:rPr>
        <w:t>veřejných zakázek</w:t>
      </w:r>
      <w:r w:rsidR="00F4119E">
        <w:rPr>
          <w:lang w:val="cs-CZ" w:eastAsia="cs-CZ"/>
        </w:rPr>
        <w:t>.</w:t>
      </w:r>
      <w:r w:rsidR="00404155" w:rsidRPr="00343079">
        <w:rPr>
          <w:lang w:val="cs-CZ" w:eastAsia="cs-CZ"/>
        </w:rPr>
        <w:t xml:space="preserve"> Koordinace měla probíhat za účasti nominovaných zástupců všech ministerstev, kteří </w:t>
      </w:r>
      <w:r w:rsidR="005A7F41">
        <w:rPr>
          <w:lang w:val="cs-CZ" w:eastAsia="cs-CZ"/>
        </w:rPr>
        <w:t>byli</w:t>
      </w:r>
      <w:r w:rsidR="002D5AF1" w:rsidRPr="00343079">
        <w:rPr>
          <w:lang w:val="cs-CZ" w:eastAsia="cs-CZ"/>
        </w:rPr>
        <w:t xml:space="preserve"> </w:t>
      </w:r>
      <w:r w:rsidR="00404155" w:rsidRPr="00343079">
        <w:rPr>
          <w:lang w:val="cs-CZ" w:eastAsia="cs-CZ"/>
        </w:rPr>
        <w:t xml:space="preserve">členy NKS i KSS. </w:t>
      </w:r>
      <w:r w:rsidR="00404155" w:rsidRPr="00343079">
        <w:rPr>
          <w:lang w:val="cs-CZ"/>
        </w:rPr>
        <w:t xml:space="preserve">Vláda na podkladě </w:t>
      </w:r>
      <w:r w:rsidR="006C17E0" w:rsidRPr="00343079">
        <w:rPr>
          <w:lang w:val="cs-CZ"/>
        </w:rPr>
        <w:t>výstupů z činnosti</w:t>
      </w:r>
      <w:r w:rsidR="00404155" w:rsidRPr="00343079">
        <w:rPr>
          <w:lang w:val="cs-CZ"/>
        </w:rPr>
        <w:t xml:space="preserve"> KSS a NKS</w:t>
      </w:r>
      <w:r w:rsidR="006605E0" w:rsidRPr="00343079">
        <w:rPr>
          <w:lang w:val="cs-CZ"/>
        </w:rPr>
        <w:t xml:space="preserve"> následně</w:t>
      </w:r>
      <w:r w:rsidR="00404155" w:rsidRPr="00343079">
        <w:rPr>
          <w:lang w:val="cs-CZ"/>
        </w:rPr>
        <w:t xml:space="preserve"> stanovila </w:t>
      </w:r>
      <w:r w:rsidR="002666DC" w:rsidRPr="00D3128F">
        <w:rPr>
          <w:i/>
        </w:rPr>
        <w:t>Návrh</w:t>
      </w:r>
      <w:r w:rsidR="00404155" w:rsidRPr="00D3128F">
        <w:rPr>
          <w:i/>
        </w:rPr>
        <w:t xml:space="preserve"> rámcového harmonogramu </w:t>
      </w:r>
      <w:r w:rsidR="002666DC" w:rsidRPr="00D3128F">
        <w:rPr>
          <w:i/>
        </w:rPr>
        <w:t>centrálního nákupu státu</w:t>
      </w:r>
      <w:r w:rsidR="00404155" w:rsidRPr="00D3128F">
        <w:rPr>
          <w:i/>
        </w:rPr>
        <w:t xml:space="preserve"> pro roky 2016</w:t>
      </w:r>
      <w:r w:rsidR="00593641">
        <w:rPr>
          <w:i/>
          <w:lang w:val="cs-CZ"/>
        </w:rPr>
        <w:t>–</w:t>
      </w:r>
      <w:r w:rsidR="00404155" w:rsidRPr="00D3128F">
        <w:rPr>
          <w:i/>
        </w:rPr>
        <w:t>2020</w:t>
      </w:r>
      <w:r w:rsidR="002666DC">
        <w:t xml:space="preserve"> (dále také „Harmonogram“)</w:t>
      </w:r>
      <w:r w:rsidR="00404155" w:rsidRPr="00343079">
        <w:rPr>
          <w:lang w:val="cs-CZ"/>
        </w:rPr>
        <w:t>, a</w:t>
      </w:r>
      <w:r w:rsidR="00963B01">
        <w:rPr>
          <w:lang w:val="cs-CZ"/>
        </w:rPr>
        <w:t xml:space="preserve"> </w:t>
      </w:r>
      <w:r w:rsidR="00404155" w:rsidRPr="00343079">
        <w:rPr>
          <w:lang w:val="cs-CZ"/>
        </w:rPr>
        <w:t xml:space="preserve">to jak </w:t>
      </w:r>
      <w:r w:rsidR="003A49D2">
        <w:rPr>
          <w:lang w:val="cs-CZ"/>
        </w:rPr>
        <w:t>pro</w:t>
      </w:r>
      <w:r w:rsidR="00404155" w:rsidRPr="00343079">
        <w:rPr>
          <w:lang w:val="cs-CZ"/>
        </w:rPr>
        <w:t xml:space="preserve"> přípravu technických standardů</w:t>
      </w:r>
      <w:r w:rsidR="00E67719">
        <w:rPr>
          <w:lang w:val="cs-CZ"/>
        </w:rPr>
        <w:t xml:space="preserve"> uvedených</w:t>
      </w:r>
      <w:r w:rsidR="006605E0" w:rsidRPr="00343079">
        <w:rPr>
          <w:lang w:val="cs-CZ"/>
        </w:rPr>
        <w:t xml:space="preserve"> komodit</w:t>
      </w:r>
      <w:r w:rsidR="00404155" w:rsidRPr="00343079">
        <w:rPr>
          <w:lang w:val="cs-CZ"/>
        </w:rPr>
        <w:t>, tak i</w:t>
      </w:r>
      <w:r w:rsidR="00963B01">
        <w:rPr>
          <w:lang w:val="cs-CZ"/>
        </w:rPr>
        <w:t xml:space="preserve"> </w:t>
      </w:r>
      <w:r w:rsidR="003A49D2">
        <w:rPr>
          <w:lang w:val="cs-CZ"/>
        </w:rPr>
        <w:t xml:space="preserve">pro </w:t>
      </w:r>
      <w:r w:rsidR="00404155" w:rsidRPr="00343079">
        <w:rPr>
          <w:lang w:val="cs-CZ"/>
        </w:rPr>
        <w:t>přípravu nadresortních veřejných zakázek.</w:t>
      </w:r>
      <w:r w:rsidR="00EB768A" w:rsidRPr="00343079">
        <w:rPr>
          <w:lang w:val="cs-CZ"/>
        </w:rPr>
        <w:t xml:space="preserve"> Po stanovení </w:t>
      </w:r>
      <w:r w:rsidR="006C17E0" w:rsidRPr="00343079">
        <w:rPr>
          <w:lang w:val="cs-CZ"/>
        </w:rPr>
        <w:t>a</w:t>
      </w:r>
      <w:r w:rsidR="00DC580E">
        <w:rPr>
          <w:lang w:val="cs-CZ"/>
        </w:rPr>
        <w:t> </w:t>
      </w:r>
      <w:r w:rsidR="006C17E0" w:rsidRPr="00343079">
        <w:rPr>
          <w:lang w:val="cs-CZ"/>
        </w:rPr>
        <w:t>schválení</w:t>
      </w:r>
      <w:r w:rsidR="00EB768A" w:rsidRPr="00343079">
        <w:rPr>
          <w:lang w:val="cs-CZ"/>
        </w:rPr>
        <w:t xml:space="preserve"> technického standardu komodity </w:t>
      </w:r>
      <w:r w:rsidR="006C17E0" w:rsidRPr="00343079">
        <w:rPr>
          <w:lang w:val="cs-CZ"/>
        </w:rPr>
        <w:t xml:space="preserve">se </w:t>
      </w:r>
      <w:r w:rsidR="00EB768A" w:rsidRPr="00343079">
        <w:rPr>
          <w:lang w:val="cs-CZ"/>
        </w:rPr>
        <w:t xml:space="preserve">tento technický standard </w:t>
      </w:r>
      <w:r w:rsidR="00DF0831">
        <w:rPr>
          <w:lang w:val="cs-CZ"/>
        </w:rPr>
        <w:t xml:space="preserve">stane </w:t>
      </w:r>
      <w:r w:rsidR="00EB768A" w:rsidRPr="00343079">
        <w:rPr>
          <w:lang w:val="cs-CZ"/>
        </w:rPr>
        <w:t>závazný</w:t>
      </w:r>
      <w:r w:rsidR="006C17E0" w:rsidRPr="00343079">
        <w:rPr>
          <w:lang w:val="cs-CZ"/>
        </w:rPr>
        <w:t>m i</w:t>
      </w:r>
      <w:r w:rsidR="00DC580E">
        <w:rPr>
          <w:lang w:val="cs-CZ"/>
        </w:rPr>
        <w:t> </w:t>
      </w:r>
      <w:r w:rsidR="006C17E0" w:rsidRPr="00343079">
        <w:rPr>
          <w:lang w:val="cs-CZ"/>
        </w:rPr>
        <w:t xml:space="preserve">pro </w:t>
      </w:r>
      <w:r w:rsidR="00224E86" w:rsidRPr="00343079">
        <w:rPr>
          <w:lang w:val="cs-CZ"/>
        </w:rPr>
        <w:t>pořizování komodit prostřednictvím</w:t>
      </w:r>
      <w:r w:rsidR="00EB768A" w:rsidRPr="00343079">
        <w:rPr>
          <w:lang w:val="cs-CZ"/>
        </w:rPr>
        <w:t xml:space="preserve"> RS</w:t>
      </w:r>
      <w:r w:rsidR="00963B01">
        <w:rPr>
          <w:lang w:val="cs-CZ"/>
        </w:rPr>
        <w:t xml:space="preserve"> </w:t>
      </w:r>
      <w:r w:rsidR="00EB768A" w:rsidRPr="00343079">
        <w:rPr>
          <w:lang w:val="cs-CZ"/>
        </w:rPr>
        <w:t xml:space="preserve">CZ. </w:t>
      </w:r>
    </w:p>
    <w:p w14:paraId="34BEED4F" w14:textId="5AEF7628" w:rsidR="00F4119E" w:rsidRPr="00343079" w:rsidRDefault="00175CE0" w:rsidP="00175CE0">
      <w:pPr>
        <w:pStyle w:val="KZnormln"/>
        <w:rPr>
          <w:lang w:val="cs-CZ"/>
        </w:rPr>
      </w:pPr>
      <w:r>
        <w:rPr>
          <w:lang w:val="cs-CZ"/>
        </w:rPr>
        <w:t>V</w:t>
      </w:r>
      <w:r w:rsidR="00963B01">
        <w:rPr>
          <w:lang w:val="cs-CZ"/>
        </w:rPr>
        <w:t xml:space="preserve"> </w:t>
      </w:r>
      <w:r w:rsidR="00D72800">
        <w:rPr>
          <w:lang w:val="cs-CZ"/>
        </w:rPr>
        <w:t>souvislosti</w:t>
      </w:r>
      <w:r>
        <w:rPr>
          <w:lang w:val="cs-CZ"/>
        </w:rPr>
        <w:t xml:space="preserve"> se zaváděním CNS </w:t>
      </w:r>
      <w:r w:rsidR="00491068">
        <w:rPr>
          <w:lang w:val="cs-CZ"/>
        </w:rPr>
        <w:t xml:space="preserve">dále vláda upravila </w:t>
      </w:r>
      <w:r w:rsidRPr="00F4119E">
        <w:rPr>
          <w:lang w:val="cs-CZ"/>
        </w:rPr>
        <w:t>nastavení fungování RS</w:t>
      </w:r>
      <w:r w:rsidR="00963B01">
        <w:rPr>
          <w:lang w:val="cs-CZ"/>
        </w:rPr>
        <w:t xml:space="preserve"> </w:t>
      </w:r>
      <w:r w:rsidRPr="00F4119E">
        <w:rPr>
          <w:lang w:val="cs-CZ"/>
        </w:rPr>
        <w:t>CZ,</w:t>
      </w:r>
      <w:r>
        <w:rPr>
          <w:lang w:val="cs-CZ"/>
        </w:rPr>
        <w:t xml:space="preserve"> včetně převedení některých rolí z</w:t>
      </w:r>
      <w:r w:rsidR="00963B01">
        <w:rPr>
          <w:lang w:val="cs-CZ"/>
        </w:rPr>
        <w:t xml:space="preserve"> </w:t>
      </w:r>
      <w:r>
        <w:rPr>
          <w:lang w:val="cs-CZ"/>
        </w:rPr>
        <w:t>MMR na MF</w:t>
      </w:r>
      <w:r w:rsidR="00CD26F8" w:rsidRPr="00CD26F8">
        <w:rPr>
          <w:vertAlign w:val="superscript"/>
          <w:lang w:val="cs-CZ"/>
        </w:rPr>
        <w:t>7</w:t>
      </w:r>
      <w:r w:rsidR="00B20458">
        <w:rPr>
          <w:lang w:val="cs-CZ"/>
        </w:rPr>
        <w:t xml:space="preserve">. </w:t>
      </w:r>
      <w:r w:rsidR="00DF0831">
        <w:rPr>
          <w:lang w:eastAsia="cs-CZ"/>
        </w:rPr>
        <w:t>Nově tak MF v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>RS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>CZ začalo spravovat seznam povinně nakupovaných komodit, vydávat spolu s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>Ministerstvem vnitra (</w:t>
      </w:r>
      <w:r w:rsidR="006E6E92">
        <w:rPr>
          <w:lang w:val="cs-CZ" w:eastAsia="cs-CZ"/>
        </w:rPr>
        <w:t>oblast</w:t>
      </w:r>
      <w:r w:rsidR="00F4119E">
        <w:rPr>
          <w:lang w:eastAsia="cs-CZ"/>
        </w:rPr>
        <w:t xml:space="preserve"> ICT komodit) vzorové postupy a zadávací podmínky a též technické standardy komodit, spravovat seznam zdůvodnění výjimek z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>RS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 xml:space="preserve">CZ a vypracovávat </w:t>
      </w:r>
      <w:r w:rsidR="00DF0831">
        <w:rPr>
          <w:lang w:val="cs-CZ" w:eastAsia="cs-CZ"/>
        </w:rPr>
        <w:t>v součinnosti</w:t>
      </w:r>
      <w:r w:rsidR="00963B01">
        <w:rPr>
          <w:lang w:eastAsia="cs-CZ"/>
        </w:rPr>
        <w:t xml:space="preserve"> </w:t>
      </w:r>
      <w:r w:rsidR="00DF0831">
        <w:rPr>
          <w:lang w:val="cs-CZ" w:eastAsia="cs-CZ"/>
        </w:rPr>
        <w:t xml:space="preserve">s </w:t>
      </w:r>
      <w:r w:rsidR="00F4119E">
        <w:rPr>
          <w:lang w:eastAsia="cs-CZ"/>
        </w:rPr>
        <w:t xml:space="preserve">MMR souhrnnou </w:t>
      </w:r>
      <w:r w:rsidR="00E7425B">
        <w:rPr>
          <w:lang w:val="cs-CZ" w:eastAsia="cs-CZ"/>
        </w:rPr>
        <w:t>r</w:t>
      </w:r>
      <w:r w:rsidR="00F4119E">
        <w:rPr>
          <w:lang w:eastAsia="cs-CZ"/>
        </w:rPr>
        <w:t>oční zprávu o</w:t>
      </w:r>
      <w:r w:rsidR="00DF0831">
        <w:rPr>
          <w:lang w:val="cs-CZ" w:eastAsia="cs-CZ"/>
        </w:rPr>
        <w:t> </w:t>
      </w:r>
      <w:r w:rsidR="00F4119E">
        <w:rPr>
          <w:lang w:eastAsia="cs-CZ"/>
        </w:rPr>
        <w:t>hodnocení centrálních nákupů státu a RS</w:t>
      </w:r>
      <w:r w:rsidR="00963B01">
        <w:rPr>
          <w:lang w:eastAsia="cs-CZ"/>
        </w:rPr>
        <w:t xml:space="preserve"> </w:t>
      </w:r>
      <w:r w:rsidR="00F4119E">
        <w:rPr>
          <w:lang w:eastAsia="cs-CZ"/>
        </w:rPr>
        <w:t xml:space="preserve">CZ. </w:t>
      </w:r>
    </w:p>
    <w:p w14:paraId="1BA2CB1D" w14:textId="2F94BDDD" w:rsidR="006605E0" w:rsidRPr="00343079" w:rsidRDefault="00230CEE" w:rsidP="005958B8">
      <w:pPr>
        <w:pStyle w:val="KZnormln"/>
        <w:rPr>
          <w:lang w:val="cs-CZ"/>
        </w:rPr>
      </w:pPr>
      <w:r w:rsidRPr="00343079">
        <w:rPr>
          <w:lang w:val="cs-CZ"/>
        </w:rPr>
        <w:t xml:space="preserve">Při pořizování komodit </w:t>
      </w:r>
      <w:r w:rsidR="00C83D1D" w:rsidRPr="00343079">
        <w:rPr>
          <w:lang w:val="cs-CZ"/>
        </w:rPr>
        <w:t xml:space="preserve">v rámci centralizovaného zadávání </w:t>
      </w:r>
      <w:r w:rsidRPr="00343079">
        <w:rPr>
          <w:lang w:val="cs-CZ"/>
        </w:rPr>
        <w:t>jsou zpravidla využívány rámcové dohody</w:t>
      </w:r>
      <w:r w:rsidR="00AD4E73">
        <w:rPr>
          <w:rStyle w:val="Znakapoznpodarou"/>
          <w:lang w:val="cs-CZ"/>
        </w:rPr>
        <w:footnoteReference w:id="17"/>
      </w:r>
      <w:r w:rsidR="00436EB5" w:rsidRPr="00343079">
        <w:rPr>
          <w:lang w:val="cs-CZ"/>
        </w:rPr>
        <w:t xml:space="preserve"> </w:t>
      </w:r>
      <w:r w:rsidRPr="00343079">
        <w:rPr>
          <w:lang w:val="cs-CZ"/>
        </w:rPr>
        <w:t>či dynamický nákupní systém</w:t>
      </w:r>
      <w:r w:rsidR="007E4A28">
        <w:rPr>
          <w:lang w:val="cs-CZ"/>
        </w:rPr>
        <w:t>.</w:t>
      </w:r>
      <w:r w:rsidRPr="00343079">
        <w:rPr>
          <w:lang w:val="cs-CZ"/>
        </w:rPr>
        <w:t xml:space="preserve"> </w:t>
      </w:r>
      <w:r w:rsidR="008238F1" w:rsidRPr="00343079">
        <w:rPr>
          <w:lang w:val="cs-CZ"/>
        </w:rPr>
        <w:t xml:space="preserve">Dynamický nákupní systém </w:t>
      </w:r>
      <w:r w:rsidR="00C74CE5">
        <w:rPr>
          <w:lang w:val="cs-CZ"/>
        </w:rPr>
        <w:t xml:space="preserve">(dále také „DNS“) </w:t>
      </w:r>
      <w:r w:rsidR="008238F1" w:rsidRPr="00343079">
        <w:rPr>
          <w:lang w:val="cs-CZ"/>
        </w:rPr>
        <w:t xml:space="preserve">představuje plně elektronický systém pro zadávání </w:t>
      </w:r>
      <w:r w:rsidR="00C83D1D" w:rsidRPr="00343079">
        <w:rPr>
          <w:lang w:val="cs-CZ"/>
        </w:rPr>
        <w:t>veřejných zakázek</w:t>
      </w:r>
      <w:r w:rsidR="008238F1" w:rsidRPr="00343079">
        <w:rPr>
          <w:lang w:val="cs-CZ"/>
        </w:rPr>
        <w:t xml:space="preserve">, jejichž předmětem </w:t>
      </w:r>
      <w:r w:rsidR="00004CB1" w:rsidRPr="00343079">
        <w:rPr>
          <w:lang w:val="cs-CZ"/>
        </w:rPr>
        <w:t>je</w:t>
      </w:r>
      <w:r w:rsidR="006A7297">
        <w:rPr>
          <w:lang w:val="cs-CZ"/>
        </w:rPr>
        <w:t xml:space="preserve"> </w:t>
      </w:r>
      <w:r w:rsidR="008238F1" w:rsidRPr="00343079">
        <w:rPr>
          <w:lang w:val="cs-CZ"/>
        </w:rPr>
        <w:t xml:space="preserve">pořízení běžných a obecně dostupných komodit. </w:t>
      </w:r>
      <w:r w:rsidR="00713BE1">
        <w:rPr>
          <w:lang w:val="cs-CZ"/>
        </w:rPr>
        <w:t>Počet</w:t>
      </w:r>
      <w:r w:rsidR="000F1443" w:rsidRPr="00343079">
        <w:rPr>
          <w:lang w:val="cs-CZ"/>
        </w:rPr>
        <w:t xml:space="preserve"> dodavatelů</w:t>
      </w:r>
      <w:r w:rsidR="00713BE1">
        <w:rPr>
          <w:lang w:val="cs-CZ"/>
        </w:rPr>
        <w:t xml:space="preserve"> </w:t>
      </w:r>
      <w:r w:rsidR="000F1443" w:rsidRPr="00343079">
        <w:rPr>
          <w:lang w:val="cs-CZ"/>
        </w:rPr>
        <w:t>i</w:t>
      </w:r>
      <w:r w:rsidR="00963B01">
        <w:rPr>
          <w:lang w:val="cs-CZ"/>
        </w:rPr>
        <w:t xml:space="preserve"> </w:t>
      </w:r>
      <w:r w:rsidR="000F1443" w:rsidRPr="00343079">
        <w:rPr>
          <w:lang w:val="cs-CZ"/>
        </w:rPr>
        <w:t xml:space="preserve">zadavatelů </w:t>
      </w:r>
      <w:r w:rsidR="00713BE1">
        <w:rPr>
          <w:lang w:val="cs-CZ"/>
        </w:rPr>
        <w:t xml:space="preserve">se </w:t>
      </w:r>
      <w:r w:rsidR="000F1443" w:rsidRPr="00343079">
        <w:rPr>
          <w:lang w:val="cs-CZ"/>
        </w:rPr>
        <w:t>může v </w:t>
      </w:r>
      <w:r w:rsidR="006605E0" w:rsidRPr="00343079">
        <w:rPr>
          <w:lang w:val="cs-CZ"/>
        </w:rPr>
        <w:t xml:space="preserve">průběhu zavedeného DNS </w:t>
      </w:r>
      <w:r w:rsidR="000F1443" w:rsidRPr="00343079">
        <w:rPr>
          <w:lang w:val="cs-CZ"/>
        </w:rPr>
        <w:t>rozšiřovat i z</w:t>
      </w:r>
      <w:r w:rsidR="00FB07EC" w:rsidRPr="00343079">
        <w:rPr>
          <w:lang w:val="cs-CZ"/>
        </w:rPr>
        <w:t>u</w:t>
      </w:r>
      <w:r w:rsidR="000F1443" w:rsidRPr="00343079">
        <w:rPr>
          <w:lang w:val="cs-CZ"/>
        </w:rPr>
        <w:t>žovat.</w:t>
      </w:r>
      <w:r w:rsidR="008238F1" w:rsidRPr="00343079">
        <w:rPr>
          <w:lang w:val="cs-CZ"/>
        </w:rPr>
        <w:t xml:space="preserve"> </w:t>
      </w:r>
      <w:r w:rsidR="00C83D1D" w:rsidRPr="00343079">
        <w:rPr>
          <w:lang w:val="cs-CZ"/>
        </w:rPr>
        <w:t>V</w:t>
      </w:r>
      <w:r w:rsidR="00963B01">
        <w:rPr>
          <w:lang w:val="cs-CZ"/>
        </w:rPr>
        <w:t xml:space="preserve"> </w:t>
      </w:r>
      <w:r w:rsidR="008238F1" w:rsidRPr="00343079">
        <w:rPr>
          <w:lang w:val="cs-CZ"/>
        </w:rPr>
        <w:t xml:space="preserve">rámcové </w:t>
      </w:r>
      <w:r w:rsidR="00FB07EC" w:rsidRPr="00343079">
        <w:rPr>
          <w:lang w:val="cs-CZ"/>
        </w:rPr>
        <w:t xml:space="preserve">dohodě </w:t>
      </w:r>
      <w:r w:rsidR="00C83D1D" w:rsidRPr="00343079">
        <w:rPr>
          <w:lang w:val="cs-CZ"/>
        </w:rPr>
        <w:t>zadavatel</w:t>
      </w:r>
      <w:r w:rsidR="008238F1" w:rsidRPr="00343079">
        <w:rPr>
          <w:lang w:val="cs-CZ"/>
        </w:rPr>
        <w:t xml:space="preserve"> </w:t>
      </w:r>
      <w:r w:rsidR="00C83D1D" w:rsidRPr="00343079">
        <w:rPr>
          <w:lang w:val="cs-CZ"/>
        </w:rPr>
        <w:t xml:space="preserve">sjednává </w:t>
      </w:r>
      <w:r w:rsidR="00C83D1D" w:rsidRPr="00343079">
        <w:rPr>
          <w:lang w:val="cs-CZ"/>
        </w:rPr>
        <w:lastRenderedPageBreak/>
        <w:t>podmínky plnění</w:t>
      </w:r>
      <w:r w:rsidR="00315F3A" w:rsidRPr="00343079">
        <w:rPr>
          <w:lang w:val="cs-CZ"/>
        </w:rPr>
        <w:t>, týkající se zejména ceny a předmětu plnění,</w:t>
      </w:r>
      <w:r w:rsidR="00C83D1D" w:rsidRPr="00343079">
        <w:rPr>
          <w:lang w:val="cs-CZ"/>
        </w:rPr>
        <w:t xml:space="preserve"> </w:t>
      </w:r>
      <w:r w:rsidR="008238F1" w:rsidRPr="00343079">
        <w:rPr>
          <w:lang w:val="cs-CZ"/>
        </w:rPr>
        <w:t>s</w:t>
      </w:r>
      <w:r w:rsidR="00963B01">
        <w:rPr>
          <w:lang w:val="cs-CZ"/>
        </w:rPr>
        <w:t xml:space="preserve"> </w:t>
      </w:r>
      <w:r w:rsidR="008238F1" w:rsidRPr="00343079">
        <w:rPr>
          <w:lang w:val="cs-CZ"/>
        </w:rPr>
        <w:t xml:space="preserve">již vybraným dodavatelem </w:t>
      </w:r>
      <w:r w:rsidR="00004CB1" w:rsidRPr="00343079">
        <w:rPr>
          <w:lang w:val="cs-CZ"/>
        </w:rPr>
        <w:t>či</w:t>
      </w:r>
      <w:r w:rsidR="00004CB1">
        <w:rPr>
          <w:lang w:val="cs-CZ"/>
        </w:rPr>
        <w:t> </w:t>
      </w:r>
      <w:r w:rsidR="008238F1" w:rsidRPr="00343079">
        <w:rPr>
          <w:lang w:val="cs-CZ"/>
        </w:rPr>
        <w:t>skupinou dodavatelů. Okruh dodavatelů i</w:t>
      </w:r>
      <w:r w:rsidR="00963B01">
        <w:rPr>
          <w:lang w:val="cs-CZ"/>
        </w:rPr>
        <w:t xml:space="preserve"> </w:t>
      </w:r>
      <w:r w:rsidR="008238F1" w:rsidRPr="00343079">
        <w:rPr>
          <w:lang w:val="cs-CZ"/>
        </w:rPr>
        <w:t xml:space="preserve">odběratelů je dán rámcovou dohodou a není možné jej následně </w:t>
      </w:r>
      <w:r w:rsidR="006605E0" w:rsidRPr="00343079">
        <w:rPr>
          <w:lang w:val="cs-CZ"/>
        </w:rPr>
        <w:t>měnit</w:t>
      </w:r>
      <w:r w:rsidR="008238F1" w:rsidRPr="00343079">
        <w:rPr>
          <w:lang w:val="cs-CZ"/>
        </w:rPr>
        <w:t xml:space="preserve">. Na základě </w:t>
      </w:r>
      <w:r w:rsidR="00C83D1D" w:rsidRPr="00343079">
        <w:rPr>
          <w:lang w:val="cs-CZ"/>
        </w:rPr>
        <w:t xml:space="preserve">uzavřené </w:t>
      </w:r>
      <w:r w:rsidR="008238F1" w:rsidRPr="00343079">
        <w:rPr>
          <w:lang w:val="cs-CZ"/>
        </w:rPr>
        <w:t xml:space="preserve">rámcové dohody </w:t>
      </w:r>
      <w:r w:rsidR="00C83D1D" w:rsidRPr="00343079">
        <w:rPr>
          <w:lang w:val="cs-CZ"/>
        </w:rPr>
        <w:t>i</w:t>
      </w:r>
      <w:r w:rsidR="00963B01">
        <w:rPr>
          <w:lang w:val="cs-CZ"/>
        </w:rPr>
        <w:t xml:space="preserve"> </w:t>
      </w:r>
      <w:r w:rsidR="00C83D1D" w:rsidRPr="00343079">
        <w:rPr>
          <w:lang w:val="cs-CZ"/>
        </w:rPr>
        <w:t xml:space="preserve">prostřednictvím zavedeného DNS </w:t>
      </w:r>
      <w:r w:rsidR="00604540" w:rsidRPr="00343079">
        <w:rPr>
          <w:lang w:val="cs-CZ"/>
        </w:rPr>
        <w:t xml:space="preserve">následně </w:t>
      </w:r>
      <w:r w:rsidR="008238F1" w:rsidRPr="00343079">
        <w:rPr>
          <w:lang w:val="cs-CZ"/>
        </w:rPr>
        <w:t xml:space="preserve">zadavatel </w:t>
      </w:r>
      <w:r w:rsidR="00C90EBC">
        <w:rPr>
          <w:lang w:val="cs-CZ"/>
        </w:rPr>
        <w:t>zadává</w:t>
      </w:r>
      <w:r w:rsidR="00C90EBC" w:rsidRPr="00343079">
        <w:rPr>
          <w:lang w:val="cs-CZ"/>
        </w:rPr>
        <w:t xml:space="preserve"> </w:t>
      </w:r>
      <w:r w:rsidR="008238F1" w:rsidRPr="00343079">
        <w:rPr>
          <w:lang w:val="cs-CZ"/>
        </w:rPr>
        <w:t xml:space="preserve">dílčí </w:t>
      </w:r>
      <w:r w:rsidR="005C72BA">
        <w:rPr>
          <w:lang w:val="cs-CZ"/>
        </w:rPr>
        <w:t>veřejné zakázky (dále</w:t>
      </w:r>
      <w:r w:rsidR="00963B01">
        <w:rPr>
          <w:lang w:val="cs-CZ"/>
        </w:rPr>
        <w:t xml:space="preserve"> </w:t>
      </w:r>
      <w:r w:rsidR="005C72BA">
        <w:rPr>
          <w:lang w:val="cs-CZ"/>
        </w:rPr>
        <w:t>také „</w:t>
      </w:r>
      <w:r w:rsidR="008238F1" w:rsidRPr="00343079">
        <w:rPr>
          <w:lang w:val="cs-CZ"/>
        </w:rPr>
        <w:t>VZ</w:t>
      </w:r>
      <w:r w:rsidR="005C72BA">
        <w:rPr>
          <w:lang w:val="cs-CZ"/>
        </w:rPr>
        <w:t>“)</w:t>
      </w:r>
      <w:r w:rsidR="00C83D1D" w:rsidRPr="00343079">
        <w:rPr>
          <w:lang w:val="cs-CZ"/>
        </w:rPr>
        <w:t>.</w:t>
      </w:r>
      <w:r w:rsidR="00404155" w:rsidRPr="00343079">
        <w:rPr>
          <w:lang w:val="cs-CZ"/>
        </w:rPr>
        <w:t xml:space="preserve"> </w:t>
      </w:r>
    </w:p>
    <w:p w14:paraId="4F56E217" w14:textId="77777777" w:rsidR="004979FA" w:rsidRDefault="008238F1" w:rsidP="008E1672">
      <w:pPr>
        <w:pStyle w:val="KZnormln"/>
        <w:spacing w:after="360"/>
        <w:rPr>
          <w:sz w:val="20"/>
          <w:szCs w:val="20"/>
          <w:lang w:eastAsia="cs-CZ"/>
        </w:rPr>
      </w:pPr>
      <w:r w:rsidRPr="00343079">
        <w:rPr>
          <w:lang w:val="cs-CZ"/>
        </w:rPr>
        <w:t xml:space="preserve">Dle </w:t>
      </w:r>
      <w:r w:rsidR="00574355">
        <w:rPr>
          <w:lang w:val="cs-CZ"/>
        </w:rPr>
        <w:t>zákona č. 134/2016 Sb.</w:t>
      </w:r>
      <w:r w:rsidRPr="00343079">
        <w:rPr>
          <w:lang w:val="cs-CZ"/>
        </w:rPr>
        <w:t xml:space="preserve"> </w:t>
      </w:r>
      <w:r w:rsidR="003D0893" w:rsidRPr="00343079">
        <w:rPr>
          <w:lang w:val="cs-CZ"/>
        </w:rPr>
        <w:t xml:space="preserve">je za centralizované zadávání </w:t>
      </w:r>
      <w:r w:rsidRPr="00343079">
        <w:rPr>
          <w:lang w:val="cs-CZ"/>
        </w:rPr>
        <w:t>odpovědný</w:t>
      </w:r>
      <w:r w:rsidR="00436EB5" w:rsidRPr="00343079">
        <w:rPr>
          <w:lang w:val="cs-CZ"/>
        </w:rPr>
        <w:t xml:space="preserve"> výhradně</w:t>
      </w:r>
      <w:r w:rsidR="00963B01">
        <w:rPr>
          <w:lang w:val="cs-CZ"/>
        </w:rPr>
        <w:t xml:space="preserve"> </w:t>
      </w:r>
      <w:r w:rsidRPr="00343079">
        <w:rPr>
          <w:lang w:val="cs-CZ"/>
        </w:rPr>
        <w:t>centrální zadavatel</w:t>
      </w:r>
      <w:r w:rsidR="006605E0" w:rsidRPr="00343079">
        <w:rPr>
          <w:lang w:val="cs-CZ"/>
        </w:rPr>
        <w:t>.</w:t>
      </w:r>
      <w:r w:rsidR="00D72800">
        <w:rPr>
          <w:lang w:val="cs-CZ"/>
        </w:rPr>
        <w:t xml:space="preserve"> </w:t>
      </w:r>
      <w:r w:rsidR="006605E0" w:rsidRPr="00343079">
        <w:rPr>
          <w:lang w:val="cs-CZ"/>
        </w:rPr>
        <w:t>P</w:t>
      </w:r>
      <w:r w:rsidRPr="00343079">
        <w:rPr>
          <w:lang w:val="cs-CZ"/>
        </w:rPr>
        <w:t xml:space="preserve">ověřující zadavatelé </w:t>
      </w:r>
      <w:r w:rsidR="00F818D5">
        <w:rPr>
          <w:lang w:val="cs-CZ"/>
        </w:rPr>
        <w:t xml:space="preserve">jsou odpovědni </w:t>
      </w:r>
      <w:r w:rsidR="00404155" w:rsidRPr="00343079">
        <w:rPr>
          <w:lang w:val="cs-CZ"/>
        </w:rPr>
        <w:t xml:space="preserve">pouze </w:t>
      </w:r>
      <w:r w:rsidRPr="00343079">
        <w:rPr>
          <w:lang w:val="cs-CZ"/>
        </w:rPr>
        <w:t>za</w:t>
      </w:r>
      <w:r w:rsidR="00963B01">
        <w:rPr>
          <w:lang w:val="cs-CZ"/>
        </w:rPr>
        <w:t xml:space="preserve"> </w:t>
      </w:r>
      <w:r w:rsidRPr="00343079">
        <w:rPr>
          <w:lang w:val="cs-CZ"/>
        </w:rPr>
        <w:t>jimi zadávané VZ</w:t>
      </w:r>
      <w:r w:rsidR="00436EB5" w:rsidRPr="00343079">
        <w:rPr>
          <w:lang w:val="cs-CZ"/>
        </w:rPr>
        <w:t xml:space="preserve"> prostřednictvím DNS provozovan</w:t>
      </w:r>
      <w:r w:rsidR="006605E0" w:rsidRPr="00343079">
        <w:rPr>
          <w:lang w:val="cs-CZ"/>
        </w:rPr>
        <w:t>ý</w:t>
      </w:r>
      <w:r w:rsidR="00436EB5" w:rsidRPr="00343079">
        <w:rPr>
          <w:lang w:val="cs-CZ"/>
        </w:rPr>
        <w:t>m centrálním zadavatelem či zadané na</w:t>
      </w:r>
      <w:r w:rsidR="00963B01">
        <w:rPr>
          <w:lang w:val="cs-CZ"/>
        </w:rPr>
        <w:t xml:space="preserve"> </w:t>
      </w:r>
      <w:r w:rsidR="00436EB5" w:rsidRPr="00343079">
        <w:rPr>
          <w:lang w:val="cs-CZ"/>
        </w:rPr>
        <w:t>základě rámcové dohody uzavřené v rámci centralizovaného zadávání</w:t>
      </w:r>
      <w:r w:rsidR="00D72800">
        <w:rPr>
          <w:lang w:val="cs-CZ"/>
        </w:rPr>
        <w:t>.</w:t>
      </w:r>
      <w:r w:rsidR="00713BE1">
        <w:rPr>
          <w:sz w:val="20"/>
          <w:szCs w:val="20"/>
          <w:highlight w:val="yellow"/>
          <w:lang w:eastAsia="cs-CZ"/>
        </w:rPr>
        <w:t xml:space="preserve"> </w:t>
      </w:r>
    </w:p>
    <w:p w14:paraId="532C5BEE" w14:textId="379EF954" w:rsidR="009A5CC5" w:rsidRPr="006B67DC" w:rsidRDefault="0048206F" w:rsidP="006B67DC">
      <w:pPr>
        <w:pStyle w:val="KZnormln"/>
        <w:ind w:left="567" w:hanging="567"/>
        <w:rPr>
          <w:sz w:val="20"/>
          <w:szCs w:val="20"/>
        </w:rPr>
      </w:pPr>
      <w:r>
        <w:rPr>
          <w:b/>
          <w:sz w:val="20"/>
          <w:szCs w:val="20"/>
        </w:rPr>
        <w:t>Pozn</w:t>
      </w:r>
      <w:r w:rsidR="00DC2420">
        <w:rPr>
          <w:b/>
          <w:sz w:val="20"/>
          <w:szCs w:val="20"/>
          <w:lang w:val="cs-CZ"/>
        </w:rPr>
        <w:t>.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="009A5CC5" w:rsidRPr="006B67DC">
        <w:rPr>
          <w:sz w:val="20"/>
          <w:szCs w:val="20"/>
        </w:rPr>
        <w:t>Právní předpisy uvedené v tomto kontrolním závěru jsou aplikovány ve znění účinném pro kontrolované období.</w:t>
      </w:r>
    </w:p>
    <w:p w14:paraId="67CF8F8D" w14:textId="77777777" w:rsidR="008431E0" w:rsidRPr="003137FD" w:rsidRDefault="008431E0" w:rsidP="003137FD">
      <w:pPr>
        <w:pStyle w:val="KZnormln"/>
        <w:rPr>
          <w:lang w:val="cs-CZ"/>
        </w:rPr>
      </w:pPr>
    </w:p>
    <w:p w14:paraId="20C3091D" w14:textId="77777777" w:rsidR="00C21BD3" w:rsidRPr="00343079" w:rsidRDefault="006B67DC" w:rsidP="006B67DC">
      <w:pPr>
        <w:pStyle w:val="Nadpis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 xml:space="preserve">III. </w:t>
      </w:r>
      <w:r w:rsidR="00C21BD3" w:rsidRPr="00343079">
        <w:rPr>
          <w:lang w:eastAsia="cs-CZ"/>
        </w:rPr>
        <w:t>Rozsah kontroly</w:t>
      </w:r>
    </w:p>
    <w:p w14:paraId="75415ECB" w14:textId="77777777" w:rsidR="004B5150" w:rsidRDefault="00CE7A38" w:rsidP="00CE7A38">
      <w:pPr>
        <w:rPr>
          <w:lang w:eastAsia="cs"/>
        </w:rPr>
      </w:pPr>
      <w:r w:rsidRPr="00343079">
        <w:t xml:space="preserve">Kontrola </w:t>
      </w:r>
      <w:r>
        <w:t xml:space="preserve">NKÚ </w:t>
      </w:r>
      <w:r w:rsidRPr="00343079">
        <w:t>byla zaměřena na</w:t>
      </w:r>
      <w:r w:rsidRPr="00343079">
        <w:rPr>
          <w:lang w:eastAsia="cs"/>
        </w:rPr>
        <w:t xml:space="preserve"> nastavení a využívání centralizovaného zadávání ve státní správě a </w:t>
      </w:r>
      <w:r>
        <w:rPr>
          <w:lang w:eastAsia="cs"/>
        </w:rPr>
        <w:t xml:space="preserve">na hodnocení </w:t>
      </w:r>
      <w:r w:rsidRPr="00343079">
        <w:rPr>
          <w:lang w:eastAsia="cs"/>
        </w:rPr>
        <w:t>hospodárnost</w:t>
      </w:r>
      <w:r>
        <w:rPr>
          <w:lang w:eastAsia="cs"/>
        </w:rPr>
        <w:t>i</w:t>
      </w:r>
      <w:r w:rsidRPr="00343079">
        <w:rPr>
          <w:lang w:eastAsia="cs"/>
        </w:rPr>
        <w:t xml:space="preserve"> pořízení vybraných komodit. </w:t>
      </w:r>
      <w:r w:rsidR="004D3A09">
        <w:rPr>
          <w:lang w:eastAsia="cs"/>
        </w:rPr>
        <w:t>S</w:t>
      </w:r>
      <w:r w:rsidR="00963B01">
        <w:rPr>
          <w:lang w:eastAsia="cs"/>
        </w:rPr>
        <w:t xml:space="preserve"> </w:t>
      </w:r>
      <w:r w:rsidR="004D3A09">
        <w:rPr>
          <w:lang w:eastAsia="cs"/>
        </w:rPr>
        <w:t xml:space="preserve">ohledem na objem realizovaných VZ, připravované technické standardy a komodity nakupované kontrolovanými osobami byly ke kontrole vybrány komodity </w:t>
      </w:r>
      <w:r w:rsidR="004D3A09" w:rsidRPr="00446400">
        <w:rPr>
          <w:i/>
          <w:lang w:eastAsia="cs"/>
        </w:rPr>
        <w:t>kancelářský papír</w:t>
      </w:r>
      <w:r w:rsidR="004D3A09">
        <w:rPr>
          <w:lang w:eastAsia="cs"/>
        </w:rPr>
        <w:t xml:space="preserve">, </w:t>
      </w:r>
      <w:r w:rsidR="004D3A09" w:rsidRPr="00446400">
        <w:rPr>
          <w:i/>
          <w:lang w:eastAsia="cs"/>
        </w:rPr>
        <w:t>osobní vozidla</w:t>
      </w:r>
      <w:r w:rsidR="004D3A09">
        <w:rPr>
          <w:lang w:eastAsia="cs"/>
        </w:rPr>
        <w:t xml:space="preserve">, </w:t>
      </w:r>
      <w:r w:rsidR="004D3A09" w:rsidRPr="00446400">
        <w:rPr>
          <w:i/>
          <w:lang w:eastAsia="cs"/>
        </w:rPr>
        <w:t>nábytek</w:t>
      </w:r>
      <w:r w:rsidR="004D3A09">
        <w:rPr>
          <w:lang w:eastAsia="cs"/>
        </w:rPr>
        <w:t xml:space="preserve"> a</w:t>
      </w:r>
      <w:r w:rsidR="003137FD">
        <w:rPr>
          <w:lang w:eastAsia="cs"/>
        </w:rPr>
        <w:t> </w:t>
      </w:r>
      <w:r w:rsidR="004D3A09" w:rsidRPr="00446400">
        <w:rPr>
          <w:i/>
          <w:lang w:eastAsia="cs"/>
        </w:rPr>
        <w:t>softwarové produkty</w:t>
      </w:r>
      <w:r w:rsidR="004D3A09">
        <w:rPr>
          <w:lang w:eastAsia="cs"/>
        </w:rPr>
        <w:t>.</w:t>
      </w:r>
    </w:p>
    <w:p w14:paraId="67DE99F7" w14:textId="327AF5C6" w:rsidR="004B5150" w:rsidRDefault="004B5150" w:rsidP="004B5150">
      <w:r>
        <w:rPr>
          <w:rFonts w:cstheme="minorHAnsi"/>
          <w:lang w:eastAsia="cs-CZ"/>
        </w:rPr>
        <w:t xml:space="preserve">NKÚ posuzoval </w:t>
      </w:r>
      <w:r w:rsidR="000F6B15">
        <w:rPr>
          <w:rFonts w:cstheme="minorHAnsi"/>
          <w:lang w:eastAsia="cs-CZ"/>
        </w:rPr>
        <w:t xml:space="preserve">nastavení </w:t>
      </w:r>
      <w:r w:rsidR="00006751">
        <w:rPr>
          <w:rFonts w:cstheme="minorHAnsi"/>
          <w:lang w:eastAsia="cs-CZ"/>
        </w:rPr>
        <w:t>RS</w:t>
      </w:r>
      <w:r w:rsidR="00963B01">
        <w:rPr>
          <w:rFonts w:cstheme="minorHAnsi"/>
          <w:lang w:eastAsia="cs-CZ"/>
        </w:rPr>
        <w:t xml:space="preserve"> </w:t>
      </w:r>
      <w:r w:rsidR="00006751">
        <w:rPr>
          <w:rFonts w:cstheme="minorHAnsi"/>
          <w:lang w:eastAsia="cs-CZ"/>
        </w:rPr>
        <w:t>CZ a CNS</w:t>
      </w:r>
      <w:r w:rsidR="000F6B15">
        <w:rPr>
          <w:rFonts w:cstheme="minorHAnsi"/>
          <w:lang w:eastAsia="cs-CZ"/>
        </w:rPr>
        <w:t xml:space="preserve"> u kontrolovaných osob</w:t>
      </w:r>
      <w:r w:rsidR="00853799">
        <w:rPr>
          <w:rFonts w:cstheme="minorHAnsi"/>
          <w:lang w:eastAsia="cs-CZ"/>
        </w:rPr>
        <w:t xml:space="preserve">, </w:t>
      </w:r>
      <w:r w:rsidR="000F6B15">
        <w:rPr>
          <w:rFonts w:cstheme="minorHAnsi"/>
          <w:lang w:eastAsia="cs-CZ"/>
        </w:rPr>
        <w:t xml:space="preserve">technickou </w:t>
      </w:r>
      <w:r w:rsidR="000F6B15" w:rsidRPr="00343079">
        <w:rPr>
          <w:rFonts w:cstheme="minorHAnsi"/>
          <w:lang w:eastAsia="cs-CZ"/>
        </w:rPr>
        <w:t>podpor</w:t>
      </w:r>
      <w:r w:rsidR="000F6B15">
        <w:rPr>
          <w:rFonts w:cstheme="minorHAnsi"/>
          <w:lang w:eastAsia="cs-CZ"/>
        </w:rPr>
        <w:t>u</w:t>
      </w:r>
      <w:r w:rsidR="00CE7A38" w:rsidRPr="00343079" w:rsidDel="004B5150">
        <w:rPr>
          <w:rFonts w:cstheme="minorHAnsi"/>
          <w:lang w:eastAsia="cs-CZ"/>
        </w:rPr>
        <w:t xml:space="preserve"> centralizovaného zadávání</w:t>
      </w:r>
      <w:r w:rsidR="003A7235" w:rsidDel="004B5150">
        <w:rPr>
          <w:rFonts w:cstheme="minorHAnsi"/>
          <w:lang w:eastAsia="cs-CZ"/>
        </w:rPr>
        <w:t xml:space="preserve"> </w:t>
      </w:r>
      <w:r w:rsidR="000F6B15">
        <w:rPr>
          <w:rFonts w:cstheme="minorHAnsi"/>
          <w:lang w:eastAsia="cs-CZ"/>
        </w:rPr>
        <w:t>(</w:t>
      </w:r>
      <w:r w:rsidR="008A48A4">
        <w:rPr>
          <w:rFonts w:cstheme="minorHAnsi"/>
          <w:lang w:eastAsia="cs-CZ"/>
        </w:rPr>
        <w:t xml:space="preserve">zejména </w:t>
      </w:r>
      <w:r w:rsidR="003030C5">
        <w:rPr>
          <w:rFonts w:cstheme="minorHAnsi"/>
          <w:lang w:eastAsia="cs-CZ"/>
        </w:rPr>
        <w:t xml:space="preserve">sběr požadavků od pověřujících </w:t>
      </w:r>
      <w:r w:rsidR="000F6B15">
        <w:rPr>
          <w:rFonts w:cstheme="minorHAnsi"/>
          <w:lang w:eastAsia="cs-CZ"/>
        </w:rPr>
        <w:t>zadavatelů), rozsah pořizovaných komodit</w:t>
      </w:r>
      <w:r w:rsidR="00E43F38">
        <w:rPr>
          <w:rFonts w:cstheme="minorHAnsi"/>
          <w:lang w:eastAsia="cs-CZ"/>
        </w:rPr>
        <w:t>,</w:t>
      </w:r>
      <w:r w:rsidR="00BD7833">
        <w:rPr>
          <w:rFonts w:cstheme="minorHAnsi"/>
          <w:lang w:eastAsia="cs-CZ"/>
        </w:rPr>
        <w:t xml:space="preserve"> </w:t>
      </w:r>
      <w:r w:rsidR="00E43F38">
        <w:rPr>
          <w:rFonts w:cstheme="minorHAnsi"/>
          <w:lang w:eastAsia="cs-CZ"/>
        </w:rPr>
        <w:t>stanovení technických standardů</w:t>
      </w:r>
      <w:r w:rsidR="00BD7833">
        <w:rPr>
          <w:rFonts w:cstheme="minorHAnsi"/>
          <w:lang w:eastAsia="cs-CZ"/>
        </w:rPr>
        <w:t xml:space="preserve"> a </w:t>
      </w:r>
      <w:r>
        <w:rPr>
          <w:rFonts w:cstheme="minorHAnsi"/>
          <w:lang w:eastAsia="cs-CZ"/>
        </w:rPr>
        <w:t>způsob hodnocení přínosů centralizovaného zadávání</w:t>
      </w:r>
      <w:r w:rsidR="00BD7833">
        <w:rPr>
          <w:rFonts w:cstheme="minorHAnsi"/>
          <w:lang w:eastAsia="cs-CZ"/>
        </w:rPr>
        <w:t xml:space="preserve">. </w:t>
      </w:r>
      <w:r w:rsidR="00593492">
        <w:rPr>
          <w:rFonts w:cstheme="minorHAnsi"/>
          <w:lang w:eastAsia="cs-CZ"/>
        </w:rPr>
        <w:t xml:space="preserve">NKÚ dále posuzoval </w:t>
      </w:r>
      <w:r w:rsidR="00593492" w:rsidRPr="00343079">
        <w:rPr>
          <w:rFonts w:cs="Calibri"/>
        </w:rPr>
        <w:t xml:space="preserve">dodržení harmonogramu při </w:t>
      </w:r>
      <w:r w:rsidR="00593492">
        <w:rPr>
          <w:rFonts w:cs="Calibri"/>
        </w:rPr>
        <w:t>zavádění</w:t>
      </w:r>
      <w:r w:rsidR="00593492" w:rsidRPr="00343079">
        <w:rPr>
          <w:rFonts w:cs="Calibri"/>
        </w:rPr>
        <w:t xml:space="preserve"> </w:t>
      </w:r>
      <w:r w:rsidR="000E6CBB">
        <w:rPr>
          <w:rFonts w:cs="Calibri"/>
        </w:rPr>
        <w:t>CNS</w:t>
      </w:r>
      <w:r w:rsidR="00593492">
        <w:rPr>
          <w:rFonts w:cs="Calibri"/>
        </w:rPr>
        <w:t xml:space="preserve">. </w:t>
      </w:r>
      <w:r w:rsidR="00BD7833">
        <w:t>N</w:t>
      </w:r>
      <w:r w:rsidRPr="00343079">
        <w:t xml:space="preserve">astavení </w:t>
      </w:r>
      <w:r w:rsidR="00853799">
        <w:t>centralizovaného zadávání</w:t>
      </w:r>
      <w:r w:rsidRPr="00343079">
        <w:t xml:space="preserve"> </w:t>
      </w:r>
      <w:r w:rsidR="00BD7833">
        <w:t>v</w:t>
      </w:r>
      <w:r w:rsidR="00963B01">
        <w:t xml:space="preserve"> </w:t>
      </w:r>
      <w:r w:rsidR="00BD7833">
        <w:t xml:space="preserve">České republice bylo </w:t>
      </w:r>
      <w:r w:rsidR="000E6CBB">
        <w:t xml:space="preserve">také </w:t>
      </w:r>
      <w:r w:rsidR="00BD7833">
        <w:t>porovnáno s</w:t>
      </w:r>
      <w:r w:rsidR="00963B01">
        <w:t xml:space="preserve"> </w:t>
      </w:r>
      <w:r w:rsidR="00BD7833">
        <w:t>vybranými evropskými státy</w:t>
      </w:r>
      <w:r>
        <w:t xml:space="preserve"> (viz příloha </w:t>
      </w:r>
      <w:r w:rsidR="008B7148">
        <w:t>tohoto kontrolního závěru</w:t>
      </w:r>
      <w:r>
        <w:t>).</w:t>
      </w:r>
    </w:p>
    <w:p w14:paraId="61C57B42" w14:textId="73406F25" w:rsidR="002E0586" w:rsidRDefault="003C46D5" w:rsidP="00CE7A38">
      <w:pPr>
        <w:rPr>
          <w:rFonts w:cstheme="minorHAnsi"/>
        </w:rPr>
      </w:pPr>
      <w:r>
        <w:rPr>
          <w:rFonts w:cstheme="minorHAnsi"/>
        </w:rPr>
        <w:t>Míru v</w:t>
      </w:r>
      <w:r w:rsidR="00F45E7F" w:rsidRPr="00343079">
        <w:rPr>
          <w:rFonts w:cstheme="minorHAnsi"/>
        </w:rPr>
        <w:t xml:space="preserve">yužívání </w:t>
      </w:r>
      <w:r w:rsidR="00CE7A38" w:rsidRPr="00343079">
        <w:rPr>
          <w:rFonts w:cstheme="minorHAnsi"/>
        </w:rPr>
        <w:t xml:space="preserve">centralizovaného zadávání </w:t>
      </w:r>
      <w:r w:rsidR="00D869AB">
        <w:rPr>
          <w:rFonts w:cstheme="minorHAnsi"/>
        </w:rPr>
        <w:t>jednotlivých komodit</w:t>
      </w:r>
      <w:r w:rsidR="00CE7A38" w:rsidRPr="00343079" w:rsidDel="003C46D5">
        <w:t xml:space="preserve"> </w:t>
      </w:r>
      <w:r w:rsidR="006657CF">
        <w:t xml:space="preserve">měl </w:t>
      </w:r>
      <w:r w:rsidR="00F45E7F">
        <w:t>NKÚ</w:t>
      </w:r>
      <w:r w:rsidR="006657CF">
        <w:t xml:space="preserve"> v plánu</w:t>
      </w:r>
      <w:r w:rsidR="00F45E7F">
        <w:t xml:space="preserve"> </w:t>
      </w:r>
      <w:r>
        <w:t>určit</w:t>
      </w:r>
      <w:r w:rsidR="00F45E7F">
        <w:t xml:space="preserve"> </w:t>
      </w:r>
      <w:r w:rsidR="00004CB1">
        <w:t>na</w:t>
      </w:r>
      <w:r w:rsidR="008B7148">
        <w:t xml:space="preserve"> </w:t>
      </w:r>
      <w:r w:rsidR="00F45E7F">
        <w:t xml:space="preserve">základě </w:t>
      </w:r>
      <w:r w:rsidR="00F45E7F">
        <w:rPr>
          <w:rFonts w:cstheme="minorHAnsi"/>
        </w:rPr>
        <w:t>údajů</w:t>
      </w:r>
      <w:r w:rsidR="00F45E7F" w:rsidRPr="00343079">
        <w:rPr>
          <w:rFonts w:cstheme="minorHAnsi"/>
        </w:rPr>
        <w:t xml:space="preserve"> </w:t>
      </w:r>
      <w:r w:rsidR="00F45E7F" w:rsidRPr="0066342C">
        <w:rPr>
          <w:rFonts w:cstheme="minorHAnsi"/>
        </w:rPr>
        <w:t>z</w:t>
      </w:r>
      <w:r w:rsidR="00963B01">
        <w:rPr>
          <w:rFonts w:cstheme="minorHAnsi"/>
        </w:rPr>
        <w:t xml:space="preserve"> </w:t>
      </w:r>
      <w:r w:rsidR="00F45E7F" w:rsidRPr="00446400">
        <w:rPr>
          <w:rFonts w:cstheme="minorHAnsi"/>
          <w:i/>
        </w:rPr>
        <w:t>Věstníku veřejných zakázek</w:t>
      </w:r>
      <w:r>
        <w:rPr>
          <w:rFonts w:cstheme="minorHAnsi"/>
        </w:rPr>
        <w:t xml:space="preserve"> (dále také „VVZ“)</w:t>
      </w:r>
      <w:r w:rsidR="00202C92">
        <w:rPr>
          <w:rFonts w:cstheme="minorHAnsi"/>
        </w:rPr>
        <w:t xml:space="preserve">, který je součástí </w:t>
      </w:r>
      <w:r w:rsidR="00202C92" w:rsidRPr="00446400">
        <w:rPr>
          <w:rFonts w:cstheme="minorHAnsi"/>
          <w:i/>
        </w:rPr>
        <w:t>Informačního systému o veřejných zakázkách</w:t>
      </w:r>
      <w:r w:rsidR="00202C92">
        <w:rPr>
          <w:rFonts w:cstheme="minorHAnsi"/>
        </w:rPr>
        <w:t xml:space="preserve"> (dále také „ISVZ“)</w:t>
      </w:r>
      <w:r w:rsidR="00F45E7F">
        <w:rPr>
          <w:rFonts w:cstheme="minorHAnsi"/>
        </w:rPr>
        <w:t>.</w:t>
      </w:r>
      <w:r w:rsidR="00F45E7F" w:rsidRPr="00343079">
        <w:t xml:space="preserve"> </w:t>
      </w:r>
      <w:r w:rsidR="00D869AB">
        <w:t xml:space="preserve">Zadavatelé </w:t>
      </w:r>
      <w:r w:rsidR="000E6CBB">
        <w:t xml:space="preserve">veřejných zakázek </w:t>
      </w:r>
      <w:r w:rsidR="00D869AB">
        <w:t>vyplňují do f</w:t>
      </w:r>
      <w:r>
        <w:t>ormulář</w:t>
      </w:r>
      <w:r w:rsidR="00D869AB">
        <w:t>ů</w:t>
      </w:r>
      <w:r>
        <w:t xml:space="preserve"> uveřejňovan</w:t>
      </w:r>
      <w:r w:rsidR="00D869AB">
        <w:t>ých</w:t>
      </w:r>
      <w:r>
        <w:t xml:space="preserve"> ve VVZ</w:t>
      </w:r>
      <w:r>
        <w:rPr>
          <w:rStyle w:val="Znakapoznpodarou"/>
        </w:rPr>
        <w:footnoteReference w:id="18"/>
      </w:r>
      <w:r>
        <w:t xml:space="preserve"> </w:t>
      </w:r>
      <w:r w:rsidR="000E6CBB">
        <w:t>mimo jiné</w:t>
      </w:r>
      <w:r>
        <w:t xml:space="preserve"> informace o uzavření rámcových dohod, zavedení DNS, dílčích veřejných zakázkách v</w:t>
      </w:r>
      <w:r w:rsidR="00963B01">
        <w:t xml:space="preserve"> </w:t>
      </w:r>
      <w:r>
        <w:t>rámci rámcových doh</w:t>
      </w:r>
      <w:r w:rsidR="00D869AB">
        <w:t xml:space="preserve">od </w:t>
      </w:r>
      <w:r w:rsidR="00004CB1">
        <w:t>i </w:t>
      </w:r>
      <w:r w:rsidR="00D869AB">
        <w:t>DNS</w:t>
      </w:r>
      <w:r w:rsidR="000E6CBB">
        <w:t xml:space="preserve"> a v</w:t>
      </w:r>
      <w:r w:rsidR="00963B01">
        <w:t xml:space="preserve"> </w:t>
      </w:r>
      <w:r w:rsidR="000E6CBB">
        <w:t>neposlední řadě</w:t>
      </w:r>
      <w:r w:rsidR="00D869AB">
        <w:t xml:space="preserve"> </w:t>
      </w:r>
      <w:r>
        <w:t>informac</w:t>
      </w:r>
      <w:r w:rsidR="000E6CBB">
        <w:t>e</w:t>
      </w:r>
      <w:r>
        <w:t>, že zakázka je zadaná centrálním zadavatelem</w:t>
      </w:r>
      <w:r w:rsidR="00D869AB">
        <w:rPr>
          <w:rStyle w:val="Znakapoznpodarou"/>
        </w:rPr>
        <w:footnoteReference w:id="19"/>
      </w:r>
      <w:r>
        <w:t xml:space="preserve">. </w:t>
      </w:r>
      <w:r w:rsidR="000E6CBB">
        <w:t>Tyto i</w:t>
      </w:r>
      <w:r w:rsidR="00D869AB">
        <w:t>nformace však nejsou dostupné v</w:t>
      </w:r>
      <w:r w:rsidR="00963B01">
        <w:t xml:space="preserve"> </w:t>
      </w:r>
      <w:r w:rsidR="00D869AB">
        <w:t>rozsahu a</w:t>
      </w:r>
      <w:r w:rsidR="00963B01">
        <w:t xml:space="preserve"> </w:t>
      </w:r>
      <w:r w:rsidR="00D869AB">
        <w:t xml:space="preserve">struktuře, která by umožnila určit míru využívání centralizovaného zadávání </w:t>
      </w:r>
      <w:r w:rsidR="00CE7A38" w:rsidRPr="00343079">
        <w:t>a</w:t>
      </w:r>
      <w:r w:rsidR="00963B01">
        <w:t xml:space="preserve"> </w:t>
      </w:r>
      <w:r w:rsidR="00D869AB" w:rsidRPr="00343079">
        <w:t>ověř</w:t>
      </w:r>
      <w:r w:rsidR="00D869AB">
        <w:t>it</w:t>
      </w:r>
      <w:r w:rsidR="00D869AB" w:rsidRPr="00343079">
        <w:t xml:space="preserve"> </w:t>
      </w:r>
      <w:r w:rsidR="00CE7A38" w:rsidRPr="00343079">
        <w:t>údaj</w:t>
      </w:r>
      <w:r w:rsidR="00D869AB">
        <w:t>e</w:t>
      </w:r>
      <w:r w:rsidR="00CE7A38" w:rsidRPr="00343079">
        <w:t xml:space="preserve"> </w:t>
      </w:r>
      <w:r w:rsidR="00D366F1">
        <w:t>uváděné</w:t>
      </w:r>
      <w:r w:rsidR="00D869AB" w:rsidRPr="00343079">
        <w:t xml:space="preserve"> </w:t>
      </w:r>
      <w:r w:rsidR="00CE7A38" w:rsidRPr="00343079">
        <w:t>ve</w:t>
      </w:r>
      <w:r w:rsidR="00963B01">
        <w:t xml:space="preserve"> </w:t>
      </w:r>
      <w:r w:rsidR="00CE7A38" w:rsidRPr="00343079">
        <w:t xml:space="preserve">výročních zprávách o stavu VZ a zprávách o </w:t>
      </w:r>
      <w:r w:rsidR="00A516B8">
        <w:t>hodnocení</w:t>
      </w:r>
      <w:r w:rsidR="00A516B8" w:rsidRPr="00343079">
        <w:t xml:space="preserve"> </w:t>
      </w:r>
      <w:r w:rsidR="00CE7A38" w:rsidRPr="00343079">
        <w:t>RS</w:t>
      </w:r>
      <w:r w:rsidR="009F34CB">
        <w:t> CZ</w:t>
      </w:r>
      <w:r w:rsidR="00CE7A38" w:rsidRPr="00343079">
        <w:rPr>
          <w:rFonts w:cstheme="minorHAnsi"/>
        </w:rPr>
        <w:t xml:space="preserve"> </w:t>
      </w:r>
      <w:r w:rsidR="00D869AB">
        <w:rPr>
          <w:rFonts w:cstheme="minorHAnsi"/>
        </w:rPr>
        <w:t>a CNS</w:t>
      </w:r>
      <w:r w:rsidR="00CE7A38" w:rsidRPr="00343079">
        <w:rPr>
          <w:rFonts w:cstheme="minorHAnsi"/>
        </w:rPr>
        <w:t>.</w:t>
      </w:r>
      <w:r w:rsidR="00D67BB8" w:rsidDel="00D869AB">
        <w:rPr>
          <w:rFonts w:cstheme="minorHAnsi"/>
        </w:rPr>
        <w:t xml:space="preserve"> </w:t>
      </w:r>
    </w:p>
    <w:p w14:paraId="70168DB5" w14:textId="77777777" w:rsidR="00CE7A38" w:rsidRDefault="00DF0831" w:rsidP="00CE7A38">
      <w:r>
        <w:rPr>
          <w:rFonts w:cstheme="minorHAnsi"/>
        </w:rPr>
        <w:t xml:space="preserve">NKÚ </w:t>
      </w:r>
      <w:r w:rsidR="000E6CBB">
        <w:rPr>
          <w:rFonts w:cstheme="minorHAnsi"/>
        </w:rPr>
        <w:t xml:space="preserve">byl při kontrole </w:t>
      </w:r>
      <w:r w:rsidR="009753AD">
        <w:rPr>
          <w:rFonts w:cstheme="minorHAnsi"/>
        </w:rPr>
        <w:t>omezen</w:t>
      </w:r>
      <w:r w:rsidR="000E6CBB">
        <w:rPr>
          <w:rFonts w:cstheme="minorHAnsi"/>
        </w:rPr>
        <w:t xml:space="preserve"> skutečností, že</w:t>
      </w:r>
      <w:r w:rsidR="00D67BB8">
        <w:t xml:space="preserve"> MMR </w:t>
      </w:r>
      <w:r w:rsidR="000317DE">
        <w:t>neposkytlo</w:t>
      </w:r>
      <w:r w:rsidR="00D67BB8">
        <w:t xml:space="preserve"> </w:t>
      </w:r>
      <w:r w:rsidR="00853799">
        <w:rPr>
          <w:rFonts w:ascii="Calibri" w:hAnsi="Calibri" w:cs="Calibri"/>
          <w:szCs w:val="24"/>
        </w:rPr>
        <w:t>požadovaná data</w:t>
      </w:r>
      <w:r w:rsidR="00D67BB8">
        <w:rPr>
          <w:rFonts w:ascii="Calibri" w:hAnsi="Calibri" w:cs="Calibri"/>
          <w:szCs w:val="24"/>
        </w:rPr>
        <w:t>. Splnění tohoto požadavku</w:t>
      </w:r>
      <w:r w:rsidR="000E6CBB">
        <w:rPr>
          <w:rFonts w:ascii="Calibri" w:hAnsi="Calibri" w:cs="Calibri"/>
          <w:szCs w:val="24"/>
        </w:rPr>
        <w:t xml:space="preserve"> by</w:t>
      </w:r>
      <w:r w:rsidR="00D67BB8">
        <w:rPr>
          <w:rFonts w:ascii="Calibri" w:hAnsi="Calibri" w:cs="Calibri"/>
          <w:szCs w:val="24"/>
        </w:rPr>
        <w:t xml:space="preserve"> dle MMR </w:t>
      </w:r>
      <w:r w:rsidR="0061090C">
        <w:rPr>
          <w:rFonts w:ascii="Calibri" w:hAnsi="Calibri" w:cs="Calibri"/>
          <w:szCs w:val="24"/>
        </w:rPr>
        <w:t xml:space="preserve">představovalo </w:t>
      </w:r>
      <w:r w:rsidR="00D67BB8">
        <w:rPr>
          <w:rFonts w:ascii="Calibri" w:hAnsi="Calibri" w:cs="Calibri"/>
          <w:szCs w:val="24"/>
        </w:rPr>
        <w:t>vynaložení cca 150 tis. Kč externímu dodavateli</w:t>
      </w:r>
      <w:r>
        <w:rPr>
          <w:rFonts w:ascii="Calibri" w:hAnsi="Calibri" w:cs="Calibri"/>
          <w:szCs w:val="24"/>
        </w:rPr>
        <w:t>, přestože MMR je správcem tohoto informačního systému.</w:t>
      </w:r>
      <w:r w:rsidR="00A516B8">
        <w:rPr>
          <w:rFonts w:ascii="Calibri" w:hAnsi="Calibri" w:cs="Calibri"/>
          <w:szCs w:val="24"/>
        </w:rPr>
        <w:t xml:space="preserve"> </w:t>
      </w:r>
      <w:r w:rsidR="00D67BB8">
        <w:rPr>
          <w:rFonts w:ascii="Calibri" w:hAnsi="Calibri" w:cs="Calibri"/>
          <w:szCs w:val="24"/>
        </w:rPr>
        <w:t xml:space="preserve">NKÚ </w:t>
      </w:r>
      <w:r w:rsidR="000E6EEC">
        <w:t xml:space="preserve">využil </w:t>
      </w:r>
      <w:r w:rsidR="00CE7A38" w:rsidRPr="00343079">
        <w:t>údaj</w:t>
      </w:r>
      <w:r w:rsidR="000E6EEC">
        <w:t>e</w:t>
      </w:r>
      <w:r w:rsidR="00CE7A38" w:rsidRPr="00343079">
        <w:t xml:space="preserve"> </w:t>
      </w:r>
      <w:r w:rsidR="000E6EEC" w:rsidRPr="00343079">
        <w:lastRenderedPageBreak/>
        <w:t>uv</w:t>
      </w:r>
      <w:r w:rsidR="000E6EEC">
        <w:t>edené</w:t>
      </w:r>
      <w:r w:rsidR="000E6EEC" w:rsidRPr="00343079">
        <w:t xml:space="preserve"> </w:t>
      </w:r>
      <w:r w:rsidR="00CE7A38" w:rsidRPr="00343079">
        <w:t>ve</w:t>
      </w:r>
      <w:r w:rsidR="00963B01">
        <w:t xml:space="preserve"> </w:t>
      </w:r>
      <w:r w:rsidR="00A946F8">
        <w:t>z</w:t>
      </w:r>
      <w:r w:rsidR="00CE7A38" w:rsidRPr="00A946F8">
        <w:t>práv</w:t>
      </w:r>
      <w:r w:rsidR="00FF5710" w:rsidRPr="00A946F8">
        <w:t>ách</w:t>
      </w:r>
      <w:r w:rsidR="00CE7A38" w:rsidRPr="00A946F8">
        <w:t xml:space="preserve"> o hodnocení </w:t>
      </w:r>
      <w:r w:rsidR="00CE7A38" w:rsidRPr="00A946F8" w:rsidDel="00A516B8">
        <w:t xml:space="preserve">resortních systémů centralizovaného </w:t>
      </w:r>
      <w:r w:rsidR="00644FFD" w:rsidRPr="00A946F8">
        <w:t xml:space="preserve">zadávání </w:t>
      </w:r>
      <w:r w:rsidR="00004CB1" w:rsidRPr="00A946F8">
        <w:t>a</w:t>
      </w:r>
      <w:r w:rsidR="00004CB1">
        <w:t> </w:t>
      </w:r>
      <w:r w:rsidR="00644FFD" w:rsidRPr="00A946F8">
        <w:t>centrálního nákupu státu</w:t>
      </w:r>
      <w:r w:rsidR="00A516B8" w:rsidRPr="00A946F8" w:rsidDel="00644FFD">
        <w:t xml:space="preserve"> </w:t>
      </w:r>
      <w:r w:rsidR="00CE7A38" w:rsidRPr="00A946F8">
        <w:t xml:space="preserve">a ve </w:t>
      </w:r>
      <w:r w:rsidR="00A946F8">
        <w:t>v</w:t>
      </w:r>
      <w:r w:rsidR="00CE7A38" w:rsidRPr="00A946F8">
        <w:t>ýroční</w:t>
      </w:r>
      <w:r w:rsidR="00FF5710" w:rsidRPr="00A946F8">
        <w:t>ch</w:t>
      </w:r>
      <w:r w:rsidR="00CE7A38" w:rsidRPr="00A946F8">
        <w:t xml:space="preserve"> zpráv</w:t>
      </w:r>
      <w:r w:rsidR="00FF5710" w:rsidRPr="00A946F8">
        <w:t>ách</w:t>
      </w:r>
      <w:r w:rsidR="00CE7A38" w:rsidRPr="00A946F8">
        <w:t xml:space="preserve"> o</w:t>
      </w:r>
      <w:r w:rsidR="00963B01">
        <w:t xml:space="preserve"> </w:t>
      </w:r>
      <w:r w:rsidR="00CE7A38" w:rsidRPr="00A946F8">
        <w:t>stavu veřejných zakázek v České republice</w:t>
      </w:r>
      <w:r w:rsidR="00CE7A38" w:rsidRPr="00343079">
        <w:t xml:space="preserve">. </w:t>
      </w:r>
      <w:r w:rsidR="00B818A1">
        <w:t>S</w:t>
      </w:r>
      <w:r w:rsidR="00B818A1" w:rsidRPr="00343079">
        <w:t xml:space="preserve">právnost a úplnost údajů </w:t>
      </w:r>
      <w:r w:rsidR="00B818A1">
        <w:t>uvedených</w:t>
      </w:r>
      <w:r w:rsidR="00B818A1" w:rsidRPr="00343079">
        <w:t xml:space="preserve"> v</w:t>
      </w:r>
      <w:r w:rsidR="00B818A1">
        <w:t xml:space="preserve"> </w:t>
      </w:r>
      <w:r w:rsidR="00B818A1" w:rsidRPr="00343079">
        <w:t xml:space="preserve">těchto zprávách </w:t>
      </w:r>
      <w:r w:rsidR="00B818A1">
        <w:t xml:space="preserve">NKÚ </w:t>
      </w:r>
      <w:r w:rsidR="00B818A1" w:rsidRPr="00343079">
        <w:t>neověřoval</w:t>
      </w:r>
      <w:r w:rsidR="00B818A1">
        <w:t>.</w:t>
      </w:r>
    </w:p>
    <w:p w14:paraId="2C4746D3" w14:textId="77777777" w:rsidR="004B5150" w:rsidRDefault="004B5150" w:rsidP="00CE7A38">
      <w:pPr>
        <w:rPr>
          <w:rFonts w:cstheme="minorHAnsi"/>
          <w:lang w:eastAsia="cs-CZ"/>
        </w:rPr>
      </w:pPr>
      <w:r w:rsidRPr="00343079">
        <w:rPr>
          <w:rFonts w:cstheme="minorHAnsi"/>
          <w:lang w:eastAsia="cs-CZ"/>
        </w:rPr>
        <w:t xml:space="preserve">Hospodárnost </w:t>
      </w:r>
      <w:r w:rsidR="000E6CBB">
        <w:rPr>
          <w:rFonts w:cstheme="minorHAnsi"/>
          <w:lang w:eastAsia="cs-CZ"/>
        </w:rPr>
        <w:t xml:space="preserve">pořízení komodit </w:t>
      </w:r>
      <w:r w:rsidRPr="00343079">
        <w:rPr>
          <w:rFonts w:cstheme="minorHAnsi"/>
          <w:lang w:eastAsia="cs-CZ"/>
        </w:rPr>
        <w:t xml:space="preserve">byla </w:t>
      </w:r>
      <w:r w:rsidRPr="00343079">
        <w:rPr>
          <w:rFonts w:cs="Calibri"/>
        </w:rPr>
        <w:t xml:space="preserve">ověřena </w:t>
      </w:r>
      <w:r w:rsidR="00593492">
        <w:rPr>
          <w:rFonts w:cs="Calibri"/>
        </w:rPr>
        <w:t xml:space="preserve">u vybraných veřejných zakázek </w:t>
      </w:r>
      <w:r>
        <w:rPr>
          <w:rFonts w:cs="Calibri"/>
        </w:rPr>
        <w:t>na</w:t>
      </w:r>
      <w:r w:rsidR="00963B01">
        <w:rPr>
          <w:rFonts w:cs="Calibri"/>
        </w:rPr>
        <w:t xml:space="preserve"> </w:t>
      </w:r>
      <w:r>
        <w:rPr>
          <w:rFonts w:cs="Calibri"/>
        </w:rPr>
        <w:t xml:space="preserve">základě </w:t>
      </w:r>
      <w:r w:rsidR="00006751" w:rsidRPr="00343079">
        <w:rPr>
          <w:rFonts w:cs="Calibri"/>
        </w:rPr>
        <w:t xml:space="preserve">dodržení podmínek </w:t>
      </w:r>
      <w:r w:rsidR="00006751">
        <w:rPr>
          <w:rFonts w:cs="Calibri"/>
        </w:rPr>
        <w:t>cenových ujednání v</w:t>
      </w:r>
      <w:r w:rsidR="00963B01">
        <w:rPr>
          <w:rFonts w:cs="Calibri"/>
        </w:rPr>
        <w:t xml:space="preserve"> </w:t>
      </w:r>
      <w:r w:rsidR="00006751" w:rsidRPr="00343079">
        <w:rPr>
          <w:rFonts w:cs="Calibri"/>
        </w:rPr>
        <w:t xml:space="preserve">rámcových </w:t>
      </w:r>
      <w:r w:rsidR="008F5193">
        <w:rPr>
          <w:rFonts w:cs="Calibri"/>
        </w:rPr>
        <w:t xml:space="preserve">dohodách </w:t>
      </w:r>
      <w:r w:rsidR="00006751">
        <w:rPr>
          <w:rFonts w:cs="Calibri"/>
        </w:rPr>
        <w:t>a</w:t>
      </w:r>
      <w:r w:rsidR="00963B01">
        <w:rPr>
          <w:rFonts w:cs="Calibri"/>
        </w:rPr>
        <w:t xml:space="preserve"> </w:t>
      </w:r>
      <w:r w:rsidR="00006751">
        <w:rPr>
          <w:rFonts w:cs="Calibri"/>
        </w:rPr>
        <w:t>prováděcích smlouvách</w:t>
      </w:r>
      <w:r w:rsidR="000E6CBB">
        <w:rPr>
          <w:rFonts w:cs="Calibri"/>
        </w:rPr>
        <w:t xml:space="preserve">, </w:t>
      </w:r>
      <w:r w:rsidR="001E5911">
        <w:rPr>
          <w:rFonts w:cs="Calibri"/>
        </w:rPr>
        <w:t>a </w:t>
      </w:r>
      <w:r w:rsidR="000E6CBB" w:rsidRPr="00343079">
        <w:rPr>
          <w:rFonts w:cs="Calibri"/>
        </w:rPr>
        <w:t>souladu postupu zadavatele se zákonnými ustanoveními</w:t>
      </w:r>
      <w:r w:rsidR="000E6CBB" w:rsidRPr="00343079">
        <w:rPr>
          <w:rStyle w:val="Znakapoznpodarou"/>
        </w:rPr>
        <w:footnoteReference w:id="20"/>
      </w:r>
      <w:r w:rsidR="00006751">
        <w:rPr>
          <w:rFonts w:cs="Calibri"/>
        </w:rPr>
        <w:t>.</w:t>
      </w:r>
      <w:r w:rsidR="00006751" w:rsidRPr="00343079">
        <w:rPr>
          <w:rFonts w:cstheme="minorHAnsi"/>
          <w:lang w:eastAsia="cs-CZ"/>
        </w:rPr>
        <w:t xml:space="preserve"> </w:t>
      </w:r>
      <w:r w:rsidR="000E6CBB">
        <w:rPr>
          <w:rFonts w:cstheme="minorHAnsi"/>
          <w:lang w:eastAsia="cs-CZ"/>
        </w:rPr>
        <w:t>Na úrovni systémů RS CZ a CNS byl z</w:t>
      </w:r>
      <w:r w:rsidR="00A5360F">
        <w:rPr>
          <w:rFonts w:cstheme="minorHAnsi"/>
          <w:lang w:eastAsia="cs-CZ"/>
        </w:rPr>
        <w:t> </w:t>
      </w:r>
      <w:r w:rsidR="000E6CBB">
        <w:rPr>
          <w:rFonts w:cstheme="minorHAnsi"/>
          <w:lang w:eastAsia="cs-CZ"/>
        </w:rPr>
        <w:t>hlediska hospodárnost</w:t>
      </w:r>
      <w:r w:rsidR="00F766A0">
        <w:rPr>
          <w:rFonts w:cstheme="minorHAnsi"/>
          <w:lang w:eastAsia="cs-CZ"/>
        </w:rPr>
        <w:t>i</w:t>
      </w:r>
      <w:r w:rsidR="000E6CBB">
        <w:rPr>
          <w:rFonts w:cstheme="minorHAnsi"/>
          <w:lang w:eastAsia="cs-CZ"/>
        </w:rPr>
        <w:t xml:space="preserve"> posuzován </w:t>
      </w:r>
      <w:r w:rsidR="00BE7A0F">
        <w:rPr>
          <w:rFonts w:cstheme="minorHAnsi"/>
          <w:lang w:eastAsia="cs-CZ"/>
        </w:rPr>
        <w:t xml:space="preserve">nákup komodity </w:t>
      </w:r>
      <w:r w:rsidR="00BE7A0F" w:rsidRPr="00BD2287">
        <w:rPr>
          <w:rFonts w:cstheme="minorHAnsi"/>
          <w:i/>
          <w:lang w:eastAsia="cs-CZ"/>
        </w:rPr>
        <w:t>kancelářský papír</w:t>
      </w:r>
      <w:r w:rsidR="00BE7A0F">
        <w:rPr>
          <w:rFonts w:cstheme="minorHAnsi"/>
          <w:lang w:eastAsia="cs-CZ"/>
        </w:rPr>
        <w:t>, kter</w:t>
      </w:r>
      <w:r w:rsidR="000E6CBB">
        <w:rPr>
          <w:rFonts w:cstheme="minorHAnsi"/>
          <w:lang w:eastAsia="cs-CZ"/>
        </w:rPr>
        <w:t>ý</w:t>
      </w:r>
      <w:r w:rsidR="00BE7A0F">
        <w:rPr>
          <w:rFonts w:cstheme="minorHAnsi"/>
          <w:lang w:eastAsia="cs-CZ"/>
        </w:rPr>
        <w:t xml:space="preserve"> byl</w:t>
      </w:r>
      <w:r w:rsidR="000E6CBB">
        <w:rPr>
          <w:rFonts w:cstheme="minorHAnsi"/>
          <w:lang w:eastAsia="cs-CZ"/>
        </w:rPr>
        <w:t xml:space="preserve"> jako</w:t>
      </w:r>
      <w:r w:rsidR="00BE7A0F">
        <w:rPr>
          <w:rFonts w:cstheme="minorHAnsi"/>
          <w:lang w:eastAsia="cs-CZ"/>
        </w:rPr>
        <w:t xml:space="preserve"> jedin</w:t>
      </w:r>
      <w:r w:rsidR="000E6CBB">
        <w:rPr>
          <w:rFonts w:cstheme="minorHAnsi"/>
          <w:lang w:eastAsia="cs-CZ"/>
        </w:rPr>
        <w:t>ý nakupován v</w:t>
      </w:r>
      <w:r w:rsidR="00963B01">
        <w:rPr>
          <w:rFonts w:cstheme="minorHAnsi"/>
          <w:lang w:eastAsia="cs-CZ"/>
        </w:rPr>
        <w:t xml:space="preserve"> </w:t>
      </w:r>
      <w:r w:rsidR="000E6CBB">
        <w:rPr>
          <w:rFonts w:cstheme="minorHAnsi"/>
          <w:lang w:eastAsia="cs-CZ"/>
        </w:rPr>
        <w:t>obou systémech centralizovaného zadávání</w:t>
      </w:r>
      <w:r w:rsidR="00BE7A0F">
        <w:rPr>
          <w:rFonts w:cstheme="minorHAnsi"/>
          <w:lang w:eastAsia="cs-CZ"/>
        </w:rPr>
        <w:t>.</w:t>
      </w:r>
      <w:r w:rsidRPr="00343079">
        <w:rPr>
          <w:rFonts w:cstheme="minorHAnsi"/>
          <w:lang w:eastAsia="cs-CZ"/>
        </w:rPr>
        <w:t xml:space="preserve"> </w:t>
      </w:r>
      <w:r w:rsidR="00F766A0">
        <w:rPr>
          <w:rFonts w:cstheme="minorHAnsi"/>
          <w:lang w:eastAsia="cs-CZ"/>
        </w:rPr>
        <w:t>NKÚ neprověřoval potřebnost nákupu komodit</w:t>
      </w:r>
      <w:r w:rsidRPr="00343079">
        <w:rPr>
          <w:rFonts w:cstheme="minorHAnsi"/>
          <w:lang w:eastAsia="cs-CZ"/>
        </w:rPr>
        <w:t xml:space="preserve">. </w:t>
      </w:r>
    </w:p>
    <w:p w14:paraId="4574E00C" w14:textId="77777777" w:rsidR="00E82D2C" w:rsidRDefault="004D3A09" w:rsidP="00E82D2C">
      <w:r w:rsidRPr="00343079">
        <w:t xml:space="preserve">NKÚ </w:t>
      </w:r>
      <w:r w:rsidR="000E6CBB">
        <w:t xml:space="preserve">dále </w:t>
      </w:r>
      <w:r w:rsidRPr="00343079">
        <w:t>provedl dotazníkové šetření</w:t>
      </w:r>
      <w:r w:rsidR="00935BD5">
        <w:t xml:space="preserve"> u všech organizací zapojených do RS CZ</w:t>
      </w:r>
      <w:r w:rsidR="00F07178">
        <w:t>,</w:t>
      </w:r>
      <w:r>
        <w:t xml:space="preserve"> jehož </w:t>
      </w:r>
      <w:r w:rsidR="000E6CBB">
        <w:t>cílem</w:t>
      </w:r>
      <w:r w:rsidRPr="00343079">
        <w:t xml:space="preserve"> </w:t>
      </w:r>
      <w:r w:rsidRPr="00B30BBD">
        <w:t xml:space="preserve">bylo zjištění </w:t>
      </w:r>
      <w:r w:rsidR="000E6CBB">
        <w:t>užívaných</w:t>
      </w:r>
      <w:r>
        <w:t xml:space="preserve"> elektronických nástrojů, nejčastěji nakupovaných komodit, přínosů </w:t>
      </w:r>
      <w:r w:rsidRPr="00343079">
        <w:t>a spokojenosti s</w:t>
      </w:r>
      <w:r w:rsidR="00963B01">
        <w:t xml:space="preserve"> </w:t>
      </w:r>
      <w:r w:rsidRPr="00343079">
        <w:t xml:space="preserve">centralizovaným zadáváním. </w:t>
      </w:r>
      <w:r>
        <w:t>Součinnost</w:t>
      </w:r>
      <w:r w:rsidRPr="00343079" w:rsidDel="00A516B8">
        <w:t xml:space="preserve"> </w:t>
      </w:r>
      <w:r w:rsidR="00BF1ECD">
        <w:t>poskytlo 267</w:t>
      </w:r>
      <w:r>
        <w:t xml:space="preserve"> </w:t>
      </w:r>
      <w:r w:rsidR="002B1CD3">
        <w:rPr>
          <w:rFonts w:cstheme="minorHAnsi"/>
          <w:noProof/>
          <w:color w:val="000000"/>
          <w:szCs w:val="24"/>
        </w:rPr>
        <w:t>z 529 oslovených</w:t>
      </w:r>
      <w:r w:rsidR="002B1CD3">
        <w:t xml:space="preserve"> </w:t>
      </w:r>
      <w:r>
        <w:t>organizací</w:t>
      </w:r>
      <w:r w:rsidR="00CA6CAB">
        <w:rPr>
          <w:rStyle w:val="Znakapoznpodarou"/>
        </w:rPr>
        <w:footnoteReference w:id="21"/>
      </w:r>
      <w:r w:rsidR="000E6CBB">
        <w:t xml:space="preserve"> </w:t>
      </w:r>
      <w:r w:rsidR="00935BD5">
        <w:t>a v</w:t>
      </w:r>
      <w:r w:rsidRPr="00343079">
        <w:t>ýs</w:t>
      </w:r>
      <w:r>
        <w:t>tupy</w:t>
      </w:r>
      <w:r w:rsidRPr="00343079">
        <w:t xml:space="preserve"> dotazníkového šetření byly využity </w:t>
      </w:r>
      <w:r>
        <w:t xml:space="preserve">na </w:t>
      </w:r>
      <w:r w:rsidRPr="00343079">
        <w:t>podp</w:t>
      </w:r>
      <w:r>
        <w:t>oru kontrolních</w:t>
      </w:r>
      <w:r w:rsidR="00963B01">
        <w:t xml:space="preserve"> </w:t>
      </w:r>
      <w:r w:rsidRPr="00343079">
        <w:t xml:space="preserve">zjištění. </w:t>
      </w:r>
    </w:p>
    <w:p w14:paraId="2FC40C92" w14:textId="77777777" w:rsidR="008431E0" w:rsidRDefault="008431E0" w:rsidP="00E82D2C"/>
    <w:p w14:paraId="0F22F936" w14:textId="77777777" w:rsidR="00C06FB8" w:rsidRPr="00343079" w:rsidRDefault="006B67DC" w:rsidP="006B67DC">
      <w:pPr>
        <w:pStyle w:val="Nadpis1"/>
        <w:numPr>
          <w:ilvl w:val="0"/>
          <w:numId w:val="0"/>
        </w:numPr>
      </w:pPr>
      <w:r>
        <w:t xml:space="preserve">IV. </w:t>
      </w:r>
      <w:r w:rsidR="00AE5171" w:rsidRPr="00343079">
        <w:t xml:space="preserve">Podrobné </w:t>
      </w:r>
      <w:r w:rsidR="00D96508">
        <w:t>skutečnosti zjištěné kontrolou</w:t>
      </w:r>
    </w:p>
    <w:p w14:paraId="4BBF3A9F" w14:textId="43E53ADE" w:rsidR="00183246" w:rsidRDefault="002408F7" w:rsidP="00902F97">
      <w:r w:rsidRPr="00343079">
        <w:rPr>
          <w:rFonts w:cstheme="minorHAnsi"/>
        </w:rPr>
        <w:t xml:space="preserve">Vláda </w:t>
      </w:r>
      <w:r>
        <w:rPr>
          <w:rFonts w:cstheme="minorHAnsi"/>
        </w:rPr>
        <w:t>v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roce 2003</w:t>
      </w:r>
      <w:r w:rsidRPr="00DF0831">
        <w:rPr>
          <w:vertAlign w:val="superscript"/>
        </w:rPr>
        <w:footnoteReference w:id="22"/>
      </w:r>
      <w:r w:rsidRPr="00DF0831">
        <w:rPr>
          <w:rFonts w:cstheme="minorHAnsi"/>
          <w:vertAlign w:val="superscript"/>
        </w:rPr>
        <w:t xml:space="preserve"> </w:t>
      </w:r>
      <w:r w:rsidRPr="00343079">
        <w:rPr>
          <w:rFonts w:cstheme="minorHAnsi"/>
        </w:rPr>
        <w:t>uložila ministru financí zpracovat ve spolupráci s vedoucí</w:t>
      </w:r>
      <w:r w:rsidR="00CD4623">
        <w:rPr>
          <w:rFonts w:cstheme="minorHAnsi"/>
        </w:rPr>
        <w:t>m</w:t>
      </w:r>
      <w:r w:rsidRPr="00343079">
        <w:rPr>
          <w:rFonts w:cstheme="minorHAnsi"/>
        </w:rPr>
        <w:t xml:space="preserve"> Úřadu vlády návrh na řešení centralizace státních zakázek. Správa státních hmotných rezerv </w:t>
      </w:r>
      <w:r w:rsidR="00C524BA">
        <w:rPr>
          <w:rFonts w:cstheme="minorHAnsi"/>
        </w:rPr>
        <w:t>měla</w:t>
      </w:r>
      <w:r w:rsidR="00C524BA" w:rsidRPr="00343079">
        <w:rPr>
          <w:rFonts w:cstheme="minorHAnsi"/>
        </w:rPr>
        <w:t xml:space="preserve"> </w:t>
      </w:r>
      <w:r w:rsidR="001E5911">
        <w:rPr>
          <w:rFonts w:cstheme="minorHAnsi"/>
        </w:rPr>
        <w:t>dle</w:t>
      </w:r>
      <w:r w:rsidR="006445FC">
        <w:rPr>
          <w:rFonts w:cstheme="minorHAnsi"/>
        </w:rPr>
        <w:t xml:space="preserve"> </w:t>
      </w:r>
      <w:r w:rsidR="00CD4623">
        <w:rPr>
          <w:rFonts w:cstheme="minorHAnsi"/>
        </w:rPr>
        <w:t xml:space="preserve">zpracovaného návrhu řešení </w:t>
      </w:r>
      <w:r w:rsidRPr="00343079">
        <w:rPr>
          <w:rFonts w:cstheme="minorHAnsi"/>
        </w:rPr>
        <w:t>v</w:t>
      </w:r>
      <w:r w:rsidR="00963B01">
        <w:rPr>
          <w:rFonts w:cstheme="minorHAnsi"/>
        </w:rPr>
        <w:t xml:space="preserve"> </w:t>
      </w:r>
      <w:r w:rsidRPr="00343079">
        <w:rPr>
          <w:rFonts w:cstheme="minorHAnsi"/>
        </w:rPr>
        <w:t>letech 2005 až 2006</w:t>
      </w:r>
      <w:r w:rsidRPr="00DF0831">
        <w:rPr>
          <w:vertAlign w:val="superscript"/>
        </w:rPr>
        <w:footnoteReference w:id="23"/>
      </w:r>
      <w:r w:rsidRPr="00343079">
        <w:rPr>
          <w:rFonts w:cstheme="minorHAnsi"/>
        </w:rPr>
        <w:t xml:space="preserve"> zabezpečit systém společného zadávání vybraných </w:t>
      </w:r>
      <w:r w:rsidR="00095B54">
        <w:rPr>
          <w:rFonts w:cstheme="minorHAnsi"/>
        </w:rPr>
        <w:t>VZ</w:t>
      </w:r>
      <w:r w:rsidRPr="00343079">
        <w:rPr>
          <w:rFonts w:cstheme="minorHAnsi"/>
        </w:rPr>
        <w:t xml:space="preserve"> pro ÚOSS a jim podřízené organizační složky</w:t>
      </w:r>
      <w:r w:rsidR="00CD4623">
        <w:rPr>
          <w:rFonts w:cstheme="minorHAnsi"/>
        </w:rPr>
        <w:t xml:space="preserve"> a</w:t>
      </w:r>
      <w:r w:rsidRPr="00343079">
        <w:rPr>
          <w:rFonts w:cstheme="minorHAnsi"/>
        </w:rPr>
        <w:t xml:space="preserve"> </w:t>
      </w:r>
      <w:r>
        <w:rPr>
          <w:rFonts w:cstheme="minorHAnsi"/>
        </w:rPr>
        <w:t>vykonávat</w:t>
      </w:r>
      <w:r w:rsidR="00963B01">
        <w:rPr>
          <w:rFonts w:cstheme="minorHAnsi"/>
        </w:rPr>
        <w:t xml:space="preserve"> </w:t>
      </w:r>
      <w:r w:rsidRPr="00343079">
        <w:rPr>
          <w:rFonts w:cstheme="minorHAnsi"/>
        </w:rPr>
        <w:t xml:space="preserve">roli centrálního zadavatele pro státní správu. </w:t>
      </w:r>
      <w:r w:rsidR="00601FF9">
        <w:rPr>
          <w:rFonts w:cstheme="minorHAnsi"/>
        </w:rPr>
        <w:t>V</w:t>
      </w:r>
      <w:r w:rsidR="00963B01">
        <w:rPr>
          <w:rFonts w:cstheme="minorHAnsi"/>
        </w:rPr>
        <w:t xml:space="preserve"> </w:t>
      </w:r>
      <w:r w:rsidR="00601FF9">
        <w:rPr>
          <w:rFonts w:cstheme="minorHAnsi"/>
        </w:rPr>
        <w:t>roce 2006 vláda rozhodla</w:t>
      </w:r>
      <w:r w:rsidR="00601FF9" w:rsidRPr="00DF0831">
        <w:rPr>
          <w:vertAlign w:val="superscript"/>
        </w:rPr>
        <w:footnoteReference w:id="24"/>
      </w:r>
      <w:r w:rsidR="00B85455">
        <w:t xml:space="preserve"> </w:t>
      </w:r>
      <w:r w:rsidR="00601FF9">
        <w:t>nepokračovat</w:t>
      </w:r>
      <w:r w:rsidR="00B85455">
        <w:t xml:space="preserve"> </w:t>
      </w:r>
      <w:r w:rsidR="001D292E">
        <w:t>v</w:t>
      </w:r>
      <w:r w:rsidR="00963B01">
        <w:t xml:space="preserve"> </w:t>
      </w:r>
      <w:r w:rsidRPr="00343079">
        <w:t>řešení centralizovaného zadávání</w:t>
      </w:r>
      <w:r>
        <w:t xml:space="preserve"> prostřednictvím Správy státních hmotných rezerv</w:t>
      </w:r>
      <w:r w:rsidRPr="00343079">
        <w:t>.</w:t>
      </w:r>
    </w:p>
    <w:p w14:paraId="0238D3D6" w14:textId="239CC308" w:rsidR="008259E8" w:rsidRDefault="00183246" w:rsidP="00902F97">
      <w:pPr>
        <w:rPr>
          <w:lang w:eastAsia="cs-CZ"/>
        </w:rPr>
      </w:pPr>
      <w:r>
        <w:t>V</w:t>
      </w:r>
      <w:r w:rsidR="00963B01">
        <w:t xml:space="preserve"> </w:t>
      </w:r>
      <w:r>
        <w:t xml:space="preserve">roce 2006 byla možnost využívat centralizované zadávání </w:t>
      </w:r>
      <w:r w:rsidR="00692493">
        <w:t xml:space="preserve">upravena </w:t>
      </w:r>
      <w:r w:rsidR="002D5D26">
        <w:t>zákonem</w:t>
      </w:r>
      <w:r>
        <w:t xml:space="preserve"> č. </w:t>
      </w:r>
      <w:r w:rsidR="00A95E9A">
        <w:t>137</w:t>
      </w:r>
      <w:r>
        <w:t>/2</w:t>
      </w:r>
      <w:r w:rsidR="00A95E9A">
        <w:t>006</w:t>
      </w:r>
      <w:r>
        <w:t> Sb.</w:t>
      </w:r>
      <w:r w:rsidR="00E82D2C">
        <w:t>, o veřejných zakázkách.</w:t>
      </w:r>
      <w:r>
        <w:t xml:space="preserve"> </w:t>
      </w:r>
      <w:r w:rsidR="00E453EC">
        <w:t>V</w:t>
      </w:r>
      <w:r w:rsidR="00963B01">
        <w:t xml:space="preserve"> </w:t>
      </w:r>
      <w:r w:rsidR="00E453EC">
        <w:t>roce 2011 v</w:t>
      </w:r>
      <w:r w:rsidR="002408F7">
        <w:t>lád</w:t>
      </w:r>
      <w:r w:rsidR="00601FF9">
        <w:t>a stanovila</w:t>
      </w:r>
      <w:r w:rsidR="002408F7">
        <w:t xml:space="preserve"> pravidla pro fungování </w:t>
      </w:r>
      <w:r>
        <w:t>RS CZ</w:t>
      </w:r>
      <w:r w:rsidR="00F0034E">
        <w:rPr>
          <w:vertAlign w:val="superscript"/>
        </w:rPr>
        <w:t>4</w:t>
      </w:r>
      <w:r>
        <w:t>, které měly být povinně zavedeny</w:t>
      </w:r>
      <w:r w:rsidR="002408F7">
        <w:t xml:space="preserve"> do 30. dubna 2012</w:t>
      </w:r>
      <w:r w:rsidR="002408F7" w:rsidRPr="00DF0831">
        <w:rPr>
          <w:vertAlign w:val="superscript"/>
        </w:rPr>
        <w:footnoteReference w:id="25"/>
      </w:r>
      <w:r w:rsidR="002408F7">
        <w:t xml:space="preserve">. </w:t>
      </w:r>
      <w:r w:rsidR="00B61ADA">
        <w:rPr>
          <w:rFonts w:cstheme="minorHAnsi"/>
        </w:rPr>
        <w:t>V</w:t>
      </w:r>
      <w:r w:rsidR="00963B01">
        <w:rPr>
          <w:rFonts w:cstheme="minorHAnsi"/>
        </w:rPr>
        <w:t xml:space="preserve"> </w:t>
      </w:r>
      <w:r w:rsidR="00B61ADA">
        <w:rPr>
          <w:rFonts w:cstheme="minorHAnsi"/>
        </w:rPr>
        <w:t>roce 2008, tj. j</w:t>
      </w:r>
      <w:r w:rsidR="00E64A05">
        <w:rPr>
          <w:rFonts w:cstheme="minorHAnsi"/>
        </w:rPr>
        <w:t>eště před zavedením RS</w:t>
      </w:r>
      <w:r w:rsidR="00963B01">
        <w:rPr>
          <w:rFonts w:cstheme="minorHAnsi"/>
        </w:rPr>
        <w:t xml:space="preserve"> </w:t>
      </w:r>
      <w:r w:rsidR="00E64A05">
        <w:rPr>
          <w:rFonts w:cstheme="minorHAnsi"/>
        </w:rPr>
        <w:t>CZ</w:t>
      </w:r>
      <w:r w:rsidR="00B61ADA">
        <w:rPr>
          <w:rFonts w:cstheme="minorHAnsi"/>
        </w:rPr>
        <w:t>,</w:t>
      </w:r>
      <w:r w:rsidR="00E64A05">
        <w:rPr>
          <w:rFonts w:cstheme="minorHAnsi"/>
        </w:rPr>
        <w:t xml:space="preserve"> </w:t>
      </w:r>
      <w:r w:rsidR="00B61ADA">
        <w:rPr>
          <w:rFonts w:cstheme="minorHAnsi"/>
        </w:rPr>
        <w:t>MV</w:t>
      </w:r>
      <w:r w:rsidR="00963B01">
        <w:rPr>
          <w:rFonts w:cstheme="minorHAnsi"/>
        </w:rPr>
        <w:t xml:space="preserve"> </w:t>
      </w:r>
      <w:r w:rsidR="00601FF9">
        <w:rPr>
          <w:rFonts w:cstheme="minorHAnsi"/>
        </w:rPr>
        <w:t>zavedlo</w:t>
      </w:r>
      <w:r w:rsidR="00E64A05">
        <w:rPr>
          <w:rFonts w:cstheme="minorHAnsi"/>
        </w:rPr>
        <w:t xml:space="preserve"> vlastní systém pro centralizované zadávání veřejných zakázek, ve kterém pořizovalo komodity pro své podřízené organi</w:t>
      </w:r>
      <w:r w:rsidR="00E36ADD">
        <w:rPr>
          <w:rFonts w:cstheme="minorHAnsi"/>
        </w:rPr>
        <w:t>za</w:t>
      </w:r>
      <w:r w:rsidR="00E64A05">
        <w:rPr>
          <w:rFonts w:cstheme="minorHAnsi"/>
        </w:rPr>
        <w:t xml:space="preserve">ce. </w:t>
      </w:r>
      <w:r w:rsidR="00E64A05" w:rsidRPr="00343079">
        <w:rPr>
          <w:rFonts w:cstheme="minorHAnsi"/>
        </w:rPr>
        <w:t xml:space="preserve">MV </w:t>
      </w:r>
      <w:r w:rsidR="00E64A05">
        <w:rPr>
          <w:rFonts w:cstheme="minorHAnsi"/>
        </w:rPr>
        <w:t xml:space="preserve">rovněž od této doby </w:t>
      </w:r>
      <w:r w:rsidR="00E64A05" w:rsidRPr="00343079">
        <w:rPr>
          <w:rFonts w:cstheme="minorHAnsi"/>
        </w:rPr>
        <w:t>realiz</w:t>
      </w:r>
      <w:r w:rsidR="00394DB7">
        <w:rPr>
          <w:rFonts w:cstheme="minorHAnsi"/>
        </w:rPr>
        <w:t>ovalo</w:t>
      </w:r>
      <w:r w:rsidR="00E64A05" w:rsidRPr="00343079">
        <w:rPr>
          <w:rFonts w:cstheme="minorHAnsi"/>
        </w:rPr>
        <w:t xml:space="preserve"> centrální nákupy softwarových produktů pro </w:t>
      </w:r>
      <w:r w:rsidR="00E64A05">
        <w:rPr>
          <w:rFonts w:cstheme="minorHAnsi"/>
        </w:rPr>
        <w:t xml:space="preserve">subjekty z celé </w:t>
      </w:r>
      <w:r w:rsidR="00E64A05" w:rsidRPr="00343079">
        <w:rPr>
          <w:rFonts w:cstheme="minorHAnsi"/>
        </w:rPr>
        <w:t>veřejn</w:t>
      </w:r>
      <w:r w:rsidR="00E64A05">
        <w:rPr>
          <w:rFonts w:cstheme="minorHAnsi"/>
        </w:rPr>
        <w:t>é</w:t>
      </w:r>
      <w:r w:rsidR="00E64A05" w:rsidRPr="00343079">
        <w:rPr>
          <w:rFonts w:cstheme="minorHAnsi"/>
        </w:rPr>
        <w:t xml:space="preserve"> správ</w:t>
      </w:r>
      <w:r w:rsidR="00E64A05">
        <w:rPr>
          <w:rFonts w:cstheme="minorHAnsi"/>
        </w:rPr>
        <w:t>y</w:t>
      </w:r>
      <w:r w:rsidR="00E64A05" w:rsidRPr="00343079">
        <w:rPr>
          <w:rFonts w:cstheme="minorHAnsi"/>
        </w:rPr>
        <w:t xml:space="preserve"> </w:t>
      </w:r>
      <w:r w:rsidR="00E64A05" w:rsidRPr="00343079">
        <w:rPr>
          <w:rFonts w:cstheme="minorHAnsi"/>
        </w:rPr>
        <w:lastRenderedPageBreak/>
        <w:t>včetně nemocnic, obcí a krajů.</w:t>
      </w:r>
      <w:r w:rsidR="00B61ADA">
        <w:rPr>
          <w:rFonts w:cstheme="minorHAnsi"/>
        </w:rPr>
        <w:t xml:space="preserve"> </w:t>
      </w:r>
      <w:r w:rsidR="00394DB7">
        <w:t>V</w:t>
      </w:r>
      <w:r w:rsidR="00963B01">
        <w:t xml:space="preserve"> </w:t>
      </w:r>
      <w:r w:rsidR="00394DB7">
        <w:t>roce 2014 vláda</w:t>
      </w:r>
      <w:r w:rsidR="00B61ADA">
        <w:t xml:space="preserve"> zahájila </w:t>
      </w:r>
      <w:r w:rsidR="002B0C82">
        <w:t xml:space="preserve">přípravu </w:t>
      </w:r>
      <w:r w:rsidR="00B61ADA">
        <w:t>centrální</w:t>
      </w:r>
      <w:r w:rsidR="002B0C82">
        <w:t>ho</w:t>
      </w:r>
      <w:r w:rsidR="00394DB7">
        <w:t xml:space="preserve"> nákupu státu</w:t>
      </w:r>
      <w:r w:rsidR="00724482">
        <w:rPr>
          <w:vertAlign w:val="superscript"/>
        </w:rPr>
        <w:t>5</w:t>
      </w:r>
      <w:r w:rsidR="00394DB7">
        <w:t xml:space="preserve">. </w:t>
      </w:r>
      <w:r w:rsidR="001C13F7">
        <w:t>Hlavním cílem zavedení CNS bylo zvýšit ekonomické efekty</w:t>
      </w:r>
      <w:r w:rsidR="00807BE0">
        <w:rPr>
          <w:rStyle w:val="Znakapoznpodarou"/>
        </w:rPr>
        <w:footnoteReference w:id="26"/>
      </w:r>
      <w:r w:rsidR="001C13F7">
        <w:t xml:space="preserve">, které přineslo </w:t>
      </w:r>
      <w:r w:rsidR="003A7285">
        <w:t>centralizované zadávání prostřednictvím</w:t>
      </w:r>
      <w:r w:rsidR="001C13F7">
        <w:t xml:space="preserve"> RS</w:t>
      </w:r>
      <w:r w:rsidR="00963B01">
        <w:t xml:space="preserve"> </w:t>
      </w:r>
      <w:r w:rsidR="001C13F7">
        <w:t>CZ</w:t>
      </w:r>
      <w:r w:rsidR="003A7285">
        <w:t>.</w:t>
      </w:r>
    </w:p>
    <w:p w14:paraId="592365B3" w14:textId="7DB8E119" w:rsidR="00D03AF9" w:rsidRDefault="00D03AF9" w:rsidP="00D03AF9">
      <w:r>
        <w:rPr>
          <w:rFonts w:cstheme="minorHAnsi"/>
        </w:rPr>
        <w:t>Základním principem centralizovaného zadávání je kumulace objemu nakupovaných komodit. Větší předpokládaná hodnota veřejné zakázky však vede k omezení soutěže, neboť menší dodavatelé nemusí být schopni dodat poptávané množství. Rizikem vyplývajícím z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užití centralizovaného zadávání je tak omezení soutěže, resp. účasti malých a středních podniků</w:t>
      </w:r>
      <w:r w:rsidR="0042498F">
        <w:rPr>
          <w:rFonts w:cstheme="minorHAnsi"/>
        </w:rPr>
        <w:t>. Navíc kumulace objemu nakupovaných komodit nemusí vést k</w:t>
      </w:r>
      <w:r w:rsidR="00963B01">
        <w:rPr>
          <w:rFonts w:cstheme="minorHAnsi"/>
        </w:rPr>
        <w:t xml:space="preserve"> </w:t>
      </w:r>
      <w:r w:rsidR="0042498F">
        <w:rPr>
          <w:rFonts w:cstheme="minorHAnsi"/>
        </w:rPr>
        <w:t xml:space="preserve">dosažení výhodnějších podmínek. Například nákup kancelářského papíru, </w:t>
      </w:r>
      <w:r w:rsidR="00DC5071">
        <w:rPr>
          <w:rFonts w:cstheme="minorHAnsi"/>
        </w:rPr>
        <w:t xml:space="preserve">což byla </w:t>
      </w:r>
      <w:r w:rsidR="0042498F">
        <w:rPr>
          <w:rFonts w:cstheme="minorHAnsi"/>
        </w:rPr>
        <w:t>dosud jediná realizovaná veřejná zakázka v CNS, ukázal, že v</w:t>
      </w:r>
      <w:r w:rsidR="00963B01">
        <w:rPr>
          <w:rFonts w:cstheme="minorHAnsi"/>
        </w:rPr>
        <w:t xml:space="preserve"> </w:t>
      </w:r>
      <w:r w:rsidR="0042498F">
        <w:rPr>
          <w:rFonts w:cstheme="minorHAnsi"/>
        </w:rPr>
        <w:t>CNS nebylo dosaženo nižších cen než v</w:t>
      </w:r>
      <w:r w:rsidR="00963B01">
        <w:rPr>
          <w:rFonts w:cstheme="minorHAnsi"/>
        </w:rPr>
        <w:t xml:space="preserve"> </w:t>
      </w:r>
      <w:r w:rsidR="0042498F">
        <w:rPr>
          <w:rFonts w:cstheme="minorHAnsi"/>
        </w:rPr>
        <w:t>RS CZ.</w:t>
      </w:r>
    </w:p>
    <w:p w14:paraId="3E015D45" w14:textId="77777777" w:rsidR="009B540D" w:rsidRPr="00343079" w:rsidRDefault="009B540D" w:rsidP="00902F97">
      <w:pPr>
        <w:rPr>
          <w:lang w:eastAsia="cs-CZ"/>
        </w:rPr>
      </w:pPr>
      <w:r w:rsidRPr="00343079">
        <w:t>NKÚ prostřednictví</w:t>
      </w:r>
      <w:r w:rsidR="00BF1ECD">
        <w:t>m dotazníku zjišťoval</w:t>
      </w:r>
      <w:r w:rsidR="00411D5B">
        <w:t xml:space="preserve"> u centrálních a pověřujících zadavatelů</w:t>
      </w:r>
      <w:r w:rsidR="00BF1ECD">
        <w:t xml:space="preserve"> </w:t>
      </w:r>
      <w:r w:rsidRPr="00343079">
        <w:t>přínosy</w:t>
      </w:r>
      <w:r w:rsidR="00411D5B" w:rsidRPr="00343079">
        <w:t xml:space="preserve"> </w:t>
      </w:r>
      <w:r w:rsidRPr="00343079">
        <w:t>centralizované</w:t>
      </w:r>
      <w:r w:rsidR="003C29F1">
        <w:t>ho</w:t>
      </w:r>
      <w:r w:rsidRPr="00343079">
        <w:t xml:space="preserve"> zadávání</w:t>
      </w:r>
      <w:r w:rsidRPr="00343079">
        <w:rPr>
          <w:lang w:eastAsia="cs-CZ"/>
        </w:rPr>
        <w:t>.</w:t>
      </w:r>
      <w:r w:rsidR="00D95E51">
        <w:rPr>
          <w:lang w:eastAsia="cs-CZ"/>
        </w:rPr>
        <w:t xml:space="preserve"> Zadavatelé </w:t>
      </w:r>
      <w:r w:rsidR="00FA44AB">
        <w:rPr>
          <w:lang w:eastAsia="cs-CZ"/>
        </w:rPr>
        <w:t>byli dotazováni</w:t>
      </w:r>
      <w:r w:rsidR="00D95E51">
        <w:rPr>
          <w:lang w:eastAsia="cs-CZ"/>
        </w:rPr>
        <w:t>, kter</w:t>
      </w:r>
      <w:r w:rsidR="0085688A">
        <w:rPr>
          <w:lang w:eastAsia="cs-CZ"/>
        </w:rPr>
        <w:t>ých</w:t>
      </w:r>
      <w:r w:rsidR="00D95E51">
        <w:rPr>
          <w:lang w:eastAsia="cs-CZ"/>
        </w:rPr>
        <w:t xml:space="preserve"> přínosů v jejich organizac</w:t>
      </w:r>
      <w:r w:rsidR="00FA44AB">
        <w:rPr>
          <w:lang w:eastAsia="cs-CZ"/>
        </w:rPr>
        <w:t>i</w:t>
      </w:r>
      <w:r w:rsidR="00D95E51">
        <w:rPr>
          <w:lang w:eastAsia="cs-CZ"/>
        </w:rPr>
        <w:t xml:space="preserve"> </w:t>
      </w:r>
      <w:r w:rsidR="0085688A">
        <w:rPr>
          <w:lang w:eastAsia="cs-CZ"/>
        </w:rPr>
        <w:t>dosáhli</w:t>
      </w:r>
      <w:r w:rsidR="00CF52B4" w:rsidRPr="00343079">
        <w:t xml:space="preserve"> </w:t>
      </w:r>
      <w:r w:rsidR="00CF52B4">
        <w:t>v posledních dvou letech</w:t>
      </w:r>
      <w:r w:rsidR="00D95E51">
        <w:rPr>
          <w:lang w:eastAsia="cs-CZ"/>
        </w:rPr>
        <w:t>.</w:t>
      </w:r>
      <w:r w:rsidR="00B0095A">
        <w:rPr>
          <w:lang w:eastAsia="cs-CZ"/>
        </w:rPr>
        <w:t xml:space="preserve"> Výsledky jsou uveden</w:t>
      </w:r>
      <w:r w:rsidR="00FA44AB">
        <w:rPr>
          <w:lang w:eastAsia="cs-CZ"/>
        </w:rPr>
        <w:t>y</w:t>
      </w:r>
      <w:r w:rsidR="00B0095A">
        <w:rPr>
          <w:lang w:eastAsia="cs-CZ"/>
        </w:rPr>
        <w:t xml:space="preserve"> v následujícím schématu</w:t>
      </w:r>
      <w:r w:rsidR="00BF7475">
        <w:rPr>
          <w:lang w:eastAsia="cs-CZ"/>
        </w:rPr>
        <w:t>.</w:t>
      </w:r>
      <w:r w:rsidR="008D2E80">
        <w:rPr>
          <w:lang w:eastAsia="cs-CZ"/>
        </w:rPr>
        <w:t xml:space="preserve"> </w:t>
      </w:r>
      <w:r w:rsidR="00FA44AB">
        <w:rPr>
          <w:lang w:eastAsia="cs-CZ"/>
        </w:rPr>
        <w:t>T</w:t>
      </w:r>
      <w:r w:rsidR="0085688A">
        <w:rPr>
          <w:lang w:eastAsia="cs-CZ"/>
        </w:rPr>
        <w:t>é</w:t>
      </w:r>
      <w:r w:rsidR="008D2E80">
        <w:rPr>
          <w:lang w:eastAsia="cs-CZ"/>
        </w:rPr>
        <w:t xml:space="preserve">měř polovina </w:t>
      </w:r>
      <w:r w:rsidR="00FA44AB">
        <w:rPr>
          <w:lang w:eastAsia="cs-CZ"/>
        </w:rPr>
        <w:t>z</w:t>
      </w:r>
      <w:r w:rsidR="008D2E80">
        <w:rPr>
          <w:lang w:eastAsia="cs-CZ"/>
        </w:rPr>
        <w:t> 243 zadavatelů uvedla</w:t>
      </w:r>
      <w:r w:rsidR="0085688A">
        <w:rPr>
          <w:lang w:eastAsia="cs-CZ"/>
        </w:rPr>
        <w:t xml:space="preserve">, že díky centralizovanému zadávání dosáhla nižších pořizovacích cen nakupovaných komodit. </w:t>
      </w:r>
      <w:r w:rsidR="008D2E80" w:rsidRPr="00FA44AB">
        <w:rPr>
          <w:lang w:eastAsia="cs-CZ"/>
        </w:rPr>
        <w:t xml:space="preserve">Naopak </w:t>
      </w:r>
      <w:r w:rsidR="006C27B6" w:rsidRPr="00FA44AB">
        <w:rPr>
          <w:lang w:eastAsia="cs-CZ"/>
        </w:rPr>
        <w:t xml:space="preserve">17 % zadavatelů </w:t>
      </w:r>
      <w:r w:rsidR="008D2E80" w:rsidRPr="00FA44AB">
        <w:rPr>
          <w:lang w:eastAsia="cs-CZ"/>
        </w:rPr>
        <w:t>uvedlo, že</w:t>
      </w:r>
      <w:r w:rsidR="006C27B6" w:rsidRPr="00FA44AB">
        <w:rPr>
          <w:lang w:eastAsia="cs-CZ"/>
        </w:rPr>
        <w:t xml:space="preserve"> žádný</w:t>
      </w:r>
      <w:r w:rsidR="008D2E80" w:rsidRPr="00357325">
        <w:rPr>
          <w:lang w:eastAsia="cs-CZ"/>
        </w:rPr>
        <w:t>ch</w:t>
      </w:r>
      <w:r w:rsidR="006C27B6" w:rsidRPr="00357325">
        <w:rPr>
          <w:lang w:eastAsia="cs-CZ"/>
        </w:rPr>
        <w:t xml:space="preserve"> přínos</w:t>
      </w:r>
      <w:r w:rsidR="008D2E80" w:rsidRPr="00FA44AB">
        <w:rPr>
          <w:lang w:eastAsia="cs-CZ"/>
        </w:rPr>
        <w:t>ů</w:t>
      </w:r>
      <w:r w:rsidR="006C27B6" w:rsidRPr="00FA44AB">
        <w:rPr>
          <w:lang w:eastAsia="cs-CZ"/>
        </w:rPr>
        <w:t xml:space="preserve"> </w:t>
      </w:r>
      <w:r w:rsidR="008D2E80" w:rsidRPr="008E1672">
        <w:rPr>
          <w:lang w:eastAsia="cs-CZ"/>
        </w:rPr>
        <w:t>nedosáhl</w:t>
      </w:r>
      <w:r w:rsidR="00263963">
        <w:rPr>
          <w:lang w:eastAsia="cs-CZ"/>
        </w:rPr>
        <w:t>i</w:t>
      </w:r>
      <w:r w:rsidR="008D2E80">
        <w:rPr>
          <w:lang w:eastAsia="cs-CZ"/>
        </w:rPr>
        <w:t>, případně</w:t>
      </w:r>
      <w:r w:rsidR="006C27B6">
        <w:rPr>
          <w:lang w:eastAsia="cs-CZ"/>
        </w:rPr>
        <w:t xml:space="preserve">, že celý proces je ve srovnání s decentralizovaným nakupováním </w:t>
      </w:r>
      <w:r w:rsidR="006C27B6" w:rsidRPr="00343079">
        <w:rPr>
          <w:lang w:eastAsia="cs-CZ"/>
        </w:rPr>
        <w:t>složitější, administrativně náročnější a pomalejší</w:t>
      </w:r>
      <w:r w:rsidR="006C27B6">
        <w:rPr>
          <w:lang w:eastAsia="cs-CZ"/>
        </w:rPr>
        <w:t>.</w:t>
      </w:r>
    </w:p>
    <w:p w14:paraId="5563F75B" w14:textId="2A1E1190" w:rsidR="001A00A4" w:rsidRPr="00CE3C34" w:rsidRDefault="0048206F" w:rsidP="0048206F">
      <w:pPr>
        <w:pStyle w:val="KPnormln"/>
        <w:keepNext/>
        <w:keepLines/>
        <w:spacing w:after="40"/>
        <w:jc w:val="left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CF61B55" wp14:editId="688361E5">
            <wp:simplePos x="0" y="0"/>
            <wp:positionH relativeFrom="column">
              <wp:posOffset>-3175</wp:posOffset>
            </wp:positionH>
            <wp:positionV relativeFrom="paragraph">
              <wp:posOffset>240618</wp:posOffset>
            </wp:positionV>
            <wp:extent cx="5760720" cy="141795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éma 3F dotazní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0A4" w:rsidRPr="008E1672">
        <w:rPr>
          <w:b/>
          <w:color w:val="auto"/>
        </w:rPr>
        <w:t xml:space="preserve">Schéma č. </w:t>
      </w:r>
      <w:r w:rsidR="001A00A4" w:rsidRPr="008E1672">
        <w:rPr>
          <w:b/>
          <w:color w:val="auto"/>
        </w:rPr>
        <w:fldChar w:fldCharType="begin"/>
      </w:r>
      <w:r w:rsidR="001A00A4" w:rsidRPr="008E1672">
        <w:rPr>
          <w:b/>
          <w:color w:val="auto"/>
        </w:rPr>
        <w:instrText xml:space="preserve"> SEQ Schéma_č._ \* ARABIC </w:instrText>
      </w:r>
      <w:r w:rsidR="001A00A4" w:rsidRPr="008E1672">
        <w:rPr>
          <w:b/>
          <w:color w:val="auto"/>
        </w:rPr>
        <w:fldChar w:fldCharType="separate"/>
      </w:r>
      <w:r w:rsidR="000366B6">
        <w:rPr>
          <w:b/>
          <w:noProof/>
          <w:color w:val="auto"/>
        </w:rPr>
        <w:t>1</w:t>
      </w:r>
      <w:r w:rsidR="001A00A4" w:rsidRPr="008E1672">
        <w:rPr>
          <w:b/>
          <w:color w:val="auto"/>
        </w:rPr>
        <w:fldChar w:fldCharType="end"/>
      </w:r>
      <w:r w:rsidR="001A00A4" w:rsidRPr="008E1672">
        <w:rPr>
          <w:b/>
          <w:color w:val="auto"/>
        </w:rPr>
        <w:t xml:space="preserve">: </w:t>
      </w:r>
      <w:r w:rsidR="00BF7475">
        <w:rPr>
          <w:b/>
          <w:color w:val="auto"/>
        </w:rPr>
        <w:t xml:space="preserve">Přínosy centralizovaného zadávání </w:t>
      </w:r>
      <w:r w:rsidR="00664D1E">
        <w:rPr>
          <w:b/>
          <w:color w:val="auto"/>
        </w:rPr>
        <w:t>dle odpovědí</w:t>
      </w:r>
      <w:r w:rsidR="00BF7475">
        <w:rPr>
          <w:b/>
          <w:color w:val="auto"/>
        </w:rPr>
        <w:t xml:space="preserve"> </w:t>
      </w:r>
      <w:r w:rsidR="00664D1E">
        <w:rPr>
          <w:b/>
          <w:color w:val="auto"/>
        </w:rPr>
        <w:t>zadavatelů</w:t>
      </w:r>
    </w:p>
    <w:p w14:paraId="77154F59" w14:textId="77777777" w:rsidR="009B540D" w:rsidRPr="00343079" w:rsidRDefault="009B540D" w:rsidP="0048206F">
      <w:pPr>
        <w:keepLines/>
        <w:rPr>
          <w:sz w:val="20"/>
          <w:szCs w:val="20"/>
          <w:lang w:eastAsia="cs-CZ"/>
        </w:rPr>
      </w:pPr>
      <w:r w:rsidRPr="00343079">
        <w:rPr>
          <w:b/>
          <w:sz w:val="20"/>
          <w:szCs w:val="20"/>
          <w:lang w:eastAsia="cs-CZ"/>
        </w:rPr>
        <w:t>Zdroj:</w:t>
      </w:r>
      <w:r>
        <w:rPr>
          <w:sz w:val="20"/>
          <w:szCs w:val="20"/>
          <w:lang w:eastAsia="cs-CZ"/>
        </w:rPr>
        <w:t xml:space="preserve"> dotazníkové</w:t>
      </w:r>
      <w:r w:rsidRPr="00343079">
        <w:rPr>
          <w:sz w:val="20"/>
          <w:szCs w:val="20"/>
          <w:lang w:eastAsia="cs-CZ"/>
        </w:rPr>
        <w:t xml:space="preserve"> šetření</w:t>
      </w:r>
      <w:r w:rsidR="004C0C70">
        <w:rPr>
          <w:sz w:val="20"/>
          <w:szCs w:val="20"/>
          <w:lang w:eastAsia="cs-CZ"/>
        </w:rPr>
        <w:t xml:space="preserve"> NKÚ</w:t>
      </w:r>
      <w:r w:rsidRPr="00343079">
        <w:rPr>
          <w:sz w:val="20"/>
          <w:szCs w:val="20"/>
          <w:lang w:eastAsia="cs-CZ"/>
        </w:rPr>
        <w:t>.</w:t>
      </w:r>
    </w:p>
    <w:p w14:paraId="0791FBC0" w14:textId="743006D4" w:rsidR="0012477E" w:rsidRDefault="0012477E" w:rsidP="008E1672">
      <w:pPr>
        <w:rPr>
          <w:lang w:eastAsia="cs-CZ"/>
        </w:rPr>
      </w:pPr>
      <w:r>
        <w:rPr>
          <w:lang w:eastAsia="cs-CZ"/>
        </w:rPr>
        <w:t>Rozsah</w:t>
      </w:r>
      <w:r w:rsidR="00DC5071">
        <w:rPr>
          <w:lang w:eastAsia="cs-CZ"/>
        </w:rPr>
        <w:t>y</w:t>
      </w:r>
      <w:r>
        <w:rPr>
          <w:lang w:eastAsia="cs-CZ"/>
        </w:rPr>
        <w:t xml:space="preserve"> pořizovaných komodit v</w:t>
      </w:r>
      <w:r w:rsidR="00963B01">
        <w:rPr>
          <w:lang w:eastAsia="cs-CZ"/>
        </w:rPr>
        <w:t xml:space="preserve"> </w:t>
      </w:r>
      <w:r>
        <w:rPr>
          <w:lang w:eastAsia="cs-CZ"/>
        </w:rPr>
        <w:t>RS</w:t>
      </w:r>
      <w:r w:rsidR="00963B01">
        <w:rPr>
          <w:lang w:eastAsia="cs-CZ"/>
        </w:rPr>
        <w:t xml:space="preserve"> </w:t>
      </w:r>
      <w:r>
        <w:rPr>
          <w:lang w:eastAsia="cs-CZ"/>
        </w:rPr>
        <w:t>CZ a v</w:t>
      </w:r>
      <w:r w:rsidR="00963B01">
        <w:rPr>
          <w:lang w:eastAsia="cs-CZ"/>
        </w:rPr>
        <w:t xml:space="preserve"> </w:t>
      </w:r>
      <w:r>
        <w:rPr>
          <w:lang w:eastAsia="cs-CZ"/>
        </w:rPr>
        <w:t>CNS se vzájemně překrýv</w:t>
      </w:r>
      <w:r w:rsidR="00DC5071">
        <w:rPr>
          <w:lang w:eastAsia="cs-CZ"/>
        </w:rPr>
        <w:t>ají</w:t>
      </w:r>
      <w:r>
        <w:rPr>
          <w:lang w:eastAsia="cs-CZ"/>
        </w:rPr>
        <w:t xml:space="preserve">, jak znázorňuje schéma č. </w:t>
      </w:r>
      <w:r w:rsidR="00111426">
        <w:rPr>
          <w:lang w:eastAsia="cs-CZ"/>
        </w:rPr>
        <w:t>2.</w:t>
      </w:r>
      <w:r>
        <w:rPr>
          <w:lang w:eastAsia="cs-CZ"/>
        </w:rPr>
        <w:t xml:space="preserve"> Při využití rámcových dohod zadavatelé nejsou povinni odebrat množství, které </w:t>
      </w:r>
      <w:r w:rsidR="001E5911">
        <w:rPr>
          <w:lang w:eastAsia="cs-CZ"/>
        </w:rPr>
        <w:t>si</w:t>
      </w:r>
      <w:r w:rsidR="00DC5071">
        <w:rPr>
          <w:lang w:eastAsia="cs-CZ"/>
        </w:rPr>
        <w:t xml:space="preserve"> </w:t>
      </w:r>
      <w:r>
        <w:rPr>
          <w:lang w:eastAsia="cs-CZ"/>
        </w:rPr>
        <w:t>stanovili ve veřejné zakázce. Překryv komodit v</w:t>
      </w:r>
      <w:r w:rsidR="00963B01">
        <w:rPr>
          <w:lang w:eastAsia="cs-CZ"/>
        </w:rPr>
        <w:t xml:space="preserve"> </w:t>
      </w:r>
      <w:r>
        <w:rPr>
          <w:lang w:eastAsia="cs-CZ"/>
        </w:rPr>
        <w:t>RS CZ a CNS vede k</w:t>
      </w:r>
      <w:r w:rsidR="00963B01">
        <w:rPr>
          <w:lang w:eastAsia="cs-CZ"/>
        </w:rPr>
        <w:t xml:space="preserve"> </w:t>
      </w:r>
      <w:r>
        <w:rPr>
          <w:lang w:eastAsia="cs-CZ"/>
        </w:rPr>
        <w:t>realizaci VZ na nákup shodných komodit v</w:t>
      </w:r>
      <w:r w:rsidR="00963B01">
        <w:rPr>
          <w:lang w:eastAsia="cs-CZ"/>
        </w:rPr>
        <w:t xml:space="preserve"> </w:t>
      </w:r>
      <w:r>
        <w:rPr>
          <w:lang w:eastAsia="cs-CZ"/>
        </w:rPr>
        <w:t>obou systémech. To představuje výhodu pro zadavatele, kteří mohou vyhodnocovat výhodnost nákupu v</w:t>
      </w:r>
      <w:r w:rsidR="00963B01">
        <w:rPr>
          <w:lang w:eastAsia="cs-CZ"/>
        </w:rPr>
        <w:t xml:space="preserve"> </w:t>
      </w:r>
      <w:r>
        <w:rPr>
          <w:lang w:eastAsia="cs-CZ"/>
        </w:rPr>
        <w:t>RS CZ a CNS na základě uzavřených rámcových dohod a rozhodovat se podle cenových a dalších podmínek.</w:t>
      </w:r>
      <w:r w:rsidRPr="000978A4">
        <w:t xml:space="preserve"> </w:t>
      </w:r>
      <w:r>
        <w:t xml:space="preserve">Takové chování zadavatelů vede </w:t>
      </w:r>
      <w:r w:rsidR="001E5911">
        <w:t>ve</w:t>
      </w:r>
      <w:r w:rsidR="00DC5071">
        <w:t xml:space="preserve"> </w:t>
      </w:r>
      <w:r>
        <w:t>svém důsledku k</w:t>
      </w:r>
      <w:r w:rsidR="00963B01">
        <w:t xml:space="preserve"> </w:t>
      </w:r>
      <w:r>
        <w:t>nevyčerpání finančního limitu rámcových dohod v</w:t>
      </w:r>
      <w:r w:rsidR="00963B01">
        <w:t xml:space="preserve"> </w:t>
      </w:r>
      <w:r>
        <w:t xml:space="preserve">jednom ze systémů centralizovaného zadávání. </w:t>
      </w:r>
      <w:r w:rsidR="00B8791D">
        <w:t>To nastalo</w:t>
      </w:r>
      <w:r>
        <w:t xml:space="preserve"> při centralizovaném zadávání kancelářského papíru, což byla jediná komodita pořizovaná v</w:t>
      </w:r>
      <w:r w:rsidR="00963B01">
        <w:t xml:space="preserve"> </w:t>
      </w:r>
      <w:r>
        <w:t>RS</w:t>
      </w:r>
      <w:r w:rsidR="00963B01">
        <w:t xml:space="preserve"> </w:t>
      </w:r>
      <w:r>
        <w:t xml:space="preserve">CZ i CNS. </w:t>
      </w:r>
      <w:r w:rsidRPr="000978A4">
        <w:t>S</w:t>
      </w:r>
      <w:r w:rsidR="00963B01">
        <w:t xml:space="preserve"> </w:t>
      </w:r>
      <w:r w:rsidRPr="000978A4">
        <w:t xml:space="preserve">tím je spojeno riziko neochoty dodavatelů se obdobných veřejných zakázek </w:t>
      </w:r>
      <w:r>
        <w:t>účastnit.</w:t>
      </w:r>
    </w:p>
    <w:p w14:paraId="0673B651" w14:textId="2559EF20" w:rsidR="00B8788C" w:rsidRDefault="00F818D5" w:rsidP="008E1672">
      <w:pPr>
        <w:keepNext/>
        <w:jc w:val="left"/>
        <w:rPr>
          <w:lang w:eastAsia="cs-CZ"/>
        </w:rPr>
      </w:pPr>
      <w:r>
        <w:rPr>
          <w:b/>
        </w:rPr>
        <w:lastRenderedPageBreak/>
        <w:t>Schéma č.</w:t>
      </w:r>
      <w:r w:rsidRPr="00225E95">
        <w:rPr>
          <w:b/>
          <w:szCs w:val="24"/>
        </w:rPr>
        <w:t xml:space="preserve"> </w:t>
      </w:r>
      <w:r w:rsidR="001A00A4">
        <w:rPr>
          <w:b/>
          <w:szCs w:val="24"/>
        </w:rPr>
        <w:fldChar w:fldCharType="begin"/>
      </w:r>
      <w:r w:rsidR="001A00A4">
        <w:rPr>
          <w:b/>
          <w:szCs w:val="24"/>
        </w:rPr>
        <w:instrText xml:space="preserve"> SEQ Schéma_č._ \* ARABIC </w:instrText>
      </w:r>
      <w:r w:rsidR="001A00A4">
        <w:rPr>
          <w:b/>
          <w:szCs w:val="24"/>
        </w:rPr>
        <w:fldChar w:fldCharType="separate"/>
      </w:r>
      <w:r w:rsidR="000366B6">
        <w:rPr>
          <w:b/>
          <w:noProof/>
          <w:szCs w:val="24"/>
        </w:rPr>
        <w:t>2</w:t>
      </w:r>
      <w:r w:rsidR="001A00A4">
        <w:rPr>
          <w:b/>
          <w:szCs w:val="24"/>
        </w:rPr>
        <w:fldChar w:fldCharType="end"/>
      </w:r>
      <w:r w:rsidR="00D805E0" w:rsidRPr="00D805E0">
        <w:rPr>
          <w:b/>
        </w:rPr>
        <w:t>:</w:t>
      </w:r>
      <w:r w:rsidR="00D805E0">
        <w:rPr>
          <w:b/>
        </w:rPr>
        <w:t xml:space="preserve"> </w:t>
      </w:r>
      <w:r w:rsidR="00285F72" w:rsidRPr="00285F72">
        <w:rPr>
          <w:b/>
        </w:rPr>
        <w:t>Okruhy komodit určených pro pořizování v RS CZ a CNS</w:t>
      </w:r>
      <w:r w:rsidR="00285F72">
        <w:rPr>
          <w:b/>
        </w:rPr>
        <w:t xml:space="preserve"> </w:t>
      </w:r>
      <w:r w:rsidR="00460C22">
        <w:rPr>
          <w:b/>
          <w:noProof/>
          <w:lang w:eastAsia="cs-CZ"/>
        </w:rPr>
        <w:drawing>
          <wp:inline distT="0" distB="0" distL="0" distR="0" wp14:anchorId="134F7C1D" wp14:editId="6B5929EB">
            <wp:extent cx="5760720" cy="22974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éma 4 rozsah komodi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5F26E" w14:textId="77777777" w:rsidR="00B8788C" w:rsidRPr="00D805E0" w:rsidRDefault="00EF06F9" w:rsidP="00B8788C">
      <w:pPr>
        <w:rPr>
          <w:sz w:val="20"/>
          <w:szCs w:val="20"/>
          <w:lang w:eastAsia="cs-CZ"/>
        </w:rPr>
      </w:pPr>
      <w:r w:rsidRPr="00D805E0">
        <w:rPr>
          <w:b/>
          <w:sz w:val="20"/>
          <w:szCs w:val="20"/>
          <w:lang w:eastAsia="cs-CZ"/>
        </w:rPr>
        <w:t>Zdroj:</w:t>
      </w:r>
      <w:r w:rsidRPr="00D805E0">
        <w:rPr>
          <w:sz w:val="20"/>
          <w:szCs w:val="20"/>
          <w:lang w:eastAsia="cs-CZ"/>
        </w:rPr>
        <w:t xml:space="preserve"> </w:t>
      </w:r>
      <w:r w:rsidR="00F31523">
        <w:rPr>
          <w:sz w:val="20"/>
          <w:szCs w:val="20"/>
          <w:lang w:eastAsia="cs-CZ"/>
        </w:rPr>
        <w:t>u</w:t>
      </w:r>
      <w:r w:rsidR="00D805E0">
        <w:rPr>
          <w:sz w:val="20"/>
          <w:szCs w:val="20"/>
          <w:lang w:eastAsia="cs-CZ"/>
        </w:rPr>
        <w:t>snesení vlády ze dne 18.</w:t>
      </w:r>
      <w:r w:rsidR="00963B01">
        <w:rPr>
          <w:sz w:val="20"/>
          <w:szCs w:val="20"/>
          <w:lang w:eastAsia="cs-CZ"/>
        </w:rPr>
        <w:t xml:space="preserve"> </w:t>
      </w:r>
      <w:r w:rsidR="00D805E0">
        <w:rPr>
          <w:sz w:val="20"/>
          <w:szCs w:val="20"/>
          <w:lang w:eastAsia="cs-CZ"/>
        </w:rPr>
        <w:t>ledna 2016 č. 24 a usnesení vlády ze dne 22.</w:t>
      </w:r>
      <w:r w:rsidR="00963B01">
        <w:rPr>
          <w:sz w:val="20"/>
          <w:szCs w:val="20"/>
          <w:lang w:eastAsia="cs-CZ"/>
        </w:rPr>
        <w:t xml:space="preserve"> </w:t>
      </w:r>
      <w:r w:rsidR="00D805E0">
        <w:rPr>
          <w:sz w:val="20"/>
          <w:szCs w:val="20"/>
          <w:lang w:eastAsia="cs-CZ"/>
        </w:rPr>
        <w:t>dubna 2015 č. 289.</w:t>
      </w:r>
    </w:p>
    <w:p w14:paraId="6AD237DB" w14:textId="505041EA" w:rsidR="00B8788C" w:rsidRDefault="00B8788C" w:rsidP="00EF06F9">
      <w:r w:rsidRPr="00343079">
        <w:t>Z</w:t>
      </w:r>
      <w:r w:rsidR="00963B01">
        <w:t xml:space="preserve"> </w:t>
      </w:r>
      <w:r w:rsidRPr="00343079">
        <w:t xml:space="preserve">mezinárodního srovnání </w:t>
      </w:r>
      <w:r>
        <w:t>vyplynulo,</w:t>
      </w:r>
      <w:r w:rsidRPr="00343079">
        <w:t xml:space="preserve"> že</w:t>
      </w:r>
      <w:r>
        <w:rPr>
          <w:lang w:eastAsia="cs-CZ"/>
        </w:rPr>
        <w:t xml:space="preserve"> </w:t>
      </w:r>
      <w:r w:rsidR="001958B2">
        <w:rPr>
          <w:lang w:eastAsia="cs-CZ"/>
        </w:rPr>
        <w:t>neexistuje jednotný přístup</w:t>
      </w:r>
      <w:r w:rsidR="001958B2" w:rsidRPr="00343079">
        <w:t xml:space="preserve"> </w:t>
      </w:r>
      <w:r w:rsidRPr="00343079">
        <w:t xml:space="preserve">v </w:t>
      </w:r>
      <w:r>
        <w:rPr>
          <w:lang w:eastAsia="cs-CZ"/>
        </w:rPr>
        <w:t xml:space="preserve">nastavení centralizovaného zadávání. </w:t>
      </w:r>
      <w:r w:rsidR="001958B2">
        <w:t>V</w:t>
      </w:r>
      <w:r w:rsidR="00963B01">
        <w:t xml:space="preserve"> </w:t>
      </w:r>
      <w:r w:rsidR="001958B2">
        <w:t>Portugalsku existuje obdobně jako v</w:t>
      </w:r>
      <w:r w:rsidR="00963B01">
        <w:t xml:space="preserve"> </w:t>
      </w:r>
      <w:r w:rsidR="001958B2">
        <w:t>České republice systém centralizovaného zadávání jak na úrovni státu, tak na úrovni resortů. Na rozdíl od České republiky jsou v</w:t>
      </w:r>
      <w:r w:rsidR="006445FC">
        <w:t> portugalském</w:t>
      </w:r>
      <w:r w:rsidR="00963B01">
        <w:t xml:space="preserve"> </w:t>
      </w:r>
      <w:r w:rsidR="001958B2">
        <w:t xml:space="preserve">resortním systému pořizovány </w:t>
      </w:r>
      <w:r w:rsidR="001958B2" w:rsidRPr="00FB50C2">
        <w:t>pouze komodity specifické pro daný resort</w:t>
      </w:r>
      <w:r w:rsidR="001958B2">
        <w:t>.</w:t>
      </w:r>
      <w:r w:rsidR="001958B2" w:rsidRPr="00FB50C2">
        <w:t xml:space="preserve"> </w:t>
      </w:r>
      <w:r w:rsidR="001958B2">
        <w:t>Díky tomu nedochází k</w:t>
      </w:r>
      <w:r w:rsidR="00963B01">
        <w:t xml:space="preserve"> </w:t>
      </w:r>
      <w:r w:rsidR="001958B2">
        <w:t>nákupu shodných komodit v</w:t>
      </w:r>
      <w:r w:rsidR="00963B01">
        <w:t xml:space="preserve"> </w:t>
      </w:r>
      <w:r w:rsidR="001958B2">
        <w:t xml:space="preserve">obou systémech. </w:t>
      </w:r>
      <w:r w:rsidR="00CB1CDF">
        <w:t xml:space="preserve">Dalšími srovnávanými zeměmi bylo </w:t>
      </w:r>
      <w:r w:rsidR="00CB1CDF">
        <w:rPr>
          <w:lang w:eastAsia="cs-CZ"/>
        </w:rPr>
        <w:t>Finsko, Rakousko, Maďarsko</w:t>
      </w:r>
      <w:r>
        <w:rPr>
          <w:lang w:eastAsia="cs-CZ"/>
        </w:rPr>
        <w:t xml:space="preserve"> a</w:t>
      </w:r>
      <w:r w:rsidR="00963B01">
        <w:rPr>
          <w:lang w:eastAsia="cs-CZ"/>
        </w:rPr>
        <w:t xml:space="preserve"> </w:t>
      </w:r>
      <w:r w:rsidR="00CB1CDF">
        <w:rPr>
          <w:lang w:eastAsia="cs-CZ"/>
        </w:rPr>
        <w:t>Slovensko. Ve většině ze srovnávaných zemí existuje specializovaný</w:t>
      </w:r>
      <w:r>
        <w:rPr>
          <w:lang w:eastAsia="cs-CZ"/>
        </w:rPr>
        <w:t xml:space="preserve"> </w:t>
      </w:r>
      <w:r w:rsidR="00CB1CDF">
        <w:rPr>
          <w:lang w:eastAsia="cs-CZ"/>
        </w:rPr>
        <w:t>státem kontrolovaný subjekt</w:t>
      </w:r>
      <w:r>
        <w:rPr>
          <w:lang w:eastAsia="cs-CZ"/>
        </w:rPr>
        <w:t xml:space="preserve">, který pro potřeby ostatních realizuje centralizované zadávání. </w:t>
      </w:r>
      <w:r w:rsidR="00CB1CDF">
        <w:t>Blíže viz</w:t>
      </w:r>
      <w:r w:rsidR="00CB1CDF" w:rsidRPr="000F4572">
        <w:t xml:space="preserve"> </w:t>
      </w:r>
      <w:r w:rsidR="000F4572">
        <w:t xml:space="preserve">příloha </w:t>
      </w:r>
      <w:r w:rsidR="001E3E95">
        <w:t xml:space="preserve">tohoto </w:t>
      </w:r>
      <w:r w:rsidR="006445FC">
        <w:t>kontrolního závěru</w:t>
      </w:r>
      <w:r w:rsidR="00CB1CDF">
        <w:t>.</w:t>
      </w:r>
    </w:p>
    <w:p w14:paraId="1DB5BADB" w14:textId="77777777" w:rsidR="00B12BB8" w:rsidRPr="00343079" w:rsidRDefault="0048206F" w:rsidP="0048206F">
      <w:pPr>
        <w:pStyle w:val="Nadpis2"/>
        <w:numPr>
          <w:ilvl w:val="0"/>
          <w:numId w:val="0"/>
        </w:numPr>
      </w:pPr>
      <w:r>
        <w:t xml:space="preserve">1. </w:t>
      </w:r>
      <w:r w:rsidR="00F3658D" w:rsidRPr="00343079">
        <w:t>Centrální nákup státu</w:t>
      </w:r>
    </w:p>
    <w:p w14:paraId="5FCE256B" w14:textId="3AB84AC4" w:rsidR="00894097" w:rsidRDefault="004E24E4" w:rsidP="00181B74">
      <w:r>
        <w:t>V</w:t>
      </w:r>
      <w:r w:rsidR="00963B01">
        <w:t xml:space="preserve"> </w:t>
      </w:r>
      <w:r>
        <w:t xml:space="preserve">roce 2015 </w:t>
      </w:r>
      <w:r w:rsidR="001B27B3">
        <w:t xml:space="preserve">vláda </w:t>
      </w:r>
      <w:r w:rsidR="003C1B46">
        <w:t>schválila</w:t>
      </w:r>
      <w:r w:rsidR="001B27B3">
        <w:t xml:space="preserve"> </w:t>
      </w:r>
      <w:r>
        <w:t>p</w:t>
      </w:r>
      <w:r w:rsidR="001B27B3">
        <w:t>ravidla CNS</w:t>
      </w:r>
      <w:r w:rsidR="006445FC">
        <w:rPr>
          <w:vertAlign w:val="superscript"/>
        </w:rPr>
        <w:t>13</w:t>
      </w:r>
      <w:r w:rsidR="001B27B3">
        <w:t xml:space="preserve"> a </w:t>
      </w:r>
      <w:r w:rsidR="00601784">
        <w:t>rovněž</w:t>
      </w:r>
      <w:r w:rsidR="00835847">
        <w:t xml:space="preserve"> </w:t>
      </w:r>
      <w:r w:rsidR="002C6D71">
        <w:rPr>
          <w:i/>
        </w:rPr>
        <w:t>R</w:t>
      </w:r>
      <w:r w:rsidR="003C1B46">
        <w:rPr>
          <w:i/>
        </w:rPr>
        <w:t>ámcový harmonogram</w:t>
      </w:r>
      <w:r w:rsidR="00601784" w:rsidRPr="00D3128F">
        <w:rPr>
          <w:i/>
        </w:rPr>
        <w:t xml:space="preserve"> centrálního nákupu státu pro roky 2016</w:t>
      </w:r>
      <w:r w:rsidR="00593641">
        <w:rPr>
          <w:i/>
        </w:rPr>
        <w:t>–</w:t>
      </w:r>
      <w:r w:rsidR="00601784" w:rsidRPr="00D3128F">
        <w:rPr>
          <w:i/>
        </w:rPr>
        <w:t>2020</w:t>
      </w:r>
      <w:r w:rsidR="001E2E9B">
        <w:t xml:space="preserve"> </w:t>
      </w:r>
      <w:r w:rsidR="00601784">
        <w:t>(dále také „Harmonogram“)</w:t>
      </w:r>
      <w:r w:rsidR="002C6D71">
        <w:rPr>
          <w:rStyle w:val="Znakapoznpodarou"/>
        </w:rPr>
        <w:footnoteReference w:id="27"/>
      </w:r>
      <w:r w:rsidR="001E2E9B">
        <w:t>. V</w:t>
      </w:r>
      <w:r w:rsidR="00963B01">
        <w:t xml:space="preserve"> </w:t>
      </w:r>
      <w:r w:rsidR="001E2E9B">
        <w:t xml:space="preserve">něm </w:t>
      </w:r>
      <w:r w:rsidR="00601784">
        <w:t>vláda vymezila</w:t>
      </w:r>
      <w:r w:rsidR="001E2E9B">
        <w:t xml:space="preserve"> okruh komodit, pro které budou </w:t>
      </w:r>
      <w:r>
        <w:t>zpracovány</w:t>
      </w:r>
      <w:r w:rsidR="001E2E9B">
        <w:t xml:space="preserve"> technické standardy a</w:t>
      </w:r>
      <w:r w:rsidR="00963B01">
        <w:t xml:space="preserve"> </w:t>
      </w:r>
      <w:r w:rsidR="001E2E9B">
        <w:t>připrav</w:t>
      </w:r>
      <w:r>
        <w:t>eny</w:t>
      </w:r>
      <w:r w:rsidR="001E2E9B">
        <w:t xml:space="preserve"> veřejné zakázky. </w:t>
      </w:r>
      <w:r w:rsidR="009733E1">
        <w:t xml:space="preserve">Příprav CNS se účastnilo MV, </w:t>
      </w:r>
      <w:r w:rsidR="00D623CD">
        <w:t>MF</w:t>
      </w:r>
      <w:r w:rsidR="009733E1">
        <w:t xml:space="preserve"> a MMR. </w:t>
      </w:r>
    </w:p>
    <w:p w14:paraId="027E6D1D" w14:textId="77777777" w:rsidR="005B2908" w:rsidRPr="005B2908" w:rsidRDefault="005B2908" w:rsidP="005B2908">
      <w:pPr>
        <w:pStyle w:val="Nadpis3"/>
      </w:pPr>
      <w:r w:rsidRPr="005B2908">
        <w:t>Technické standardy</w:t>
      </w:r>
    </w:p>
    <w:p w14:paraId="472CB2F3" w14:textId="77777777" w:rsidR="009733E1" w:rsidRDefault="00F91B16" w:rsidP="00181B74">
      <w:pPr>
        <w:rPr>
          <w:rStyle w:val="KZnormlnChar"/>
          <w:rFonts w:eastAsiaTheme="minorHAnsi"/>
          <w:lang w:val="cs-CZ"/>
        </w:rPr>
      </w:pPr>
      <w:r>
        <w:t>D</w:t>
      </w:r>
      <w:r w:rsidR="00216B19">
        <w:t xml:space="preserve">le výše uvedeného </w:t>
      </w:r>
      <w:r w:rsidR="00601784" w:rsidRPr="00C23E9C">
        <w:t>H</w:t>
      </w:r>
      <w:r w:rsidR="00216B19" w:rsidRPr="00C23E9C">
        <w:t>armonogramu</w:t>
      </w:r>
      <w:r w:rsidR="00216B19">
        <w:t xml:space="preserve"> </w:t>
      </w:r>
      <w:r>
        <w:t xml:space="preserve">mělo </w:t>
      </w:r>
      <w:r w:rsidR="00672E6A">
        <w:t xml:space="preserve">do konce roku 2017 </w:t>
      </w:r>
      <w:r w:rsidR="00216B19">
        <w:t>MV</w:t>
      </w:r>
      <w:r w:rsidRPr="00F91B16">
        <w:t xml:space="preserve"> </w:t>
      </w:r>
      <w:r w:rsidR="00216B19">
        <w:t xml:space="preserve">zpracovat </w:t>
      </w:r>
      <w:r w:rsidR="00A775EE">
        <w:t xml:space="preserve">technické </w:t>
      </w:r>
      <w:r w:rsidR="00216B19">
        <w:t>s</w:t>
      </w:r>
      <w:r w:rsidR="009733E1">
        <w:t>tandard</w:t>
      </w:r>
      <w:r w:rsidR="00A775EE">
        <w:t>y</w:t>
      </w:r>
      <w:r w:rsidR="009733E1">
        <w:t xml:space="preserve"> pro počítače a tiskárny</w:t>
      </w:r>
      <w:r w:rsidR="00216B19">
        <w:t xml:space="preserve"> a MF pro</w:t>
      </w:r>
      <w:r w:rsidR="00181B74" w:rsidRPr="00343079">
        <w:t xml:space="preserve"> osobní automobily</w:t>
      </w:r>
      <w:r w:rsidR="00181B74" w:rsidRPr="00343079">
        <w:rPr>
          <w:rStyle w:val="KZnormlnChar"/>
          <w:rFonts w:eastAsiaTheme="minorHAnsi"/>
          <w:lang w:val="cs-CZ"/>
        </w:rPr>
        <w:t>, kancelářský papír, kancelářské potřeby a služby deratizace, dezinfekce a desinsekce.</w:t>
      </w:r>
      <w:r w:rsidR="00A86B4B">
        <w:rPr>
          <w:rStyle w:val="KZnormlnChar"/>
          <w:rFonts w:eastAsiaTheme="minorHAnsi"/>
          <w:lang w:val="cs-CZ"/>
        </w:rPr>
        <w:t xml:space="preserve"> </w:t>
      </w:r>
    </w:p>
    <w:p w14:paraId="18D9DDB6" w14:textId="1E79119D" w:rsidR="009733E1" w:rsidRDefault="009733E1" w:rsidP="009733E1">
      <w:r>
        <w:rPr>
          <w:rStyle w:val="KZnormlnChar"/>
          <w:rFonts w:eastAsiaTheme="minorHAnsi"/>
          <w:lang w:val="cs-CZ"/>
        </w:rPr>
        <w:t xml:space="preserve">Při vypracování technického standardu na počítače přistoupila příslušná KSS, resp. MV, k předběžné tržní konzultaci, </w:t>
      </w:r>
      <w:r>
        <w:t>kterou ověřila</w:t>
      </w:r>
      <w:r w:rsidRPr="00EB0AC8">
        <w:t xml:space="preserve"> vhodnost požadovaných parametrů a</w:t>
      </w:r>
      <w:r w:rsidR="00963B01">
        <w:t xml:space="preserve"> </w:t>
      </w:r>
      <w:r w:rsidRPr="00EB0AC8">
        <w:t>možnost jejich zajištění ze strany dodavatelů.</w:t>
      </w:r>
      <w:r w:rsidRPr="009733E1">
        <w:t xml:space="preserve"> </w:t>
      </w:r>
      <w:r w:rsidRPr="00EB0AC8">
        <w:t>V</w:t>
      </w:r>
      <w:r w:rsidR="00963B01">
        <w:t xml:space="preserve"> </w:t>
      </w:r>
      <w:r w:rsidRPr="00EB0AC8">
        <w:t xml:space="preserve">době projednání </w:t>
      </w:r>
      <w:r>
        <w:t xml:space="preserve">na NKS </w:t>
      </w:r>
      <w:r w:rsidRPr="00EB0AC8">
        <w:t>však byly navržené standardy s ohledem na vývoj trhu zastaralé</w:t>
      </w:r>
      <w:r w:rsidR="00047BCE">
        <w:t>,</w:t>
      </w:r>
      <w:r w:rsidRPr="00EB0AC8">
        <w:t xml:space="preserve"> a proto </w:t>
      </w:r>
      <w:r>
        <w:t>nebyly schváleny</w:t>
      </w:r>
      <w:r w:rsidRPr="00EB0AC8">
        <w:t>.</w:t>
      </w:r>
      <w:r>
        <w:t xml:space="preserve"> </w:t>
      </w:r>
      <w:r w:rsidRPr="00343079">
        <w:t>Z</w:t>
      </w:r>
      <w:r w:rsidR="00963B01">
        <w:t xml:space="preserve"> </w:t>
      </w:r>
      <w:r w:rsidRPr="00343079">
        <w:t xml:space="preserve">tohoto důvodu byla </w:t>
      </w:r>
      <w:r>
        <w:t>připravena úprava</w:t>
      </w:r>
      <w:r w:rsidRPr="00343079">
        <w:t xml:space="preserve"> </w:t>
      </w:r>
      <w:r>
        <w:t xml:space="preserve">procesu </w:t>
      </w:r>
      <w:r w:rsidRPr="00343079">
        <w:t>aktualizování standardů tak, aby byl proces rychlejší a</w:t>
      </w:r>
      <w:r w:rsidR="00963B01">
        <w:t xml:space="preserve"> </w:t>
      </w:r>
      <w:r w:rsidRPr="00343079">
        <w:t xml:space="preserve">umožnil </w:t>
      </w:r>
      <w:r w:rsidRPr="00343079">
        <w:lastRenderedPageBreak/>
        <w:t>flexibilně reagovat na změny trhu komodit.</w:t>
      </w:r>
      <w:r w:rsidRPr="007103F1">
        <w:rPr>
          <w:rFonts w:cstheme="minorHAnsi"/>
        </w:rPr>
        <w:t xml:space="preserve"> </w:t>
      </w:r>
      <w:r w:rsidRPr="00B84476">
        <w:rPr>
          <w:rFonts w:cstheme="minorHAnsi"/>
        </w:rPr>
        <w:t xml:space="preserve">NKS </w:t>
      </w:r>
      <w:r>
        <w:rPr>
          <w:rFonts w:cstheme="minorHAnsi"/>
        </w:rPr>
        <w:t xml:space="preserve">rozhodla, že technické standardy </w:t>
      </w:r>
      <w:r w:rsidR="001E5911">
        <w:rPr>
          <w:rFonts w:cstheme="minorHAnsi"/>
        </w:rPr>
        <w:t>na</w:t>
      </w:r>
      <w:r w:rsidR="006445FC">
        <w:rPr>
          <w:rFonts w:cstheme="minorHAnsi"/>
        </w:rPr>
        <w:t xml:space="preserve"> </w:t>
      </w:r>
      <w:r>
        <w:rPr>
          <w:rFonts w:cstheme="minorHAnsi"/>
        </w:rPr>
        <w:t>tiskárny</w:t>
      </w:r>
      <w:r w:rsidRPr="00343079">
        <w:rPr>
          <w:rStyle w:val="Znakapoznpodarou"/>
        </w:rPr>
        <w:footnoteReference w:id="28"/>
      </w:r>
      <w:r>
        <w:rPr>
          <w:rFonts w:cstheme="minorHAnsi"/>
        </w:rPr>
        <w:t xml:space="preserve"> a </w:t>
      </w:r>
      <w:r>
        <w:t>služ</w:t>
      </w:r>
      <w:r w:rsidRPr="00343079">
        <w:t>b</w:t>
      </w:r>
      <w:r>
        <w:t>y</w:t>
      </w:r>
      <w:r w:rsidRPr="00343079">
        <w:t xml:space="preserve"> deratizace, dezinfekce a</w:t>
      </w:r>
      <w:r w:rsidR="00963B01">
        <w:t xml:space="preserve"> </w:t>
      </w:r>
      <w:r w:rsidRPr="00343079">
        <w:t>dezinsekce</w:t>
      </w:r>
      <w:r>
        <w:rPr>
          <w:rFonts w:cstheme="minorHAnsi"/>
        </w:rPr>
        <w:t xml:space="preserve"> nebudou zpracovány. </w:t>
      </w:r>
    </w:p>
    <w:p w14:paraId="791B59E4" w14:textId="77777777" w:rsidR="004024EF" w:rsidRPr="00CF443B" w:rsidRDefault="00CF443B" w:rsidP="004B4E03">
      <w:pPr>
        <w:rPr>
          <w:rFonts w:cstheme="minorHAnsi"/>
          <w:color w:val="000000"/>
        </w:rPr>
      </w:pPr>
      <w:r w:rsidRPr="00343079">
        <w:t xml:space="preserve">Do konce roku 2017 </w:t>
      </w:r>
      <w:r>
        <w:t xml:space="preserve">tak </w:t>
      </w:r>
      <w:r w:rsidRPr="00343079">
        <w:t>byly stanoveny a schváleny pouze technické standardy pro osobní automobily</w:t>
      </w:r>
      <w:r>
        <w:t xml:space="preserve">. V </w:t>
      </w:r>
      <w:r w:rsidRPr="00343079">
        <w:t>případě ostatních komodit MV a MF nedodržel</w:t>
      </w:r>
      <w:r>
        <w:t>a</w:t>
      </w:r>
      <w:r w:rsidRPr="00343079">
        <w:t xml:space="preserve"> stanovený </w:t>
      </w:r>
      <w:r w:rsidRPr="00614560">
        <w:t>Harmonogram</w:t>
      </w:r>
      <w:r w:rsidRPr="00343079">
        <w:t>.</w:t>
      </w:r>
      <w:r>
        <w:rPr>
          <w:rFonts w:cstheme="minorHAnsi"/>
          <w:color w:val="000000"/>
        </w:rPr>
        <w:t xml:space="preserve"> </w:t>
      </w:r>
      <w:r w:rsidR="00181B74" w:rsidRPr="00343079">
        <w:t>Tím, že nebyly technické standardy pro vybrané komodity stanoveny, nemohly být využity</w:t>
      </w:r>
      <w:r w:rsidR="00D75689">
        <w:t xml:space="preserve"> ani</w:t>
      </w:r>
      <w:r w:rsidR="00181B74" w:rsidRPr="00343079">
        <w:t xml:space="preserve"> pro realizování veřejných zakázek. </w:t>
      </w:r>
      <w:r w:rsidR="0056436E" w:rsidRPr="00361530">
        <w:t>Přijetí</w:t>
      </w:r>
      <w:r w:rsidR="004024EF" w:rsidRPr="00361530">
        <w:t xml:space="preserve"> technických standardů by sjednotil</w:t>
      </w:r>
      <w:r w:rsidR="0056436E" w:rsidRPr="00361530">
        <w:t>o</w:t>
      </w:r>
      <w:r w:rsidR="004024EF" w:rsidRPr="00361530">
        <w:t xml:space="preserve"> pořizovan</w:t>
      </w:r>
      <w:r w:rsidR="0056436E" w:rsidRPr="00361530">
        <w:t>é</w:t>
      </w:r>
      <w:r w:rsidR="004024EF" w:rsidRPr="00361530">
        <w:t xml:space="preserve"> komodit</w:t>
      </w:r>
      <w:r w:rsidR="0056436E" w:rsidRPr="00361530">
        <w:t>y</w:t>
      </w:r>
      <w:r w:rsidR="004024EF" w:rsidRPr="00361530">
        <w:t xml:space="preserve"> na</w:t>
      </w:r>
      <w:r w:rsidR="00963B01">
        <w:t xml:space="preserve"> </w:t>
      </w:r>
      <w:r w:rsidR="004024EF" w:rsidRPr="00361530">
        <w:t>úrovni státní správy</w:t>
      </w:r>
      <w:r w:rsidR="0056436E" w:rsidRPr="00361530">
        <w:t xml:space="preserve"> a přispělo by i k </w:t>
      </w:r>
      <w:r w:rsidR="00E40367" w:rsidRPr="00361530">
        <w:t>možnost</w:t>
      </w:r>
      <w:r w:rsidR="0056436E" w:rsidRPr="00361530">
        <w:t>i</w:t>
      </w:r>
      <w:r w:rsidR="00E40367" w:rsidRPr="00361530">
        <w:t xml:space="preserve"> </w:t>
      </w:r>
      <w:r w:rsidR="0056436E" w:rsidRPr="00361530">
        <w:t>jejich</w:t>
      </w:r>
      <w:r w:rsidR="00E40367" w:rsidRPr="00361530">
        <w:t xml:space="preserve"> </w:t>
      </w:r>
      <w:r w:rsidR="004024EF" w:rsidRPr="00361530">
        <w:t>srovná</w:t>
      </w:r>
      <w:r w:rsidR="00E40367" w:rsidRPr="00361530">
        <w:t>ní</w:t>
      </w:r>
      <w:r w:rsidR="004024EF" w:rsidRPr="00361530">
        <w:t>.</w:t>
      </w:r>
      <w:r w:rsidR="004024EF">
        <w:t xml:space="preserve"> </w:t>
      </w:r>
    </w:p>
    <w:p w14:paraId="29548AAC" w14:textId="77777777" w:rsidR="005B2908" w:rsidRPr="005B2908" w:rsidRDefault="00485A51" w:rsidP="005B2908">
      <w:pPr>
        <w:pStyle w:val="Nadpis3"/>
      </w:pPr>
      <w:r>
        <w:t>Realizovaná veřejná zakázka</w:t>
      </w:r>
      <w:r w:rsidR="005B2908" w:rsidRPr="005B2908">
        <w:t xml:space="preserve"> v CNS</w:t>
      </w:r>
    </w:p>
    <w:p w14:paraId="2B58B24A" w14:textId="77777777" w:rsidR="001C2F8E" w:rsidRDefault="00181B74" w:rsidP="00181B74">
      <w:r w:rsidRPr="00343079">
        <w:t xml:space="preserve">Do konce roku 2017 mělo </w:t>
      </w:r>
      <w:r w:rsidR="00A516DD">
        <w:t xml:space="preserve">MF </w:t>
      </w:r>
      <w:r w:rsidR="001C2F8E">
        <w:t xml:space="preserve">dle </w:t>
      </w:r>
      <w:r w:rsidR="00A516DD" w:rsidRPr="00614560">
        <w:t>H</w:t>
      </w:r>
      <w:r w:rsidR="001C2F8E" w:rsidRPr="00614560">
        <w:t>armonogramu</w:t>
      </w:r>
      <w:r w:rsidR="001C2F8E">
        <w:t xml:space="preserve"> připravit v</w:t>
      </w:r>
      <w:r w:rsidR="00963B01">
        <w:t xml:space="preserve"> </w:t>
      </w:r>
      <w:r w:rsidR="001C2F8E">
        <w:t>CNS veřejnou zakázku na</w:t>
      </w:r>
      <w:r w:rsidR="00963B01">
        <w:t xml:space="preserve"> </w:t>
      </w:r>
      <w:r w:rsidR="001C2F8E">
        <w:t>nákup</w:t>
      </w:r>
      <w:r w:rsidR="001C2F8E" w:rsidRPr="00343079">
        <w:t xml:space="preserve"> osobních automobilů, povinného ručení a havarijního pojištění, kancelářského papíru a</w:t>
      </w:r>
      <w:r w:rsidR="007103F1">
        <w:t> </w:t>
      </w:r>
      <w:r w:rsidR="001C2F8E" w:rsidRPr="00343079">
        <w:t>služeb deratizace, dezinfekce a</w:t>
      </w:r>
      <w:r w:rsidR="00963B01">
        <w:t xml:space="preserve"> </w:t>
      </w:r>
      <w:r w:rsidR="001C2F8E" w:rsidRPr="00343079">
        <w:t>dezinsekce</w:t>
      </w:r>
      <w:r w:rsidR="001C2F8E">
        <w:t xml:space="preserve">. </w:t>
      </w:r>
      <w:r w:rsidR="009F028C">
        <w:t xml:space="preserve">MV </w:t>
      </w:r>
      <w:r w:rsidR="007103F1">
        <w:t>m</w:t>
      </w:r>
      <w:r w:rsidR="009F028C">
        <w:t>ělo</w:t>
      </w:r>
      <w:r w:rsidR="007103F1">
        <w:t xml:space="preserve"> </w:t>
      </w:r>
      <w:r w:rsidR="001C2F8E">
        <w:t xml:space="preserve">dle stanoveného </w:t>
      </w:r>
      <w:r w:rsidR="00493A04" w:rsidRPr="00614560">
        <w:t>H</w:t>
      </w:r>
      <w:r w:rsidR="001C2F8E" w:rsidRPr="00614560">
        <w:t>armonogramu</w:t>
      </w:r>
      <w:r w:rsidR="001C2F8E">
        <w:t xml:space="preserve"> </w:t>
      </w:r>
      <w:r w:rsidR="001E5911">
        <w:t>do </w:t>
      </w:r>
      <w:r w:rsidR="001C2F8E">
        <w:t xml:space="preserve">konce roku </w:t>
      </w:r>
      <w:r w:rsidR="009F028C">
        <w:t xml:space="preserve">2017 </w:t>
      </w:r>
      <w:r w:rsidR="001C2F8E">
        <w:t>připravit veřejnou zakázku na nákup počítačů.</w:t>
      </w:r>
      <w:r w:rsidR="00816E97">
        <w:t xml:space="preserve"> </w:t>
      </w:r>
    </w:p>
    <w:p w14:paraId="04BC9781" w14:textId="55613FAF" w:rsidR="00E35308" w:rsidRDefault="00181B74" w:rsidP="008905FB">
      <w:r w:rsidRPr="00343079">
        <w:t xml:space="preserve">Do </w:t>
      </w:r>
      <w:r w:rsidR="00816E97">
        <w:t xml:space="preserve">doby </w:t>
      </w:r>
      <w:r w:rsidRPr="00343079">
        <w:t>ukončení kontroly</w:t>
      </w:r>
      <w:r w:rsidR="00816E97">
        <w:t xml:space="preserve"> </w:t>
      </w:r>
      <w:r w:rsidR="00F032DC">
        <w:t>byl</w:t>
      </w:r>
      <w:r w:rsidR="00B67811">
        <w:t>a</w:t>
      </w:r>
      <w:r w:rsidR="00025F17">
        <w:t xml:space="preserve"> v</w:t>
      </w:r>
      <w:r w:rsidR="00963B01">
        <w:t xml:space="preserve"> </w:t>
      </w:r>
      <w:r w:rsidRPr="00343079">
        <w:t xml:space="preserve">CNS </w:t>
      </w:r>
      <w:r w:rsidR="00F032DC">
        <w:t>realizován</w:t>
      </w:r>
      <w:r w:rsidR="00B67811">
        <w:t>a</w:t>
      </w:r>
      <w:r w:rsidR="00F032DC">
        <w:t xml:space="preserve"> pouze </w:t>
      </w:r>
      <w:r w:rsidR="00B67811">
        <w:t>jediná veřejná zakázka</w:t>
      </w:r>
      <w:r w:rsidR="00816E97">
        <w:t xml:space="preserve">, </w:t>
      </w:r>
      <w:r w:rsidR="001E5911">
        <w:t>a to</w:t>
      </w:r>
      <w:r w:rsidR="006445FC">
        <w:t xml:space="preserve"> </w:t>
      </w:r>
      <w:r w:rsidR="001E5911">
        <w:t>na</w:t>
      </w:r>
      <w:r w:rsidR="006445FC">
        <w:t xml:space="preserve"> </w:t>
      </w:r>
      <w:r w:rsidR="00932835">
        <w:t>nákup kancelářského papíru</w:t>
      </w:r>
      <w:r w:rsidR="00C33344">
        <w:t>.</w:t>
      </w:r>
      <w:r w:rsidR="00A07085">
        <w:rPr>
          <w:rStyle w:val="Znakapoznpodarou"/>
        </w:rPr>
        <w:footnoteReference w:id="29"/>
      </w:r>
      <w:r w:rsidR="00C33344">
        <w:t xml:space="preserve"> </w:t>
      </w:r>
      <w:r w:rsidR="007C42D8">
        <w:t>MF</w:t>
      </w:r>
      <w:r w:rsidR="00816E97">
        <w:t xml:space="preserve"> ve spolupráci s</w:t>
      </w:r>
      <w:r w:rsidR="00963B01">
        <w:t xml:space="preserve"> </w:t>
      </w:r>
      <w:r w:rsidR="00816E97">
        <w:t>pěti resorty</w:t>
      </w:r>
      <w:r w:rsidR="007C42D8">
        <w:t xml:space="preserve"> připravova</w:t>
      </w:r>
      <w:r w:rsidR="00FB6F08">
        <w:t>lo</w:t>
      </w:r>
      <w:r w:rsidR="007C42D8">
        <w:t xml:space="preserve"> </w:t>
      </w:r>
      <w:r w:rsidR="001B1A06">
        <w:t xml:space="preserve">tuto </w:t>
      </w:r>
      <w:r w:rsidR="007C42D8">
        <w:t xml:space="preserve">VZ </w:t>
      </w:r>
      <w:r w:rsidR="00FB6F08">
        <w:t>od</w:t>
      </w:r>
      <w:r w:rsidR="00963B01">
        <w:t xml:space="preserve"> </w:t>
      </w:r>
      <w:r w:rsidRPr="00343079">
        <w:t>ledn</w:t>
      </w:r>
      <w:r w:rsidR="00FB6F08">
        <w:t>a</w:t>
      </w:r>
      <w:r w:rsidRPr="00343079">
        <w:t xml:space="preserve"> 2015 </w:t>
      </w:r>
      <w:r w:rsidR="00FB6F08" w:rsidRPr="00343079">
        <w:t>a</w:t>
      </w:r>
      <w:r w:rsidR="00963B01">
        <w:t xml:space="preserve"> </w:t>
      </w:r>
      <w:r w:rsidRPr="00343079">
        <w:t>k</w:t>
      </w:r>
      <w:r w:rsidR="00963B01">
        <w:t xml:space="preserve"> </w:t>
      </w:r>
      <w:r w:rsidRPr="00343079">
        <w:t xml:space="preserve">podpisu rámcových </w:t>
      </w:r>
      <w:r w:rsidR="008F5193">
        <w:t>dohod</w:t>
      </w:r>
      <w:r w:rsidR="008F5193" w:rsidRPr="00343079">
        <w:t xml:space="preserve"> </w:t>
      </w:r>
      <w:r w:rsidRPr="00343079">
        <w:t xml:space="preserve">došlo </w:t>
      </w:r>
      <w:r w:rsidR="00277057">
        <w:t xml:space="preserve">až </w:t>
      </w:r>
      <w:r w:rsidRPr="00343079">
        <w:t>v</w:t>
      </w:r>
      <w:r w:rsidR="00963B01">
        <w:t xml:space="preserve"> </w:t>
      </w:r>
      <w:r w:rsidRPr="00343079">
        <w:t>květnu 2016.</w:t>
      </w:r>
      <w:r w:rsidR="008C203E">
        <w:t xml:space="preserve"> </w:t>
      </w:r>
      <w:r w:rsidR="007E03D3">
        <w:t>MV se k této VZ v</w:t>
      </w:r>
      <w:r w:rsidR="00963B01">
        <w:t xml:space="preserve"> </w:t>
      </w:r>
      <w:r w:rsidR="007E03D3">
        <w:t xml:space="preserve">CNS nepřipojilo. </w:t>
      </w:r>
      <w:r w:rsidR="00E35308">
        <w:t>Při přípravě veřejné zakázky</w:t>
      </w:r>
      <w:r w:rsidR="00E35308" w:rsidRPr="00E35308">
        <w:t xml:space="preserve"> </w:t>
      </w:r>
      <w:r w:rsidR="00E35308">
        <w:t>MF nevyužilo žádný elektronický nástroj pro sběr požadavků jednotlivých resortů</w:t>
      </w:r>
      <w:r w:rsidR="00D62CD3">
        <w:t xml:space="preserve"> a i</w:t>
      </w:r>
      <w:r w:rsidR="00E35308">
        <w:t xml:space="preserve">nformace </w:t>
      </w:r>
      <w:r w:rsidR="00455464">
        <w:t>získalo</w:t>
      </w:r>
      <w:r w:rsidR="00FF7353">
        <w:t xml:space="preserve"> od jednotlivých pověřujících zadavatelů</w:t>
      </w:r>
      <w:r w:rsidR="00455464">
        <w:t xml:space="preserve"> </w:t>
      </w:r>
      <w:r w:rsidR="00E35308">
        <w:t>prostřednictvím tabul</w:t>
      </w:r>
      <w:r w:rsidR="008A4D30">
        <w:t>e</w:t>
      </w:r>
      <w:r w:rsidR="00E35308">
        <w:t>k</w:t>
      </w:r>
      <w:r w:rsidR="00F83623">
        <w:t xml:space="preserve"> </w:t>
      </w:r>
      <w:r w:rsidR="008C088A">
        <w:t>pro</w:t>
      </w:r>
      <w:r w:rsidR="00F83623">
        <w:t>gram</w:t>
      </w:r>
      <w:r w:rsidR="008C088A">
        <w:t>u</w:t>
      </w:r>
      <w:r w:rsidR="00E35308" w:rsidRPr="001D292E">
        <w:t xml:space="preserve"> </w:t>
      </w:r>
      <w:r w:rsidR="00E35308" w:rsidRPr="00614560">
        <w:rPr>
          <w:i/>
        </w:rPr>
        <w:t>Microsoft Excel</w:t>
      </w:r>
      <w:r w:rsidR="00E35308" w:rsidRPr="00343079">
        <w:rPr>
          <w:rFonts w:cstheme="minorHAnsi"/>
          <w:szCs w:val="24"/>
        </w:rPr>
        <w:t>.</w:t>
      </w:r>
      <w:r w:rsidR="00E35308">
        <w:rPr>
          <w:rFonts w:cstheme="minorHAnsi"/>
          <w:szCs w:val="24"/>
        </w:rPr>
        <w:t xml:space="preserve"> </w:t>
      </w:r>
      <w:r w:rsidR="00E35308">
        <w:t>V</w:t>
      </w:r>
      <w:r w:rsidR="00963B01">
        <w:t xml:space="preserve"> </w:t>
      </w:r>
      <w:r w:rsidR="00E35308">
        <w:t>procesu zadání VZ neshledal NKÚ žádné pochybení.</w:t>
      </w:r>
      <w:r w:rsidR="00A436A9">
        <w:t xml:space="preserve"> </w:t>
      </w:r>
    </w:p>
    <w:p w14:paraId="520CE270" w14:textId="77777777" w:rsidR="007C42D8" w:rsidRDefault="00181B74" w:rsidP="008905FB">
      <w:pPr>
        <w:rPr>
          <w:rFonts w:cstheme="minorHAnsi"/>
          <w:szCs w:val="24"/>
        </w:rPr>
      </w:pPr>
      <w:r w:rsidRPr="00343079">
        <w:rPr>
          <w:rFonts w:cstheme="minorHAnsi"/>
          <w:szCs w:val="24"/>
        </w:rPr>
        <w:t>Pověřující zadavatelé byli povinni odebírat kancelářský papír prostřednictvím uzavřených smluv</w:t>
      </w:r>
      <w:r w:rsidR="00732B6D">
        <w:rPr>
          <w:rFonts w:cstheme="minorHAnsi"/>
          <w:szCs w:val="24"/>
        </w:rPr>
        <w:t xml:space="preserve"> s</w:t>
      </w:r>
      <w:r w:rsidR="00963B01">
        <w:rPr>
          <w:rFonts w:cstheme="minorHAnsi"/>
          <w:szCs w:val="24"/>
        </w:rPr>
        <w:t xml:space="preserve"> </w:t>
      </w:r>
      <w:r w:rsidR="00732B6D">
        <w:rPr>
          <w:rFonts w:cstheme="minorHAnsi"/>
          <w:szCs w:val="24"/>
        </w:rPr>
        <w:t>výjimkou možnost</w:t>
      </w:r>
      <w:r w:rsidR="00816E97">
        <w:rPr>
          <w:rFonts w:cstheme="minorHAnsi"/>
          <w:szCs w:val="24"/>
        </w:rPr>
        <w:t>i</w:t>
      </w:r>
      <w:r w:rsidR="00732B6D">
        <w:rPr>
          <w:rFonts w:cstheme="minorHAnsi"/>
          <w:szCs w:val="24"/>
        </w:rPr>
        <w:t xml:space="preserve"> </w:t>
      </w:r>
      <w:r w:rsidR="00816E97">
        <w:rPr>
          <w:rFonts w:cstheme="minorHAnsi"/>
          <w:szCs w:val="24"/>
        </w:rPr>
        <w:t>nákupu kancelářského</w:t>
      </w:r>
      <w:r w:rsidRPr="00343079">
        <w:rPr>
          <w:rFonts w:cstheme="minorHAnsi"/>
          <w:szCs w:val="24"/>
        </w:rPr>
        <w:t xml:space="preserve"> papír</w:t>
      </w:r>
      <w:r w:rsidR="00816E97">
        <w:rPr>
          <w:rFonts w:cstheme="minorHAnsi"/>
          <w:szCs w:val="24"/>
        </w:rPr>
        <w:t>u</w:t>
      </w:r>
      <w:r w:rsidRPr="00343079">
        <w:rPr>
          <w:rFonts w:cstheme="minorHAnsi"/>
          <w:szCs w:val="24"/>
        </w:rPr>
        <w:t xml:space="preserve"> za výhodnějších podmínek</w:t>
      </w:r>
      <w:r w:rsidR="00E35308">
        <w:rPr>
          <w:rFonts w:cstheme="minorHAnsi"/>
          <w:szCs w:val="24"/>
        </w:rPr>
        <w:t xml:space="preserve">. Jejich povinností bylo oznámit MF </w:t>
      </w:r>
      <w:r w:rsidR="002D5D26">
        <w:rPr>
          <w:rFonts w:cstheme="minorHAnsi"/>
          <w:szCs w:val="24"/>
        </w:rPr>
        <w:t>takový nákup</w:t>
      </w:r>
      <w:r w:rsidRPr="00343079">
        <w:rPr>
          <w:rFonts w:cstheme="minorHAnsi"/>
          <w:szCs w:val="24"/>
        </w:rPr>
        <w:t xml:space="preserve">. </w:t>
      </w:r>
      <w:r w:rsidR="00A516DD">
        <w:rPr>
          <w:rFonts w:cstheme="minorHAnsi"/>
          <w:szCs w:val="24"/>
        </w:rPr>
        <w:t>Takto postupovalo</w:t>
      </w:r>
      <w:r w:rsidRPr="00343079">
        <w:rPr>
          <w:rFonts w:cstheme="minorHAnsi"/>
          <w:szCs w:val="24"/>
        </w:rPr>
        <w:t xml:space="preserve"> MMR a </w:t>
      </w:r>
      <w:r w:rsidR="001D292E">
        <w:rPr>
          <w:rFonts w:cstheme="minorHAnsi"/>
          <w:szCs w:val="24"/>
        </w:rPr>
        <w:t>Správa železniční dopravní cesty</w:t>
      </w:r>
      <w:r w:rsidRPr="00343079">
        <w:rPr>
          <w:rFonts w:cstheme="minorHAnsi"/>
          <w:szCs w:val="24"/>
        </w:rPr>
        <w:t xml:space="preserve">. </w:t>
      </w:r>
    </w:p>
    <w:p w14:paraId="5357D3D4" w14:textId="77777777" w:rsidR="00417881" w:rsidRDefault="00D53910" w:rsidP="00181B74">
      <w:pPr>
        <w:rPr>
          <w:rFonts w:cstheme="minorHAnsi"/>
          <w:szCs w:val="24"/>
        </w:rPr>
      </w:pPr>
      <w:r>
        <w:t xml:space="preserve">MMR neodebralo do </w:t>
      </w:r>
      <w:r w:rsidR="00816E97">
        <w:t xml:space="preserve">doby </w:t>
      </w:r>
      <w:r>
        <w:t>ukončení kontroly v CNS žádný kancelářský papír, neboť v</w:t>
      </w:r>
      <w:r w:rsidR="00963B01">
        <w:t xml:space="preserve"> </w:t>
      </w:r>
      <w:r>
        <w:t>souladu s pravidly CNS nakupovalo kancelářský papír za nižší ceny v</w:t>
      </w:r>
      <w:r w:rsidR="00963B01">
        <w:t xml:space="preserve"> </w:t>
      </w:r>
      <w:r>
        <w:t>rámci vlastního RS</w:t>
      </w:r>
      <w:r w:rsidR="00963B01">
        <w:t xml:space="preserve"> </w:t>
      </w:r>
      <w:r>
        <w:t>CZ. Rovněž MV v</w:t>
      </w:r>
      <w:r w:rsidR="00FA01FF">
        <w:t>e</w:t>
      </w:r>
      <w:r w:rsidRPr="00343079">
        <w:rPr>
          <w:rFonts w:cstheme="minorHAnsi"/>
          <w:szCs w:val="24"/>
        </w:rPr>
        <w:t xml:space="preserve"> stejné době pořizovalo shodný kancelářský papír</w:t>
      </w:r>
      <w:r w:rsidR="00C63046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 xml:space="preserve">rámci </w:t>
      </w:r>
      <w:r>
        <w:rPr>
          <w:rFonts w:cstheme="minorHAnsi"/>
          <w:szCs w:val="24"/>
        </w:rPr>
        <w:t>vlastního</w:t>
      </w:r>
      <w:r w:rsidRPr="00343079">
        <w:rPr>
          <w:rFonts w:cstheme="minorHAnsi"/>
          <w:szCs w:val="24"/>
        </w:rPr>
        <w:t xml:space="preserve"> RS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 xml:space="preserve">CZ </w:t>
      </w:r>
      <w:r w:rsidR="00C63046">
        <w:rPr>
          <w:rFonts w:cstheme="minorHAnsi"/>
          <w:szCs w:val="24"/>
        </w:rPr>
        <w:t xml:space="preserve">o </w:t>
      </w:r>
      <w:r w:rsidR="00816E97">
        <w:rPr>
          <w:rFonts w:cstheme="minorHAnsi"/>
          <w:szCs w:val="24"/>
        </w:rPr>
        <w:t xml:space="preserve">cca </w:t>
      </w:r>
      <w:r>
        <w:rPr>
          <w:rFonts w:cstheme="minorHAnsi"/>
          <w:szCs w:val="24"/>
        </w:rPr>
        <w:t>5 % levněji než v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CNS.</w:t>
      </w:r>
      <w:r w:rsidR="003E4404">
        <w:rPr>
          <w:rFonts w:cstheme="minorHAnsi"/>
          <w:szCs w:val="24"/>
        </w:rPr>
        <w:t xml:space="preserve"> V</w:t>
      </w:r>
      <w:r w:rsidR="004A1883">
        <w:rPr>
          <w:rFonts w:cstheme="minorHAnsi"/>
          <w:szCs w:val="24"/>
        </w:rPr>
        <w:t xml:space="preserve"> tabulce </w:t>
      </w:r>
      <w:r w:rsidR="005F1A1D">
        <w:rPr>
          <w:rFonts w:cstheme="minorHAnsi"/>
          <w:szCs w:val="24"/>
        </w:rPr>
        <w:t>č. 1</w:t>
      </w:r>
      <w:r w:rsidR="003E4404">
        <w:rPr>
          <w:rFonts w:cstheme="minorHAnsi"/>
          <w:szCs w:val="24"/>
        </w:rPr>
        <w:t xml:space="preserve"> </w:t>
      </w:r>
      <w:r w:rsidR="004A1883">
        <w:rPr>
          <w:rFonts w:cstheme="minorHAnsi"/>
          <w:szCs w:val="24"/>
        </w:rPr>
        <w:t>jsou uvedeny ceny, za</w:t>
      </w:r>
      <w:r w:rsidR="00963B01">
        <w:rPr>
          <w:rFonts w:cstheme="minorHAnsi"/>
          <w:szCs w:val="24"/>
        </w:rPr>
        <w:t xml:space="preserve"> </w:t>
      </w:r>
      <w:r w:rsidR="004A1883">
        <w:rPr>
          <w:rFonts w:cstheme="minorHAnsi"/>
          <w:szCs w:val="24"/>
        </w:rPr>
        <w:t xml:space="preserve">které </w:t>
      </w:r>
      <w:r w:rsidR="00D2741C">
        <w:rPr>
          <w:rFonts w:cstheme="minorHAnsi"/>
          <w:szCs w:val="24"/>
        </w:rPr>
        <w:t>MF</w:t>
      </w:r>
      <w:r w:rsidR="004A1883">
        <w:rPr>
          <w:rFonts w:cstheme="minorHAnsi"/>
          <w:szCs w:val="24"/>
        </w:rPr>
        <w:t>, MV a</w:t>
      </w:r>
      <w:r w:rsidR="00963B01">
        <w:rPr>
          <w:rFonts w:cstheme="minorHAnsi"/>
          <w:szCs w:val="24"/>
        </w:rPr>
        <w:t xml:space="preserve"> </w:t>
      </w:r>
      <w:r w:rsidR="00D20679">
        <w:rPr>
          <w:rFonts w:cstheme="minorHAnsi"/>
          <w:szCs w:val="24"/>
        </w:rPr>
        <w:t xml:space="preserve">MMR </w:t>
      </w:r>
      <w:r w:rsidR="004A1883">
        <w:rPr>
          <w:rFonts w:cstheme="minorHAnsi"/>
          <w:szCs w:val="24"/>
        </w:rPr>
        <w:t>pořizovalo shodný</w:t>
      </w:r>
      <w:r w:rsidR="00D20679">
        <w:rPr>
          <w:rFonts w:cstheme="minorHAnsi"/>
          <w:szCs w:val="24"/>
        </w:rPr>
        <w:t xml:space="preserve"> ka</w:t>
      </w:r>
      <w:r w:rsidR="008905FB">
        <w:rPr>
          <w:rFonts w:cstheme="minorHAnsi"/>
          <w:szCs w:val="24"/>
        </w:rPr>
        <w:t xml:space="preserve">ncelářský papír </w:t>
      </w:r>
      <w:r w:rsidR="004A1883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="004A1883">
        <w:rPr>
          <w:rFonts w:cstheme="minorHAnsi"/>
          <w:szCs w:val="24"/>
        </w:rPr>
        <w:t>letech 201</w:t>
      </w:r>
      <w:r w:rsidR="005F1A1D">
        <w:rPr>
          <w:rFonts w:cstheme="minorHAnsi"/>
          <w:szCs w:val="24"/>
        </w:rPr>
        <w:t>3</w:t>
      </w:r>
      <w:r w:rsidR="00593641">
        <w:rPr>
          <w:rFonts w:cstheme="minorHAnsi"/>
          <w:szCs w:val="24"/>
        </w:rPr>
        <w:t>–</w:t>
      </w:r>
      <w:r w:rsidR="004A1883">
        <w:rPr>
          <w:rFonts w:cstheme="minorHAnsi"/>
          <w:szCs w:val="24"/>
        </w:rPr>
        <w:t>2017</w:t>
      </w:r>
      <w:r w:rsidR="00D20679">
        <w:rPr>
          <w:rFonts w:cstheme="minorHAnsi"/>
          <w:szCs w:val="24"/>
        </w:rPr>
        <w:t>.</w:t>
      </w:r>
      <w:r w:rsidR="006763C6">
        <w:rPr>
          <w:rStyle w:val="Znakapoznpodarou"/>
          <w:rFonts w:cstheme="minorHAnsi"/>
          <w:szCs w:val="24"/>
        </w:rPr>
        <w:footnoteReference w:id="30"/>
      </w:r>
    </w:p>
    <w:p w14:paraId="6B66507E" w14:textId="67BA157D" w:rsidR="006B67DC" w:rsidRDefault="00180197" w:rsidP="006B67DC">
      <w:pPr>
        <w:pStyle w:val="KPnormln"/>
        <w:keepNext/>
        <w:spacing w:after="0" w:line="240" w:lineRule="auto"/>
        <w:ind w:left="1361" w:hanging="1361"/>
        <w:rPr>
          <w:b/>
        </w:rPr>
      </w:pPr>
      <w:r w:rsidRPr="0040526F">
        <w:rPr>
          <w:b/>
        </w:rPr>
        <w:lastRenderedPageBreak/>
        <w:t xml:space="preserve">Tabulka č. </w:t>
      </w:r>
      <w:r w:rsidRPr="0040526F">
        <w:rPr>
          <w:b/>
        </w:rPr>
        <w:fldChar w:fldCharType="begin"/>
      </w:r>
      <w:r w:rsidRPr="0040526F">
        <w:rPr>
          <w:b/>
        </w:rPr>
        <w:instrText xml:space="preserve"> SEQ Tabulka_č. \* ARABIC </w:instrText>
      </w:r>
      <w:r w:rsidRPr="0040526F">
        <w:rPr>
          <w:b/>
        </w:rPr>
        <w:fldChar w:fldCharType="separate"/>
      </w:r>
      <w:r w:rsidR="000366B6">
        <w:rPr>
          <w:b/>
          <w:noProof/>
        </w:rPr>
        <w:t>1</w:t>
      </w:r>
      <w:r w:rsidRPr="0040526F">
        <w:rPr>
          <w:b/>
        </w:rPr>
        <w:fldChar w:fldCharType="end"/>
      </w:r>
      <w:r w:rsidRPr="0040526F">
        <w:rPr>
          <w:b/>
        </w:rPr>
        <w:t>:</w:t>
      </w:r>
      <w:r w:rsidR="00CF1293">
        <w:rPr>
          <w:b/>
        </w:rPr>
        <w:t xml:space="preserve"> </w:t>
      </w:r>
      <w:r w:rsidR="0040526F" w:rsidRPr="0040526F">
        <w:rPr>
          <w:b/>
        </w:rPr>
        <w:t xml:space="preserve">Ceny kancelářského papíru A4 (kvalita A) </w:t>
      </w:r>
      <w:r w:rsidR="00593641">
        <w:rPr>
          <w:b/>
        </w:rPr>
        <w:t>za balík 500 ks v letech 201</w:t>
      </w:r>
      <w:r w:rsidR="00FE08E9">
        <w:rPr>
          <w:b/>
        </w:rPr>
        <w:t>3</w:t>
      </w:r>
      <w:r w:rsidR="00593641">
        <w:rPr>
          <w:b/>
        </w:rPr>
        <w:t>–</w:t>
      </w:r>
      <w:r w:rsidR="0040526F" w:rsidRPr="0040526F">
        <w:rPr>
          <w:b/>
        </w:rPr>
        <w:t>2017</w:t>
      </w:r>
    </w:p>
    <w:p w14:paraId="4F2AE1DE" w14:textId="77777777" w:rsidR="00180197" w:rsidRPr="0040526F" w:rsidRDefault="0040526F" w:rsidP="0048206F">
      <w:pPr>
        <w:pStyle w:val="KPnormln"/>
        <w:keepNext/>
        <w:tabs>
          <w:tab w:val="right" w:pos="9072"/>
        </w:tabs>
        <w:spacing w:after="40"/>
        <w:rPr>
          <w:b/>
        </w:rPr>
      </w:pPr>
      <w:r w:rsidRPr="0040526F">
        <w:rPr>
          <w:b/>
        </w:rPr>
        <w:t xml:space="preserve"> </w:t>
      </w:r>
      <w:r w:rsidR="006B67DC">
        <w:rPr>
          <w:b/>
        </w:rPr>
        <w:tab/>
      </w:r>
      <w:r w:rsidRPr="0040526F">
        <w:rPr>
          <w:b/>
        </w:rPr>
        <w:t>(v Kč bez DPH)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8"/>
        <w:gridCol w:w="1394"/>
        <w:gridCol w:w="1276"/>
        <w:gridCol w:w="2126"/>
        <w:gridCol w:w="2268"/>
      </w:tblGrid>
      <w:tr w:rsidR="001C77EB" w:rsidRPr="00343079" w14:paraId="55DB6C07" w14:textId="77777777" w:rsidTr="0048206F">
        <w:trPr>
          <w:trHeight w:val="227"/>
          <w:jc w:val="center"/>
        </w:trPr>
        <w:tc>
          <w:tcPr>
            <w:tcW w:w="1928" w:type="dxa"/>
            <w:vMerge w:val="restart"/>
            <w:shd w:val="clear" w:color="auto" w:fill="E5F1FF"/>
            <w:vAlign w:val="center"/>
          </w:tcPr>
          <w:p w14:paraId="3B27D14C" w14:textId="77777777" w:rsidR="001C77EB" w:rsidRPr="005B2908" w:rsidRDefault="005B2908" w:rsidP="002F3778">
            <w:pPr>
              <w:keepNext/>
              <w:spacing w:before="20" w:after="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2670" w:type="dxa"/>
            <w:gridSpan w:val="2"/>
            <w:shd w:val="clear" w:color="auto" w:fill="E5F1FF"/>
            <w:vAlign w:val="center"/>
          </w:tcPr>
          <w:p w14:paraId="01952DAD" w14:textId="77777777" w:rsidR="001C77EB" w:rsidRPr="005B2908" w:rsidRDefault="001C77EB" w:rsidP="002F3778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908">
              <w:rPr>
                <w:rFonts w:cstheme="minorHAnsi"/>
                <w:b/>
                <w:sz w:val="20"/>
                <w:szCs w:val="20"/>
              </w:rPr>
              <w:t>MF</w:t>
            </w:r>
          </w:p>
        </w:tc>
        <w:tc>
          <w:tcPr>
            <w:tcW w:w="2126" w:type="dxa"/>
            <w:vMerge w:val="restart"/>
            <w:shd w:val="clear" w:color="auto" w:fill="E5F1FF"/>
            <w:vAlign w:val="center"/>
          </w:tcPr>
          <w:p w14:paraId="5305E9E3" w14:textId="77777777" w:rsidR="001C77EB" w:rsidRPr="005B2908" w:rsidRDefault="001C77EB" w:rsidP="002F3778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908">
              <w:rPr>
                <w:rFonts w:cstheme="minorHAnsi"/>
                <w:b/>
                <w:sz w:val="20"/>
                <w:szCs w:val="20"/>
              </w:rPr>
              <w:t>MV v</w:t>
            </w:r>
            <w:r w:rsidR="00963B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2908">
              <w:rPr>
                <w:rFonts w:cstheme="minorHAnsi"/>
                <w:b/>
                <w:sz w:val="20"/>
                <w:szCs w:val="20"/>
              </w:rPr>
              <w:t>RS</w:t>
            </w:r>
            <w:r w:rsidR="00963B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2908">
              <w:rPr>
                <w:rFonts w:cstheme="minorHAnsi"/>
                <w:b/>
                <w:sz w:val="20"/>
                <w:szCs w:val="20"/>
              </w:rPr>
              <w:t>CZ</w:t>
            </w:r>
          </w:p>
        </w:tc>
        <w:tc>
          <w:tcPr>
            <w:tcW w:w="2268" w:type="dxa"/>
            <w:vMerge w:val="restart"/>
            <w:shd w:val="clear" w:color="auto" w:fill="E5F1FF"/>
            <w:vAlign w:val="center"/>
          </w:tcPr>
          <w:p w14:paraId="24EA9178" w14:textId="77777777" w:rsidR="001C77EB" w:rsidRPr="005B2908" w:rsidRDefault="001C77EB" w:rsidP="002F3778">
            <w:pPr>
              <w:keepNext/>
              <w:spacing w:before="20" w:after="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2908">
              <w:rPr>
                <w:rFonts w:cstheme="minorHAnsi"/>
                <w:b/>
                <w:sz w:val="20"/>
                <w:szCs w:val="20"/>
              </w:rPr>
              <w:t>MMR v</w:t>
            </w:r>
            <w:r w:rsidR="00963B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2908">
              <w:rPr>
                <w:rFonts w:cstheme="minorHAnsi"/>
                <w:b/>
                <w:sz w:val="20"/>
                <w:szCs w:val="20"/>
              </w:rPr>
              <w:t>RS</w:t>
            </w:r>
            <w:r w:rsidR="00963B0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5B2908">
              <w:rPr>
                <w:rFonts w:cstheme="minorHAnsi"/>
                <w:b/>
                <w:sz w:val="20"/>
                <w:szCs w:val="20"/>
              </w:rPr>
              <w:t>CZ</w:t>
            </w:r>
          </w:p>
        </w:tc>
      </w:tr>
      <w:tr w:rsidR="001C77EB" w:rsidRPr="00343079" w14:paraId="4CF1F0CB" w14:textId="77777777" w:rsidTr="0048206F">
        <w:trPr>
          <w:trHeight w:val="227"/>
          <w:jc w:val="center"/>
        </w:trPr>
        <w:tc>
          <w:tcPr>
            <w:tcW w:w="1928" w:type="dxa"/>
            <w:vMerge/>
            <w:shd w:val="clear" w:color="auto" w:fill="E5F1FF"/>
            <w:vAlign w:val="center"/>
          </w:tcPr>
          <w:p w14:paraId="5DCC34AA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94" w:type="dxa"/>
            <w:shd w:val="clear" w:color="auto" w:fill="E5F1FF"/>
            <w:vAlign w:val="center"/>
          </w:tcPr>
          <w:p w14:paraId="7E0D3BB7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RS</w:t>
            </w:r>
            <w:r w:rsidR="00963B0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CZ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5CB8D324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CNS</w:t>
            </w:r>
          </w:p>
        </w:tc>
        <w:tc>
          <w:tcPr>
            <w:tcW w:w="2126" w:type="dxa"/>
            <w:vMerge/>
            <w:shd w:val="clear" w:color="auto" w:fill="BDD6EE" w:themeFill="accent1" w:themeFillTint="66"/>
            <w:vAlign w:val="center"/>
          </w:tcPr>
          <w:p w14:paraId="3988E911" w14:textId="77777777" w:rsidR="001C77EB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DD6EE" w:themeFill="accent1" w:themeFillTint="66"/>
            <w:vAlign w:val="center"/>
          </w:tcPr>
          <w:p w14:paraId="5461F49C" w14:textId="77777777" w:rsidR="001C77EB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C77EB" w:rsidRPr="00343079" w14:paraId="73A7F2C3" w14:textId="77777777" w:rsidTr="0048206F">
        <w:trPr>
          <w:trHeight w:val="22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78AF79B4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2013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EDCE60C" w14:textId="77777777" w:rsidR="001C77EB" w:rsidRPr="00343079" w:rsidRDefault="001C77EB" w:rsidP="00BE5EFA">
            <w:pPr>
              <w:keepNext/>
              <w:spacing w:before="20" w:after="20"/>
              <w:ind w:right="170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85,60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B725DB5" w14:textId="77777777" w:rsidR="001C77EB" w:rsidRPr="00343079" w:rsidRDefault="001C77EB" w:rsidP="00BE5EFA">
            <w:pPr>
              <w:keepNext/>
              <w:spacing w:before="20" w:after="20"/>
              <w:ind w:right="102" w:firstLine="2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81D2A0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59,19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87A374B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1C77EB" w:rsidRPr="00343079" w14:paraId="7B7DCBB3" w14:textId="77777777" w:rsidTr="0048206F">
        <w:trPr>
          <w:trHeight w:val="22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D191DBA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2014</w:t>
            </w:r>
          </w:p>
        </w:tc>
        <w:tc>
          <w:tcPr>
            <w:tcW w:w="1394" w:type="dxa"/>
            <w:vAlign w:val="center"/>
          </w:tcPr>
          <w:p w14:paraId="179617DA" w14:textId="588F9265" w:rsidR="001C77EB" w:rsidRPr="00343079" w:rsidRDefault="001C77EB" w:rsidP="00A568AA">
            <w:pPr>
              <w:keepNext/>
              <w:spacing w:before="20" w:after="20"/>
              <w:ind w:right="311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55–93</w:t>
            </w:r>
            <w:r w:rsidR="006B67DC" w:rsidRPr="006B67DC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76" w:type="dxa"/>
            <w:vAlign w:val="center"/>
          </w:tcPr>
          <w:p w14:paraId="741DD145" w14:textId="77777777" w:rsidR="001C77EB" w:rsidRPr="00343079" w:rsidRDefault="001C77EB" w:rsidP="00BE5EFA">
            <w:pPr>
              <w:keepNext/>
              <w:spacing w:before="20" w:after="20"/>
              <w:ind w:right="102" w:firstLine="2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36F2446B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59,19</w:t>
            </w:r>
          </w:p>
        </w:tc>
        <w:tc>
          <w:tcPr>
            <w:tcW w:w="2268" w:type="dxa"/>
            <w:vAlign w:val="center"/>
          </w:tcPr>
          <w:p w14:paraId="07379C8F" w14:textId="77777777" w:rsidR="001C77EB" w:rsidRPr="00343079" w:rsidRDefault="001C77EB" w:rsidP="00BE5EFA">
            <w:pPr>
              <w:keepNext/>
              <w:spacing w:before="20" w:after="20"/>
              <w:ind w:right="706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55,50</w:t>
            </w:r>
          </w:p>
        </w:tc>
      </w:tr>
      <w:tr w:rsidR="001C77EB" w:rsidRPr="00343079" w14:paraId="7F693BB4" w14:textId="77777777" w:rsidTr="0048206F">
        <w:trPr>
          <w:trHeight w:val="22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3FC833F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2015</w:t>
            </w:r>
          </w:p>
        </w:tc>
        <w:tc>
          <w:tcPr>
            <w:tcW w:w="1394" w:type="dxa"/>
            <w:vAlign w:val="center"/>
          </w:tcPr>
          <w:p w14:paraId="2943CD0C" w14:textId="77777777" w:rsidR="001C77EB" w:rsidRPr="00343079" w:rsidRDefault="001C77EB" w:rsidP="00BE5EFA">
            <w:pPr>
              <w:keepNext/>
              <w:spacing w:before="20" w:after="20"/>
              <w:ind w:right="397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276" w:type="dxa"/>
            <w:vAlign w:val="center"/>
          </w:tcPr>
          <w:p w14:paraId="291E11F0" w14:textId="77777777" w:rsidR="001C77EB" w:rsidRPr="00343079" w:rsidRDefault="001C77EB" w:rsidP="00BE5EFA">
            <w:pPr>
              <w:keepNext/>
              <w:spacing w:before="20" w:after="20"/>
              <w:ind w:right="102" w:firstLine="22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2126" w:type="dxa"/>
            <w:vAlign w:val="center"/>
          </w:tcPr>
          <w:p w14:paraId="01A2F018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52,06</w:t>
            </w:r>
          </w:p>
        </w:tc>
        <w:tc>
          <w:tcPr>
            <w:tcW w:w="2268" w:type="dxa"/>
            <w:vAlign w:val="center"/>
          </w:tcPr>
          <w:p w14:paraId="62E17C45" w14:textId="77777777" w:rsidR="001C77EB" w:rsidRPr="00343079" w:rsidRDefault="001C77EB" w:rsidP="00BE5EFA">
            <w:pPr>
              <w:keepNext/>
              <w:spacing w:before="20" w:after="20"/>
              <w:ind w:right="706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55,50</w:t>
            </w:r>
          </w:p>
        </w:tc>
      </w:tr>
      <w:tr w:rsidR="001C77EB" w:rsidRPr="00343079" w14:paraId="7C0248EA" w14:textId="77777777" w:rsidTr="0048206F">
        <w:trPr>
          <w:trHeight w:val="22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3246F7E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2016</w:t>
            </w:r>
          </w:p>
        </w:tc>
        <w:tc>
          <w:tcPr>
            <w:tcW w:w="1394" w:type="dxa"/>
            <w:vAlign w:val="center"/>
          </w:tcPr>
          <w:p w14:paraId="27D5D512" w14:textId="77777777" w:rsidR="001C77EB" w:rsidRPr="00343079" w:rsidRDefault="001C77EB" w:rsidP="00BE5EFA">
            <w:pPr>
              <w:keepNext/>
              <w:spacing w:before="20" w:after="20"/>
              <w:ind w:right="227" w:firstLine="39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515BD208" w14:textId="77777777" w:rsidR="001C77EB" w:rsidRPr="00343079" w:rsidRDefault="001C77EB" w:rsidP="0048206F">
            <w:pPr>
              <w:keepNext/>
              <w:spacing w:before="20" w:after="20"/>
              <w:ind w:right="103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55,60</w:t>
            </w:r>
          </w:p>
        </w:tc>
        <w:tc>
          <w:tcPr>
            <w:tcW w:w="2126" w:type="dxa"/>
            <w:vAlign w:val="center"/>
          </w:tcPr>
          <w:p w14:paraId="4A955A1E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52,06</w:t>
            </w:r>
          </w:p>
        </w:tc>
        <w:tc>
          <w:tcPr>
            <w:tcW w:w="2268" w:type="dxa"/>
            <w:vAlign w:val="center"/>
          </w:tcPr>
          <w:p w14:paraId="5EAF093D" w14:textId="77777777" w:rsidR="001C77EB" w:rsidRPr="00343079" w:rsidRDefault="001C77EB" w:rsidP="00BE5EFA">
            <w:pPr>
              <w:keepNext/>
              <w:spacing w:before="20" w:after="20"/>
              <w:ind w:right="706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55,50</w:t>
            </w:r>
          </w:p>
        </w:tc>
      </w:tr>
      <w:tr w:rsidR="001C77EB" w:rsidRPr="00343079" w14:paraId="72D00704" w14:textId="77777777" w:rsidTr="0048206F">
        <w:trPr>
          <w:trHeight w:val="227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7EB43E74" w14:textId="77777777" w:rsidR="001C77EB" w:rsidRPr="00343079" w:rsidRDefault="001C77EB" w:rsidP="002F3778">
            <w:pPr>
              <w:keepNext/>
              <w:spacing w:before="20" w:after="20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2017</w:t>
            </w:r>
          </w:p>
        </w:tc>
        <w:tc>
          <w:tcPr>
            <w:tcW w:w="1394" w:type="dxa"/>
            <w:vAlign w:val="center"/>
          </w:tcPr>
          <w:p w14:paraId="63CCD54F" w14:textId="77777777" w:rsidR="001C77EB" w:rsidRPr="00343079" w:rsidRDefault="001C77EB" w:rsidP="00BE5EFA">
            <w:pPr>
              <w:keepNext/>
              <w:spacing w:before="20" w:after="20"/>
              <w:ind w:right="227" w:firstLine="39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14:paraId="44202A90" w14:textId="77777777" w:rsidR="001C77EB" w:rsidRPr="00343079" w:rsidRDefault="001C77EB" w:rsidP="0048206F">
            <w:pPr>
              <w:keepNext/>
              <w:spacing w:before="20" w:after="20"/>
              <w:ind w:right="103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55,60</w:t>
            </w:r>
          </w:p>
        </w:tc>
        <w:tc>
          <w:tcPr>
            <w:tcW w:w="2126" w:type="dxa"/>
            <w:vAlign w:val="center"/>
          </w:tcPr>
          <w:p w14:paraId="210DC19D" w14:textId="77777777" w:rsidR="001C77EB" w:rsidRPr="00343079" w:rsidRDefault="001C77EB" w:rsidP="002F3778">
            <w:pPr>
              <w:keepNext/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53,01</w:t>
            </w:r>
          </w:p>
        </w:tc>
        <w:tc>
          <w:tcPr>
            <w:tcW w:w="2268" w:type="dxa"/>
            <w:vAlign w:val="center"/>
          </w:tcPr>
          <w:p w14:paraId="27C95BB5" w14:textId="77777777" w:rsidR="001C77EB" w:rsidRPr="00343079" w:rsidRDefault="001C77EB" w:rsidP="00BE5EFA">
            <w:pPr>
              <w:keepNext/>
              <w:spacing w:before="20" w:after="20"/>
              <w:ind w:right="706"/>
              <w:jc w:val="right"/>
              <w:rPr>
                <w:rFonts w:cstheme="minorHAnsi"/>
                <w:sz w:val="20"/>
                <w:szCs w:val="20"/>
              </w:rPr>
            </w:pPr>
            <w:r w:rsidRPr="00343079">
              <w:rPr>
                <w:rFonts w:cstheme="minorHAnsi"/>
                <w:sz w:val="20"/>
                <w:szCs w:val="20"/>
              </w:rPr>
              <w:t>55,50</w:t>
            </w:r>
          </w:p>
        </w:tc>
      </w:tr>
    </w:tbl>
    <w:p w14:paraId="31AA239C" w14:textId="16F01BBD" w:rsidR="00181B74" w:rsidRDefault="00181B74" w:rsidP="0048206F">
      <w:pPr>
        <w:spacing w:before="40" w:after="0" w:line="240" w:lineRule="auto"/>
        <w:rPr>
          <w:sz w:val="20"/>
          <w:szCs w:val="20"/>
        </w:rPr>
      </w:pPr>
      <w:r w:rsidRPr="00343079">
        <w:rPr>
          <w:b/>
          <w:sz w:val="20"/>
          <w:szCs w:val="20"/>
        </w:rPr>
        <w:t>Zdroj:</w:t>
      </w:r>
      <w:r w:rsidR="00D20679">
        <w:rPr>
          <w:sz w:val="20"/>
          <w:szCs w:val="20"/>
        </w:rPr>
        <w:t xml:space="preserve"> </w:t>
      </w:r>
      <w:r w:rsidR="00BE5EFA">
        <w:rPr>
          <w:sz w:val="20"/>
          <w:szCs w:val="20"/>
        </w:rPr>
        <w:t>u</w:t>
      </w:r>
      <w:r w:rsidR="00D20679">
        <w:rPr>
          <w:sz w:val="20"/>
          <w:szCs w:val="20"/>
        </w:rPr>
        <w:t>zavřené rámcové dohody</w:t>
      </w:r>
      <w:r w:rsidR="00BE5EFA">
        <w:rPr>
          <w:sz w:val="20"/>
          <w:szCs w:val="20"/>
        </w:rPr>
        <w:t>.</w:t>
      </w:r>
    </w:p>
    <w:p w14:paraId="6724D496" w14:textId="77777777" w:rsidR="007E03D3" w:rsidRPr="007E03D3" w:rsidRDefault="008D3E40" w:rsidP="00181B74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7E03D3" w:rsidRPr="007E03D3">
        <w:rPr>
          <w:sz w:val="20"/>
          <w:szCs w:val="20"/>
        </w:rPr>
        <w:t>MF pořizovalo v průběhu roku 2014 kancelářský papír za ceny v rozpětí 55–93 Kč.</w:t>
      </w:r>
    </w:p>
    <w:p w14:paraId="0AFC722F" w14:textId="356C45A4" w:rsidR="002A1D79" w:rsidRPr="007E03D3" w:rsidRDefault="00007610" w:rsidP="00CF443B">
      <w:pPr>
        <w:rPr>
          <w:rFonts w:cstheme="minorHAnsi"/>
          <w:szCs w:val="24"/>
        </w:rPr>
      </w:pPr>
      <w:r w:rsidRPr="00343079">
        <w:rPr>
          <w:rFonts w:cstheme="minorHAnsi"/>
          <w:szCs w:val="24"/>
        </w:rPr>
        <w:t>Na základě uzavřených smluv byl</w:t>
      </w:r>
      <w:r w:rsidR="007E03D3">
        <w:rPr>
          <w:rFonts w:cstheme="minorHAnsi"/>
          <w:szCs w:val="24"/>
        </w:rPr>
        <w:t xml:space="preserve"> v</w:t>
      </w:r>
      <w:r w:rsidR="00963B01">
        <w:rPr>
          <w:rFonts w:cstheme="minorHAnsi"/>
          <w:szCs w:val="24"/>
        </w:rPr>
        <w:t xml:space="preserve"> </w:t>
      </w:r>
      <w:r w:rsidR="007E03D3">
        <w:rPr>
          <w:rFonts w:cstheme="minorHAnsi"/>
          <w:szCs w:val="24"/>
        </w:rPr>
        <w:t>letech 2016</w:t>
      </w:r>
      <w:r w:rsidR="007F6C43">
        <w:rPr>
          <w:rFonts w:cstheme="minorHAnsi"/>
          <w:szCs w:val="24"/>
        </w:rPr>
        <w:t>–</w:t>
      </w:r>
      <w:r w:rsidRPr="00343079">
        <w:rPr>
          <w:rFonts w:cstheme="minorHAnsi"/>
          <w:szCs w:val="24"/>
        </w:rPr>
        <w:t>2017</w:t>
      </w:r>
      <w:r w:rsidR="007E03D3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>odebrán kancelářský papír v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>hodnotě 47 mil. Kč</w:t>
      </w:r>
      <w:r w:rsidR="007E03D3">
        <w:rPr>
          <w:rStyle w:val="Znakapoznpodarou"/>
          <w:rFonts w:cstheme="minorHAnsi"/>
          <w:szCs w:val="24"/>
        </w:rPr>
        <w:footnoteReference w:id="31"/>
      </w:r>
      <w:r w:rsidRPr="00343079">
        <w:rPr>
          <w:rFonts w:cstheme="minorHAnsi"/>
          <w:szCs w:val="24"/>
        </w:rPr>
        <w:t xml:space="preserve">, tj. </w:t>
      </w:r>
      <w:r>
        <w:rPr>
          <w:rFonts w:cstheme="minorHAnsi"/>
          <w:szCs w:val="24"/>
        </w:rPr>
        <w:t xml:space="preserve">pouze </w:t>
      </w:r>
      <w:r w:rsidRPr="00343079">
        <w:rPr>
          <w:rFonts w:cstheme="minorHAnsi"/>
          <w:szCs w:val="24"/>
        </w:rPr>
        <w:t xml:space="preserve">cca 40 % odběru </w:t>
      </w:r>
      <w:r w:rsidR="00A568AA" w:rsidRPr="00343079">
        <w:rPr>
          <w:rFonts w:cstheme="minorHAnsi"/>
          <w:szCs w:val="24"/>
        </w:rPr>
        <w:t xml:space="preserve">předpokládaného </w:t>
      </w:r>
      <w:r w:rsidRPr="00343079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 xml:space="preserve">rámcových </w:t>
      </w:r>
      <w:r w:rsidR="007E03D3">
        <w:rPr>
          <w:rFonts w:cstheme="minorHAnsi"/>
          <w:szCs w:val="24"/>
        </w:rPr>
        <w:t>dohodách</w:t>
      </w:r>
      <w:r w:rsidRPr="00343079">
        <w:rPr>
          <w:rFonts w:cstheme="minorHAnsi"/>
          <w:szCs w:val="24"/>
        </w:rPr>
        <w:t>.</w:t>
      </w:r>
      <w:r w:rsidRPr="00343079">
        <w:rPr>
          <w:color w:val="FF0000"/>
        </w:rPr>
        <w:t xml:space="preserve"> </w:t>
      </w:r>
      <w:r w:rsidR="001E5911">
        <w:t>MF se</w:t>
      </w:r>
      <w:r w:rsidR="00A568AA">
        <w:t xml:space="preserve"> </w:t>
      </w:r>
      <w:r w:rsidR="003E68B5">
        <w:t>rozhodlo</w:t>
      </w:r>
      <w:r w:rsidR="0092702C">
        <w:t xml:space="preserve"> dále</w:t>
      </w:r>
      <w:r w:rsidR="003E68B5">
        <w:t xml:space="preserve"> </w:t>
      </w:r>
      <w:r w:rsidR="00181B74" w:rsidRPr="00343079">
        <w:t>nepokračovat v</w:t>
      </w:r>
      <w:r w:rsidR="00963B01">
        <w:t xml:space="preserve"> </w:t>
      </w:r>
      <w:r w:rsidR="00181B74" w:rsidRPr="00343079">
        <w:t>centrálním nákupu kancelářského papíru</w:t>
      </w:r>
      <w:r w:rsidR="006C626E">
        <w:t xml:space="preserve"> mj. z</w:t>
      </w:r>
      <w:r w:rsidR="00963B01">
        <w:t xml:space="preserve"> </w:t>
      </w:r>
      <w:r w:rsidR="006C626E">
        <w:t>důvodu v</w:t>
      </w:r>
      <w:r w:rsidR="00DA5F8B">
        <w:t>yšší vysoutěžen</w:t>
      </w:r>
      <w:r w:rsidR="006C626E">
        <w:t>é</w:t>
      </w:r>
      <w:r w:rsidR="00DA5F8B">
        <w:t xml:space="preserve"> </w:t>
      </w:r>
      <w:r w:rsidR="003E68B5">
        <w:t>cen</w:t>
      </w:r>
      <w:r w:rsidR="006C626E">
        <w:t>y</w:t>
      </w:r>
      <w:r w:rsidR="001503EA">
        <w:t>,</w:t>
      </w:r>
      <w:r w:rsidR="00375C91">
        <w:t xml:space="preserve"> než za </w:t>
      </w:r>
      <w:r w:rsidR="001503EA">
        <w:t>kterou</w:t>
      </w:r>
      <w:r w:rsidR="00375C91">
        <w:t xml:space="preserve"> zapojené res</w:t>
      </w:r>
      <w:r w:rsidR="001503EA">
        <w:t>orty nakupoval</w:t>
      </w:r>
      <w:r w:rsidR="00A568AA">
        <w:t>y</w:t>
      </w:r>
      <w:r w:rsidR="001503EA">
        <w:t xml:space="preserve"> kancelářský papír v</w:t>
      </w:r>
      <w:r w:rsidR="00963B01">
        <w:t xml:space="preserve"> </w:t>
      </w:r>
      <w:r w:rsidR="001503EA">
        <w:t>rámci svého RS</w:t>
      </w:r>
      <w:r w:rsidR="00963B01">
        <w:t xml:space="preserve"> </w:t>
      </w:r>
      <w:r w:rsidR="001503EA">
        <w:t>CZ</w:t>
      </w:r>
      <w:r w:rsidR="00213D6A">
        <w:t>. P</w:t>
      </w:r>
      <w:r w:rsidR="007E03D3">
        <w:t xml:space="preserve">ro některé </w:t>
      </w:r>
      <w:r w:rsidR="007F6C43">
        <w:t>subjekty</w:t>
      </w:r>
      <w:r w:rsidR="003E68B5">
        <w:t xml:space="preserve"> </w:t>
      </w:r>
      <w:r w:rsidR="007E03D3">
        <w:t>bylo</w:t>
      </w:r>
      <w:r w:rsidR="003E68B5" w:rsidDel="00D53910">
        <w:t xml:space="preserve"> </w:t>
      </w:r>
      <w:r w:rsidR="003E68B5">
        <w:t>hospodárnější pořizovat papír mimo CNS</w:t>
      </w:r>
      <w:r w:rsidR="00516601">
        <w:t>, což</w:t>
      </w:r>
      <w:r w:rsidR="00213D6A">
        <w:t xml:space="preserve"> vedlo k</w:t>
      </w:r>
      <w:r w:rsidR="007E03D3">
        <w:t> </w:t>
      </w:r>
      <w:r w:rsidR="00213D6A" w:rsidRPr="00343079">
        <w:t>nízk</w:t>
      </w:r>
      <w:r w:rsidR="00213D6A">
        <w:t>ému</w:t>
      </w:r>
      <w:r w:rsidR="00213D6A" w:rsidRPr="00343079">
        <w:t xml:space="preserve"> čerpání</w:t>
      </w:r>
      <w:r w:rsidR="00213D6A">
        <w:t xml:space="preserve"> uzavřených rámcových </w:t>
      </w:r>
      <w:r w:rsidR="008F5193">
        <w:t xml:space="preserve">dohod </w:t>
      </w:r>
      <w:r w:rsidR="00213D6A" w:rsidRPr="00343079">
        <w:t>ze strany zapojených resortů</w:t>
      </w:r>
      <w:r w:rsidR="00213D6A">
        <w:t>.</w:t>
      </w:r>
      <w:r w:rsidR="005512CE" w:rsidRPr="005D0A6E">
        <w:t xml:space="preserve"> </w:t>
      </w:r>
      <w:r w:rsidR="002A1D79" w:rsidRPr="006D79A0">
        <w:t>Přestože vláda zavedením CNS plánovala</w:t>
      </w:r>
      <w:r w:rsidR="002A1D79" w:rsidRPr="00E61AB2">
        <w:t xml:space="preserve"> významně posílit</w:t>
      </w:r>
      <w:r w:rsidR="002A1D79" w:rsidRPr="006D79A0">
        <w:t xml:space="preserve"> ekonomické efekty dosahované prostřednictvím RS CZ,</w:t>
      </w:r>
      <w:r w:rsidR="002A1D79" w:rsidRPr="005D0A6E">
        <w:t xml:space="preserve"> </w:t>
      </w:r>
      <w:r w:rsidR="002A1D79" w:rsidRPr="008E1672">
        <w:t xml:space="preserve">využívání CNS po čtyřech letech od zahájení jeho příprav výrazně zaostává za jejími původními </w:t>
      </w:r>
      <w:r w:rsidR="0033050B">
        <w:t>plány</w:t>
      </w:r>
      <w:r w:rsidR="002A1D79" w:rsidRPr="008E1672">
        <w:t>.</w:t>
      </w:r>
    </w:p>
    <w:p w14:paraId="11B539F0" w14:textId="77777777" w:rsidR="00DA5F8B" w:rsidRDefault="00FD1A93" w:rsidP="00CF443B">
      <w:r w:rsidRPr="00427F26">
        <w:t>C</w:t>
      </w:r>
      <w:r w:rsidR="00DA5F8B" w:rsidRPr="00427F26">
        <w:t>entralizace zadávání veřejných zakázek nemusí vždy vést k</w:t>
      </w:r>
      <w:r w:rsidR="00963B01">
        <w:t xml:space="preserve"> </w:t>
      </w:r>
      <w:r w:rsidR="00DA5F8B" w:rsidRPr="00427F26">
        <w:t>očekáváným přínosům</w:t>
      </w:r>
      <w:r w:rsidR="00067DD4" w:rsidRPr="00427F26">
        <w:t>,</w:t>
      </w:r>
      <w:r w:rsidR="00DA5F8B" w:rsidRPr="00427F26">
        <w:t xml:space="preserve"> zejména k nižším </w:t>
      </w:r>
      <w:r w:rsidR="00067DD4" w:rsidRPr="00427F26">
        <w:t>pořizovacím cenám</w:t>
      </w:r>
      <w:r w:rsidR="008C203E" w:rsidRPr="00427F26">
        <w:t>, přestože centrální zadavatel postupuje v</w:t>
      </w:r>
      <w:r w:rsidR="00963B01">
        <w:t xml:space="preserve"> </w:t>
      </w:r>
      <w:r w:rsidR="008C203E" w:rsidRPr="00427F26">
        <w:t>souladu se</w:t>
      </w:r>
      <w:r w:rsidR="00963B01">
        <w:t xml:space="preserve"> </w:t>
      </w:r>
      <w:r w:rsidR="008C203E" w:rsidRPr="00427F26">
        <w:t>zákonem.</w:t>
      </w:r>
      <w:r w:rsidR="008A2148" w:rsidRPr="00427F26">
        <w:t xml:space="preserve"> Centrální zadavate</w:t>
      </w:r>
      <w:r w:rsidR="007E03D3">
        <w:t xml:space="preserve">l </w:t>
      </w:r>
      <w:r w:rsidR="00FE08E9">
        <w:t xml:space="preserve">by měl </w:t>
      </w:r>
      <w:r w:rsidR="007E03D3">
        <w:t>průběžně analyzovat</w:t>
      </w:r>
      <w:r w:rsidR="008A2148" w:rsidRPr="00427F26">
        <w:t xml:space="preserve"> a ověřovat nastavení systému cent</w:t>
      </w:r>
      <w:r w:rsidR="007E03D3">
        <w:t xml:space="preserve">ralizovaného zadávání, </w:t>
      </w:r>
      <w:r w:rsidR="008A2148" w:rsidRPr="00427F26">
        <w:t>vývoj trhu a možnosti dodavatelů</w:t>
      </w:r>
      <w:r w:rsidR="00544DB1">
        <w:t>.</w:t>
      </w:r>
      <w:r w:rsidR="008A2148" w:rsidRPr="00427F26">
        <w:t xml:space="preserve"> </w:t>
      </w:r>
      <w:r w:rsidR="000B5462">
        <w:t>MV</w:t>
      </w:r>
      <w:r w:rsidR="008A2148" w:rsidRPr="00427F26">
        <w:t xml:space="preserve"> </w:t>
      </w:r>
      <w:r w:rsidR="00093888">
        <w:t xml:space="preserve">např. </w:t>
      </w:r>
      <w:r w:rsidR="0042381E">
        <w:t>v</w:t>
      </w:r>
      <w:r w:rsidR="00963B01">
        <w:t xml:space="preserve"> </w:t>
      </w:r>
      <w:r w:rsidR="0042381E">
        <w:t xml:space="preserve">rámci specializovaného útvaru </w:t>
      </w:r>
      <w:r w:rsidR="008A2148" w:rsidRPr="00427F26">
        <w:t>průběžně vyhodnocuje změny na trhu, rozšiřuje a</w:t>
      </w:r>
      <w:r w:rsidR="00963B01">
        <w:t xml:space="preserve"> </w:t>
      </w:r>
      <w:r w:rsidR="008A2148" w:rsidRPr="00427F26">
        <w:t xml:space="preserve">případně zužuje okruh centralizovaně pořizovaných </w:t>
      </w:r>
      <w:r w:rsidR="0018606A" w:rsidRPr="00427F26">
        <w:t>komodit</w:t>
      </w:r>
      <w:r w:rsidR="001F3D1A">
        <w:t>.</w:t>
      </w:r>
    </w:p>
    <w:p w14:paraId="707C5CE3" w14:textId="77777777" w:rsidR="00C77081" w:rsidRDefault="0048206F" w:rsidP="0048206F">
      <w:pPr>
        <w:pStyle w:val="Nadpis2"/>
        <w:numPr>
          <w:ilvl w:val="0"/>
          <w:numId w:val="0"/>
        </w:numPr>
      </w:pPr>
      <w:r>
        <w:t xml:space="preserve">2. </w:t>
      </w:r>
      <w:r w:rsidR="00C77081" w:rsidRPr="00343079">
        <w:t>Resortní systémy centralizovaného zadávání</w:t>
      </w:r>
    </w:p>
    <w:p w14:paraId="6E047336" w14:textId="0643F1F8" w:rsidR="001923D5" w:rsidRDefault="009069B8" w:rsidP="001923D5">
      <w:pPr>
        <w:rPr>
          <w:rFonts w:eastAsia="Calibri"/>
        </w:rPr>
      </w:pPr>
      <w:r>
        <w:t>V roce 2011 byla</w:t>
      </w:r>
      <w:r w:rsidR="00D0626C">
        <w:t xml:space="preserve"> </w:t>
      </w:r>
      <w:r w:rsidR="00D0626C">
        <w:rPr>
          <w:rFonts w:eastAsia="Calibri"/>
        </w:rPr>
        <w:t>stanoven</w:t>
      </w:r>
      <w:r w:rsidR="00C27598">
        <w:rPr>
          <w:rFonts w:eastAsia="Calibri"/>
        </w:rPr>
        <w:t>a</w:t>
      </w:r>
      <w:r w:rsidR="00D0626C">
        <w:rPr>
          <w:rFonts w:eastAsia="Calibri"/>
        </w:rPr>
        <w:t xml:space="preserve"> pravidla pro </w:t>
      </w:r>
      <w:r w:rsidR="00C02EBB">
        <w:rPr>
          <w:rFonts w:eastAsia="Calibri"/>
        </w:rPr>
        <w:t>vytvoření</w:t>
      </w:r>
      <w:r w:rsidR="00D0626C">
        <w:rPr>
          <w:rFonts w:eastAsia="Calibri"/>
        </w:rPr>
        <w:t xml:space="preserve"> a provoz RS</w:t>
      </w:r>
      <w:r w:rsidR="00963B01">
        <w:rPr>
          <w:rFonts w:eastAsia="Calibri"/>
        </w:rPr>
        <w:t xml:space="preserve"> </w:t>
      </w:r>
      <w:r w:rsidR="00D0626C">
        <w:rPr>
          <w:rFonts w:eastAsia="Calibri"/>
        </w:rPr>
        <w:t>CZ</w:t>
      </w:r>
      <w:r w:rsidR="00BD5DC6">
        <w:rPr>
          <w:rFonts w:eastAsia="Calibri"/>
          <w:vertAlign w:val="superscript"/>
        </w:rPr>
        <w:t>4</w:t>
      </w:r>
      <w:r w:rsidR="00D0626C">
        <w:rPr>
          <w:rFonts w:eastAsia="Calibri"/>
        </w:rPr>
        <w:t>.</w:t>
      </w:r>
      <w:r w:rsidR="002E4C66">
        <w:t xml:space="preserve"> </w:t>
      </w:r>
      <w:r w:rsidR="001923D5">
        <w:rPr>
          <w:rFonts w:eastAsia="Calibri"/>
        </w:rPr>
        <w:t xml:space="preserve">Povinnost </w:t>
      </w:r>
      <w:r w:rsidR="00FA07C5">
        <w:rPr>
          <w:rFonts w:eastAsia="Calibri"/>
        </w:rPr>
        <w:t>zavést RS</w:t>
      </w:r>
      <w:r w:rsidR="00963B01">
        <w:rPr>
          <w:rFonts w:eastAsia="Calibri"/>
        </w:rPr>
        <w:t xml:space="preserve"> </w:t>
      </w:r>
      <w:r w:rsidR="00FA07C5">
        <w:rPr>
          <w:rFonts w:eastAsia="Calibri"/>
        </w:rPr>
        <w:t>CZ a</w:t>
      </w:r>
      <w:r w:rsidR="00E21C01">
        <w:rPr>
          <w:rFonts w:eastAsia="Calibri"/>
        </w:rPr>
        <w:t> </w:t>
      </w:r>
      <w:r w:rsidR="00FA07C5">
        <w:rPr>
          <w:rFonts w:eastAsia="Calibri"/>
        </w:rPr>
        <w:t>v něm centralizovaně pořizovat komodity</w:t>
      </w:r>
      <w:r w:rsidR="001923D5">
        <w:rPr>
          <w:rFonts w:eastAsia="Calibri"/>
        </w:rPr>
        <w:t xml:space="preserve"> mělo v</w:t>
      </w:r>
      <w:r w:rsidR="00963B01">
        <w:rPr>
          <w:rFonts w:eastAsia="Calibri"/>
        </w:rPr>
        <w:t xml:space="preserve"> </w:t>
      </w:r>
      <w:r w:rsidR="001923D5">
        <w:rPr>
          <w:rFonts w:eastAsia="Calibri"/>
        </w:rPr>
        <w:t>době ukončení kontroly 16</w:t>
      </w:r>
      <w:r w:rsidR="00963B01">
        <w:rPr>
          <w:rFonts w:eastAsia="Calibri"/>
        </w:rPr>
        <w:t xml:space="preserve"> </w:t>
      </w:r>
      <w:r w:rsidR="001923D5">
        <w:rPr>
          <w:rFonts w:eastAsia="Calibri"/>
        </w:rPr>
        <w:t>ÚOSS</w:t>
      </w:r>
      <w:r w:rsidR="003D01B1">
        <w:rPr>
          <w:rStyle w:val="Znakapoznpodarou"/>
          <w:rFonts w:eastAsia="Calibri"/>
        </w:rPr>
        <w:footnoteReference w:id="32"/>
      </w:r>
      <w:r w:rsidR="00A568AA">
        <w:rPr>
          <w:rFonts w:eastAsia="Calibri"/>
        </w:rPr>
        <w:t>,</w:t>
      </w:r>
      <w:r w:rsidR="003D01B1">
        <w:rPr>
          <w:rFonts w:eastAsia="Calibri"/>
        </w:rPr>
        <w:t xml:space="preserve"> pod které spadalo</w:t>
      </w:r>
      <w:r w:rsidR="00FA07C5">
        <w:rPr>
          <w:rFonts w:eastAsia="Calibri"/>
        </w:rPr>
        <w:t xml:space="preserve"> 529 organizačních složek </w:t>
      </w:r>
      <w:r w:rsidR="0028171F">
        <w:rPr>
          <w:rFonts w:eastAsia="Calibri"/>
        </w:rPr>
        <w:t>státu a</w:t>
      </w:r>
      <w:r w:rsidR="00963B01">
        <w:rPr>
          <w:rFonts w:eastAsia="Calibri"/>
        </w:rPr>
        <w:t xml:space="preserve"> </w:t>
      </w:r>
      <w:r w:rsidR="0028171F">
        <w:rPr>
          <w:rFonts w:eastAsia="Calibri"/>
        </w:rPr>
        <w:t>příspěvkových organizac</w:t>
      </w:r>
      <w:r w:rsidR="00B71A37">
        <w:rPr>
          <w:rFonts w:eastAsia="Calibri"/>
        </w:rPr>
        <w:t>í</w:t>
      </w:r>
      <w:r w:rsidR="002C7774">
        <w:rPr>
          <w:rFonts w:eastAsia="Calibri"/>
        </w:rPr>
        <w:t>.</w:t>
      </w:r>
      <w:r w:rsidR="001C13F7">
        <w:rPr>
          <w:rFonts w:eastAsia="Calibri"/>
        </w:rPr>
        <w:t xml:space="preserve"> Pravidla RS</w:t>
      </w:r>
      <w:r w:rsidR="00963B01">
        <w:rPr>
          <w:rFonts w:eastAsia="Calibri"/>
        </w:rPr>
        <w:t xml:space="preserve"> </w:t>
      </w:r>
      <w:r w:rsidR="001C13F7">
        <w:rPr>
          <w:rFonts w:eastAsia="Calibri"/>
        </w:rPr>
        <w:t>CZ stanovují</w:t>
      </w:r>
      <w:r w:rsidR="0015630B">
        <w:rPr>
          <w:rFonts w:eastAsia="Calibri"/>
        </w:rPr>
        <w:t xml:space="preserve"> povinnost</w:t>
      </w:r>
      <w:r w:rsidR="001C13F7">
        <w:rPr>
          <w:rFonts w:eastAsia="Calibri"/>
        </w:rPr>
        <w:t xml:space="preserve"> centralizovaně pořizovat komoditu, </w:t>
      </w:r>
      <w:r w:rsidR="002B63A9">
        <w:rPr>
          <w:rFonts w:eastAsia="Calibri"/>
        </w:rPr>
        <w:t>kterou</w:t>
      </w:r>
      <w:r w:rsidR="001C13F7">
        <w:rPr>
          <w:rFonts w:eastAsia="Calibri"/>
        </w:rPr>
        <w:t xml:space="preserve"> v</w:t>
      </w:r>
      <w:r w:rsidR="00963B01">
        <w:rPr>
          <w:rFonts w:eastAsia="Calibri"/>
        </w:rPr>
        <w:t xml:space="preserve"> </w:t>
      </w:r>
      <w:r w:rsidR="001C13F7">
        <w:rPr>
          <w:rFonts w:eastAsia="Calibri"/>
        </w:rPr>
        <w:t>daném resortu pořizují alespoň dvě podřízené organizace</w:t>
      </w:r>
      <w:r w:rsidR="002C7774" w:rsidDel="001C13F7">
        <w:rPr>
          <w:rFonts w:eastAsia="Calibri"/>
        </w:rPr>
        <w:t>.</w:t>
      </w:r>
    </w:p>
    <w:p w14:paraId="3BC4DD79" w14:textId="43CB4C03" w:rsidR="00736033" w:rsidRDefault="00736033" w:rsidP="00584019">
      <w:r>
        <w:t>MMR</w:t>
      </w:r>
      <w:r w:rsidR="00940D17">
        <w:t xml:space="preserve"> při nastav</w:t>
      </w:r>
      <w:r w:rsidR="00D6044A">
        <w:t>ení</w:t>
      </w:r>
      <w:r w:rsidR="00940D17">
        <w:t xml:space="preserve"> </w:t>
      </w:r>
      <w:r w:rsidR="00C02EBB">
        <w:t xml:space="preserve">fungování všech </w:t>
      </w:r>
      <w:r w:rsidR="00D6044A">
        <w:t>RS</w:t>
      </w:r>
      <w:r w:rsidR="00963B01">
        <w:t xml:space="preserve"> </w:t>
      </w:r>
      <w:r w:rsidR="00D6044A">
        <w:t>CZ</w:t>
      </w:r>
      <w:r>
        <w:t xml:space="preserve"> </w:t>
      </w:r>
      <w:r w:rsidR="002B63A9">
        <w:t>využíva</w:t>
      </w:r>
      <w:r w:rsidR="00D6044A">
        <w:t>lo</w:t>
      </w:r>
      <w:r>
        <w:t xml:space="preserve"> služeb externích dodavatelů</w:t>
      </w:r>
      <w:r w:rsidR="00624192">
        <w:t>. Ti</w:t>
      </w:r>
      <w:r w:rsidR="00A568AA">
        <w:t xml:space="preserve"> </w:t>
      </w:r>
      <w:r w:rsidR="00624192">
        <w:t>navrhovali</w:t>
      </w:r>
      <w:r>
        <w:t xml:space="preserve"> i texty usnesení</w:t>
      </w:r>
      <w:r w:rsidR="00624192">
        <w:t xml:space="preserve">, </w:t>
      </w:r>
      <w:r w:rsidR="00624192" w:rsidRPr="007F0CEC">
        <w:t>kter</w:t>
      </w:r>
      <w:r w:rsidR="00B37C5D" w:rsidRPr="007F0CEC">
        <w:t>é</w:t>
      </w:r>
      <w:r w:rsidR="00624192">
        <w:t xml:space="preserve"> MMR předkládalo</w:t>
      </w:r>
      <w:r w:rsidR="00357325">
        <w:t xml:space="preserve"> na jednání vlády</w:t>
      </w:r>
      <w:r w:rsidR="00C02EBB">
        <w:t>.</w:t>
      </w:r>
    </w:p>
    <w:p w14:paraId="0A71325E" w14:textId="77777777" w:rsidR="00C40EA9" w:rsidRDefault="00C40EA9" w:rsidP="00C40EA9">
      <w:pPr>
        <w:pStyle w:val="Nadpis3"/>
      </w:pPr>
      <w:r>
        <w:lastRenderedPageBreak/>
        <w:t>Nastavení metodik</w:t>
      </w:r>
      <w:r w:rsidR="00FA01FF">
        <w:t>y</w:t>
      </w:r>
      <w:r>
        <w:t xml:space="preserve"> vyčíslování úspor</w:t>
      </w:r>
    </w:p>
    <w:p w14:paraId="33A5F799" w14:textId="737FB975" w:rsidR="00C40EA9" w:rsidRPr="00C02EBB" w:rsidRDefault="00C40EA9" w:rsidP="00902F97">
      <w:pPr>
        <w:rPr>
          <w:rFonts w:cstheme="minorHAnsi"/>
          <w:szCs w:val="24"/>
        </w:rPr>
      </w:pPr>
      <w:r>
        <w:rPr>
          <w:rFonts w:cstheme="minorHAnsi"/>
          <w:szCs w:val="24"/>
        </w:rPr>
        <w:t>MMR vydalo a spravuje</w:t>
      </w:r>
      <w:r w:rsidRPr="00343079">
        <w:rPr>
          <w:rFonts w:cstheme="minorHAnsi"/>
          <w:szCs w:val="24"/>
        </w:rPr>
        <w:t xml:space="preserve"> </w:t>
      </w:r>
      <w:r w:rsidR="00DD1A8C">
        <w:rPr>
          <w:rFonts w:cstheme="minorHAnsi"/>
          <w:szCs w:val="24"/>
        </w:rPr>
        <w:t>m</w:t>
      </w:r>
      <w:r w:rsidRPr="00DD1A8C">
        <w:rPr>
          <w:rFonts w:cstheme="minorHAnsi"/>
          <w:szCs w:val="24"/>
        </w:rPr>
        <w:t>etodik</w:t>
      </w:r>
      <w:r w:rsidR="00B41FFF" w:rsidRPr="00DD1A8C">
        <w:rPr>
          <w:rFonts w:cstheme="minorHAnsi"/>
          <w:szCs w:val="24"/>
        </w:rPr>
        <w:t>u</w:t>
      </w:r>
      <w:r w:rsidRPr="00DD1A8C">
        <w:rPr>
          <w:rFonts w:cstheme="minorHAnsi"/>
          <w:szCs w:val="24"/>
        </w:rPr>
        <w:t xml:space="preserve"> vyčíslování</w:t>
      </w:r>
      <w:r w:rsidRPr="00701836">
        <w:rPr>
          <w:rFonts w:cstheme="minorHAnsi"/>
          <w:i/>
          <w:szCs w:val="24"/>
        </w:rPr>
        <w:t xml:space="preserve"> </w:t>
      </w:r>
      <w:r w:rsidRPr="00701836">
        <w:rPr>
          <w:rFonts w:cstheme="minorHAnsi"/>
          <w:szCs w:val="24"/>
        </w:rPr>
        <w:t>úspor dosažených v</w:t>
      </w:r>
      <w:r w:rsidR="00963B01" w:rsidRPr="00701836">
        <w:rPr>
          <w:rFonts w:cstheme="minorHAnsi"/>
          <w:szCs w:val="24"/>
        </w:rPr>
        <w:t xml:space="preserve"> </w:t>
      </w:r>
      <w:r w:rsidRPr="00701836">
        <w:rPr>
          <w:rFonts w:cstheme="minorHAnsi"/>
          <w:szCs w:val="24"/>
        </w:rPr>
        <w:t>rámci resortního systému centralizovaného zadávání</w:t>
      </w:r>
      <w:r w:rsidRPr="00701836">
        <w:rPr>
          <w:rStyle w:val="Znakapoznpodarou"/>
          <w:rFonts w:cstheme="minorHAnsi"/>
          <w:szCs w:val="24"/>
        </w:rPr>
        <w:footnoteReference w:id="33"/>
      </w:r>
      <w:r>
        <w:rPr>
          <w:rFonts w:cstheme="minorHAnsi"/>
          <w:szCs w:val="24"/>
        </w:rPr>
        <w:t xml:space="preserve"> (dále též „Metodika“)</w:t>
      </w:r>
      <w:r w:rsidR="00C02EBB">
        <w:rPr>
          <w:rFonts w:cstheme="minorHAnsi"/>
          <w:szCs w:val="24"/>
        </w:rPr>
        <w:t xml:space="preserve">, </w:t>
      </w:r>
      <w:r w:rsidR="00B41FFF">
        <w:rPr>
          <w:rFonts w:cstheme="minorHAnsi"/>
          <w:szCs w:val="24"/>
        </w:rPr>
        <w:t xml:space="preserve">rovněž </w:t>
      </w:r>
      <w:r w:rsidR="00624192">
        <w:rPr>
          <w:rFonts w:cstheme="minorHAnsi"/>
          <w:szCs w:val="24"/>
        </w:rPr>
        <w:t xml:space="preserve">vypracovanou </w:t>
      </w:r>
      <w:r>
        <w:rPr>
          <w:rFonts w:cstheme="minorHAnsi"/>
          <w:szCs w:val="24"/>
        </w:rPr>
        <w:t>externí</w:t>
      </w:r>
      <w:r w:rsidR="00624192">
        <w:rPr>
          <w:rFonts w:cstheme="minorHAnsi"/>
          <w:szCs w:val="24"/>
        </w:rPr>
        <w:t>m</w:t>
      </w:r>
      <w:r>
        <w:rPr>
          <w:rFonts w:cstheme="minorHAnsi"/>
          <w:szCs w:val="24"/>
        </w:rPr>
        <w:t xml:space="preserve"> dodavatel</w:t>
      </w:r>
      <w:r w:rsidR="00624192">
        <w:rPr>
          <w:rFonts w:cstheme="minorHAnsi"/>
          <w:szCs w:val="24"/>
        </w:rPr>
        <w:t>em</w:t>
      </w:r>
      <w:r>
        <w:rPr>
          <w:rFonts w:cstheme="minorHAnsi"/>
          <w:szCs w:val="24"/>
        </w:rPr>
        <w:t xml:space="preserve">. </w:t>
      </w:r>
      <w:r>
        <w:rPr>
          <w:szCs w:val="24"/>
        </w:rPr>
        <w:t>Metodika</w:t>
      </w:r>
      <w:r w:rsidRPr="00343079">
        <w:rPr>
          <w:szCs w:val="24"/>
        </w:rPr>
        <w:t xml:space="preserve"> </w:t>
      </w:r>
      <w:r>
        <w:rPr>
          <w:szCs w:val="24"/>
        </w:rPr>
        <w:t>stanovuje</w:t>
      </w:r>
      <w:r w:rsidRPr="00343079">
        <w:rPr>
          <w:szCs w:val="24"/>
        </w:rPr>
        <w:t xml:space="preserve"> tři typové metody výpočtu úspor, a to metodu historického srovnání cen, metodu spotřebního koše a metodu benchmarkových cen. </w:t>
      </w:r>
      <w:r w:rsidR="00096865">
        <w:rPr>
          <w:szCs w:val="24"/>
        </w:rPr>
        <w:t>Metodika nezohledňuje podmínky nakupovaných komodit (např. záruka stanovená nad zákonnou dobu nebo započtení služby dodání zboží do</w:t>
      </w:r>
      <w:r w:rsidR="00963B01">
        <w:rPr>
          <w:szCs w:val="24"/>
        </w:rPr>
        <w:t xml:space="preserve"> </w:t>
      </w:r>
      <w:r w:rsidR="00096865">
        <w:rPr>
          <w:szCs w:val="24"/>
        </w:rPr>
        <w:t xml:space="preserve">pořizovací ceny). </w:t>
      </w:r>
      <w:r w:rsidR="00096865">
        <w:t>MV v</w:t>
      </w:r>
      <w:r w:rsidR="00963B01">
        <w:t xml:space="preserve"> </w:t>
      </w:r>
      <w:r w:rsidR="00096865">
        <w:t xml:space="preserve">ročních zprávách o hodnocení svého RS CZ </w:t>
      </w:r>
      <w:r w:rsidR="00096865" w:rsidRPr="00343079">
        <w:t>upozorňovalo na</w:t>
      </w:r>
      <w:r w:rsidR="00963B01">
        <w:t xml:space="preserve"> </w:t>
      </w:r>
      <w:r w:rsidR="00096865" w:rsidRPr="00343079">
        <w:t xml:space="preserve">nevhodnost nastavení metod výpočtu úspor, </w:t>
      </w:r>
      <w:r w:rsidR="00096865">
        <w:t>neboť ty nereflektují</w:t>
      </w:r>
      <w:r w:rsidR="00096865" w:rsidRPr="00343079">
        <w:t xml:space="preserve"> </w:t>
      </w:r>
      <w:r w:rsidR="00096865">
        <w:t>specifika</w:t>
      </w:r>
      <w:r w:rsidR="00096865" w:rsidRPr="00343079">
        <w:t xml:space="preserve"> </w:t>
      </w:r>
      <w:r w:rsidR="00096865">
        <w:t xml:space="preserve">jednotlivých </w:t>
      </w:r>
      <w:r w:rsidR="00096865" w:rsidRPr="00343079">
        <w:t>veřejných zakázek zadávaných v</w:t>
      </w:r>
      <w:r w:rsidR="00963B01">
        <w:t xml:space="preserve"> </w:t>
      </w:r>
      <w:r w:rsidR="00096865" w:rsidRPr="00343079">
        <w:t>rámci RS</w:t>
      </w:r>
      <w:r w:rsidR="005F1A1D">
        <w:t> </w:t>
      </w:r>
      <w:r w:rsidR="00096865" w:rsidRPr="00343079">
        <w:t xml:space="preserve">CZ </w:t>
      </w:r>
      <w:r w:rsidR="00096865">
        <w:t>a neumožňují</w:t>
      </w:r>
      <w:r w:rsidR="00096865" w:rsidRPr="00343079">
        <w:t xml:space="preserve"> faktickou kvantifikaci dosažených úspor, a</w:t>
      </w:r>
      <w:r w:rsidR="00551A60">
        <w:t> </w:t>
      </w:r>
      <w:r w:rsidR="00096865" w:rsidRPr="00343079">
        <w:t>navrhovalo změny metodiky výpočtu úspor a</w:t>
      </w:r>
      <w:r w:rsidR="00963B01">
        <w:t xml:space="preserve"> </w:t>
      </w:r>
      <w:r w:rsidR="00096865" w:rsidRPr="00343079">
        <w:t>využití NEN</w:t>
      </w:r>
      <w:r w:rsidR="00096865">
        <w:t xml:space="preserve"> jako nástroje pro automatické vyčíslování úspor</w:t>
      </w:r>
      <w:r w:rsidR="00096865" w:rsidRPr="00343079">
        <w:t>.</w:t>
      </w:r>
      <w:r w:rsidR="00096865">
        <w:t xml:space="preserve"> </w:t>
      </w:r>
    </w:p>
    <w:p w14:paraId="01186BF2" w14:textId="7ADF1E65" w:rsidR="00F10B29" w:rsidRPr="00F10B29" w:rsidRDefault="00915246" w:rsidP="00F10B29">
      <w:pPr>
        <w:rPr>
          <w:bCs/>
        </w:rPr>
      </w:pPr>
      <w:r>
        <w:rPr>
          <w:bCs/>
        </w:rPr>
        <w:t xml:space="preserve">Rovněž </w:t>
      </w:r>
      <w:r w:rsidR="004C358F">
        <w:rPr>
          <w:bCs/>
        </w:rPr>
        <w:t xml:space="preserve">i </w:t>
      </w:r>
      <w:r w:rsidR="004029F7">
        <w:rPr>
          <w:bCs/>
        </w:rPr>
        <w:t>v</w:t>
      </w:r>
      <w:r w:rsidR="00963B01">
        <w:rPr>
          <w:bCs/>
        </w:rPr>
        <w:t xml:space="preserve"> </w:t>
      </w:r>
      <w:r w:rsidR="004029F7">
        <w:rPr>
          <w:bCs/>
        </w:rPr>
        <w:t>dotazníkovém šetření</w:t>
      </w:r>
      <w:r w:rsidR="004C358F" w:rsidRPr="004C358F">
        <w:rPr>
          <w:bCs/>
        </w:rPr>
        <w:t xml:space="preserve"> </w:t>
      </w:r>
      <w:r w:rsidR="004C358F">
        <w:rPr>
          <w:bCs/>
        </w:rPr>
        <w:t>centrální zadavatelé</w:t>
      </w:r>
      <w:r w:rsidR="00F10B29">
        <w:rPr>
          <w:bCs/>
        </w:rPr>
        <w:t xml:space="preserve"> uvedli</w:t>
      </w:r>
      <w:r w:rsidR="00F10B29" w:rsidRPr="00343079">
        <w:rPr>
          <w:bCs/>
        </w:rPr>
        <w:t>, že metodika</w:t>
      </w:r>
      <w:r w:rsidR="00551A60">
        <w:rPr>
          <w:bCs/>
        </w:rPr>
        <w:t xml:space="preserve"> výpočtu úspor</w:t>
      </w:r>
      <w:r w:rsidR="00F10B29" w:rsidRPr="00343079">
        <w:rPr>
          <w:bCs/>
        </w:rPr>
        <w:t xml:space="preserve"> je zastaralá, složitá a hodnocení by nemělo být zaměřeno na úspory, ale spíše na kvalitu, sdílení zkušeností, standardizaci komodit, zvyšování odbornosti relevantních zaměstnanců a</w:t>
      </w:r>
      <w:r w:rsidR="00551A60">
        <w:rPr>
          <w:bCs/>
        </w:rPr>
        <w:t> </w:t>
      </w:r>
      <w:r w:rsidR="00551A60" w:rsidRPr="00343079">
        <w:rPr>
          <w:bCs/>
        </w:rPr>
        <w:t>„</w:t>
      </w:r>
      <w:r w:rsidR="00F10B29" w:rsidRPr="00343079">
        <w:rPr>
          <w:bCs/>
        </w:rPr>
        <w:t>administrativní úspory“, resp. snížení administrativní zátěže a zefektivnění procesů</w:t>
      </w:r>
      <w:r w:rsidR="00F10B29">
        <w:rPr>
          <w:bCs/>
        </w:rPr>
        <w:t>.</w:t>
      </w:r>
    </w:p>
    <w:p w14:paraId="20F1E1B5" w14:textId="77777777" w:rsidR="002E4C66" w:rsidRPr="00343079" w:rsidRDefault="00CE6AA4" w:rsidP="002E4C66">
      <w:pPr>
        <w:pStyle w:val="Nadpis3"/>
      </w:pPr>
      <w:r>
        <w:t>Vyčíslení realizovaných úspor</w:t>
      </w:r>
    </w:p>
    <w:p w14:paraId="7A6C9878" w14:textId="5C9DF004" w:rsidR="00921C03" w:rsidRDefault="00A15A54" w:rsidP="00921C0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Jedním </w:t>
      </w:r>
      <w:r w:rsidR="0011451D">
        <w:rPr>
          <w:rFonts w:cstheme="minorHAnsi"/>
          <w:szCs w:val="24"/>
        </w:rPr>
        <w:t xml:space="preserve">z </w:t>
      </w:r>
      <w:r w:rsidR="00EA4CF9">
        <w:rPr>
          <w:rFonts w:cstheme="minorHAnsi"/>
          <w:szCs w:val="24"/>
        </w:rPr>
        <w:t>předpokládaných</w:t>
      </w:r>
      <w:r>
        <w:rPr>
          <w:rFonts w:cstheme="minorHAnsi"/>
          <w:szCs w:val="24"/>
        </w:rPr>
        <w:t xml:space="preserve"> přínosů</w:t>
      </w:r>
      <w:r w:rsidR="0091524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zavedení centralizovaného zadávání jsou</w:t>
      </w:r>
      <w:r w:rsidR="004D5987">
        <w:rPr>
          <w:rFonts w:cstheme="minorHAnsi"/>
          <w:szCs w:val="24"/>
        </w:rPr>
        <w:t xml:space="preserve"> finanční</w:t>
      </w:r>
      <w:r>
        <w:rPr>
          <w:rFonts w:cstheme="minorHAnsi"/>
          <w:szCs w:val="24"/>
        </w:rPr>
        <w:t xml:space="preserve"> úspory</w:t>
      </w:r>
      <w:r w:rsidR="004D5987">
        <w:rPr>
          <w:rFonts w:cstheme="minorHAnsi"/>
          <w:szCs w:val="24"/>
        </w:rPr>
        <w:t>.</w:t>
      </w:r>
      <w:r>
        <w:rPr>
          <w:rFonts w:cstheme="minorHAnsi"/>
          <w:szCs w:val="24"/>
        </w:rPr>
        <w:t xml:space="preserve"> </w:t>
      </w:r>
      <w:r w:rsidR="004D5987">
        <w:rPr>
          <w:rFonts w:cstheme="minorHAnsi"/>
          <w:szCs w:val="24"/>
        </w:rPr>
        <w:t>MMR v</w:t>
      </w:r>
      <w:r w:rsidR="00963B01">
        <w:rPr>
          <w:rFonts w:cstheme="minorHAnsi"/>
          <w:szCs w:val="24"/>
        </w:rPr>
        <w:t xml:space="preserve"> </w:t>
      </w:r>
      <w:r w:rsidR="005B1BAB">
        <w:rPr>
          <w:rFonts w:cstheme="minorHAnsi"/>
          <w:szCs w:val="24"/>
        </w:rPr>
        <w:t>souvislosti se zaváděním RS</w:t>
      </w:r>
      <w:r w:rsidR="00963B01">
        <w:rPr>
          <w:rFonts w:cstheme="minorHAnsi"/>
          <w:szCs w:val="24"/>
        </w:rPr>
        <w:t xml:space="preserve"> </w:t>
      </w:r>
      <w:r w:rsidR="005B1BAB">
        <w:rPr>
          <w:rFonts w:cstheme="minorHAnsi"/>
          <w:szCs w:val="24"/>
        </w:rPr>
        <w:t>CZ</w:t>
      </w:r>
      <w:r w:rsidR="00921C03" w:rsidRPr="00343079">
        <w:rPr>
          <w:rFonts w:cstheme="minorHAnsi"/>
          <w:szCs w:val="24"/>
        </w:rPr>
        <w:t xml:space="preserve"> </w:t>
      </w:r>
      <w:r w:rsidR="004D5987">
        <w:rPr>
          <w:rFonts w:cstheme="minorHAnsi"/>
          <w:szCs w:val="24"/>
        </w:rPr>
        <w:t xml:space="preserve">odhadovalo, </w:t>
      </w:r>
      <w:r w:rsidR="00DD1459">
        <w:rPr>
          <w:rFonts w:cstheme="minorHAnsi"/>
          <w:szCs w:val="24"/>
        </w:rPr>
        <w:t xml:space="preserve">že </w:t>
      </w:r>
      <w:r w:rsidR="0087464E">
        <w:rPr>
          <w:rFonts w:cstheme="minorHAnsi"/>
          <w:szCs w:val="24"/>
        </w:rPr>
        <w:t>prostřednictvím RS</w:t>
      </w:r>
      <w:r w:rsidR="00963B01">
        <w:rPr>
          <w:rFonts w:cstheme="minorHAnsi"/>
          <w:szCs w:val="24"/>
        </w:rPr>
        <w:t xml:space="preserve"> </w:t>
      </w:r>
      <w:r w:rsidR="0087464E">
        <w:rPr>
          <w:rFonts w:cstheme="minorHAnsi"/>
          <w:szCs w:val="24"/>
        </w:rPr>
        <w:t xml:space="preserve">CZ budou pořizovány komodity o </w:t>
      </w:r>
      <w:r w:rsidR="0087464E" w:rsidRPr="004C768D">
        <w:rPr>
          <w:rFonts w:cstheme="minorHAnsi"/>
          <w:szCs w:val="24"/>
        </w:rPr>
        <w:t>ročním</w:t>
      </w:r>
      <w:r w:rsidR="0087464E">
        <w:rPr>
          <w:rFonts w:cstheme="minorHAnsi"/>
          <w:szCs w:val="24"/>
        </w:rPr>
        <w:t xml:space="preserve"> objemu 45,22 mld. Kč</w:t>
      </w:r>
      <w:r w:rsidR="0083150B">
        <w:rPr>
          <w:rStyle w:val="Znakapoznpodarou"/>
          <w:rFonts w:cstheme="minorHAnsi"/>
          <w:szCs w:val="24"/>
        </w:rPr>
        <w:footnoteReference w:id="34"/>
      </w:r>
      <w:r w:rsidR="0087464E">
        <w:rPr>
          <w:rFonts w:cstheme="minorHAnsi"/>
          <w:szCs w:val="24"/>
        </w:rPr>
        <w:t xml:space="preserve"> a </w:t>
      </w:r>
      <w:r w:rsidR="004D5987">
        <w:rPr>
          <w:rFonts w:cstheme="minorHAnsi"/>
          <w:szCs w:val="24"/>
        </w:rPr>
        <w:t xml:space="preserve">že </w:t>
      </w:r>
      <w:r w:rsidR="00921C03" w:rsidRPr="00343079">
        <w:rPr>
          <w:rFonts w:cstheme="minorHAnsi"/>
          <w:szCs w:val="24"/>
        </w:rPr>
        <w:t>úspory</w:t>
      </w:r>
      <w:r w:rsidR="004C768D" w:rsidRPr="00343079">
        <w:rPr>
          <w:rFonts w:cstheme="minorHAnsi"/>
          <w:szCs w:val="24"/>
        </w:rPr>
        <w:t xml:space="preserve"> </w:t>
      </w:r>
      <w:r w:rsidR="00921C03" w:rsidRPr="00343079">
        <w:rPr>
          <w:rFonts w:cstheme="minorHAnsi"/>
          <w:szCs w:val="24"/>
        </w:rPr>
        <w:t>z</w:t>
      </w:r>
      <w:r w:rsidR="00963B01">
        <w:rPr>
          <w:rFonts w:cstheme="minorHAnsi"/>
          <w:szCs w:val="24"/>
        </w:rPr>
        <w:t xml:space="preserve"> </w:t>
      </w:r>
      <w:r w:rsidR="004C768D">
        <w:rPr>
          <w:rFonts w:cstheme="minorHAnsi"/>
          <w:szCs w:val="24"/>
        </w:rPr>
        <w:t xml:space="preserve">takto </w:t>
      </w:r>
      <w:r w:rsidR="00921C03" w:rsidRPr="00343079">
        <w:rPr>
          <w:rFonts w:cstheme="minorHAnsi"/>
          <w:szCs w:val="24"/>
        </w:rPr>
        <w:t xml:space="preserve">nakupovaných komodit </w:t>
      </w:r>
      <w:r w:rsidR="004D5987">
        <w:rPr>
          <w:rFonts w:cstheme="minorHAnsi"/>
          <w:szCs w:val="24"/>
        </w:rPr>
        <w:t xml:space="preserve">budou </w:t>
      </w:r>
      <w:r w:rsidR="005B1BAB">
        <w:rPr>
          <w:rFonts w:cstheme="minorHAnsi"/>
          <w:szCs w:val="24"/>
        </w:rPr>
        <w:t>dosahovat výše</w:t>
      </w:r>
      <w:r w:rsidR="00921C03" w:rsidRPr="00343079">
        <w:rPr>
          <w:rFonts w:cstheme="minorHAnsi"/>
          <w:szCs w:val="24"/>
        </w:rPr>
        <w:t xml:space="preserve"> 6,8 mld. Kč</w:t>
      </w:r>
      <w:r w:rsidR="002A11F6">
        <w:rPr>
          <w:rFonts w:cstheme="minorHAnsi"/>
          <w:szCs w:val="24"/>
        </w:rPr>
        <w:t>.</w:t>
      </w:r>
    </w:p>
    <w:p w14:paraId="33223662" w14:textId="77777777" w:rsidR="00921C03" w:rsidRDefault="00C40EA9" w:rsidP="00921C03">
      <w:pPr>
        <w:rPr>
          <w:rFonts w:cstheme="minorHAnsi"/>
          <w:szCs w:val="24"/>
        </w:rPr>
      </w:pPr>
      <w:r>
        <w:rPr>
          <w:rFonts w:cstheme="minorHAnsi"/>
          <w:szCs w:val="24"/>
        </w:rPr>
        <w:t>Ú</w:t>
      </w:r>
      <w:r w:rsidRPr="00343079">
        <w:rPr>
          <w:rFonts w:cstheme="minorHAnsi"/>
          <w:szCs w:val="24"/>
        </w:rPr>
        <w:t>spory</w:t>
      </w:r>
      <w:r>
        <w:rPr>
          <w:rFonts w:cstheme="minorHAnsi"/>
          <w:szCs w:val="24"/>
        </w:rPr>
        <w:t xml:space="preserve"> realizované prostřednictvím RS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CZ</w:t>
      </w:r>
      <w:r w:rsidRPr="0034307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každoročně </w:t>
      </w:r>
      <w:r w:rsidR="002A11F6">
        <w:rPr>
          <w:rFonts w:cstheme="minorHAnsi"/>
          <w:szCs w:val="24"/>
        </w:rPr>
        <w:t xml:space="preserve">vyčíslují </w:t>
      </w:r>
      <w:r w:rsidR="00AE1859">
        <w:rPr>
          <w:rFonts w:cstheme="minorHAnsi"/>
          <w:szCs w:val="24"/>
        </w:rPr>
        <w:t xml:space="preserve">ÚOSS </w:t>
      </w:r>
      <w:r>
        <w:rPr>
          <w:rFonts w:cstheme="minorHAnsi"/>
          <w:szCs w:val="24"/>
        </w:rPr>
        <w:t>na</w:t>
      </w:r>
      <w:r w:rsidRPr="00343079">
        <w:rPr>
          <w:rFonts w:cstheme="minorHAnsi"/>
          <w:szCs w:val="24"/>
        </w:rPr>
        <w:t xml:space="preserve"> základě </w:t>
      </w:r>
      <w:r>
        <w:rPr>
          <w:rFonts w:cstheme="minorHAnsi"/>
          <w:szCs w:val="24"/>
        </w:rPr>
        <w:t xml:space="preserve">metodiky výpočtu úspor. </w:t>
      </w:r>
      <w:r w:rsidR="00125169">
        <w:rPr>
          <w:rFonts w:cstheme="minorHAnsi"/>
          <w:szCs w:val="24"/>
        </w:rPr>
        <w:t xml:space="preserve">Takto vyčíslené úspory </w:t>
      </w:r>
      <w:r w:rsidR="002D5D26">
        <w:rPr>
          <w:rFonts w:cstheme="minorHAnsi"/>
          <w:szCs w:val="24"/>
        </w:rPr>
        <w:t xml:space="preserve">jsou </w:t>
      </w:r>
      <w:r w:rsidR="005B1BAB">
        <w:rPr>
          <w:rFonts w:cstheme="minorHAnsi"/>
          <w:szCs w:val="24"/>
        </w:rPr>
        <w:t xml:space="preserve">následně </w:t>
      </w:r>
      <w:r w:rsidR="00921C03" w:rsidRPr="00343079">
        <w:rPr>
          <w:rFonts w:cstheme="minorHAnsi"/>
          <w:szCs w:val="24"/>
        </w:rPr>
        <w:t xml:space="preserve">podkladem pro zpracování celkové </w:t>
      </w:r>
      <w:r w:rsidR="00A946F8">
        <w:rPr>
          <w:rFonts w:cstheme="minorHAnsi"/>
          <w:szCs w:val="24"/>
        </w:rPr>
        <w:t>z</w:t>
      </w:r>
      <w:r w:rsidR="00921C03" w:rsidRPr="00A946F8">
        <w:rPr>
          <w:rFonts w:cstheme="minorHAnsi"/>
          <w:szCs w:val="24"/>
        </w:rPr>
        <w:t xml:space="preserve">právy o hodnocení </w:t>
      </w:r>
      <w:r w:rsidR="003832EE" w:rsidRPr="00A946F8">
        <w:rPr>
          <w:rFonts w:cstheme="minorHAnsi"/>
          <w:szCs w:val="24"/>
        </w:rPr>
        <w:t xml:space="preserve">všech zavedených </w:t>
      </w:r>
      <w:r w:rsidR="00A946F8" w:rsidRPr="00A946F8">
        <w:rPr>
          <w:rFonts w:cstheme="minorHAnsi"/>
          <w:szCs w:val="24"/>
        </w:rPr>
        <w:t>RS CZ</w:t>
      </w:r>
      <w:r w:rsidR="00921C03" w:rsidRPr="00343079">
        <w:rPr>
          <w:rFonts w:cstheme="minorHAnsi"/>
          <w:szCs w:val="24"/>
        </w:rPr>
        <w:t xml:space="preserve"> </w:t>
      </w:r>
      <w:r w:rsidR="00A946F8">
        <w:rPr>
          <w:rFonts w:cstheme="minorHAnsi"/>
          <w:szCs w:val="24"/>
        </w:rPr>
        <w:t xml:space="preserve">a CNS </w:t>
      </w:r>
      <w:r w:rsidR="00921C03" w:rsidRPr="00343079">
        <w:rPr>
          <w:rFonts w:cstheme="minorHAnsi"/>
          <w:szCs w:val="24"/>
        </w:rPr>
        <w:t>za</w:t>
      </w:r>
      <w:r w:rsidR="00963B01">
        <w:rPr>
          <w:rFonts w:cstheme="minorHAnsi"/>
          <w:szCs w:val="24"/>
        </w:rPr>
        <w:t xml:space="preserve"> </w:t>
      </w:r>
      <w:r w:rsidR="00921C03" w:rsidRPr="00343079">
        <w:rPr>
          <w:rFonts w:cstheme="minorHAnsi"/>
          <w:szCs w:val="24"/>
        </w:rPr>
        <w:t>příslušný rok.</w:t>
      </w:r>
    </w:p>
    <w:p w14:paraId="428D165B" w14:textId="530725D8" w:rsidR="00750BFE" w:rsidRDefault="00750BFE" w:rsidP="00921C03">
      <w:pPr>
        <w:rPr>
          <w:rFonts w:cstheme="minorHAnsi"/>
          <w:szCs w:val="24"/>
        </w:rPr>
      </w:pPr>
      <w:r w:rsidRPr="00BD5DC6">
        <w:t>Nevhodné nastavení způsobu výpočtu úspor způsobilo, že</w:t>
      </w:r>
      <w:r>
        <w:t xml:space="preserve"> </w:t>
      </w:r>
      <w:r w:rsidRPr="00BD5DC6">
        <w:t>kvantifikované úspory nemají z</w:t>
      </w:r>
      <w:r w:rsidR="001E5911">
        <w:t> </w:t>
      </w:r>
      <w:r w:rsidRPr="00BD5DC6">
        <w:t>hlediska přínosu centralizovaného zadávání</w:t>
      </w:r>
      <w:r w:rsidR="004311CC" w:rsidRPr="004311CC">
        <w:t xml:space="preserve"> </w:t>
      </w:r>
      <w:r w:rsidR="004311CC" w:rsidRPr="00BD5DC6">
        <w:t>vypovídací hodnotu</w:t>
      </w:r>
      <w:r w:rsidRPr="00BD5DC6">
        <w:t>. Jiné přínosy, které m</w:t>
      </w:r>
      <w:r w:rsidR="00551A60">
        <w:t>ají</w:t>
      </w:r>
      <w:r w:rsidRPr="00BD5DC6">
        <w:t xml:space="preserve"> </w:t>
      </w:r>
      <w:r w:rsidR="00551A60">
        <w:t>z </w:t>
      </w:r>
      <w:r w:rsidRPr="00BD5DC6">
        <w:t>centralizované</w:t>
      </w:r>
      <w:r w:rsidR="00551A60">
        <w:t>ho</w:t>
      </w:r>
      <w:r w:rsidRPr="00BD5DC6">
        <w:t xml:space="preserve"> zadávání </w:t>
      </w:r>
      <w:r w:rsidR="00551A60">
        <w:t>vyplynout</w:t>
      </w:r>
      <w:r w:rsidRPr="00BD5DC6">
        <w:t xml:space="preserve">, jako </w:t>
      </w:r>
      <w:r w:rsidR="00551A60">
        <w:t xml:space="preserve">je </w:t>
      </w:r>
      <w:r w:rsidRPr="00BD5DC6">
        <w:t>např.</w:t>
      </w:r>
      <w:r>
        <w:t xml:space="preserve"> </w:t>
      </w:r>
      <w:r w:rsidRPr="00BD5DC6">
        <w:t>snížení administrativní zátěže či zefektivnění nákupních procesů, nejsou ve zprávách hodnoceny.</w:t>
      </w:r>
    </w:p>
    <w:p w14:paraId="399F8936" w14:textId="2A7954D6" w:rsidR="005340CB" w:rsidRDefault="00921C03" w:rsidP="00921C03">
      <w:pPr>
        <w:rPr>
          <w:rFonts w:cstheme="minorHAnsi"/>
          <w:szCs w:val="24"/>
        </w:rPr>
      </w:pPr>
      <w:r w:rsidRPr="00343079">
        <w:rPr>
          <w:rFonts w:cstheme="minorHAnsi"/>
          <w:szCs w:val="24"/>
        </w:rPr>
        <w:t xml:space="preserve">Ve </w:t>
      </w:r>
      <w:r w:rsidR="00A946F8" w:rsidRPr="00A946F8">
        <w:rPr>
          <w:rFonts w:cstheme="minorHAnsi"/>
          <w:szCs w:val="24"/>
        </w:rPr>
        <w:t>z</w:t>
      </w:r>
      <w:r w:rsidRPr="00A946F8">
        <w:rPr>
          <w:rFonts w:cstheme="minorHAnsi"/>
          <w:szCs w:val="24"/>
        </w:rPr>
        <w:t xml:space="preserve">právě o hodnocení </w:t>
      </w:r>
      <w:r w:rsidR="00EC0E03">
        <w:rPr>
          <w:rFonts w:cstheme="minorHAnsi"/>
          <w:szCs w:val="24"/>
        </w:rPr>
        <w:t xml:space="preserve">za rok </w:t>
      </w:r>
      <w:r w:rsidRPr="00A946F8">
        <w:rPr>
          <w:rFonts w:cstheme="minorHAnsi"/>
          <w:szCs w:val="24"/>
        </w:rPr>
        <w:t>2016</w:t>
      </w:r>
      <w:r w:rsidRPr="00343079">
        <w:rPr>
          <w:rFonts w:cstheme="minorHAnsi"/>
          <w:szCs w:val="24"/>
        </w:rPr>
        <w:t xml:space="preserve"> </w:t>
      </w:r>
      <w:r w:rsidR="00C40EA9">
        <w:rPr>
          <w:rFonts w:cstheme="minorHAnsi"/>
          <w:szCs w:val="24"/>
        </w:rPr>
        <w:t xml:space="preserve">byly úspory </w:t>
      </w:r>
      <w:r w:rsidR="006814C2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="006814C2">
        <w:rPr>
          <w:rFonts w:cstheme="minorHAnsi"/>
          <w:szCs w:val="24"/>
        </w:rPr>
        <w:t>RS</w:t>
      </w:r>
      <w:r w:rsidR="00963B01">
        <w:rPr>
          <w:rFonts w:cstheme="minorHAnsi"/>
          <w:szCs w:val="24"/>
        </w:rPr>
        <w:t xml:space="preserve"> </w:t>
      </w:r>
      <w:r w:rsidRPr="00343079">
        <w:rPr>
          <w:rFonts w:cstheme="minorHAnsi"/>
          <w:szCs w:val="24"/>
        </w:rPr>
        <w:t xml:space="preserve">CZ </w:t>
      </w:r>
      <w:r w:rsidR="005B1BAB">
        <w:rPr>
          <w:rFonts w:cstheme="minorHAnsi"/>
          <w:szCs w:val="24"/>
        </w:rPr>
        <w:t>vyčíslen</w:t>
      </w:r>
      <w:r w:rsidR="00C40EA9">
        <w:rPr>
          <w:rFonts w:cstheme="minorHAnsi"/>
          <w:szCs w:val="24"/>
        </w:rPr>
        <w:t>y</w:t>
      </w:r>
      <w:r w:rsidRPr="00343079" w:rsidDel="00C40EA9">
        <w:rPr>
          <w:rFonts w:cstheme="minorHAnsi"/>
          <w:szCs w:val="24"/>
        </w:rPr>
        <w:t xml:space="preserve"> </w:t>
      </w:r>
      <w:r w:rsidR="005B1BAB">
        <w:rPr>
          <w:rFonts w:cstheme="minorHAnsi"/>
          <w:szCs w:val="24"/>
        </w:rPr>
        <w:t xml:space="preserve">ve výši </w:t>
      </w:r>
      <w:r w:rsidRPr="00343079">
        <w:rPr>
          <w:rFonts w:cstheme="minorHAnsi"/>
          <w:szCs w:val="24"/>
        </w:rPr>
        <w:t>846,3 mil. Kč</w:t>
      </w:r>
      <w:r w:rsidR="002E0586">
        <w:rPr>
          <w:rFonts w:cstheme="minorHAnsi"/>
          <w:szCs w:val="24"/>
        </w:rPr>
        <w:t>, tj. 16 % z celkového objemu VZ</w:t>
      </w:r>
      <w:r w:rsidRPr="00343079">
        <w:rPr>
          <w:rFonts w:cstheme="minorHAnsi"/>
          <w:szCs w:val="24"/>
        </w:rPr>
        <w:t xml:space="preserve">. </w:t>
      </w:r>
      <w:r w:rsidR="005340CB">
        <w:rPr>
          <w:rFonts w:cstheme="minorHAnsi"/>
          <w:szCs w:val="24"/>
        </w:rPr>
        <w:t>Z</w:t>
      </w:r>
      <w:r w:rsidR="00963B01">
        <w:rPr>
          <w:rFonts w:cstheme="minorHAnsi"/>
          <w:szCs w:val="24"/>
        </w:rPr>
        <w:t xml:space="preserve"> </w:t>
      </w:r>
      <w:r w:rsidR="005340CB">
        <w:rPr>
          <w:rFonts w:cstheme="minorHAnsi"/>
          <w:szCs w:val="24"/>
        </w:rPr>
        <w:t>toho téměř polovina úspor připad</w:t>
      </w:r>
      <w:r w:rsidR="00A5113C">
        <w:rPr>
          <w:rFonts w:cstheme="minorHAnsi"/>
          <w:szCs w:val="24"/>
        </w:rPr>
        <w:t>a</w:t>
      </w:r>
      <w:r w:rsidR="005340CB">
        <w:rPr>
          <w:rFonts w:cstheme="minorHAnsi"/>
          <w:szCs w:val="24"/>
        </w:rPr>
        <w:t xml:space="preserve">la na </w:t>
      </w:r>
      <w:r w:rsidR="00093888">
        <w:rPr>
          <w:rFonts w:cstheme="minorHAnsi"/>
          <w:szCs w:val="24"/>
        </w:rPr>
        <w:t>MV</w:t>
      </w:r>
      <w:r w:rsidR="005340CB">
        <w:rPr>
          <w:rFonts w:cstheme="minorHAnsi"/>
          <w:szCs w:val="24"/>
        </w:rPr>
        <w:t xml:space="preserve">, </w:t>
      </w:r>
      <w:r w:rsidR="00C60FEA">
        <w:rPr>
          <w:rFonts w:cstheme="minorHAnsi"/>
          <w:szCs w:val="24"/>
        </w:rPr>
        <w:t xml:space="preserve">na </w:t>
      </w:r>
      <w:r w:rsidR="005340CB">
        <w:rPr>
          <w:rFonts w:cstheme="minorHAnsi"/>
          <w:szCs w:val="24"/>
        </w:rPr>
        <w:t xml:space="preserve">MF </w:t>
      </w:r>
      <w:r w:rsidR="00C60FEA">
        <w:rPr>
          <w:rFonts w:cstheme="minorHAnsi"/>
          <w:szCs w:val="24"/>
        </w:rPr>
        <w:t xml:space="preserve">pak úspory ve výši </w:t>
      </w:r>
      <w:r w:rsidR="005340CB">
        <w:rPr>
          <w:rFonts w:cstheme="minorHAnsi"/>
          <w:szCs w:val="24"/>
        </w:rPr>
        <w:t>14,8 mil Kč, tj. 2 % z</w:t>
      </w:r>
      <w:r w:rsidR="00963B01">
        <w:rPr>
          <w:rFonts w:cstheme="minorHAnsi"/>
          <w:szCs w:val="24"/>
        </w:rPr>
        <w:t xml:space="preserve"> </w:t>
      </w:r>
      <w:r w:rsidR="005340CB">
        <w:rPr>
          <w:rFonts w:cstheme="minorHAnsi"/>
          <w:szCs w:val="24"/>
        </w:rPr>
        <w:t>celkové výše úspor</w:t>
      </w:r>
      <w:r w:rsidR="00551A60">
        <w:rPr>
          <w:rFonts w:cstheme="minorHAnsi"/>
          <w:szCs w:val="24"/>
        </w:rPr>
        <w:t>,</w:t>
      </w:r>
      <w:r w:rsidR="005340CB">
        <w:rPr>
          <w:rFonts w:cstheme="minorHAnsi"/>
          <w:szCs w:val="24"/>
        </w:rPr>
        <w:t xml:space="preserve"> a MMR </w:t>
      </w:r>
      <w:r w:rsidR="00DC602F">
        <w:rPr>
          <w:rFonts w:cstheme="minorHAnsi"/>
          <w:szCs w:val="24"/>
        </w:rPr>
        <w:t xml:space="preserve">vyčíslilo úspory ve výši </w:t>
      </w:r>
      <w:r w:rsidR="005340CB">
        <w:rPr>
          <w:rFonts w:cstheme="minorHAnsi"/>
          <w:szCs w:val="24"/>
        </w:rPr>
        <w:t>pouze 0,4 mil. Kč, tj.</w:t>
      </w:r>
      <w:r w:rsidR="005340CB" w:rsidRPr="00343079">
        <w:rPr>
          <w:rFonts w:cstheme="minorHAnsi"/>
          <w:szCs w:val="24"/>
        </w:rPr>
        <w:t xml:space="preserve"> 0,05</w:t>
      </w:r>
      <w:r w:rsidR="00963B01">
        <w:rPr>
          <w:rFonts w:cstheme="minorHAnsi"/>
          <w:szCs w:val="24"/>
        </w:rPr>
        <w:t xml:space="preserve"> </w:t>
      </w:r>
      <w:r w:rsidR="005340CB" w:rsidRPr="00343079">
        <w:rPr>
          <w:rFonts w:cstheme="minorHAnsi"/>
          <w:szCs w:val="24"/>
        </w:rPr>
        <w:t>%</w:t>
      </w:r>
      <w:r w:rsidR="005340CB">
        <w:rPr>
          <w:rFonts w:cstheme="minorHAnsi"/>
          <w:szCs w:val="24"/>
        </w:rPr>
        <w:t xml:space="preserve"> z </w:t>
      </w:r>
      <w:r w:rsidR="00156BB1">
        <w:rPr>
          <w:rFonts w:cstheme="minorHAnsi"/>
          <w:szCs w:val="24"/>
        </w:rPr>
        <w:t xml:space="preserve">jejich </w:t>
      </w:r>
      <w:r w:rsidR="005340CB">
        <w:rPr>
          <w:rFonts w:cstheme="minorHAnsi"/>
          <w:szCs w:val="24"/>
        </w:rPr>
        <w:t>celkové výše</w:t>
      </w:r>
      <w:r w:rsidR="005340CB" w:rsidRPr="00343079">
        <w:rPr>
          <w:rFonts w:cstheme="minorHAnsi"/>
          <w:szCs w:val="24"/>
        </w:rPr>
        <w:t>.</w:t>
      </w:r>
      <w:r w:rsidR="00C40EA9">
        <w:rPr>
          <w:rFonts w:cstheme="minorHAnsi"/>
          <w:szCs w:val="24"/>
        </w:rPr>
        <w:t xml:space="preserve"> </w:t>
      </w:r>
      <w:r w:rsidR="005F1A1D">
        <w:t>Blíže viz tabulka č. 2</w:t>
      </w:r>
      <w:r w:rsidR="003E4404">
        <w:t>.</w:t>
      </w:r>
    </w:p>
    <w:p w14:paraId="7ED6F7B9" w14:textId="7BB77519" w:rsidR="00606081" w:rsidRDefault="003E4404" w:rsidP="00551A60">
      <w:pPr>
        <w:pStyle w:val="KPnormln"/>
        <w:keepNext/>
        <w:tabs>
          <w:tab w:val="right" w:pos="9072"/>
        </w:tabs>
        <w:spacing w:after="40"/>
        <w:rPr>
          <w:b/>
        </w:rPr>
      </w:pPr>
      <w:r w:rsidRPr="003E4404">
        <w:rPr>
          <w:b/>
        </w:rPr>
        <w:lastRenderedPageBreak/>
        <w:t xml:space="preserve">Tabulka č. </w:t>
      </w:r>
      <w:r w:rsidRPr="003E4404">
        <w:rPr>
          <w:b/>
        </w:rPr>
        <w:fldChar w:fldCharType="begin"/>
      </w:r>
      <w:r w:rsidRPr="003E4404">
        <w:rPr>
          <w:b/>
        </w:rPr>
        <w:instrText xml:space="preserve"> SEQ Tabulka_č. \* ARABIC </w:instrText>
      </w:r>
      <w:r w:rsidRPr="003E4404">
        <w:rPr>
          <w:b/>
        </w:rPr>
        <w:fldChar w:fldCharType="separate"/>
      </w:r>
      <w:r w:rsidR="000366B6">
        <w:rPr>
          <w:b/>
          <w:noProof/>
        </w:rPr>
        <w:t>2</w:t>
      </w:r>
      <w:r w:rsidRPr="003E4404">
        <w:rPr>
          <w:b/>
        </w:rPr>
        <w:fldChar w:fldCharType="end"/>
      </w:r>
      <w:r w:rsidRPr="003E4404">
        <w:rPr>
          <w:b/>
        </w:rPr>
        <w:t>: Vyčíslené úspory za povinné komodity v RS CZ dle resortů za rok 2016</w:t>
      </w:r>
    </w:p>
    <w:p w14:paraId="385FA287" w14:textId="0567EC0A" w:rsidR="003E4404" w:rsidRPr="003E4404" w:rsidRDefault="00551A60" w:rsidP="00551A60">
      <w:pPr>
        <w:pStyle w:val="KPnormln"/>
        <w:keepNext/>
        <w:tabs>
          <w:tab w:val="right" w:pos="9072"/>
        </w:tabs>
        <w:spacing w:after="40"/>
        <w:rPr>
          <w:b/>
        </w:rPr>
      </w:pPr>
      <w:r>
        <w:rPr>
          <w:b/>
        </w:rPr>
        <w:tab/>
        <w:t>(v mil. Kč)</w:t>
      </w:r>
    </w:p>
    <w:tbl>
      <w:tblPr>
        <w:tblW w:w="912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3175"/>
        <w:gridCol w:w="2154"/>
      </w:tblGrid>
      <w:tr w:rsidR="002F3778" w:rsidRPr="002450BD" w14:paraId="46E18F10" w14:textId="77777777" w:rsidTr="002F3778">
        <w:trPr>
          <w:trHeight w:val="227"/>
          <w:tblHeader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7EADA94" w14:textId="77777777" w:rsidR="00921C03" w:rsidRPr="002450BD" w:rsidRDefault="00921C03" w:rsidP="002F3778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Resort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17D028D3" w14:textId="40DA3D5C" w:rsidR="00921C03" w:rsidRPr="002450BD" w:rsidRDefault="00921C03" w:rsidP="00606081">
            <w:pPr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Objem plnění dle smlouvy </w:t>
            </w:r>
            <w:r w:rsidR="002450BD"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(bez ohledu na rok uzavření smlouvy)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27BADDF4" w14:textId="0F70B8EF" w:rsidR="00921C03" w:rsidRPr="002450BD" w:rsidRDefault="00921C03" w:rsidP="00606081">
            <w:pPr>
              <w:keepLines/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Objem </w:t>
            </w:r>
            <w:r w:rsidR="00F1181E"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vyčíslených </w:t>
            </w:r>
            <w:r w:rsidR="005F1A1D"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úspor</w:t>
            </w:r>
          </w:p>
        </w:tc>
      </w:tr>
      <w:tr w:rsidR="002F3778" w:rsidRPr="002450BD" w14:paraId="6D5575C8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635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4097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1 384,5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9274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421,0</w:t>
            </w:r>
          </w:p>
        </w:tc>
      </w:tr>
      <w:tr w:rsidR="002F3778" w:rsidRPr="002450BD" w14:paraId="6D65FC21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46D6D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9424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742,0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DCA2" w14:textId="2C53B931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140</w:t>
            </w:r>
            <w:r w:rsidR="006060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,0</w:t>
            </w:r>
          </w:p>
        </w:tc>
      </w:tr>
      <w:tr w:rsidR="002F3778" w:rsidRPr="002450BD" w14:paraId="3BCF3F6A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708D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dopravy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C716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529,3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6632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88,7</w:t>
            </w:r>
          </w:p>
        </w:tc>
      </w:tr>
      <w:tr w:rsidR="002F3778" w:rsidRPr="002450BD" w14:paraId="69BFB97B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A8A4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zemědělství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5AF8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483,5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A933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49,8</w:t>
            </w:r>
          </w:p>
        </w:tc>
      </w:tr>
      <w:tr w:rsidR="002F3778" w:rsidRPr="002450BD" w14:paraId="1C0738EA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871C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3ECC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372,2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4FB3D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34,6</w:t>
            </w:r>
          </w:p>
        </w:tc>
      </w:tr>
      <w:tr w:rsidR="002F3778" w:rsidRPr="002450BD" w14:paraId="29C96FC6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3642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obrany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663B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C09E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23,7</w:t>
            </w:r>
          </w:p>
        </w:tc>
      </w:tr>
      <w:tr w:rsidR="002F3778" w:rsidRPr="002450BD" w14:paraId="7958251F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DADE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4B9F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C57C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17,6</w:t>
            </w:r>
          </w:p>
        </w:tc>
      </w:tr>
      <w:tr w:rsidR="002F3778" w:rsidRPr="002450BD" w14:paraId="1B89144E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518DD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A0D8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137,4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27AD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15,4</w:t>
            </w:r>
          </w:p>
        </w:tc>
      </w:tr>
      <w:tr w:rsidR="002F3778" w:rsidRPr="002450BD" w14:paraId="38A6FBBC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C2DC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598C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304,5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31CA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14,8</w:t>
            </w:r>
          </w:p>
        </w:tc>
      </w:tr>
      <w:tr w:rsidR="002F3778" w:rsidRPr="002450BD" w14:paraId="61543D9D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D9B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Český úřad </w:t>
            </w:r>
            <w:r w:rsidR="00584DC1"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zeměměřičský</w:t>
            </w: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katastrální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B9FF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57,9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3AAF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12,7</w:t>
            </w:r>
          </w:p>
        </w:tc>
      </w:tr>
      <w:tr w:rsidR="002F3778" w:rsidRPr="002450BD" w14:paraId="20443C80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9B68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školství, mládeže a</w:t>
            </w:r>
            <w:r w:rsidR="00413E5B"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tělovýchovy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C9C8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F829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10,6</w:t>
            </w:r>
          </w:p>
        </w:tc>
      </w:tr>
      <w:tr w:rsidR="002F3778" w:rsidRPr="002450BD" w14:paraId="428A941A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BADC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8B40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68,2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DD82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8,1</w:t>
            </w:r>
          </w:p>
        </w:tc>
      </w:tr>
      <w:tr w:rsidR="002F3778" w:rsidRPr="002450BD" w14:paraId="2A284D81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750C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31C3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626,0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EEF7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7,8</w:t>
            </w:r>
          </w:p>
        </w:tc>
      </w:tr>
      <w:tr w:rsidR="002F3778" w:rsidRPr="002450BD" w14:paraId="173C2202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042F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zahraničních věcí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735E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8D07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0,6</w:t>
            </w:r>
          </w:p>
        </w:tc>
      </w:tr>
      <w:tr w:rsidR="002F3778" w:rsidRPr="002450BD" w14:paraId="7E47CD9E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5FBE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Státní úřad pro jadernou bezpečnost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04FE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5F9D" w14:textId="77777777" w:rsidR="00921C03" w:rsidRPr="002450BD" w:rsidRDefault="00921C03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2F3778" w:rsidRPr="002450BD" w14:paraId="4F6105DF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2075" w14:textId="77777777" w:rsidR="00921C03" w:rsidRPr="002450BD" w:rsidRDefault="00921C03" w:rsidP="002F3778">
            <w:pPr>
              <w:keepNext/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FE4D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829F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0,4</w:t>
            </w:r>
          </w:p>
        </w:tc>
      </w:tr>
      <w:tr w:rsidR="002F3778" w:rsidRPr="002450BD" w14:paraId="15008AB4" w14:textId="77777777" w:rsidTr="002F3778">
        <w:trPr>
          <w:trHeight w:val="227"/>
          <w:jc w:val="center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1C71" w14:textId="77777777" w:rsidR="00921C03" w:rsidRPr="002450BD" w:rsidRDefault="00921C03" w:rsidP="002F3778">
            <w:pPr>
              <w:keepLines/>
              <w:spacing w:before="20" w:after="2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450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127D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5 192,5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D6A" w14:textId="77777777" w:rsidR="00921C03" w:rsidRPr="002450BD" w:rsidRDefault="002F3778" w:rsidP="002F3778">
            <w:pPr>
              <w:keepLines/>
              <w:spacing w:before="20" w:after="20" w:line="240" w:lineRule="auto"/>
              <w:ind w:left="-57" w:right="1062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846,3</w:t>
            </w:r>
          </w:p>
        </w:tc>
      </w:tr>
    </w:tbl>
    <w:p w14:paraId="50D5E425" w14:textId="77777777" w:rsidR="00921C03" w:rsidRPr="00343079" w:rsidRDefault="00921C03" w:rsidP="002F3778">
      <w:pPr>
        <w:spacing w:before="40"/>
        <w:rPr>
          <w:rFonts w:cstheme="minorHAnsi"/>
          <w:sz w:val="20"/>
          <w:szCs w:val="20"/>
        </w:rPr>
      </w:pPr>
      <w:r w:rsidRPr="00343079">
        <w:rPr>
          <w:rFonts w:cstheme="minorHAnsi"/>
          <w:b/>
          <w:sz w:val="20"/>
          <w:szCs w:val="20"/>
        </w:rPr>
        <w:t>Zdroj:</w:t>
      </w:r>
      <w:r w:rsidRPr="00343079">
        <w:rPr>
          <w:rFonts w:cstheme="minorHAnsi"/>
          <w:sz w:val="20"/>
          <w:szCs w:val="20"/>
        </w:rPr>
        <w:t xml:space="preserve"> Zpráva o hodnocení </w:t>
      </w:r>
      <w:r w:rsidR="00EC0E03">
        <w:rPr>
          <w:rFonts w:cstheme="minorHAnsi"/>
          <w:sz w:val="20"/>
          <w:szCs w:val="20"/>
        </w:rPr>
        <w:t xml:space="preserve">za rok </w:t>
      </w:r>
      <w:r w:rsidRPr="00343079">
        <w:rPr>
          <w:rFonts w:cstheme="minorHAnsi"/>
          <w:sz w:val="20"/>
          <w:szCs w:val="20"/>
        </w:rPr>
        <w:t>2016.</w:t>
      </w:r>
    </w:p>
    <w:p w14:paraId="389E4798" w14:textId="72735960" w:rsidR="00375667" w:rsidRDefault="0048625A" w:rsidP="002C569E">
      <w:r w:rsidRPr="00BD5DC6">
        <w:t>Z</w:t>
      </w:r>
      <w:r w:rsidR="00963B01">
        <w:t xml:space="preserve"> </w:t>
      </w:r>
      <w:r w:rsidRPr="00BD5DC6">
        <w:t xml:space="preserve">podkladů pro </w:t>
      </w:r>
      <w:r w:rsidR="00606081">
        <w:t>Z</w:t>
      </w:r>
      <w:r w:rsidRPr="00BD5DC6">
        <w:t>právu o hodnocení za rok 2016 vyplynulo, že MV do objemu nákupů v</w:t>
      </w:r>
      <w:r w:rsidR="00963B01">
        <w:t xml:space="preserve"> </w:t>
      </w:r>
      <w:r w:rsidRPr="00BD5DC6">
        <w:t>RS</w:t>
      </w:r>
      <w:r w:rsidR="00963B01">
        <w:t xml:space="preserve"> </w:t>
      </w:r>
      <w:r w:rsidRPr="00BD5DC6">
        <w:t>CZ zahrnulo i 129 zakázek na</w:t>
      </w:r>
      <w:r w:rsidR="00963B01">
        <w:t xml:space="preserve"> </w:t>
      </w:r>
      <w:r w:rsidRPr="00BD5DC6">
        <w:t>nákup SW v</w:t>
      </w:r>
      <w:r w:rsidR="00963B01">
        <w:t xml:space="preserve"> </w:t>
      </w:r>
      <w:r w:rsidRPr="00BD5DC6">
        <w:t>hodnotě 0,57 mld.</w:t>
      </w:r>
      <w:r w:rsidR="009A5516">
        <w:t xml:space="preserve"> Kč</w:t>
      </w:r>
      <w:r w:rsidRPr="00BD5DC6">
        <w:t xml:space="preserve">, které MV realizovalo pro jiné ÚOSS či subjekty </w:t>
      </w:r>
      <w:r w:rsidR="00BD5DC6" w:rsidRPr="00BD5DC6">
        <w:t>územní samosprávy</w:t>
      </w:r>
      <w:r w:rsidRPr="00BD5DC6">
        <w:t xml:space="preserve">. Při výpočtu úspor u komodity SW navíc stanovilo benchmarkovou cenu na základě ceníkových a reálně vysoutěžených cen VZ. Nezohlednilo tak skutečnost, že i bez realizace centralizovaného zadávání SW by zadavatelé </w:t>
      </w:r>
      <w:r w:rsidR="006657CF" w:rsidRPr="00BD5DC6">
        <w:t>mohli dosáhnout</w:t>
      </w:r>
      <w:r w:rsidRPr="00BD5DC6">
        <w:t xml:space="preserve"> úspor. </w:t>
      </w:r>
    </w:p>
    <w:p w14:paraId="2B2D5821" w14:textId="77777777" w:rsidR="0083150B" w:rsidRDefault="0083150B" w:rsidP="0083150B">
      <w:pPr>
        <w:pStyle w:val="Nadpis3"/>
      </w:pPr>
      <w:r>
        <w:t>Realizované veřejné zakázky v RS</w:t>
      </w:r>
      <w:r w:rsidR="00963B01">
        <w:t xml:space="preserve"> </w:t>
      </w:r>
      <w:r>
        <w:t>CZ</w:t>
      </w:r>
    </w:p>
    <w:p w14:paraId="059AAF87" w14:textId="6163D911" w:rsidR="00915246" w:rsidRPr="00915246" w:rsidRDefault="00915246" w:rsidP="00915246">
      <w:pPr>
        <w:rPr>
          <w:rFonts w:cstheme="minorHAnsi"/>
          <w:szCs w:val="24"/>
        </w:rPr>
      </w:pPr>
      <w:r>
        <w:t>Jak již bylo uvedeno výše</w:t>
      </w:r>
      <w:r w:rsidR="004C358F">
        <w:t>,</w:t>
      </w:r>
      <w:r>
        <w:t xml:space="preserve"> </w:t>
      </w:r>
      <w:r>
        <w:rPr>
          <w:rFonts w:cstheme="minorHAnsi"/>
          <w:szCs w:val="24"/>
        </w:rPr>
        <w:t>MMR v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souvislosti se zaváděním RS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CZ</w:t>
      </w:r>
      <w:r w:rsidRPr="00343079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odhadovalo, </w:t>
      </w:r>
      <w:r w:rsidR="001E5911">
        <w:rPr>
          <w:rFonts w:cstheme="minorHAnsi"/>
          <w:szCs w:val="24"/>
        </w:rPr>
        <w:t>že</w:t>
      </w:r>
      <w:r w:rsidR="0060608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prostřednictvím RS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CZ budou pořizovány komodity o </w:t>
      </w:r>
      <w:r w:rsidRPr="004C768D">
        <w:rPr>
          <w:rFonts w:cstheme="minorHAnsi"/>
          <w:szCs w:val="24"/>
        </w:rPr>
        <w:t>ročním</w:t>
      </w:r>
      <w:r>
        <w:rPr>
          <w:rFonts w:cstheme="minorHAnsi"/>
          <w:szCs w:val="24"/>
        </w:rPr>
        <w:t xml:space="preserve"> objemu 45,22 mld. Kč</w:t>
      </w:r>
      <w:r w:rsidR="00724482">
        <w:rPr>
          <w:vertAlign w:val="superscript"/>
        </w:rPr>
        <w:t>3</w:t>
      </w:r>
      <w:r w:rsidR="0043069B">
        <w:rPr>
          <w:vertAlign w:val="superscript"/>
        </w:rPr>
        <w:t>2</w:t>
      </w:r>
      <w:r>
        <w:t xml:space="preserve">. </w:t>
      </w:r>
      <w:r w:rsidR="001E5911">
        <w:t>Ze</w:t>
      </w:r>
      <w:r w:rsidR="00606081">
        <w:t xml:space="preserve"> </w:t>
      </w:r>
      <w:r w:rsidR="00606081">
        <w:rPr>
          <w:rFonts w:cstheme="minorHAnsi"/>
          <w:szCs w:val="24"/>
        </w:rPr>
        <w:t>Z</w:t>
      </w:r>
      <w:r w:rsidR="00A60D90" w:rsidRPr="00A946F8">
        <w:rPr>
          <w:rFonts w:cstheme="minorHAnsi"/>
          <w:szCs w:val="24"/>
        </w:rPr>
        <w:t xml:space="preserve">právy o hodnocení </w:t>
      </w:r>
      <w:r w:rsidR="004C358F">
        <w:rPr>
          <w:rFonts w:cstheme="minorHAnsi"/>
          <w:szCs w:val="24"/>
        </w:rPr>
        <w:t xml:space="preserve">za rok </w:t>
      </w:r>
      <w:r w:rsidR="00A60D90" w:rsidRPr="00A946F8">
        <w:rPr>
          <w:rFonts w:cstheme="minorHAnsi"/>
          <w:szCs w:val="24"/>
        </w:rPr>
        <w:t>2016</w:t>
      </w:r>
      <w:r w:rsidR="002744D1" w:rsidRPr="002E2A2B">
        <w:rPr>
          <w:rStyle w:val="Odkaznakoment"/>
          <w:sz w:val="24"/>
          <w:szCs w:val="24"/>
        </w:rPr>
        <w:t xml:space="preserve"> </w:t>
      </w:r>
      <w:r w:rsidR="00606081" w:rsidRPr="002E2A2B">
        <w:rPr>
          <w:rStyle w:val="Odkaznakoment"/>
          <w:sz w:val="24"/>
          <w:szCs w:val="24"/>
        </w:rPr>
        <w:t xml:space="preserve">však </w:t>
      </w:r>
      <w:r>
        <w:rPr>
          <w:rFonts w:cstheme="minorHAnsi"/>
          <w:szCs w:val="24"/>
        </w:rPr>
        <w:t>vyplývá, že</w:t>
      </w:r>
      <w:r w:rsidR="0012477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o</w:t>
      </w:r>
      <w:r w:rsidRPr="00A60D90">
        <w:rPr>
          <w:rFonts w:cstheme="minorHAnsi"/>
          <w:szCs w:val="24"/>
        </w:rPr>
        <w:t xml:space="preserve">bjem plnění </w:t>
      </w:r>
      <w:r>
        <w:rPr>
          <w:rFonts w:cstheme="minorHAnsi"/>
          <w:szCs w:val="24"/>
        </w:rPr>
        <w:t xml:space="preserve">VZ (včetně resortních komodit) </w:t>
      </w:r>
      <w:r w:rsidR="0012477E">
        <w:rPr>
          <w:rFonts w:cstheme="minorHAnsi"/>
          <w:szCs w:val="24"/>
        </w:rPr>
        <w:t>z</w:t>
      </w:r>
      <w:r>
        <w:rPr>
          <w:rFonts w:cstheme="minorHAnsi"/>
          <w:szCs w:val="24"/>
        </w:rPr>
        <w:t> </w:t>
      </w:r>
      <w:r w:rsidR="0012477E">
        <w:rPr>
          <w:rFonts w:cstheme="minorHAnsi"/>
          <w:szCs w:val="24"/>
        </w:rPr>
        <w:t xml:space="preserve">uzavřených rámcových dohod v </w:t>
      </w:r>
      <w:r w:rsidR="00B71CAF">
        <w:rPr>
          <w:rFonts w:cstheme="minorHAnsi"/>
          <w:szCs w:val="24"/>
        </w:rPr>
        <w:t>RS</w:t>
      </w:r>
      <w:r w:rsidR="00963B01">
        <w:rPr>
          <w:rFonts w:cstheme="minorHAnsi"/>
          <w:szCs w:val="24"/>
        </w:rPr>
        <w:t xml:space="preserve"> </w:t>
      </w:r>
      <w:r w:rsidR="00B71CAF">
        <w:rPr>
          <w:rFonts w:cstheme="minorHAnsi"/>
          <w:szCs w:val="24"/>
        </w:rPr>
        <w:t xml:space="preserve">CZ </w:t>
      </w:r>
      <w:r w:rsidR="002744D1">
        <w:rPr>
          <w:rFonts w:cstheme="minorHAnsi"/>
          <w:szCs w:val="24"/>
        </w:rPr>
        <w:t>č</w:t>
      </w:r>
      <w:r w:rsidR="009B7777">
        <w:rPr>
          <w:rFonts w:cstheme="minorHAnsi"/>
          <w:szCs w:val="24"/>
        </w:rPr>
        <w:t>inil 8</w:t>
      </w:r>
      <w:r w:rsidR="002744D1">
        <w:rPr>
          <w:rFonts w:cstheme="minorHAnsi"/>
          <w:szCs w:val="24"/>
        </w:rPr>
        <w:t>,2 mld. Kč</w:t>
      </w:r>
      <w:r w:rsidR="0012477E" w:rsidRPr="0012477E">
        <w:rPr>
          <w:rFonts w:cstheme="minorHAnsi"/>
          <w:szCs w:val="24"/>
        </w:rPr>
        <w:t xml:space="preserve"> </w:t>
      </w:r>
      <w:r w:rsidR="0012477E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="0012477E">
        <w:rPr>
          <w:rFonts w:cstheme="minorHAnsi"/>
          <w:szCs w:val="24"/>
        </w:rPr>
        <w:t>roce 2016</w:t>
      </w:r>
      <w:r>
        <w:rPr>
          <w:rStyle w:val="Odkaznakoment"/>
          <w:sz w:val="24"/>
          <w:szCs w:val="24"/>
        </w:rPr>
        <w:t>, tj. 18</w:t>
      </w:r>
      <w:r w:rsidR="00963B01">
        <w:rPr>
          <w:rStyle w:val="Odkaznakoment"/>
          <w:sz w:val="24"/>
          <w:szCs w:val="24"/>
        </w:rPr>
        <w:t xml:space="preserve"> </w:t>
      </w:r>
      <w:r w:rsidR="00FA32FD">
        <w:rPr>
          <w:rStyle w:val="Odkaznakoment"/>
          <w:sz w:val="24"/>
          <w:szCs w:val="24"/>
        </w:rPr>
        <w:t>% z odhadovaného objemu</w:t>
      </w:r>
      <w:r w:rsidR="00606081">
        <w:rPr>
          <w:rStyle w:val="Odkaznakoment"/>
          <w:sz w:val="24"/>
          <w:szCs w:val="24"/>
        </w:rPr>
        <w:t>,</w:t>
      </w:r>
      <w:r w:rsidR="00EB4B10">
        <w:rPr>
          <w:rStyle w:val="Odkaznakoment"/>
          <w:sz w:val="24"/>
          <w:szCs w:val="24"/>
        </w:rPr>
        <w:t xml:space="preserve"> a</w:t>
      </w:r>
      <w:r w:rsidR="00EB4B10" w:rsidRPr="00EB4B10">
        <w:t xml:space="preserve"> </w:t>
      </w:r>
      <w:r w:rsidR="00EB4B10">
        <w:t>předpokládaný potenciál RS CZ tak není využit.</w:t>
      </w:r>
    </w:p>
    <w:p w14:paraId="1A4C70BD" w14:textId="77777777" w:rsidR="00724482" w:rsidRDefault="009B7777" w:rsidP="008E1672">
      <w:pPr>
        <w:keepNext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Objem plnění v</w:t>
      </w:r>
      <w:r w:rsidR="00963B01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 xml:space="preserve">roce 2016 dle smluv uzavřených </w:t>
      </w:r>
      <w:r w:rsidR="003E4404">
        <w:rPr>
          <w:rFonts w:cstheme="minorHAnsi"/>
          <w:szCs w:val="24"/>
        </w:rPr>
        <w:t>v</w:t>
      </w:r>
      <w:r w:rsidR="00963B01">
        <w:rPr>
          <w:rFonts w:cstheme="minorHAnsi"/>
          <w:szCs w:val="24"/>
        </w:rPr>
        <w:t xml:space="preserve"> </w:t>
      </w:r>
      <w:r w:rsidR="003E4404">
        <w:rPr>
          <w:rFonts w:cstheme="minorHAnsi"/>
          <w:szCs w:val="24"/>
        </w:rPr>
        <w:t>RS</w:t>
      </w:r>
      <w:r w:rsidR="00963B01">
        <w:rPr>
          <w:rFonts w:cstheme="minorHAnsi"/>
          <w:szCs w:val="24"/>
        </w:rPr>
        <w:t xml:space="preserve"> </w:t>
      </w:r>
      <w:r w:rsidR="003E4404">
        <w:rPr>
          <w:rFonts w:cstheme="minorHAnsi"/>
          <w:szCs w:val="24"/>
        </w:rPr>
        <w:t>CZ je uveden v</w:t>
      </w:r>
      <w:r w:rsidR="00963B01">
        <w:rPr>
          <w:rFonts w:cstheme="minorHAnsi"/>
          <w:szCs w:val="24"/>
        </w:rPr>
        <w:t xml:space="preserve"> </w:t>
      </w:r>
      <w:r w:rsidR="005F1A1D">
        <w:rPr>
          <w:rFonts w:cstheme="minorHAnsi"/>
          <w:szCs w:val="24"/>
        </w:rPr>
        <w:t>tabulce č. 3</w:t>
      </w:r>
      <w:r>
        <w:rPr>
          <w:rFonts w:cstheme="minorHAnsi"/>
          <w:szCs w:val="24"/>
        </w:rPr>
        <w:t>.</w:t>
      </w:r>
    </w:p>
    <w:p w14:paraId="018DB9F6" w14:textId="4FB1BE41" w:rsidR="003E4404" w:rsidRPr="003E4404" w:rsidRDefault="003E4404" w:rsidP="00E35740">
      <w:pPr>
        <w:keepNext/>
        <w:tabs>
          <w:tab w:val="right" w:pos="9072"/>
        </w:tabs>
        <w:spacing w:after="40"/>
        <w:jc w:val="left"/>
        <w:rPr>
          <w:b/>
        </w:rPr>
      </w:pPr>
      <w:r w:rsidRPr="003E4404">
        <w:rPr>
          <w:b/>
        </w:rPr>
        <w:t xml:space="preserve">Tabulka č. </w:t>
      </w:r>
      <w:r w:rsidRPr="003E4404">
        <w:rPr>
          <w:b/>
        </w:rPr>
        <w:fldChar w:fldCharType="begin"/>
      </w:r>
      <w:r w:rsidRPr="003E4404">
        <w:rPr>
          <w:b/>
        </w:rPr>
        <w:instrText xml:space="preserve"> SEQ Tabulka_č. \* ARABIC </w:instrText>
      </w:r>
      <w:r w:rsidRPr="003E4404">
        <w:rPr>
          <w:b/>
        </w:rPr>
        <w:fldChar w:fldCharType="separate"/>
      </w:r>
      <w:r w:rsidR="000366B6">
        <w:rPr>
          <w:b/>
          <w:noProof/>
        </w:rPr>
        <w:t>3</w:t>
      </w:r>
      <w:r w:rsidRPr="003E4404">
        <w:rPr>
          <w:b/>
        </w:rPr>
        <w:fldChar w:fldCharType="end"/>
      </w:r>
      <w:r w:rsidRPr="003E4404">
        <w:rPr>
          <w:b/>
        </w:rPr>
        <w:t>: Objem plnění v</w:t>
      </w:r>
      <w:r w:rsidR="00963B01">
        <w:rPr>
          <w:b/>
        </w:rPr>
        <w:t xml:space="preserve"> </w:t>
      </w:r>
      <w:r w:rsidRPr="003E4404">
        <w:rPr>
          <w:b/>
        </w:rPr>
        <w:t>RS</w:t>
      </w:r>
      <w:r w:rsidR="00963B01">
        <w:rPr>
          <w:b/>
        </w:rPr>
        <w:t xml:space="preserve"> </w:t>
      </w:r>
      <w:r w:rsidRPr="003E4404">
        <w:rPr>
          <w:b/>
        </w:rPr>
        <w:t>CZ (včetně resortních komodit) v</w:t>
      </w:r>
      <w:r w:rsidR="00963B01">
        <w:rPr>
          <w:b/>
        </w:rPr>
        <w:t xml:space="preserve"> </w:t>
      </w:r>
      <w:r w:rsidRPr="003E4404">
        <w:rPr>
          <w:b/>
        </w:rPr>
        <w:t>roce 2016</w:t>
      </w:r>
      <w:r w:rsidR="00E35740">
        <w:rPr>
          <w:b/>
        </w:rPr>
        <w:tab/>
      </w:r>
      <w:r w:rsidR="00606081">
        <w:rPr>
          <w:b/>
        </w:rPr>
        <w:t>(v mil. Kč)</w:t>
      </w:r>
    </w:p>
    <w:tbl>
      <w:tblPr>
        <w:tblW w:w="9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082"/>
      </w:tblGrid>
      <w:tr w:rsidR="007A2DF0" w:rsidRPr="007A2DF0" w14:paraId="7F4A281F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E5F1FF"/>
            <w:noWrap/>
            <w:vAlign w:val="center"/>
            <w:hideMark/>
          </w:tcPr>
          <w:p w14:paraId="3523C7CB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Resort</w:t>
            </w:r>
          </w:p>
        </w:tc>
        <w:tc>
          <w:tcPr>
            <w:tcW w:w="4082" w:type="dxa"/>
            <w:shd w:val="clear" w:color="auto" w:fill="E5F1FF"/>
            <w:noWrap/>
            <w:vAlign w:val="center"/>
            <w:hideMark/>
          </w:tcPr>
          <w:p w14:paraId="38B47DC8" w14:textId="388CCD62" w:rsidR="007A2DF0" w:rsidRPr="009B7777" w:rsidRDefault="007A2DF0" w:rsidP="006060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 xml:space="preserve">Objem plnění dle smlouvy </w:t>
            </w:r>
            <w:r w:rsidR="00E3574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br/>
            </w:r>
            <w:r w:rsidRPr="009B77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(bez ohledu na rok uzavření smlouvy)</w:t>
            </w:r>
          </w:p>
        </w:tc>
      </w:tr>
      <w:tr w:rsidR="007A2DF0" w:rsidRPr="007A2DF0" w14:paraId="71629559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AF23A47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vnitra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19B289F1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4 356,4</w:t>
            </w:r>
          </w:p>
        </w:tc>
      </w:tr>
      <w:tr w:rsidR="007A2DF0" w:rsidRPr="007A2DF0" w14:paraId="7068AFDB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E087D60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zdravotnictví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56BECA6E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742,0</w:t>
            </w:r>
          </w:p>
        </w:tc>
      </w:tr>
      <w:tr w:rsidR="007A2DF0" w:rsidRPr="007A2DF0" w14:paraId="142EC530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B2F52DA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dopravy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618A5D6B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529,3</w:t>
            </w:r>
          </w:p>
        </w:tc>
      </w:tr>
      <w:tr w:rsidR="007A2DF0" w:rsidRPr="007A2DF0" w14:paraId="21994B19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14F8AD1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zemědělství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438D5F99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483,5</w:t>
            </w:r>
          </w:p>
        </w:tc>
      </w:tr>
      <w:tr w:rsidR="007A2DF0" w:rsidRPr="007A2DF0" w14:paraId="4502E189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0E2C1BF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spravedlnosti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662F70AF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372,2</w:t>
            </w:r>
          </w:p>
        </w:tc>
      </w:tr>
      <w:tr w:rsidR="007A2DF0" w:rsidRPr="007A2DF0" w14:paraId="0E19CE30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A931731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obrany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17ED8526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163,0</w:t>
            </w:r>
          </w:p>
        </w:tc>
      </w:tr>
      <w:tr w:rsidR="007A2DF0" w:rsidRPr="007A2DF0" w14:paraId="6C85FBB0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F07B094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kultury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350DC687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160,5</w:t>
            </w:r>
          </w:p>
        </w:tc>
      </w:tr>
      <w:tr w:rsidR="007A2DF0" w:rsidRPr="007A2DF0" w14:paraId="62B9865D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B157630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životního prostředí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3163F4F7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146,8</w:t>
            </w:r>
          </w:p>
        </w:tc>
      </w:tr>
      <w:tr w:rsidR="007A2DF0" w:rsidRPr="007A2DF0" w14:paraId="2770E06F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2648770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financí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65AC8B82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304,5</w:t>
            </w:r>
          </w:p>
        </w:tc>
      </w:tr>
      <w:tr w:rsidR="007A2DF0" w:rsidRPr="007A2DF0" w14:paraId="35B255D3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05EC383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Český úřad zeměměřičský a katastrální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3E7F537A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57,9</w:t>
            </w:r>
          </w:p>
        </w:tc>
      </w:tr>
      <w:tr w:rsidR="007A2DF0" w:rsidRPr="007A2DF0" w14:paraId="11FCA3AC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59345B7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školství, mládeže a tělovýchovy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4DE62A96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95,0</w:t>
            </w:r>
          </w:p>
        </w:tc>
      </w:tr>
      <w:tr w:rsidR="007A2DF0" w:rsidRPr="007A2DF0" w14:paraId="34AD575B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41FB588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průmyslu a obchodu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6F83F726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71,4</w:t>
            </w:r>
          </w:p>
        </w:tc>
      </w:tr>
      <w:tr w:rsidR="007A2DF0" w:rsidRPr="007A2DF0" w14:paraId="6EC635F8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78FCFCEC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práce a sociálních věcí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1C7FD2C9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634,1</w:t>
            </w:r>
          </w:p>
        </w:tc>
      </w:tr>
      <w:tr w:rsidR="007A2DF0" w:rsidRPr="007A2DF0" w14:paraId="185C46C4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51159D6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zahraničních věcí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45B05290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18,8</w:t>
            </w:r>
          </w:p>
        </w:tc>
      </w:tr>
      <w:tr w:rsidR="007A2DF0" w:rsidRPr="007A2DF0" w14:paraId="7B1EE3E6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71388A0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Státní úřad pro jadernou bezpečnost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336D172D" w14:textId="77777777" w:rsidR="007A2DF0" w:rsidRPr="009B7777" w:rsidRDefault="007A2DF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18,7</w:t>
            </w:r>
          </w:p>
        </w:tc>
      </w:tr>
      <w:tr w:rsidR="007A2DF0" w:rsidRPr="007A2DF0" w14:paraId="7B8B51FC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B19E47D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5B5F8C04" w14:textId="77777777" w:rsidR="007A2DF0" w:rsidRPr="009B7777" w:rsidRDefault="00E35740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31,0</w:t>
            </w:r>
          </w:p>
        </w:tc>
      </w:tr>
      <w:tr w:rsidR="007A2DF0" w:rsidRPr="007A2DF0" w14:paraId="6B6A671B" w14:textId="77777777" w:rsidTr="00E35740">
        <w:trPr>
          <w:trHeight w:val="227"/>
          <w:jc w:val="center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AD53D44" w14:textId="77777777" w:rsidR="007A2DF0" w:rsidRPr="009B7777" w:rsidRDefault="007A2DF0" w:rsidP="008E1672">
            <w:pPr>
              <w:keepNext/>
              <w:keepLines/>
              <w:spacing w:after="0" w:line="240" w:lineRule="auto"/>
              <w:jc w:val="lef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 w:rsidRPr="009B77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4082" w:type="dxa"/>
            <w:shd w:val="clear" w:color="auto" w:fill="auto"/>
            <w:noWrap/>
            <w:vAlign w:val="center"/>
            <w:hideMark/>
          </w:tcPr>
          <w:p w14:paraId="519C11F9" w14:textId="77777777" w:rsidR="007A2DF0" w:rsidRPr="009B7777" w:rsidRDefault="009B7777" w:rsidP="00E35740">
            <w:pPr>
              <w:spacing w:after="0" w:line="240" w:lineRule="auto"/>
              <w:ind w:right="1453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8 185,2</w:t>
            </w:r>
          </w:p>
        </w:tc>
      </w:tr>
    </w:tbl>
    <w:p w14:paraId="6C0254FE" w14:textId="77777777" w:rsidR="009B7777" w:rsidRPr="00343079" w:rsidRDefault="009B7777" w:rsidP="00E35740">
      <w:pPr>
        <w:spacing w:before="40"/>
        <w:rPr>
          <w:rFonts w:cstheme="minorHAnsi"/>
          <w:sz w:val="20"/>
          <w:szCs w:val="20"/>
        </w:rPr>
      </w:pPr>
      <w:r w:rsidRPr="00343079">
        <w:rPr>
          <w:rFonts w:cstheme="minorHAnsi"/>
          <w:b/>
          <w:sz w:val="20"/>
          <w:szCs w:val="20"/>
        </w:rPr>
        <w:t>Zdroj:</w:t>
      </w:r>
      <w:r w:rsidRPr="00343079">
        <w:rPr>
          <w:rFonts w:cstheme="minorHAnsi"/>
          <w:sz w:val="20"/>
          <w:szCs w:val="20"/>
        </w:rPr>
        <w:t xml:space="preserve"> Zpráva o hodnocení </w:t>
      </w:r>
      <w:r w:rsidR="00EC0E03">
        <w:rPr>
          <w:rFonts w:cstheme="minorHAnsi"/>
          <w:sz w:val="20"/>
          <w:szCs w:val="20"/>
        </w:rPr>
        <w:t xml:space="preserve">za rok </w:t>
      </w:r>
      <w:r w:rsidRPr="00343079">
        <w:rPr>
          <w:rFonts w:cstheme="minorHAnsi"/>
          <w:sz w:val="20"/>
          <w:szCs w:val="20"/>
        </w:rPr>
        <w:t>2016.</w:t>
      </w:r>
    </w:p>
    <w:p w14:paraId="30837A8D" w14:textId="0CB0037E" w:rsidR="006657CF" w:rsidRDefault="006657CF" w:rsidP="009317B4">
      <w:r w:rsidRPr="00DA4587">
        <w:rPr>
          <w:rFonts w:cstheme="minorHAnsi"/>
          <w:szCs w:val="24"/>
        </w:rPr>
        <w:t>Objem nákupů resortních komodit</w:t>
      </w:r>
      <w:r w:rsidRPr="00DA4587">
        <w:rPr>
          <w:rFonts w:cstheme="minorHAnsi"/>
          <w:szCs w:val="24"/>
          <w:vertAlign w:val="superscript"/>
        </w:rPr>
        <w:t>6</w:t>
      </w:r>
      <w:r w:rsidRPr="00DA4587">
        <w:rPr>
          <w:rFonts w:cstheme="minorHAnsi"/>
          <w:szCs w:val="24"/>
        </w:rPr>
        <w:t xml:space="preserve"> v</w:t>
      </w:r>
      <w:r w:rsidR="00963B01">
        <w:rPr>
          <w:rFonts w:cstheme="minorHAnsi"/>
          <w:szCs w:val="24"/>
        </w:rPr>
        <w:t xml:space="preserve"> </w:t>
      </w:r>
      <w:r w:rsidRPr="00DA4587">
        <w:rPr>
          <w:rFonts w:cstheme="minorHAnsi"/>
          <w:szCs w:val="24"/>
        </w:rPr>
        <w:t>roce 2016 činil 3</w:t>
      </w:r>
      <w:r w:rsidR="00963B01">
        <w:rPr>
          <w:rFonts w:cstheme="minorHAnsi"/>
          <w:szCs w:val="24"/>
        </w:rPr>
        <w:t xml:space="preserve"> </w:t>
      </w:r>
      <w:r w:rsidRPr="00DA4587">
        <w:rPr>
          <w:rFonts w:cstheme="minorHAnsi"/>
          <w:szCs w:val="24"/>
        </w:rPr>
        <w:t>mld. Kč, z</w:t>
      </w:r>
      <w:r w:rsidR="00963B01">
        <w:rPr>
          <w:rFonts w:cstheme="minorHAnsi"/>
          <w:szCs w:val="24"/>
        </w:rPr>
        <w:t xml:space="preserve"> </w:t>
      </w:r>
      <w:r w:rsidRPr="00DA4587">
        <w:rPr>
          <w:rFonts w:cstheme="minorHAnsi"/>
          <w:szCs w:val="24"/>
        </w:rPr>
        <w:t xml:space="preserve">toho 2,97 mld. Kč </w:t>
      </w:r>
      <w:r w:rsidR="00606081">
        <w:rPr>
          <w:rFonts w:cstheme="minorHAnsi"/>
          <w:szCs w:val="24"/>
        </w:rPr>
        <w:t>tvořily nákupy komodit</w:t>
      </w:r>
      <w:r w:rsidRPr="00DA4587">
        <w:rPr>
          <w:rFonts w:cstheme="minorHAnsi"/>
          <w:szCs w:val="24"/>
        </w:rPr>
        <w:t xml:space="preserve"> MV. U</w:t>
      </w:r>
      <w:r w:rsidR="00963B01">
        <w:rPr>
          <w:rFonts w:cstheme="minorHAnsi"/>
          <w:szCs w:val="24"/>
        </w:rPr>
        <w:t xml:space="preserve"> </w:t>
      </w:r>
      <w:r w:rsidRPr="00DA4587">
        <w:rPr>
          <w:rFonts w:cstheme="minorHAnsi"/>
          <w:szCs w:val="24"/>
        </w:rPr>
        <w:t>ostatních kontrolovaných osob nebyly resortní komodity v</w:t>
      </w:r>
      <w:r w:rsidR="00963B01">
        <w:rPr>
          <w:rFonts w:cstheme="minorHAnsi"/>
          <w:szCs w:val="24"/>
        </w:rPr>
        <w:t xml:space="preserve"> </w:t>
      </w:r>
      <w:r w:rsidRPr="00DA4587">
        <w:rPr>
          <w:rFonts w:cstheme="minorHAnsi"/>
          <w:szCs w:val="24"/>
        </w:rPr>
        <w:t>roce 2016 nakupovány.</w:t>
      </w:r>
    </w:p>
    <w:p w14:paraId="3F014AD0" w14:textId="77777777" w:rsidR="009B7777" w:rsidRDefault="009B7777" w:rsidP="009317B4">
      <w:r>
        <w:t>Odlišný objem centralizovaně zadávaných VZ</w:t>
      </w:r>
      <w:r w:rsidR="002C569E">
        <w:t xml:space="preserve"> u jednotlivých resortů je mimo jiné způsoben počtem podřízených organizací, jejich velikostí a působností.</w:t>
      </w:r>
      <w:r>
        <w:t xml:space="preserve"> V</w:t>
      </w:r>
      <w:r w:rsidR="00963B01">
        <w:t xml:space="preserve"> </w:t>
      </w:r>
      <w:r>
        <w:t>případě MV je do RS</w:t>
      </w:r>
      <w:r w:rsidR="00963B01">
        <w:t xml:space="preserve"> </w:t>
      </w:r>
      <w:r>
        <w:t>CZ zapojeno 51</w:t>
      </w:r>
      <w:r w:rsidR="002C569E">
        <w:t xml:space="preserve"> </w:t>
      </w:r>
      <w:r>
        <w:t xml:space="preserve">podřízených organizací, </w:t>
      </w:r>
      <w:r w:rsidR="005617EE">
        <w:t xml:space="preserve">u </w:t>
      </w:r>
      <w:r>
        <w:t xml:space="preserve">MF </w:t>
      </w:r>
      <w:r w:rsidR="002C569E">
        <w:t>šest</w:t>
      </w:r>
      <w:r>
        <w:t xml:space="preserve"> a</w:t>
      </w:r>
      <w:r w:rsidR="002C569E">
        <w:t xml:space="preserve"> </w:t>
      </w:r>
      <w:r w:rsidR="005617EE">
        <w:t xml:space="preserve">u </w:t>
      </w:r>
      <w:r w:rsidR="002C569E">
        <w:t>MMR pět</w:t>
      </w:r>
      <w:r>
        <w:t>.</w:t>
      </w:r>
    </w:p>
    <w:p w14:paraId="2F9FF45E" w14:textId="2F83B4A5" w:rsidR="0083150B" w:rsidRDefault="00114D8D" w:rsidP="009317B4">
      <w:r w:rsidRPr="00114D8D">
        <w:t xml:space="preserve">Dle </w:t>
      </w:r>
      <w:r w:rsidR="00606081">
        <w:t>Z</w:t>
      </w:r>
      <w:r w:rsidRPr="00114D8D">
        <w:t xml:space="preserve">právy o hodnocení </w:t>
      </w:r>
      <w:r w:rsidR="004C358F">
        <w:t xml:space="preserve">za rok </w:t>
      </w:r>
      <w:r w:rsidRPr="00114D8D">
        <w:t xml:space="preserve">2016 se </w:t>
      </w:r>
      <w:r w:rsidR="00195356">
        <w:t>po</w:t>
      </w:r>
      <w:r w:rsidRPr="00114D8D">
        <w:t xml:space="preserve">dle objemu plnění nejvíce centrálně nakupovaly komodity </w:t>
      </w:r>
      <w:r w:rsidRPr="002E2A2B">
        <w:rPr>
          <w:i/>
        </w:rPr>
        <w:t>elektrická energie</w:t>
      </w:r>
      <w:r w:rsidRPr="00114D8D">
        <w:t xml:space="preserve">, </w:t>
      </w:r>
      <w:r w:rsidRPr="002E2A2B">
        <w:rPr>
          <w:i/>
        </w:rPr>
        <w:t>osobní vozidla</w:t>
      </w:r>
      <w:r w:rsidRPr="00114D8D">
        <w:t xml:space="preserve">, </w:t>
      </w:r>
      <w:r w:rsidRPr="002E2A2B">
        <w:rPr>
          <w:i/>
        </w:rPr>
        <w:t>plynná paliva</w:t>
      </w:r>
      <w:r w:rsidRPr="00114D8D">
        <w:t xml:space="preserve"> a </w:t>
      </w:r>
      <w:r w:rsidRPr="002E2A2B">
        <w:rPr>
          <w:i/>
        </w:rPr>
        <w:t>software</w:t>
      </w:r>
      <w:r w:rsidRPr="00114D8D">
        <w:t xml:space="preserve">. NKÚ </w:t>
      </w:r>
      <w:r w:rsidR="001E5911" w:rsidRPr="00114D8D">
        <w:t>se</w:t>
      </w:r>
      <w:r w:rsidR="00606081">
        <w:t xml:space="preserve"> </w:t>
      </w:r>
      <w:r w:rsidRPr="00114D8D">
        <w:t xml:space="preserve">u kontrolovaných osob zaměřil na nákup komodit </w:t>
      </w:r>
      <w:r w:rsidRPr="002E2A2B">
        <w:rPr>
          <w:i/>
        </w:rPr>
        <w:t>kancelářský papír</w:t>
      </w:r>
      <w:r w:rsidRPr="00114D8D">
        <w:t xml:space="preserve">, </w:t>
      </w:r>
      <w:r w:rsidRPr="002E2A2B">
        <w:rPr>
          <w:i/>
        </w:rPr>
        <w:t>osobní automobily</w:t>
      </w:r>
      <w:r w:rsidRPr="00114D8D">
        <w:t xml:space="preserve">, </w:t>
      </w:r>
      <w:r w:rsidRPr="002E2A2B">
        <w:rPr>
          <w:i/>
        </w:rPr>
        <w:t>nábytek</w:t>
      </w:r>
      <w:r w:rsidRPr="00114D8D">
        <w:t xml:space="preserve"> a </w:t>
      </w:r>
      <w:r w:rsidRPr="002E2A2B">
        <w:rPr>
          <w:i/>
        </w:rPr>
        <w:t>softwar</w:t>
      </w:r>
      <w:r w:rsidR="002E2A2B">
        <w:rPr>
          <w:i/>
        </w:rPr>
        <w:t>e</w:t>
      </w:r>
      <w:r w:rsidRPr="00114D8D">
        <w:t>.</w:t>
      </w:r>
      <w:r w:rsidR="00195356">
        <w:t xml:space="preserve"> </w:t>
      </w:r>
      <w:r w:rsidR="001610B5">
        <w:t>U</w:t>
      </w:r>
      <w:r w:rsidR="00963B01">
        <w:t xml:space="preserve"> </w:t>
      </w:r>
      <w:r w:rsidR="00704715">
        <w:t>vybraných</w:t>
      </w:r>
      <w:r w:rsidR="001610B5">
        <w:t xml:space="preserve"> veřejných zakázek</w:t>
      </w:r>
      <w:r w:rsidR="0083150B">
        <w:t xml:space="preserve"> </w:t>
      </w:r>
      <w:r>
        <w:t>NKÚ nezjistil nehospodárné vynaložení prostředků, které by bylo zapříčiněno nedodržením ustanovení rámcových</w:t>
      </w:r>
      <w:r w:rsidR="008F5193">
        <w:t xml:space="preserve"> dohod</w:t>
      </w:r>
      <w:r>
        <w:t xml:space="preserve"> </w:t>
      </w:r>
      <w:r w:rsidR="001E5911">
        <w:t>a </w:t>
      </w:r>
      <w:r>
        <w:t xml:space="preserve">prováděcích smluv či nesprávným zadávacím postupem při uzavírání rámcové </w:t>
      </w:r>
      <w:r w:rsidR="008F5193">
        <w:t>dohody</w:t>
      </w:r>
      <w:r>
        <w:t>. NKÚ zjistil</w:t>
      </w:r>
      <w:r w:rsidR="0083150B">
        <w:t xml:space="preserve"> nedostatky</w:t>
      </w:r>
      <w:r w:rsidR="0083150B" w:rsidRPr="00811CFA">
        <w:t xml:space="preserve"> </w:t>
      </w:r>
      <w:r w:rsidR="00704715">
        <w:t>v</w:t>
      </w:r>
      <w:r w:rsidR="0083150B" w:rsidRPr="00811CFA">
        <w:t xml:space="preserve"> </w:t>
      </w:r>
      <w:r w:rsidR="0083150B">
        <w:t>systému monitoringu čerp</w:t>
      </w:r>
      <w:r>
        <w:t xml:space="preserve">ání uzavřených rámcových dohod, které </w:t>
      </w:r>
      <w:r w:rsidR="0083150B">
        <w:t>způsobil</w:t>
      </w:r>
      <w:r w:rsidR="00606081">
        <w:t>y</w:t>
      </w:r>
      <w:r w:rsidR="0083150B">
        <w:t xml:space="preserve">, že zadavatelé </w:t>
      </w:r>
      <w:r w:rsidR="001968FE">
        <w:t>v</w:t>
      </w:r>
      <w:r w:rsidR="00963B01">
        <w:t xml:space="preserve"> </w:t>
      </w:r>
      <w:r w:rsidR="001968FE">
        <w:t xml:space="preserve">resortu MV </w:t>
      </w:r>
      <w:r w:rsidR="0083150B">
        <w:t>přečerpali stanovené finanční limity o</w:t>
      </w:r>
      <w:r w:rsidR="00963B01">
        <w:t xml:space="preserve"> </w:t>
      </w:r>
      <w:r w:rsidR="0083150B">
        <w:t>55</w:t>
      </w:r>
      <w:r w:rsidR="00963B01">
        <w:t xml:space="preserve"> </w:t>
      </w:r>
      <w:r w:rsidR="0083150B">
        <w:t>mil</w:t>
      </w:r>
      <w:r w:rsidR="00CA393C">
        <w:t>.</w:t>
      </w:r>
      <w:r w:rsidR="00963B01">
        <w:t xml:space="preserve"> </w:t>
      </w:r>
      <w:r w:rsidR="0083150B">
        <w:t>Kč</w:t>
      </w:r>
      <w:r w:rsidR="00BB2B1A">
        <w:t>, a</w:t>
      </w:r>
      <w:r w:rsidR="00606081">
        <w:t> </w:t>
      </w:r>
      <w:r w:rsidR="00BB2B1A">
        <w:t>tím umožnil</w:t>
      </w:r>
      <w:r w:rsidR="00606081">
        <w:t>y</w:t>
      </w:r>
      <w:r w:rsidR="00BB2B1A">
        <w:t xml:space="preserve"> podstatnou změnu smlouvy</w:t>
      </w:r>
      <w:r w:rsidR="004311CC">
        <w:rPr>
          <w:rStyle w:val="Znakapoznpodarou"/>
        </w:rPr>
        <w:footnoteReference w:id="35"/>
      </w:r>
      <w:r w:rsidR="0083150B">
        <w:t xml:space="preserve">. </w:t>
      </w:r>
      <w:r w:rsidR="0082054E">
        <w:t>MV</w:t>
      </w:r>
      <w:r w:rsidR="00413E5B">
        <w:t xml:space="preserve"> </w:t>
      </w:r>
      <w:r w:rsidR="0082054E">
        <w:t>již</w:t>
      </w:r>
      <w:r w:rsidR="00413E5B">
        <w:t xml:space="preserve"> </w:t>
      </w:r>
      <w:r w:rsidR="0082054E">
        <w:t>v</w:t>
      </w:r>
      <w:r w:rsidR="00963B01">
        <w:t xml:space="preserve"> </w:t>
      </w:r>
      <w:r w:rsidR="0082054E">
        <w:t>průběhu kontroly připravovalo nápravné opatření k</w:t>
      </w:r>
      <w:r w:rsidR="00963B01">
        <w:t xml:space="preserve"> </w:t>
      </w:r>
      <w:r w:rsidR="0082054E">
        <w:t>zamezení opakování tohoto nedostatku.</w:t>
      </w:r>
      <w:r w:rsidR="0083150B">
        <w:t xml:space="preserve"> </w:t>
      </w:r>
    </w:p>
    <w:p w14:paraId="266E75B8" w14:textId="77777777" w:rsidR="00195356" w:rsidRDefault="00195356" w:rsidP="00195356">
      <w:pPr>
        <w:pStyle w:val="Nadpis3"/>
      </w:pPr>
      <w:r>
        <w:lastRenderedPageBreak/>
        <w:t>Výjimky z</w:t>
      </w:r>
      <w:r w:rsidR="00963B01">
        <w:t xml:space="preserve"> </w:t>
      </w:r>
      <w:r>
        <w:t>povinně pořizovaných komodit v</w:t>
      </w:r>
      <w:r w:rsidR="00963B01">
        <w:t xml:space="preserve"> </w:t>
      </w:r>
      <w:r>
        <w:t>RS</w:t>
      </w:r>
      <w:r w:rsidR="00963B01">
        <w:t xml:space="preserve"> </w:t>
      </w:r>
      <w:r>
        <w:t>CZ</w:t>
      </w:r>
    </w:p>
    <w:p w14:paraId="76A6D6D4" w14:textId="77777777" w:rsidR="00410385" w:rsidRDefault="00410385" w:rsidP="00410385">
      <w:pPr>
        <w:pStyle w:val="Normlnweb"/>
        <w:spacing w:after="120"/>
        <w:rPr>
          <w:rFonts w:cstheme="minorHAnsi"/>
        </w:rPr>
      </w:pPr>
      <w:r>
        <w:t>Rozsah</w:t>
      </w:r>
      <w:r>
        <w:rPr>
          <w:rFonts w:eastAsia="Calibri"/>
        </w:rPr>
        <w:t xml:space="preserve"> povinně </w:t>
      </w:r>
      <w:r w:rsidR="001968FE">
        <w:rPr>
          <w:rFonts w:eastAsia="Calibri"/>
        </w:rPr>
        <w:t>nakupovaných</w:t>
      </w:r>
      <w:r>
        <w:rPr>
          <w:rFonts w:eastAsia="Calibri"/>
        </w:rPr>
        <w:t xml:space="preserve"> </w:t>
      </w:r>
      <w:r>
        <w:t>komodit</w:t>
      </w:r>
      <w:r>
        <w:rPr>
          <w:rFonts w:eastAsia="Calibri"/>
        </w:rPr>
        <w:t xml:space="preserve"> v</w:t>
      </w:r>
      <w:r w:rsidR="00963B01">
        <w:rPr>
          <w:rFonts w:eastAsia="Calibri"/>
        </w:rPr>
        <w:t xml:space="preserve"> </w:t>
      </w:r>
      <w:r>
        <w:rPr>
          <w:rFonts w:cstheme="minorHAnsi"/>
        </w:rPr>
        <w:t>RS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CZ je vymezen</w:t>
      </w:r>
      <w:r w:rsidRPr="00343079">
        <w:rPr>
          <w:rFonts w:cstheme="minorHAnsi"/>
        </w:rPr>
        <w:t xml:space="preserve"> prostřednictvím </w:t>
      </w:r>
      <w:r w:rsidR="00CB3D29">
        <w:t>položek</w:t>
      </w:r>
      <w:r w:rsidR="00CB3D29" w:rsidRPr="00CB3D29">
        <w:t xml:space="preserve"> číselníku NIPEZ</w:t>
      </w:r>
      <w:r w:rsidR="0042381E">
        <w:rPr>
          <w:rStyle w:val="Znakapoznpodarou"/>
        </w:rPr>
        <w:footnoteReference w:id="36"/>
      </w:r>
      <w:r w:rsidR="00CB3D29">
        <w:t>, který vychází z</w:t>
      </w:r>
      <w:r w:rsidRPr="00343079">
        <w:rPr>
          <w:rFonts w:cstheme="minorHAnsi"/>
        </w:rPr>
        <w:t xml:space="preserve"> </w:t>
      </w:r>
      <w:r w:rsidRPr="00343079">
        <w:t>klasifikace CPV</w:t>
      </w:r>
      <w:r w:rsidRPr="00343079">
        <w:rPr>
          <w:rStyle w:val="Znakapoznpodarou"/>
        </w:rPr>
        <w:footnoteReference w:id="37"/>
      </w:r>
      <w:r w:rsidRPr="00343079">
        <w:t xml:space="preserve">. </w:t>
      </w:r>
      <w:r w:rsidR="00CB3D29">
        <w:t xml:space="preserve">Povinnost se vztahuje též na </w:t>
      </w:r>
      <w:r w:rsidRPr="00343079">
        <w:rPr>
          <w:rFonts w:cstheme="minorHAnsi"/>
        </w:rPr>
        <w:t xml:space="preserve">položky </w:t>
      </w:r>
      <w:r w:rsidR="00CB3D29">
        <w:rPr>
          <w:rFonts w:cstheme="minorHAnsi"/>
        </w:rPr>
        <w:t xml:space="preserve">podřízené </w:t>
      </w:r>
      <w:r w:rsidRPr="00343079">
        <w:rPr>
          <w:rFonts w:cstheme="minorHAnsi"/>
        </w:rPr>
        <w:t xml:space="preserve">dle </w:t>
      </w:r>
      <w:r w:rsidRPr="00343079">
        <w:t xml:space="preserve">hierarchické stromové struktury. Tabulka č. </w:t>
      </w:r>
      <w:r w:rsidR="005F1A1D">
        <w:t>4</w:t>
      </w:r>
      <w:r w:rsidRPr="00343079">
        <w:t xml:space="preserve"> uvádí počty položek, které spadají pod jednotlivé kategorie komodit</w:t>
      </w:r>
      <w:r>
        <w:t>.</w:t>
      </w:r>
    </w:p>
    <w:p w14:paraId="798C6BB0" w14:textId="75557CDF" w:rsidR="000B1541" w:rsidRPr="000B1541" w:rsidRDefault="000B1541" w:rsidP="00E35740">
      <w:pPr>
        <w:pStyle w:val="KPnormln"/>
        <w:keepNext/>
        <w:spacing w:after="40"/>
        <w:rPr>
          <w:b/>
        </w:rPr>
      </w:pPr>
      <w:r w:rsidRPr="000B1541">
        <w:rPr>
          <w:b/>
        </w:rPr>
        <w:t xml:space="preserve">Tabulka č. </w:t>
      </w:r>
      <w:r w:rsidRPr="000B1541">
        <w:rPr>
          <w:b/>
        </w:rPr>
        <w:fldChar w:fldCharType="begin"/>
      </w:r>
      <w:r w:rsidRPr="000B1541">
        <w:rPr>
          <w:b/>
        </w:rPr>
        <w:instrText xml:space="preserve"> SEQ Tabulka_č. \* ARABIC </w:instrText>
      </w:r>
      <w:r w:rsidRPr="000B1541">
        <w:rPr>
          <w:b/>
        </w:rPr>
        <w:fldChar w:fldCharType="separate"/>
      </w:r>
      <w:r w:rsidR="000366B6">
        <w:rPr>
          <w:b/>
          <w:noProof/>
        </w:rPr>
        <w:t>4</w:t>
      </w:r>
      <w:r w:rsidRPr="000B1541">
        <w:rPr>
          <w:b/>
        </w:rPr>
        <w:fldChar w:fldCharType="end"/>
      </w:r>
      <w:r w:rsidRPr="000B1541">
        <w:rPr>
          <w:b/>
        </w:rPr>
        <w:t>: Počty položek povinně pořizovaných v RS CZ dle CPV kódu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4990"/>
        <w:gridCol w:w="1928"/>
      </w:tblGrid>
      <w:tr w:rsidR="00410385" w:rsidRPr="0042381E" w14:paraId="782187A4" w14:textId="77777777" w:rsidTr="00E35740">
        <w:trPr>
          <w:trHeight w:val="283"/>
          <w:jc w:val="center"/>
        </w:trPr>
        <w:tc>
          <w:tcPr>
            <w:tcW w:w="1175" w:type="pct"/>
            <w:shd w:val="clear" w:color="auto" w:fill="E5F1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B0C35B4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381E">
              <w:rPr>
                <w:b/>
                <w:color w:val="000000"/>
                <w:sz w:val="20"/>
                <w:szCs w:val="20"/>
              </w:rPr>
              <w:t>Kód číselníku NIPEZ</w:t>
            </w:r>
          </w:p>
        </w:tc>
        <w:tc>
          <w:tcPr>
            <w:tcW w:w="2758" w:type="pct"/>
            <w:shd w:val="clear" w:color="auto" w:fill="E5F1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E74EA1F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b/>
                <w:color w:val="000000"/>
                <w:sz w:val="20"/>
                <w:szCs w:val="20"/>
              </w:rPr>
              <w:t>Název NIPEZ</w:t>
            </w:r>
          </w:p>
        </w:tc>
        <w:tc>
          <w:tcPr>
            <w:tcW w:w="1066" w:type="pct"/>
            <w:shd w:val="clear" w:color="auto" w:fill="E5F1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64675CA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b/>
                <w:bCs/>
                <w:color w:val="000000"/>
                <w:sz w:val="20"/>
                <w:szCs w:val="20"/>
              </w:rPr>
              <w:t>Počet CPV (položek)</w:t>
            </w:r>
          </w:p>
        </w:tc>
      </w:tr>
      <w:tr w:rsidR="00410385" w:rsidRPr="0042381E" w14:paraId="1557EEFD" w14:textId="77777777" w:rsidTr="00E35740">
        <w:trPr>
          <w:trHeight w:val="283"/>
          <w:jc w:val="center"/>
        </w:trPr>
        <w:tc>
          <w:tcPr>
            <w:tcW w:w="1175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395DA6CC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09310000-5</w:t>
            </w:r>
          </w:p>
        </w:tc>
        <w:tc>
          <w:tcPr>
            <w:tcW w:w="2758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8D4C2A4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Elektrická energie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53BE1F2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</w:t>
            </w:r>
          </w:p>
        </w:tc>
      </w:tr>
      <w:tr w:rsidR="00410385" w:rsidRPr="0042381E" w14:paraId="37A10319" w14:textId="77777777" w:rsidTr="00E35740">
        <w:trPr>
          <w:trHeight w:val="283"/>
          <w:jc w:val="center"/>
        </w:trPr>
        <w:tc>
          <w:tcPr>
            <w:tcW w:w="1175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69780CF1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09120000-6</w:t>
            </w:r>
          </w:p>
        </w:tc>
        <w:tc>
          <w:tcPr>
            <w:tcW w:w="2758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9559C2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Plynná paliva</w:t>
            </w:r>
          </w:p>
        </w:tc>
        <w:tc>
          <w:tcPr>
            <w:tcW w:w="1066" w:type="pc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25A14A02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0385" w:rsidRPr="0042381E" w14:paraId="64013A23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7009DCA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64200000-8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DB221B4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Telekomunikační služby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5C3CFA2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41</w:t>
            </w:r>
          </w:p>
        </w:tc>
      </w:tr>
      <w:tr w:rsidR="00410385" w:rsidRPr="0042381E" w14:paraId="6076F85F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E204B13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7ECE321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Kancelářská technika a zařízení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35D250EA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72</w:t>
            </w:r>
          </w:p>
        </w:tc>
      </w:tr>
      <w:tr w:rsidR="00410385" w:rsidRPr="0042381E" w14:paraId="0548A5AF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234CC5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8450FDD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Počítače a stroje na zpracování dat a datová média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C7E5326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141</w:t>
            </w:r>
          </w:p>
        </w:tc>
      </w:tr>
      <w:tr w:rsidR="00410385" w:rsidRPr="0042381E" w14:paraId="54FCFF91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F08EBFC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34110000-1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521258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Osobní vozidla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7B966DBE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21</w:t>
            </w:r>
          </w:p>
        </w:tc>
      </w:tr>
      <w:tr w:rsidR="00410385" w:rsidRPr="0042381E" w14:paraId="3DACAB93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08E54D19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5FCB6F61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Nábytek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1A7CB807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96</w:t>
            </w:r>
          </w:p>
        </w:tc>
      </w:tr>
      <w:tr w:rsidR="00410385" w:rsidRPr="0042381E" w14:paraId="28820117" w14:textId="77777777" w:rsidTr="00E35740">
        <w:trPr>
          <w:trHeight w:val="283"/>
          <w:jc w:val="center"/>
        </w:trPr>
        <w:tc>
          <w:tcPr>
            <w:tcW w:w="1175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43F07BC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58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21188F44" w14:textId="77777777" w:rsidR="00410385" w:rsidRPr="0042381E" w:rsidRDefault="00410385" w:rsidP="00E35740">
            <w:pPr>
              <w:keepNext/>
              <w:autoSpaceDE w:val="0"/>
              <w:autoSpaceDN w:val="0"/>
              <w:spacing w:before="20" w:after="20" w:line="240" w:lineRule="auto"/>
              <w:jc w:val="lef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Kancelářské potřeby</w:t>
            </w:r>
          </w:p>
        </w:tc>
        <w:tc>
          <w:tcPr>
            <w:tcW w:w="1066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14:paraId="463CE09F" w14:textId="77777777" w:rsidR="00410385" w:rsidRPr="0042381E" w:rsidRDefault="00410385" w:rsidP="00606081">
            <w:pPr>
              <w:keepNext/>
              <w:autoSpaceDE w:val="0"/>
              <w:autoSpaceDN w:val="0"/>
              <w:spacing w:before="20" w:after="20" w:line="240" w:lineRule="auto"/>
              <w:ind w:right="806"/>
              <w:jc w:val="right"/>
              <w:rPr>
                <w:color w:val="000000"/>
                <w:sz w:val="20"/>
                <w:szCs w:val="20"/>
              </w:rPr>
            </w:pPr>
            <w:r w:rsidRPr="0042381E">
              <w:rPr>
                <w:color w:val="000000"/>
                <w:sz w:val="20"/>
                <w:szCs w:val="20"/>
              </w:rPr>
              <w:t>185</w:t>
            </w:r>
          </w:p>
        </w:tc>
      </w:tr>
    </w:tbl>
    <w:p w14:paraId="1E709438" w14:textId="0FE3B549" w:rsidR="00410385" w:rsidRPr="00343079" w:rsidRDefault="00410385" w:rsidP="00E35740">
      <w:pPr>
        <w:keepNext/>
        <w:spacing w:before="40"/>
        <w:rPr>
          <w:rFonts w:cstheme="minorHAnsi"/>
          <w:sz w:val="20"/>
          <w:szCs w:val="20"/>
        </w:rPr>
      </w:pPr>
      <w:r w:rsidRPr="0042381E">
        <w:rPr>
          <w:rFonts w:cstheme="minorHAnsi"/>
          <w:b/>
          <w:sz w:val="20"/>
          <w:szCs w:val="20"/>
        </w:rPr>
        <w:t>Zdroj:</w:t>
      </w:r>
      <w:r w:rsidRPr="0042381E">
        <w:rPr>
          <w:rFonts w:cstheme="minorHAnsi"/>
          <w:sz w:val="20"/>
          <w:szCs w:val="20"/>
        </w:rPr>
        <w:t xml:space="preserve"> </w:t>
      </w:r>
      <w:r w:rsidR="00606081">
        <w:rPr>
          <w:rFonts w:eastAsia="Calibri"/>
          <w:sz w:val="20"/>
          <w:szCs w:val="20"/>
        </w:rPr>
        <w:t>p</w:t>
      </w:r>
      <w:r w:rsidRPr="0042381E">
        <w:rPr>
          <w:rFonts w:eastAsia="Calibri"/>
          <w:sz w:val="20"/>
          <w:szCs w:val="20"/>
        </w:rPr>
        <w:t>říloha č. 2 usnesení vlády ze dne 18. ledna 2016</w:t>
      </w:r>
      <w:r w:rsidR="009A5516" w:rsidRPr="009A5516">
        <w:rPr>
          <w:rFonts w:eastAsia="Calibri"/>
          <w:sz w:val="20"/>
          <w:szCs w:val="20"/>
        </w:rPr>
        <w:t xml:space="preserve"> </w:t>
      </w:r>
      <w:r w:rsidR="009A5516" w:rsidRPr="0042381E">
        <w:rPr>
          <w:rFonts w:eastAsia="Calibri"/>
          <w:sz w:val="20"/>
          <w:szCs w:val="20"/>
        </w:rPr>
        <w:t>č. 24</w:t>
      </w:r>
      <w:r w:rsidRPr="0042381E">
        <w:rPr>
          <w:rFonts w:eastAsia="Calibri"/>
          <w:sz w:val="20"/>
          <w:szCs w:val="20"/>
        </w:rPr>
        <w:t>, číselník NIPEZ</w:t>
      </w:r>
      <w:r w:rsidR="00606081">
        <w:rPr>
          <w:rFonts w:eastAsia="Calibri"/>
          <w:sz w:val="20"/>
          <w:szCs w:val="20"/>
        </w:rPr>
        <w:t>.</w:t>
      </w:r>
    </w:p>
    <w:p w14:paraId="5FF2D90C" w14:textId="77777777" w:rsidR="00410385" w:rsidRDefault="00410385" w:rsidP="00410385">
      <w:r>
        <w:t>Centralizovaně na úrovni celého resortu tak mají být pořizovány např.</w:t>
      </w:r>
      <w:r w:rsidR="00413E5B">
        <w:t xml:space="preserve"> </w:t>
      </w:r>
      <w:r w:rsidRPr="00811CFA">
        <w:t>napínáčky a</w:t>
      </w:r>
      <w:r>
        <w:t> </w:t>
      </w:r>
      <w:r w:rsidRPr="00811CFA">
        <w:t>ořezávátka</w:t>
      </w:r>
      <w:r>
        <w:t>, stejně</w:t>
      </w:r>
      <w:r w:rsidRPr="00811CFA">
        <w:t xml:space="preserve"> jako osobní automobily či síťové servery</w:t>
      </w:r>
      <w:r w:rsidRPr="00C77DE2">
        <w:t>.</w:t>
      </w:r>
      <w:r>
        <w:t xml:space="preserve"> U těchto komodit tak musí napříč c</w:t>
      </w:r>
      <w:r w:rsidR="00195356">
        <w:t>elým resortem existovat shoda nejen na</w:t>
      </w:r>
      <w:r>
        <w:t xml:space="preserve"> technických parametrech nakupovaných komodit</w:t>
      </w:r>
      <w:r w:rsidR="00195356">
        <w:t>, ale i na období nákupu</w:t>
      </w:r>
      <w:r>
        <w:t xml:space="preserve">. </w:t>
      </w:r>
    </w:p>
    <w:p w14:paraId="027D7DC0" w14:textId="174E31D6" w:rsidR="00410385" w:rsidRPr="007077E7" w:rsidRDefault="00410385" w:rsidP="00410385">
      <w:r>
        <w:t>MV</w:t>
      </w:r>
      <w:r w:rsidR="00195356">
        <w:t xml:space="preserve"> </w:t>
      </w:r>
      <w:r>
        <w:t>nad rámec pravidel RS CZ stanovilo vnitřními předpisy proces schvalování výjimek z</w:t>
      </w:r>
      <w:r w:rsidR="001C3DE0">
        <w:t> </w:t>
      </w:r>
      <w:r>
        <w:t>nákupu v</w:t>
      </w:r>
      <w:r w:rsidR="00963B01">
        <w:t xml:space="preserve"> </w:t>
      </w:r>
      <w:r>
        <w:t>RS</w:t>
      </w:r>
      <w:r w:rsidR="00963B01">
        <w:t xml:space="preserve"> </w:t>
      </w:r>
      <w:r>
        <w:t>CZ. Centrální zadavatel v</w:t>
      </w:r>
      <w:r w:rsidR="00963B01">
        <w:t xml:space="preserve"> </w:t>
      </w:r>
      <w:r>
        <w:t>resortu MV musí schválit nákup komodit s jinými technickými parametry</w:t>
      </w:r>
      <w:r w:rsidR="00A655CB">
        <w:t>,</w:t>
      </w:r>
      <w:r>
        <w:t xml:space="preserve"> než jsou uvedeny v</w:t>
      </w:r>
      <w:r w:rsidR="00963B01">
        <w:t xml:space="preserve"> </w:t>
      </w:r>
      <w:r w:rsidRPr="00343079">
        <w:t>rámcový</w:t>
      </w:r>
      <w:r>
        <w:t>ch</w:t>
      </w:r>
      <w:r w:rsidRPr="00343079">
        <w:t xml:space="preserve"> dohodá</w:t>
      </w:r>
      <w:r>
        <w:t>ch uzavřených v RS</w:t>
      </w:r>
      <w:r w:rsidR="00963B01">
        <w:t xml:space="preserve"> </w:t>
      </w:r>
      <w:r>
        <w:t>CZ</w:t>
      </w:r>
      <w:r w:rsidR="004C358F">
        <w:rPr>
          <w:rStyle w:val="Znakapoznpodarou"/>
        </w:rPr>
        <w:footnoteReference w:id="38"/>
      </w:r>
      <w:r w:rsidRPr="00343079">
        <w:t xml:space="preserve">. Pověřující zadavatel </w:t>
      </w:r>
      <w:r>
        <w:t xml:space="preserve">tak musí </w:t>
      </w:r>
      <w:r w:rsidRPr="00343079">
        <w:t>požádat centrálního zadavatele o schválení takového nákupu</w:t>
      </w:r>
      <w:r>
        <w:t xml:space="preserve"> včetně </w:t>
      </w:r>
      <w:r w:rsidRPr="00343079">
        <w:t>odůvodn</w:t>
      </w:r>
      <w:r>
        <w:t>ění</w:t>
      </w:r>
      <w:r w:rsidRPr="00343079">
        <w:t xml:space="preserve"> postup</w:t>
      </w:r>
      <w:r>
        <w:t>u</w:t>
      </w:r>
      <w:r w:rsidRPr="00343079">
        <w:t xml:space="preserve">. </w:t>
      </w:r>
      <w:r>
        <w:t>Jen</w:t>
      </w:r>
      <w:r w:rsidRPr="00343079">
        <w:t xml:space="preserve"> u</w:t>
      </w:r>
      <w:r w:rsidR="00963B01">
        <w:t xml:space="preserve"> </w:t>
      </w:r>
      <w:r w:rsidRPr="00343079">
        <w:t xml:space="preserve">položky </w:t>
      </w:r>
      <w:r w:rsidR="00353E6E">
        <w:rPr>
          <w:i/>
        </w:rPr>
        <w:t>k</w:t>
      </w:r>
      <w:r w:rsidRPr="009C5859">
        <w:rPr>
          <w:i/>
        </w:rPr>
        <w:t>ancelářské potřeby</w:t>
      </w:r>
      <w:r w:rsidRPr="00343079">
        <w:t xml:space="preserve"> </w:t>
      </w:r>
      <w:r>
        <w:t>MV s</w:t>
      </w:r>
      <w:r w:rsidR="00195356">
        <w:t>chválilo v</w:t>
      </w:r>
      <w:r w:rsidR="00963B01">
        <w:t xml:space="preserve"> </w:t>
      </w:r>
      <w:r w:rsidR="00195356">
        <w:t xml:space="preserve">roce 2017 celkem 321 </w:t>
      </w:r>
      <w:r>
        <w:t xml:space="preserve">výjimek, u komodity </w:t>
      </w:r>
      <w:r w:rsidR="00353E6E">
        <w:rPr>
          <w:i/>
        </w:rPr>
        <w:t>p</w:t>
      </w:r>
      <w:r>
        <w:rPr>
          <w:i/>
        </w:rPr>
        <w:t xml:space="preserve">očítače a stroje a zpracování dat a datová média </w:t>
      </w:r>
      <w:r w:rsidRPr="003278D6">
        <w:t>127</w:t>
      </w:r>
      <w:r w:rsidR="003B5886">
        <w:t> </w:t>
      </w:r>
      <w:r>
        <w:t>výjimek</w:t>
      </w:r>
      <w:r>
        <w:rPr>
          <w:i/>
        </w:rPr>
        <w:t xml:space="preserve">, </w:t>
      </w:r>
      <w:r>
        <w:t>přičemž</w:t>
      </w:r>
      <w:r w:rsidRPr="00343079">
        <w:t xml:space="preserve"> </w:t>
      </w:r>
      <w:r>
        <w:t>n</w:t>
      </w:r>
      <w:r w:rsidRPr="00343079">
        <w:t>ěkteré z</w:t>
      </w:r>
      <w:r w:rsidR="00963B01">
        <w:t xml:space="preserve"> </w:t>
      </w:r>
      <w:r w:rsidRPr="00343079">
        <w:t>požadavků se týkaly</w:t>
      </w:r>
      <w:r>
        <w:t xml:space="preserve"> nákupů v řádech sto</w:t>
      </w:r>
      <w:r w:rsidR="00911E09">
        <w:t>vek</w:t>
      </w:r>
      <w:r w:rsidRPr="00343079">
        <w:t xml:space="preserve"> korun</w:t>
      </w:r>
      <w:r>
        <w:t>.</w:t>
      </w:r>
      <w:r>
        <w:rPr>
          <w:i/>
        </w:rPr>
        <w:t xml:space="preserve"> </w:t>
      </w:r>
    </w:p>
    <w:p w14:paraId="234DE0CE" w14:textId="77777777" w:rsidR="00410385" w:rsidRDefault="00195356" w:rsidP="00410385">
      <w:pPr>
        <w:rPr>
          <w:rFonts w:cstheme="minorHAnsi"/>
        </w:rPr>
      </w:pPr>
      <w:r>
        <w:rPr>
          <w:rFonts w:cstheme="minorHAnsi"/>
        </w:rPr>
        <w:t>Jednou z příčin</w:t>
      </w:r>
      <w:r w:rsidR="00410385" w:rsidRPr="00CB4FC4">
        <w:t xml:space="preserve"> tohoto stavu je příliš široké vymezení centralizovaně nakupovaných komodit, které je stanoveno </w:t>
      </w:r>
      <w:r w:rsidR="00410385" w:rsidRPr="00CB4FC4">
        <w:rPr>
          <w:rFonts w:cstheme="minorHAnsi"/>
        </w:rPr>
        <w:t xml:space="preserve">odkazem na </w:t>
      </w:r>
      <w:r w:rsidR="0042381E" w:rsidRPr="0042381E">
        <w:rPr>
          <w:rFonts w:cstheme="minorHAnsi"/>
        </w:rPr>
        <w:t>číselník</w:t>
      </w:r>
      <w:r w:rsidR="00410385" w:rsidRPr="0042381E">
        <w:rPr>
          <w:rFonts w:cstheme="minorHAnsi"/>
        </w:rPr>
        <w:t xml:space="preserve"> NIPEZ</w:t>
      </w:r>
      <w:r w:rsidR="00410385" w:rsidRPr="00882F32">
        <w:rPr>
          <w:rFonts w:cstheme="minorHAnsi"/>
        </w:rPr>
        <w:t>.</w:t>
      </w:r>
      <w:r w:rsidR="00410385">
        <w:rPr>
          <w:rFonts w:cstheme="minorHAnsi"/>
        </w:rPr>
        <w:t xml:space="preserve"> </w:t>
      </w:r>
      <w:r w:rsidR="00410385" w:rsidRPr="00343079">
        <w:t xml:space="preserve">Schvalování výjimek </w:t>
      </w:r>
      <w:r>
        <w:t xml:space="preserve">představuje pro centrální i pověřující zadavatele </w:t>
      </w:r>
      <w:r w:rsidR="00062CAE">
        <w:t>v</w:t>
      </w:r>
      <w:r w:rsidR="00963B01">
        <w:t xml:space="preserve"> </w:t>
      </w:r>
      <w:r w:rsidR="00062CAE">
        <w:t xml:space="preserve">resortu MV </w:t>
      </w:r>
      <w:r>
        <w:t>zvýšenou administrativní zátěž</w:t>
      </w:r>
      <w:r w:rsidR="00062CAE">
        <w:t xml:space="preserve"> a takový postup </w:t>
      </w:r>
      <w:r w:rsidR="00062CAE" w:rsidRPr="00343079">
        <w:rPr>
          <w:rFonts w:cstheme="minorHAnsi"/>
        </w:rPr>
        <w:t xml:space="preserve">nevede </w:t>
      </w:r>
      <w:r w:rsidR="00062CAE" w:rsidRPr="00343079">
        <w:rPr>
          <w:rFonts w:cstheme="minorHAnsi"/>
        </w:rPr>
        <w:lastRenderedPageBreak/>
        <w:t>k zefektivnění nákupů prostřednictvím centralizovaného z</w:t>
      </w:r>
      <w:r w:rsidR="00062CAE" w:rsidRPr="00CB4FC4">
        <w:rPr>
          <w:rFonts w:cstheme="minorHAnsi"/>
        </w:rPr>
        <w:t>adávání.</w:t>
      </w:r>
      <w:r>
        <w:t xml:space="preserve"> </w:t>
      </w:r>
      <w:r w:rsidR="00410385" w:rsidRPr="00343079">
        <w:t>Systém centralizovaného zadávání se tak stává méně pružným a</w:t>
      </w:r>
      <w:r w:rsidR="00963B01">
        <w:t xml:space="preserve"> </w:t>
      </w:r>
      <w:r w:rsidR="00410385" w:rsidRPr="00343079">
        <w:t xml:space="preserve">pomalejším. </w:t>
      </w:r>
    </w:p>
    <w:p w14:paraId="7DB5FF33" w14:textId="77777777" w:rsidR="00865CF9" w:rsidRPr="00B959C2" w:rsidRDefault="00410385" w:rsidP="00410385">
      <w:r w:rsidRPr="00E35850">
        <w:rPr>
          <w:rFonts w:cstheme="minorHAnsi"/>
        </w:rPr>
        <w:t xml:space="preserve">Z hlediska </w:t>
      </w:r>
      <w:r>
        <w:t>zákona č.</w:t>
      </w:r>
      <w:r w:rsidR="00963B01">
        <w:t xml:space="preserve"> </w:t>
      </w:r>
      <w:r>
        <w:t>134/2016</w:t>
      </w:r>
      <w:r w:rsidR="00963B01">
        <w:t xml:space="preserve"> </w:t>
      </w:r>
      <w:r>
        <w:t>Sb</w:t>
      </w:r>
      <w:r w:rsidR="00D03AF9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E35850">
        <w:rPr>
          <w:rFonts w:cstheme="minorHAnsi"/>
        </w:rPr>
        <w:t>je nákup pouze</w:t>
      </w:r>
      <w:r w:rsidR="00963B01">
        <w:rPr>
          <w:rFonts w:cstheme="minorHAnsi"/>
        </w:rPr>
        <w:t xml:space="preserve"> </w:t>
      </w:r>
      <w:r w:rsidRPr="00E35850">
        <w:rPr>
          <w:rFonts w:cstheme="minorHAnsi"/>
        </w:rPr>
        <w:t xml:space="preserve">jednou </w:t>
      </w:r>
      <w:r>
        <w:rPr>
          <w:rFonts w:cstheme="minorHAnsi"/>
        </w:rPr>
        <w:t>z</w:t>
      </w:r>
      <w:r w:rsidR="00963B01">
        <w:rPr>
          <w:rFonts w:cstheme="minorHAnsi"/>
        </w:rPr>
        <w:t xml:space="preserve"> </w:t>
      </w:r>
      <w:r w:rsidR="00D03AF9">
        <w:rPr>
          <w:rFonts w:cstheme="minorHAnsi"/>
        </w:rPr>
        <w:t>možností,</w:t>
      </w:r>
      <w:r w:rsidRPr="00E35850">
        <w:rPr>
          <w:rFonts w:cstheme="minorHAnsi"/>
        </w:rPr>
        <w:t xml:space="preserve"> jak </w:t>
      </w:r>
      <w:r>
        <w:rPr>
          <w:rFonts w:cstheme="minorHAnsi"/>
        </w:rPr>
        <w:t>mů</w:t>
      </w:r>
      <w:r w:rsidR="00D03AF9">
        <w:rPr>
          <w:rFonts w:cstheme="minorHAnsi"/>
        </w:rPr>
        <w:t>že zadavatel pořizovat komodity. P</w:t>
      </w:r>
      <w:r>
        <w:rPr>
          <w:rFonts w:cstheme="minorHAnsi"/>
        </w:rPr>
        <w:t>od pojmem pořízení</w:t>
      </w:r>
      <w:r w:rsidRPr="00E35850">
        <w:rPr>
          <w:rFonts w:cstheme="minorHAnsi"/>
        </w:rPr>
        <w:t xml:space="preserve"> </w:t>
      </w:r>
      <w:r>
        <w:rPr>
          <w:rFonts w:cstheme="minorHAnsi"/>
        </w:rPr>
        <w:t>zákon rozumí</w:t>
      </w:r>
      <w:r w:rsidRPr="00E35850">
        <w:rPr>
          <w:rFonts w:cstheme="minorHAnsi"/>
        </w:rPr>
        <w:t xml:space="preserve"> zejména koup</w:t>
      </w:r>
      <w:r>
        <w:rPr>
          <w:rFonts w:cstheme="minorHAnsi"/>
        </w:rPr>
        <w:t>i</w:t>
      </w:r>
      <w:r w:rsidRPr="00E35850">
        <w:rPr>
          <w:rFonts w:cstheme="minorHAnsi"/>
        </w:rPr>
        <w:t>, nájem nebo pacht.</w:t>
      </w:r>
      <w:r w:rsidRPr="000A3B4C">
        <w:t xml:space="preserve"> </w:t>
      </w:r>
      <w:r w:rsidR="00B959C2">
        <w:rPr>
          <w:rFonts w:cstheme="minorHAnsi"/>
        </w:rPr>
        <w:t xml:space="preserve">Povinné pořizování komodit v RS CZ </w:t>
      </w:r>
      <w:r w:rsidR="00B959C2">
        <w:t xml:space="preserve">se vztahuje pouze na jejich nákup a jiné způsoby pořízení (např. nájem) nejsou </w:t>
      </w:r>
      <w:r w:rsidR="00B959C2">
        <w:rPr>
          <w:rFonts w:cstheme="minorHAnsi"/>
        </w:rPr>
        <w:t>do této povinnosti zahrnuty, přestože můžou</w:t>
      </w:r>
      <w:r w:rsidR="00B959C2" w:rsidRPr="001A4165">
        <w:rPr>
          <w:rFonts w:cstheme="minorHAnsi"/>
        </w:rPr>
        <w:t xml:space="preserve"> být hospodárnější</w:t>
      </w:r>
      <w:r w:rsidR="00B959C2">
        <w:rPr>
          <w:rFonts w:cstheme="minorHAnsi"/>
        </w:rPr>
        <w:t>.</w:t>
      </w:r>
      <w:r w:rsidR="00B959C2">
        <w:t xml:space="preserve"> </w:t>
      </w:r>
      <w:r w:rsidR="004817C7" w:rsidRPr="006A533F">
        <w:rPr>
          <w:rFonts w:cstheme="minorHAnsi"/>
        </w:rPr>
        <w:t xml:space="preserve">Například MV na základě provedené analýzy výhodnosti </w:t>
      </w:r>
      <w:r w:rsidR="00C626E9">
        <w:rPr>
          <w:rFonts w:cstheme="minorHAnsi"/>
        </w:rPr>
        <w:t>pořízení</w:t>
      </w:r>
      <w:r w:rsidR="00C626E9" w:rsidRPr="006A533F">
        <w:rPr>
          <w:rFonts w:cstheme="minorHAnsi"/>
        </w:rPr>
        <w:t xml:space="preserve"> </w:t>
      </w:r>
      <w:r w:rsidR="004817C7" w:rsidRPr="006A533F">
        <w:rPr>
          <w:rFonts w:cstheme="minorHAnsi"/>
        </w:rPr>
        <w:t>tiskáren rozhodlo o </w:t>
      </w:r>
      <w:r w:rsidR="00C626E9">
        <w:rPr>
          <w:rFonts w:cstheme="minorHAnsi"/>
        </w:rPr>
        <w:t xml:space="preserve">jejich </w:t>
      </w:r>
      <w:r w:rsidR="004817C7" w:rsidRPr="006A533F">
        <w:rPr>
          <w:rFonts w:cstheme="minorHAnsi"/>
        </w:rPr>
        <w:t xml:space="preserve">nájmu včetně souvisejících služeb (servis). Obdobně si MF a MMR </w:t>
      </w:r>
      <w:r w:rsidR="00C626E9" w:rsidRPr="006A533F">
        <w:rPr>
          <w:rFonts w:cstheme="minorHAnsi"/>
        </w:rPr>
        <w:t>pronajal</w:t>
      </w:r>
      <w:r w:rsidR="00C626E9">
        <w:rPr>
          <w:rFonts w:cstheme="minorHAnsi"/>
        </w:rPr>
        <w:t>a</w:t>
      </w:r>
      <w:r w:rsidR="00C626E9" w:rsidRPr="006A533F">
        <w:rPr>
          <w:rFonts w:cstheme="minorHAnsi"/>
        </w:rPr>
        <w:t xml:space="preserve"> referentsk</w:t>
      </w:r>
      <w:r w:rsidR="00C626E9">
        <w:rPr>
          <w:rFonts w:cstheme="minorHAnsi"/>
        </w:rPr>
        <w:t>á</w:t>
      </w:r>
      <w:r w:rsidR="00C626E9" w:rsidRPr="006A533F">
        <w:rPr>
          <w:rFonts w:cstheme="minorHAnsi"/>
        </w:rPr>
        <w:t xml:space="preserve"> </w:t>
      </w:r>
      <w:r w:rsidR="006A533F" w:rsidRPr="006A533F">
        <w:rPr>
          <w:rFonts w:cstheme="minorHAnsi"/>
        </w:rPr>
        <w:t xml:space="preserve">osobní </w:t>
      </w:r>
      <w:r w:rsidR="00C626E9" w:rsidRPr="006A533F">
        <w:rPr>
          <w:rFonts w:cstheme="minorHAnsi"/>
        </w:rPr>
        <w:t>vozidl</w:t>
      </w:r>
      <w:r w:rsidR="00C626E9">
        <w:rPr>
          <w:rFonts w:cstheme="minorHAnsi"/>
        </w:rPr>
        <w:t>a</w:t>
      </w:r>
      <w:r w:rsidR="006A533F" w:rsidRPr="006A533F">
        <w:rPr>
          <w:rFonts w:cstheme="minorHAnsi"/>
        </w:rPr>
        <w:t>.</w:t>
      </w:r>
    </w:p>
    <w:p w14:paraId="4A0C397E" w14:textId="77777777" w:rsidR="00C77081" w:rsidRDefault="000F6231" w:rsidP="000F6231">
      <w:pPr>
        <w:pStyle w:val="Nadpis2"/>
        <w:numPr>
          <w:ilvl w:val="0"/>
          <w:numId w:val="0"/>
        </w:numPr>
      </w:pPr>
      <w:r>
        <w:t xml:space="preserve">3. </w:t>
      </w:r>
      <w:r w:rsidR="00C77081" w:rsidRPr="00343079">
        <w:t>Centralizovaný nákup softwarových produktů</w:t>
      </w:r>
    </w:p>
    <w:p w14:paraId="52067B40" w14:textId="579D9C52" w:rsidR="00343079" w:rsidRPr="000372F5" w:rsidRDefault="00343079" w:rsidP="00343079">
      <w:r>
        <w:rPr>
          <w:rFonts w:cstheme="minorHAnsi"/>
        </w:rPr>
        <w:t xml:space="preserve">MV </w:t>
      </w:r>
      <w:r w:rsidR="00D14474">
        <w:rPr>
          <w:rFonts w:cstheme="minorHAnsi"/>
        </w:rPr>
        <w:t xml:space="preserve">realizuje centralizovaný nákup </w:t>
      </w:r>
      <w:r>
        <w:rPr>
          <w:rFonts w:cstheme="minorHAnsi"/>
        </w:rPr>
        <w:t>SW již od roku 2008</w:t>
      </w:r>
      <w:r w:rsidR="009D3B13">
        <w:rPr>
          <w:rFonts w:cstheme="minorHAnsi"/>
        </w:rPr>
        <w:t>, a to pro subjekty z celé veřejné správy</w:t>
      </w:r>
      <w:r>
        <w:rPr>
          <w:rFonts w:cstheme="minorHAnsi"/>
        </w:rPr>
        <w:t>.</w:t>
      </w:r>
      <w:r w:rsidRPr="00A639BC">
        <w:rPr>
          <w:lang w:eastAsia="cs-CZ"/>
        </w:rPr>
        <w:t xml:space="preserve"> </w:t>
      </w:r>
      <w:r>
        <w:rPr>
          <w:lang w:eastAsia="cs-CZ"/>
        </w:rPr>
        <w:t>V</w:t>
      </w:r>
      <w:r w:rsidR="00963B01">
        <w:rPr>
          <w:lang w:eastAsia="cs-CZ"/>
        </w:rPr>
        <w:t xml:space="preserve"> </w:t>
      </w:r>
      <w:r>
        <w:rPr>
          <w:lang w:eastAsia="cs-CZ"/>
        </w:rPr>
        <w:t xml:space="preserve">době kontroly mělo </w:t>
      </w:r>
      <w:r w:rsidRPr="00E35850">
        <w:rPr>
          <w:rFonts w:cstheme="minorHAnsi"/>
        </w:rPr>
        <w:t xml:space="preserve">MV </w:t>
      </w:r>
      <w:r>
        <w:rPr>
          <w:rFonts w:cstheme="minorHAnsi"/>
        </w:rPr>
        <w:t>uzavřen</w:t>
      </w:r>
      <w:r w:rsidR="008C088A">
        <w:rPr>
          <w:rFonts w:cstheme="minorHAnsi"/>
        </w:rPr>
        <w:t>y</w:t>
      </w:r>
      <w:r w:rsidRPr="00E35850">
        <w:rPr>
          <w:rFonts w:cstheme="minorHAnsi"/>
        </w:rPr>
        <w:t xml:space="preserve"> čtyři rámcové dohody</w:t>
      </w:r>
      <w:r w:rsidR="002D4E31">
        <w:rPr>
          <w:rStyle w:val="Znakapoznpodarou"/>
          <w:rFonts w:cstheme="minorHAnsi"/>
        </w:rPr>
        <w:footnoteReference w:id="39"/>
      </w:r>
      <w:r w:rsidRPr="00E35850">
        <w:rPr>
          <w:rFonts w:cstheme="minorHAnsi"/>
        </w:rPr>
        <w:t xml:space="preserve"> na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nákup softwarových</w:t>
      </w:r>
      <w:r w:rsidRPr="00E35850">
        <w:rPr>
          <w:rFonts w:cstheme="minorHAnsi"/>
        </w:rPr>
        <w:t xml:space="preserve"> produktů</w:t>
      </w:r>
      <w:r w:rsidR="00444586">
        <w:rPr>
          <w:rFonts w:cstheme="minorHAnsi"/>
        </w:rPr>
        <w:t xml:space="preserve"> společností</w:t>
      </w:r>
      <w:r w:rsidRPr="00E35850">
        <w:rPr>
          <w:rFonts w:cstheme="minorHAnsi"/>
        </w:rPr>
        <w:t xml:space="preserve"> </w:t>
      </w:r>
      <w:r>
        <w:rPr>
          <w:rFonts w:cstheme="minorHAnsi"/>
        </w:rPr>
        <w:t>Microsoft, VMware, IBM a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 xml:space="preserve">Cisco Systems </w:t>
      </w:r>
      <w:r w:rsidRPr="00E35850">
        <w:rPr>
          <w:rFonts w:cstheme="minorHAnsi"/>
        </w:rPr>
        <w:t>v celkové hodnotě 10</w:t>
      </w:r>
      <w:r w:rsidR="00963B01">
        <w:rPr>
          <w:rFonts w:cstheme="minorHAnsi"/>
        </w:rPr>
        <w:t xml:space="preserve"> </w:t>
      </w:r>
      <w:r w:rsidRPr="00E35850">
        <w:rPr>
          <w:rFonts w:cstheme="minorHAnsi"/>
        </w:rPr>
        <w:t>mld.</w:t>
      </w:r>
      <w:r w:rsidR="00963B01">
        <w:rPr>
          <w:rFonts w:cstheme="minorHAnsi"/>
        </w:rPr>
        <w:t xml:space="preserve"> </w:t>
      </w:r>
      <w:r w:rsidRPr="00E35850">
        <w:rPr>
          <w:rFonts w:cstheme="minorHAnsi"/>
        </w:rPr>
        <w:t>Kč</w:t>
      </w:r>
      <w:r w:rsidR="000372F5">
        <w:rPr>
          <w:rFonts w:cstheme="minorHAnsi"/>
        </w:rPr>
        <w:t>. V rámcových dohodách byly stanoveny</w:t>
      </w:r>
      <w:r>
        <w:rPr>
          <w:rFonts w:cstheme="minorHAnsi"/>
        </w:rPr>
        <w:t xml:space="preserve"> </w:t>
      </w:r>
      <w:r w:rsidR="00331649">
        <w:rPr>
          <w:rFonts w:cstheme="minorHAnsi"/>
        </w:rPr>
        <w:t xml:space="preserve">slevy </w:t>
      </w:r>
      <w:r w:rsidR="000372F5">
        <w:rPr>
          <w:rFonts w:cstheme="minorHAnsi"/>
        </w:rPr>
        <w:t>z</w:t>
      </w:r>
      <w:r w:rsidR="00963B01">
        <w:rPr>
          <w:rFonts w:cstheme="minorHAnsi"/>
        </w:rPr>
        <w:t xml:space="preserve"> </w:t>
      </w:r>
      <w:r w:rsidR="000372F5">
        <w:rPr>
          <w:rFonts w:cstheme="minorHAnsi"/>
        </w:rPr>
        <w:t>ceníkových cen. D</w:t>
      </w:r>
      <w:r>
        <w:rPr>
          <w:rFonts w:cstheme="minorHAnsi"/>
        </w:rPr>
        <w:t xml:space="preserve">odavatelé </w:t>
      </w:r>
      <w:r w:rsidR="00A65328">
        <w:rPr>
          <w:rFonts w:cstheme="minorHAnsi"/>
        </w:rPr>
        <w:t>byli povinni</w:t>
      </w:r>
      <w:r w:rsidR="00EA6462">
        <w:rPr>
          <w:rFonts w:cstheme="minorHAnsi"/>
        </w:rPr>
        <w:t xml:space="preserve"> </w:t>
      </w:r>
      <w:r w:rsidR="000372F5">
        <w:rPr>
          <w:rFonts w:cstheme="minorHAnsi"/>
        </w:rPr>
        <w:t xml:space="preserve">tyto slevy </w:t>
      </w:r>
      <w:r w:rsidR="00516CB4">
        <w:rPr>
          <w:rFonts w:cstheme="minorHAnsi"/>
        </w:rPr>
        <w:t>nabídnout v</w:t>
      </w:r>
      <w:r w:rsidR="00963B01">
        <w:rPr>
          <w:rFonts w:cstheme="minorHAnsi"/>
        </w:rPr>
        <w:t xml:space="preserve"> </w:t>
      </w:r>
      <w:r w:rsidR="00516CB4">
        <w:rPr>
          <w:rFonts w:cstheme="minorHAnsi"/>
        </w:rPr>
        <w:t>dílčích VZ</w:t>
      </w:r>
      <w:r w:rsidR="000372F5">
        <w:rPr>
          <w:rFonts w:cstheme="minorHAnsi"/>
        </w:rPr>
        <w:t xml:space="preserve">, a to minimálně ve </w:t>
      </w:r>
      <w:r w:rsidR="00C626E9">
        <w:rPr>
          <w:rFonts w:cstheme="minorHAnsi"/>
        </w:rPr>
        <w:t xml:space="preserve">výších uvedených </w:t>
      </w:r>
      <w:r w:rsidR="000372F5">
        <w:rPr>
          <w:rFonts w:cstheme="minorHAnsi"/>
        </w:rPr>
        <w:t>v</w:t>
      </w:r>
      <w:r w:rsidR="00963B01">
        <w:rPr>
          <w:rFonts w:cstheme="minorHAnsi"/>
        </w:rPr>
        <w:t xml:space="preserve"> </w:t>
      </w:r>
      <w:r w:rsidR="000372F5">
        <w:rPr>
          <w:rFonts w:cstheme="minorHAnsi"/>
        </w:rPr>
        <w:t>rámcových dohodách</w:t>
      </w:r>
      <w:r w:rsidR="008F63BF">
        <w:rPr>
          <w:rStyle w:val="Znakapoznpodarou"/>
          <w:rFonts w:cstheme="minorHAnsi"/>
        </w:rPr>
        <w:footnoteReference w:id="40"/>
      </w:r>
      <w:r w:rsidR="00A65328">
        <w:rPr>
          <w:rFonts w:cstheme="minorHAnsi"/>
        </w:rPr>
        <w:t>.</w:t>
      </w:r>
      <w:r w:rsidR="000372F5">
        <w:t xml:space="preserve"> </w:t>
      </w:r>
      <w:r w:rsidR="001047F7">
        <w:rPr>
          <w:rFonts w:cstheme="minorHAnsi"/>
        </w:rPr>
        <w:t>N</w:t>
      </w:r>
      <w:r w:rsidRPr="00E35850">
        <w:rPr>
          <w:rFonts w:cstheme="minorHAnsi"/>
        </w:rPr>
        <w:t xml:space="preserve">ákup </w:t>
      </w:r>
      <w:r w:rsidR="00B7593A">
        <w:rPr>
          <w:rFonts w:cstheme="minorHAnsi"/>
        </w:rPr>
        <w:t xml:space="preserve">SW </w:t>
      </w:r>
      <w:r w:rsidR="006324C0">
        <w:rPr>
          <w:rFonts w:cstheme="minorHAnsi"/>
        </w:rPr>
        <w:t>mohl</w:t>
      </w:r>
      <w:r w:rsidR="000372F5">
        <w:rPr>
          <w:rFonts w:cstheme="minorHAnsi"/>
        </w:rPr>
        <w:t>i</w:t>
      </w:r>
      <w:r>
        <w:rPr>
          <w:rFonts w:cstheme="minorHAnsi"/>
        </w:rPr>
        <w:t xml:space="preserve"> realizovat přímo</w:t>
      </w:r>
      <w:r w:rsidRPr="00E35850">
        <w:rPr>
          <w:rFonts w:cstheme="minorHAnsi"/>
        </w:rPr>
        <w:t xml:space="preserve"> pověřující zadavatel</w:t>
      </w:r>
      <w:r w:rsidR="000372F5">
        <w:rPr>
          <w:rFonts w:cstheme="minorHAnsi"/>
        </w:rPr>
        <w:t>é</w:t>
      </w:r>
      <w:r w:rsidRPr="00E35850">
        <w:rPr>
          <w:rFonts w:cstheme="minorHAnsi"/>
        </w:rPr>
        <w:t xml:space="preserve"> </w:t>
      </w:r>
      <w:r>
        <w:rPr>
          <w:rFonts w:cstheme="minorHAnsi"/>
        </w:rPr>
        <w:t xml:space="preserve">nebo </w:t>
      </w:r>
      <w:r w:rsidR="006324C0">
        <w:rPr>
          <w:rFonts w:cstheme="minorHAnsi"/>
        </w:rPr>
        <w:t>mohl</w:t>
      </w:r>
      <w:r w:rsidR="000372F5">
        <w:rPr>
          <w:rFonts w:cstheme="minorHAnsi"/>
        </w:rPr>
        <w:t>i</w:t>
      </w:r>
      <w:r w:rsidR="006324C0">
        <w:rPr>
          <w:rFonts w:cstheme="minorHAnsi"/>
        </w:rPr>
        <w:t xml:space="preserve"> využít </w:t>
      </w:r>
      <w:r w:rsidR="000372F5">
        <w:rPr>
          <w:rFonts w:cstheme="minorHAnsi"/>
        </w:rPr>
        <w:t xml:space="preserve">služeb </w:t>
      </w:r>
      <w:r w:rsidRPr="00E35850">
        <w:rPr>
          <w:rFonts w:cstheme="minorHAnsi"/>
        </w:rPr>
        <w:t>c</w:t>
      </w:r>
      <w:r>
        <w:rPr>
          <w:rFonts w:cstheme="minorHAnsi"/>
        </w:rPr>
        <w:t>entrálního zadavatele</w:t>
      </w:r>
      <w:r w:rsidR="001047F7">
        <w:rPr>
          <w:rFonts w:cstheme="minorHAnsi"/>
        </w:rPr>
        <w:t>, tj. MV</w:t>
      </w:r>
      <w:r>
        <w:rPr>
          <w:rFonts w:cstheme="minorHAnsi"/>
        </w:rPr>
        <w:t xml:space="preserve">. </w:t>
      </w:r>
      <w:r w:rsidR="006324C0">
        <w:rPr>
          <w:lang w:eastAsia="cs-CZ"/>
        </w:rPr>
        <w:t>V druhém případě</w:t>
      </w:r>
      <w:r>
        <w:rPr>
          <w:lang w:eastAsia="cs-CZ"/>
        </w:rPr>
        <w:t xml:space="preserve"> měli pověřující zadavatelé minimální administrativní zátěž spojenou </w:t>
      </w:r>
      <w:r w:rsidR="006324C0">
        <w:rPr>
          <w:lang w:eastAsia="cs-CZ"/>
        </w:rPr>
        <w:t>s</w:t>
      </w:r>
      <w:r w:rsidR="00963B01">
        <w:rPr>
          <w:lang w:eastAsia="cs-CZ"/>
        </w:rPr>
        <w:t xml:space="preserve"> </w:t>
      </w:r>
      <w:r w:rsidR="006324C0">
        <w:rPr>
          <w:lang w:eastAsia="cs-CZ"/>
        </w:rPr>
        <w:t xml:space="preserve">realizací </w:t>
      </w:r>
      <w:r w:rsidR="000161C4">
        <w:rPr>
          <w:lang w:eastAsia="cs-CZ"/>
        </w:rPr>
        <w:t>nákupu SW</w:t>
      </w:r>
      <w:r>
        <w:rPr>
          <w:lang w:eastAsia="cs-CZ"/>
        </w:rPr>
        <w:t>.</w:t>
      </w:r>
    </w:p>
    <w:p w14:paraId="5DB33657" w14:textId="5482DEEA" w:rsidR="0058310A" w:rsidRDefault="00343079" w:rsidP="00343079">
      <w:pPr>
        <w:rPr>
          <w:rFonts w:cstheme="minorHAnsi"/>
        </w:rPr>
      </w:pPr>
      <w:r>
        <w:rPr>
          <w:rFonts w:cstheme="minorHAnsi"/>
        </w:rPr>
        <w:t xml:space="preserve">V </w:t>
      </w:r>
      <w:r w:rsidR="001047F7">
        <w:rPr>
          <w:rFonts w:cstheme="minorHAnsi"/>
        </w:rPr>
        <w:t xml:space="preserve">letech </w:t>
      </w:r>
      <w:r>
        <w:rPr>
          <w:rFonts w:cstheme="minorHAnsi"/>
        </w:rPr>
        <w:t>2014–</w:t>
      </w:r>
      <w:r w:rsidRPr="00370F17">
        <w:rPr>
          <w:rFonts w:cstheme="minorHAnsi"/>
        </w:rPr>
        <w:t>2017 bylo na</w:t>
      </w:r>
      <w:r w:rsidR="00963B01">
        <w:rPr>
          <w:rFonts w:cstheme="minorHAnsi"/>
        </w:rPr>
        <w:t xml:space="preserve"> </w:t>
      </w:r>
      <w:r w:rsidRPr="00370F17">
        <w:rPr>
          <w:rFonts w:cstheme="minorHAnsi"/>
        </w:rPr>
        <w:t>zák</w:t>
      </w:r>
      <w:r>
        <w:rPr>
          <w:rFonts w:cstheme="minorHAnsi"/>
        </w:rPr>
        <w:t xml:space="preserve">ladě </w:t>
      </w:r>
      <w:r w:rsidR="001047F7">
        <w:rPr>
          <w:rFonts w:cstheme="minorHAnsi"/>
        </w:rPr>
        <w:t xml:space="preserve">výše uvedených </w:t>
      </w:r>
      <w:r>
        <w:rPr>
          <w:rFonts w:cstheme="minorHAnsi"/>
        </w:rPr>
        <w:t xml:space="preserve">rámcových </w:t>
      </w:r>
      <w:r w:rsidR="008F5193">
        <w:rPr>
          <w:rFonts w:cstheme="minorHAnsi"/>
        </w:rPr>
        <w:t xml:space="preserve">dohod </w:t>
      </w:r>
      <w:r w:rsidRPr="00370F17">
        <w:rPr>
          <w:rFonts w:cstheme="minorHAnsi"/>
        </w:rPr>
        <w:t>realizováno celkem 597</w:t>
      </w:r>
      <w:r>
        <w:rPr>
          <w:rFonts w:cstheme="minorHAnsi"/>
        </w:rPr>
        <w:t> </w:t>
      </w:r>
      <w:r w:rsidR="000372F5">
        <w:rPr>
          <w:rFonts w:cstheme="minorHAnsi"/>
        </w:rPr>
        <w:t>veřejných zakázek</w:t>
      </w:r>
      <w:r w:rsidRPr="00370F17">
        <w:rPr>
          <w:rFonts w:cstheme="minorHAnsi"/>
        </w:rPr>
        <w:t xml:space="preserve">, jejichž vysoutěžená cena činila 161 mil. </w:t>
      </w:r>
      <w:r w:rsidR="008C088A">
        <w:rPr>
          <w:rFonts w:cstheme="minorHAnsi"/>
        </w:rPr>
        <w:t>€</w:t>
      </w:r>
      <w:r w:rsidR="00455464">
        <w:rPr>
          <w:rStyle w:val="Znakapoznpodarou"/>
          <w:rFonts w:cstheme="minorHAnsi"/>
        </w:rPr>
        <w:footnoteReference w:id="41"/>
      </w:r>
      <w:r w:rsidRPr="00370F17">
        <w:rPr>
          <w:rFonts w:cstheme="minorHAnsi"/>
        </w:rPr>
        <w:t xml:space="preserve"> bez DPH a</w:t>
      </w:r>
      <w:r w:rsidR="00963B01">
        <w:rPr>
          <w:rFonts w:cstheme="minorHAnsi"/>
        </w:rPr>
        <w:t xml:space="preserve"> </w:t>
      </w:r>
      <w:r w:rsidR="002D4E31">
        <w:rPr>
          <w:rFonts w:cstheme="minorHAnsi"/>
        </w:rPr>
        <w:t>fakturovaná</w:t>
      </w:r>
      <w:r w:rsidR="002D4E31" w:rsidRPr="00370F17">
        <w:rPr>
          <w:rFonts w:cstheme="minorHAnsi"/>
        </w:rPr>
        <w:t xml:space="preserve"> </w:t>
      </w:r>
      <w:r w:rsidR="00902F97">
        <w:rPr>
          <w:rFonts w:cstheme="minorHAnsi"/>
        </w:rPr>
        <w:t>hodnota činila 3,39</w:t>
      </w:r>
      <w:r w:rsidR="000372F5">
        <w:rPr>
          <w:rFonts w:cstheme="minorHAnsi"/>
        </w:rPr>
        <w:t xml:space="preserve"> mld. Kč. </w:t>
      </w:r>
      <w:r w:rsidR="001C572F">
        <w:rPr>
          <w:rFonts w:cstheme="minorHAnsi"/>
        </w:rPr>
        <w:t>Pověřující zadavatelé ve většině případů nerealizovali nákup SW přímo, ale využili služeb MV</w:t>
      </w:r>
      <w:r w:rsidR="005617EE">
        <w:rPr>
          <w:rFonts w:cstheme="minorHAnsi"/>
        </w:rPr>
        <w:t>.</w:t>
      </w:r>
    </w:p>
    <w:p w14:paraId="3F389D9E" w14:textId="7D73FB1B" w:rsidR="00331649" w:rsidRDefault="00343079" w:rsidP="00343079">
      <w:pPr>
        <w:rPr>
          <w:rFonts w:cstheme="minorHAnsi"/>
        </w:rPr>
      </w:pPr>
      <w:r w:rsidRPr="009D414F">
        <w:rPr>
          <w:rFonts w:cstheme="minorHAnsi"/>
        </w:rPr>
        <w:t xml:space="preserve">NKÚ </w:t>
      </w:r>
      <w:r w:rsidR="00B35A5E">
        <w:rPr>
          <w:rFonts w:cstheme="minorHAnsi"/>
        </w:rPr>
        <w:t>u vybraných</w:t>
      </w:r>
      <w:r>
        <w:rPr>
          <w:rFonts w:cstheme="minorHAnsi"/>
        </w:rPr>
        <w:t xml:space="preserve"> </w:t>
      </w:r>
      <w:r w:rsidR="0058310A">
        <w:rPr>
          <w:rFonts w:cstheme="minorHAnsi"/>
        </w:rPr>
        <w:t>VZ</w:t>
      </w:r>
      <w:r>
        <w:rPr>
          <w:rFonts w:cstheme="minorHAnsi"/>
        </w:rPr>
        <w:t xml:space="preserve"> ověřil, že</w:t>
      </w:r>
      <w:r w:rsidRPr="009D414F">
        <w:rPr>
          <w:rFonts w:cstheme="minorHAnsi"/>
        </w:rPr>
        <w:t xml:space="preserve"> údaje uvedené v</w:t>
      </w:r>
      <w:r w:rsidR="00963B01">
        <w:rPr>
          <w:rFonts w:cstheme="minorHAnsi"/>
        </w:rPr>
        <w:t xml:space="preserve"> </w:t>
      </w:r>
      <w:r w:rsidRPr="009D414F">
        <w:rPr>
          <w:rFonts w:cstheme="minorHAnsi"/>
        </w:rPr>
        <w:t>přehledu</w:t>
      </w:r>
      <w:r w:rsidR="00EF7D4E">
        <w:rPr>
          <w:rFonts w:cstheme="minorHAnsi"/>
        </w:rPr>
        <w:t xml:space="preserve"> realizovaných </w:t>
      </w:r>
      <w:r w:rsidR="000372F5">
        <w:rPr>
          <w:rFonts w:cstheme="minorHAnsi"/>
        </w:rPr>
        <w:t>zakázek</w:t>
      </w:r>
      <w:r w:rsidRPr="009D414F">
        <w:rPr>
          <w:rFonts w:cstheme="minorHAnsi"/>
        </w:rPr>
        <w:t xml:space="preserve"> odpovídaly uzavřeným prováděc</w:t>
      </w:r>
      <w:r w:rsidR="00B7593A">
        <w:rPr>
          <w:rFonts w:cstheme="minorHAnsi"/>
        </w:rPr>
        <w:t>ím smlouvám a</w:t>
      </w:r>
      <w:r w:rsidR="00963B01">
        <w:rPr>
          <w:rFonts w:cstheme="minorHAnsi"/>
        </w:rPr>
        <w:t xml:space="preserve"> </w:t>
      </w:r>
      <w:r w:rsidR="00B7593A">
        <w:rPr>
          <w:rFonts w:cstheme="minorHAnsi"/>
        </w:rPr>
        <w:t>údajům uvedeným ve</w:t>
      </w:r>
      <w:r w:rsidRPr="009D414F">
        <w:rPr>
          <w:rFonts w:cstheme="minorHAnsi"/>
        </w:rPr>
        <w:t xml:space="preserve"> fakturách</w:t>
      </w:r>
      <w:r>
        <w:rPr>
          <w:rFonts w:cstheme="minorHAnsi"/>
        </w:rPr>
        <w:t>,</w:t>
      </w:r>
      <w:r w:rsidR="000372F5">
        <w:t xml:space="preserve"> že předpokládaná hodnota</w:t>
      </w:r>
      <w:r w:rsidR="00916CC2">
        <w:t xml:space="preserve"> VZ na nákup</w:t>
      </w:r>
      <w:r w:rsidRPr="00F15FD3">
        <w:t xml:space="preserve"> </w:t>
      </w:r>
      <w:r w:rsidR="0058310A">
        <w:t>SW</w:t>
      </w:r>
      <w:r w:rsidRPr="00F15FD3">
        <w:t xml:space="preserve"> </w:t>
      </w:r>
      <w:r w:rsidR="001047F7">
        <w:t>byla</w:t>
      </w:r>
      <w:r w:rsidR="001047F7" w:rsidRPr="00F15FD3">
        <w:t xml:space="preserve"> </w:t>
      </w:r>
      <w:r w:rsidRPr="00F15FD3">
        <w:t>stanovena v</w:t>
      </w:r>
      <w:r w:rsidR="00963B01">
        <w:t xml:space="preserve"> </w:t>
      </w:r>
      <w:r w:rsidRPr="00F15FD3">
        <w:t>souladu s</w:t>
      </w:r>
      <w:r w:rsidR="00963B01">
        <w:t xml:space="preserve"> </w:t>
      </w:r>
      <w:r w:rsidRPr="00F15FD3">
        <w:t>ceníky a že vysoutěžená cena byla v</w:t>
      </w:r>
      <w:r w:rsidR="00B35A5E">
        <w:t> </w:t>
      </w:r>
      <w:r w:rsidRPr="00F15FD3">
        <w:t>souladu s podmínkami uvedenými v</w:t>
      </w:r>
      <w:r w:rsidR="00963B01">
        <w:t xml:space="preserve"> </w:t>
      </w:r>
      <w:r w:rsidRPr="00F15FD3">
        <w:t xml:space="preserve">rámcové </w:t>
      </w:r>
      <w:r w:rsidR="008F5193">
        <w:t>dohodě</w:t>
      </w:r>
      <w:r w:rsidRPr="00F15FD3">
        <w:t>, tj. dodavatel nabídl alespoň minimální slevu z ceníkových</w:t>
      </w:r>
      <w:r w:rsidR="00B850DD">
        <w:t xml:space="preserve"> cen</w:t>
      </w:r>
      <w:r w:rsidRPr="00F15FD3">
        <w:t>.</w:t>
      </w:r>
      <w:r>
        <w:t xml:space="preserve"> </w:t>
      </w:r>
      <w:r w:rsidR="001047F7" w:rsidRPr="00A64703">
        <w:t xml:space="preserve">MV mělo k dispozici aktuální ceníky </w:t>
      </w:r>
      <w:r w:rsidR="0058310A">
        <w:t>SW</w:t>
      </w:r>
      <w:r w:rsidR="001047F7" w:rsidRPr="00A64703">
        <w:t xml:space="preserve"> a u </w:t>
      </w:r>
      <w:r w:rsidR="00EF7D4E">
        <w:t>nákupů</w:t>
      </w:r>
      <w:r w:rsidR="001047F7" w:rsidRPr="00A64703">
        <w:t>, které samo realizovalo, ověřovalo soulad ceny s</w:t>
      </w:r>
      <w:r w:rsidR="00963B01">
        <w:t xml:space="preserve"> </w:t>
      </w:r>
      <w:r w:rsidR="001047F7" w:rsidRPr="00A64703">
        <w:t xml:space="preserve">rámcovou </w:t>
      </w:r>
      <w:r w:rsidR="008F5193">
        <w:t>dohodou</w:t>
      </w:r>
      <w:r w:rsidR="001047F7" w:rsidRPr="00A64703">
        <w:t>.</w:t>
      </w:r>
      <w:r w:rsidR="001047F7">
        <w:t xml:space="preserve"> </w:t>
      </w:r>
      <w:r w:rsidRPr="00F15FD3">
        <w:t xml:space="preserve">U nákupu SW </w:t>
      </w:r>
      <w:r w:rsidR="00F83623">
        <w:t xml:space="preserve">společností </w:t>
      </w:r>
      <w:r w:rsidRPr="00F15FD3">
        <w:t>Microsoft a</w:t>
      </w:r>
      <w:r w:rsidR="00B7593A">
        <w:t> </w:t>
      </w:r>
      <w:r w:rsidRPr="00F15FD3">
        <w:t>VMware poskytovalo</w:t>
      </w:r>
      <w:r w:rsidR="00F83623" w:rsidRPr="00F83623">
        <w:t xml:space="preserve"> </w:t>
      </w:r>
      <w:r w:rsidR="00F83623" w:rsidRPr="00F15FD3">
        <w:t>MV</w:t>
      </w:r>
      <w:r w:rsidRPr="00F15FD3">
        <w:t xml:space="preserve"> pověřujícím zadavatelům informace potřebné pro </w:t>
      </w:r>
      <w:r>
        <w:t xml:space="preserve">stanovení předpokládané hodnoty na vyžádání. </w:t>
      </w:r>
      <w:r>
        <w:rPr>
          <w:rFonts w:cstheme="minorHAnsi"/>
        </w:rPr>
        <w:t>Průměrná doba realizace</w:t>
      </w:r>
      <w:r w:rsidR="009E490F">
        <w:rPr>
          <w:rFonts w:cstheme="minorHAnsi"/>
        </w:rPr>
        <w:t xml:space="preserve"> vybraných</w:t>
      </w:r>
      <w:r>
        <w:rPr>
          <w:rFonts w:cstheme="minorHAnsi"/>
        </w:rPr>
        <w:t xml:space="preserve"> </w:t>
      </w:r>
      <w:r w:rsidR="000B1541">
        <w:rPr>
          <w:rFonts w:cstheme="minorHAnsi"/>
        </w:rPr>
        <w:t>VZ</w:t>
      </w:r>
      <w:r>
        <w:rPr>
          <w:rFonts w:cstheme="minorHAnsi"/>
        </w:rPr>
        <w:t>, tj.</w:t>
      </w:r>
      <w:r w:rsidR="00F83623">
        <w:rPr>
          <w:rFonts w:cstheme="minorHAnsi"/>
        </w:rPr>
        <w:t> </w:t>
      </w:r>
      <w:r>
        <w:rPr>
          <w:rFonts w:cstheme="minorHAnsi"/>
        </w:rPr>
        <w:t>doba mezi žádostí a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výběrem nejvhodnější nabídky, byla 14</w:t>
      </w:r>
      <w:r w:rsidR="00963B01">
        <w:rPr>
          <w:rFonts w:cstheme="minorHAnsi"/>
        </w:rPr>
        <w:t xml:space="preserve"> </w:t>
      </w:r>
      <w:r>
        <w:rPr>
          <w:rFonts w:cstheme="minorHAnsi"/>
        </w:rPr>
        <w:t>dní.</w:t>
      </w:r>
    </w:p>
    <w:p w14:paraId="7A039375" w14:textId="58F2CBBA" w:rsidR="00343079" w:rsidRPr="0030507B" w:rsidRDefault="00B7593A" w:rsidP="00343079">
      <w:pPr>
        <w:rPr>
          <w:rFonts w:cstheme="minorHAnsi"/>
        </w:rPr>
      </w:pPr>
      <w:r>
        <w:rPr>
          <w:rFonts w:cstheme="minorHAnsi"/>
        </w:rPr>
        <w:t>P</w:t>
      </w:r>
      <w:r w:rsidR="00343079">
        <w:rPr>
          <w:rFonts w:cstheme="minorHAnsi"/>
        </w:rPr>
        <w:t xml:space="preserve">ověřujícími zadavateli </w:t>
      </w:r>
      <w:r w:rsidR="000372F5">
        <w:rPr>
          <w:rFonts w:cstheme="minorHAnsi"/>
        </w:rPr>
        <w:t>jsou</w:t>
      </w:r>
      <w:r w:rsidR="00331649">
        <w:rPr>
          <w:rFonts w:cstheme="minorHAnsi"/>
        </w:rPr>
        <w:t xml:space="preserve"> </w:t>
      </w:r>
      <w:r w:rsidR="00343079">
        <w:rPr>
          <w:rFonts w:cstheme="minorHAnsi"/>
        </w:rPr>
        <w:t xml:space="preserve">i subjekty, které poptávají malé množství </w:t>
      </w:r>
      <w:r w:rsidR="000B1541">
        <w:rPr>
          <w:rFonts w:cstheme="minorHAnsi"/>
        </w:rPr>
        <w:t>SW</w:t>
      </w:r>
      <w:r>
        <w:rPr>
          <w:rFonts w:cstheme="minorHAnsi"/>
        </w:rPr>
        <w:t xml:space="preserve"> a</w:t>
      </w:r>
      <w:r w:rsidR="00480AFD">
        <w:rPr>
          <w:rFonts w:cstheme="minorHAnsi"/>
        </w:rPr>
        <w:t xml:space="preserve"> </w:t>
      </w:r>
      <w:r w:rsidR="00343079">
        <w:rPr>
          <w:rFonts w:cstheme="minorHAnsi"/>
        </w:rPr>
        <w:t xml:space="preserve">díky centralizaci poptávky </w:t>
      </w:r>
      <w:r w:rsidR="00343079" w:rsidRPr="0030507B">
        <w:rPr>
          <w:rFonts w:cstheme="minorHAnsi"/>
        </w:rPr>
        <w:t>mohou dosahovat stejných slev z</w:t>
      </w:r>
      <w:r w:rsidR="00963B01">
        <w:rPr>
          <w:rFonts w:cstheme="minorHAnsi"/>
        </w:rPr>
        <w:t xml:space="preserve"> </w:t>
      </w:r>
      <w:r w:rsidR="00343079" w:rsidRPr="0030507B">
        <w:rPr>
          <w:rFonts w:cstheme="minorHAnsi"/>
        </w:rPr>
        <w:t xml:space="preserve">ceníkových cen jako </w:t>
      </w:r>
      <w:r w:rsidR="00343079">
        <w:rPr>
          <w:rFonts w:cstheme="minorHAnsi"/>
        </w:rPr>
        <w:t>velcí odběratelé</w:t>
      </w:r>
      <w:r w:rsidR="00343079" w:rsidRPr="0030507B">
        <w:rPr>
          <w:rFonts w:cstheme="minorHAnsi"/>
        </w:rPr>
        <w:t xml:space="preserve"> </w:t>
      </w:r>
      <w:r w:rsidR="000B1541">
        <w:rPr>
          <w:rFonts w:cstheme="minorHAnsi"/>
        </w:rPr>
        <w:t>SW</w:t>
      </w:r>
      <w:r w:rsidR="00343079" w:rsidRPr="0030507B">
        <w:rPr>
          <w:rFonts w:cstheme="minorHAnsi"/>
        </w:rPr>
        <w:t xml:space="preserve">. </w:t>
      </w:r>
      <w:r w:rsidR="00480AFD">
        <w:rPr>
          <w:lang w:eastAsia="cs-CZ"/>
        </w:rPr>
        <w:lastRenderedPageBreak/>
        <w:t>C</w:t>
      </w:r>
      <w:r w:rsidR="00343079" w:rsidRPr="0030507B">
        <w:rPr>
          <w:lang w:eastAsia="cs-CZ"/>
        </w:rPr>
        <w:t xml:space="preserve">entralizované zadávání </w:t>
      </w:r>
      <w:r>
        <w:rPr>
          <w:lang w:eastAsia="cs-CZ"/>
        </w:rPr>
        <w:t>SW</w:t>
      </w:r>
      <w:r w:rsidR="00343079" w:rsidRPr="0030507B">
        <w:rPr>
          <w:lang w:eastAsia="cs-CZ"/>
        </w:rPr>
        <w:t xml:space="preserve"> </w:t>
      </w:r>
      <w:r w:rsidR="009E490F">
        <w:rPr>
          <w:lang w:eastAsia="cs-CZ"/>
        </w:rPr>
        <w:t xml:space="preserve">tak </w:t>
      </w:r>
      <w:r w:rsidR="00343079" w:rsidRPr="0030507B">
        <w:rPr>
          <w:lang w:eastAsia="cs-CZ"/>
        </w:rPr>
        <w:t xml:space="preserve">umožňuje pověřujícím zadavatelům rychlý a jednoduchý nákup SW </w:t>
      </w:r>
      <w:r w:rsidR="00343079">
        <w:rPr>
          <w:lang w:eastAsia="cs-CZ"/>
        </w:rPr>
        <w:t xml:space="preserve">při zajištění </w:t>
      </w:r>
      <w:r w:rsidR="00AE37ED">
        <w:rPr>
          <w:lang w:eastAsia="cs-CZ"/>
        </w:rPr>
        <w:t>alespoň smluvně garantovaných</w:t>
      </w:r>
      <w:r w:rsidR="00343079">
        <w:rPr>
          <w:lang w:eastAsia="cs-CZ"/>
        </w:rPr>
        <w:t xml:space="preserve"> slev</w:t>
      </w:r>
      <w:r w:rsidR="00343079" w:rsidRPr="0030507B">
        <w:rPr>
          <w:lang w:eastAsia="cs-CZ"/>
        </w:rPr>
        <w:t>.</w:t>
      </w:r>
    </w:p>
    <w:p w14:paraId="763CE045" w14:textId="77777777" w:rsidR="00D63FD9" w:rsidRDefault="000F6231" w:rsidP="000F6231">
      <w:pPr>
        <w:pStyle w:val="Nadpis2"/>
        <w:numPr>
          <w:ilvl w:val="0"/>
          <w:numId w:val="0"/>
        </w:numPr>
      </w:pPr>
      <w:r>
        <w:t xml:space="preserve">4. </w:t>
      </w:r>
      <w:r w:rsidR="006B60C1">
        <w:t>Technická</w:t>
      </w:r>
      <w:r w:rsidR="00D63FD9" w:rsidRPr="00343079">
        <w:t xml:space="preserve"> podpora </w:t>
      </w:r>
      <w:r w:rsidR="00A65328">
        <w:t xml:space="preserve">centralizovaného zadávání </w:t>
      </w:r>
      <w:r w:rsidR="00D63FD9" w:rsidRPr="00343079">
        <w:t xml:space="preserve">a </w:t>
      </w:r>
      <w:r w:rsidR="00AD23B4">
        <w:t>elektronizace veřejných zakázek</w:t>
      </w:r>
    </w:p>
    <w:p w14:paraId="18749F25" w14:textId="77777777" w:rsidR="0058310A" w:rsidRDefault="0058310A" w:rsidP="0058310A">
      <w:pPr>
        <w:pStyle w:val="Nadpis3"/>
      </w:pPr>
      <w:r>
        <w:t>Technická podpora centralizovaného zadávání</w:t>
      </w:r>
    </w:p>
    <w:p w14:paraId="4D0A0D75" w14:textId="54E46731" w:rsidR="00D63FD9" w:rsidRPr="00343079" w:rsidRDefault="00331649" w:rsidP="00D63FD9">
      <w:r w:rsidRPr="00017383">
        <w:rPr>
          <w:rFonts w:ascii="Calibri" w:hAnsi="Calibri" w:cs="Calibri"/>
          <w:i/>
        </w:rPr>
        <w:t>Národní elektronický nástroj</w:t>
      </w:r>
      <w:r>
        <w:rPr>
          <w:rFonts w:ascii="Calibri" w:hAnsi="Calibri" w:cs="Calibri"/>
        </w:rPr>
        <w:t xml:space="preserve"> </w:t>
      </w:r>
      <w:r w:rsidR="002D4E31">
        <w:rPr>
          <w:rFonts w:ascii="Calibri" w:hAnsi="Calibri" w:cs="Calibri"/>
        </w:rPr>
        <w:t xml:space="preserve">(NEN) </w:t>
      </w:r>
      <w:r>
        <w:rPr>
          <w:rFonts w:ascii="Calibri" w:hAnsi="Calibri" w:cs="Calibri"/>
        </w:rPr>
        <w:t xml:space="preserve">je </w:t>
      </w:r>
      <w:r w:rsidR="009E490F">
        <w:rPr>
          <w:rFonts w:ascii="Calibri" w:hAnsi="Calibri" w:cs="Calibri"/>
        </w:rPr>
        <w:t xml:space="preserve">jednou z částí modulárně členěné soustavy informačních systémů NIPEZ, která má podporovat procesy elektronizace </w:t>
      </w:r>
      <w:r>
        <w:rPr>
          <w:rFonts w:ascii="Calibri" w:hAnsi="Calibri" w:cs="Calibri"/>
        </w:rPr>
        <w:t xml:space="preserve">zadávání veřejných zakázek. </w:t>
      </w:r>
      <w:r w:rsidR="002B1CD3">
        <w:rPr>
          <w:rFonts w:ascii="Calibri" w:hAnsi="Calibri" w:cs="Calibri"/>
        </w:rPr>
        <w:t>M</w:t>
      </w:r>
      <w:r w:rsidR="00D63FD9" w:rsidRPr="00343079">
        <w:rPr>
          <w:rFonts w:ascii="Calibri" w:hAnsi="Calibri" w:cs="Calibri"/>
        </w:rPr>
        <w:t>MR zadalo stanovení funkcionalit NEN v</w:t>
      </w:r>
      <w:r w:rsidR="00963B01">
        <w:rPr>
          <w:rFonts w:ascii="Calibri" w:hAnsi="Calibri" w:cs="Calibri"/>
        </w:rPr>
        <w:t xml:space="preserve"> </w:t>
      </w:r>
      <w:r w:rsidR="00D63FD9" w:rsidRPr="00343079">
        <w:rPr>
          <w:rFonts w:ascii="Calibri" w:hAnsi="Calibri" w:cs="Calibri"/>
        </w:rPr>
        <w:t xml:space="preserve">oblasti centralizovaného zadávání externímu dodavateli, který vycházel ze zkušeností soukromého sektoru. </w:t>
      </w:r>
      <w:r w:rsidR="00D63FD9" w:rsidRPr="00343079">
        <w:t xml:space="preserve">Ve zkušebním provozu NEN, který trval </w:t>
      </w:r>
      <w:r w:rsidR="001E5911" w:rsidRPr="00343079">
        <w:t>od</w:t>
      </w:r>
      <w:r w:rsidR="00922719">
        <w:t xml:space="preserve"> </w:t>
      </w:r>
      <w:r w:rsidR="00D63FD9" w:rsidRPr="00343079">
        <w:t xml:space="preserve">dubna 2014 do července 2015, měli </w:t>
      </w:r>
      <w:r w:rsidR="00770B02">
        <w:t xml:space="preserve">všichni </w:t>
      </w:r>
      <w:r w:rsidR="00D63FD9" w:rsidRPr="00343079">
        <w:t>zadavatelé možnost testovat</w:t>
      </w:r>
      <w:r w:rsidR="00AE37ED">
        <w:t xml:space="preserve"> jeho</w:t>
      </w:r>
      <w:r w:rsidR="00D63FD9" w:rsidRPr="00343079">
        <w:t xml:space="preserve"> funkčnost. </w:t>
      </w:r>
      <w:r w:rsidR="000372F5">
        <w:t xml:space="preserve">V tomto období </w:t>
      </w:r>
      <w:r w:rsidR="00D63FD9" w:rsidRPr="00343079">
        <w:t>MMR neobdrželo žádné požadavky na</w:t>
      </w:r>
      <w:r w:rsidR="00963B01">
        <w:t xml:space="preserve"> </w:t>
      </w:r>
      <w:r w:rsidR="00D63FD9" w:rsidRPr="00343079">
        <w:t xml:space="preserve">změnu </w:t>
      </w:r>
      <w:r w:rsidR="00AE37ED">
        <w:t xml:space="preserve">jeho </w:t>
      </w:r>
      <w:r w:rsidR="00D63FD9" w:rsidRPr="00343079">
        <w:t>funkcionalit v</w:t>
      </w:r>
      <w:r w:rsidR="00963B01">
        <w:t xml:space="preserve"> </w:t>
      </w:r>
      <w:r w:rsidR="00D63FD9" w:rsidRPr="00343079">
        <w:t>oblasti centralizovaného zadávání.</w:t>
      </w:r>
    </w:p>
    <w:p w14:paraId="15B31221" w14:textId="6C664AD1" w:rsidR="00E42CAE" w:rsidRDefault="00331649" w:rsidP="002D595B">
      <w:r>
        <w:t>NEN obsahuje f</w:t>
      </w:r>
      <w:r w:rsidR="00D63FD9" w:rsidRPr="00343079">
        <w:t xml:space="preserve">unkcionality </w:t>
      </w:r>
      <w:r>
        <w:t>pro pod</w:t>
      </w:r>
      <w:r w:rsidR="00AE37ED">
        <w:t xml:space="preserve">poru centralizovaného zadávání včetně </w:t>
      </w:r>
      <w:r w:rsidR="00D63FD9" w:rsidRPr="00343079">
        <w:t>sběr</w:t>
      </w:r>
      <w:r w:rsidR="00AE37ED">
        <w:t>u</w:t>
      </w:r>
      <w:r w:rsidR="00D63FD9" w:rsidRPr="00343079">
        <w:t xml:space="preserve"> požadavků</w:t>
      </w:r>
      <w:r w:rsidR="002E4422">
        <w:t xml:space="preserve"> pověřujících zadavatelů</w:t>
      </w:r>
      <w:r w:rsidR="009270ED">
        <w:t xml:space="preserve"> na nákup komodit</w:t>
      </w:r>
      <w:r w:rsidR="00D63FD9" w:rsidRPr="002E4422">
        <w:t>. Sběr požadavků však od</w:t>
      </w:r>
      <w:r w:rsidR="00963B01">
        <w:t xml:space="preserve"> </w:t>
      </w:r>
      <w:r w:rsidR="00D63FD9" w:rsidRPr="002E4422">
        <w:t>spuštění NEN do</w:t>
      </w:r>
      <w:r w:rsidR="00963B01">
        <w:t xml:space="preserve"> </w:t>
      </w:r>
      <w:r w:rsidR="00D63FD9" w:rsidRPr="002E4422">
        <w:t>doby uk</w:t>
      </w:r>
      <w:r w:rsidR="00D63FD9" w:rsidRPr="00343079">
        <w:t>ončení kontroly NKÚ téměř</w:t>
      </w:r>
      <w:r w:rsidR="00D63FD9" w:rsidRPr="00017383">
        <w:rPr>
          <w:color w:val="000000" w:themeColor="text1"/>
        </w:rPr>
        <w:t xml:space="preserve"> </w:t>
      </w:r>
      <w:r w:rsidR="00D63FD9" w:rsidRPr="00343079">
        <w:t xml:space="preserve">nikdo nevyužíval, a to ani </w:t>
      </w:r>
      <w:r w:rsidR="00770B02">
        <w:t xml:space="preserve">samo </w:t>
      </w:r>
      <w:r w:rsidR="00D63FD9" w:rsidRPr="00343079">
        <w:t xml:space="preserve">MMR. </w:t>
      </w:r>
      <w:r w:rsidR="00770B02">
        <w:t>Toto</w:t>
      </w:r>
      <w:r w:rsidR="009270ED">
        <w:t xml:space="preserve"> </w:t>
      </w:r>
      <w:r w:rsidR="007E1FF5">
        <w:t>NKÚ ověřil</w:t>
      </w:r>
      <w:r w:rsidR="009270ED">
        <w:t xml:space="preserve"> v dotazníkovém šetření. Žádný z</w:t>
      </w:r>
      <w:r w:rsidR="00963B01">
        <w:t xml:space="preserve"> </w:t>
      </w:r>
      <w:r w:rsidR="009270ED">
        <w:t xml:space="preserve">centrálních zadavatelů neuvedl, že by pro sběr požadavků využíval NEN. Zadavatelé nejčastěji využívali elektronický nástroj </w:t>
      </w:r>
      <w:r w:rsidR="002B1CD3">
        <w:t>soukromého poskytovatele</w:t>
      </w:r>
      <w:r w:rsidR="00BE51DE">
        <w:t>,</w:t>
      </w:r>
      <w:r w:rsidR="002B1CD3">
        <w:t xml:space="preserve"> </w:t>
      </w:r>
      <w:r w:rsidR="009270ED">
        <w:t>či ji</w:t>
      </w:r>
      <w:r w:rsidR="002D595B">
        <w:t>ný způsob sběru požadavků, např. e</w:t>
      </w:r>
      <w:r w:rsidR="00922719">
        <w:t>-</w:t>
      </w:r>
      <w:r w:rsidR="002D595B">
        <w:t xml:space="preserve">mail či osobní schůzky. </w:t>
      </w:r>
    </w:p>
    <w:p w14:paraId="11CB408D" w14:textId="78C59ADD" w:rsidR="002D595B" w:rsidRDefault="00E42CAE" w:rsidP="002D595B">
      <w:r>
        <w:t>MF i MMR prováděl</w:t>
      </w:r>
      <w:r w:rsidR="00BE51DE">
        <w:t>y</w:t>
      </w:r>
      <w:r w:rsidR="002D595B">
        <w:t xml:space="preserve"> sběr požadavků podřízených organizací na nákup komodit prostřednictvím e</w:t>
      </w:r>
      <w:r w:rsidR="00BE51DE">
        <w:t>-</w:t>
      </w:r>
      <w:r w:rsidR="002D595B">
        <w:t>mailové či telefonické komunikace</w:t>
      </w:r>
      <w:r w:rsidR="00081179">
        <w:t>,</w:t>
      </w:r>
      <w:r w:rsidR="002D595B">
        <w:t xml:space="preserve"> a to z</w:t>
      </w:r>
      <w:r w:rsidR="00963B01">
        <w:t xml:space="preserve"> </w:t>
      </w:r>
      <w:r w:rsidR="002D595B">
        <w:t>důvodu nízkého počtu podřízených organizací</w:t>
      </w:r>
      <w:r w:rsidR="00CD26F8">
        <w:t>. Oproti tomu MV, které sbírá požadavky od 51</w:t>
      </w:r>
      <w:r w:rsidR="002D595B">
        <w:t xml:space="preserve"> podřízených organizací, užívalo elektronický nástroj </w:t>
      </w:r>
      <w:r w:rsidR="002D595B" w:rsidRPr="00017383">
        <w:rPr>
          <w:i/>
        </w:rPr>
        <w:t xml:space="preserve">Evidenční </w:t>
      </w:r>
      <w:r w:rsidR="00081179" w:rsidRPr="00017383">
        <w:rPr>
          <w:i/>
        </w:rPr>
        <w:t>modul</w:t>
      </w:r>
      <w:r w:rsidR="00081179">
        <w:t>. MV jako jediné z kontrolovaných osob využívalo NEN pro za</w:t>
      </w:r>
      <w:r w:rsidR="00B42864">
        <w:t>dávání VZ včetně centralizovaně zadávaných</w:t>
      </w:r>
      <w:r w:rsidR="00724482">
        <w:t>. MV</w:t>
      </w:r>
      <w:r w:rsidR="00963B01">
        <w:t xml:space="preserve"> </w:t>
      </w:r>
      <w:r w:rsidR="00724482">
        <w:t xml:space="preserve">však </w:t>
      </w:r>
      <w:r w:rsidR="00B42864">
        <w:t>nevyužívalo NEN p</w:t>
      </w:r>
      <w:r w:rsidR="00081179">
        <w:t>ro přípravu VZ, jelikož neumožňoval</w:t>
      </w:r>
      <w:r w:rsidR="002D595B">
        <w:t xml:space="preserve"> sběr požadavků podle</w:t>
      </w:r>
      <w:r w:rsidR="00916CC2">
        <w:t xml:space="preserve"> </w:t>
      </w:r>
      <w:r w:rsidR="002D595B">
        <w:t>potřeb</w:t>
      </w:r>
      <w:r w:rsidR="00BE51DE">
        <w:t xml:space="preserve"> ministerstva</w:t>
      </w:r>
      <w:r w:rsidR="00770B02">
        <w:t>.</w:t>
      </w:r>
      <w:r w:rsidR="002D595B" w:rsidRPr="002D595B">
        <w:t xml:space="preserve"> </w:t>
      </w:r>
      <w:r w:rsidR="00BE51DE">
        <w:t>Mezi d</w:t>
      </w:r>
      <w:r w:rsidR="00724482">
        <w:t>ůvod</w:t>
      </w:r>
      <w:r w:rsidR="00BE51DE">
        <w:t>y</w:t>
      </w:r>
      <w:r w:rsidR="00724482">
        <w:t xml:space="preserve"> bylo </w:t>
      </w:r>
      <w:r w:rsidR="00770B02">
        <w:t>například</w:t>
      </w:r>
      <w:r w:rsidR="00724482">
        <w:t>, že v NEN</w:t>
      </w:r>
      <w:r w:rsidR="00770B02">
        <w:t xml:space="preserve"> nelze realizovat sběr požadavků na více úrovních</w:t>
      </w:r>
      <w:r w:rsidR="005617EE">
        <w:t xml:space="preserve"> </w:t>
      </w:r>
      <w:r w:rsidR="00770B02">
        <w:t>a</w:t>
      </w:r>
      <w:r w:rsidR="00724482">
        <w:t> </w:t>
      </w:r>
      <w:r w:rsidR="00770B02">
        <w:t>chybí funkcionalita na</w:t>
      </w:r>
      <w:r w:rsidR="00963B01">
        <w:t xml:space="preserve"> </w:t>
      </w:r>
      <w:r w:rsidR="00770B02">
        <w:t>import dat.</w:t>
      </w:r>
    </w:p>
    <w:p w14:paraId="3D781C6B" w14:textId="4FD30D1D" w:rsidR="002D595B" w:rsidRDefault="002D595B" w:rsidP="002D595B">
      <w:r w:rsidRPr="00343079">
        <w:t>MMR se</w:t>
      </w:r>
      <w:r w:rsidR="00CD26F8">
        <w:t xml:space="preserve"> v</w:t>
      </w:r>
      <w:r w:rsidR="00963B01">
        <w:t xml:space="preserve"> </w:t>
      </w:r>
      <w:r w:rsidR="00CD26F8">
        <w:t>roce 2015</w:t>
      </w:r>
      <w:r w:rsidRPr="00343079">
        <w:t xml:space="preserve"> zavázalo, že upraví NEN tak, aby vyhovoval požadavkům pro nadresortní zadávání</w:t>
      </w:r>
      <w:r w:rsidR="00F47A70">
        <w:t>,</w:t>
      </w:r>
      <w:r w:rsidRPr="00343079">
        <w:t xml:space="preserve"> </w:t>
      </w:r>
      <w:r w:rsidRPr="00343079">
        <w:rPr>
          <w:rFonts w:cs="Arial"/>
        </w:rPr>
        <w:t>a</w:t>
      </w:r>
      <w:r w:rsidR="00963B01">
        <w:rPr>
          <w:rFonts w:cs="Arial"/>
        </w:rPr>
        <w:t xml:space="preserve"> </w:t>
      </w:r>
      <w:r w:rsidRPr="00343079">
        <w:rPr>
          <w:rFonts w:cs="Arial"/>
        </w:rPr>
        <w:t>že bude kladen důraz na dopracování modul</w:t>
      </w:r>
      <w:r>
        <w:rPr>
          <w:rFonts w:cs="Arial"/>
        </w:rPr>
        <w:t>u</w:t>
      </w:r>
      <w:r w:rsidRPr="00343079">
        <w:rPr>
          <w:rFonts w:cs="Arial"/>
        </w:rPr>
        <w:t xml:space="preserve"> pro resortní centralizované zadávání.</w:t>
      </w:r>
      <w:r w:rsidRPr="00343079">
        <w:t xml:space="preserve"> První požadavky na</w:t>
      </w:r>
      <w:r w:rsidR="00963B01">
        <w:t xml:space="preserve"> </w:t>
      </w:r>
      <w:r w:rsidRPr="00343079">
        <w:t>změnu funkcionalit v</w:t>
      </w:r>
      <w:r w:rsidR="00963B01">
        <w:t xml:space="preserve"> </w:t>
      </w:r>
      <w:r w:rsidRPr="00343079">
        <w:t>oblasti centralizovaného zadávání MMR obdrželo v</w:t>
      </w:r>
      <w:r w:rsidR="00963B01">
        <w:t xml:space="preserve"> </w:t>
      </w:r>
      <w:r w:rsidRPr="00343079">
        <w:t>červnu 2016. Přestože MMR obdrželo do</w:t>
      </w:r>
      <w:r w:rsidR="00963B01">
        <w:t xml:space="preserve"> </w:t>
      </w:r>
      <w:r w:rsidRPr="00343079">
        <w:t>ledna 2018 nejméně 40</w:t>
      </w:r>
      <w:r w:rsidR="00CD26F8">
        <w:t> </w:t>
      </w:r>
      <w:r w:rsidRPr="00343079">
        <w:t>požadavků</w:t>
      </w:r>
      <w:r>
        <w:t>,</w:t>
      </w:r>
      <w:r w:rsidRPr="00343079">
        <w:t xml:space="preserve"> vyřešeny</w:t>
      </w:r>
      <w:r>
        <w:t xml:space="preserve"> byly</w:t>
      </w:r>
      <w:r w:rsidRPr="00343079">
        <w:t xml:space="preserve"> pouze dva</w:t>
      </w:r>
      <w:r>
        <w:t xml:space="preserve">. Ty však představovaly pouze opravy chyb systému, nikoliv úpravy jeho funkcionalit. </w:t>
      </w:r>
      <w:r w:rsidRPr="00343079">
        <w:t>Žádné další úpravy NEN v</w:t>
      </w:r>
      <w:r w:rsidR="00963B01">
        <w:t xml:space="preserve"> </w:t>
      </w:r>
      <w:r w:rsidR="00B94DF5">
        <w:t>této oblasti MMR nezajistilo a</w:t>
      </w:r>
      <w:r w:rsidR="008C6440">
        <w:t> </w:t>
      </w:r>
      <w:r w:rsidR="00B94DF5">
        <w:t>to</w:t>
      </w:r>
      <w:r w:rsidR="00F47A70">
        <w:t xml:space="preserve"> </w:t>
      </w:r>
      <w:r w:rsidR="00B94DF5">
        <w:t xml:space="preserve">z důvodu, že </w:t>
      </w:r>
      <w:r>
        <w:t>MMR nemělo</w:t>
      </w:r>
      <w:r w:rsidRPr="00343079">
        <w:t xml:space="preserve"> uzavřenou smlouvu na rozvoj NEN, jejímž prostřednictvím by mohlo zajistit </w:t>
      </w:r>
      <w:r>
        <w:t>jeho úpravy dle požadavků.</w:t>
      </w:r>
      <w:r w:rsidRPr="00343079">
        <w:t xml:space="preserve"> </w:t>
      </w:r>
    </w:p>
    <w:p w14:paraId="43E6FB61" w14:textId="77777777" w:rsidR="00EB2257" w:rsidRDefault="009270ED" w:rsidP="00EB2257">
      <w:r>
        <w:t>Zadavatelé v</w:t>
      </w:r>
      <w:r w:rsidR="00963B01">
        <w:t xml:space="preserve"> </w:t>
      </w:r>
      <w:r>
        <w:t xml:space="preserve">dotazníkovém šetření uvedli, že </w:t>
      </w:r>
      <w:r w:rsidR="00D63FD9" w:rsidRPr="00343079">
        <w:t>nejsou spokojeni s prací v</w:t>
      </w:r>
      <w:r w:rsidR="00963B01">
        <w:t xml:space="preserve"> </w:t>
      </w:r>
      <w:r w:rsidR="00D63FD9" w:rsidRPr="00343079">
        <w:t>systému NEN, nejčastěji upozorňovali na</w:t>
      </w:r>
      <w:r w:rsidR="00963B01">
        <w:t xml:space="preserve"> </w:t>
      </w:r>
      <w:r w:rsidR="005D1DEB">
        <w:t xml:space="preserve">jeho </w:t>
      </w:r>
      <w:r w:rsidR="00D63FD9" w:rsidRPr="00343079">
        <w:t>složitost</w:t>
      </w:r>
      <w:r w:rsidR="005D1DEB">
        <w:t xml:space="preserve"> a pomalost</w:t>
      </w:r>
      <w:r w:rsidR="00B94DF5">
        <w:t xml:space="preserve"> (rychlost odezvy)</w:t>
      </w:r>
      <w:r w:rsidR="00D63FD9" w:rsidRPr="00343079">
        <w:t xml:space="preserve">. </w:t>
      </w:r>
      <w:r w:rsidR="005D1DEB">
        <w:t>K</w:t>
      </w:r>
      <w:r w:rsidR="00D63FD9" w:rsidRPr="00343079">
        <w:t>e zjednodušení a</w:t>
      </w:r>
      <w:r w:rsidR="002D595B">
        <w:t> </w:t>
      </w:r>
      <w:r w:rsidR="00D63FD9" w:rsidRPr="00343079">
        <w:t>zrychlení procesu zadávání VZ přispěla</w:t>
      </w:r>
      <w:r w:rsidR="005D1DEB" w:rsidRPr="005D1DEB">
        <w:t xml:space="preserve"> </w:t>
      </w:r>
      <w:r w:rsidR="005D1DEB">
        <w:t>d</w:t>
      </w:r>
      <w:r w:rsidR="005D1DEB" w:rsidRPr="00343079">
        <w:t>le MMR</w:t>
      </w:r>
      <w:r w:rsidR="00D63FD9" w:rsidRPr="00343079">
        <w:t xml:space="preserve"> nová funkcionalita NEN</w:t>
      </w:r>
      <w:r w:rsidR="008C6440">
        <w:t>,</w:t>
      </w:r>
      <w:r w:rsidR="00D63FD9" w:rsidRPr="00343079">
        <w:t xml:space="preserve"> tzv.</w:t>
      </w:r>
      <w:r w:rsidR="00963B01">
        <w:t xml:space="preserve"> </w:t>
      </w:r>
      <w:r w:rsidR="00D63FD9" w:rsidRPr="00343079">
        <w:t xml:space="preserve">zjednodušený průchod. </w:t>
      </w:r>
      <w:r w:rsidR="00EB2257">
        <w:t xml:space="preserve">Ten </w:t>
      </w:r>
      <w:r w:rsidR="00EB2257" w:rsidRPr="00343079">
        <w:t xml:space="preserve">odstranil některé kroky v postupu zadavatele při </w:t>
      </w:r>
      <w:r w:rsidR="00B94DF5">
        <w:t>realizaci</w:t>
      </w:r>
      <w:r w:rsidR="00EB2257" w:rsidRPr="00343079">
        <w:t xml:space="preserve"> zadávacího řízení v</w:t>
      </w:r>
      <w:r w:rsidR="008C6440">
        <w:t> </w:t>
      </w:r>
      <w:r w:rsidR="00EB2257" w:rsidRPr="00343079">
        <w:t xml:space="preserve">systému NEN, čímž </w:t>
      </w:r>
      <w:r w:rsidR="00EB2257">
        <w:t>snížil</w:t>
      </w:r>
      <w:r w:rsidR="00EB2257" w:rsidRPr="00343079">
        <w:t xml:space="preserve"> čas potřebný pro zahájení či zadání VZ.</w:t>
      </w:r>
      <w:r w:rsidR="00EB2257">
        <w:t xml:space="preserve"> </w:t>
      </w:r>
      <w:r w:rsidR="003F271B">
        <w:t>Problém s rychlostí</w:t>
      </w:r>
      <w:r w:rsidR="00963B01">
        <w:t xml:space="preserve"> </w:t>
      </w:r>
      <w:r w:rsidR="003F271B">
        <w:t xml:space="preserve">odezvy systému NEN </w:t>
      </w:r>
      <w:r w:rsidR="00686EBD">
        <w:t>však</w:t>
      </w:r>
      <w:r w:rsidR="003F271B">
        <w:t xml:space="preserve"> MMR neodstranilo. </w:t>
      </w:r>
      <w:r w:rsidR="00EB2257">
        <w:t xml:space="preserve">Zjednodušený průchod </w:t>
      </w:r>
      <w:r w:rsidR="003F271B">
        <w:t>navíc</w:t>
      </w:r>
      <w:r w:rsidR="00EB2257">
        <w:t xml:space="preserve"> </w:t>
      </w:r>
      <w:r w:rsidR="00EB2257" w:rsidRPr="00343079">
        <w:t xml:space="preserve">nezajišťuje kontrolu všech </w:t>
      </w:r>
      <w:r w:rsidR="00EB2257">
        <w:t xml:space="preserve">zákonných </w:t>
      </w:r>
      <w:r w:rsidR="00EB2257" w:rsidRPr="00343079">
        <w:t xml:space="preserve">náležitostí, což </w:t>
      </w:r>
      <w:r w:rsidR="003F271B">
        <w:t>způsobuje</w:t>
      </w:r>
      <w:r w:rsidR="00EB2257" w:rsidRPr="00343079">
        <w:t xml:space="preserve"> riziko vzniku chyb v</w:t>
      </w:r>
      <w:r w:rsidR="00963B01">
        <w:t xml:space="preserve"> </w:t>
      </w:r>
      <w:r w:rsidR="00EB2257" w:rsidRPr="00343079">
        <w:t>zadávacím procesu.</w:t>
      </w:r>
      <w:r w:rsidR="00EB2257">
        <w:t xml:space="preserve"> </w:t>
      </w:r>
    </w:p>
    <w:p w14:paraId="0F468F29" w14:textId="77777777" w:rsidR="00D63FD9" w:rsidRPr="00343079" w:rsidRDefault="0058310A" w:rsidP="00D63FD9">
      <w:pPr>
        <w:pStyle w:val="Nadpis3"/>
      </w:pPr>
      <w:r>
        <w:lastRenderedPageBreak/>
        <w:t>Informace o</w:t>
      </w:r>
      <w:r w:rsidR="00D54EAF">
        <w:t xml:space="preserve"> centralizovaně zadávaných</w:t>
      </w:r>
      <w:r>
        <w:t xml:space="preserve"> VZ </w:t>
      </w:r>
    </w:p>
    <w:p w14:paraId="20EEBFFC" w14:textId="38056480" w:rsidR="00D63FD9" w:rsidRPr="00343079" w:rsidRDefault="00D63FD9" w:rsidP="00896748">
      <w:r w:rsidRPr="00343079">
        <w:t xml:space="preserve">Dle </w:t>
      </w:r>
      <w:r w:rsidR="00F47A70">
        <w:t>m</w:t>
      </w:r>
      <w:r w:rsidRPr="00343079">
        <w:t>inimálních požadavků</w:t>
      </w:r>
      <w:r w:rsidR="00B94DF5">
        <w:t xml:space="preserve"> pro vytvoření a provoz resortních systémů centralizovaného zadávání veřejných zakázek</w:t>
      </w:r>
      <w:r w:rsidRPr="00343079">
        <w:rPr>
          <w:rStyle w:val="Znakapoznpodarou"/>
          <w:rFonts w:eastAsiaTheme="majorEastAsia"/>
        </w:rPr>
        <w:footnoteReference w:id="42"/>
      </w:r>
      <w:r w:rsidRPr="00343079">
        <w:t xml:space="preserve"> </w:t>
      </w:r>
      <w:r w:rsidR="00966B6F">
        <w:t>měl</w:t>
      </w:r>
      <w:r w:rsidR="00C93911">
        <w:t>y</w:t>
      </w:r>
      <w:r w:rsidR="00966B6F" w:rsidRPr="00343079">
        <w:t xml:space="preserve"> </w:t>
      </w:r>
      <w:r w:rsidRPr="00343079">
        <w:t xml:space="preserve">ÚOSS povinnost evidovat a předávat </w:t>
      </w:r>
      <w:r w:rsidR="0077573A">
        <w:t>MMR</w:t>
      </w:r>
      <w:r w:rsidR="00966B6F">
        <w:t xml:space="preserve"> </w:t>
      </w:r>
      <w:r w:rsidRPr="00343079">
        <w:t>informace o</w:t>
      </w:r>
      <w:r w:rsidR="00B94DF5">
        <w:t> </w:t>
      </w:r>
      <w:r w:rsidRPr="00343079">
        <w:t>veřejných zakázkách zadaných centrálním zadavatelem v rámci RS</w:t>
      </w:r>
      <w:r w:rsidR="00963B01">
        <w:t xml:space="preserve"> </w:t>
      </w:r>
      <w:r w:rsidRPr="00343079">
        <w:t>CZ a dále o veřejných zakázkách zadaných pověřujícími zadavateli na</w:t>
      </w:r>
      <w:r w:rsidR="00963B01">
        <w:t xml:space="preserve"> </w:t>
      </w:r>
      <w:r w:rsidRPr="00343079">
        <w:t xml:space="preserve">základě centralizovaně uzavřených rámcových </w:t>
      </w:r>
      <w:r w:rsidR="008F5193">
        <w:t>dohod</w:t>
      </w:r>
      <w:r w:rsidR="008F5193" w:rsidRPr="00343079">
        <w:t xml:space="preserve"> </w:t>
      </w:r>
      <w:r w:rsidRPr="00343079">
        <w:t>v</w:t>
      </w:r>
      <w:r w:rsidR="00963B01">
        <w:t xml:space="preserve"> </w:t>
      </w:r>
      <w:r w:rsidRPr="00343079">
        <w:t>rámci RS</w:t>
      </w:r>
      <w:r w:rsidR="00963B01">
        <w:t xml:space="preserve"> </w:t>
      </w:r>
      <w:r w:rsidRPr="00343079">
        <w:t xml:space="preserve">CZ. </w:t>
      </w:r>
      <w:r w:rsidR="00966B6F">
        <w:t xml:space="preserve">Tyto informace následně využívalo MMR </w:t>
      </w:r>
      <w:r w:rsidRPr="00343079">
        <w:t xml:space="preserve">při </w:t>
      </w:r>
      <w:r w:rsidR="00D66462">
        <w:t xml:space="preserve">každoročním </w:t>
      </w:r>
      <w:r w:rsidRPr="00343079">
        <w:t xml:space="preserve">zpracování </w:t>
      </w:r>
      <w:r w:rsidR="00222C7E">
        <w:t xml:space="preserve">souhrnné </w:t>
      </w:r>
      <w:r w:rsidR="00A946F8">
        <w:rPr>
          <w:szCs w:val="24"/>
        </w:rPr>
        <w:t>z</w:t>
      </w:r>
      <w:r w:rsidR="00A946F8" w:rsidRPr="00A946F8">
        <w:rPr>
          <w:szCs w:val="24"/>
        </w:rPr>
        <w:t>právy o</w:t>
      </w:r>
      <w:r w:rsidR="00963B01">
        <w:t xml:space="preserve"> </w:t>
      </w:r>
      <w:r w:rsidR="00A946F8" w:rsidRPr="00A946F8">
        <w:rPr>
          <w:szCs w:val="24"/>
        </w:rPr>
        <w:t>hodnocení všech zavedených RS CZ</w:t>
      </w:r>
      <w:r w:rsidR="00A946F8" w:rsidRPr="00896748">
        <w:t>.</w:t>
      </w:r>
      <w:r w:rsidR="00966B6F">
        <w:t xml:space="preserve"> </w:t>
      </w:r>
      <w:r w:rsidR="00A83DAD">
        <w:t>V</w:t>
      </w:r>
      <w:r w:rsidR="00963B01">
        <w:t xml:space="preserve"> </w:t>
      </w:r>
      <w:r w:rsidR="00A83DAD">
        <w:t>roce 2016</w:t>
      </w:r>
      <w:r w:rsidR="00A83DAD" w:rsidRPr="00A83DAD">
        <w:rPr>
          <w:vertAlign w:val="superscript"/>
        </w:rPr>
        <w:t>7</w:t>
      </w:r>
      <w:r w:rsidR="00A83DAD">
        <w:t xml:space="preserve"> </w:t>
      </w:r>
      <w:r w:rsidR="00966B6F">
        <w:t xml:space="preserve">byla povinnost </w:t>
      </w:r>
      <w:r w:rsidR="0077573A">
        <w:t>zpracovávat</w:t>
      </w:r>
      <w:r w:rsidR="00966B6F">
        <w:t xml:space="preserve"> </w:t>
      </w:r>
      <w:r w:rsidR="00A946F8" w:rsidRPr="00A946F8">
        <w:t>tuto zprávu</w:t>
      </w:r>
      <w:r w:rsidR="00966B6F" w:rsidRPr="00A946F8">
        <w:t xml:space="preserve"> převedena</w:t>
      </w:r>
      <w:r w:rsidR="00966B6F">
        <w:t xml:space="preserve"> na MF</w:t>
      </w:r>
      <w:r w:rsidR="000A2A53">
        <w:t xml:space="preserve"> s</w:t>
      </w:r>
      <w:r w:rsidR="00963B01">
        <w:t xml:space="preserve"> </w:t>
      </w:r>
      <w:r w:rsidR="000A2A53">
        <w:t>tím, že mu bude MMR poskytovat</w:t>
      </w:r>
      <w:r w:rsidR="0077573A">
        <w:t xml:space="preserve"> součinnost</w:t>
      </w:r>
      <w:r w:rsidR="00A946F8">
        <w:t xml:space="preserve"> a zpráva bude zahrnovat i hodnocení CNS</w:t>
      </w:r>
      <w:r w:rsidR="0077573A">
        <w:t xml:space="preserve">. </w:t>
      </w:r>
    </w:p>
    <w:p w14:paraId="0247E0D8" w14:textId="2FCBA832" w:rsidR="00D63FD9" w:rsidRPr="00343079" w:rsidRDefault="00D63FD9" w:rsidP="00896748">
      <w:r w:rsidRPr="00343079">
        <w:t xml:space="preserve">ÚOSS </w:t>
      </w:r>
      <w:r w:rsidR="00557B66" w:rsidRPr="00343079">
        <w:t>před</w:t>
      </w:r>
      <w:r w:rsidR="00557B66">
        <w:t>ávají</w:t>
      </w:r>
      <w:r w:rsidR="00222C7E" w:rsidRPr="00343079">
        <w:t xml:space="preserve"> </w:t>
      </w:r>
      <w:r w:rsidRPr="00343079">
        <w:t>MF (dříve MMR) informace o každé veřejné zakázce</w:t>
      </w:r>
      <w:r w:rsidR="00F47A70">
        <w:t>,</w:t>
      </w:r>
      <w:r w:rsidR="007A765B">
        <w:t xml:space="preserve"> </w:t>
      </w:r>
      <w:r w:rsidR="00A83DAD">
        <w:t>zejména</w:t>
      </w:r>
      <w:r w:rsidRPr="00343079">
        <w:t xml:space="preserve"> název veřejné zakázky, předmět veřejné zakázky definovaný s využitím číselníku NIPEZ, druh veřejné zakázky (dodávky, služby</w:t>
      </w:r>
      <w:r w:rsidR="0077573A">
        <w:t>,</w:t>
      </w:r>
      <w:r w:rsidRPr="00343079">
        <w:t xml:space="preserve"> stavební práce), druh zadávacího řízení, předpokládanou hodnotu veřejné zakázky v Kč bez DPH, celkovou cenu plnění v Kč bez DPH uvedenou ve</w:t>
      </w:r>
      <w:r w:rsidR="00963B01">
        <w:t xml:space="preserve"> </w:t>
      </w:r>
      <w:r w:rsidRPr="00343079">
        <w:t>smlouvě,</w:t>
      </w:r>
      <w:r w:rsidR="00F47A70">
        <w:t xml:space="preserve"> dále informace,</w:t>
      </w:r>
      <w:r w:rsidRPr="00343079">
        <w:t xml:space="preserve"> </w:t>
      </w:r>
      <w:r w:rsidR="001E5911" w:rsidRPr="00343079">
        <w:t>zda</w:t>
      </w:r>
      <w:r w:rsidR="00F47A70">
        <w:t xml:space="preserve"> </w:t>
      </w:r>
      <w:r w:rsidRPr="00343079">
        <w:t>byla veřejná zakázka zadávána na</w:t>
      </w:r>
      <w:r w:rsidR="00963B01">
        <w:t xml:space="preserve"> </w:t>
      </w:r>
      <w:r w:rsidRPr="00343079">
        <w:t xml:space="preserve">základě rámcové </w:t>
      </w:r>
      <w:r w:rsidR="008F5193">
        <w:t>dohody</w:t>
      </w:r>
      <w:r w:rsidRPr="00343079">
        <w:t xml:space="preserve">, </w:t>
      </w:r>
      <w:r w:rsidR="00C03B15">
        <w:t xml:space="preserve">zda </w:t>
      </w:r>
      <w:r w:rsidRPr="00343079">
        <w:t xml:space="preserve">uzavřel rámcovou </w:t>
      </w:r>
      <w:r w:rsidR="008F5193">
        <w:t xml:space="preserve">dohodu </w:t>
      </w:r>
      <w:r w:rsidRPr="00343079">
        <w:t xml:space="preserve">či prováděcí smlouvu centrální zadavatel </w:t>
      </w:r>
      <w:r w:rsidR="0077573A">
        <w:t>nebo zda prováděcí smlouvu uzavřel</w:t>
      </w:r>
      <w:r w:rsidR="0077573A" w:rsidRPr="00343079">
        <w:t xml:space="preserve"> </w:t>
      </w:r>
      <w:r w:rsidRPr="00343079">
        <w:t xml:space="preserve">pověřující zadavatel. </w:t>
      </w:r>
      <w:r w:rsidR="003F10B7">
        <w:t>Tato povinnost představuje pro ÚOSS</w:t>
      </w:r>
      <w:r w:rsidR="00A83DAD">
        <w:t xml:space="preserve"> další</w:t>
      </w:r>
      <w:r w:rsidR="003F10B7">
        <w:t xml:space="preserve"> administrativní zátěž.</w:t>
      </w:r>
    </w:p>
    <w:p w14:paraId="1A897E16" w14:textId="2DA1385E" w:rsidR="00D63FD9" w:rsidRPr="00896748" w:rsidRDefault="00D63FD9">
      <w:r w:rsidRPr="00343079">
        <w:t xml:space="preserve">Většinu výše uvedených informací o veřejných zakázkách </w:t>
      </w:r>
      <w:r w:rsidR="00A83DAD">
        <w:t xml:space="preserve">však </w:t>
      </w:r>
      <w:r w:rsidRPr="00343079">
        <w:t>poskytují zadavatelé již</w:t>
      </w:r>
      <w:r w:rsidR="00963B01">
        <w:t xml:space="preserve"> </w:t>
      </w:r>
      <w:r w:rsidR="001E5911" w:rsidRPr="00343079">
        <w:t>do</w:t>
      </w:r>
      <w:r w:rsidR="00D71116">
        <w:t xml:space="preserve"> </w:t>
      </w:r>
      <w:r w:rsidRPr="00017383">
        <w:rPr>
          <w:i/>
        </w:rPr>
        <w:t>Věstníku veřejných zakázek</w:t>
      </w:r>
      <w:r w:rsidRPr="00A83DAD">
        <w:rPr>
          <w:vertAlign w:val="superscript"/>
        </w:rPr>
        <w:footnoteReference w:id="43"/>
      </w:r>
      <w:r w:rsidRPr="00343079">
        <w:t xml:space="preserve">. Např. informace o tom, </w:t>
      </w:r>
      <w:r w:rsidR="00442004">
        <w:t xml:space="preserve">zda </w:t>
      </w:r>
      <w:r w:rsidR="00442004" w:rsidRPr="00343079">
        <w:t xml:space="preserve">uzavřel rámcovou </w:t>
      </w:r>
      <w:r w:rsidR="00442004">
        <w:t xml:space="preserve">dohodu </w:t>
      </w:r>
      <w:r w:rsidR="00442004" w:rsidRPr="00343079">
        <w:t>či</w:t>
      </w:r>
      <w:r w:rsidR="00D71116">
        <w:t xml:space="preserve"> </w:t>
      </w:r>
      <w:r w:rsidR="00442004" w:rsidRPr="00343079">
        <w:t xml:space="preserve">prováděcí smlouvu centrální zadavatel </w:t>
      </w:r>
      <w:r w:rsidR="00442004">
        <w:t>nebo zda prováděcí smlouvu uzavřel</w:t>
      </w:r>
      <w:r w:rsidR="00442004" w:rsidRPr="00343079">
        <w:t xml:space="preserve"> pověřující zadavatel</w:t>
      </w:r>
      <w:r w:rsidR="00442004">
        <w:t>,</w:t>
      </w:r>
      <w:r w:rsidR="00442004" w:rsidRPr="00343079" w:rsidDel="00442004">
        <w:t xml:space="preserve"> </w:t>
      </w:r>
      <w:r w:rsidR="00A83DAD">
        <w:t xml:space="preserve">sice </w:t>
      </w:r>
      <w:r w:rsidRPr="00343079">
        <w:t>ve VVZ uvedena není, nicméně ve</w:t>
      </w:r>
      <w:r w:rsidR="00963B01">
        <w:t xml:space="preserve"> </w:t>
      </w:r>
      <w:r w:rsidRPr="00343079">
        <w:t>formulářích uveřejňovaných ve VVZ podle zákona č.</w:t>
      </w:r>
      <w:r w:rsidR="00963B01">
        <w:t xml:space="preserve"> </w:t>
      </w:r>
      <w:r w:rsidRPr="00343079">
        <w:t>134/2016 Sb.</w:t>
      </w:r>
      <w:r w:rsidRPr="00A83DAD">
        <w:rPr>
          <w:vertAlign w:val="superscript"/>
        </w:rPr>
        <w:footnoteReference w:id="44"/>
      </w:r>
      <w:r w:rsidRPr="00343079">
        <w:t xml:space="preserve"> je uvedena informace, na základě které lze odlišit centralizovaně zadávané VZ</w:t>
      </w:r>
      <w:r w:rsidRPr="00896748">
        <w:t xml:space="preserve">. </w:t>
      </w:r>
    </w:p>
    <w:p w14:paraId="27B6CDA4" w14:textId="1CFC41FF" w:rsidR="00D63FD9" w:rsidRPr="00343079" w:rsidRDefault="001F31DF" w:rsidP="00D63FD9">
      <w:pPr>
        <w:rPr>
          <w:rFonts w:cs="Arial"/>
          <w:szCs w:val="20"/>
        </w:rPr>
      </w:pPr>
      <w:r>
        <w:t xml:space="preserve">VVZ je podle § </w:t>
      </w:r>
      <w:r w:rsidR="007E6B2F">
        <w:t xml:space="preserve">224 </w:t>
      </w:r>
      <w:r>
        <w:t>zákona č. 134/2016 Sb</w:t>
      </w:r>
      <w:r w:rsidR="007E6B2F">
        <w:t>. součástí ISVZ</w:t>
      </w:r>
      <w:r w:rsidR="005617EE">
        <w:t>. P</w:t>
      </w:r>
      <w:r w:rsidR="00D63FD9" w:rsidRPr="00343079">
        <w:t>rovozovatel VVZ</w:t>
      </w:r>
      <w:r w:rsidR="00EF12E9">
        <w:t xml:space="preserve"> </w:t>
      </w:r>
      <w:r w:rsidR="00D63FD9" w:rsidRPr="00343079">
        <w:t>předáv</w:t>
      </w:r>
      <w:r w:rsidR="007E6B2F">
        <w:t>á</w:t>
      </w:r>
      <w:r w:rsidR="00D63FD9" w:rsidRPr="00343079">
        <w:t xml:space="preserve"> uveřejněné informace do </w:t>
      </w:r>
      <w:r w:rsidR="0077573A" w:rsidRPr="0077573A">
        <w:t>ISVZ</w:t>
      </w:r>
      <w:r w:rsidR="00A36EA8">
        <w:t>.</w:t>
      </w:r>
      <w:r w:rsidR="00D63FD9" w:rsidRPr="00343079">
        <w:t xml:space="preserve"> Přestože je MMR správcem ISVZ</w:t>
      </w:r>
      <w:r w:rsidR="007A765B">
        <w:t>,</w:t>
      </w:r>
      <w:r w:rsidR="00D63FD9" w:rsidRPr="00343079">
        <w:t xml:space="preserve"> má přístup k</w:t>
      </w:r>
      <w:r w:rsidR="00981494">
        <w:t xml:space="preserve"> </w:t>
      </w:r>
      <w:r w:rsidR="00D63FD9" w:rsidRPr="00343079">
        <w:t xml:space="preserve">údajům z VVZ </w:t>
      </w:r>
      <w:r w:rsidR="002A01B8" w:rsidRPr="00343079">
        <w:t xml:space="preserve">pouze </w:t>
      </w:r>
      <w:r w:rsidR="00D63FD9" w:rsidRPr="00343079">
        <w:t xml:space="preserve">prostřednictvím </w:t>
      </w:r>
      <w:r w:rsidR="00D63FD9" w:rsidRPr="002E4A74">
        <w:t>nastavených sestav v ISVZ</w:t>
      </w:r>
      <w:r w:rsidR="00D63FD9" w:rsidRPr="00343079">
        <w:t xml:space="preserve">. Pro získání datové sestavy obsahující jiné, resp. všechny povinně zadávané údaje do VVZ je MMR závislé na úplatném poskytnutí služeb </w:t>
      </w:r>
      <w:r w:rsidR="004A1A2D">
        <w:t>provozovatele ISVZ</w:t>
      </w:r>
      <w:r w:rsidR="0077573A">
        <w:t>.</w:t>
      </w:r>
      <w:r w:rsidR="00D63FD9" w:rsidRPr="00343079">
        <w:t xml:space="preserve"> </w:t>
      </w:r>
      <w:r w:rsidR="007E6B2F" w:rsidRPr="00343079">
        <w:t xml:space="preserve">MMR </w:t>
      </w:r>
      <w:r w:rsidR="00091BFB">
        <w:t xml:space="preserve">tak </w:t>
      </w:r>
      <w:r w:rsidR="007E6B2F" w:rsidRPr="00343079">
        <w:t xml:space="preserve">nemělo k dispozici </w:t>
      </w:r>
      <w:r w:rsidR="00091BFB">
        <w:t xml:space="preserve">uveřejněné </w:t>
      </w:r>
      <w:r w:rsidR="007E6B2F" w:rsidRPr="00343079">
        <w:t>údaj</w:t>
      </w:r>
      <w:r w:rsidR="002E4A74">
        <w:t>e</w:t>
      </w:r>
      <w:r w:rsidR="007E6B2F" w:rsidRPr="00343079">
        <w:t xml:space="preserve"> </w:t>
      </w:r>
      <w:r w:rsidR="002E4A74">
        <w:t>o</w:t>
      </w:r>
      <w:r w:rsidR="00091BFB">
        <w:t> </w:t>
      </w:r>
      <w:r w:rsidR="002E4A74" w:rsidRPr="00343079">
        <w:t>veřejných zakázk</w:t>
      </w:r>
      <w:r w:rsidR="002E4A74">
        <w:t>ách</w:t>
      </w:r>
      <w:r w:rsidR="002E4A74" w:rsidRPr="00343079">
        <w:t xml:space="preserve"> </w:t>
      </w:r>
      <w:r w:rsidR="00091BFB">
        <w:t>za</w:t>
      </w:r>
      <w:r w:rsidR="00D71116">
        <w:t xml:space="preserve"> </w:t>
      </w:r>
      <w:r w:rsidR="00091BFB">
        <w:t>roky</w:t>
      </w:r>
      <w:r w:rsidR="007E6B2F" w:rsidRPr="00343079">
        <w:t xml:space="preserve"> 2014</w:t>
      </w:r>
      <w:r w:rsidR="007E6B2F">
        <w:t>–</w:t>
      </w:r>
      <w:r w:rsidR="007E6B2F" w:rsidRPr="00343079">
        <w:t>2017</w:t>
      </w:r>
      <w:r w:rsidR="002E4A74">
        <w:t xml:space="preserve"> ve struktuře umožňující souhrnnou analýzu dat</w:t>
      </w:r>
      <w:r w:rsidR="007E6B2F" w:rsidRPr="00343079">
        <w:t xml:space="preserve">. </w:t>
      </w:r>
    </w:p>
    <w:p w14:paraId="2AFBC72C" w14:textId="682D47EF" w:rsidR="00D63FD9" w:rsidRDefault="00D63FD9" w:rsidP="00D63FD9">
      <w:pPr>
        <w:rPr>
          <w:rFonts w:ascii="Calibri" w:hAnsi="Calibri" w:cs="Calibri"/>
          <w:szCs w:val="24"/>
        </w:rPr>
      </w:pPr>
      <w:r w:rsidRPr="00343079">
        <w:rPr>
          <w:rFonts w:cs="Arial"/>
          <w:szCs w:val="20"/>
        </w:rPr>
        <w:t>V kontrolní akci č. 15/10</w:t>
      </w:r>
      <w:r w:rsidR="00D71116">
        <w:rPr>
          <w:rFonts w:cs="Arial"/>
          <w:szCs w:val="20"/>
        </w:rPr>
        <w:t>  0150</w:t>
      </w:r>
      <w:r w:rsidRPr="00343079">
        <w:rPr>
          <w:rFonts w:cs="Arial"/>
          <w:szCs w:val="20"/>
        </w:rPr>
        <w:t xml:space="preserve"> </w:t>
      </w:r>
      <w:r w:rsidRPr="00343079">
        <w:rPr>
          <w:rFonts w:cs="Arial"/>
          <w:i/>
          <w:szCs w:val="20"/>
        </w:rPr>
        <w:t>Peněžní prostředky vynakládané na Národní infrastrukturu pro elektronické zadávání veřejných zakázek (NIPEZ) a nákup komodit jeho prostřednictvím</w:t>
      </w:r>
      <w:r w:rsidRPr="00343079">
        <w:rPr>
          <w:rFonts w:cs="Arial"/>
          <w:szCs w:val="20"/>
        </w:rPr>
        <w:t xml:space="preserve"> NKÚ upozornil, </w:t>
      </w:r>
      <w:r w:rsidR="00A83DAD">
        <w:rPr>
          <w:rFonts w:cs="Arial"/>
          <w:szCs w:val="20"/>
        </w:rPr>
        <w:t>že MMR již od doby vytvoření IS</w:t>
      </w:r>
      <w:r w:rsidRPr="00343079">
        <w:rPr>
          <w:rFonts w:cs="Arial"/>
          <w:szCs w:val="20"/>
        </w:rPr>
        <w:t>VZ v</w:t>
      </w:r>
      <w:r w:rsidR="00963B01">
        <w:rPr>
          <w:rFonts w:cs="Arial"/>
          <w:szCs w:val="20"/>
        </w:rPr>
        <w:t xml:space="preserve"> </w:t>
      </w:r>
      <w:r w:rsidRPr="00343079">
        <w:rPr>
          <w:rFonts w:cs="Arial"/>
          <w:szCs w:val="20"/>
        </w:rPr>
        <w:t xml:space="preserve">roce 2002 zajišťuje úpravy a provoz ISVZ prostřednictvím zakázek stejnému dodavateli. </w:t>
      </w:r>
      <w:r w:rsidRPr="00343079">
        <w:t xml:space="preserve">MMR zaplatilo za provoz a úpravy ISVZ </w:t>
      </w:r>
      <w:r w:rsidRPr="00343079">
        <w:lastRenderedPageBreak/>
        <w:t>v období 2014</w:t>
      </w:r>
      <w:r w:rsidR="00593641">
        <w:t>–</w:t>
      </w:r>
      <w:r w:rsidRPr="00343079">
        <w:t>2017 nejméně 16 mil. Kč vč. DPH</w:t>
      </w:r>
      <w:r w:rsidR="0077573A">
        <w:rPr>
          <w:rStyle w:val="Znakapoznpodarou"/>
        </w:rPr>
        <w:footnoteReference w:id="45"/>
      </w:r>
      <w:r w:rsidRPr="00343079">
        <w:t>.</w:t>
      </w:r>
      <w:r w:rsidR="007E6B2F" w:rsidRPr="007E6B2F">
        <w:t xml:space="preserve"> </w:t>
      </w:r>
      <w:r w:rsidR="007E6B2F" w:rsidRPr="00343079">
        <w:t>MMR stále neomezilo</w:t>
      </w:r>
      <w:r w:rsidR="006A3EB0">
        <w:t xml:space="preserve"> závislost na</w:t>
      </w:r>
      <w:r w:rsidR="00D71116">
        <w:t xml:space="preserve"> </w:t>
      </w:r>
      <w:r w:rsidR="006A3EB0">
        <w:t>dodavateli</w:t>
      </w:r>
      <w:r w:rsidR="00357325">
        <w:t>, tzv.</w:t>
      </w:r>
      <w:r w:rsidR="007E6B2F" w:rsidRPr="00343079" w:rsidDel="006A3EB0">
        <w:t xml:space="preserve"> vendor lock-in</w:t>
      </w:r>
      <w:r w:rsidR="00D71116">
        <w:t>,</w:t>
      </w:r>
      <w:r w:rsidR="007E6B2F" w:rsidRPr="00343079" w:rsidDel="006A3EB0">
        <w:t xml:space="preserve"> </w:t>
      </w:r>
      <w:r w:rsidR="007E6B2F">
        <w:t>při úpravě a provozu ISVZ</w:t>
      </w:r>
      <w:r w:rsidR="007E6B2F" w:rsidRPr="00343079">
        <w:t>.</w:t>
      </w:r>
      <w:r w:rsidR="007E6B2F">
        <w:t xml:space="preserve"> </w:t>
      </w:r>
      <w:r w:rsidR="00066083">
        <w:rPr>
          <w:rFonts w:ascii="Calibri" w:hAnsi="Calibri" w:cs="Calibri"/>
          <w:szCs w:val="24"/>
        </w:rPr>
        <w:t xml:space="preserve">MMR by za </w:t>
      </w:r>
      <w:r w:rsidR="00D71116">
        <w:rPr>
          <w:rFonts w:ascii="Calibri" w:hAnsi="Calibri" w:cs="Calibri"/>
          <w:szCs w:val="24"/>
        </w:rPr>
        <w:t xml:space="preserve">získání </w:t>
      </w:r>
      <w:r w:rsidR="00066083">
        <w:rPr>
          <w:rFonts w:ascii="Calibri" w:hAnsi="Calibri" w:cs="Calibri"/>
          <w:szCs w:val="24"/>
        </w:rPr>
        <w:t xml:space="preserve">dat, která požadoval NKÚ, v rozsahu a struktuře pro </w:t>
      </w:r>
      <w:r w:rsidR="00066083">
        <w:t>určení míry využívání centralizovaného zadávání vynaložilo další výdaje ve výši cca 150 tis. Kč</w:t>
      </w:r>
      <w:r w:rsidR="007E6B2F">
        <w:rPr>
          <w:rFonts w:ascii="Calibri" w:hAnsi="Calibri" w:cs="Calibri"/>
          <w:szCs w:val="24"/>
        </w:rPr>
        <w:t>.</w:t>
      </w:r>
    </w:p>
    <w:p w14:paraId="1814BE79" w14:textId="2C2D785D" w:rsidR="008D3E40" w:rsidRDefault="00D63FD9" w:rsidP="008E1672">
      <w:pPr>
        <w:rPr>
          <w:rFonts w:cstheme="minorHAnsi"/>
        </w:rPr>
      </w:pPr>
      <w:r w:rsidRPr="00343079">
        <w:t>Omezený</w:t>
      </w:r>
      <w:r w:rsidRPr="00343079">
        <w:rPr>
          <w:rFonts w:cstheme="minorHAnsi"/>
        </w:rPr>
        <w:t xml:space="preserve"> </w:t>
      </w:r>
      <w:r w:rsidRPr="00343079">
        <w:t>přístup MMR k</w:t>
      </w:r>
      <w:r w:rsidR="00963B01">
        <w:t xml:space="preserve"> </w:t>
      </w:r>
      <w:r w:rsidRPr="00343079">
        <w:t>datům z</w:t>
      </w:r>
      <w:r w:rsidR="00963B01">
        <w:t xml:space="preserve"> </w:t>
      </w:r>
      <w:r w:rsidRPr="00343079">
        <w:t>VVZ, resp. ISVZ,</w:t>
      </w:r>
      <w:r w:rsidR="006B60C1">
        <w:rPr>
          <w:rFonts w:cstheme="minorHAnsi"/>
        </w:rPr>
        <w:t xml:space="preserve"> vedl</w:t>
      </w:r>
      <w:r w:rsidRPr="00343079">
        <w:rPr>
          <w:rFonts w:cstheme="minorHAnsi"/>
        </w:rPr>
        <w:t xml:space="preserve"> v</w:t>
      </w:r>
      <w:r w:rsidR="00963B01">
        <w:rPr>
          <w:rFonts w:cstheme="minorHAnsi"/>
        </w:rPr>
        <w:t xml:space="preserve"> </w:t>
      </w:r>
      <w:r w:rsidRPr="00343079">
        <w:rPr>
          <w:rFonts w:cstheme="minorHAnsi"/>
        </w:rPr>
        <w:t>konečném důsledku k</w:t>
      </w:r>
      <w:r w:rsidR="00963B01">
        <w:rPr>
          <w:rFonts w:cstheme="minorHAnsi"/>
        </w:rPr>
        <w:t xml:space="preserve"> </w:t>
      </w:r>
      <w:r w:rsidRPr="00343079">
        <w:rPr>
          <w:rFonts w:cstheme="minorHAnsi"/>
        </w:rPr>
        <w:t xml:space="preserve">tomu, </w:t>
      </w:r>
      <w:r w:rsidR="001E5911" w:rsidRPr="00343079">
        <w:rPr>
          <w:rFonts w:cstheme="minorHAnsi"/>
        </w:rPr>
        <w:t>že</w:t>
      </w:r>
      <w:r w:rsidR="00D71116">
        <w:rPr>
          <w:rFonts w:cstheme="minorHAnsi"/>
        </w:rPr>
        <w:t xml:space="preserve"> </w:t>
      </w:r>
      <w:r w:rsidRPr="00343079">
        <w:rPr>
          <w:rFonts w:cstheme="minorHAnsi"/>
        </w:rPr>
        <w:t xml:space="preserve">MMR </w:t>
      </w:r>
      <w:r w:rsidR="00470F4F">
        <w:rPr>
          <w:rFonts w:cstheme="minorHAnsi"/>
        </w:rPr>
        <w:t>nepředávalo</w:t>
      </w:r>
      <w:r w:rsidR="00470F4F" w:rsidRPr="00343079">
        <w:rPr>
          <w:rFonts w:cstheme="minorHAnsi"/>
        </w:rPr>
        <w:t xml:space="preserve"> </w:t>
      </w:r>
      <w:r w:rsidRPr="00343079">
        <w:rPr>
          <w:rFonts w:cstheme="minorHAnsi"/>
        </w:rPr>
        <w:t xml:space="preserve">informace uveřejňované ve VVZ ani MF, které </w:t>
      </w:r>
      <w:r w:rsidR="004A1A2D">
        <w:rPr>
          <w:rFonts w:cstheme="minorHAnsi"/>
        </w:rPr>
        <w:t>by mohlo</w:t>
      </w:r>
      <w:r w:rsidRPr="00343079">
        <w:rPr>
          <w:rFonts w:cstheme="minorHAnsi"/>
        </w:rPr>
        <w:t xml:space="preserve"> tyto údaje</w:t>
      </w:r>
      <w:r w:rsidR="004A1A2D">
        <w:rPr>
          <w:rFonts w:cstheme="minorHAnsi"/>
        </w:rPr>
        <w:t xml:space="preserve"> </w:t>
      </w:r>
      <w:r w:rsidRPr="00343079">
        <w:rPr>
          <w:rFonts w:cstheme="minorHAnsi"/>
        </w:rPr>
        <w:t>využít při zpracování zpráv o fungování RS</w:t>
      </w:r>
      <w:r w:rsidR="00963B01">
        <w:rPr>
          <w:rFonts w:cstheme="minorHAnsi"/>
        </w:rPr>
        <w:t xml:space="preserve"> </w:t>
      </w:r>
      <w:r w:rsidR="006B60C1">
        <w:rPr>
          <w:rFonts w:cstheme="minorHAnsi"/>
        </w:rPr>
        <w:t>CZ a</w:t>
      </w:r>
      <w:r w:rsidR="00963B01">
        <w:rPr>
          <w:rFonts w:cstheme="minorHAnsi"/>
        </w:rPr>
        <w:t xml:space="preserve"> </w:t>
      </w:r>
      <w:r w:rsidR="006B60C1">
        <w:rPr>
          <w:rFonts w:cstheme="minorHAnsi"/>
        </w:rPr>
        <w:t>CNS</w:t>
      </w:r>
      <w:r w:rsidR="004A1A2D">
        <w:rPr>
          <w:rFonts w:cstheme="minorHAnsi"/>
        </w:rPr>
        <w:t xml:space="preserve"> a nemuselo by je </w:t>
      </w:r>
      <w:r w:rsidRPr="00343079">
        <w:rPr>
          <w:rFonts w:cstheme="minorHAnsi"/>
        </w:rPr>
        <w:t>získávat od</w:t>
      </w:r>
      <w:r w:rsidR="00963B01">
        <w:rPr>
          <w:rFonts w:cstheme="minorHAnsi"/>
        </w:rPr>
        <w:t xml:space="preserve"> </w:t>
      </w:r>
      <w:r w:rsidRPr="00343079">
        <w:rPr>
          <w:rFonts w:cstheme="minorHAnsi"/>
        </w:rPr>
        <w:t>jednotlivých zadavatelů zapojených do RS</w:t>
      </w:r>
      <w:r w:rsidR="00963B01">
        <w:rPr>
          <w:rFonts w:cstheme="minorHAnsi"/>
        </w:rPr>
        <w:t xml:space="preserve"> </w:t>
      </w:r>
      <w:r w:rsidR="006B60C1">
        <w:rPr>
          <w:rFonts w:cstheme="minorHAnsi"/>
        </w:rPr>
        <w:t>CZ</w:t>
      </w:r>
      <w:r w:rsidRPr="00343079">
        <w:rPr>
          <w:rFonts w:cstheme="minorHAnsi"/>
        </w:rPr>
        <w:t xml:space="preserve">. </w:t>
      </w:r>
      <w:r w:rsidR="00A83DAD">
        <w:rPr>
          <w:rFonts w:cstheme="minorHAnsi"/>
        </w:rPr>
        <w:t xml:space="preserve">Došlo by tak ke snížení administrativní zátěže zadavatelů. </w:t>
      </w:r>
      <w:r w:rsidRPr="00343079">
        <w:rPr>
          <w:rFonts w:cstheme="minorHAnsi"/>
        </w:rPr>
        <w:t>Údaje o veřejných</w:t>
      </w:r>
      <w:r w:rsidR="006B60C1">
        <w:rPr>
          <w:rFonts w:cstheme="minorHAnsi"/>
        </w:rPr>
        <w:t xml:space="preserve"> zakázkách by bylo možné využí</w:t>
      </w:r>
      <w:r w:rsidRPr="00343079">
        <w:rPr>
          <w:rFonts w:cstheme="minorHAnsi"/>
        </w:rPr>
        <w:t xml:space="preserve">t také pro výpočet míry využívání centralizovaného zadávání, čerpání uzavřených rámcových dohod či určení případů nevyužití centralizovaného </w:t>
      </w:r>
      <w:r w:rsidR="00133A1E">
        <w:rPr>
          <w:rFonts w:cstheme="minorHAnsi"/>
        </w:rPr>
        <w:t>zadávání.</w:t>
      </w:r>
    </w:p>
    <w:p w14:paraId="6EDBF97A" w14:textId="77777777" w:rsidR="00F6599E" w:rsidRDefault="00F6599E" w:rsidP="008E1672">
      <w:pPr>
        <w:rPr>
          <w:rFonts w:cstheme="minorHAnsi"/>
        </w:rPr>
      </w:pPr>
    </w:p>
    <w:p w14:paraId="07FEAF24" w14:textId="77777777" w:rsidR="005C72BA" w:rsidRDefault="005C72BA" w:rsidP="005A0E42">
      <w:pPr>
        <w:pStyle w:val="Nadpis3"/>
        <w:ind w:left="426" w:hanging="426"/>
      </w:pPr>
      <w:r w:rsidRPr="005C72BA">
        <w:t>Seznam zkratek</w:t>
      </w:r>
    </w:p>
    <w:tbl>
      <w:tblPr>
        <w:tblW w:w="90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792"/>
      </w:tblGrid>
      <w:tr w:rsidR="005C72BA" w:rsidRPr="00F6599E" w14:paraId="74B3E22D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91A842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CNS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7EF0BDF2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Centrální nákup státu</w:t>
            </w:r>
          </w:p>
        </w:tc>
      </w:tr>
      <w:tr w:rsidR="005C72BA" w:rsidRPr="00F6599E" w14:paraId="136DD959" w14:textId="77777777" w:rsidTr="00A83DAD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33F8BC87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CPV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68655B56" w14:textId="2CCED5B1" w:rsidR="005C72BA" w:rsidRPr="00F6599E" w:rsidRDefault="00D71116" w:rsidP="00D7111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>
              <w:rPr>
                <w:rFonts w:ascii="Calibri" w:hAnsi="Calibri" w:cs="Calibri"/>
                <w:szCs w:val="24"/>
              </w:rPr>
              <w:t>S</w:t>
            </w:r>
            <w:r w:rsidR="00F04AD5" w:rsidRPr="00F6599E">
              <w:rPr>
                <w:rFonts w:ascii="Calibri" w:hAnsi="Calibri" w:cs="Calibri"/>
                <w:szCs w:val="24"/>
              </w:rPr>
              <w:t>polečný slovník pro veřejné zakázky</w:t>
            </w:r>
            <w:r>
              <w:rPr>
                <w:rFonts w:ascii="Calibri" w:hAnsi="Calibri" w:cs="Calibri"/>
                <w:szCs w:val="24"/>
              </w:rPr>
              <w:t xml:space="preserve"> (</w:t>
            </w:r>
            <w:r w:rsidRPr="00017383"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  <w:t>Common procurement vocabulary</w:t>
            </w:r>
            <w:r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)</w:t>
            </w:r>
          </w:p>
        </w:tc>
      </w:tr>
      <w:tr w:rsidR="005C72BA" w:rsidRPr="00F6599E" w14:paraId="77D5140C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837DC68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DNS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120F8103" w14:textId="77777777" w:rsidR="005C72BA" w:rsidRPr="00F6599E" w:rsidRDefault="00F7381E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Dynamický nákupní systém</w:t>
            </w:r>
          </w:p>
        </w:tc>
      </w:tr>
      <w:tr w:rsidR="005C72BA" w:rsidRPr="00F6599E" w14:paraId="2A3D41C9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446F06E5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Harmonogram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726866D1" w14:textId="77777777" w:rsidR="005C72BA" w:rsidRPr="00F6599E" w:rsidRDefault="002666DC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Návrh rámcového harmonogramu centrálního nákupu státu pro roky 2016</w:t>
            </w:r>
            <w:r w:rsidR="00593641"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–</w:t>
            </w: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2020</w:t>
            </w:r>
          </w:p>
        </w:tc>
      </w:tr>
      <w:tr w:rsidR="005C72BA" w:rsidRPr="00F6599E" w14:paraId="087ED5E9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117831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383C9DCF" w14:textId="77777777" w:rsidR="005C72BA" w:rsidRPr="00F6599E" w:rsidRDefault="002666DC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hAnsi="Calibri" w:cs="Calibri"/>
                <w:szCs w:val="24"/>
              </w:rPr>
              <w:t>Informační a komunikační technologie</w:t>
            </w:r>
          </w:p>
        </w:tc>
      </w:tr>
      <w:tr w:rsidR="00AD23B4" w:rsidRPr="00F6599E" w14:paraId="4009C2BA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</w:tcPr>
          <w:p w14:paraId="04E0F89B" w14:textId="77777777" w:rsidR="00AD23B4" w:rsidRPr="00F6599E" w:rsidRDefault="00AD23B4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ISVZ</w:t>
            </w:r>
          </w:p>
        </w:tc>
        <w:tc>
          <w:tcPr>
            <w:tcW w:w="6792" w:type="dxa"/>
            <w:shd w:val="clear" w:color="auto" w:fill="auto"/>
            <w:noWrap/>
            <w:vAlign w:val="bottom"/>
          </w:tcPr>
          <w:p w14:paraId="45AE052F" w14:textId="77777777" w:rsidR="00AD23B4" w:rsidRPr="00F6599E" w:rsidRDefault="00AD23B4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Informační systém o veřejných zakázkách</w:t>
            </w:r>
          </w:p>
        </w:tc>
      </w:tr>
      <w:tr w:rsidR="005C72BA" w:rsidRPr="00F6599E" w14:paraId="48542BD8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1802D90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KA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3D60DEE7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Kontrolní akce</w:t>
            </w:r>
          </w:p>
        </w:tc>
      </w:tr>
      <w:tr w:rsidR="005C72BA" w:rsidRPr="00F6599E" w14:paraId="02024683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022D4D5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KSS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334BE7A4" w14:textId="77777777" w:rsidR="005C72BA" w:rsidRPr="00F6599E" w:rsidRDefault="002666DC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Komoditní standardizační skupiny</w:t>
            </w:r>
          </w:p>
        </w:tc>
      </w:tr>
      <w:tr w:rsidR="005C72BA" w:rsidRPr="00F6599E" w14:paraId="053EC43C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2C57D174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Metodika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400B1C05" w14:textId="77777777" w:rsidR="005C72BA" w:rsidRPr="00F6599E" w:rsidRDefault="005A0E42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Metodika vyčíslování úspor dosažených v rámci resortního systému centralizovaného zadávání</w:t>
            </w:r>
          </w:p>
        </w:tc>
      </w:tr>
      <w:tr w:rsidR="005C72BA" w:rsidRPr="00F6599E" w14:paraId="05A06408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3FAF229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MF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5D28E9DB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Ministerstvo financí</w:t>
            </w:r>
          </w:p>
        </w:tc>
      </w:tr>
      <w:tr w:rsidR="005C72BA" w:rsidRPr="00F6599E" w14:paraId="1D4A92CB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2A48D7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MMR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72395A50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Ministerstvo pro místní rozvoj</w:t>
            </w:r>
          </w:p>
        </w:tc>
      </w:tr>
      <w:tr w:rsidR="005C72BA" w:rsidRPr="00F6599E" w14:paraId="6F9B24C4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0EE4698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MV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60170EAE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Ministerstvo vnitra</w:t>
            </w:r>
          </w:p>
        </w:tc>
      </w:tr>
      <w:tr w:rsidR="005C72BA" w:rsidRPr="00F6599E" w14:paraId="0A726E1A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DDE6133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NEN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4743ADE1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Národní elektronický nástroj</w:t>
            </w:r>
          </w:p>
        </w:tc>
      </w:tr>
      <w:tr w:rsidR="005C72BA" w:rsidRPr="00F6599E" w14:paraId="50ABAA05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14:paraId="62F69B5B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NIPEZ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29B2EFF1" w14:textId="77777777" w:rsidR="005C72BA" w:rsidRPr="00F6599E" w:rsidRDefault="002666DC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Národní infrastruktura pro elektronické zadávání veřejných zakázek</w:t>
            </w:r>
          </w:p>
        </w:tc>
      </w:tr>
      <w:tr w:rsidR="005C72BA" w:rsidRPr="00F6599E" w14:paraId="0F4AF7F6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4A667DE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NKS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5EEB989F" w14:textId="77777777" w:rsidR="005C72BA" w:rsidRPr="00F6599E" w:rsidRDefault="002666DC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hAnsi="Calibri" w:cs="Calibri"/>
                <w:szCs w:val="24"/>
                <w:lang w:eastAsia="cs-CZ"/>
              </w:rPr>
              <w:t>Nadresortní koordinační skupina</w:t>
            </w:r>
          </w:p>
        </w:tc>
      </w:tr>
      <w:tr w:rsidR="005C72BA" w:rsidRPr="00F6599E" w14:paraId="43FAC949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A1756EF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NKÚ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7C6EDBFF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Nejvyšší kontrolní úřad</w:t>
            </w:r>
          </w:p>
        </w:tc>
      </w:tr>
      <w:tr w:rsidR="005C72BA" w:rsidRPr="00F6599E" w14:paraId="3ED4E405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708D4E8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RS CZ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78DC8485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Resortní systém centralizovaného zadávání</w:t>
            </w:r>
          </w:p>
        </w:tc>
      </w:tr>
      <w:tr w:rsidR="005C72BA" w:rsidRPr="00F6599E" w14:paraId="01293E26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83C577B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SW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0DF4BDFD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Softwarové produkty</w:t>
            </w:r>
          </w:p>
        </w:tc>
      </w:tr>
      <w:tr w:rsidR="005C72BA" w:rsidRPr="00F6599E" w14:paraId="57C788BB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41E3DD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ÚOSS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48CF67A2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Ústřední orgán státní správy</w:t>
            </w:r>
          </w:p>
        </w:tc>
      </w:tr>
      <w:tr w:rsidR="005C72BA" w:rsidRPr="00F6599E" w14:paraId="67AEA91A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D54C0C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VVZ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3DD3213B" w14:textId="77777777" w:rsidR="005C72BA" w:rsidRPr="00017383" w:rsidRDefault="005A0E42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</w:pPr>
            <w:r w:rsidRPr="00017383"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  <w:t>Věstník veřejných zakázek</w:t>
            </w:r>
          </w:p>
        </w:tc>
      </w:tr>
      <w:tr w:rsidR="005C72BA" w:rsidRPr="00F6599E" w14:paraId="5CDDB4FA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29A2E07" w14:textId="77777777" w:rsidR="005C72BA" w:rsidRPr="00F6599E" w:rsidRDefault="005C72BA" w:rsidP="00F659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VZ</w:t>
            </w:r>
          </w:p>
        </w:tc>
        <w:tc>
          <w:tcPr>
            <w:tcW w:w="6792" w:type="dxa"/>
            <w:shd w:val="clear" w:color="auto" w:fill="auto"/>
            <w:noWrap/>
            <w:vAlign w:val="bottom"/>
            <w:hideMark/>
          </w:tcPr>
          <w:p w14:paraId="5FE48561" w14:textId="77777777" w:rsidR="005C72BA" w:rsidRPr="00F6599E" w:rsidRDefault="005C72BA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  <w:t>Veřejná zakázka</w:t>
            </w:r>
          </w:p>
        </w:tc>
      </w:tr>
      <w:tr w:rsidR="001C3DE0" w:rsidRPr="00F6599E" w14:paraId="5F41226C" w14:textId="77777777" w:rsidTr="00A946F8">
        <w:trPr>
          <w:trHeight w:val="300"/>
        </w:trPr>
        <w:tc>
          <w:tcPr>
            <w:tcW w:w="2268" w:type="dxa"/>
            <w:shd w:val="clear" w:color="auto" w:fill="auto"/>
            <w:noWrap/>
          </w:tcPr>
          <w:p w14:paraId="4074B363" w14:textId="77777777" w:rsidR="001C3DE0" w:rsidRPr="00F6599E" w:rsidRDefault="001C3DE0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4"/>
                <w:lang w:eastAsia="cs-CZ"/>
              </w:rPr>
            </w:pPr>
            <w:r w:rsidRPr="00F6599E">
              <w:rPr>
                <w:rFonts w:ascii="Calibri" w:hAnsi="Calibri" w:cs="Calibri"/>
                <w:szCs w:val="24"/>
              </w:rPr>
              <w:t>Zpráva o hodnocení</w:t>
            </w:r>
            <w:r w:rsidR="004A1A2D" w:rsidRPr="00F6599E">
              <w:rPr>
                <w:rFonts w:ascii="Calibri" w:hAnsi="Calibri" w:cs="Calibri"/>
                <w:szCs w:val="24"/>
              </w:rPr>
              <w:t xml:space="preserve"> za rok</w:t>
            </w:r>
            <w:r w:rsidRPr="00F6599E">
              <w:rPr>
                <w:rFonts w:ascii="Calibri" w:hAnsi="Calibri" w:cs="Calibri"/>
                <w:szCs w:val="24"/>
              </w:rPr>
              <w:t xml:space="preserve"> 2016</w:t>
            </w:r>
          </w:p>
        </w:tc>
        <w:tc>
          <w:tcPr>
            <w:tcW w:w="6792" w:type="dxa"/>
            <w:shd w:val="clear" w:color="auto" w:fill="auto"/>
            <w:noWrap/>
            <w:vAlign w:val="bottom"/>
          </w:tcPr>
          <w:p w14:paraId="5812AB44" w14:textId="68C7C9C6" w:rsidR="001C3DE0" w:rsidRPr="00017383" w:rsidRDefault="001C3DE0" w:rsidP="00F6599E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</w:pPr>
            <w:r w:rsidRPr="00017383"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  <w:t>Zpráva o hodnocení resortních syst</w:t>
            </w:r>
            <w:r w:rsidR="004309CE"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  <w:t>émů centralizovaného zadávání a </w:t>
            </w:r>
            <w:r w:rsidRPr="00017383">
              <w:rPr>
                <w:rFonts w:ascii="Calibri" w:eastAsia="Times New Roman" w:hAnsi="Calibri" w:cs="Calibri"/>
                <w:i/>
                <w:color w:val="000000"/>
                <w:szCs w:val="24"/>
                <w:lang w:eastAsia="cs-CZ"/>
              </w:rPr>
              <w:t>centrálního nákupu státu za rok 2016</w:t>
            </w:r>
          </w:p>
        </w:tc>
      </w:tr>
    </w:tbl>
    <w:p w14:paraId="60D27774" w14:textId="77777777" w:rsidR="00F17B6B" w:rsidRDefault="00F17B6B">
      <w:pPr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53D7E67" w14:textId="68479841" w:rsidR="003B0E71" w:rsidRDefault="000042A3" w:rsidP="00A83DAD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Příloha:</w:t>
      </w:r>
      <w:r w:rsidR="00A83DAD" w:rsidRPr="00A83DAD">
        <w:rPr>
          <w:rFonts w:cstheme="minorHAnsi"/>
          <w:b/>
        </w:rPr>
        <w:t xml:space="preserve"> Mezinárodní srovnání</w:t>
      </w:r>
    </w:p>
    <w:p w14:paraId="2326E00E" w14:textId="77777777" w:rsidR="003B0E71" w:rsidRDefault="003B0E71" w:rsidP="003B0E71">
      <w:r>
        <w:t>NKÚ v rámci mezinárodní spolupráce</w:t>
      </w:r>
      <w:r>
        <w:rPr>
          <w:rStyle w:val="Znakapoznpodarou"/>
        </w:rPr>
        <w:footnoteReference w:id="46"/>
      </w:r>
      <w:r>
        <w:t xml:space="preserve"> porovnal nastavení systémů centralizovaného zadávání ve státní správě, a to ve Finsku, Rakousku, Maďarsku, Portugalsku a na Slovensku.</w:t>
      </w:r>
      <w:r w:rsidDel="00D21BA1">
        <w:t xml:space="preserve"> </w:t>
      </w:r>
      <w:r>
        <w:rPr>
          <w:lang w:eastAsia="cs-CZ"/>
        </w:rPr>
        <w:t>Evropská legislativa</w:t>
      </w:r>
      <w:r>
        <w:rPr>
          <w:rStyle w:val="Znakapoznpodarou"/>
        </w:rPr>
        <w:footnoteReference w:id="47"/>
      </w:r>
      <w:r>
        <w:rPr>
          <w:lang w:eastAsia="cs-CZ"/>
        </w:rPr>
        <w:t xml:space="preserve"> v</w:t>
      </w:r>
      <w:r w:rsidR="00963B01">
        <w:rPr>
          <w:lang w:eastAsia="cs-CZ"/>
        </w:rPr>
        <w:t xml:space="preserve"> </w:t>
      </w:r>
      <w:r>
        <w:rPr>
          <w:lang w:eastAsia="cs-CZ"/>
        </w:rPr>
        <w:t xml:space="preserve">obecné míře vymezila fungování </w:t>
      </w:r>
      <w:r w:rsidRPr="00762429">
        <w:rPr>
          <w:lang w:eastAsia="cs-CZ"/>
        </w:rPr>
        <w:t>systému</w:t>
      </w:r>
      <w:r>
        <w:rPr>
          <w:lang w:eastAsia="cs-CZ"/>
        </w:rPr>
        <w:t xml:space="preserve"> centralizovaného zadávání a konkrétní přístup ponechala na národní právní úpravě. V Evropě tak neexistuje jednotný přístup k</w:t>
      </w:r>
      <w:r w:rsidR="00963B01">
        <w:rPr>
          <w:lang w:eastAsia="cs-CZ"/>
        </w:rPr>
        <w:t xml:space="preserve"> </w:t>
      </w:r>
      <w:r>
        <w:rPr>
          <w:lang w:eastAsia="cs-CZ"/>
        </w:rPr>
        <w:t>centralizovanému zadávání veřejných zakázek.</w:t>
      </w:r>
    </w:p>
    <w:p w14:paraId="256E3A20" w14:textId="05BE5E4B" w:rsidR="003B0E71" w:rsidRPr="009B61F0" w:rsidRDefault="003B0E71" w:rsidP="00E35740">
      <w:pPr>
        <w:keepNext/>
        <w:spacing w:after="40"/>
        <w:rPr>
          <w:b/>
        </w:rPr>
      </w:pPr>
      <w:r w:rsidRPr="009B61F0">
        <w:rPr>
          <w:b/>
        </w:rPr>
        <w:t xml:space="preserve">Tabulka č. </w:t>
      </w:r>
      <w:r w:rsidR="00E777D5">
        <w:rPr>
          <w:b/>
        </w:rPr>
        <w:t>5</w:t>
      </w:r>
      <w:r w:rsidRPr="009B61F0">
        <w:rPr>
          <w:b/>
        </w:rPr>
        <w:t xml:space="preserve">: </w:t>
      </w:r>
      <w:r w:rsidRPr="00391D73">
        <w:rPr>
          <w:b/>
        </w:rPr>
        <w:t>Srovnání systémů</w:t>
      </w:r>
      <w:r>
        <w:rPr>
          <w:b/>
        </w:rPr>
        <w:t xml:space="preserve"> centralizovaného zadávání ve vybraných zemích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4"/>
        <w:gridCol w:w="1247"/>
        <w:gridCol w:w="1020"/>
        <w:gridCol w:w="850"/>
        <w:gridCol w:w="1020"/>
        <w:gridCol w:w="1531"/>
        <w:gridCol w:w="1587"/>
      </w:tblGrid>
      <w:tr w:rsidR="003B0E71" w:rsidRPr="00F17B6B" w14:paraId="15B28423" w14:textId="77777777" w:rsidTr="000F6231">
        <w:trPr>
          <w:jc w:val="center"/>
        </w:trPr>
        <w:tc>
          <w:tcPr>
            <w:tcW w:w="1814" w:type="dxa"/>
            <w:shd w:val="clear" w:color="auto" w:fill="E5F1FF"/>
            <w:vAlign w:val="center"/>
          </w:tcPr>
          <w:p w14:paraId="10B8AA94" w14:textId="77777777" w:rsidR="003B0E71" w:rsidRPr="00F17B6B" w:rsidRDefault="003B0E71" w:rsidP="004F45BD">
            <w:pPr>
              <w:keepNext/>
              <w:keepLines/>
              <w:spacing w:before="20" w:after="20"/>
              <w:ind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Posuzovaná oblast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1774B826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Česká republika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73C94F1C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Slovenská republika</w:t>
            </w:r>
          </w:p>
        </w:tc>
        <w:tc>
          <w:tcPr>
            <w:tcW w:w="850" w:type="dxa"/>
            <w:shd w:val="clear" w:color="auto" w:fill="E5F1FF"/>
            <w:vAlign w:val="center"/>
          </w:tcPr>
          <w:p w14:paraId="0CECE60D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Finsko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77424461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 xml:space="preserve">Maďarsko </w:t>
            </w:r>
          </w:p>
        </w:tc>
        <w:tc>
          <w:tcPr>
            <w:tcW w:w="1531" w:type="dxa"/>
            <w:shd w:val="clear" w:color="auto" w:fill="E5F1FF"/>
            <w:vAlign w:val="center"/>
          </w:tcPr>
          <w:p w14:paraId="44463E44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Portugalsko</w:t>
            </w:r>
          </w:p>
        </w:tc>
        <w:tc>
          <w:tcPr>
            <w:tcW w:w="1587" w:type="dxa"/>
            <w:shd w:val="clear" w:color="auto" w:fill="E5F1FF"/>
            <w:vAlign w:val="center"/>
          </w:tcPr>
          <w:p w14:paraId="55CF8873" w14:textId="77777777" w:rsidR="003B0E71" w:rsidRPr="00F17B6B" w:rsidRDefault="003B0E71" w:rsidP="004F45BD">
            <w:pPr>
              <w:keepNext/>
              <w:keepLines/>
              <w:spacing w:before="20" w:after="20"/>
              <w:ind w:left="-57" w:right="-5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7B6B">
              <w:rPr>
                <w:rFonts w:ascii="Calibri" w:hAnsi="Calibri" w:cs="Calibri"/>
                <w:b/>
                <w:sz w:val="20"/>
                <w:szCs w:val="20"/>
              </w:rPr>
              <w:t>Rakousko</w:t>
            </w:r>
          </w:p>
        </w:tc>
      </w:tr>
      <w:tr w:rsidR="003B0E71" w:rsidRPr="00F17B6B" w14:paraId="496A0492" w14:textId="77777777" w:rsidTr="000F6231">
        <w:trPr>
          <w:trHeight w:val="1166"/>
          <w:jc w:val="center"/>
        </w:trPr>
        <w:tc>
          <w:tcPr>
            <w:tcW w:w="1814" w:type="dxa"/>
            <w:vAlign w:val="center"/>
          </w:tcPr>
          <w:p w14:paraId="7C83FCD1" w14:textId="77777777" w:rsidR="003B0E71" w:rsidRPr="00F17B6B" w:rsidRDefault="003B0E71" w:rsidP="000F6231">
            <w:pPr>
              <w:keepNext/>
              <w:keepLines/>
              <w:ind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Systém centralizovaného zadávání na úrovni státu</w:t>
            </w:r>
          </w:p>
        </w:tc>
        <w:tc>
          <w:tcPr>
            <w:tcW w:w="1247" w:type="dxa"/>
            <w:vAlign w:val="center"/>
          </w:tcPr>
          <w:p w14:paraId="6E86D06A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020" w:type="dxa"/>
            <w:vAlign w:val="center"/>
          </w:tcPr>
          <w:p w14:paraId="44F66154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Není zaveden</w:t>
            </w:r>
          </w:p>
        </w:tc>
        <w:tc>
          <w:tcPr>
            <w:tcW w:w="850" w:type="dxa"/>
            <w:vAlign w:val="center"/>
          </w:tcPr>
          <w:p w14:paraId="3B009FDE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(vč. obcí)</w:t>
            </w:r>
          </w:p>
        </w:tc>
        <w:tc>
          <w:tcPr>
            <w:tcW w:w="1020" w:type="dxa"/>
            <w:vAlign w:val="center"/>
          </w:tcPr>
          <w:p w14:paraId="2201E503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31" w:type="dxa"/>
            <w:vAlign w:val="center"/>
          </w:tcPr>
          <w:p w14:paraId="3DBB6401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87" w:type="dxa"/>
            <w:vAlign w:val="center"/>
          </w:tcPr>
          <w:p w14:paraId="58F851E1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</w:tr>
      <w:tr w:rsidR="003B0E71" w:rsidRPr="00F17B6B" w14:paraId="33CE1C9D" w14:textId="77777777" w:rsidTr="000F6231">
        <w:trPr>
          <w:jc w:val="center"/>
        </w:trPr>
        <w:tc>
          <w:tcPr>
            <w:tcW w:w="1814" w:type="dxa"/>
            <w:vAlign w:val="center"/>
          </w:tcPr>
          <w:p w14:paraId="033E3B18" w14:textId="77777777" w:rsidR="003B0E71" w:rsidRPr="00F17B6B" w:rsidRDefault="003B0E71" w:rsidP="000F6231">
            <w:pPr>
              <w:keepNext/>
              <w:keepLines/>
              <w:ind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Systém centralizovaného zadávání na úrovni resortů</w:t>
            </w:r>
          </w:p>
        </w:tc>
        <w:tc>
          <w:tcPr>
            <w:tcW w:w="1247" w:type="dxa"/>
            <w:vAlign w:val="center"/>
          </w:tcPr>
          <w:p w14:paraId="056DCA55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020" w:type="dxa"/>
            <w:vAlign w:val="center"/>
          </w:tcPr>
          <w:p w14:paraId="5FF7E4B6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Není zaveden</w:t>
            </w:r>
          </w:p>
        </w:tc>
        <w:tc>
          <w:tcPr>
            <w:tcW w:w="850" w:type="dxa"/>
            <w:vAlign w:val="center"/>
          </w:tcPr>
          <w:p w14:paraId="440E160A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Není zaveden</w:t>
            </w:r>
          </w:p>
        </w:tc>
        <w:tc>
          <w:tcPr>
            <w:tcW w:w="1020" w:type="dxa"/>
            <w:vAlign w:val="center"/>
          </w:tcPr>
          <w:p w14:paraId="6B7058D1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Není zaveden</w:t>
            </w:r>
          </w:p>
        </w:tc>
        <w:tc>
          <w:tcPr>
            <w:tcW w:w="1531" w:type="dxa"/>
            <w:vAlign w:val="center"/>
          </w:tcPr>
          <w:p w14:paraId="500C4C4D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</w:p>
        </w:tc>
        <w:tc>
          <w:tcPr>
            <w:tcW w:w="1587" w:type="dxa"/>
            <w:vAlign w:val="center"/>
          </w:tcPr>
          <w:p w14:paraId="02D801EA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Není zaveden</w:t>
            </w:r>
          </w:p>
        </w:tc>
      </w:tr>
      <w:tr w:rsidR="003B0E71" w:rsidRPr="00F17B6B" w14:paraId="79E4EA49" w14:textId="77777777" w:rsidTr="000F6231">
        <w:trPr>
          <w:jc w:val="center"/>
        </w:trPr>
        <w:tc>
          <w:tcPr>
            <w:tcW w:w="1814" w:type="dxa"/>
            <w:vAlign w:val="center"/>
          </w:tcPr>
          <w:p w14:paraId="052C8C22" w14:textId="77777777" w:rsidR="003B0E71" w:rsidRPr="00F17B6B" w:rsidRDefault="003B0E71" w:rsidP="000F6231">
            <w:pPr>
              <w:keepNext/>
              <w:keepLines/>
              <w:ind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Povinnost pořizovat komodity prostřednictvím centralizovaného zadávání</w:t>
            </w:r>
          </w:p>
        </w:tc>
        <w:tc>
          <w:tcPr>
            <w:tcW w:w="1247" w:type="dxa"/>
            <w:vAlign w:val="center"/>
          </w:tcPr>
          <w:p w14:paraId="79A2DE23" w14:textId="1BF882C4" w:rsidR="003B0E71" w:rsidRPr="00F17B6B" w:rsidRDefault="003B0E71" w:rsidP="004F45BD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4F45BD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(pro vybrané subjekty)</w:t>
            </w:r>
          </w:p>
        </w:tc>
        <w:tc>
          <w:tcPr>
            <w:tcW w:w="1020" w:type="dxa"/>
            <w:vAlign w:val="center"/>
          </w:tcPr>
          <w:p w14:paraId="7830D661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  <w:tc>
          <w:tcPr>
            <w:tcW w:w="850" w:type="dxa"/>
            <w:vAlign w:val="center"/>
          </w:tcPr>
          <w:p w14:paraId="049D3636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 xml:space="preserve">Ano 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(pro vybrané subjekty)</w:t>
            </w:r>
          </w:p>
        </w:tc>
        <w:tc>
          <w:tcPr>
            <w:tcW w:w="1020" w:type="dxa"/>
            <w:vAlign w:val="center"/>
          </w:tcPr>
          <w:p w14:paraId="1E35698B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(pro vybrané subjekty)</w:t>
            </w:r>
          </w:p>
        </w:tc>
        <w:tc>
          <w:tcPr>
            <w:tcW w:w="1531" w:type="dxa"/>
            <w:vAlign w:val="center"/>
          </w:tcPr>
          <w:p w14:paraId="021ECE9E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(pro vybrané subjekty)</w:t>
            </w:r>
          </w:p>
        </w:tc>
        <w:tc>
          <w:tcPr>
            <w:tcW w:w="1587" w:type="dxa"/>
            <w:vAlign w:val="center"/>
          </w:tcPr>
          <w:p w14:paraId="72E9440F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(pro vybrané subjekty)</w:t>
            </w:r>
          </w:p>
        </w:tc>
      </w:tr>
      <w:tr w:rsidR="003B0E71" w:rsidRPr="00F17B6B" w14:paraId="17436011" w14:textId="77777777" w:rsidTr="000F6231">
        <w:trPr>
          <w:jc w:val="center"/>
        </w:trPr>
        <w:tc>
          <w:tcPr>
            <w:tcW w:w="1814" w:type="dxa"/>
            <w:vAlign w:val="center"/>
          </w:tcPr>
          <w:p w14:paraId="5DFCE695" w14:textId="77777777" w:rsidR="003B0E71" w:rsidRPr="00F17B6B" w:rsidRDefault="003B0E71" w:rsidP="000F6231">
            <w:pPr>
              <w:keepNext/>
              <w:keepLines/>
              <w:ind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Financování centralizovaného zadávání</w:t>
            </w:r>
          </w:p>
        </w:tc>
        <w:tc>
          <w:tcPr>
            <w:tcW w:w="1247" w:type="dxa"/>
            <w:vAlign w:val="center"/>
          </w:tcPr>
          <w:p w14:paraId="4A26C9E7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Z rozpočtu zadavatele</w:t>
            </w:r>
          </w:p>
        </w:tc>
        <w:tc>
          <w:tcPr>
            <w:tcW w:w="1020" w:type="dxa"/>
            <w:vAlign w:val="center"/>
          </w:tcPr>
          <w:p w14:paraId="4D1C92B6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Z rozpočtu zadavatele</w:t>
            </w:r>
          </w:p>
        </w:tc>
        <w:tc>
          <w:tcPr>
            <w:tcW w:w="850" w:type="dxa"/>
            <w:vAlign w:val="center"/>
          </w:tcPr>
          <w:p w14:paraId="5C352A41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Poplatky</w:t>
            </w:r>
          </w:p>
        </w:tc>
        <w:tc>
          <w:tcPr>
            <w:tcW w:w="1020" w:type="dxa"/>
            <w:vAlign w:val="center"/>
          </w:tcPr>
          <w:p w14:paraId="7EA2ED28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Poplatky a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t> </w:t>
            </w:r>
            <w:r w:rsidRPr="00F17B6B">
              <w:rPr>
                <w:rFonts w:ascii="Calibri" w:hAnsi="Calibri" w:cs="Calibri"/>
                <w:sz w:val="20"/>
                <w:szCs w:val="20"/>
              </w:rPr>
              <w:t>rozpočet zadavatele</w:t>
            </w:r>
          </w:p>
        </w:tc>
        <w:tc>
          <w:tcPr>
            <w:tcW w:w="1531" w:type="dxa"/>
            <w:vAlign w:val="center"/>
          </w:tcPr>
          <w:p w14:paraId="4B7106CD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Poplatky a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t> </w:t>
            </w:r>
            <w:r w:rsidRPr="00F17B6B">
              <w:rPr>
                <w:rFonts w:ascii="Calibri" w:hAnsi="Calibri" w:cs="Calibri"/>
                <w:sz w:val="20"/>
                <w:szCs w:val="20"/>
              </w:rPr>
              <w:t>rozpočet zadavatele</w:t>
            </w:r>
          </w:p>
        </w:tc>
        <w:tc>
          <w:tcPr>
            <w:tcW w:w="1587" w:type="dxa"/>
            <w:vAlign w:val="center"/>
          </w:tcPr>
          <w:p w14:paraId="4A1EB645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Z rozpočtu organizace</w:t>
            </w:r>
          </w:p>
        </w:tc>
      </w:tr>
      <w:tr w:rsidR="003B0E71" w:rsidRPr="00F17B6B" w14:paraId="2BB4B409" w14:textId="77777777" w:rsidTr="000F6231">
        <w:trPr>
          <w:jc w:val="center"/>
        </w:trPr>
        <w:tc>
          <w:tcPr>
            <w:tcW w:w="1814" w:type="dxa"/>
            <w:vAlign w:val="center"/>
          </w:tcPr>
          <w:p w14:paraId="0EC92E57" w14:textId="77777777" w:rsidR="003B0E71" w:rsidRPr="00F17B6B" w:rsidRDefault="003B0E71" w:rsidP="000F6231">
            <w:pPr>
              <w:keepNext/>
              <w:keepLines/>
              <w:ind w:right="-57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 xml:space="preserve">Kvantifikace 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t>a </w:t>
            </w:r>
            <w:r w:rsidRPr="00F17B6B">
              <w:rPr>
                <w:rFonts w:ascii="Calibri" w:hAnsi="Calibri" w:cs="Calibri"/>
                <w:sz w:val="20"/>
                <w:szCs w:val="20"/>
              </w:rPr>
              <w:t>monitorování přínosů centralizovaného zadávání</w:t>
            </w:r>
          </w:p>
        </w:tc>
        <w:tc>
          <w:tcPr>
            <w:tcW w:w="1247" w:type="dxa"/>
            <w:vAlign w:val="center"/>
          </w:tcPr>
          <w:p w14:paraId="570381FE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(hodnoceny úspory u jednotlivých zakázek)</w:t>
            </w:r>
          </w:p>
        </w:tc>
        <w:tc>
          <w:tcPr>
            <w:tcW w:w="1020" w:type="dxa"/>
            <w:vAlign w:val="center"/>
          </w:tcPr>
          <w:p w14:paraId="3C9EC491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14:paraId="31E7B99B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20" w:type="dxa"/>
            <w:vAlign w:val="center"/>
          </w:tcPr>
          <w:p w14:paraId="21C83B5D" w14:textId="77777777" w:rsidR="003B0E71" w:rsidRPr="00F17B6B" w:rsidRDefault="003B0E71" w:rsidP="000F6231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31" w:type="dxa"/>
            <w:vAlign w:val="center"/>
          </w:tcPr>
          <w:p w14:paraId="199A2046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 xml:space="preserve">Ano 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(hodnoceny transakční náklady a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t> </w:t>
            </w:r>
            <w:r w:rsidRPr="00F17B6B">
              <w:rPr>
                <w:rFonts w:ascii="Calibri" w:hAnsi="Calibri" w:cs="Calibri"/>
                <w:sz w:val="20"/>
                <w:szCs w:val="20"/>
              </w:rPr>
              <w:t>úspory z rozsahu)</w:t>
            </w:r>
          </w:p>
        </w:tc>
        <w:tc>
          <w:tcPr>
            <w:tcW w:w="1587" w:type="dxa"/>
            <w:vAlign w:val="center"/>
          </w:tcPr>
          <w:p w14:paraId="48D4EDD4" w14:textId="77777777" w:rsidR="003B0E71" w:rsidRPr="00F17B6B" w:rsidRDefault="003B0E71" w:rsidP="00F17B6B">
            <w:pPr>
              <w:keepNext/>
              <w:keepLines/>
              <w:ind w:left="-57" w:right="-5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7B6B">
              <w:rPr>
                <w:rFonts w:ascii="Calibri" w:hAnsi="Calibri" w:cs="Calibri"/>
                <w:sz w:val="20"/>
                <w:szCs w:val="20"/>
              </w:rPr>
              <w:t>Ano</w:t>
            </w:r>
            <w:r w:rsidR="00F17B6B" w:rsidRPr="00F17B6B">
              <w:rPr>
                <w:rFonts w:ascii="Calibri" w:hAnsi="Calibri" w:cs="Calibri"/>
                <w:sz w:val="20"/>
                <w:szCs w:val="20"/>
              </w:rPr>
              <w:br/>
            </w:r>
            <w:r w:rsidRPr="00F17B6B">
              <w:rPr>
                <w:rFonts w:ascii="Calibri" w:hAnsi="Calibri" w:cs="Calibri"/>
                <w:sz w:val="20"/>
                <w:szCs w:val="20"/>
              </w:rPr>
              <w:t>(hodnoceny nákupy a vývoj centralizovaného zadávání)</w:t>
            </w:r>
          </w:p>
        </w:tc>
      </w:tr>
    </w:tbl>
    <w:p w14:paraId="4E6B84D3" w14:textId="77777777" w:rsidR="003B0E71" w:rsidRPr="00391D73" w:rsidRDefault="003B0E71" w:rsidP="00E35740">
      <w:pPr>
        <w:spacing w:before="40"/>
        <w:rPr>
          <w:sz w:val="20"/>
          <w:szCs w:val="20"/>
        </w:rPr>
      </w:pPr>
      <w:r w:rsidRPr="00EB1148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i</w:t>
      </w:r>
      <w:r w:rsidRPr="00391D73">
        <w:rPr>
          <w:sz w:val="20"/>
          <w:szCs w:val="20"/>
        </w:rPr>
        <w:t>nformace zjištěné v</w:t>
      </w:r>
      <w:r w:rsidR="00963B01">
        <w:rPr>
          <w:sz w:val="20"/>
          <w:szCs w:val="20"/>
        </w:rPr>
        <w:t xml:space="preserve"> </w:t>
      </w:r>
      <w:r w:rsidRPr="00391D73">
        <w:rPr>
          <w:sz w:val="20"/>
          <w:szCs w:val="20"/>
        </w:rPr>
        <w:t>kontrole a v rámci mezinárodní spolupráce nejvyšších kontrolních institucí.</w:t>
      </w:r>
    </w:p>
    <w:p w14:paraId="0DD37E67" w14:textId="77777777" w:rsidR="003B0E71" w:rsidRPr="00650680" w:rsidRDefault="003B0E71" w:rsidP="003B0E71">
      <w:pPr>
        <w:rPr>
          <w:b/>
        </w:rPr>
      </w:pPr>
      <w:r>
        <w:rPr>
          <w:b/>
        </w:rPr>
        <w:t>Systém</w:t>
      </w:r>
      <w:r w:rsidRPr="00650680">
        <w:rPr>
          <w:b/>
        </w:rPr>
        <w:t xml:space="preserve"> centralizovaného zadávání </w:t>
      </w:r>
    </w:p>
    <w:p w14:paraId="05A4F08A" w14:textId="1BAB0DD7" w:rsidR="003B0E71" w:rsidRDefault="003B0E71" w:rsidP="003B0E71">
      <w:r w:rsidRPr="002755E9">
        <w:t>Společným znakem systému centralizovaného zadávání v Rakousku, Maďarsku, Portugalsku a</w:t>
      </w:r>
      <w:r>
        <w:t> </w:t>
      </w:r>
      <w:r w:rsidRPr="002755E9">
        <w:t>Finsku je existence specializovaného, státem</w:t>
      </w:r>
      <w:r>
        <w:t xml:space="preserve"> založeného či státem ovládaného</w:t>
      </w:r>
      <w:r w:rsidRPr="002755E9">
        <w:t xml:space="preserve"> subjektu, který realizuje centralizované zadávání v</w:t>
      </w:r>
      <w:r w:rsidR="00963B01">
        <w:t xml:space="preserve"> </w:t>
      </w:r>
      <w:r w:rsidRPr="002755E9">
        <w:t>rámci celé státní správy</w:t>
      </w:r>
      <w:r>
        <w:t xml:space="preserve"> („na úrovni státu“)</w:t>
      </w:r>
      <w:r w:rsidRPr="002755E9">
        <w:t xml:space="preserve">. Rozdíl </w:t>
      </w:r>
      <w:r>
        <w:t>v</w:t>
      </w:r>
      <w:r w:rsidR="00963B01">
        <w:t xml:space="preserve"> </w:t>
      </w:r>
      <w:r w:rsidRPr="002755E9">
        <w:t>jednotlivých zemí</w:t>
      </w:r>
      <w:r>
        <w:t>ch</w:t>
      </w:r>
      <w:r w:rsidRPr="002755E9">
        <w:t xml:space="preserve"> spočívá zejména v</w:t>
      </w:r>
      <w:r>
        <w:t xml:space="preserve"> právní</w:t>
      </w:r>
      <w:r w:rsidRPr="002755E9">
        <w:t xml:space="preserve"> formě</w:t>
      </w:r>
      <w:r>
        <w:t xml:space="preserve"> odpovědného subjektu.</w:t>
      </w:r>
    </w:p>
    <w:p w14:paraId="23AC9DAD" w14:textId="22613A74" w:rsidR="003B0E71" w:rsidRDefault="003B0E71" w:rsidP="003B0E71">
      <w:r>
        <w:t>V</w:t>
      </w:r>
      <w:r w:rsidR="00963B01">
        <w:t xml:space="preserve"> </w:t>
      </w:r>
      <w:r w:rsidRPr="00505579">
        <w:rPr>
          <w:b/>
        </w:rPr>
        <w:t>Rakousku</w:t>
      </w:r>
      <w:r>
        <w:t xml:space="preserve"> zajišťuje centralizované zadávání</w:t>
      </w:r>
      <w:r w:rsidRPr="00553ED4">
        <w:t xml:space="preserve"> </w:t>
      </w:r>
      <w:r>
        <w:t>společnost s</w:t>
      </w:r>
      <w:r w:rsidR="00963B01">
        <w:t xml:space="preserve"> </w:t>
      </w:r>
      <w:r>
        <w:t>ručením omezeným</w:t>
      </w:r>
      <w:r w:rsidRPr="00F22A16">
        <w:t xml:space="preserve"> Bundesbeschaffung GmbH</w:t>
      </w:r>
      <w:r>
        <w:t>,</w:t>
      </w:r>
      <w:r w:rsidRPr="00553ED4">
        <w:t xml:space="preserve"> </w:t>
      </w:r>
      <w:r>
        <w:t>kterou vlastní spolková vláda a jejíž činnost podléhá dozoru rakouského spolkového ministra financí.</w:t>
      </w:r>
      <w:r w:rsidRPr="0007535A">
        <w:t xml:space="preserve"> </w:t>
      </w:r>
    </w:p>
    <w:p w14:paraId="3029AA86" w14:textId="77777777" w:rsidR="003B0E71" w:rsidRDefault="003B0E71" w:rsidP="003B0E71">
      <w:r>
        <w:lastRenderedPageBreak/>
        <w:t>V </w:t>
      </w:r>
      <w:r w:rsidRPr="007E6CAC">
        <w:rPr>
          <w:b/>
        </w:rPr>
        <w:t>Maďar</w:t>
      </w:r>
      <w:r>
        <w:rPr>
          <w:b/>
        </w:rPr>
        <w:t>s</w:t>
      </w:r>
      <w:r w:rsidRPr="007E6CAC">
        <w:rPr>
          <w:b/>
        </w:rPr>
        <w:t>ku</w:t>
      </w:r>
      <w:r>
        <w:t xml:space="preserve"> realizuje centralizované zadávání </w:t>
      </w:r>
      <w:r w:rsidRPr="007C741A">
        <w:t>vládní organizac</w:t>
      </w:r>
      <w:r>
        <w:t>e</w:t>
      </w:r>
      <w:r w:rsidRPr="00F22A16">
        <w:t xml:space="preserve"> </w:t>
      </w:r>
      <w:r w:rsidRPr="007C741A">
        <w:t>The</w:t>
      </w:r>
      <w:r w:rsidR="00963B01">
        <w:t xml:space="preserve"> </w:t>
      </w:r>
      <w:r w:rsidRPr="007C741A">
        <w:t>Directorate</w:t>
      </w:r>
      <w:r>
        <w:noBreakHyphen/>
      </w:r>
      <w:r w:rsidRPr="007C741A">
        <w:t>General for Public Works and Supply</w:t>
      </w:r>
      <w:r>
        <w:t>,</w:t>
      </w:r>
      <w:r w:rsidRPr="007C741A">
        <w:t xml:space="preserve"> která je podřízena Ministerstvu národního hospodářství.</w:t>
      </w:r>
      <w:r>
        <w:t xml:space="preserve"> </w:t>
      </w:r>
    </w:p>
    <w:p w14:paraId="497FA4C1" w14:textId="77777777" w:rsidR="003B0E71" w:rsidRDefault="003B0E71" w:rsidP="003B0E71">
      <w:r>
        <w:t>V</w:t>
      </w:r>
      <w:r w:rsidR="00963B01">
        <w:t xml:space="preserve"> </w:t>
      </w:r>
      <w:r w:rsidRPr="007E6CAC">
        <w:rPr>
          <w:b/>
        </w:rPr>
        <w:t>Portugalsku</w:t>
      </w:r>
      <w:r>
        <w:t xml:space="preserve"> zajišťuje centralizované zadávání </w:t>
      </w:r>
      <w:r w:rsidRPr="005A0842">
        <w:t>vládní o</w:t>
      </w:r>
      <w:r>
        <w:t>rganizace eSPap</w:t>
      </w:r>
      <w:r>
        <w:rPr>
          <w:rStyle w:val="Znakapoznpodarou"/>
        </w:rPr>
        <w:footnoteReference w:id="48"/>
      </w:r>
      <w:r>
        <w:t>, která je podřízena M</w:t>
      </w:r>
      <w:r w:rsidRPr="005A0842">
        <w:t>inisterstv</w:t>
      </w:r>
      <w:r>
        <w:t>u</w:t>
      </w:r>
      <w:r w:rsidRPr="005A0842">
        <w:t xml:space="preserve"> financí.</w:t>
      </w:r>
      <w:r>
        <w:t xml:space="preserve"> Mimo eSPap existují rovněž resortní centrální zadavatelé, kteří však pořizují jiné komodity než eSPap.</w:t>
      </w:r>
    </w:p>
    <w:p w14:paraId="40E0644B" w14:textId="4922436F" w:rsidR="003B0E71" w:rsidRDefault="003B0E71" w:rsidP="003B0E71">
      <w:r>
        <w:t xml:space="preserve">Ve </w:t>
      </w:r>
      <w:r w:rsidRPr="00816705">
        <w:rPr>
          <w:b/>
        </w:rPr>
        <w:t>Finsk</w:t>
      </w:r>
      <w:r>
        <w:rPr>
          <w:b/>
        </w:rPr>
        <w:t>u</w:t>
      </w:r>
      <w:r>
        <w:t xml:space="preserve"> vykonávají roli centrálního zadavatele dvě organizace, a to státem vlastněná a </w:t>
      </w:r>
      <w:r w:rsidR="0030697B">
        <w:t>m</w:t>
      </w:r>
      <w:r>
        <w:t xml:space="preserve">inisterstvu financí podřízená organizace Hansel, která provádí centralizované zadávání </w:t>
      </w:r>
      <w:r w:rsidR="001E5911">
        <w:t>na</w:t>
      </w:r>
      <w:r w:rsidR="0030697B">
        <w:t xml:space="preserve"> </w:t>
      </w:r>
      <w:r>
        <w:t xml:space="preserve">úrovni státu, a nezisková organizace </w:t>
      </w:r>
      <w:r w:rsidRPr="00D7459A">
        <w:t>Kuntahankinnat</w:t>
      </w:r>
      <w:r>
        <w:t xml:space="preserve">, která je </w:t>
      </w:r>
      <w:r w:rsidRPr="00860A83">
        <w:t>vlastněn</w:t>
      </w:r>
      <w:r w:rsidR="0030697B">
        <w:t>a</w:t>
      </w:r>
      <w:r w:rsidRPr="00860A83">
        <w:t xml:space="preserve"> </w:t>
      </w:r>
      <w:r w:rsidRPr="00A469F2">
        <w:t>Asociací finských místních a krajských úřadů</w:t>
      </w:r>
      <w:r w:rsidRPr="00A469F2">
        <w:rPr>
          <w:rStyle w:val="Znakapoznpodarou"/>
        </w:rPr>
        <w:footnoteReference w:id="49"/>
      </w:r>
      <w:r>
        <w:t xml:space="preserve"> a plní</w:t>
      </w:r>
      <w:r w:rsidRPr="006C7E79">
        <w:t xml:space="preserve"> </w:t>
      </w:r>
      <w:r>
        <w:t>roli centrálního zadavatele</w:t>
      </w:r>
      <w:r w:rsidRPr="00205EB1">
        <w:t xml:space="preserve"> </w:t>
      </w:r>
      <w:r>
        <w:t>pro obce.</w:t>
      </w:r>
      <w:r w:rsidRPr="00B17B24">
        <w:t xml:space="preserve"> </w:t>
      </w:r>
    </w:p>
    <w:p w14:paraId="7B746576" w14:textId="77777777" w:rsidR="008B2CCC" w:rsidRPr="00D2432B" w:rsidRDefault="003B0E71" w:rsidP="003B0E71">
      <w:pPr>
        <w:rPr>
          <w:rFonts w:cstheme="minorHAnsi"/>
        </w:rPr>
      </w:pPr>
      <w:r>
        <w:t xml:space="preserve">Oproti tomu na </w:t>
      </w:r>
      <w:r w:rsidRPr="007E6CAC">
        <w:rPr>
          <w:b/>
        </w:rPr>
        <w:t>Slovensk</w:t>
      </w:r>
      <w:r>
        <w:rPr>
          <w:b/>
        </w:rPr>
        <w:t>u</w:t>
      </w:r>
      <w:r>
        <w:t xml:space="preserve"> není zřízen </w:t>
      </w:r>
      <w:r w:rsidRPr="00E75FAC">
        <w:t>specializovaný subjekt</w:t>
      </w:r>
      <w:r>
        <w:t xml:space="preserve">, který by prostřednictvím centralizovaného zadávání pořizoval komodity na úrovni státu. Zákonem je stanovena možnost využít centralizované zadávání. </w:t>
      </w:r>
      <w:r w:rsidR="008B2CCC">
        <w:t>Pokud</w:t>
      </w:r>
      <w:r>
        <w:t xml:space="preserve"> je </w:t>
      </w:r>
      <w:r>
        <w:rPr>
          <w:rFonts w:cstheme="minorHAnsi"/>
        </w:rPr>
        <w:t>z</w:t>
      </w:r>
      <w:r w:rsidRPr="004C5C57">
        <w:rPr>
          <w:rFonts w:cstheme="minorHAnsi"/>
        </w:rPr>
        <w:t xml:space="preserve">adavatelem Slovenská republika zastoupená svými orgány a jedná se o nadlimitní veřejnou zakázku na pořízení komodit </w:t>
      </w:r>
      <w:r>
        <w:rPr>
          <w:rFonts w:cstheme="minorHAnsi"/>
        </w:rPr>
        <w:t>uvedených</w:t>
      </w:r>
      <w:r w:rsidR="008B2CCC">
        <w:rPr>
          <w:rFonts w:cstheme="minorHAnsi"/>
        </w:rPr>
        <w:t xml:space="preserve"> v</w:t>
      </w:r>
      <w:r w:rsidR="00963B01">
        <w:rPr>
          <w:rFonts w:cstheme="minorHAnsi"/>
        </w:rPr>
        <w:t xml:space="preserve"> </w:t>
      </w:r>
      <w:r w:rsidR="008B2CCC">
        <w:rPr>
          <w:rFonts w:cstheme="minorHAnsi"/>
        </w:rPr>
        <w:t xml:space="preserve">zákonem předpokládaném </w:t>
      </w:r>
      <w:r>
        <w:rPr>
          <w:rFonts w:cstheme="minorHAnsi"/>
        </w:rPr>
        <w:t>prováděcím předpisu,</w:t>
      </w:r>
      <w:r w:rsidRPr="007E61CD">
        <w:rPr>
          <w:rFonts w:cstheme="minorHAnsi"/>
        </w:rPr>
        <w:t xml:space="preserve"> </w:t>
      </w:r>
      <w:r>
        <w:rPr>
          <w:rFonts w:cstheme="minorHAnsi"/>
        </w:rPr>
        <w:t>realizuje</w:t>
      </w:r>
      <w:r w:rsidRPr="00B53162">
        <w:rPr>
          <w:rFonts w:cstheme="minorHAnsi"/>
        </w:rPr>
        <w:t xml:space="preserve"> </w:t>
      </w:r>
      <w:r>
        <w:rPr>
          <w:rFonts w:cstheme="minorHAnsi"/>
        </w:rPr>
        <w:t xml:space="preserve">veškeré </w:t>
      </w:r>
      <w:r w:rsidRPr="00B53162">
        <w:rPr>
          <w:rFonts w:cstheme="minorHAnsi"/>
        </w:rPr>
        <w:t>či</w:t>
      </w:r>
      <w:r>
        <w:rPr>
          <w:rFonts w:cstheme="minorHAnsi"/>
        </w:rPr>
        <w:t>n</w:t>
      </w:r>
      <w:r w:rsidRPr="00B53162">
        <w:rPr>
          <w:rFonts w:cstheme="minorHAnsi"/>
        </w:rPr>
        <w:t>n</w:t>
      </w:r>
      <w:r>
        <w:rPr>
          <w:rFonts w:cstheme="minorHAnsi"/>
        </w:rPr>
        <w:t xml:space="preserve">osti spojené s </w:t>
      </w:r>
      <w:r w:rsidRPr="00B53162">
        <w:rPr>
          <w:rFonts w:cstheme="minorHAnsi"/>
        </w:rPr>
        <w:t>centralizovan</w:t>
      </w:r>
      <w:r>
        <w:rPr>
          <w:rFonts w:cstheme="minorHAnsi"/>
        </w:rPr>
        <w:t>ým</w:t>
      </w:r>
      <w:r w:rsidRPr="00B53162">
        <w:rPr>
          <w:rFonts w:cstheme="minorHAnsi"/>
        </w:rPr>
        <w:t xml:space="preserve"> </w:t>
      </w:r>
      <w:r>
        <w:rPr>
          <w:rFonts w:cstheme="minorHAnsi"/>
        </w:rPr>
        <w:t xml:space="preserve">zadáváním </w:t>
      </w:r>
      <w:r w:rsidRPr="00B53162">
        <w:rPr>
          <w:rFonts w:cstheme="minorHAnsi"/>
        </w:rPr>
        <w:t xml:space="preserve">Ministerstvo vnitra </w:t>
      </w:r>
      <w:r>
        <w:rPr>
          <w:rFonts w:cstheme="minorHAnsi"/>
        </w:rPr>
        <w:t>Slovenské republiky</w:t>
      </w:r>
      <w:r w:rsidRPr="00B53162">
        <w:rPr>
          <w:rFonts w:cstheme="minorHAnsi"/>
        </w:rPr>
        <w:t xml:space="preserve"> ve</w:t>
      </w:r>
      <w:r w:rsidR="00963B01">
        <w:rPr>
          <w:rFonts w:cstheme="minorHAnsi"/>
        </w:rPr>
        <w:t xml:space="preserve"> </w:t>
      </w:r>
      <w:r w:rsidRPr="00B53162">
        <w:rPr>
          <w:rFonts w:cstheme="minorHAnsi"/>
        </w:rPr>
        <w:t>spolupráci</w:t>
      </w:r>
      <w:r w:rsidR="00963B01">
        <w:rPr>
          <w:rFonts w:cstheme="minorHAnsi"/>
        </w:rPr>
        <w:t xml:space="preserve"> </w:t>
      </w:r>
      <w:r w:rsidRPr="00B53162">
        <w:rPr>
          <w:rFonts w:cstheme="minorHAnsi"/>
        </w:rPr>
        <w:t>s</w:t>
      </w:r>
      <w:r>
        <w:rPr>
          <w:rFonts w:cstheme="minorHAnsi"/>
        </w:rPr>
        <w:t> </w:t>
      </w:r>
      <w:r w:rsidRPr="00B53162">
        <w:rPr>
          <w:rFonts w:cstheme="minorHAnsi"/>
        </w:rPr>
        <w:t xml:space="preserve">Ministerstvem financí </w:t>
      </w:r>
      <w:r>
        <w:rPr>
          <w:rFonts w:cstheme="minorHAnsi"/>
        </w:rPr>
        <w:t>Slovenské republiky</w:t>
      </w:r>
      <w:r w:rsidR="008B2CCC">
        <w:rPr>
          <w:rFonts w:cstheme="minorHAnsi"/>
        </w:rPr>
        <w:t>. Zákon v</w:t>
      </w:r>
      <w:r w:rsidR="00963B01">
        <w:rPr>
          <w:rFonts w:cstheme="minorHAnsi"/>
        </w:rPr>
        <w:t xml:space="preserve"> </w:t>
      </w:r>
      <w:r w:rsidR="008B2CCC">
        <w:rPr>
          <w:rFonts w:cstheme="minorHAnsi"/>
        </w:rPr>
        <w:t>této části není aplikovatelný, protože příslušný prováděcí předpis nebyl doposud schválen.</w:t>
      </w:r>
    </w:p>
    <w:p w14:paraId="3B65665D" w14:textId="4281CC32" w:rsidR="003B0E71" w:rsidRPr="00650680" w:rsidRDefault="003B0E71" w:rsidP="003B0E71">
      <w:pPr>
        <w:spacing w:before="120"/>
      </w:pPr>
      <w:r>
        <w:t>V</w:t>
      </w:r>
      <w:r w:rsidR="00963B01">
        <w:t xml:space="preserve"> </w:t>
      </w:r>
      <w:r>
        <w:rPr>
          <w:b/>
        </w:rPr>
        <w:t>Č</w:t>
      </w:r>
      <w:r w:rsidRPr="00520E45">
        <w:rPr>
          <w:b/>
        </w:rPr>
        <w:t>eské republice</w:t>
      </w:r>
      <w:r>
        <w:t xml:space="preserve"> je zaváděn systém centralizovaného zadávání na úrovni státu, tzv</w:t>
      </w:r>
      <w:r w:rsidR="001E5911">
        <w:t>. </w:t>
      </w:r>
      <w:r>
        <w:t>centrální nákup státu, a v</w:t>
      </w:r>
      <w:r w:rsidR="00963B01">
        <w:t xml:space="preserve"> </w:t>
      </w:r>
      <w:r w:rsidRPr="00650680">
        <w:t xml:space="preserve">roli centrálního zadavatele </w:t>
      </w:r>
      <w:r>
        <w:t xml:space="preserve">státu </w:t>
      </w:r>
      <w:r w:rsidR="005617EE">
        <w:t>j</w:t>
      </w:r>
      <w:r w:rsidR="0030697B">
        <w:t>sou</w:t>
      </w:r>
      <w:r>
        <w:t xml:space="preserve"> </w:t>
      </w:r>
      <w:r w:rsidRPr="00650680">
        <w:t>Ministerstvo financí a</w:t>
      </w:r>
      <w:r>
        <w:t> </w:t>
      </w:r>
      <w:r w:rsidRPr="00650680">
        <w:t>Ministerstvo vnitra.</w:t>
      </w:r>
      <w:r>
        <w:t xml:space="preserve"> Současně jsou zavedeny resortní systémy centralizovaného zadávání, které musí</w:t>
      </w:r>
      <w:r w:rsidRPr="002B5EC4">
        <w:t xml:space="preserve"> </w:t>
      </w:r>
      <w:r>
        <w:t>při</w:t>
      </w:r>
      <w:r w:rsidR="00963B01">
        <w:t xml:space="preserve"> </w:t>
      </w:r>
      <w:r>
        <w:t>naplnění stanovených podmínek</w:t>
      </w:r>
      <w:r w:rsidRPr="00CD6F86">
        <w:t xml:space="preserve"> </w:t>
      </w:r>
      <w:r>
        <w:t>zavést</w:t>
      </w:r>
      <w:r w:rsidRPr="0031215B">
        <w:t xml:space="preserve"> </w:t>
      </w:r>
      <w:r>
        <w:t>každý ústřední orgán státní správy</w:t>
      </w:r>
      <w:r>
        <w:rPr>
          <w:rStyle w:val="Znakapoznpodarou"/>
        </w:rPr>
        <w:footnoteReference w:id="50"/>
      </w:r>
      <w:r>
        <w:t xml:space="preserve">. </w:t>
      </w:r>
    </w:p>
    <w:p w14:paraId="3C14D96C" w14:textId="77777777" w:rsidR="003B0E71" w:rsidRPr="00650680" w:rsidRDefault="003B0E71" w:rsidP="003B0E71">
      <w:pPr>
        <w:rPr>
          <w:b/>
        </w:rPr>
      </w:pPr>
      <w:r w:rsidRPr="00650680">
        <w:rPr>
          <w:b/>
        </w:rPr>
        <w:t xml:space="preserve">Povinnost </w:t>
      </w:r>
      <w:r>
        <w:rPr>
          <w:b/>
        </w:rPr>
        <w:t>pořizovat komodity prostřednictvím</w:t>
      </w:r>
      <w:r w:rsidRPr="00650680">
        <w:rPr>
          <w:b/>
        </w:rPr>
        <w:t xml:space="preserve"> centralizovaného zadávání</w:t>
      </w:r>
    </w:p>
    <w:p w14:paraId="06E5E3B2" w14:textId="5A087401" w:rsidR="003B0E71" w:rsidRDefault="003B0E71" w:rsidP="003B0E71">
      <w:r>
        <w:t>Okruh subjektů (pověřujících zadavatelů), kteří mají povinnost pořizovat komodity prostřednictvím centrálního zadavatele</w:t>
      </w:r>
      <w:r w:rsidR="0030697B">
        <w:t>,</w:t>
      </w:r>
      <w:r>
        <w:t xml:space="preserve"> je v </w:t>
      </w:r>
      <w:r w:rsidRPr="00BE6B20">
        <w:rPr>
          <w:b/>
        </w:rPr>
        <w:t>Rakousku</w:t>
      </w:r>
      <w:r w:rsidRPr="00820D38">
        <w:rPr>
          <w:b/>
        </w:rPr>
        <w:t>,</w:t>
      </w:r>
      <w:r>
        <w:t xml:space="preserve"> </w:t>
      </w:r>
      <w:r w:rsidRPr="00BE6B20">
        <w:rPr>
          <w:b/>
        </w:rPr>
        <w:t>Maďarsku</w:t>
      </w:r>
      <w:r w:rsidRPr="00820D38">
        <w:rPr>
          <w:b/>
        </w:rPr>
        <w:t>,</w:t>
      </w:r>
      <w:r>
        <w:t xml:space="preserve"> a</w:t>
      </w:r>
      <w:r w:rsidR="00963B01">
        <w:t xml:space="preserve"> </w:t>
      </w:r>
      <w:r w:rsidRPr="00BE6B20">
        <w:rPr>
          <w:b/>
        </w:rPr>
        <w:t>Portugalsku</w:t>
      </w:r>
      <w:r>
        <w:t xml:space="preserve"> obdobný. Ústřední orgány státní správy</w:t>
      </w:r>
      <w:r>
        <w:rPr>
          <w:rStyle w:val="Znakapoznpodarou"/>
        </w:rPr>
        <w:footnoteReference w:id="51"/>
      </w:r>
      <w:r>
        <w:t xml:space="preserve"> v</w:t>
      </w:r>
      <w:r w:rsidR="00963B01">
        <w:t xml:space="preserve"> </w:t>
      </w:r>
      <w:r>
        <w:t>těchto zemích (v případě Rakouska všechny spolkové instituce) mají povinnost pořizovat zboží prostřednictvím centrálního zadavatele</w:t>
      </w:r>
      <w:r>
        <w:rPr>
          <w:rStyle w:val="Znakapoznpodarou"/>
        </w:rPr>
        <w:footnoteReference w:id="52"/>
      </w:r>
      <w:r>
        <w:t xml:space="preserve">. Ostatní subjekty veřejné správy mohou takto postupovat dobrovolně. </w:t>
      </w:r>
    </w:p>
    <w:p w14:paraId="3C5CE6E0" w14:textId="77777777" w:rsidR="003B0E71" w:rsidRDefault="003B0E71" w:rsidP="003B0E71">
      <w:r>
        <w:t xml:space="preserve">Ve </w:t>
      </w:r>
      <w:r w:rsidRPr="00BE6B20">
        <w:rPr>
          <w:b/>
        </w:rPr>
        <w:t>Finsku</w:t>
      </w:r>
      <w:r>
        <w:t xml:space="preserve"> </w:t>
      </w:r>
      <w:r w:rsidRPr="00D45A0C">
        <w:t xml:space="preserve">je pořizování komodit prostřednictvím centrálního zadavatele pro většinu subjektů dobrovolné. Výjimkou jsou některé veřejné subjekty, které mají povinnost u vybraných komodit využít rámcových </w:t>
      </w:r>
      <w:r w:rsidR="008F5193">
        <w:t>dohod</w:t>
      </w:r>
      <w:r w:rsidR="008F5193" w:rsidRPr="00D45A0C">
        <w:t xml:space="preserve"> </w:t>
      </w:r>
      <w:r w:rsidRPr="00D45A0C">
        <w:t>uzavřených centrálním zadavatelem</w:t>
      </w:r>
      <w:r>
        <w:t xml:space="preserve"> Hansel</w:t>
      </w:r>
      <w:r w:rsidRPr="00D45A0C">
        <w:t>.</w:t>
      </w:r>
      <w:r>
        <w:t xml:space="preserve"> O</w:t>
      </w:r>
      <w:r w:rsidRPr="00D45A0C">
        <w:t xml:space="preserve">bce </w:t>
      </w:r>
      <w:r>
        <w:t xml:space="preserve">pořizují komodity prostřednictvím organizace </w:t>
      </w:r>
      <w:r w:rsidRPr="00D45A0C">
        <w:t>Kuntahankinnat</w:t>
      </w:r>
      <w:r>
        <w:t xml:space="preserve"> na základě dobrovolnosti</w:t>
      </w:r>
      <w:r w:rsidR="00CD7E74">
        <w:rPr>
          <w:rStyle w:val="Znakapoznpodarou"/>
        </w:rPr>
        <w:footnoteReference w:id="53"/>
      </w:r>
      <w:r>
        <w:t>.</w:t>
      </w:r>
    </w:p>
    <w:p w14:paraId="5311F697" w14:textId="77777777" w:rsidR="003B0E71" w:rsidRDefault="003B0E71" w:rsidP="003B0E71">
      <w:r>
        <w:lastRenderedPageBreak/>
        <w:t>V </w:t>
      </w:r>
      <w:r w:rsidRPr="00BE6B20">
        <w:rPr>
          <w:b/>
        </w:rPr>
        <w:t>České republice</w:t>
      </w:r>
      <w:r>
        <w:t xml:space="preserve"> není na úrovni státu stanovena povinnost pořizovat komodity prostřednictvím centralizované zadávání. Ústřední orgány státní správy však mají povinnost (při splnění vládou stanovených podmínek</w:t>
      </w:r>
      <w:r>
        <w:rPr>
          <w:rStyle w:val="Znakapoznpodarou"/>
        </w:rPr>
        <w:footnoteReference w:id="54"/>
      </w:r>
      <w:r>
        <w:t>) zavést systém resortního centralizovaného zadávání ve svém resortu a v</w:t>
      </w:r>
      <w:r w:rsidR="00963B01">
        <w:t xml:space="preserve"> </w:t>
      </w:r>
      <w:r>
        <w:t>něm vymezené komodity</w:t>
      </w:r>
      <w:r w:rsidRPr="005C4892">
        <w:t xml:space="preserve"> </w:t>
      </w:r>
      <w:r>
        <w:t xml:space="preserve">povinně pořizovat. </w:t>
      </w:r>
    </w:p>
    <w:p w14:paraId="732DE92D" w14:textId="77777777" w:rsidR="003B0E71" w:rsidRDefault="003B0E71" w:rsidP="003B0E71">
      <w:r>
        <w:t xml:space="preserve">Na </w:t>
      </w:r>
      <w:r w:rsidRPr="00BE6B20">
        <w:rPr>
          <w:b/>
        </w:rPr>
        <w:t>Slovensku</w:t>
      </w:r>
      <w:r>
        <w:t xml:space="preserve"> nemá žádný subjekt povinnost pořizovat komodity prostřednictvím centralizovaného zadávání. Užití centralizovaného zadávání je </w:t>
      </w:r>
      <w:r w:rsidR="00697C9F">
        <w:t>pro všechny zadavatele dobrovolné.</w:t>
      </w:r>
    </w:p>
    <w:p w14:paraId="435759E2" w14:textId="7AE10C93" w:rsidR="003B0E71" w:rsidRPr="00BE6B20" w:rsidRDefault="003B0E71" w:rsidP="003B0E71">
      <w:pPr>
        <w:keepNext/>
        <w:rPr>
          <w:b/>
        </w:rPr>
      </w:pPr>
      <w:r w:rsidRPr="00BE6B20">
        <w:rPr>
          <w:b/>
        </w:rPr>
        <w:t>Rozsah pořizovaných komodit</w:t>
      </w:r>
    </w:p>
    <w:p w14:paraId="09201ABB" w14:textId="2F4661F6" w:rsidR="003B0E71" w:rsidRDefault="003B0E71" w:rsidP="003B0E71">
      <w:r>
        <w:t>Rozsah centralizovaně pořizovaných komodit je ve srovnávaných státech (vyjma Slovenska) velice podobný. Ve všech</w:t>
      </w:r>
      <w:r w:rsidRPr="00E22B97">
        <w:t xml:space="preserve"> </w:t>
      </w:r>
      <w:r>
        <w:t xml:space="preserve">porovnávaných státech jsou centralizovaně na úrovni státu pořizovány např. </w:t>
      </w:r>
      <w:r w:rsidRPr="00716E71">
        <w:t>elektrická energie, plynná paliva, nábytek či ICT komodity (software a</w:t>
      </w:r>
      <w:r>
        <w:t> </w:t>
      </w:r>
      <w:r w:rsidRPr="00716E71">
        <w:t>hardware)</w:t>
      </w:r>
      <w:r>
        <w:t>. Nad rámec těchto komodit jsou centrálně pořizovány např. v</w:t>
      </w:r>
      <w:r w:rsidR="00963B01">
        <w:t xml:space="preserve"> </w:t>
      </w:r>
      <w:r w:rsidRPr="00912A39">
        <w:rPr>
          <w:b/>
        </w:rPr>
        <w:t>Portugalsku</w:t>
      </w:r>
      <w:r>
        <w:t xml:space="preserve"> služby zdravotní péče</w:t>
      </w:r>
      <w:r w:rsidRPr="0068415A">
        <w:t xml:space="preserve"> </w:t>
      </w:r>
      <w:r>
        <w:t>a úklidové služby a</w:t>
      </w:r>
      <w:r w:rsidR="00963B01">
        <w:t xml:space="preserve"> </w:t>
      </w:r>
      <w:r>
        <w:t>v</w:t>
      </w:r>
      <w:r w:rsidR="00963B01">
        <w:t xml:space="preserve"> </w:t>
      </w:r>
      <w:r w:rsidRPr="00912A39">
        <w:rPr>
          <w:b/>
        </w:rPr>
        <w:t>Maďarsku</w:t>
      </w:r>
      <w:r>
        <w:t xml:space="preserve"> zajištění dopravy</w:t>
      </w:r>
      <w:r w:rsidR="0072116A">
        <w:t>. V Rakousku jsou centralizovaně pořizovány kromě úklidových služeb a zajištění dopravy rovněž</w:t>
      </w:r>
      <w:r w:rsidR="0033458C">
        <w:t xml:space="preserve"> např.</w:t>
      </w:r>
      <w:r w:rsidR="0072116A">
        <w:t xml:space="preserve"> </w:t>
      </w:r>
      <w:r w:rsidR="00B01421">
        <w:t>noviny</w:t>
      </w:r>
      <w:r w:rsidR="0072116A">
        <w:t xml:space="preserve"> a</w:t>
      </w:r>
      <w:r w:rsidR="001E5911">
        <w:t> </w:t>
      </w:r>
      <w:r w:rsidR="0072116A">
        <w:t>knihy</w:t>
      </w:r>
      <w:r>
        <w:t xml:space="preserve">. </w:t>
      </w:r>
    </w:p>
    <w:p w14:paraId="2FAE336E" w14:textId="24F4274D" w:rsidR="003B0E71" w:rsidRDefault="003B0E71" w:rsidP="003B0E71">
      <w:r>
        <w:t xml:space="preserve">Společným znakem systému centralizovaného zadávání v </w:t>
      </w:r>
      <w:r w:rsidRPr="00DB442D">
        <w:rPr>
          <w:b/>
        </w:rPr>
        <w:t>Portugalsku</w:t>
      </w:r>
      <w:r>
        <w:rPr>
          <w:b/>
        </w:rPr>
        <w:t xml:space="preserve"> </w:t>
      </w:r>
      <w:r w:rsidRPr="00DB442D">
        <w:t xml:space="preserve">a </w:t>
      </w:r>
      <w:r>
        <w:rPr>
          <w:b/>
        </w:rPr>
        <w:t>České republice</w:t>
      </w:r>
      <w:r w:rsidRPr="00DB442D">
        <w:rPr>
          <w:b/>
        </w:rPr>
        <w:t xml:space="preserve"> </w:t>
      </w:r>
      <w:r w:rsidR="001E5911">
        <w:t>je</w:t>
      </w:r>
      <w:r w:rsidR="007663D6">
        <w:t xml:space="preserve"> </w:t>
      </w:r>
      <w:r>
        <w:t>existence resortních centrálních zadavatelů. Resortní zadavatelé v</w:t>
      </w:r>
      <w:r w:rsidR="00963B01">
        <w:t xml:space="preserve"> </w:t>
      </w:r>
      <w:r>
        <w:t>Portugalsku pořizují pouze komodity specifické pro daný resort. Naopak v</w:t>
      </w:r>
      <w:r w:rsidR="00963B01">
        <w:t xml:space="preserve"> </w:t>
      </w:r>
      <w:r>
        <w:t>České republice resortní zadavatelé pořizují povinně i ty</w:t>
      </w:r>
      <w:r w:rsidR="00963B01">
        <w:t xml:space="preserve"> </w:t>
      </w:r>
      <w:r>
        <w:t>komodity, které by měly být pořizovány centralizovaně na úrovni státu</w:t>
      </w:r>
      <w:r>
        <w:rPr>
          <w:rStyle w:val="Znakapoznpodarou"/>
        </w:rPr>
        <w:footnoteReference w:id="55"/>
      </w:r>
      <w:r>
        <w:t>, a nad rámec stanovených komodit mohou jednotlivé resorty centralizovaně pořizovat další komodity.</w:t>
      </w:r>
    </w:p>
    <w:p w14:paraId="48F7BEFA" w14:textId="77777777" w:rsidR="003B0E71" w:rsidRPr="00BE6B20" w:rsidRDefault="003B0E71" w:rsidP="003B0E71">
      <w:pPr>
        <w:rPr>
          <w:b/>
        </w:rPr>
      </w:pPr>
      <w:r w:rsidRPr="00BE6B20">
        <w:rPr>
          <w:b/>
        </w:rPr>
        <w:t>Financování centralizovaného zadávání</w:t>
      </w:r>
    </w:p>
    <w:p w14:paraId="6366699D" w14:textId="09AC1200" w:rsidR="003B0E71" w:rsidRDefault="003B0E71" w:rsidP="003B0E71">
      <w:r>
        <w:t>Existují dva základní přístupy ve způsobu financování činnosti centrálního zadavatele. První přístup spočívá ve financování centrálního zadavatele prostřednictvím vlastního, resp.</w:t>
      </w:r>
      <w:r w:rsidR="00963B01">
        <w:t xml:space="preserve"> </w:t>
      </w:r>
      <w:r>
        <w:t>státního rozpočtu a je uplatňován v</w:t>
      </w:r>
      <w:r w:rsidR="00963B01">
        <w:t xml:space="preserve"> </w:t>
      </w:r>
      <w:r w:rsidRPr="00BE6B20">
        <w:rPr>
          <w:b/>
        </w:rPr>
        <w:t>České republice</w:t>
      </w:r>
      <w:r>
        <w:t xml:space="preserve"> či </w:t>
      </w:r>
      <w:r w:rsidRPr="00BE6B20">
        <w:rPr>
          <w:b/>
        </w:rPr>
        <w:t>Rakousku</w:t>
      </w:r>
      <w:r w:rsidRPr="00966A6E">
        <w:rPr>
          <w:b/>
        </w:rPr>
        <w:t>.</w:t>
      </w:r>
      <w:r>
        <w:t xml:space="preserve"> Druhý přístup financování činnosti centrálního zadavatele prostřednictvím poplatku je uplatňován ve</w:t>
      </w:r>
      <w:r w:rsidR="00963B01">
        <w:t xml:space="preserve"> </w:t>
      </w:r>
      <w:r w:rsidRPr="00BE6B20">
        <w:rPr>
          <w:b/>
        </w:rPr>
        <w:t>Finsku</w:t>
      </w:r>
      <w:r w:rsidRPr="00966A6E">
        <w:rPr>
          <w:b/>
        </w:rPr>
        <w:t>,</w:t>
      </w:r>
      <w:r w:rsidRPr="000F0BBF">
        <w:t xml:space="preserve"> </w:t>
      </w:r>
      <w:r w:rsidR="001E5911" w:rsidRPr="000F0BBF">
        <w:t>kde</w:t>
      </w:r>
      <w:r w:rsidR="00022649">
        <w:rPr>
          <w:b/>
        </w:rPr>
        <w:t xml:space="preserve"> </w:t>
      </w:r>
      <w:r>
        <w:t>centrální zadavatel účtuje dodavatelům poplatky až do výše 1,5 % hodnoty zakázky. V </w:t>
      </w:r>
      <w:r w:rsidRPr="00BE6B20">
        <w:rPr>
          <w:b/>
        </w:rPr>
        <w:t>Maďarsku</w:t>
      </w:r>
      <w:r>
        <w:t xml:space="preserve"> a </w:t>
      </w:r>
      <w:r w:rsidRPr="00BE6B20">
        <w:rPr>
          <w:b/>
        </w:rPr>
        <w:t>Portugalsku</w:t>
      </w:r>
      <w:r>
        <w:t xml:space="preserve"> je uplatňována kombinace obou přístupů, tj.</w:t>
      </w:r>
      <w:r w:rsidR="00963B01">
        <w:t xml:space="preserve"> </w:t>
      </w:r>
      <w:r>
        <w:t xml:space="preserve">činnost centrálního zadavatele je hrazena jak rozpočtu zadavatele (resp. státního rozpočtu), </w:t>
      </w:r>
      <w:r w:rsidR="001E5911">
        <w:t>tak</w:t>
      </w:r>
      <w:r w:rsidR="00022649">
        <w:t xml:space="preserve"> </w:t>
      </w:r>
      <w:r>
        <w:t xml:space="preserve">i prostřednictvím poplatků placených dodavateli. </w:t>
      </w:r>
    </w:p>
    <w:p w14:paraId="6AEEA258" w14:textId="77777777" w:rsidR="003B0E71" w:rsidRPr="00BE6B20" w:rsidRDefault="003B0E71" w:rsidP="003B0E71">
      <w:pPr>
        <w:rPr>
          <w:b/>
        </w:rPr>
      </w:pPr>
      <w:r w:rsidRPr="00BE6B20">
        <w:rPr>
          <w:b/>
        </w:rPr>
        <w:t xml:space="preserve">Kvantifikace </w:t>
      </w:r>
      <w:r>
        <w:rPr>
          <w:b/>
        </w:rPr>
        <w:t xml:space="preserve">a monitorování </w:t>
      </w:r>
      <w:r w:rsidRPr="00BE6B20">
        <w:rPr>
          <w:b/>
        </w:rPr>
        <w:t>přínosů centralizovaného zadávání</w:t>
      </w:r>
    </w:p>
    <w:p w14:paraId="5FD702E7" w14:textId="3A7B093C" w:rsidR="003B0E71" w:rsidRDefault="003B0E71" w:rsidP="003B0E71">
      <w:pPr>
        <w:spacing w:before="120"/>
      </w:pPr>
      <w:r>
        <w:t>Z hlediska monitorování přínosů</w:t>
      </w:r>
      <w:r w:rsidR="00022649">
        <w:t>,</w:t>
      </w:r>
      <w:r>
        <w:t xml:space="preserve"> resp. sledování úspor dosažených prostřednictvím centralizovaného zadávání je přístup v </w:t>
      </w:r>
      <w:r w:rsidRPr="00BE6B20">
        <w:rPr>
          <w:b/>
        </w:rPr>
        <w:t>České republice</w:t>
      </w:r>
      <w:r>
        <w:t xml:space="preserve"> oproti porovnávaným zemím odlišný. </w:t>
      </w:r>
      <w:r>
        <w:lastRenderedPageBreak/>
        <w:t>Každý ústřední orgán státní správy, který zavedl resortní systém centralizovaného zadávání, je</w:t>
      </w:r>
      <w:r w:rsidR="00963B01">
        <w:t xml:space="preserve"> </w:t>
      </w:r>
      <w:r>
        <w:t xml:space="preserve">každoročně povinen vyčíslovat dosažené úspory, a to u každé jednotlivé veřejné zakázky. Pro výpočet úspor jsou stanoveny tři typové metody. Jiné přínosy (např. snížení administrativní zátěže, zefektivnění procesů) než dosažené úspory hodnoceny nejsou. </w:t>
      </w:r>
    </w:p>
    <w:p w14:paraId="5697385A" w14:textId="0F5AE6FA" w:rsidR="003B0E71" w:rsidRDefault="003B0E71" w:rsidP="003B0E71">
      <w:pPr>
        <w:spacing w:before="120" w:after="120"/>
      </w:pPr>
      <w:r>
        <w:t xml:space="preserve">Oproti tomu v ostatních srovnávaných státech nejsou na úrovni jednotlivých veřejných zakázek úspory vyčíslovány a přínosy jsou hodnoceny komplexně. Např. </w:t>
      </w:r>
      <w:r w:rsidRPr="00C12AF8">
        <w:rPr>
          <w:b/>
        </w:rPr>
        <w:t>portugalsk</w:t>
      </w:r>
      <w:r>
        <w:rPr>
          <w:b/>
        </w:rPr>
        <w:t>ý</w:t>
      </w:r>
      <w:r>
        <w:t xml:space="preserve"> eSPap vyčísluje úspory prostřednictvím dat dostupných z</w:t>
      </w:r>
      <w:r w:rsidR="00963B01">
        <w:t xml:space="preserve"> </w:t>
      </w:r>
      <w:r>
        <w:t>elektronického systému a dále sleduje transakční náklady a</w:t>
      </w:r>
      <w:r w:rsidR="00963B01">
        <w:t xml:space="preserve"> </w:t>
      </w:r>
      <w:r>
        <w:t>úspory z</w:t>
      </w:r>
      <w:r w:rsidR="00963B01">
        <w:t xml:space="preserve"> </w:t>
      </w:r>
      <w:r>
        <w:t xml:space="preserve">rozsahu. </w:t>
      </w:r>
      <w:r>
        <w:rPr>
          <w:b/>
        </w:rPr>
        <w:t>R</w:t>
      </w:r>
      <w:r w:rsidRPr="00C12AF8">
        <w:rPr>
          <w:b/>
        </w:rPr>
        <w:t>akousk</w:t>
      </w:r>
      <w:r w:rsidR="005B7EA9">
        <w:rPr>
          <w:b/>
        </w:rPr>
        <w:t>á</w:t>
      </w:r>
      <w:r w:rsidR="005B7EA9">
        <w:t xml:space="preserve"> společnost</w:t>
      </w:r>
      <w:r w:rsidR="005B7EA9" w:rsidRPr="005B7EA9">
        <w:t xml:space="preserve"> </w:t>
      </w:r>
      <w:r w:rsidR="005B7EA9" w:rsidRPr="00F22A16">
        <w:t>Bundesbeschaffung GmbH</w:t>
      </w:r>
      <w:r>
        <w:t xml:space="preserve"> zpracovává pravidelné zprávy, které srovnávají nákupy a</w:t>
      </w:r>
      <w:r w:rsidR="00963B01">
        <w:t xml:space="preserve"> </w:t>
      </w:r>
      <w:r>
        <w:t>hodnotí vývoj centralizovaného zadávání jako celek.</w:t>
      </w:r>
    </w:p>
    <w:p w14:paraId="0259A5C6" w14:textId="3169BC6A" w:rsidR="003B0E71" w:rsidRPr="00F03BCC" w:rsidRDefault="003B0E71" w:rsidP="003B0E71">
      <w:pPr>
        <w:spacing w:before="120"/>
      </w:pPr>
      <w:r>
        <w:t>Evropská komise využívá ke sledování míry využívání centralizovaného zadávání v jednotlivých státech ukazatel „</w:t>
      </w:r>
      <w:r w:rsidR="00022649">
        <w:t>c</w:t>
      </w:r>
      <w:r>
        <w:t xml:space="preserve">ooperative </w:t>
      </w:r>
      <w:r w:rsidR="00022649">
        <w:t>p</w:t>
      </w:r>
      <w:r>
        <w:t>rocurement“</w:t>
      </w:r>
      <w:r>
        <w:rPr>
          <w:rStyle w:val="Znakapoznpodarou"/>
        </w:rPr>
        <w:footnoteReference w:id="56"/>
      </w:r>
      <w:r>
        <w:t xml:space="preserve"> a za optimální míru centralizovaného zadávání považuje 10 %. V</w:t>
      </w:r>
      <w:r w:rsidR="00963B01">
        <w:t xml:space="preserve"> </w:t>
      </w:r>
      <w:r>
        <w:t>případě, že v</w:t>
      </w:r>
      <w:r w:rsidR="00963B01">
        <w:t xml:space="preserve"> </w:t>
      </w:r>
      <w:r>
        <w:t>zemi nedosahuje tento ukazatel 10 %, považuje Evropská komise míru centralizovaného zadávání za nedostatečnou. Hodn</w:t>
      </w:r>
      <w:r w:rsidR="00E20A92">
        <w:t>oty ukazatele v letech 2014–</w:t>
      </w:r>
      <w:r w:rsidR="007672AE">
        <w:t>2017</w:t>
      </w:r>
      <w:r>
        <w:t xml:space="preserve"> jsou uvedeny v grafu </w:t>
      </w:r>
      <w:r w:rsidRPr="00F03BCC">
        <w:t xml:space="preserve">č. 1. </w:t>
      </w:r>
    </w:p>
    <w:p w14:paraId="44393E93" w14:textId="3F4C6840" w:rsidR="003B0E71" w:rsidRPr="00F03BCC" w:rsidRDefault="00022649" w:rsidP="00022649">
      <w:pPr>
        <w:spacing w:before="120"/>
        <w:ind w:left="993" w:hanging="993"/>
        <w:contextualSpacing/>
        <w:rPr>
          <w:b/>
        </w:rPr>
      </w:pPr>
      <w:r>
        <w:rPr>
          <w:b/>
        </w:rPr>
        <w:t>Graf č. 1:</w:t>
      </w:r>
      <w:r>
        <w:rPr>
          <w:b/>
        </w:rPr>
        <w:tab/>
      </w:r>
      <w:r w:rsidR="003B0E71" w:rsidRPr="00F03BCC">
        <w:rPr>
          <w:b/>
        </w:rPr>
        <w:t xml:space="preserve">Ukazatel </w:t>
      </w:r>
      <w:r>
        <w:rPr>
          <w:b/>
        </w:rPr>
        <w:t>c</w:t>
      </w:r>
      <w:r w:rsidR="003B0E71" w:rsidRPr="00F03BCC">
        <w:rPr>
          <w:b/>
        </w:rPr>
        <w:t xml:space="preserve">ooperative </w:t>
      </w:r>
      <w:r>
        <w:rPr>
          <w:b/>
        </w:rPr>
        <w:t>p</w:t>
      </w:r>
      <w:r w:rsidR="003B0E71" w:rsidRPr="00F03BCC">
        <w:rPr>
          <w:b/>
        </w:rPr>
        <w:t>rocurement</w:t>
      </w:r>
      <w:r>
        <w:rPr>
          <w:b/>
        </w:rPr>
        <w:t xml:space="preserve"> (</w:t>
      </w:r>
      <w:r w:rsidRPr="00022649">
        <w:rPr>
          <w:b/>
        </w:rPr>
        <w:t>mír</w:t>
      </w:r>
      <w:r>
        <w:rPr>
          <w:b/>
        </w:rPr>
        <w:t>a</w:t>
      </w:r>
      <w:r w:rsidRPr="00022649">
        <w:rPr>
          <w:b/>
        </w:rPr>
        <w:t xml:space="preserve"> využívání centralizovaného zadávání</w:t>
      </w:r>
      <w:r>
        <w:rPr>
          <w:b/>
        </w:rPr>
        <w:t>)</w:t>
      </w:r>
      <w:r w:rsidR="00EE71FD">
        <w:rPr>
          <w:b/>
        </w:rPr>
        <w:t xml:space="preserve"> v </w:t>
      </w:r>
      <w:r w:rsidR="003B0E71" w:rsidRPr="00F03BCC">
        <w:rPr>
          <w:b/>
        </w:rPr>
        <w:t>letech 2014</w:t>
      </w:r>
      <w:r w:rsidR="00413E5B" w:rsidRPr="00413E5B">
        <w:rPr>
          <w:b/>
        </w:rPr>
        <w:t>–</w:t>
      </w:r>
      <w:r w:rsidR="003B0E71" w:rsidRPr="00F03BCC">
        <w:rPr>
          <w:b/>
        </w:rPr>
        <w:t>201</w:t>
      </w:r>
      <w:r w:rsidR="002A2D3A">
        <w:rPr>
          <w:b/>
        </w:rPr>
        <w:t>7</w:t>
      </w:r>
    </w:p>
    <w:p w14:paraId="6322563C" w14:textId="77777777" w:rsidR="001F52DF" w:rsidRDefault="001F52DF" w:rsidP="008E1672">
      <w:pPr>
        <w:keepNext/>
        <w:spacing w:before="120" w:after="0"/>
        <w:jc w:val="left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6A9FDDA" wp14:editId="527C7A2C">
            <wp:extent cx="5760720" cy="3277209"/>
            <wp:effectExtent l="0" t="0" r="0" b="0"/>
            <wp:docPr id="1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7531B8E" w14:textId="76EF64AE" w:rsidR="003B0E71" w:rsidRPr="00A8758C" w:rsidRDefault="003B0E71" w:rsidP="00ED3F1D">
      <w:pPr>
        <w:keepNext/>
        <w:spacing w:after="0"/>
        <w:ind w:left="567" w:hanging="567"/>
        <w:jc w:val="left"/>
        <w:rPr>
          <w:sz w:val="20"/>
          <w:szCs w:val="20"/>
        </w:rPr>
      </w:pPr>
      <w:r w:rsidRPr="001B27EF">
        <w:rPr>
          <w:b/>
          <w:sz w:val="20"/>
          <w:szCs w:val="20"/>
        </w:rPr>
        <w:t>Zdroj:</w:t>
      </w:r>
      <w:r w:rsidRPr="001B27EF">
        <w:rPr>
          <w:i/>
          <w:sz w:val="20"/>
          <w:szCs w:val="20"/>
        </w:rPr>
        <w:t xml:space="preserve"> </w:t>
      </w:r>
      <w:r w:rsidR="00ED3F1D" w:rsidRPr="00A8758C">
        <w:rPr>
          <w:sz w:val="20"/>
          <w:szCs w:val="20"/>
        </w:rPr>
        <w:tab/>
      </w:r>
      <w:r w:rsidRPr="00A8758C">
        <w:rPr>
          <w:sz w:val="20"/>
          <w:szCs w:val="20"/>
        </w:rPr>
        <w:t xml:space="preserve">veřejné zadávání v EU dostupné na adrese: </w:t>
      </w:r>
      <w:hyperlink r:id="rId18" w:history="1">
        <w:r w:rsidR="00022649" w:rsidRPr="00A8758C">
          <w:rPr>
            <w:rStyle w:val="Hypertextovodkaz"/>
            <w:sz w:val="20"/>
            <w:szCs w:val="20"/>
          </w:rPr>
          <w:t>http://ec.europa.eu/internal_market/scoreboard/performance_per_policy_area/public_procurement/index_en.htm</w:t>
        </w:r>
      </w:hyperlink>
      <w:r w:rsidR="00022649" w:rsidRPr="00A8758C">
        <w:rPr>
          <w:sz w:val="20"/>
          <w:szCs w:val="20"/>
        </w:rPr>
        <w:t>.</w:t>
      </w:r>
    </w:p>
    <w:p w14:paraId="0A54F5AC" w14:textId="77777777" w:rsidR="00A83DAD" w:rsidRPr="003B0E71" w:rsidRDefault="003B0E71" w:rsidP="00F6599E">
      <w:pPr>
        <w:spacing w:before="120"/>
        <w:rPr>
          <w:rFonts w:cstheme="minorHAnsi"/>
        </w:rPr>
      </w:pPr>
      <w:r>
        <w:t>Ze srovnávaných států hranici 10</w:t>
      </w:r>
      <w:r w:rsidR="00963B01">
        <w:t xml:space="preserve"> </w:t>
      </w:r>
      <w:r>
        <w:t>% překonalo v</w:t>
      </w:r>
      <w:r w:rsidR="00963B01">
        <w:t xml:space="preserve"> </w:t>
      </w:r>
      <w:r>
        <w:t>roce 2016 pouze Finsko s</w:t>
      </w:r>
      <w:r w:rsidR="00963B01">
        <w:t xml:space="preserve"> </w:t>
      </w:r>
      <w:r>
        <w:t>mírou centralizovaného zadávání 18 %. Česká republika a Slovensko dosáhly v</w:t>
      </w:r>
      <w:r w:rsidR="00963B01">
        <w:t xml:space="preserve"> </w:t>
      </w:r>
      <w:r>
        <w:t>roce 2016 míry 4</w:t>
      </w:r>
      <w:r w:rsidR="00963B01">
        <w:t xml:space="preserve"> </w:t>
      </w:r>
      <w:r>
        <w:t>%, Portugalsko 3</w:t>
      </w:r>
      <w:r w:rsidR="00963B01">
        <w:t xml:space="preserve"> </w:t>
      </w:r>
      <w:r>
        <w:t>%, Rakousko 5</w:t>
      </w:r>
      <w:r w:rsidR="00963B01">
        <w:t xml:space="preserve"> </w:t>
      </w:r>
      <w:r>
        <w:t>% a Maďarsko 9</w:t>
      </w:r>
      <w:r w:rsidR="00963B01">
        <w:t xml:space="preserve"> </w:t>
      </w:r>
      <w:r>
        <w:t>%.</w:t>
      </w:r>
    </w:p>
    <w:sectPr w:rsidR="00A83DAD" w:rsidRPr="003B0E71" w:rsidSect="00112DF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E39BD" w14:textId="77777777" w:rsidR="005D0A6E" w:rsidRDefault="005D0A6E" w:rsidP="0077328C">
      <w:pPr>
        <w:spacing w:after="0" w:line="240" w:lineRule="auto"/>
      </w:pPr>
      <w:r>
        <w:separator/>
      </w:r>
    </w:p>
  </w:endnote>
  <w:endnote w:type="continuationSeparator" w:id="0">
    <w:p w14:paraId="2B6F05B5" w14:textId="77777777" w:rsidR="005D0A6E" w:rsidRDefault="005D0A6E" w:rsidP="0077328C">
      <w:pPr>
        <w:spacing w:after="0" w:line="240" w:lineRule="auto"/>
      </w:pPr>
      <w:r>
        <w:continuationSeparator/>
      </w:r>
    </w:p>
  </w:endnote>
  <w:endnote w:type="continuationNotice" w:id="1">
    <w:p w14:paraId="33EDF5B8" w14:textId="77777777" w:rsidR="005D0A6E" w:rsidRDefault="005D0A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4D57B" w14:textId="77777777" w:rsidR="00A90628" w:rsidRDefault="00A906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787672"/>
      <w:docPartObj>
        <w:docPartGallery w:val="Page Numbers (Bottom of Page)"/>
        <w:docPartUnique/>
      </w:docPartObj>
    </w:sdtPr>
    <w:sdtEndPr/>
    <w:sdtContent>
      <w:p w14:paraId="35CE78AE" w14:textId="2183A2B2" w:rsidR="005D0A6E" w:rsidRDefault="005D0A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6B6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0FC10" w14:textId="77777777" w:rsidR="00A90628" w:rsidRDefault="00A906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2508C" w14:textId="77777777" w:rsidR="005D0A6E" w:rsidRDefault="005D0A6E" w:rsidP="0077328C">
      <w:pPr>
        <w:spacing w:after="0" w:line="240" w:lineRule="auto"/>
      </w:pPr>
      <w:r>
        <w:separator/>
      </w:r>
    </w:p>
  </w:footnote>
  <w:footnote w:type="continuationSeparator" w:id="0">
    <w:p w14:paraId="519E6C48" w14:textId="77777777" w:rsidR="005D0A6E" w:rsidRDefault="005D0A6E" w:rsidP="0077328C">
      <w:pPr>
        <w:spacing w:after="0" w:line="240" w:lineRule="auto"/>
      </w:pPr>
      <w:r>
        <w:continuationSeparator/>
      </w:r>
    </w:p>
  </w:footnote>
  <w:footnote w:type="continuationNotice" w:id="1">
    <w:p w14:paraId="17FC9E91" w14:textId="77777777" w:rsidR="005D0A6E" w:rsidRDefault="005D0A6E">
      <w:pPr>
        <w:spacing w:after="0" w:line="240" w:lineRule="auto"/>
      </w:pPr>
    </w:p>
  </w:footnote>
  <w:footnote w:id="2">
    <w:p w14:paraId="27625745" w14:textId="77777777" w:rsidR="005D0A6E" w:rsidRPr="005150E4" w:rsidRDefault="005D0A6E" w:rsidP="00C03DFB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E4073">
        <w:rPr>
          <w:rStyle w:val="Znakapoznpodarou"/>
          <w:rFonts w:asciiTheme="minorHAnsi" w:hAnsiTheme="minorHAnsi" w:cstheme="minorHAnsi"/>
        </w:rPr>
        <w:footnoteRef/>
      </w:r>
      <w:r w:rsidRPr="009E40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81494">
        <w:rPr>
          <w:rFonts w:asciiTheme="minorHAnsi" w:hAnsiTheme="minorHAnsi" w:cstheme="minorHAnsi"/>
        </w:rPr>
        <w:t>S ohledem na skutečnost, že přístup ke všem údajům o veřejných zakázkách v agregované podobě může MMR zajistit pouze za úplatu dodavateli informačního systému, vycházel NKÚ z údajů zveřejněných ve</w:t>
      </w:r>
      <w:r>
        <w:rPr>
          <w:rFonts w:asciiTheme="minorHAnsi" w:hAnsiTheme="minorHAnsi" w:cstheme="minorHAnsi"/>
          <w:b/>
        </w:rPr>
        <w:t> </w:t>
      </w:r>
      <w:r w:rsidRPr="00A05BD2">
        <w:rPr>
          <w:rFonts w:asciiTheme="minorHAnsi" w:hAnsiTheme="minorHAnsi" w:cstheme="minorHAnsi"/>
          <w:i/>
        </w:rPr>
        <w:t>Výroční zpráv</w:t>
      </w:r>
      <w:r>
        <w:rPr>
          <w:rFonts w:asciiTheme="minorHAnsi" w:hAnsiTheme="minorHAnsi" w:cstheme="minorHAnsi"/>
          <w:i/>
        </w:rPr>
        <w:t>ě</w:t>
      </w:r>
      <w:r w:rsidRPr="00A05BD2">
        <w:rPr>
          <w:rFonts w:asciiTheme="minorHAnsi" w:hAnsiTheme="minorHAnsi" w:cstheme="minorHAnsi"/>
          <w:i/>
        </w:rPr>
        <w:t xml:space="preserve"> o stavu </w:t>
      </w:r>
      <w:r>
        <w:rPr>
          <w:rFonts w:asciiTheme="minorHAnsi" w:hAnsiTheme="minorHAnsi" w:cstheme="minorHAnsi"/>
          <w:i/>
        </w:rPr>
        <w:t xml:space="preserve">veřejných zakázek v České republice </w:t>
      </w:r>
      <w:r w:rsidRPr="00A05BD2">
        <w:rPr>
          <w:rFonts w:asciiTheme="minorHAnsi" w:hAnsiTheme="minorHAnsi" w:cstheme="minorHAnsi"/>
          <w:i/>
        </w:rPr>
        <w:t>za rok 2016</w:t>
      </w:r>
      <w:r>
        <w:rPr>
          <w:rFonts w:asciiTheme="minorHAnsi" w:hAnsiTheme="minorHAnsi" w:cstheme="minorHAnsi"/>
          <w:i/>
        </w:rPr>
        <w:t xml:space="preserve">. </w:t>
      </w:r>
    </w:p>
  </w:footnote>
  <w:footnote w:id="3">
    <w:p w14:paraId="02BAB8E1" w14:textId="77777777" w:rsidR="005D0A6E" w:rsidRPr="001C3DE0" w:rsidRDefault="005D0A6E" w:rsidP="0072116A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5150E4">
        <w:rPr>
          <w:rStyle w:val="Znakapoznpodarou"/>
          <w:rFonts w:asciiTheme="minorHAnsi" w:hAnsiTheme="minorHAnsi" w:cstheme="minorHAnsi"/>
        </w:rPr>
        <w:footnoteRef/>
      </w:r>
      <w:r w:rsidRPr="005150E4">
        <w:rPr>
          <w:rFonts w:asciiTheme="minorHAnsi" w:hAnsiTheme="minorHAnsi" w:cstheme="minorHAnsi"/>
        </w:rPr>
        <w:t xml:space="preserve"> </w:t>
      </w:r>
      <w:r w:rsidRPr="005150E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Dle </w:t>
      </w:r>
      <w:r w:rsidRPr="00A05BD2">
        <w:rPr>
          <w:rFonts w:asciiTheme="minorHAnsi" w:hAnsiTheme="minorHAnsi" w:cstheme="minorHAnsi"/>
          <w:i/>
        </w:rPr>
        <w:t>Zpráv</w:t>
      </w:r>
      <w:r>
        <w:rPr>
          <w:rFonts w:asciiTheme="minorHAnsi" w:hAnsiTheme="minorHAnsi" w:cstheme="minorHAnsi"/>
          <w:i/>
        </w:rPr>
        <w:t>y</w:t>
      </w:r>
      <w:r w:rsidRPr="00A05BD2">
        <w:rPr>
          <w:rFonts w:asciiTheme="minorHAnsi" w:hAnsiTheme="minorHAnsi" w:cstheme="minorHAnsi"/>
          <w:i/>
        </w:rPr>
        <w:t xml:space="preserve"> o hodnocení</w:t>
      </w:r>
      <w:r>
        <w:rPr>
          <w:rFonts w:asciiTheme="minorHAnsi" w:hAnsiTheme="minorHAnsi" w:cstheme="minorHAnsi"/>
          <w:i/>
        </w:rPr>
        <w:t xml:space="preserve"> resortních systémů centralizovaného zadávání a</w:t>
      </w:r>
      <w:r w:rsidRPr="00A05BD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centrálního nákupu státu </w:t>
      </w:r>
      <w:r w:rsidRPr="00A05BD2">
        <w:rPr>
          <w:rFonts w:asciiTheme="minorHAnsi" w:hAnsiTheme="minorHAnsi" w:cstheme="minorHAnsi"/>
          <w:i/>
        </w:rPr>
        <w:t>za rok 2016</w:t>
      </w:r>
      <w:r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 xml:space="preserve">(dále také „Zpráva o hodnocení za rok 2016“). Zpráva za rok 2017 nebyla do ukončení kontroly zpracována. </w:t>
      </w:r>
    </w:p>
  </w:footnote>
  <w:footnote w:id="4">
    <w:p w14:paraId="505335CD" w14:textId="77777777" w:rsidR="005D0A6E" w:rsidRPr="00185393" w:rsidRDefault="005D0A6E" w:rsidP="006445F0">
      <w:pPr>
        <w:pStyle w:val="Textpoznpodarou"/>
        <w:ind w:left="284" w:hanging="284"/>
        <w:rPr>
          <w:rFonts w:asciiTheme="minorHAnsi" w:hAnsiTheme="minorHAnsi" w:cstheme="minorHAnsi"/>
        </w:rPr>
      </w:pPr>
      <w:r w:rsidRPr="00185393">
        <w:rPr>
          <w:rStyle w:val="Znakapoznpodarou"/>
          <w:rFonts w:asciiTheme="minorHAnsi" w:eastAsiaTheme="majorEastAsia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 w:rsidRPr="00185393">
        <w:rPr>
          <w:rFonts w:asciiTheme="minorHAnsi" w:hAnsiTheme="minorHAnsi" w:cstheme="minorHAnsi"/>
        </w:rPr>
        <w:tab/>
      </w:r>
      <w:r w:rsidRPr="00185393">
        <w:rPr>
          <w:rStyle w:val="Zdraznnjemn"/>
          <w:rFonts w:cstheme="minorHAnsi"/>
          <w:color w:val="auto"/>
          <w:sz w:val="20"/>
        </w:rPr>
        <w:t>Před nabytím účinnosti zákona č. 134/2016 Sb., upravoval centralizované zadávání zákon č. 137/2006 Sb., o veřejných zakázkách</w:t>
      </w:r>
      <w:r w:rsidRPr="00185393">
        <w:rPr>
          <w:rStyle w:val="Zdraznnjemn"/>
          <w:rFonts w:cstheme="minorHAnsi"/>
          <w:sz w:val="20"/>
        </w:rPr>
        <w:t>.</w:t>
      </w:r>
      <w:r w:rsidRPr="00185393">
        <w:rPr>
          <w:rFonts w:asciiTheme="minorHAnsi" w:hAnsiTheme="minorHAnsi"/>
        </w:rPr>
        <w:t xml:space="preserve"> </w:t>
      </w:r>
    </w:p>
  </w:footnote>
  <w:footnote w:id="5">
    <w:p w14:paraId="2343DDCE" w14:textId="77777777" w:rsidR="005D0A6E" w:rsidRPr="00185393" w:rsidRDefault="005D0A6E" w:rsidP="00CD26F8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185393">
        <w:rPr>
          <w:rStyle w:val="Znakapoznpodarou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Usnesení vlády ze dne 20. července 2011 č. 563,</w:t>
      </w:r>
      <w:r w:rsidRPr="00B84476">
        <w:rPr>
          <w:rFonts w:asciiTheme="minorHAnsi" w:hAnsiTheme="minorHAnsi" w:cstheme="minorHAnsi"/>
        </w:rPr>
        <w:t xml:space="preserve"> </w:t>
      </w:r>
      <w:r w:rsidRPr="001A2D4A">
        <w:rPr>
          <w:rFonts w:asciiTheme="minorHAnsi" w:hAnsiTheme="minorHAnsi" w:cstheme="minorHAnsi"/>
          <w:i/>
        </w:rPr>
        <w:t>k resortním systémům centralizovaného zadávání veřejných zakázek ústředních orgánů státní správy</w:t>
      </w:r>
      <w:r>
        <w:rPr>
          <w:rFonts w:asciiTheme="minorHAnsi" w:hAnsiTheme="minorHAnsi"/>
        </w:rPr>
        <w:t xml:space="preserve">. </w:t>
      </w:r>
    </w:p>
  </w:footnote>
  <w:footnote w:id="6">
    <w:p w14:paraId="7DA0FAA1" w14:textId="77777777" w:rsidR="005D0A6E" w:rsidRPr="00CD26F8" w:rsidRDefault="005D0A6E" w:rsidP="00CD26F8">
      <w:pPr>
        <w:pStyle w:val="Textpoznpodarou"/>
        <w:ind w:left="284" w:hanging="284"/>
        <w:rPr>
          <w:rFonts w:asciiTheme="minorHAnsi" w:hAnsiTheme="minorHAnsi" w:cstheme="minorHAnsi"/>
        </w:rPr>
      </w:pPr>
      <w:r w:rsidRPr="00CD26F8">
        <w:rPr>
          <w:rStyle w:val="Znakapoznpodarou"/>
          <w:rFonts w:asciiTheme="minorHAnsi" w:hAnsiTheme="minorHAnsi" w:cstheme="minorHAnsi"/>
        </w:rPr>
        <w:footnoteRef/>
      </w:r>
      <w:r w:rsidRPr="00CD26F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</w:t>
      </w:r>
      <w:r w:rsidRPr="00CD26F8">
        <w:rPr>
          <w:rFonts w:asciiTheme="minorHAnsi" w:hAnsiTheme="minorHAnsi" w:cstheme="minorHAnsi"/>
        </w:rPr>
        <w:t xml:space="preserve">snesení vlády ze dne 12. listopadu 2014 č. 924, </w:t>
      </w:r>
      <w:r w:rsidRPr="001A2D4A">
        <w:rPr>
          <w:rFonts w:asciiTheme="minorHAnsi" w:hAnsiTheme="minorHAnsi" w:cstheme="minorHAnsi"/>
          <w:i/>
        </w:rPr>
        <w:t>k Informaci o plnění úkolu z programového prohlášení vlády v souvislosti se zavedením centrálního nákupu státu</w:t>
      </w:r>
      <w:r w:rsidRPr="00CD26F8">
        <w:rPr>
          <w:rFonts w:asciiTheme="minorHAnsi" w:hAnsiTheme="minorHAnsi" w:cstheme="minorHAnsi"/>
        </w:rPr>
        <w:t>.</w:t>
      </w:r>
    </w:p>
  </w:footnote>
  <w:footnote w:id="7">
    <w:p w14:paraId="23BBE7AE" w14:textId="77777777" w:rsidR="005D0A6E" w:rsidRPr="00ED626C" w:rsidRDefault="005D0A6E" w:rsidP="00231F0E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ED626C">
        <w:rPr>
          <w:rStyle w:val="Znakapoznpodarou"/>
          <w:rFonts w:asciiTheme="minorHAnsi" w:hAnsiTheme="minorHAnsi" w:cstheme="minorHAnsi"/>
        </w:rPr>
        <w:footnoteRef/>
      </w:r>
      <w:r w:rsidRPr="00ED626C">
        <w:rPr>
          <w:rFonts w:asciiTheme="minorHAnsi" w:hAnsiTheme="minorHAnsi" w:cstheme="minorHAnsi"/>
        </w:rPr>
        <w:t xml:space="preserve"> </w:t>
      </w:r>
      <w:r w:rsidRPr="00ED626C">
        <w:rPr>
          <w:rFonts w:asciiTheme="minorHAnsi" w:hAnsiTheme="minorHAnsi" w:cstheme="minorHAnsi"/>
        </w:rPr>
        <w:tab/>
        <w:t>Komodity specifické pro daný resort, které nejsou povinně pořizovány.</w:t>
      </w:r>
    </w:p>
  </w:footnote>
  <w:footnote w:id="8">
    <w:p w14:paraId="7AB3B4FB" w14:textId="77777777" w:rsidR="005D0A6E" w:rsidRPr="00CB41F5" w:rsidRDefault="005D0A6E" w:rsidP="00CB41F5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CB41F5">
        <w:rPr>
          <w:rStyle w:val="Znakapoznpodarou"/>
          <w:rFonts w:asciiTheme="minorHAnsi" w:hAnsiTheme="minorHAnsi" w:cstheme="minorHAnsi"/>
        </w:rPr>
        <w:footnoteRef/>
      </w:r>
      <w:r w:rsidRPr="00CB41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U</w:t>
      </w:r>
      <w:r w:rsidRPr="00CB41F5">
        <w:rPr>
          <w:rFonts w:asciiTheme="minorHAnsi" w:hAnsiTheme="minorHAnsi" w:cstheme="minorHAnsi"/>
        </w:rPr>
        <w:t xml:space="preserve">snesení vlády ze dne 18. ledna 2016 č. 24, </w:t>
      </w:r>
      <w:r w:rsidRPr="001A2D4A">
        <w:rPr>
          <w:rFonts w:asciiTheme="minorHAnsi" w:hAnsiTheme="minorHAnsi" w:cstheme="minorHAnsi"/>
          <w:i/>
        </w:rPr>
        <w:t xml:space="preserve">k resortním systémům centralizovaného zadávání </w:t>
      </w:r>
      <w:r w:rsidRPr="001A2D4A">
        <w:rPr>
          <w:rFonts w:asciiTheme="minorHAnsi" w:hAnsiTheme="minorHAnsi" w:cstheme="minorHAnsi"/>
          <w:i/>
        </w:rPr>
        <w:tab/>
        <w:t>veřejných zakázek v návaznosti na pravidla pro centrální nákup státu</w:t>
      </w:r>
      <w:r w:rsidRPr="00CB41F5">
        <w:rPr>
          <w:rFonts w:asciiTheme="minorHAnsi" w:hAnsiTheme="minorHAnsi" w:cstheme="minorHAnsi"/>
        </w:rPr>
        <w:t>.</w:t>
      </w:r>
    </w:p>
  </w:footnote>
  <w:footnote w:id="9">
    <w:p w14:paraId="5B32F8EB" w14:textId="5EFFC78E" w:rsidR="005D0A6E" w:rsidRDefault="005D0A6E" w:rsidP="00F06351">
      <w:pPr>
        <w:pStyle w:val="Textpoznpodarou"/>
        <w:tabs>
          <w:tab w:val="left" w:pos="284"/>
        </w:tabs>
        <w:ind w:left="284" w:hanging="284"/>
      </w:pPr>
      <w:r w:rsidRPr="00ED626C">
        <w:rPr>
          <w:rStyle w:val="Znakapoznpodarou"/>
          <w:rFonts w:asciiTheme="minorHAnsi" w:hAnsiTheme="minorHAnsi" w:cstheme="minorHAnsi"/>
        </w:rPr>
        <w:footnoteRef/>
      </w:r>
      <w:r w:rsidRPr="00ED626C">
        <w:rPr>
          <w:rFonts w:asciiTheme="minorHAnsi" w:hAnsiTheme="minorHAnsi" w:cstheme="minorHAnsi"/>
        </w:rPr>
        <w:t xml:space="preserve"> </w:t>
      </w:r>
      <w:r w:rsidRPr="00ED626C">
        <w:rPr>
          <w:rFonts w:asciiTheme="minorHAnsi" w:hAnsiTheme="minorHAnsi" w:cstheme="minorHAnsi"/>
        </w:rPr>
        <w:tab/>
        <w:t>Organizační složka státu řízená ÚOSS nebo právnická osoba, která je zřízena ÚOSS nebo ve které má ÚOSS majetková práva nebo v ní vykonává vliv na řízení a která je veřejným zadavatelem podle § 2 odst. 2 písm.</w:t>
      </w:r>
      <w:r>
        <w:rPr>
          <w:rFonts w:asciiTheme="minorHAnsi" w:hAnsiTheme="minorHAnsi" w:cstheme="minorHAnsi"/>
        </w:rPr>
        <w:t> </w:t>
      </w:r>
      <w:r w:rsidRPr="00ED626C">
        <w:rPr>
          <w:rFonts w:asciiTheme="minorHAnsi" w:hAnsiTheme="minorHAnsi" w:cstheme="minorHAnsi"/>
        </w:rPr>
        <w:t>a), b) a d) zákona č. 137/2006 Sb., o veřejných zakázkách</w:t>
      </w:r>
      <w:r>
        <w:rPr>
          <w:rFonts w:asciiTheme="minorHAnsi" w:hAnsiTheme="minorHAnsi" w:cstheme="minorHAnsi"/>
        </w:rPr>
        <w:t>.</w:t>
      </w:r>
    </w:p>
  </w:footnote>
  <w:footnote w:id="10">
    <w:p w14:paraId="4D843366" w14:textId="77777777" w:rsidR="005D0A6E" w:rsidRPr="00796BF2" w:rsidRDefault="005D0A6E" w:rsidP="00796BF2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796BF2">
        <w:rPr>
          <w:rStyle w:val="Znakapoznpodarou"/>
          <w:rFonts w:asciiTheme="minorHAnsi" w:hAnsiTheme="minorHAnsi" w:cstheme="minorHAnsi"/>
        </w:rPr>
        <w:footnoteRef/>
      </w:r>
      <w:r w:rsidRPr="00796B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96BF2">
        <w:rPr>
          <w:rFonts w:asciiTheme="minorHAnsi" w:hAnsiTheme="minorHAnsi" w:cstheme="minorHAnsi"/>
        </w:rPr>
        <w:t>Národní infrastruktura pro elektronické zadávání veřejných zakázek (NIPEZ)</w:t>
      </w:r>
      <w:r>
        <w:rPr>
          <w:rFonts w:asciiTheme="minorHAnsi" w:hAnsiTheme="minorHAnsi" w:cstheme="minorHAnsi"/>
        </w:rPr>
        <w:t>.</w:t>
      </w:r>
    </w:p>
  </w:footnote>
  <w:footnote w:id="11">
    <w:p w14:paraId="63B4BCB3" w14:textId="77777777" w:rsidR="005D0A6E" w:rsidRPr="003148D5" w:rsidRDefault="005D0A6E" w:rsidP="00796BF2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3148D5">
        <w:rPr>
          <w:rStyle w:val="Znakapoznpodarou"/>
          <w:rFonts w:asciiTheme="minorHAnsi" w:hAnsiTheme="minorHAnsi"/>
        </w:rPr>
        <w:footnoteRef/>
      </w:r>
      <w:r w:rsidRPr="003148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C580E">
        <w:rPr>
          <w:rFonts w:asciiTheme="minorHAnsi" w:hAnsiTheme="minorHAnsi" w:cstheme="minorHAnsi"/>
        </w:rPr>
        <w:t xml:space="preserve">Dle </w:t>
      </w:r>
      <w:r w:rsidRPr="00DC580E">
        <w:rPr>
          <w:rFonts w:asciiTheme="minorHAnsi" w:hAnsiTheme="minorHAnsi" w:cstheme="minorHAnsi"/>
          <w:i/>
        </w:rPr>
        <w:t xml:space="preserve">Minimálních požadavků na </w:t>
      </w:r>
      <w:r>
        <w:rPr>
          <w:rFonts w:asciiTheme="minorHAnsi" w:hAnsiTheme="minorHAnsi" w:cstheme="minorHAnsi"/>
          <w:i/>
        </w:rPr>
        <w:t xml:space="preserve">vytvoření a provoz </w:t>
      </w:r>
      <w:r w:rsidRPr="00DC580E">
        <w:rPr>
          <w:rFonts w:asciiTheme="minorHAnsi" w:hAnsiTheme="minorHAnsi" w:cstheme="minorHAnsi"/>
          <w:i/>
        </w:rPr>
        <w:t>resortní</w:t>
      </w:r>
      <w:r>
        <w:rPr>
          <w:rFonts w:asciiTheme="minorHAnsi" w:hAnsiTheme="minorHAnsi" w:cstheme="minorHAnsi"/>
          <w:i/>
        </w:rPr>
        <w:t>ch</w:t>
      </w:r>
      <w:r w:rsidRPr="00DC580E">
        <w:rPr>
          <w:rFonts w:asciiTheme="minorHAnsi" w:hAnsiTheme="minorHAnsi" w:cstheme="minorHAnsi"/>
          <w:i/>
        </w:rPr>
        <w:t xml:space="preserve"> systém</w:t>
      </w:r>
      <w:r>
        <w:rPr>
          <w:rFonts w:asciiTheme="minorHAnsi" w:hAnsiTheme="minorHAnsi" w:cstheme="minorHAnsi"/>
          <w:i/>
        </w:rPr>
        <w:t>ů</w:t>
      </w:r>
      <w:r w:rsidRPr="00DC580E">
        <w:rPr>
          <w:rFonts w:asciiTheme="minorHAnsi" w:hAnsiTheme="minorHAnsi" w:cstheme="minorHAnsi"/>
          <w:i/>
        </w:rPr>
        <w:t xml:space="preserve"> centralizovaného zadávání</w:t>
      </w:r>
      <w:r>
        <w:rPr>
          <w:rFonts w:asciiTheme="minorHAnsi" w:hAnsiTheme="minorHAnsi" w:cstheme="minorHAnsi"/>
          <w:i/>
        </w:rPr>
        <w:t xml:space="preserve"> veřejných zakázek</w:t>
      </w:r>
      <w:r w:rsidRPr="00DC580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které byly schváleny </w:t>
      </w:r>
      <w:r w:rsidRPr="00DC580E">
        <w:rPr>
          <w:rFonts w:asciiTheme="minorHAnsi" w:hAnsiTheme="minorHAnsi" w:cstheme="minorHAnsi"/>
        </w:rPr>
        <w:t>usnesení</w:t>
      </w:r>
      <w:r>
        <w:rPr>
          <w:rFonts w:asciiTheme="minorHAnsi" w:hAnsiTheme="minorHAnsi" w:cstheme="minorHAnsi"/>
        </w:rPr>
        <w:t>m</w:t>
      </w:r>
      <w:r w:rsidRPr="00DC580E">
        <w:rPr>
          <w:rFonts w:asciiTheme="minorHAnsi" w:hAnsiTheme="minorHAnsi" w:cstheme="minorHAnsi"/>
        </w:rPr>
        <w:t xml:space="preserve"> vlády ze dne 20. července 2011 č. 563.</w:t>
      </w:r>
    </w:p>
  </w:footnote>
  <w:footnote w:id="12">
    <w:p w14:paraId="27B80767" w14:textId="302A6876" w:rsidR="005D0A6E" w:rsidRPr="008E1672" w:rsidRDefault="005D0A6E" w:rsidP="00C560B5">
      <w:pPr>
        <w:pStyle w:val="Textpoznpodarou"/>
        <w:ind w:left="284" w:hanging="284"/>
        <w:rPr>
          <w:rFonts w:asciiTheme="minorHAnsi" w:hAnsiTheme="minorHAnsi" w:cstheme="minorHAnsi"/>
        </w:rPr>
      </w:pPr>
      <w:r w:rsidRPr="008E1672">
        <w:rPr>
          <w:rStyle w:val="Znakapoznpodarou"/>
          <w:rFonts w:asciiTheme="minorHAnsi" w:hAnsiTheme="minorHAnsi" w:cstheme="minorHAnsi"/>
        </w:rPr>
        <w:footnoteRef/>
      </w:r>
      <w:r w:rsidRPr="008E16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E1672">
        <w:rPr>
          <w:rFonts w:asciiTheme="minorHAnsi" w:hAnsiTheme="minorHAnsi" w:cstheme="minorHAnsi"/>
          <w:i/>
        </w:rPr>
        <w:t>Strategie elektronizace zadávání veřejných zakázek pro období let 2016 až 2020, vyhodnocení efektivity fungování a návrh dalšího postupu využívání elektronických tržišť veřejné správy a návrh povinného používání NEN</w:t>
      </w:r>
      <w:r>
        <w:rPr>
          <w:rFonts w:asciiTheme="minorHAnsi" w:hAnsiTheme="minorHAnsi" w:cstheme="minorHAnsi"/>
          <w:i/>
        </w:rPr>
        <w:t>.</w:t>
      </w:r>
    </w:p>
  </w:footnote>
  <w:footnote w:id="13">
    <w:p w14:paraId="48028DF9" w14:textId="335544FA" w:rsidR="005D0A6E" w:rsidRPr="00E7425B" w:rsidRDefault="005D0A6E" w:rsidP="003C2CAA">
      <w:pPr>
        <w:pStyle w:val="Textpoznpodarou"/>
        <w:ind w:left="284" w:hanging="284"/>
        <w:rPr>
          <w:rFonts w:ascii="Calibri" w:hAnsi="Calibri" w:cs="Calibri"/>
          <w:i/>
        </w:rPr>
      </w:pPr>
      <w:r w:rsidRPr="00E7425B">
        <w:rPr>
          <w:rStyle w:val="Znakapoznpodarou"/>
          <w:rFonts w:ascii="Calibri" w:hAnsi="Calibri" w:cs="Calibri"/>
        </w:rPr>
        <w:footnoteRef/>
      </w:r>
      <w:r w:rsidRPr="00E7425B">
        <w:rPr>
          <w:rFonts w:ascii="Calibri" w:hAnsi="Calibri" w:cs="Calibri"/>
        </w:rPr>
        <w:t xml:space="preserve"> </w:t>
      </w:r>
      <w:r w:rsidRPr="00E7425B">
        <w:rPr>
          <w:rFonts w:ascii="Calibri" w:hAnsi="Calibri" w:cs="Calibri"/>
        </w:rPr>
        <w:tab/>
        <w:t xml:space="preserve">Kontrolní závěr byl zveřejněn v částce </w:t>
      </w:r>
      <w:r>
        <w:rPr>
          <w:rFonts w:ascii="Calibri" w:hAnsi="Calibri" w:cs="Calibri"/>
        </w:rPr>
        <w:t>3/2016</w:t>
      </w:r>
      <w:r w:rsidRPr="00E7425B">
        <w:rPr>
          <w:rFonts w:ascii="Calibri" w:hAnsi="Calibri" w:cs="Calibri"/>
        </w:rPr>
        <w:t xml:space="preserve"> </w:t>
      </w:r>
      <w:r w:rsidRPr="00E7425B">
        <w:rPr>
          <w:rFonts w:ascii="Calibri" w:hAnsi="Calibri" w:cs="Calibri"/>
          <w:i/>
        </w:rPr>
        <w:t>Věstníku NKÚ.</w:t>
      </w:r>
    </w:p>
  </w:footnote>
  <w:footnote w:id="14">
    <w:p w14:paraId="5A00D53B" w14:textId="77777777" w:rsidR="005D0A6E" w:rsidRPr="003148D5" w:rsidRDefault="005D0A6E" w:rsidP="000F6E7B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3148D5">
        <w:rPr>
          <w:rStyle w:val="Znakapoznpodarou"/>
          <w:rFonts w:asciiTheme="minorHAnsi" w:hAnsiTheme="minorHAnsi"/>
        </w:rPr>
        <w:footnoteRef/>
      </w:r>
      <w:r w:rsidRPr="003148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3148D5">
        <w:rPr>
          <w:rFonts w:asciiTheme="minorHAnsi" w:hAnsiTheme="minorHAnsi" w:cstheme="minorHAnsi"/>
        </w:rPr>
        <w:t>Usnesení vlády ze dne 22. dubna 2015</w:t>
      </w:r>
      <w:r w:rsidRPr="00231F0E">
        <w:rPr>
          <w:rFonts w:asciiTheme="minorHAnsi" w:hAnsiTheme="minorHAnsi" w:cstheme="minorHAnsi"/>
        </w:rPr>
        <w:t xml:space="preserve"> </w:t>
      </w:r>
      <w:r w:rsidRPr="003148D5">
        <w:rPr>
          <w:rFonts w:asciiTheme="minorHAnsi" w:hAnsiTheme="minorHAnsi" w:cstheme="minorHAnsi"/>
        </w:rPr>
        <w:t xml:space="preserve">č. 289, </w:t>
      </w:r>
      <w:r w:rsidRPr="001A2D4A">
        <w:rPr>
          <w:rFonts w:asciiTheme="minorHAnsi" w:hAnsiTheme="minorHAnsi" w:cstheme="minorHAnsi"/>
          <w:i/>
        </w:rPr>
        <w:t>o seznamu komodit určených pro standardizaci a o pravidlech pro centrální nákup státu</w:t>
      </w:r>
      <w:r w:rsidRPr="003148D5">
        <w:rPr>
          <w:rFonts w:asciiTheme="minorHAnsi" w:hAnsiTheme="minorHAnsi" w:cstheme="minorHAnsi"/>
        </w:rPr>
        <w:t>.</w:t>
      </w:r>
    </w:p>
  </w:footnote>
  <w:footnote w:id="15">
    <w:p w14:paraId="6D0117F7" w14:textId="77777777" w:rsidR="005D0A6E" w:rsidRPr="00EB5F20" w:rsidRDefault="005D0A6E" w:rsidP="003F3651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  <w:sz w:val="18"/>
        </w:rPr>
      </w:pPr>
      <w:r w:rsidRPr="003148D5">
        <w:rPr>
          <w:rStyle w:val="Znakapoznpodarou"/>
          <w:rFonts w:asciiTheme="minorHAnsi" w:hAnsiTheme="minorHAnsi"/>
        </w:rPr>
        <w:footnoteRef/>
      </w:r>
      <w:r w:rsidRPr="003148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I</w:t>
      </w:r>
      <w:r w:rsidRPr="003148D5">
        <w:rPr>
          <w:rFonts w:asciiTheme="minorHAnsi" w:hAnsiTheme="minorHAnsi"/>
        </w:rPr>
        <w:t>nformační a komunikační technologie</w:t>
      </w:r>
      <w:r>
        <w:rPr>
          <w:rFonts w:asciiTheme="minorHAnsi" w:hAnsiTheme="minorHAnsi"/>
        </w:rPr>
        <w:t>.</w:t>
      </w:r>
    </w:p>
  </w:footnote>
  <w:footnote w:id="16">
    <w:p w14:paraId="5E014F45" w14:textId="22BDE2B5" w:rsidR="005D0A6E" w:rsidRPr="003148D5" w:rsidRDefault="005D0A6E" w:rsidP="000F6E7B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3148D5">
        <w:rPr>
          <w:rStyle w:val="Znakapoznpodarou"/>
          <w:rFonts w:asciiTheme="minorHAnsi" w:hAnsiTheme="minorHAnsi" w:cstheme="minorHAnsi"/>
        </w:rPr>
        <w:footnoteRef/>
      </w:r>
      <w:r w:rsidRPr="003148D5">
        <w:rPr>
          <w:rFonts w:asciiTheme="minorHAnsi" w:hAnsiTheme="minorHAnsi" w:cstheme="minorHAnsi"/>
        </w:rPr>
        <w:t xml:space="preserve"> </w:t>
      </w:r>
      <w:r w:rsidRPr="003148D5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Jednotlivé skupiny komodit jsou: </w:t>
      </w:r>
      <w:r w:rsidRPr="003148D5">
        <w:rPr>
          <w:rFonts w:asciiTheme="minorHAnsi" w:hAnsiTheme="minorHAnsi" w:cstheme="minorHAnsi"/>
        </w:rPr>
        <w:t xml:space="preserve">ICT komodity, </w:t>
      </w:r>
      <w:r>
        <w:rPr>
          <w:rFonts w:asciiTheme="minorHAnsi" w:hAnsiTheme="minorHAnsi" w:cstheme="minorHAnsi"/>
        </w:rPr>
        <w:t>v</w:t>
      </w:r>
      <w:r w:rsidRPr="003148D5">
        <w:rPr>
          <w:rFonts w:asciiTheme="minorHAnsi" w:hAnsiTheme="minorHAnsi" w:cstheme="minorHAnsi"/>
        </w:rPr>
        <w:t xml:space="preserve">ozový park a </w:t>
      </w:r>
      <w:r>
        <w:rPr>
          <w:rFonts w:asciiTheme="minorHAnsi" w:hAnsiTheme="minorHAnsi" w:cstheme="minorHAnsi"/>
        </w:rPr>
        <w:t>p</w:t>
      </w:r>
      <w:r w:rsidRPr="003148D5">
        <w:rPr>
          <w:rFonts w:asciiTheme="minorHAnsi" w:hAnsiTheme="minorHAnsi" w:cstheme="minorHAnsi"/>
        </w:rPr>
        <w:t xml:space="preserve">ohonné hmoty, </w:t>
      </w:r>
      <w:r>
        <w:rPr>
          <w:rFonts w:asciiTheme="minorHAnsi" w:hAnsiTheme="minorHAnsi" w:cstheme="minorHAnsi"/>
        </w:rPr>
        <w:t>k</w:t>
      </w:r>
      <w:r w:rsidRPr="003148D5">
        <w:rPr>
          <w:rFonts w:asciiTheme="minorHAnsi" w:hAnsiTheme="minorHAnsi" w:cstheme="minorHAnsi"/>
        </w:rPr>
        <w:t xml:space="preserve">ancelářské potřeby, </w:t>
      </w:r>
      <w:r>
        <w:rPr>
          <w:rFonts w:asciiTheme="minorHAnsi" w:hAnsiTheme="minorHAnsi" w:cstheme="minorHAnsi"/>
        </w:rPr>
        <w:t>e</w:t>
      </w:r>
      <w:r w:rsidRPr="003148D5">
        <w:rPr>
          <w:rFonts w:asciiTheme="minorHAnsi" w:hAnsiTheme="minorHAnsi" w:cstheme="minorHAnsi"/>
        </w:rPr>
        <w:t xml:space="preserve">nergie a správa budov, </w:t>
      </w:r>
      <w:r>
        <w:rPr>
          <w:rFonts w:asciiTheme="minorHAnsi" w:hAnsiTheme="minorHAnsi" w:cstheme="minorHAnsi"/>
        </w:rPr>
        <w:t>d</w:t>
      </w:r>
      <w:r w:rsidRPr="003148D5">
        <w:rPr>
          <w:rFonts w:asciiTheme="minorHAnsi" w:hAnsiTheme="minorHAnsi" w:cstheme="minorHAnsi"/>
        </w:rPr>
        <w:t>oprava a ubytování.</w:t>
      </w:r>
    </w:p>
  </w:footnote>
  <w:footnote w:id="17">
    <w:p w14:paraId="734B03AC" w14:textId="77777777" w:rsidR="005D0A6E" w:rsidRPr="00AD4E73" w:rsidRDefault="005D0A6E" w:rsidP="00AD4E73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AD4E73">
        <w:rPr>
          <w:rStyle w:val="Znakapoznpodarou"/>
          <w:rFonts w:asciiTheme="minorHAnsi" w:hAnsiTheme="minorHAnsi" w:cstheme="minorHAnsi"/>
        </w:rPr>
        <w:footnoteRef/>
      </w:r>
      <w:r w:rsidRPr="00AD4E7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 ohledem na změnu terminologie v oblasti veřejného zadávání je v kontrolním závěru používán pouze termín „rámcová dohoda“, který nahradil dříve používaný pojem „rámcová smlouva“.</w:t>
      </w:r>
    </w:p>
  </w:footnote>
  <w:footnote w:id="18">
    <w:p w14:paraId="1FD8D61F" w14:textId="6EE2B722" w:rsidR="005D0A6E" w:rsidRPr="00B30BBD" w:rsidRDefault="005D0A6E" w:rsidP="003C46D5">
      <w:pPr>
        <w:pStyle w:val="Textpoznpodarou"/>
        <w:ind w:left="284" w:hanging="284"/>
        <w:rPr>
          <w:rFonts w:asciiTheme="minorHAnsi" w:hAnsiTheme="minorHAnsi" w:cstheme="minorHAnsi"/>
        </w:rPr>
      </w:pPr>
      <w:r w:rsidRPr="00B30BBD">
        <w:rPr>
          <w:rStyle w:val="Znakapoznpodarou"/>
          <w:rFonts w:asciiTheme="minorHAnsi" w:hAnsiTheme="minorHAnsi" w:cstheme="minorHAnsi"/>
        </w:rPr>
        <w:footnoteRef/>
      </w:r>
      <w:r w:rsidRPr="00B30B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Vyplněné formuláře jsou </w:t>
      </w:r>
      <w:r w:rsidRPr="00D869AB">
        <w:rPr>
          <w:rFonts w:asciiTheme="minorHAnsi" w:hAnsiTheme="minorHAnsi" w:cstheme="minorHAnsi"/>
        </w:rPr>
        <w:t>v</w:t>
      </w:r>
      <w:r w:rsidRPr="00B30BBD">
        <w:rPr>
          <w:rFonts w:asciiTheme="minorHAnsi" w:hAnsiTheme="minorHAnsi" w:cstheme="minorHAnsi"/>
        </w:rPr>
        <w:t xml:space="preserve">eřejně přístupné na adrese </w:t>
      </w:r>
      <w:hyperlink r:id="rId1" w:history="1">
        <w:r w:rsidRPr="00082001">
          <w:rPr>
            <w:rStyle w:val="Hypertextovodkaz"/>
            <w:rFonts w:asciiTheme="minorHAnsi" w:hAnsiTheme="minorHAnsi" w:cstheme="minorHAnsi"/>
          </w:rPr>
          <w:t>https://www.vestnikverejnychzakazek.cz/</w:t>
        </w:r>
      </w:hyperlink>
      <w:r>
        <w:rPr>
          <w:rFonts w:asciiTheme="minorHAnsi" w:hAnsiTheme="minorHAnsi" w:cstheme="minorHAnsi"/>
        </w:rPr>
        <w:t>.</w:t>
      </w:r>
    </w:p>
  </w:footnote>
  <w:footnote w:id="19">
    <w:p w14:paraId="5C9B27D2" w14:textId="1BC811EE" w:rsidR="005D0A6E" w:rsidRPr="00B30BBD" w:rsidRDefault="005D0A6E">
      <w:pPr>
        <w:pStyle w:val="Textpoznpodarou"/>
        <w:ind w:left="284" w:hanging="284"/>
        <w:rPr>
          <w:rFonts w:asciiTheme="minorHAnsi" w:hAnsiTheme="minorHAnsi" w:cstheme="minorHAnsi"/>
        </w:rPr>
      </w:pPr>
      <w:r w:rsidRPr="00B30BBD">
        <w:rPr>
          <w:rStyle w:val="Znakapoznpodarou"/>
          <w:rFonts w:asciiTheme="minorHAnsi" w:hAnsiTheme="minorHAnsi" w:cstheme="minorHAnsi"/>
        </w:rPr>
        <w:footnoteRef/>
      </w:r>
      <w:r w:rsidRPr="00B30B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30BBD">
        <w:rPr>
          <w:rFonts w:asciiTheme="minorHAnsi" w:hAnsiTheme="minorHAnsi" w:cstheme="minorHAnsi"/>
        </w:rPr>
        <w:t>Například ve formuláři F03</w:t>
      </w:r>
      <w:r>
        <w:rPr>
          <w:rFonts w:asciiTheme="minorHAnsi" w:hAnsiTheme="minorHAnsi" w:cstheme="minorHAnsi"/>
        </w:rPr>
        <w:t> –</w:t>
      </w:r>
      <w:r w:rsidRPr="00B30BBD">
        <w:rPr>
          <w:rFonts w:asciiTheme="minorHAnsi" w:hAnsiTheme="minorHAnsi" w:cstheme="minorHAnsi"/>
        </w:rPr>
        <w:t xml:space="preserve"> </w:t>
      </w:r>
      <w:r w:rsidRPr="00446400">
        <w:rPr>
          <w:rFonts w:asciiTheme="minorHAnsi" w:hAnsiTheme="minorHAnsi" w:cstheme="minorHAnsi"/>
          <w:i/>
        </w:rPr>
        <w:t>Oznámení o výsledku zadávacího řízení</w:t>
      </w:r>
      <w:r w:rsidRPr="00B30BBD">
        <w:rPr>
          <w:rFonts w:asciiTheme="minorHAnsi" w:hAnsiTheme="minorHAnsi" w:cstheme="minorHAnsi"/>
        </w:rPr>
        <w:t xml:space="preserve"> podle zákona č. 134/2016 Sb. </w:t>
      </w:r>
      <w:r w:rsidRPr="00E06BB4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E06BB4">
        <w:rPr>
          <w:rFonts w:asciiTheme="minorHAnsi" w:hAnsiTheme="minorHAnsi" w:cstheme="minorHAnsi"/>
        </w:rPr>
        <w:t>části</w:t>
      </w:r>
      <w:r>
        <w:rPr>
          <w:rFonts w:asciiTheme="minorHAnsi" w:hAnsiTheme="minorHAnsi" w:cstheme="minorHAnsi"/>
        </w:rPr>
        <w:t> </w:t>
      </w:r>
      <w:r w:rsidRPr="00B30BBD">
        <w:rPr>
          <w:rFonts w:asciiTheme="minorHAnsi" w:hAnsiTheme="minorHAnsi" w:cstheme="minorHAnsi"/>
          <w:i/>
        </w:rPr>
        <w:t>I.2) společné zadávání</w:t>
      </w:r>
      <w:r w:rsidRPr="00B30BBD">
        <w:rPr>
          <w:rFonts w:asciiTheme="minorHAnsi" w:hAnsiTheme="minorHAnsi" w:cstheme="minorHAnsi"/>
        </w:rPr>
        <w:t xml:space="preserve"> </w:t>
      </w:r>
      <w:r w:rsidRPr="00B30BBD">
        <w:rPr>
          <w:rFonts w:asciiTheme="minorHAnsi" w:hAnsiTheme="minorHAnsi" w:cstheme="minorHAnsi"/>
          <w:i/>
        </w:rPr>
        <w:t>veřejných zakázek</w:t>
      </w:r>
      <w:r w:rsidRPr="00B30BBD">
        <w:rPr>
          <w:rFonts w:asciiTheme="minorHAnsi" w:hAnsiTheme="minorHAnsi" w:cstheme="minorHAnsi"/>
        </w:rPr>
        <w:t xml:space="preserve"> je zvolena možnost </w:t>
      </w:r>
      <w:r w:rsidRPr="00E06BB4">
        <w:rPr>
          <w:rFonts w:asciiTheme="minorHAnsi" w:hAnsiTheme="minorHAnsi" w:cstheme="minorHAnsi"/>
          <w:i/>
        </w:rPr>
        <w:t>Zakázku zadává centrální zadavatel</w:t>
      </w:r>
      <w:r w:rsidRPr="00B30BBD">
        <w:rPr>
          <w:rFonts w:asciiTheme="minorHAnsi" w:hAnsiTheme="minorHAnsi" w:cstheme="minorHAnsi"/>
        </w:rPr>
        <w:t>.</w:t>
      </w:r>
    </w:p>
  </w:footnote>
  <w:footnote w:id="20">
    <w:p w14:paraId="475384D8" w14:textId="37FC7532" w:rsidR="005D0A6E" w:rsidRPr="0000698E" w:rsidRDefault="005D0A6E" w:rsidP="000E6CBB">
      <w:pPr>
        <w:pStyle w:val="Textpoznpodarou"/>
        <w:ind w:left="284" w:hanging="284"/>
        <w:rPr>
          <w:rFonts w:asciiTheme="minorHAnsi" w:hAnsiTheme="minorHAnsi" w:cstheme="minorHAnsi"/>
        </w:rPr>
      </w:pPr>
      <w:r w:rsidRPr="0000698E">
        <w:rPr>
          <w:rStyle w:val="Znakapoznpodarou"/>
          <w:rFonts w:asciiTheme="minorHAnsi" w:eastAsiaTheme="majorEastAsia" w:hAnsiTheme="minorHAnsi" w:cstheme="minorHAnsi"/>
        </w:rPr>
        <w:footnoteRef/>
      </w:r>
      <w:r w:rsidRPr="0000698E">
        <w:rPr>
          <w:rFonts w:asciiTheme="minorHAnsi" w:hAnsiTheme="minorHAnsi" w:cstheme="minorHAnsi"/>
        </w:rPr>
        <w:t xml:space="preserve"> </w:t>
      </w:r>
      <w:r w:rsidRPr="0000698E">
        <w:rPr>
          <w:rFonts w:asciiTheme="minorHAnsi" w:hAnsiTheme="minorHAnsi" w:cstheme="minorHAnsi"/>
        </w:rPr>
        <w:tab/>
        <w:t>Zejména zákon č. 137/2006 Sb., o veřejn</w:t>
      </w:r>
      <w:r w:rsidR="00BD205E">
        <w:rPr>
          <w:rFonts w:asciiTheme="minorHAnsi" w:hAnsiTheme="minorHAnsi" w:cstheme="minorHAnsi"/>
        </w:rPr>
        <w:t>ých zakázkách, zákon č. 134/2016</w:t>
      </w:r>
      <w:bookmarkStart w:id="0" w:name="_GoBack"/>
      <w:bookmarkEnd w:id="0"/>
      <w:r w:rsidRPr="0000698E">
        <w:rPr>
          <w:rFonts w:asciiTheme="minorHAnsi" w:hAnsiTheme="minorHAnsi" w:cstheme="minorHAnsi"/>
        </w:rPr>
        <w:t xml:space="preserve"> Sb., o zadávání veřejných zakázek a zákon č. 340/2015 Sb., </w:t>
      </w:r>
      <w:r w:rsidRPr="00F77E3E">
        <w:rPr>
          <w:rFonts w:asciiTheme="minorHAnsi" w:hAnsiTheme="minorHAnsi" w:cstheme="minorHAnsi"/>
        </w:rPr>
        <w:t>o zvláštních podmínkách účinnosti některých smluv, uveřejňování těchto smluv a</w:t>
      </w:r>
      <w:r>
        <w:rPr>
          <w:rFonts w:asciiTheme="minorHAnsi" w:hAnsiTheme="minorHAnsi" w:cstheme="minorHAnsi"/>
        </w:rPr>
        <w:t> </w:t>
      </w:r>
      <w:r w:rsidRPr="00F77E3E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F77E3E">
        <w:rPr>
          <w:rFonts w:asciiTheme="minorHAnsi" w:hAnsiTheme="minorHAnsi" w:cstheme="minorHAnsi"/>
        </w:rPr>
        <w:t>registru smluv (zákon o registru smluv)</w:t>
      </w:r>
      <w:r>
        <w:rPr>
          <w:rFonts w:asciiTheme="minorHAnsi" w:hAnsiTheme="minorHAnsi" w:cstheme="minorHAnsi"/>
        </w:rPr>
        <w:t>.</w:t>
      </w:r>
    </w:p>
  </w:footnote>
  <w:footnote w:id="21">
    <w:p w14:paraId="6A1C3F56" w14:textId="12C3DEB2" w:rsidR="005D0A6E" w:rsidRPr="00CA6CAB" w:rsidRDefault="005D0A6E" w:rsidP="00CA6CAB">
      <w:pPr>
        <w:pStyle w:val="Textpoznpodarou"/>
        <w:ind w:left="284" w:hanging="284"/>
        <w:rPr>
          <w:rFonts w:asciiTheme="minorHAnsi" w:hAnsiTheme="minorHAnsi" w:cstheme="minorHAnsi"/>
        </w:rPr>
      </w:pPr>
      <w:r w:rsidRPr="00CA6CAB">
        <w:rPr>
          <w:rStyle w:val="Znakapoznpodarou"/>
          <w:rFonts w:asciiTheme="minorHAnsi" w:hAnsiTheme="minorHAnsi" w:cstheme="minorHAnsi"/>
        </w:rPr>
        <w:footnoteRef/>
      </w:r>
      <w:r w:rsidRPr="00CA6C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Celkem 24 organizací nevyužívalo centralizované zadávání. Ze zbylých 243 organizací 21 organizací odpovídalo z pozice centrálního zadavatele, 212 z pozice pověřujícího zadavatele a 10 organizací bylo jak v pozici centrálního, tak pověřujícího zadavatele.</w:t>
      </w:r>
    </w:p>
  </w:footnote>
  <w:footnote w:id="22">
    <w:p w14:paraId="58B6C385" w14:textId="77777777" w:rsidR="005D0A6E" w:rsidRPr="00B84476" w:rsidRDefault="005D0A6E" w:rsidP="002408F7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B84476">
        <w:rPr>
          <w:rStyle w:val="Znakapoznpodarou"/>
          <w:rFonts w:asciiTheme="minorHAnsi" w:hAnsiTheme="minorHAnsi"/>
        </w:rPr>
        <w:footnoteRef/>
      </w:r>
      <w:r w:rsidRPr="00B84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84476">
        <w:rPr>
          <w:rFonts w:asciiTheme="minorHAnsi" w:hAnsiTheme="minorHAnsi"/>
        </w:rPr>
        <w:t xml:space="preserve">Usnesení vlády ze dne 23. června 2003 č. 624, </w:t>
      </w:r>
      <w:r w:rsidRPr="00BD2287">
        <w:rPr>
          <w:rFonts w:asciiTheme="minorHAnsi" w:hAnsiTheme="minorHAnsi"/>
          <w:i/>
        </w:rPr>
        <w:t>o Rozpočtovém výhledu 2003 až 2006: Koncepci reformy veřejných rozpočtů (aktualizované verzi)</w:t>
      </w:r>
      <w:r>
        <w:rPr>
          <w:rFonts w:asciiTheme="minorHAnsi" w:hAnsiTheme="minorHAnsi"/>
        </w:rPr>
        <w:t>.</w:t>
      </w:r>
    </w:p>
  </w:footnote>
  <w:footnote w:id="23">
    <w:p w14:paraId="7677BA20" w14:textId="77777777" w:rsidR="005D0A6E" w:rsidRPr="00B84476" w:rsidRDefault="005D0A6E" w:rsidP="002408F7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B84476">
        <w:rPr>
          <w:rStyle w:val="Znakapoznpodarou"/>
          <w:rFonts w:asciiTheme="minorHAnsi" w:hAnsiTheme="minorHAnsi" w:cstheme="minorHAnsi"/>
        </w:rPr>
        <w:footnoteRef/>
      </w:r>
      <w:r w:rsidRPr="00B84476">
        <w:rPr>
          <w:rFonts w:asciiTheme="minorHAnsi" w:hAnsiTheme="minorHAnsi" w:cstheme="minorHAnsi"/>
        </w:rPr>
        <w:t xml:space="preserve"> </w:t>
      </w:r>
      <w:r w:rsidRPr="00B84476">
        <w:rPr>
          <w:rFonts w:asciiTheme="minorHAnsi" w:hAnsiTheme="minorHAnsi" w:cstheme="minorHAnsi"/>
        </w:rPr>
        <w:tab/>
        <w:t xml:space="preserve">Usnesení vlády ze dne 7. července 2004 č. 677, </w:t>
      </w:r>
      <w:r w:rsidRPr="00BD2287">
        <w:rPr>
          <w:rFonts w:asciiTheme="minorHAnsi" w:hAnsiTheme="minorHAnsi" w:cstheme="minorHAnsi"/>
          <w:i/>
        </w:rPr>
        <w:t>o dalším postupu společného zadávání vybraných zakázek hrazených ze státního rozpočtu České republiky a z jiných peněžních prostředků státu</w:t>
      </w:r>
      <w:r>
        <w:rPr>
          <w:rFonts w:asciiTheme="minorHAnsi" w:hAnsiTheme="minorHAnsi" w:cstheme="minorHAnsi"/>
        </w:rPr>
        <w:t>.</w:t>
      </w:r>
    </w:p>
  </w:footnote>
  <w:footnote w:id="24">
    <w:p w14:paraId="6A2C64A5" w14:textId="6632661F" w:rsidR="005D0A6E" w:rsidRPr="00B84476" w:rsidRDefault="005D0A6E" w:rsidP="00601FF9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B84476">
        <w:rPr>
          <w:rStyle w:val="Znakapoznpodarou"/>
          <w:rFonts w:asciiTheme="minorHAnsi" w:hAnsiTheme="minorHAnsi" w:cstheme="minorHAnsi"/>
        </w:rPr>
        <w:footnoteRef/>
      </w:r>
      <w:r w:rsidRPr="00B844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84476">
        <w:rPr>
          <w:rFonts w:asciiTheme="minorHAnsi" w:hAnsiTheme="minorHAnsi" w:cstheme="minorHAnsi"/>
        </w:rPr>
        <w:t xml:space="preserve">Viz usnesení vlády ze dne 1. listopadu 2006 č. 1247, </w:t>
      </w:r>
      <w:r w:rsidRPr="00BD2287">
        <w:rPr>
          <w:rFonts w:asciiTheme="minorHAnsi" w:hAnsiTheme="minorHAnsi" w:cstheme="minorHAnsi"/>
          <w:i/>
        </w:rPr>
        <w:t>k Analýze další podoby a kompetenční odpovědnosti Správy státních hmotných rezerv</w:t>
      </w:r>
      <w:r>
        <w:rPr>
          <w:rFonts w:asciiTheme="minorHAnsi" w:hAnsiTheme="minorHAnsi" w:cstheme="minorHAnsi"/>
        </w:rPr>
        <w:t>.</w:t>
      </w:r>
    </w:p>
  </w:footnote>
  <w:footnote w:id="25">
    <w:p w14:paraId="441DF412" w14:textId="77777777" w:rsidR="005D0A6E" w:rsidRPr="00B84476" w:rsidRDefault="005D0A6E" w:rsidP="002408F7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B84476">
        <w:rPr>
          <w:rStyle w:val="Znakapoznpodarou"/>
          <w:rFonts w:asciiTheme="minorHAnsi" w:hAnsiTheme="minorHAnsi" w:cstheme="minorHAnsi"/>
        </w:rPr>
        <w:footnoteRef/>
      </w:r>
      <w:r w:rsidRPr="00B84476">
        <w:rPr>
          <w:rFonts w:asciiTheme="minorHAnsi" w:hAnsiTheme="minorHAnsi" w:cstheme="minorHAnsi"/>
        </w:rPr>
        <w:t xml:space="preserve"> </w:t>
      </w:r>
      <w:r w:rsidRPr="00B84476">
        <w:rPr>
          <w:rFonts w:asciiTheme="minorHAnsi" w:hAnsiTheme="minorHAnsi" w:cstheme="minorHAnsi"/>
        </w:rPr>
        <w:tab/>
        <w:t xml:space="preserve">Resortní systém centralizovaného zadávání má povinnost zavést každý ústřední orgán státní správy, který má více než dvě podřízené organizace. </w:t>
      </w:r>
    </w:p>
  </w:footnote>
  <w:footnote w:id="26">
    <w:p w14:paraId="4C29201E" w14:textId="77777777" w:rsidR="005D0A6E" w:rsidRPr="008E1672" w:rsidRDefault="005D0A6E" w:rsidP="00807BE0">
      <w:pPr>
        <w:pStyle w:val="Textpoznpodarou"/>
        <w:tabs>
          <w:tab w:val="left" w:pos="284"/>
        </w:tabs>
        <w:rPr>
          <w:rFonts w:asciiTheme="minorHAnsi" w:hAnsiTheme="minorHAnsi" w:cstheme="minorHAnsi"/>
        </w:rPr>
      </w:pPr>
      <w:r w:rsidRPr="008E1672">
        <w:rPr>
          <w:rStyle w:val="Znakapoznpodarou"/>
          <w:rFonts w:asciiTheme="minorHAnsi" w:hAnsiTheme="minorHAnsi" w:cstheme="minorHAnsi"/>
        </w:rPr>
        <w:footnoteRef/>
      </w:r>
      <w:r w:rsidRPr="008E1672">
        <w:rPr>
          <w:rFonts w:asciiTheme="minorHAnsi" w:hAnsiTheme="minorHAnsi" w:cstheme="minorHAnsi"/>
        </w:rPr>
        <w:t xml:space="preserve"> </w:t>
      </w:r>
      <w:r w:rsidRPr="008E167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Například</w:t>
      </w:r>
      <w:r w:rsidRPr="008E1672">
        <w:rPr>
          <w:rFonts w:asciiTheme="minorHAnsi" w:hAnsiTheme="minorHAnsi" w:cstheme="minorHAnsi"/>
        </w:rPr>
        <w:t xml:space="preserve"> úspory z rozsahu získané agregací poptávky.</w:t>
      </w:r>
    </w:p>
  </w:footnote>
  <w:footnote w:id="27">
    <w:p w14:paraId="60C206F9" w14:textId="4934F7F6" w:rsidR="005D0A6E" w:rsidRDefault="005D0A6E" w:rsidP="00902F97">
      <w:pPr>
        <w:pStyle w:val="Textpoznpodarou"/>
        <w:tabs>
          <w:tab w:val="left" w:pos="284"/>
        </w:tabs>
        <w:ind w:left="284" w:hanging="284"/>
      </w:pPr>
      <w:r w:rsidRPr="00B84476">
        <w:rPr>
          <w:rStyle w:val="Znakapoznpodarou"/>
          <w:rFonts w:asciiTheme="minorHAnsi" w:hAnsiTheme="minorHAnsi"/>
        </w:rPr>
        <w:footnoteRef/>
      </w:r>
      <w:r w:rsidRPr="00B84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84476">
        <w:rPr>
          <w:rFonts w:asciiTheme="minorHAnsi" w:hAnsiTheme="minorHAnsi"/>
        </w:rPr>
        <w:t xml:space="preserve">Usnesení vlády ze dne 9. listopadu 2015 č. 913, </w:t>
      </w:r>
      <w:r w:rsidRPr="00C23E9C">
        <w:rPr>
          <w:rFonts w:asciiTheme="minorHAnsi" w:hAnsiTheme="minorHAnsi"/>
          <w:i/>
        </w:rPr>
        <w:t>k Informaci o stavu příprav centrálního nákupu státu a k návrhu Rámcového harmonogramu centrálního nákupu státu pro roky 2016–2020</w:t>
      </w:r>
      <w:r>
        <w:rPr>
          <w:rFonts w:asciiTheme="minorHAnsi" w:hAnsiTheme="minorHAnsi"/>
        </w:rPr>
        <w:t>.</w:t>
      </w:r>
    </w:p>
  </w:footnote>
  <w:footnote w:id="28">
    <w:p w14:paraId="0E9263C3" w14:textId="77777777" w:rsidR="005D0A6E" w:rsidRPr="00B84476" w:rsidRDefault="005D0A6E" w:rsidP="009733E1">
      <w:pPr>
        <w:pStyle w:val="Textpoznpodarou"/>
        <w:ind w:left="284" w:hanging="284"/>
        <w:rPr>
          <w:rFonts w:asciiTheme="minorHAnsi" w:hAnsiTheme="minorHAnsi" w:cstheme="minorHAnsi"/>
        </w:rPr>
      </w:pPr>
      <w:r w:rsidRPr="00B84476">
        <w:rPr>
          <w:rStyle w:val="Znakapoznpodarou"/>
          <w:rFonts w:asciiTheme="minorHAnsi" w:hAnsiTheme="minorHAnsi" w:cstheme="minorHAnsi"/>
        </w:rPr>
        <w:footnoteRef/>
      </w:r>
      <w:r w:rsidRPr="00B844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84476">
        <w:rPr>
          <w:rFonts w:asciiTheme="minorHAnsi" w:hAnsiTheme="minorHAnsi" w:cstheme="minorHAnsi"/>
        </w:rPr>
        <w:t>U komodity tiskárny NKS rozhodla, že se vypracování jejího standardu odloží s ohledem na probíhající zavádění nového způsobu pořizování tiskových služeb</w:t>
      </w:r>
      <w:r>
        <w:rPr>
          <w:rFonts w:asciiTheme="minorHAnsi" w:hAnsiTheme="minorHAnsi" w:cstheme="minorHAnsi"/>
        </w:rPr>
        <w:t xml:space="preserve"> – o</w:t>
      </w:r>
      <w:r w:rsidRPr="00B84476">
        <w:rPr>
          <w:rFonts w:asciiTheme="minorHAnsi" w:hAnsiTheme="minorHAnsi" w:cstheme="minorHAnsi"/>
        </w:rPr>
        <w:t>dběratel nevlastní tiskárny a platí dodavateli pouze za jednotlivou vytisknutou stránku. Veškeré servisní a provozní náklady jsou v této ceně stránky již zahrnuty.</w:t>
      </w:r>
    </w:p>
  </w:footnote>
  <w:footnote w:id="29">
    <w:p w14:paraId="2109F97F" w14:textId="77777777" w:rsidR="005D0A6E" w:rsidRPr="00A07085" w:rsidRDefault="005D0A6E" w:rsidP="00A07085">
      <w:pPr>
        <w:pStyle w:val="Textpoznpodarou"/>
        <w:ind w:left="284" w:hanging="284"/>
        <w:rPr>
          <w:rFonts w:asciiTheme="minorHAnsi" w:hAnsiTheme="minorHAnsi" w:cstheme="minorHAnsi"/>
        </w:rPr>
      </w:pPr>
      <w:r w:rsidRPr="00A07085">
        <w:rPr>
          <w:rStyle w:val="Znakapoznpodarou"/>
          <w:rFonts w:asciiTheme="minorHAnsi" w:hAnsiTheme="minorHAnsi" w:cstheme="minorHAnsi"/>
        </w:rPr>
        <w:footnoteRef/>
      </w:r>
      <w:r w:rsidRPr="00A0708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MF v prosinci 2017 zahájilo VZ na nákup osobních automobilů, do června 2018 nebyla tato VZ ukončena.</w:t>
      </w:r>
    </w:p>
  </w:footnote>
  <w:footnote w:id="30">
    <w:p w14:paraId="16B545D2" w14:textId="2BA88941" w:rsidR="005D0A6E" w:rsidRPr="0074200B" w:rsidRDefault="005D0A6E" w:rsidP="006763C6">
      <w:pPr>
        <w:pStyle w:val="Textpoznpodarou"/>
        <w:ind w:left="284" w:hanging="284"/>
        <w:rPr>
          <w:rFonts w:asciiTheme="minorHAnsi" w:hAnsiTheme="minorHAnsi" w:cstheme="minorHAnsi"/>
        </w:rPr>
      </w:pPr>
      <w:r w:rsidRPr="0074200B">
        <w:rPr>
          <w:rStyle w:val="Znakapoznpodarou"/>
          <w:rFonts w:asciiTheme="minorHAnsi" w:hAnsiTheme="minorHAnsi" w:cstheme="minorHAnsi"/>
        </w:rPr>
        <w:footnoteRef/>
      </w:r>
      <w:r w:rsidRPr="007420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74200B">
        <w:rPr>
          <w:rFonts w:asciiTheme="minorHAnsi" w:hAnsiTheme="minorHAnsi" w:cstheme="minorHAnsi"/>
          <w:szCs w:val="24"/>
        </w:rPr>
        <w:t xml:space="preserve">Na základě uzavřených rámcových </w:t>
      </w:r>
      <w:r>
        <w:rPr>
          <w:rFonts w:asciiTheme="minorHAnsi" w:hAnsiTheme="minorHAnsi" w:cstheme="minorHAnsi"/>
          <w:szCs w:val="24"/>
        </w:rPr>
        <w:t>dohod</w:t>
      </w:r>
      <w:r w:rsidRPr="0074200B">
        <w:rPr>
          <w:rFonts w:asciiTheme="minorHAnsi" w:hAnsiTheme="minorHAnsi" w:cstheme="minorHAnsi"/>
          <w:szCs w:val="24"/>
        </w:rPr>
        <w:t xml:space="preserve"> byly zadavatelé oprávněn</w:t>
      </w:r>
      <w:r>
        <w:rPr>
          <w:rFonts w:asciiTheme="minorHAnsi" w:hAnsiTheme="minorHAnsi" w:cstheme="minorHAnsi"/>
          <w:szCs w:val="24"/>
        </w:rPr>
        <w:t>i</w:t>
      </w:r>
      <w:r w:rsidRPr="0074200B">
        <w:rPr>
          <w:rFonts w:asciiTheme="minorHAnsi" w:hAnsiTheme="minorHAnsi" w:cstheme="minorHAnsi"/>
          <w:szCs w:val="24"/>
        </w:rPr>
        <w:t xml:space="preserve"> pořizovat tři kvalitativní druhy kancelářského papíru.</w:t>
      </w:r>
    </w:p>
  </w:footnote>
  <w:footnote w:id="31">
    <w:p w14:paraId="4344441C" w14:textId="14BF22CF" w:rsidR="005D0A6E" w:rsidRPr="00CD6D97" w:rsidRDefault="005D0A6E" w:rsidP="007E03D3">
      <w:pPr>
        <w:pStyle w:val="Textpoznpodarou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B84476">
        <w:rPr>
          <w:rStyle w:val="Znakapoznpodarou"/>
          <w:rFonts w:asciiTheme="minorHAnsi" w:hAnsiTheme="minorHAnsi"/>
        </w:rPr>
        <w:footnoteRef/>
      </w:r>
      <w:r w:rsidRPr="00B84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84476">
        <w:rPr>
          <w:rFonts w:asciiTheme="minorHAnsi" w:hAnsiTheme="minorHAnsi"/>
        </w:rPr>
        <w:t xml:space="preserve">V roce 2016 činilo odebrané plnění </w:t>
      </w:r>
      <w:r>
        <w:rPr>
          <w:rFonts w:asciiTheme="minorHAnsi" w:hAnsiTheme="minorHAnsi"/>
        </w:rPr>
        <w:t xml:space="preserve">u komodity </w:t>
      </w:r>
      <w:r w:rsidRPr="005D0A6E">
        <w:rPr>
          <w:rFonts w:asciiTheme="minorHAnsi" w:hAnsiTheme="minorHAnsi"/>
          <w:i/>
        </w:rPr>
        <w:t>kancelářský papír</w:t>
      </w:r>
      <w:r w:rsidRPr="00B84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celkem </w:t>
      </w:r>
      <w:r w:rsidRPr="00B84476">
        <w:rPr>
          <w:rFonts w:asciiTheme="minorHAnsi" w:hAnsiTheme="minorHAnsi"/>
        </w:rPr>
        <w:t>11 mil. Kč.</w:t>
      </w:r>
      <w:r w:rsidRPr="00B84476">
        <w:rPr>
          <w:rFonts w:asciiTheme="minorHAnsi" w:hAnsiTheme="minorHAnsi"/>
          <w:szCs w:val="18"/>
        </w:rPr>
        <w:t xml:space="preserve"> </w:t>
      </w:r>
    </w:p>
  </w:footnote>
  <w:footnote w:id="32">
    <w:p w14:paraId="2CF5B034" w14:textId="77777777" w:rsidR="005D0A6E" w:rsidRPr="00B84476" w:rsidRDefault="005D0A6E" w:rsidP="000F6E7B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B84476">
        <w:rPr>
          <w:rStyle w:val="Znakapoznpodarou"/>
          <w:rFonts w:asciiTheme="minorHAnsi" w:hAnsiTheme="minorHAnsi"/>
        </w:rPr>
        <w:footnoteRef/>
      </w:r>
      <w:r w:rsidRPr="00B8447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B84476">
        <w:rPr>
          <w:rFonts w:asciiTheme="minorHAnsi" w:hAnsiTheme="minorHAnsi"/>
        </w:rPr>
        <w:t>Na ostatních 9 ÚOSS</w:t>
      </w:r>
      <w:r>
        <w:rPr>
          <w:rFonts w:asciiTheme="minorHAnsi" w:hAnsiTheme="minorHAnsi"/>
        </w:rPr>
        <w:t xml:space="preserve"> se</w:t>
      </w:r>
      <w:r w:rsidRPr="00B84476">
        <w:rPr>
          <w:rFonts w:asciiTheme="minorHAnsi" w:hAnsiTheme="minorHAnsi"/>
        </w:rPr>
        <w:t xml:space="preserve"> povinnost zavést RS</w:t>
      </w:r>
      <w:r>
        <w:rPr>
          <w:rFonts w:asciiTheme="minorHAnsi" w:hAnsiTheme="minorHAnsi"/>
        </w:rPr>
        <w:t> </w:t>
      </w:r>
      <w:r w:rsidRPr="00B84476">
        <w:rPr>
          <w:rFonts w:asciiTheme="minorHAnsi" w:hAnsiTheme="minorHAnsi"/>
        </w:rPr>
        <w:t xml:space="preserve">CZ </w:t>
      </w:r>
      <w:r>
        <w:rPr>
          <w:rFonts w:asciiTheme="minorHAnsi" w:hAnsiTheme="minorHAnsi"/>
        </w:rPr>
        <w:t>nevztahovala, neboť měly méně než dvě podřízené organizace.</w:t>
      </w:r>
    </w:p>
  </w:footnote>
  <w:footnote w:id="33">
    <w:p w14:paraId="6875800C" w14:textId="77777777" w:rsidR="005D0A6E" w:rsidRPr="009317B4" w:rsidRDefault="005D0A6E" w:rsidP="00C40EA9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  <w:i/>
        </w:rPr>
      </w:pPr>
      <w:r w:rsidRPr="009317B4">
        <w:rPr>
          <w:rStyle w:val="Znakapoznpodarou"/>
          <w:rFonts w:asciiTheme="minorHAnsi" w:hAnsiTheme="minorHAnsi" w:cstheme="minorHAnsi"/>
        </w:rPr>
        <w:footnoteRef/>
      </w:r>
      <w:r w:rsidRPr="009317B4">
        <w:rPr>
          <w:rFonts w:asciiTheme="minorHAnsi" w:hAnsiTheme="minorHAnsi" w:cstheme="minorHAnsi"/>
        </w:rPr>
        <w:t xml:space="preserve"> </w:t>
      </w:r>
      <w:r w:rsidRPr="009317B4">
        <w:rPr>
          <w:rFonts w:asciiTheme="minorHAnsi" w:hAnsiTheme="minorHAnsi" w:cstheme="minorHAnsi"/>
        </w:rPr>
        <w:tab/>
      </w:r>
      <w:r w:rsidRPr="00E64C97">
        <w:rPr>
          <w:rFonts w:asciiTheme="minorHAnsi" w:hAnsiTheme="minorHAnsi" w:cstheme="minorHAnsi"/>
        </w:rPr>
        <w:t xml:space="preserve">Pro komoditu </w:t>
      </w:r>
      <w:r w:rsidRPr="00701836">
        <w:rPr>
          <w:rFonts w:asciiTheme="minorHAnsi" w:hAnsiTheme="minorHAnsi" w:cstheme="minorHAnsi"/>
          <w:i/>
        </w:rPr>
        <w:t>telekomunikační služby</w:t>
      </w:r>
      <w:r w:rsidRPr="00E64C97">
        <w:rPr>
          <w:rFonts w:asciiTheme="minorHAnsi" w:hAnsiTheme="minorHAnsi" w:cstheme="minorHAnsi"/>
        </w:rPr>
        <w:t xml:space="preserve"> vydalo MMR </w:t>
      </w:r>
      <w:r w:rsidRPr="00E64C97">
        <w:rPr>
          <w:rFonts w:asciiTheme="minorHAnsi" w:hAnsiTheme="minorHAnsi" w:cstheme="minorHAnsi"/>
          <w:i/>
        </w:rPr>
        <w:t>Metodiku pro vyhodnocování efektivnosti nákupu telekomunikačních služeb.</w:t>
      </w:r>
    </w:p>
  </w:footnote>
  <w:footnote w:id="34">
    <w:p w14:paraId="7EBE3F4C" w14:textId="77777777" w:rsidR="005D0A6E" w:rsidRPr="00FB50C2" w:rsidRDefault="005D0A6E" w:rsidP="0083150B">
      <w:pPr>
        <w:pStyle w:val="Textpoznpodarou"/>
        <w:tabs>
          <w:tab w:val="left" w:pos="284"/>
        </w:tabs>
        <w:ind w:left="284" w:hanging="284"/>
        <w:rPr>
          <w:rFonts w:asciiTheme="minorHAnsi" w:hAnsiTheme="minorHAnsi"/>
        </w:rPr>
      </w:pPr>
      <w:r w:rsidRPr="00FB50C2">
        <w:rPr>
          <w:rStyle w:val="Znakapoznpodarou"/>
          <w:rFonts w:asciiTheme="minorHAnsi" w:hAnsiTheme="minorHAnsi"/>
        </w:rPr>
        <w:footnoteRef/>
      </w:r>
      <w:r w:rsidRPr="00FB50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  <w:szCs w:val="24"/>
        </w:rPr>
        <w:t>Materiál</w:t>
      </w:r>
      <w:r w:rsidRPr="00FB50C2">
        <w:rPr>
          <w:rFonts w:asciiTheme="minorHAnsi" w:hAnsiTheme="minorHAnsi" w:cstheme="minorHAnsi"/>
          <w:szCs w:val="24"/>
        </w:rPr>
        <w:t xml:space="preserve"> č. 732/11 k usnesení vlády ze dne 20. července 2011 č. 563</w:t>
      </w:r>
      <w:r>
        <w:rPr>
          <w:rFonts w:asciiTheme="minorHAnsi" w:hAnsiTheme="minorHAnsi" w:cstheme="minorHAnsi"/>
          <w:szCs w:val="24"/>
        </w:rPr>
        <w:t>.</w:t>
      </w:r>
    </w:p>
  </w:footnote>
  <w:footnote w:id="35">
    <w:p w14:paraId="638F38E0" w14:textId="77777777" w:rsidR="005D0A6E" w:rsidRDefault="005D0A6E" w:rsidP="004311CC">
      <w:pPr>
        <w:pStyle w:val="Textpoznpodarou"/>
        <w:tabs>
          <w:tab w:val="left" w:pos="284"/>
        </w:tabs>
      </w:pPr>
      <w:r w:rsidRPr="008E1672">
        <w:rPr>
          <w:rStyle w:val="Znakapoznpodarou"/>
          <w:rFonts w:asciiTheme="minorHAnsi" w:hAnsiTheme="minorHAnsi" w:cstheme="minorHAnsi"/>
        </w:rPr>
        <w:footnoteRef/>
      </w:r>
      <w:r w:rsidRPr="008E1672">
        <w:rPr>
          <w:rFonts w:asciiTheme="minorHAnsi" w:hAnsiTheme="minorHAnsi" w:cstheme="minorHAnsi"/>
        </w:rPr>
        <w:t xml:space="preserve"> </w:t>
      </w:r>
      <w:r>
        <w:tab/>
      </w:r>
      <w:r>
        <w:rPr>
          <w:rFonts w:asciiTheme="minorHAnsi" w:hAnsiTheme="minorHAnsi" w:cstheme="minorHAnsi"/>
        </w:rPr>
        <w:t>Ve smyslu §</w:t>
      </w:r>
      <w:r w:rsidRPr="007F0CEC">
        <w:rPr>
          <w:rFonts w:asciiTheme="minorHAnsi" w:hAnsiTheme="minorHAnsi" w:cstheme="minorHAnsi"/>
        </w:rPr>
        <w:t xml:space="preserve"> 82 odst. 7 zákona č. 137/2006 Sb</w:t>
      </w:r>
      <w:r>
        <w:rPr>
          <w:rFonts w:asciiTheme="minorHAnsi" w:hAnsiTheme="minorHAnsi" w:cstheme="minorHAnsi"/>
        </w:rPr>
        <w:t>., o veřejných zakázkách.</w:t>
      </w:r>
    </w:p>
  </w:footnote>
  <w:footnote w:id="36">
    <w:p w14:paraId="0885C35E" w14:textId="3D351703" w:rsidR="005D0A6E" w:rsidRPr="0042381E" w:rsidRDefault="005D0A6E" w:rsidP="0042381E">
      <w:pPr>
        <w:pStyle w:val="Textpoznpodarou"/>
        <w:ind w:left="284" w:hanging="284"/>
        <w:rPr>
          <w:rFonts w:asciiTheme="minorHAnsi" w:hAnsiTheme="minorHAnsi" w:cstheme="minorHAnsi"/>
        </w:rPr>
      </w:pPr>
      <w:r w:rsidRPr="0042381E">
        <w:rPr>
          <w:rStyle w:val="Znakapoznpodarou"/>
          <w:rFonts w:asciiTheme="minorHAnsi" w:hAnsiTheme="minorHAnsi" w:cstheme="minorHAnsi"/>
        </w:rPr>
        <w:footnoteRef/>
      </w:r>
      <w:r w:rsidRPr="0042381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Číselník tvoří část NIPEZ a jeho správcem je MMR. Seznam komodit v č</w:t>
      </w:r>
      <w:r w:rsidRPr="0042381E">
        <w:rPr>
          <w:rFonts w:asciiTheme="minorHAnsi" w:hAnsiTheme="minorHAnsi" w:cstheme="minorHAnsi"/>
        </w:rPr>
        <w:t>íselníku NIPEZ je uspořád</w:t>
      </w:r>
      <w:r>
        <w:rPr>
          <w:rFonts w:asciiTheme="minorHAnsi" w:hAnsiTheme="minorHAnsi" w:cstheme="minorHAnsi"/>
        </w:rPr>
        <w:t>án</w:t>
      </w:r>
      <w:r w:rsidRPr="0042381E">
        <w:rPr>
          <w:rFonts w:asciiTheme="minorHAnsi" w:hAnsiTheme="minorHAnsi" w:cstheme="minorHAnsi"/>
        </w:rPr>
        <w:t xml:space="preserve"> do</w:t>
      </w:r>
      <w:r>
        <w:rPr>
          <w:rFonts w:asciiTheme="minorHAnsi" w:hAnsiTheme="minorHAnsi" w:cstheme="minorHAnsi"/>
        </w:rPr>
        <w:t xml:space="preserve"> </w:t>
      </w:r>
      <w:r w:rsidRPr="0042381E">
        <w:rPr>
          <w:rFonts w:asciiTheme="minorHAnsi" w:hAnsiTheme="minorHAnsi" w:cstheme="minorHAnsi"/>
        </w:rPr>
        <w:t>hierarchické stromové struktury, která pomocí sdružování komodit do typizovaných skupin a kategorií umožňuje uživatelům snadné vyhledávání požadované komodity a umožňuje jim danou položku jednoznačně klasifikovat.</w:t>
      </w:r>
    </w:p>
  </w:footnote>
  <w:footnote w:id="37">
    <w:p w14:paraId="0EA4A666" w14:textId="72680212" w:rsidR="005D0A6E" w:rsidRPr="00BE3AC4" w:rsidRDefault="005D0A6E" w:rsidP="00410385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BE3AC4">
        <w:rPr>
          <w:rStyle w:val="Znakapoznpodarou"/>
          <w:rFonts w:asciiTheme="minorHAnsi" w:eastAsiaTheme="majorEastAsia" w:hAnsiTheme="minorHAnsi" w:cstheme="minorHAnsi"/>
        </w:rPr>
        <w:footnoteRef/>
      </w:r>
      <w:r w:rsidRPr="00BE3AC4">
        <w:rPr>
          <w:rFonts w:asciiTheme="minorHAnsi" w:hAnsiTheme="minorHAnsi" w:cstheme="minorHAnsi"/>
        </w:rPr>
        <w:t xml:space="preserve"> </w:t>
      </w:r>
      <w:r w:rsidRPr="00BE3AC4">
        <w:rPr>
          <w:rFonts w:asciiTheme="minorHAnsi" w:hAnsiTheme="minorHAnsi" w:cstheme="minorHAnsi"/>
        </w:rPr>
        <w:tab/>
        <w:t xml:space="preserve">Common procurement vocabulary (CPV) je společný slovník pro veřejné zakázky schválený nařízením </w:t>
      </w:r>
      <w:r>
        <w:rPr>
          <w:rFonts w:asciiTheme="minorHAnsi" w:hAnsiTheme="minorHAnsi" w:cstheme="minorHAnsi"/>
        </w:rPr>
        <w:t>K</w:t>
      </w:r>
      <w:r w:rsidRPr="00BE3AC4">
        <w:rPr>
          <w:rFonts w:asciiTheme="minorHAnsi" w:hAnsiTheme="minorHAnsi" w:cstheme="minorHAnsi"/>
        </w:rPr>
        <w:t xml:space="preserve">omise </w:t>
      </w:r>
      <w:r>
        <w:rPr>
          <w:rFonts w:asciiTheme="minorHAnsi" w:hAnsiTheme="minorHAnsi" w:cstheme="minorHAnsi"/>
        </w:rPr>
        <w:t>(</w:t>
      </w:r>
      <w:r w:rsidRPr="00BE3AC4">
        <w:rPr>
          <w:rFonts w:asciiTheme="minorHAnsi" w:hAnsiTheme="minorHAnsi" w:cstheme="minorHAnsi"/>
        </w:rPr>
        <w:t>ES</w:t>
      </w:r>
      <w:r>
        <w:rPr>
          <w:rFonts w:asciiTheme="minorHAnsi" w:hAnsiTheme="minorHAnsi" w:cstheme="minorHAnsi"/>
        </w:rPr>
        <w:t>)</w:t>
      </w:r>
      <w:r w:rsidRPr="00BE3AC4">
        <w:rPr>
          <w:rFonts w:asciiTheme="minorHAnsi" w:hAnsiTheme="minorHAnsi" w:cstheme="minorHAnsi"/>
        </w:rPr>
        <w:t xml:space="preserve"> č. 213/2008</w:t>
      </w:r>
      <w:r>
        <w:rPr>
          <w:rFonts w:asciiTheme="minorHAnsi" w:hAnsiTheme="minorHAnsi" w:cstheme="minorHAnsi"/>
        </w:rPr>
        <w:t xml:space="preserve"> </w:t>
      </w:r>
      <w:r w:rsidRPr="009B4DAC">
        <w:rPr>
          <w:rFonts w:asciiTheme="minorHAnsi" w:hAnsiTheme="minorHAnsi" w:cstheme="minorHAnsi"/>
        </w:rPr>
        <w:t>č. 213/2008, kterým se mění nařízení Evropského parlamentu a Rady (ES) č.</w:t>
      </w:r>
      <w:r>
        <w:rPr>
          <w:rFonts w:asciiTheme="minorHAnsi" w:hAnsiTheme="minorHAnsi" w:cstheme="minorHAnsi"/>
        </w:rPr>
        <w:t> </w:t>
      </w:r>
      <w:r w:rsidRPr="009B4DAC">
        <w:rPr>
          <w:rFonts w:asciiTheme="minorHAnsi" w:hAnsiTheme="minorHAnsi" w:cstheme="minorHAnsi"/>
        </w:rPr>
        <w:t>2195/2002</w:t>
      </w:r>
      <w:r>
        <w:rPr>
          <w:rFonts w:asciiTheme="minorHAnsi" w:hAnsiTheme="minorHAnsi" w:cstheme="minorHAnsi"/>
        </w:rPr>
        <w:t>,</w:t>
      </w:r>
      <w:r w:rsidRPr="009B4DAC">
        <w:rPr>
          <w:rFonts w:asciiTheme="minorHAnsi" w:hAnsiTheme="minorHAnsi" w:cstheme="minorHAnsi"/>
        </w:rPr>
        <w:t xml:space="preserve"> o společném slovníku pro veřejné zakázky (CPV)</w:t>
      </w:r>
      <w:r>
        <w:rPr>
          <w:rFonts w:asciiTheme="minorHAnsi" w:hAnsiTheme="minorHAnsi" w:cstheme="minorHAnsi"/>
        </w:rPr>
        <w:t>,</w:t>
      </w:r>
      <w:r w:rsidRPr="009B4DAC">
        <w:rPr>
          <w:rFonts w:asciiTheme="minorHAnsi" w:hAnsiTheme="minorHAnsi" w:cstheme="minorHAnsi"/>
        </w:rPr>
        <w:t xml:space="preserve"> a směrnice Evropského parlamentu a Rady 2004/17/ES a 2004/18/ES</w:t>
      </w:r>
      <w:r>
        <w:rPr>
          <w:rFonts w:asciiTheme="minorHAnsi" w:hAnsiTheme="minorHAnsi" w:cstheme="minorHAnsi"/>
        </w:rPr>
        <w:t>,</w:t>
      </w:r>
      <w:r w:rsidRPr="009B4DAC">
        <w:rPr>
          <w:rFonts w:asciiTheme="minorHAnsi" w:hAnsiTheme="minorHAnsi" w:cstheme="minorHAnsi"/>
        </w:rPr>
        <w:t xml:space="preserve"> o postupech při zadávání zakázek, pokud jde o přezkum CPV</w:t>
      </w:r>
      <w:r w:rsidRPr="00BE3AC4">
        <w:rPr>
          <w:rFonts w:asciiTheme="minorHAnsi" w:hAnsiTheme="minorHAnsi" w:cstheme="minorHAnsi"/>
        </w:rPr>
        <w:t>. CPV se skládá z</w:t>
      </w:r>
      <w:r>
        <w:rPr>
          <w:rFonts w:asciiTheme="minorHAnsi" w:hAnsiTheme="minorHAnsi" w:cstheme="minorHAnsi"/>
        </w:rPr>
        <w:t> </w:t>
      </w:r>
      <w:r w:rsidRPr="00BE3AC4">
        <w:rPr>
          <w:rFonts w:asciiTheme="minorHAnsi" w:hAnsiTheme="minorHAnsi" w:cstheme="minorHAnsi"/>
        </w:rPr>
        <w:t xml:space="preserve">hlavního slovníku, který slouží pro určení předmětu zakázky, </w:t>
      </w:r>
      <w:r w:rsidRPr="00BE3AC4" w:rsidDel="00194459">
        <w:rPr>
          <w:rFonts w:asciiTheme="minorHAnsi" w:hAnsiTheme="minorHAnsi" w:cstheme="minorHAnsi"/>
        </w:rPr>
        <w:t>a</w:t>
      </w:r>
      <w:r w:rsidRPr="00BE3AC4">
        <w:rPr>
          <w:rFonts w:asciiTheme="minorHAnsi" w:hAnsiTheme="minorHAnsi" w:cstheme="minorHAnsi"/>
        </w:rPr>
        <w:t> doplňkového slovníku, který se využívá při zadávání dalších kvalitativních informací. Hlavní slovník je založen na stromové struktuře obsahující kódy s</w:t>
      </w:r>
      <w:r>
        <w:rPr>
          <w:rFonts w:asciiTheme="minorHAnsi" w:hAnsiTheme="minorHAnsi" w:cstheme="minorHAnsi"/>
        </w:rPr>
        <w:t> </w:t>
      </w:r>
      <w:r w:rsidRPr="00BE3AC4">
        <w:rPr>
          <w:rFonts w:asciiTheme="minorHAnsi" w:hAnsiTheme="minorHAnsi" w:cstheme="minorHAnsi"/>
        </w:rPr>
        <w:t xml:space="preserve">maximálně 9 číselnými znaky, přičemž jednotlivé znaky určují oddíly, skupiny, třídy </w:t>
      </w:r>
      <w:r w:rsidRPr="00BE3AC4" w:rsidDel="00940CEE">
        <w:rPr>
          <w:rFonts w:asciiTheme="minorHAnsi" w:hAnsiTheme="minorHAnsi" w:cstheme="minorHAnsi"/>
        </w:rPr>
        <w:t>a</w:t>
      </w:r>
      <w:r w:rsidRPr="00BE3AC4">
        <w:rPr>
          <w:rFonts w:asciiTheme="minorHAnsi" w:hAnsiTheme="minorHAnsi" w:cstheme="minorHAnsi"/>
        </w:rPr>
        <w:t xml:space="preserve"> kategorie. </w:t>
      </w:r>
    </w:p>
  </w:footnote>
  <w:footnote w:id="38">
    <w:p w14:paraId="5D9041D6" w14:textId="77777777" w:rsidR="005D0A6E" w:rsidRDefault="005D0A6E" w:rsidP="004C358F">
      <w:pPr>
        <w:pStyle w:val="Textpoznpodarou"/>
        <w:tabs>
          <w:tab w:val="left" w:pos="284"/>
        </w:tabs>
        <w:ind w:left="284" w:hanging="284"/>
      </w:pPr>
      <w:r w:rsidRPr="008E1672">
        <w:rPr>
          <w:rStyle w:val="Znakapoznpodarou"/>
          <w:rFonts w:asciiTheme="minorHAnsi" w:hAnsiTheme="minorHAnsi" w:cstheme="minorHAnsi"/>
        </w:rPr>
        <w:footnoteRef/>
      </w:r>
      <w:r w:rsidRPr="008E1672">
        <w:rPr>
          <w:rFonts w:asciiTheme="minorHAnsi" w:hAnsiTheme="minorHAnsi" w:cstheme="minorHAnsi"/>
        </w:rPr>
        <w:t xml:space="preserve"> </w:t>
      </w:r>
      <w:r>
        <w:tab/>
      </w:r>
      <w:r w:rsidRPr="004C358F">
        <w:rPr>
          <w:rFonts w:asciiTheme="minorHAnsi" w:hAnsiTheme="minorHAnsi" w:cstheme="minorHAnsi"/>
        </w:rPr>
        <w:t xml:space="preserve">V resortu MV je do RS CZ zapojeno </w:t>
      </w:r>
      <w:r>
        <w:rPr>
          <w:rFonts w:asciiTheme="minorHAnsi" w:hAnsiTheme="minorHAnsi" w:cstheme="minorHAnsi"/>
        </w:rPr>
        <w:t>5</w:t>
      </w:r>
      <w:r w:rsidRPr="004C358F">
        <w:rPr>
          <w:rFonts w:asciiTheme="minorHAnsi" w:hAnsiTheme="minorHAnsi" w:cstheme="minorHAnsi"/>
        </w:rPr>
        <w:t xml:space="preserve"> centrálních zadavatelů a každý z nich pořizuje pro potřeby všech organizací</w:t>
      </w:r>
      <w:r>
        <w:rPr>
          <w:rFonts w:asciiTheme="minorHAnsi" w:hAnsiTheme="minorHAnsi" w:cstheme="minorHAnsi"/>
        </w:rPr>
        <w:t xml:space="preserve"> v resortu</w:t>
      </w:r>
      <w:r w:rsidRPr="004C358F">
        <w:rPr>
          <w:rFonts w:asciiTheme="minorHAnsi" w:hAnsiTheme="minorHAnsi" w:cstheme="minorHAnsi"/>
        </w:rPr>
        <w:t xml:space="preserve"> MV odlišné komodity.</w:t>
      </w:r>
    </w:p>
  </w:footnote>
  <w:footnote w:id="39">
    <w:p w14:paraId="023AA416" w14:textId="0B0464F6" w:rsidR="005D0A6E" w:rsidRPr="005C72BA" w:rsidRDefault="005D0A6E" w:rsidP="005C72BA">
      <w:pPr>
        <w:pStyle w:val="Textpoznpodarou"/>
        <w:ind w:left="284" w:hanging="284"/>
        <w:rPr>
          <w:rFonts w:asciiTheme="minorHAnsi" w:hAnsiTheme="minorHAnsi" w:cstheme="minorHAnsi"/>
        </w:rPr>
      </w:pPr>
      <w:r w:rsidRPr="005C72BA">
        <w:rPr>
          <w:rStyle w:val="Znakapoznpodarou"/>
          <w:rFonts w:asciiTheme="minorHAnsi" w:hAnsiTheme="minorHAnsi" w:cstheme="minorHAnsi"/>
        </w:rPr>
        <w:footnoteRef/>
      </w:r>
      <w:r w:rsidRPr="005C72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5C72BA">
        <w:rPr>
          <w:rFonts w:asciiTheme="minorHAnsi" w:hAnsiTheme="minorHAnsi" w:cstheme="minorHAnsi"/>
        </w:rPr>
        <w:t xml:space="preserve">Více </w:t>
      </w:r>
      <w:r>
        <w:rPr>
          <w:rFonts w:asciiTheme="minorHAnsi" w:hAnsiTheme="minorHAnsi" w:cstheme="minorHAnsi"/>
        </w:rPr>
        <w:t>viz</w:t>
      </w:r>
      <w:r w:rsidRPr="005C72BA">
        <w:rPr>
          <w:rFonts w:asciiTheme="minorHAnsi" w:hAnsiTheme="minorHAnsi" w:cstheme="minorHAnsi"/>
        </w:rPr>
        <w:t xml:space="preserve"> </w:t>
      </w:r>
      <w:hyperlink r:id="rId2" w:history="1">
        <w:r w:rsidRPr="00082001">
          <w:rPr>
            <w:rStyle w:val="Hypertextovodkaz"/>
            <w:rFonts w:asciiTheme="minorHAnsi" w:hAnsiTheme="minorHAnsi" w:cstheme="minorHAnsi"/>
          </w:rPr>
          <w:t>http://www.mvcr.cz/clanek/centralni-nakup-statu-softwarovych-produktu.aspx</w:t>
        </w:r>
      </w:hyperlink>
      <w:r>
        <w:rPr>
          <w:rFonts w:asciiTheme="minorHAnsi" w:hAnsiTheme="minorHAnsi" w:cstheme="minorHAnsi"/>
        </w:rPr>
        <w:t>.</w:t>
      </w:r>
    </w:p>
  </w:footnote>
  <w:footnote w:id="40">
    <w:p w14:paraId="1EB57E57" w14:textId="66BBFF34" w:rsidR="005D0A6E" w:rsidRDefault="005D0A6E" w:rsidP="00BE7F35">
      <w:pPr>
        <w:pStyle w:val="Textpoznpodarou"/>
        <w:ind w:left="284" w:hanging="284"/>
      </w:pPr>
      <w:r w:rsidRPr="00FB50C2">
        <w:rPr>
          <w:rStyle w:val="Znakapoznpodarou"/>
          <w:rFonts w:asciiTheme="minorHAnsi" w:hAnsiTheme="minorHAnsi"/>
        </w:rPr>
        <w:footnoteRef/>
      </w:r>
      <w:r w:rsidRPr="00FB50C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516CB4">
        <w:rPr>
          <w:rFonts w:asciiTheme="minorHAnsi" w:hAnsiTheme="minorHAnsi"/>
        </w:rPr>
        <w:t xml:space="preserve">Nákup </w:t>
      </w:r>
      <w:r>
        <w:rPr>
          <w:rFonts w:asciiTheme="minorHAnsi" w:hAnsiTheme="minorHAnsi"/>
        </w:rPr>
        <w:t>SW</w:t>
      </w:r>
      <w:r w:rsidRPr="00516C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společností </w:t>
      </w:r>
      <w:r w:rsidRPr="00516CB4">
        <w:rPr>
          <w:rFonts w:asciiTheme="minorHAnsi" w:hAnsiTheme="minorHAnsi"/>
        </w:rPr>
        <w:t xml:space="preserve">Microsoft, VMware a Cisco Systems je realizován prostřednictvím </w:t>
      </w:r>
      <w:r>
        <w:rPr>
          <w:rFonts w:asciiTheme="minorHAnsi" w:hAnsiTheme="minorHAnsi"/>
        </w:rPr>
        <w:t>minitendrů (dle</w:t>
      </w:r>
      <w:r w:rsidR="002110AA">
        <w:rPr>
          <w:rFonts w:asciiTheme="minorHAnsi" w:hAnsiTheme="minorHAnsi"/>
        </w:rPr>
        <w:t xml:space="preserve"> § </w:t>
      </w:r>
      <w:r w:rsidRPr="00FB50C2">
        <w:rPr>
          <w:rFonts w:asciiTheme="minorHAnsi" w:hAnsiTheme="minorHAnsi"/>
        </w:rPr>
        <w:t>132 zákona č. 134/2016 Sb.</w:t>
      </w:r>
      <w:r>
        <w:rPr>
          <w:rFonts w:asciiTheme="minorHAnsi" w:hAnsiTheme="minorHAnsi"/>
        </w:rPr>
        <w:t>),</w:t>
      </w:r>
      <w:r w:rsidRPr="00516CB4">
        <w:t xml:space="preserve"> </w:t>
      </w:r>
      <w:r w:rsidRPr="00516CB4">
        <w:rPr>
          <w:rFonts w:asciiTheme="minorHAnsi" w:hAnsiTheme="minorHAnsi"/>
        </w:rPr>
        <w:t>kterých se účastní dodavatelé, s nimiž je uzavřena rámcová dohoda.</w:t>
      </w:r>
      <w:r>
        <w:rPr>
          <w:rFonts w:asciiTheme="minorHAnsi" w:hAnsiTheme="minorHAnsi"/>
        </w:rPr>
        <w:t xml:space="preserve"> </w:t>
      </w:r>
      <w:r w:rsidRPr="00516CB4">
        <w:rPr>
          <w:rFonts w:asciiTheme="minorHAnsi" w:hAnsiTheme="minorHAnsi"/>
        </w:rPr>
        <w:t>Nákup produktů IBM je realizován na základě výzvy k</w:t>
      </w:r>
      <w:r>
        <w:rPr>
          <w:rFonts w:asciiTheme="minorHAnsi" w:hAnsiTheme="minorHAnsi"/>
        </w:rPr>
        <w:t> </w:t>
      </w:r>
      <w:r w:rsidRPr="00516CB4">
        <w:rPr>
          <w:rFonts w:asciiTheme="minorHAnsi" w:hAnsiTheme="minorHAnsi"/>
        </w:rPr>
        <w:t>plnění</w:t>
      </w:r>
      <w:r>
        <w:rPr>
          <w:rFonts w:asciiTheme="minorHAnsi" w:hAnsiTheme="minorHAnsi"/>
        </w:rPr>
        <w:t xml:space="preserve"> sdružení dodavatelů, se kterými byla uzavřena rámcová dohoda</w:t>
      </w:r>
      <w:r w:rsidRPr="00516CB4">
        <w:rPr>
          <w:rFonts w:asciiTheme="minorHAnsi" w:hAnsiTheme="minorHAnsi"/>
        </w:rPr>
        <w:t>.</w:t>
      </w:r>
    </w:p>
  </w:footnote>
  <w:footnote w:id="41">
    <w:p w14:paraId="33BC98BD" w14:textId="77777777" w:rsidR="005D0A6E" w:rsidRPr="008E1672" w:rsidRDefault="005D0A6E" w:rsidP="00455464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8E1672">
        <w:rPr>
          <w:rStyle w:val="Znakapoznpodarou"/>
          <w:rFonts w:asciiTheme="minorHAnsi" w:hAnsiTheme="minorHAnsi" w:cstheme="minorHAnsi"/>
        </w:rPr>
        <w:footnoteRef/>
      </w:r>
      <w:r w:rsidRPr="008E1672">
        <w:rPr>
          <w:rFonts w:asciiTheme="minorHAnsi" w:hAnsiTheme="minorHAnsi" w:cstheme="minorHAnsi"/>
        </w:rPr>
        <w:t xml:space="preserve"> </w:t>
      </w:r>
      <w:r w:rsidRPr="008E1672">
        <w:rPr>
          <w:rFonts w:asciiTheme="minorHAnsi" w:hAnsiTheme="minorHAnsi" w:cstheme="minorHAnsi"/>
        </w:rPr>
        <w:tab/>
        <w:t>Veřejné zakázky byly soutěženy v</w:t>
      </w:r>
      <w:r>
        <w:rPr>
          <w:rFonts w:asciiTheme="minorHAnsi" w:hAnsiTheme="minorHAnsi" w:cstheme="minorHAnsi"/>
        </w:rPr>
        <w:t xml:space="preserve"> eurech</w:t>
      </w:r>
      <w:r w:rsidRPr="008E1672">
        <w:rPr>
          <w:rFonts w:asciiTheme="minorHAnsi" w:hAnsiTheme="minorHAnsi" w:cstheme="minorHAnsi"/>
        </w:rPr>
        <w:t>, následná fakturace za dodaný předmět VZ byla v českých korunách.</w:t>
      </w:r>
    </w:p>
  </w:footnote>
  <w:footnote w:id="42">
    <w:p w14:paraId="653C5FED" w14:textId="77777777" w:rsidR="005D0A6E" w:rsidRPr="00390CDF" w:rsidRDefault="005D0A6E" w:rsidP="00D63FD9">
      <w:pPr>
        <w:pStyle w:val="Textpoznpodarou"/>
        <w:ind w:left="284" w:hanging="284"/>
        <w:rPr>
          <w:rFonts w:asciiTheme="minorHAnsi" w:hAnsiTheme="minorHAnsi" w:cstheme="minorHAnsi"/>
        </w:rPr>
      </w:pPr>
      <w:r w:rsidRPr="00390CDF">
        <w:rPr>
          <w:rStyle w:val="Znakapoznpodarou"/>
          <w:rFonts w:asciiTheme="minorHAnsi" w:eastAsiaTheme="majorEastAsia" w:hAnsiTheme="minorHAnsi" w:cstheme="minorHAnsi"/>
        </w:rPr>
        <w:footnoteRef/>
      </w:r>
      <w:r w:rsidRPr="00390C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Minimální požadavky byly nahrazeny novou verzí uvedenou v příloze usnesení vlády </w:t>
      </w:r>
      <w:r w:rsidRPr="00786EE9">
        <w:rPr>
          <w:rFonts w:asciiTheme="minorHAnsi" w:hAnsiTheme="minorHAnsi" w:cstheme="minorHAnsi"/>
        </w:rPr>
        <w:t>ze dne 18. ledna 2016</w:t>
      </w:r>
      <w:r>
        <w:rPr>
          <w:rFonts w:asciiTheme="minorHAnsi" w:hAnsiTheme="minorHAnsi" w:cstheme="minorHAnsi"/>
        </w:rPr>
        <w:t xml:space="preserve"> č. 24. Struktura poskytovaných údajů pro zpracování zpráv o hodnocení RS CZ zůstala beze změny.</w:t>
      </w:r>
    </w:p>
  </w:footnote>
  <w:footnote w:id="43">
    <w:p w14:paraId="5838FC0F" w14:textId="77777777" w:rsidR="005D0A6E" w:rsidRPr="0058688C" w:rsidRDefault="005D0A6E" w:rsidP="00D63FD9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58688C">
        <w:rPr>
          <w:rStyle w:val="Znakapoznpodarou"/>
          <w:rFonts w:asciiTheme="minorHAnsi" w:hAnsiTheme="minorHAnsi" w:cstheme="minorHAnsi"/>
        </w:rPr>
        <w:footnoteRef/>
      </w:r>
      <w:r w:rsidRPr="00586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VVZ je jednotným místem pro uveřejňování základních informací o veřejných zakázkách, které jsou zadávány v souladu se zákonem č. 134/2016 Sb., o zadávání veřejných zakázek.</w:t>
      </w:r>
    </w:p>
  </w:footnote>
  <w:footnote w:id="44">
    <w:p w14:paraId="1D2ABA0C" w14:textId="0C26B794" w:rsidR="005D0A6E" w:rsidRDefault="005D0A6E" w:rsidP="00D63FD9">
      <w:pPr>
        <w:pStyle w:val="Textpoznpodarou"/>
        <w:tabs>
          <w:tab w:val="left" w:pos="284"/>
        </w:tabs>
        <w:ind w:left="284" w:hanging="284"/>
      </w:pPr>
      <w:r w:rsidRPr="00390CDF">
        <w:rPr>
          <w:rStyle w:val="Znakapoznpodarou"/>
          <w:rFonts w:asciiTheme="minorHAnsi" w:eastAsiaTheme="majorEastAsia" w:hAnsiTheme="minorHAnsi" w:cstheme="minorHAnsi"/>
        </w:rPr>
        <w:footnoteRef/>
      </w:r>
      <w:r w:rsidRPr="00390C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Například</w:t>
      </w:r>
      <w:r w:rsidRPr="00390CDF">
        <w:rPr>
          <w:rFonts w:asciiTheme="minorHAnsi" w:hAnsiTheme="minorHAnsi" w:cstheme="minorHAnsi"/>
        </w:rPr>
        <w:t xml:space="preserve"> ve formuláři F03</w:t>
      </w:r>
      <w:r>
        <w:rPr>
          <w:rFonts w:asciiTheme="minorHAnsi" w:hAnsiTheme="minorHAnsi" w:cstheme="minorHAnsi"/>
        </w:rPr>
        <w:t xml:space="preserve"> – </w:t>
      </w:r>
      <w:r w:rsidRPr="00390CDF">
        <w:rPr>
          <w:rFonts w:asciiTheme="minorHAnsi" w:hAnsiTheme="minorHAnsi" w:cstheme="minorHAnsi"/>
          <w:i/>
        </w:rPr>
        <w:t>Oznámení o výsledku zadávacího řízení</w:t>
      </w:r>
      <w:r w:rsidRPr="00390CDF">
        <w:rPr>
          <w:rFonts w:asciiTheme="minorHAnsi" w:hAnsiTheme="minorHAnsi" w:cstheme="minorHAnsi"/>
        </w:rPr>
        <w:t xml:space="preserve"> je v části </w:t>
      </w:r>
      <w:r w:rsidRPr="00390CDF">
        <w:rPr>
          <w:rFonts w:asciiTheme="minorHAnsi" w:hAnsiTheme="minorHAnsi" w:cstheme="minorHAnsi"/>
          <w:i/>
        </w:rPr>
        <w:t>I. 2) Společné zadávání veřejných zakázek</w:t>
      </w:r>
      <w:r w:rsidRPr="00390CD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možnost</w:t>
      </w:r>
      <w:r w:rsidRPr="00390CDF">
        <w:rPr>
          <w:rFonts w:asciiTheme="minorHAnsi" w:hAnsiTheme="minorHAnsi" w:cstheme="minorHAnsi"/>
        </w:rPr>
        <w:t xml:space="preserve"> </w:t>
      </w:r>
      <w:r w:rsidRPr="00390CDF">
        <w:rPr>
          <w:rFonts w:asciiTheme="minorHAnsi" w:hAnsiTheme="minorHAnsi" w:cstheme="minorHAnsi"/>
          <w:i/>
        </w:rPr>
        <w:t>Zakázku zadává centrální zadavatel</w:t>
      </w:r>
      <w:r>
        <w:rPr>
          <w:rFonts w:asciiTheme="minorHAnsi" w:hAnsiTheme="minorHAnsi" w:cstheme="minorHAnsi"/>
        </w:rPr>
        <w:t>.</w:t>
      </w:r>
    </w:p>
  </w:footnote>
  <w:footnote w:id="45">
    <w:p w14:paraId="0B3015BC" w14:textId="6629B6F3" w:rsidR="005D0A6E" w:rsidRPr="005C72BA" w:rsidRDefault="005D0A6E" w:rsidP="005C72BA">
      <w:pPr>
        <w:pStyle w:val="Textpoznpodarou"/>
        <w:ind w:left="284" w:hanging="284"/>
        <w:rPr>
          <w:rFonts w:asciiTheme="minorHAnsi" w:hAnsiTheme="minorHAnsi" w:cstheme="minorHAnsi"/>
        </w:rPr>
      </w:pPr>
      <w:r w:rsidRPr="005C72BA">
        <w:rPr>
          <w:rStyle w:val="Znakapoznpodarou"/>
          <w:rFonts w:asciiTheme="minorHAnsi" w:hAnsiTheme="minorHAnsi" w:cstheme="minorHAnsi"/>
        </w:rPr>
        <w:footnoteRef/>
      </w:r>
      <w:r w:rsidRPr="005C72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Více v kontrolním závěru z kontrolní akce č. 15/10</w:t>
      </w:r>
      <w:r w:rsidR="009E5E67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–</w:t>
      </w:r>
      <w:r w:rsidR="009E5E67">
        <w:rPr>
          <w:rFonts w:asciiTheme="minorHAnsi" w:hAnsiTheme="minorHAnsi" w:cstheme="minorHAnsi"/>
        </w:rPr>
        <w:t> </w:t>
      </w:r>
      <w:r w:rsidRPr="00A83DAD">
        <w:rPr>
          <w:rFonts w:asciiTheme="minorHAnsi" w:hAnsiTheme="minorHAnsi" w:cstheme="minorHAnsi"/>
          <w:i/>
        </w:rPr>
        <w:t>Peněžní prostředky vynakládané na Národní infrastrukturu pro elektronické zadávání veřejných zakázek (NIPEZ) a nákup komodit jeho prostřednictvím</w:t>
      </w:r>
      <w:r>
        <w:rPr>
          <w:rFonts w:asciiTheme="minorHAnsi" w:hAnsiTheme="minorHAnsi" w:cstheme="minorHAnsi"/>
        </w:rPr>
        <w:t>.</w:t>
      </w:r>
      <w:r w:rsidRPr="007F22B1">
        <w:rPr>
          <w:rFonts w:ascii="Calibri" w:hAnsi="Calibri" w:cs="Calibri"/>
        </w:rPr>
        <w:t xml:space="preserve"> </w:t>
      </w:r>
    </w:p>
  </w:footnote>
  <w:footnote w:id="46">
    <w:p w14:paraId="4EBE89B0" w14:textId="6FE2FC05" w:rsidR="005D0A6E" w:rsidRPr="001B27EF" w:rsidRDefault="005D0A6E" w:rsidP="003B0E71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B27EF">
        <w:rPr>
          <w:rStyle w:val="Znakapoznpodarou"/>
          <w:rFonts w:asciiTheme="minorHAnsi" w:hAnsiTheme="minorHAnsi" w:cstheme="minorHAnsi"/>
        </w:rPr>
        <w:footnoteRef/>
      </w:r>
      <w:r w:rsidRPr="001B27EF">
        <w:rPr>
          <w:rFonts w:asciiTheme="minorHAnsi" w:hAnsiTheme="minorHAnsi" w:cstheme="minorHAnsi"/>
        </w:rPr>
        <w:t xml:space="preserve"> </w:t>
      </w:r>
      <w:r w:rsidRPr="001B27EF">
        <w:rPr>
          <w:rFonts w:asciiTheme="minorHAnsi" w:hAnsiTheme="minorHAnsi" w:cstheme="minorHAnsi"/>
        </w:rPr>
        <w:tab/>
        <w:t xml:space="preserve">Mezinárodní spolupráce byla realizována na základě § 16 zákona č. 166/1993 Sb., o Nejvyšším kontrolním úřadu. NKÚ oslovil </w:t>
      </w:r>
      <w:r>
        <w:rPr>
          <w:rFonts w:asciiTheme="minorHAnsi" w:hAnsiTheme="minorHAnsi" w:cstheme="minorHAnsi"/>
        </w:rPr>
        <w:t>n</w:t>
      </w:r>
      <w:r w:rsidRPr="001B27EF">
        <w:rPr>
          <w:rFonts w:asciiTheme="minorHAnsi" w:hAnsiTheme="minorHAnsi" w:cstheme="minorHAnsi"/>
        </w:rPr>
        <w:t>ejvyšší kontrolní instituce z vybraných států.</w:t>
      </w:r>
    </w:p>
  </w:footnote>
  <w:footnote w:id="47">
    <w:p w14:paraId="7EB50E35" w14:textId="71EB37DC" w:rsidR="005D0A6E" w:rsidRPr="00B53162" w:rsidRDefault="005D0A6E" w:rsidP="003B0E71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B27EF">
        <w:rPr>
          <w:rStyle w:val="Znakapoznpodarou"/>
          <w:rFonts w:asciiTheme="minorHAnsi" w:hAnsiTheme="minorHAnsi" w:cstheme="minorHAnsi"/>
        </w:rPr>
        <w:footnoteRef/>
      </w:r>
      <w:r w:rsidRPr="001B27EF">
        <w:rPr>
          <w:rFonts w:asciiTheme="minorHAnsi" w:hAnsiTheme="minorHAnsi" w:cstheme="minorHAnsi"/>
        </w:rPr>
        <w:t xml:space="preserve"> </w:t>
      </w:r>
      <w:r w:rsidRPr="001B27EF">
        <w:rPr>
          <w:rFonts w:asciiTheme="minorHAnsi" w:hAnsiTheme="minorHAnsi" w:cstheme="minorHAnsi"/>
        </w:rPr>
        <w:tab/>
        <w:t xml:space="preserve">Viz </w:t>
      </w:r>
      <w:r>
        <w:rPr>
          <w:rFonts w:asciiTheme="minorHAnsi" w:hAnsiTheme="minorHAnsi" w:cstheme="minorHAnsi"/>
        </w:rPr>
        <w:t>s</w:t>
      </w:r>
      <w:r w:rsidRPr="001B27EF">
        <w:rPr>
          <w:rFonts w:asciiTheme="minorHAnsi" w:hAnsiTheme="minorHAnsi" w:cstheme="minorHAnsi"/>
        </w:rPr>
        <w:t>měrnice Evropského parlamentu a Rady 2014/24/EU</w:t>
      </w:r>
      <w:r>
        <w:rPr>
          <w:rFonts w:asciiTheme="minorHAnsi" w:hAnsiTheme="minorHAnsi" w:cstheme="minorHAnsi"/>
        </w:rPr>
        <w:t>,</w:t>
      </w:r>
      <w:r w:rsidRPr="001B27EF">
        <w:rPr>
          <w:rFonts w:asciiTheme="minorHAnsi" w:hAnsiTheme="minorHAnsi" w:cstheme="minorHAnsi"/>
        </w:rPr>
        <w:t xml:space="preserve"> o zadávání veřejných zakázek a o zrušení směrnice 2004/18/ES</w:t>
      </w:r>
      <w:r>
        <w:rPr>
          <w:rFonts w:asciiTheme="minorHAnsi" w:hAnsiTheme="minorHAnsi" w:cstheme="minorHAnsi"/>
        </w:rPr>
        <w:t>.</w:t>
      </w:r>
    </w:p>
  </w:footnote>
  <w:footnote w:id="48">
    <w:p w14:paraId="02EF0F54" w14:textId="1F6E41C9" w:rsidR="005D0A6E" w:rsidRPr="000F6231" w:rsidRDefault="005D0A6E" w:rsidP="003B0E71">
      <w:pPr>
        <w:pStyle w:val="Textpoznpodarou"/>
        <w:tabs>
          <w:tab w:val="left" w:pos="284"/>
        </w:tabs>
        <w:ind w:left="284" w:hanging="284"/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>A Entidade de Serviços Partilhados da Administração Pública</w:t>
      </w:r>
      <w:r>
        <w:rPr>
          <w:rFonts w:ascii="Calibri" w:hAnsi="Calibri" w:cs="Calibri"/>
        </w:rPr>
        <w:t>.</w:t>
      </w:r>
    </w:p>
  </w:footnote>
  <w:footnote w:id="49">
    <w:p w14:paraId="282BB799" w14:textId="2743C905" w:rsidR="005D0A6E" w:rsidRPr="000F6231" w:rsidRDefault="005D0A6E" w:rsidP="003B0E71">
      <w:pPr>
        <w:pStyle w:val="Textpoznpodarou"/>
        <w:tabs>
          <w:tab w:val="left" w:pos="284"/>
        </w:tabs>
        <w:ind w:left="284" w:hanging="284"/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 xml:space="preserve">Association of Finnish Local and Regional Authorities, více </w:t>
      </w:r>
      <w:r>
        <w:rPr>
          <w:rFonts w:ascii="Calibri" w:hAnsi="Calibri" w:cs="Calibri"/>
        </w:rPr>
        <w:t>viz</w:t>
      </w:r>
      <w:r w:rsidRPr="000F6231">
        <w:rPr>
          <w:rFonts w:ascii="Calibri" w:hAnsi="Calibri" w:cs="Calibri"/>
        </w:rPr>
        <w:t xml:space="preserve"> </w:t>
      </w:r>
      <w:hyperlink r:id="rId3" w:history="1">
        <w:r w:rsidRPr="00082001">
          <w:rPr>
            <w:rStyle w:val="Hypertextovodkaz"/>
            <w:rFonts w:ascii="Calibri" w:hAnsi="Calibri" w:cs="Calibri"/>
          </w:rPr>
          <w:t>https://kuntahankinnat.fi/en</w:t>
        </w:r>
      </w:hyperlink>
      <w:r>
        <w:rPr>
          <w:rFonts w:ascii="Calibri" w:hAnsi="Calibri" w:cs="Calibri"/>
        </w:rPr>
        <w:t>.</w:t>
      </w:r>
    </w:p>
  </w:footnote>
  <w:footnote w:id="50">
    <w:p w14:paraId="302F3743" w14:textId="77777777" w:rsidR="005D0A6E" w:rsidRPr="000F6231" w:rsidRDefault="005D0A6E" w:rsidP="003B0E71">
      <w:pPr>
        <w:pStyle w:val="Textpoznpodarou"/>
        <w:tabs>
          <w:tab w:val="left" w:pos="284"/>
        </w:tabs>
        <w:ind w:left="284" w:hanging="284"/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>Ústřední orgány státní správy vykonávají správu na věcně vymezeném úseku fungování státu. Těmto úřadům není nadřízen žádný jiný úřad, ale zpravidla vláda. Příkladem ústředních orgánů státní správy jsou ministerstva.</w:t>
      </w:r>
    </w:p>
  </w:footnote>
  <w:footnote w:id="51">
    <w:p w14:paraId="1E67C52E" w14:textId="77777777" w:rsidR="005D0A6E" w:rsidRPr="000F6231" w:rsidRDefault="005D0A6E" w:rsidP="003B0E71">
      <w:pPr>
        <w:pStyle w:val="Textpoznpodarou"/>
        <w:tabs>
          <w:tab w:val="left" w:pos="284"/>
        </w:tabs>
        <w:ind w:left="284" w:hanging="284"/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>Všechny či zákonem vymezené ústřední orgány státní správy.</w:t>
      </w:r>
    </w:p>
  </w:footnote>
  <w:footnote w:id="52">
    <w:p w14:paraId="0E044643" w14:textId="77777777" w:rsidR="005D0A6E" w:rsidRPr="000F6231" w:rsidRDefault="005D0A6E" w:rsidP="003B0E71">
      <w:pPr>
        <w:pStyle w:val="Textpoznpodarou"/>
        <w:tabs>
          <w:tab w:val="left" w:pos="284"/>
        </w:tabs>
        <w:ind w:left="284" w:hanging="284"/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>S výjimkou např. institucí zajišťujících záležitosti armády či národní bezpečnosti.</w:t>
      </w:r>
    </w:p>
  </w:footnote>
  <w:footnote w:id="53">
    <w:p w14:paraId="550835EE" w14:textId="77777777" w:rsidR="005D0A6E" w:rsidRPr="000F6231" w:rsidRDefault="005D0A6E" w:rsidP="00CD7E74">
      <w:pPr>
        <w:pStyle w:val="Textpoznpodarou"/>
        <w:tabs>
          <w:tab w:val="left" w:pos="284"/>
        </w:tabs>
        <w:rPr>
          <w:rFonts w:ascii="Calibri" w:hAnsi="Calibri" w:cs="Calibri"/>
        </w:rPr>
      </w:pPr>
      <w:r w:rsidRPr="000F6231">
        <w:rPr>
          <w:rStyle w:val="Znakapoznpodarou"/>
          <w:rFonts w:ascii="Calibri" w:hAnsi="Calibri" w:cs="Calibri"/>
        </w:rPr>
        <w:footnoteRef/>
      </w:r>
      <w:r w:rsidRPr="000F6231">
        <w:rPr>
          <w:rFonts w:ascii="Calibri" w:hAnsi="Calibri" w:cs="Calibri"/>
        </w:rPr>
        <w:t xml:space="preserve"> </w:t>
      </w:r>
      <w:r w:rsidRPr="000F6231">
        <w:rPr>
          <w:rFonts w:ascii="Calibri" w:hAnsi="Calibri" w:cs="Calibri"/>
        </w:rPr>
        <w:tab/>
        <w:t xml:space="preserve">Centrální zadavatelé Hansel a Kuntahankinnat budou na počátku roku 2019 sloučeny v jeden subjekt. </w:t>
      </w:r>
    </w:p>
  </w:footnote>
  <w:footnote w:id="54">
    <w:p w14:paraId="3709D124" w14:textId="77777777" w:rsidR="005D0A6E" w:rsidRPr="00020B35" w:rsidRDefault="005D0A6E" w:rsidP="003B0E71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020B35">
        <w:rPr>
          <w:rStyle w:val="Znakapoznpodarou"/>
          <w:rFonts w:asciiTheme="minorHAnsi" w:hAnsiTheme="minorHAnsi" w:cstheme="minorHAnsi"/>
        </w:rPr>
        <w:footnoteRef/>
      </w:r>
      <w:r w:rsidRPr="00020B3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Resortní systém centralizovaného zadávání</w:t>
      </w:r>
      <w:r w:rsidRPr="00020B35">
        <w:rPr>
          <w:rFonts w:asciiTheme="minorHAnsi" w:hAnsiTheme="minorHAnsi" w:cstheme="minorHAnsi"/>
        </w:rPr>
        <w:t xml:space="preserve"> má povinnost zavést každý </w:t>
      </w:r>
      <w:r>
        <w:rPr>
          <w:rFonts w:asciiTheme="minorHAnsi" w:hAnsiTheme="minorHAnsi" w:cstheme="minorHAnsi"/>
        </w:rPr>
        <w:t>ústřední orgán státní správy, který má více než</w:t>
      </w:r>
      <w:r w:rsidRPr="00020B35">
        <w:rPr>
          <w:rFonts w:asciiTheme="minorHAnsi" w:hAnsiTheme="minorHAnsi" w:cstheme="minorHAnsi"/>
        </w:rPr>
        <w:t xml:space="preserve"> dvě podřízené organizace.</w:t>
      </w:r>
    </w:p>
  </w:footnote>
  <w:footnote w:id="55">
    <w:p w14:paraId="0EA91837" w14:textId="1E562C96" w:rsidR="005D0A6E" w:rsidRPr="00985C1B" w:rsidRDefault="005D0A6E" w:rsidP="003B0E71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985C1B">
        <w:rPr>
          <w:rStyle w:val="Znakapoznpodarou"/>
          <w:rFonts w:asciiTheme="minorHAnsi" w:hAnsiTheme="minorHAnsi" w:cstheme="minorHAnsi"/>
        </w:rPr>
        <w:footnoteRef/>
      </w:r>
      <w:r w:rsidRPr="00985C1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Rozsah komodit je obdobný a je vymezen </w:t>
      </w:r>
      <w:r w:rsidRPr="00985C1B">
        <w:rPr>
          <w:rFonts w:asciiTheme="minorHAnsi" w:hAnsiTheme="minorHAnsi" w:cstheme="minorHAnsi"/>
        </w:rPr>
        <w:t>usnesením vlády ze dne 18. ledna 2016</w:t>
      </w:r>
      <w:r w:rsidRPr="009A5516">
        <w:rPr>
          <w:rFonts w:asciiTheme="minorHAnsi" w:hAnsiTheme="minorHAnsi" w:cstheme="minorHAnsi"/>
        </w:rPr>
        <w:t xml:space="preserve"> </w:t>
      </w:r>
      <w:r w:rsidRPr="00985C1B">
        <w:rPr>
          <w:rFonts w:asciiTheme="minorHAnsi" w:hAnsiTheme="minorHAnsi" w:cstheme="minorHAnsi"/>
        </w:rPr>
        <w:t xml:space="preserve">č. 24, </w:t>
      </w:r>
      <w:r w:rsidRPr="00966A6E">
        <w:rPr>
          <w:rFonts w:asciiTheme="minorHAnsi" w:hAnsiTheme="minorHAnsi" w:cstheme="minorHAnsi"/>
          <w:i/>
        </w:rPr>
        <w:t>k resortním systémům centralizovaného zadávání veřejných zakázek v návaznosti na pravidla pro centrální nákup státu</w:t>
      </w:r>
      <w:r>
        <w:rPr>
          <w:rFonts w:asciiTheme="minorHAnsi" w:hAnsiTheme="minorHAnsi" w:cstheme="minorHAnsi"/>
        </w:rPr>
        <w:t>, a </w:t>
      </w:r>
      <w:r w:rsidRPr="00985C1B">
        <w:rPr>
          <w:rFonts w:asciiTheme="minorHAnsi" w:hAnsiTheme="minorHAnsi" w:cstheme="minorHAnsi"/>
        </w:rPr>
        <w:t>usnesením vlády ze dne 9. listopadu 2015</w:t>
      </w:r>
      <w:r w:rsidRPr="009A5516">
        <w:rPr>
          <w:rFonts w:asciiTheme="minorHAnsi" w:hAnsiTheme="minorHAnsi" w:cstheme="minorHAnsi"/>
        </w:rPr>
        <w:t xml:space="preserve"> </w:t>
      </w:r>
      <w:r w:rsidRPr="00985C1B">
        <w:rPr>
          <w:rFonts w:asciiTheme="minorHAnsi" w:hAnsiTheme="minorHAnsi" w:cstheme="minorHAnsi"/>
        </w:rPr>
        <w:t xml:space="preserve">č. 913, </w:t>
      </w:r>
      <w:r w:rsidRPr="00966A6E">
        <w:rPr>
          <w:rFonts w:asciiTheme="minorHAnsi" w:hAnsiTheme="minorHAnsi" w:cstheme="minorHAnsi"/>
          <w:i/>
        </w:rPr>
        <w:t>k Informaci o stavu příprav centrálního nákupu státu a k návrhu Rámcového harmonogramu centrálního nákupu státu pro roky 2016–2020</w:t>
      </w:r>
      <w:r w:rsidRPr="00985C1B">
        <w:rPr>
          <w:rFonts w:asciiTheme="minorHAnsi" w:hAnsiTheme="minorHAnsi" w:cstheme="minorHAnsi"/>
        </w:rPr>
        <w:t>.</w:t>
      </w:r>
    </w:p>
  </w:footnote>
  <w:footnote w:id="56">
    <w:p w14:paraId="0812AA0F" w14:textId="77777777" w:rsidR="005D0A6E" w:rsidRPr="001B27EF" w:rsidRDefault="005D0A6E" w:rsidP="003B0E71">
      <w:pPr>
        <w:pStyle w:val="Textpoznpodarou"/>
        <w:tabs>
          <w:tab w:val="left" w:pos="284"/>
        </w:tabs>
        <w:ind w:left="284" w:hanging="284"/>
        <w:rPr>
          <w:rFonts w:asciiTheme="minorHAnsi" w:hAnsiTheme="minorHAnsi" w:cstheme="minorHAnsi"/>
        </w:rPr>
      </w:pPr>
      <w:r w:rsidRPr="001B27EF">
        <w:rPr>
          <w:rStyle w:val="Znakapoznpodarou"/>
          <w:rFonts w:asciiTheme="minorHAnsi" w:hAnsiTheme="minorHAnsi" w:cstheme="minorHAnsi"/>
        </w:rPr>
        <w:footnoteRef/>
      </w:r>
      <w:r w:rsidRPr="001B27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B27EF">
        <w:rPr>
          <w:rFonts w:asciiTheme="minorHAnsi" w:hAnsiTheme="minorHAnsi" w:cstheme="minorHAnsi"/>
        </w:rPr>
        <w:t>Ukazatel je vypočítán z dat zveřejňovaných v </w:t>
      </w:r>
      <w:r w:rsidRPr="00966A6E">
        <w:rPr>
          <w:rFonts w:asciiTheme="minorHAnsi" w:hAnsiTheme="minorHAnsi" w:cstheme="minorHAnsi"/>
          <w:i/>
        </w:rPr>
        <w:t>Úředním věstníku EU</w:t>
      </w:r>
      <w:r w:rsidRPr="001B27EF">
        <w:rPr>
          <w:rFonts w:asciiTheme="minorHAnsi" w:hAnsiTheme="minorHAnsi" w:cstheme="minorHAnsi"/>
        </w:rPr>
        <w:t xml:space="preserve">, kde jsou povinně zveřejňovány nadlimitní veřejné a ostatní veřejné zakázky jsou </w:t>
      </w:r>
      <w:r>
        <w:rPr>
          <w:rFonts w:asciiTheme="minorHAnsi" w:hAnsiTheme="minorHAnsi" w:cstheme="minorHAnsi"/>
        </w:rPr>
        <w:t xml:space="preserve">zde </w:t>
      </w:r>
      <w:r w:rsidRPr="001B27EF">
        <w:rPr>
          <w:rFonts w:asciiTheme="minorHAnsi" w:hAnsiTheme="minorHAnsi" w:cstheme="minorHAnsi"/>
        </w:rPr>
        <w:t>zveřejněny dobrovolně.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2642B" w14:textId="77777777" w:rsidR="00A90628" w:rsidRDefault="00A906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F3543" w14:textId="77777777" w:rsidR="00A90628" w:rsidRDefault="00A906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F9F44" w14:textId="77777777" w:rsidR="00A90628" w:rsidRDefault="00A906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89C"/>
    <w:multiLevelType w:val="hybridMultilevel"/>
    <w:tmpl w:val="5C801140"/>
    <w:lvl w:ilvl="0" w:tplc="3476F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1F74"/>
    <w:multiLevelType w:val="hybridMultilevel"/>
    <w:tmpl w:val="12DA7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A1BE4"/>
    <w:multiLevelType w:val="hybridMultilevel"/>
    <w:tmpl w:val="8452D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D6E51"/>
    <w:multiLevelType w:val="hybridMultilevel"/>
    <w:tmpl w:val="CDF858A8"/>
    <w:lvl w:ilvl="0" w:tplc="991E897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EFD"/>
    <w:multiLevelType w:val="hybridMultilevel"/>
    <w:tmpl w:val="82CE9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44044"/>
    <w:multiLevelType w:val="hybridMultilevel"/>
    <w:tmpl w:val="5F98D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081"/>
    <w:multiLevelType w:val="hybridMultilevel"/>
    <w:tmpl w:val="550AB530"/>
    <w:lvl w:ilvl="0" w:tplc="44FC0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038B"/>
    <w:multiLevelType w:val="hybridMultilevel"/>
    <w:tmpl w:val="717C1C06"/>
    <w:lvl w:ilvl="0" w:tplc="AF04CD2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C4BB3"/>
    <w:multiLevelType w:val="hybridMultilevel"/>
    <w:tmpl w:val="FC307D1C"/>
    <w:lvl w:ilvl="0" w:tplc="7C7AD9E0">
      <w:start w:val="1"/>
      <w:numFmt w:val="decimal"/>
      <w:pStyle w:val="Nadpis2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82DCB"/>
    <w:multiLevelType w:val="hybridMultilevel"/>
    <w:tmpl w:val="D2EC3798"/>
    <w:lvl w:ilvl="0" w:tplc="EA288776">
      <w:start w:val="1"/>
      <w:numFmt w:val="decimal"/>
      <w:lvlText w:val="Tabulka č. %1:"/>
      <w:lvlJc w:val="left"/>
      <w:pPr>
        <w:ind w:left="1495" w:hanging="360"/>
      </w:pPr>
      <w:rPr>
        <w:rFonts w:hint="default"/>
        <w:b/>
      </w:rPr>
    </w:lvl>
    <w:lvl w:ilvl="1" w:tplc="4E0C866E" w:tentative="1">
      <w:start w:val="1"/>
      <w:numFmt w:val="lowerLetter"/>
      <w:lvlText w:val="%2."/>
      <w:lvlJc w:val="left"/>
      <w:pPr>
        <w:ind w:left="2215" w:hanging="360"/>
      </w:pPr>
    </w:lvl>
    <w:lvl w:ilvl="2" w:tplc="A4942CCE" w:tentative="1">
      <w:start w:val="1"/>
      <w:numFmt w:val="lowerRoman"/>
      <w:lvlText w:val="%3."/>
      <w:lvlJc w:val="right"/>
      <w:pPr>
        <w:ind w:left="2935" w:hanging="180"/>
      </w:pPr>
    </w:lvl>
    <w:lvl w:ilvl="3" w:tplc="59489008" w:tentative="1">
      <w:start w:val="1"/>
      <w:numFmt w:val="decimal"/>
      <w:lvlText w:val="%4."/>
      <w:lvlJc w:val="left"/>
      <w:pPr>
        <w:ind w:left="3655" w:hanging="360"/>
      </w:pPr>
    </w:lvl>
    <w:lvl w:ilvl="4" w:tplc="F8381E16" w:tentative="1">
      <w:start w:val="1"/>
      <w:numFmt w:val="lowerLetter"/>
      <w:lvlText w:val="%5."/>
      <w:lvlJc w:val="left"/>
      <w:pPr>
        <w:ind w:left="4375" w:hanging="360"/>
      </w:pPr>
    </w:lvl>
    <w:lvl w:ilvl="5" w:tplc="749E6308" w:tentative="1">
      <w:start w:val="1"/>
      <w:numFmt w:val="lowerRoman"/>
      <w:lvlText w:val="%6."/>
      <w:lvlJc w:val="right"/>
      <w:pPr>
        <w:ind w:left="5095" w:hanging="180"/>
      </w:pPr>
    </w:lvl>
    <w:lvl w:ilvl="6" w:tplc="C2744CB4" w:tentative="1">
      <w:start w:val="1"/>
      <w:numFmt w:val="decimal"/>
      <w:lvlText w:val="%7."/>
      <w:lvlJc w:val="left"/>
      <w:pPr>
        <w:ind w:left="5815" w:hanging="360"/>
      </w:pPr>
    </w:lvl>
    <w:lvl w:ilvl="7" w:tplc="2DBE3A5A" w:tentative="1">
      <w:start w:val="1"/>
      <w:numFmt w:val="lowerLetter"/>
      <w:lvlText w:val="%8."/>
      <w:lvlJc w:val="left"/>
      <w:pPr>
        <w:ind w:left="6535" w:hanging="360"/>
      </w:pPr>
    </w:lvl>
    <w:lvl w:ilvl="8" w:tplc="E0DCE8BE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 w15:restartNumberingAfterBreak="0">
    <w:nsid w:val="378700BE"/>
    <w:multiLevelType w:val="multilevel"/>
    <w:tmpl w:val="368C1B1A"/>
    <w:lvl w:ilvl="0">
      <w:start w:val="1"/>
      <w:numFmt w:val="upperRoman"/>
      <w:pStyle w:val="Nadpis1"/>
      <w:lvlText w:val="%1."/>
      <w:lvlJc w:val="righ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</w:lvl>
    <w:lvl w:ilvl="4">
      <w:start w:val="1"/>
      <w:numFmt w:val="decimal"/>
      <w:pStyle w:val="Nadpis5"/>
      <w:lvlText w:val="%1.%2.%3.%4.%5"/>
      <w:lvlJc w:val="left"/>
      <w:pPr>
        <w:ind w:left="1150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726" w:hanging="1584"/>
      </w:pPr>
    </w:lvl>
  </w:abstractNum>
  <w:abstractNum w:abstractNumId="11" w15:restartNumberingAfterBreak="0">
    <w:nsid w:val="385A118C"/>
    <w:multiLevelType w:val="hybridMultilevel"/>
    <w:tmpl w:val="12D0F8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F5F32"/>
    <w:multiLevelType w:val="hybridMultilevel"/>
    <w:tmpl w:val="B8ECC470"/>
    <w:lvl w:ilvl="0" w:tplc="53BA5D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7D2A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74A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206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8EAF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3AE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C2C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205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EEC9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B87"/>
    <w:multiLevelType w:val="multilevel"/>
    <w:tmpl w:val="C8D08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A247D52"/>
    <w:multiLevelType w:val="hybridMultilevel"/>
    <w:tmpl w:val="E4D2DFCA"/>
    <w:lvl w:ilvl="0" w:tplc="040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4E7F19D1"/>
    <w:multiLevelType w:val="hybridMultilevel"/>
    <w:tmpl w:val="4016FD40"/>
    <w:lvl w:ilvl="0" w:tplc="165C22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5204F"/>
    <w:multiLevelType w:val="hybridMultilevel"/>
    <w:tmpl w:val="5944DCA0"/>
    <w:lvl w:ilvl="0" w:tplc="AA589C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090F8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F83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66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7E1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68F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F8BF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ECC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CCE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948EB"/>
    <w:multiLevelType w:val="hybridMultilevel"/>
    <w:tmpl w:val="4BBCB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A0CFA"/>
    <w:multiLevelType w:val="hybridMultilevel"/>
    <w:tmpl w:val="1F124C88"/>
    <w:lvl w:ilvl="0" w:tplc="E6B07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746A5"/>
    <w:multiLevelType w:val="hybridMultilevel"/>
    <w:tmpl w:val="760C44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6A32AA"/>
    <w:multiLevelType w:val="hybridMultilevel"/>
    <w:tmpl w:val="C662233E"/>
    <w:lvl w:ilvl="0" w:tplc="3F4E04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C502D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6A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01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45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62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8A67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3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583B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65E6D"/>
    <w:multiLevelType w:val="hybridMultilevel"/>
    <w:tmpl w:val="67523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434D2"/>
    <w:multiLevelType w:val="hybridMultilevel"/>
    <w:tmpl w:val="33B65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2109C"/>
    <w:multiLevelType w:val="hybridMultilevel"/>
    <w:tmpl w:val="E3942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A5B03"/>
    <w:multiLevelType w:val="hybridMultilevel"/>
    <w:tmpl w:val="324AD2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91731"/>
    <w:multiLevelType w:val="hybridMultilevel"/>
    <w:tmpl w:val="47620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D2C02"/>
    <w:multiLevelType w:val="hybridMultilevel"/>
    <w:tmpl w:val="2E4450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20"/>
  </w:num>
  <w:num w:numId="6">
    <w:abstractNumId w:val="25"/>
  </w:num>
  <w:num w:numId="7">
    <w:abstractNumId w:val="6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6"/>
  </w:num>
  <w:num w:numId="16">
    <w:abstractNumId w:val="18"/>
  </w:num>
  <w:num w:numId="17">
    <w:abstractNumId w:val="21"/>
  </w:num>
  <w:num w:numId="18">
    <w:abstractNumId w:val="1"/>
  </w:num>
  <w:num w:numId="19">
    <w:abstractNumId w:val="23"/>
  </w:num>
  <w:num w:numId="20">
    <w:abstractNumId w:val="0"/>
  </w:num>
  <w:num w:numId="21">
    <w:abstractNumId w:val="3"/>
  </w:num>
  <w:num w:numId="22">
    <w:abstractNumId w:val="4"/>
  </w:num>
  <w:num w:numId="23">
    <w:abstractNumId w:val="2"/>
  </w:num>
  <w:num w:numId="24">
    <w:abstractNumId w:val="7"/>
  </w:num>
  <w:num w:numId="25">
    <w:abstractNumId w:val="5"/>
  </w:num>
  <w:num w:numId="26">
    <w:abstractNumId w:val="17"/>
  </w:num>
  <w:num w:numId="27">
    <w:abstractNumId w:val="14"/>
  </w:num>
  <w:num w:numId="28">
    <w:abstractNumId w:val="22"/>
  </w:num>
  <w:num w:numId="29">
    <w:abstractNumId w:val="24"/>
  </w:num>
  <w:num w:numId="30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000D55"/>
    <w:rsid w:val="00000ED2"/>
    <w:rsid w:val="00000EEE"/>
    <w:rsid w:val="00001CD0"/>
    <w:rsid w:val="00001FA3"/>
    <w:rsid w:val="00001FC1"/>
    <w:rsid w:val="000025E6"/>
    <w:rsid w:val="00002DFC"/>
    <w:rsid w:val="00002FFB"/>
    <w:rsid w:val="000034D7"/>
    <w:rsid w:val="0000388C"/>
    <w:rsid w:val="00003F05"/>
    <w:rsid w:val="000042A3"/>
    <w:rsid w:val="00004385"/>
    <w:rsid w:val="000047D9"/>
    <w:rsid w:val="00004C0D"/>
    <w:rsid w:val="00004CB1"/>
    <w:rsid w:val="00005000"/>
    <w:rsid w:val="00005079"/>
    <w:rsid w:val="00005C93"/>
    <w:rsid w:val="00005C99"/>
    <w:rsid w:val="00006751"/>
    <w:rsid w:val="000069AB"/>
    <w:rsid w:val="00006C35"/>
    <w:rsid w:val="00006C9A"/>
    <w:rsid w:val="00006E83"/>
    <w:rsid w:val="00007610"/>
    <w:rsid w:val="00007853"/>
    <w:rsid w:val="00007F78"/>
    <w:rsid w:val="000108AC"/>
    <w:rsid w:val="000109B4"/>
    <w:rsid w:val="00010D94"/>
    <w:rsid w:val="00010DE4"/>
    <w:rsid w:val="00010FAE"/>
    <w:rsid w:val="0001108C"/>
    <w:rsid w:val="00011110"/>
    <w:rsid w:val="00011811"/>
    <w:rsid w:val="00011A9D"/>
    <w:rsid w:val="00011C5E"/>
    <w:rsid w:val="00012158"/>
    <w:rsid w:val="0001235D"/>
    <w:rsid w:val="00012716"/>
    <w:rsid w:val="0001277A"/>
    <w:rsid w:val="0001294B"/>
    <w:rsid w:val="00012E0E"/>
    <w:rsid w:val="000133BE"/>
    <w:rsid w:val="00013768"/>
    <w:rsid w:val="00013D62"/>
    <w:rsid w:val="00013E47"/>
    <w:rsid w:val="00014065"/>
    <w:rsid w:val="00014454"/>
    <w:rsid w:val="00014A22"/>
    <w:rsid w:val="00014A8F"/>
    <w:rsid w:val="00014CDF"/>
    <w:rsid w:val="000154BF"/>
    <w:rsid w:val="00015754"/>
    <w:rsid w:val="000161C4"/>
    <w:rsid w:val="00016A6E"/>
    <w:rsid w:val="0001715A"/>
    <w:rsid w:val="000172D1"/>
    <w:rsid w:val="00017383"/>
    <w:rsid w:val="00017650"/>
    <w:rsid w:val="000176A8"/>
    <w:rsid w:val="000206C2"/>
    <w:rsid w:val="0002103F"/>
    <w:rsid w:val="000222A5"/>
    <w:rsid w:val="00022350"/>
    <w:rsid w:val="00022423"/>
    <w:rsid w:val="0002254D"/>
    <w:rsid w:val="000225F5"/>
    <w:rsid w:val="00022649"/>
    <w:rsid w:val="000228CF"/>
    <w:rsid w:val="00022B6E"/>
    <w:rsid w:val="00022D34"/>
    <w:rsid w:val="0002310B"/>
    <w:rsid w:val="00023398"/>
    <w:rsid w:val="0002364E"/>
    <w:rsid w:val="00024038"/>
    <w:rsid w:val="000240C1"/>
    <w:rsid w:val="00024339"/>
    <w:rsid w:val="000246F3"/>
    <w:rsid w:val="00024BB3"/>
    <w:rsid w:val="00024E33"/>
    <w:rsid w:val="0002537C"/>
    <w:rsid w:val="00025542"/>
    <w:rsid w:val="00025CB3"/>
    <w:rsid w:val="00025F17"/>
    <w:rsid w:val="000260A6"/>
    <w:rsid w:val="000265BB"/>
    <w:rsid w:val="00026963"/>
    <w:rsid w:val="00026F3D"/>
    <w:rsid w:val="000274CA"/>
    <w:rsid w:val="0002759A"/>
    <w:rsid w:val="00027D7E"/>
    <w:rsid w:val="000301CE"/>
    <w:rsid w:val="00030616"/>
    <w:rsid w:val="0003096A"/>
    <w:rsid w:val="0003098A"/>
    <w:rsid w:val="00030D42"/>
    <w:rsid w:val="00030EE8"/>
    <w:rsid w:val="00030F69"/>
    <w:rsid w:val="000317DE"/>
    <w:rsid w:val="0003259F"/>
    <w:rsid w:val="000327A7"/>
    <w:rsid w:val="00032D8B"/>
    <w:rsid w:val="00032D97"/>
    <w:rsid w:val="00032FE5"/>
    <w:rsid w:val="000332AF"/>
    <w:rsid w:val="00033597"/>
    <w:rsid w:val="0003362B"/>
    <w:rsid w:val="00033C7F"/>
    <w:rsid w:val="00033E4D"/>
    <w:rsid w:val="000341AA"/>
    <w:rsid w:val="00034747"/>
    <w:rsid w:val="000351F5"/>
    <w:rsid w:val="000352B7"/>
    <w:rsid w:val="000354AF"/>
    <w:rsid w:val="00035950"/>
    <w:rsid w:val="00035A3D"/>
    <w:rsid w:val="00035A69"/>
    <w:rsid w:val="00035CC2"/>
    <w:rsid w:val="00035CDD"/>
    <w:rsid w:val="000360FD"/>
    <w:rsid w:val="0003623E"/>
    <w:rsid w:val="000362E6"/>
    <w:rsid w:val="000366AF"/>
    <w:rsid w:val="000366B6"/>
    <w:rsid w:val="00036DB0"/>
    <w:rsid w:val="00036E09"/>
    <w:rsid w:val="00037173"/>
    <w:rsid w:val="000372F5"/>
    <w:rsid w:val="000376AB"/>
    <w:rsid w:val="00037C2A"/>
    <w:rsid w:val="00040B8F"/>
    <w:rsid w:val="00041471"/>
    <w:rsid w:val="00041C0A"/>
    <w:rsid w:val="000421DE"/>
    <w:rsid w:val="0004276C"/>
    <w:rsid w:val="000427C3"/>
    <w:rsid w:val="000429E4"/>
    <w:rsid w:val="000429FA"/>
    <w:rsid w:val="00042D1B"/>
    <w:rsid w:val="00043652"/>
    <w:rsid w:val="000436ED"/>
    <w:rsid w:val="00043E4C"/>
    <w:rsid w:val="00043F0E"/>
    <w:rsid w:val="0004415A"/>
    <w:rsid w:val="00044286"/>
    <w:rsid w:val="00044DC9"/>
    <w:rsid w:val="00045998"/>
    <w:rsid w:val="00045B1F"/>
    <w:rsid w:val="00045B32"/>
    <w:rsid w:val="00045C59"/>
    <w:rsid w:val="000460C3"/>
    <w:rsid w:val="00046847"/>
    <w:rsid w:val="00046BD6"/>
    <w:rsid w:val="00046DDD"/>
    <w:rsid w:val="00046EC8"/>
    <w:rsid w:val="00046EFA"/>
    <w:rsid w:val="00046FCF"/>
    <w:rsid w:val="00047272"/>
    <w:rsid w:val="000476CB"/>
    <w:rsid w:val="00047B2B"/>
    <w:rsid w:val="00047B42"/>
    <w:rsid w:val="00047BCE"/>
    <w:rsid w:val="00047E67"/>
    <w:rsid w:val="00050B55"/>
    <w:rsid w:val="00050C6B"/>
    <w:rsid w:val="00051469"/>
    <w:rsid w:val="00051710"/>
    <w:rsid w:val="00051B9F"/>
    <w:rsid w:val="00051E68"/>
    <w:rsid w:val="000539F0"/>
    <w:rsid w:val="00053E0C"/>
    <w:rsid w:val="0005496C"/>
    <w:rsid w:val="00054C4B"/>
    <w:rsid w:val="000551D8"/>
    <w:rsid w:val="0005531F"/>
    <w:rsid w:val="00055467"/>
    <w:rsid w:val="0005546D"/>
    <w:rsid w:val="000555FD"/>
    <w:rsid w:val="00056510"/>
    <w:rsid w:val="0005660F"/>
    <w:rsid w:val="00056AB2"/>
    <w:rsid w:val="000570DB"/>
    <w:rsid w:val="0005784D"/>
    <w:rsid w:val="00057F70"/>
    <w:rsid w:val="000609C8"/>
    <w:rsid w:val="00060AFC"/>
    <w:rsid w:val="00060B34"/>
    <w:rsid w:val="0006125B"/>
    <w:rsid w:val="00061280"/>
    <w:rsid w:val="0006157B"/>
    <w:rsid w:val="00061890"/>
    <w:rsid w:val="000619B3"/>
    <w:rsid w:val="000619E0"/>
    <w:rsid w:val="00062CAE"/>
    <w:rsid w:val="00063141"/>
    <w:rsid w:val="00063857"/>
    <w:rsid w:val="00063955"/>
    <w:rsid w:val="000639F6"/>
    <w:rsid w:val="00063A5E"/>
    <w:rsid w:val="00063C97"/>
    <w:rsid w:val="00063E6A"/>
    <w:rsid w:val="00064225"/>
    <w:rsid w:val="000649B5"/>
    <w:rsid w:val="00065162"/>
    <w:rsid w:val="00065884"/>
    <w:rsid w:val="000658B9"/>
    <w:rsid w:val="0006594F"/>
    <w:rsid w:val="00065B07"/>
    <w:rsid w:val="00065D21"/>
    <w:rsid w:val="00065D85"/>
    <w:rsid w:val="00065F74"/>
    <w:rsid w:val="00066083"/>
    <w:rsid w:val="00066409"/>
    <w:rsid w:val="00066559"/>
    <w:rsid w:val="00066B7D"/>
    <w:rsid w:val="00067058"/>
    <w:rsid w:val="00067955"/>
    <w:rsid w:val="00067DD4"/>
    <w:rsid w:val="00070126"/>
    <w:rsid w:val="0007085C"/>
    <w:rsid w:val="00071611"/>
    <w:rsid w:val="000725A0"/>
    <w:rsid w:val="00072646"/>
    <w:rsid w:val="00072802"/>
    <w:rsid w:val="00072EB6"/>
    <w:rsid w:val="0007306F"/>
    <w:rsid w:val="00074218"/>
    <w:rsid w:val="00074367"/>
    <w:rsid w:val="0007476C"/>
    <w:rsid w:val="00074840"/>
    <w:rsid w:val="00074A43"/>
    <w:rsid w:val="0007516A"/>
    <w:rsid w:val="0007588F"/>
    <w:rsid w:val="000758D1"/>
    <w:rsid w:val="000758EF"/>
    <w:rsid w:val="00075B86"/>
    <w:rsid w:val="00075B9E"/>
    <w:rsid w:val="00075FA0"/>
    <w:rsid w:val="00076014"/>
    <w:rsid w:val="000764A5"/>
    <w:rsid w:val="00076741"/>
    <w:rsid w:val="000771B1"/>
    <w:rsid w:val="00077243"/>
    <w:rsid w:val="0007753D"/>
    <w:rsid w:val="0007792E"/>
    <w:rsid w:val="000779F3"/>
    <w:rsid w:val="0008006D"/>
    <w:rsid w:val="00080170"/>
    <w:rsid w:val="0008020A"/>
    <w:rsid w:val="000807DB"/>
    <w:rsid w:val="00080CB8"/>
    <w:rsid w:val="00080D2B"/>
    <w:rsid w:val="00081179"/>
    <w:rsid w:val="00082146"/>
    <w:rsid w:val="000825EC"/>
    <w:rsid w:val="00082A69"/>
    <w:rsid w:val="0008332D"/>
    <w:rsid w:val="00083448"/>
    <w:rsid w:val="0008356B"/>
    <w:rsid w:val="000838DC"/>
    <w:rsid w:val="00083E93"/>
    <w:rsid w:val="000843B5"/>
    <w:rsid w:val="000843B9"/>
    <w:rsid w:val="000843BE"/>
    <w:rsid w:val="000847B7"/>
    <w:rsid w:val="00084A3A"/>
    <w:rsid w:val="00084D37"/>
    <w:rsid w:val="00084E2E"/>
    <w:rsid w:val="000853B6"/>
    <w:rsid w:val="00085C91"/>
    <w:rsid w:val="000860CA"/>
    <w:rsid w:val="000867AB"/>
    <w:rsid w:val="00086856"/>
    <w:rsid w:val="000869A3"/>
    <w:rsid w:val="0008703D"/>
    <w:rsid w:val="00087093"/>
    <w:rsid w:val="0008729F"/>
    <w:rsid w:val="00087492"/>
    <w:rsid w:val="000874CB"/>
    <w:rsid w:val="00087C10"/>
    <w:rsid w:val="00090D7B"/>
    <w:rsid w:val="00091370"/>
    <w:rsid w:val="00091BFB"/>
    <w:rsid w:val="00092597"/>
    <w:rsid w:val="0009293A"/>
    <w:rsid w:val="00092FE3"/>
    <w:rsid w:val="000933AE"/>
    <w:rsid w:val="00093888"/>
    <w:rsid w:val="00094336"/>
    <w:rsid w:val="00094806"/>
    <w:rsid w:val="00094CF9"/>
    <w:rsid w:val="00094FCB"/>
    <w:rsid w:val="000954C8"/>
    <w:rsid w:val="00095B54"/>
    <w:rsid w:val="00096394"/>
    <w:rsid w:val="00096865"/>
    <w:rsid w:val="00096F03"/>
    <w:rsid w:val="000970D8"/>
    <w:rsid w:val="00097315"/>
    <w:rsid w:val="00097DFA"/>
    <w:rsid w:val="000A0B04"/>
    <w:rsid w:val="000A0B90"/>
    <w:rsid w:val="000A0B94"/>
    <w:rsid w:val="000A14C2"/>
    <w:rsid w:val="000A19D4"/>
    <w:rsid w:val="000A1A25"/>
    <w:rsid w:val="000A1DE4"/>
    <w:rsid w:val="000A2091"/>
    <w:rsid w:val="000A2191"/>
    <w:rsid w:val="000A26F7"/>
    <w:rsid w:val="000A2764"/>
    <w:rsid w:val="000A27B6"/>
    <w:rsid w:val="000A2A14"/>
    <w:rsid w:val="000A2A53"/>
    <w:rsid w:val="000A2F97"/>
    <w:rsid w:val="000A3438"/>
    <w:rsid w:val="000A35FB"/>
    <w:rsid w:val="000A3B4C"/>
    <w:rsid w:val="000A3BF4"/>
    <w:rsid w:val="000A4A1F"/>
    <w:rsid w:val="000A570F"/>
    <w:rsid w:val="000A59EF"/>
    <w:rsid w:val="000A5E2D"/>
    <w:rsid w:val="000A5E4D"/>
    <w:rsid w:val="000A6E8C"/>
    <w:rsid w:val="000A7153"/>
    <w:rsid w:val="000A74BB"/>
    <w:rsid w:val="000A7850"/>
    <w:rsid w:val="000B0531"/>
    <w:rsid w:val="000B06F4"/>
    <w:rsid w:val="000B07A9"/>
    <w:rsid w:val="000B0EA6"/>
    <w:rsid w:val="000B10E6"/>
    <w:rsid w:val="000B11A0"/>
    <w:rsid w:val="000B14AB"/>
    <w:rsid w:val="000B1541"/>
    <w:rsid w:val="000B1755"/>
    <w:rsid w:val="000B1CA6"/>
    <w:rsid w:val="000B2136"/>
    <w:rsid w:val="000B21F9"/>
    <w:rsid w:val="000B2976"/>
    <w:rsid w:val="000B31F9"/>
    <w:rsid w:val="000B3EE1"/>
    <w:rsid w:val="000B41CB"/>
    <w:rsid w:val="000B41EE"/>
    <w:rsid w:val="000B4551"/>
    <w:rsid w:val="000B5132"/>
    <w:rsid w:val="000B52A4"/>
    <w:rsid w:val="000B5462"/>
    <w:rsid w:val="000B56E4"/>
    <w:rsid w:val="000B5C31"/>
    <w:rsid w:val="000B5C74"/>
    <w:rsid w:val="000B6038"/>
    <w:rsid w:val="000B6531"/>
    <w:rsid w:val="000B6C71"/>
    <w:rsid w:val="000B7280"/>
    <w:rsid w:val="000C029A"/>
    <w:rsid w:val="000C0531"/>
    <w:rsid w:val="000C066E"/>
    <w:rsid w:val="000C0B7F"/>
    <w:rsid w:val="000C1136"/>
    <w:rsid w:val="000C1D9D"/>
    <w:rsid w:val="000C21EA"/>
    <w:rsid w:val="000C222F"/>
    <w:rsid w:val="000C2586"/>
    <w:rsid w:val="000C376D"/>
    <w:rsid w:val="000C3996"/>
    <w:rsid w:val="000C41A8"/>
    <w:rsid w:val="000C4547"/>
    <w:rsid w:val="000C47D2"/>
    <w:rsid w:val="000C492C"/>
    <w:rsid w:val="000C5039"/>
    <w:rsid w:val="000C5364"/>
    <w:rsid w:val="000C53E7"/>
    <w:rsid w:val="000C5617"/>
    <w:rsid w:val="000C5669"/>
    <w:rsid w:val="000C58C3"/>
    <w:rsid w:val="000C5981"/>
    <w:rsid w:val="000C59B3"/>
    <w:rsid w:val="000C5F3D"/>
    <w:rsid w:val="000C650D"/>
    <w:rsid w:val="000C6603"/>
    <w:rsid w:val="000C6970"/>
    <w:rsid w:val="000C6C32"/>
    <w:rsid w:val="000D0260"/>
    <w:rsid w:val="000D030C"/>
    <w:rsid w:val="000D113C"/>
    <w:rsid w:val="000D12B9"/>
    <w:rsid w:val="000D150C"/>
    <w:rsid w:val="000D1773"/>
    <w:rsid w:val="000D1890"/>
    <w:rsid w:val="000D1DAA"/>
    <w:rsid w:val="000D1E6A"/>
    <w:rsid w:val="000D1F51"/>
    <w:rsid w:val="000D1FED"/>
    <w:rsid w:val="000D2B0B"/>
    <w:rsid w:val="000D37A7"/>
    <w:rsid w:val="000D3DA4"/>
    <w:rsid w:val="000D4632"/>
    <w:rsid w:val="000D4BD9"/>
    <w:rsid w:val="000D4DE5"/>
    <w:rsid w:val="000D52EB"/>
    <w:rsid w:val="000D55B3"/>
    <w:rsid w:val="000D59B6"/>
    <w:rsid w:val="000D6185"/>
    <w:rsid w:val="000D64E3"/>
    <w:rsid w:val="000D664E"/>
    <w:rsid w:val="000D6BF7"/>
    <w:rsid w:val="000D6BFC"/>
    <w:rsid w:val="000D71B7"/>
    <w:rsid w:val="000D7BFC"/>
    <w:rsid w:val="000D7FAD"/>
    <w:rsid w:val="000E0A1B"/>
    <w:rsid w:val="000E0A75"/>
    <w:rsid w:val="000E0AB3"/>
    <w:rsid w:val="000E0D13"/>
    <w:rsid w:val="000E0FE4"/>
    <w:rsid w:val="000E113D"/>
    <w:rsid w:val="000E1713"/>
    <w:rsid w:val="000E1B5E"/>
    <w:rsid w:val="000E1BA2"/>
    <w:rsid w:val="000E29E4"/>
    <w:rsid w:val="000E2E60"/>
    <w:rsid w:val="000E3075"/>
    <w:rsid w:val="000E30D1"/>
    <w:rsid w:val="000E3B44"/>
    <w:rsid w:val="000E3E6D"/>
    <w:rsid w:val="000E3E9D"/>
    <w:rsid w:val="000E3F94"/>
    <w:rsid w:val="000E47B7"/>
    <w:rsid w:val="000E4A9C"/>
    <w:rsid w:val="000E4E19"/>
    <w:rsid w:val="000E4EDD"/>
    <w:rsid w:val="000E5369"/>
    <w:rsid w:val="000E579D"/>
    <w:rsid w:val="000E58FA"/>
    <w:rsid w:val="000E5F80"/>
    <w:rsid w:val="000E609F"/>
    <w:rsid w:val="000E67A4"/>
    <w:rsid w:val="000E6838"/>
    <w:rsid w:val="000E69AC"/>
    <w:rsid w:val="000E6A8D"/>
    <w:rsid w:val="000E6CBB"/>
    <w:rsid w:val="000E6EEC"/>
    <w:rsid w:val="000E6F38"/>
    <w:rsid w:val="000E7296"/>
    <w:rsid w:val="000E785D"/>
    <w:rsid w:val="000E79B9"/>
    <w:rsid w:val="000F0266"/>
    <w:rsid w:val="000F05C0"/>
    <w:rsid w:val="000F0737"/>
    <w:rsid w:val="000F0ACD"/>
    <w:rsid w:val="000F1443"/>
    <w:rsid w:val="000F15E4"/>
    <w:rsid w:val="000F1643"/>
    <w:rsid w:val="000F167F"/>
    <w:rsid w:val="000F1B81"/>
    <w:rsid w:val="000F1BCA"/>
    <w:rsid w:val="000F30CA"/>
    <w:rsid w:val="000F3C19"/>
    <w:rsid w:val="000F3E6A"/>
    <w:rsid w:val="000F4013"/>
    <w:rsid w:val="000F4572"/>
    <w:rsid w:val="000F4590"/>
    <w:rsid w:val="000F4744"/>
    <w:rsid w:val="000F5618"/>
    <w:rsid w:val="000F56BB"/>
    <w:rsid w:val="000F6231"/>
    <w:rsid w:val="000F6856"/>
    <w:rsid w:val="000F6B15"/>
    <w:rsid w:val="000F6BEB"/>
    <w:rsid w:val="000F6E7B"/>
    <w:rsid w:val="000F70C9"/>
    <w:rsid w:val="000F753E"/>
    <w:rsid w:val="000F777E"/>
    <w:rsid w:val="000F784C"/>
    <w:rsid w:val="000F7A5A"/>
    <w:rsid w:val="000F7BBB"/>
    <w:rsid w:val="001000DD"/>
    <w:rsid w:val="00100538"/>
    <w:rsid w:val="00100688"/>
    <w:rsid w:val="00101148"/>
    <w:rsid w:val="00101C0B"/>
    <w:rsid w:val="00101CCD"/>
    <w:rsid w:val="00101D7B"/>
    <w:rsid w:val="00101F59"/>
    <w:rsid w:val="001025D2"/>
    <w:rsid w:val="00102AE0"/>
    <w:rsid w:val="00102B4E"/>
    <w:rsid w:val="00102CE7"/>
    <w:rsid w:val="0010372F"/>
    <w:rsid w:val="00103A44"/>
    <w:rsid w:val="00104095"/>
    <w:rsid w:val="0010426A"/>
    <w:rsid w:val="00104440"/>
    <w:rsid w:val="001044C1"/>
    <w:rsid w:val="0010475A"/>
    <w:rsid w:val="001047F7"/>
    <w:rsid w:val="00104A97"/>
    <w:rsid w:val="00104E9C"/>
    <w:rsid w:val="00105282"/>
    <w:rsid w:val="00105979"/>
    <w:rsid w:val="00105D0E"/>
    <w:rsid w:val="001060C9"/>
    <w:rsid w:val="00106664"/>
    <w:rsid w:val="001073D0"/>
    <w:rsid w:val="001076C2"/>
    <w:rsid w:val="0010786D"/>
    <w:rsid w:val="00107E13"/>
    <w:rsid w:val="00110EC0"/>
    <w:rsid w:val="00111426"/>
    <w:rsid w:val="00111670"/>
    <w:rsid w:val="00112516"/>
    <w:rsid w:val="00112670"/>
    <w:rsid w:val="00112816"/>
    <w:rsid w:val="00112DF7"/>
    <w:rsid w:val="00113287"/>
    <w:rsid w:val="0011362D"/>
    <w:rsid w:val="00113653"/>
    <w:rsid w:val="0011451D"/>
    <w:rsid w:val="00114BE6"/>
    <w:rsid w:val="00114C45"/>
    <w:rsid w:val="00114D8D"/>
    <w:rsid w:val="00115BA0"/>
    <w:rsid w:val="00115C1E"/>
    <w:rsid w:val="00115EC4"/>
    <w:rsid w:val="00115FA3"/>
    <w:rsid w:val="00116400"/>
    <w:rsid w:val="00116D0B"/>
    <w:rsid w:val="00117048"/>
    <w:rsid w:val="00117652"/>
    <w:rsid w:val="0011798A"/>
    <w:rsid w:val="00117DF6"/>
    <w:rsid w:val="001200ED"/>
    <w:rsid w:val="00120690"/>
    <w:rsid w:val="00120924"/>
    <w:rsid w:val="001214B7"/>
    <w:rsid w:val="00121656"/>
    <w:rsid w:val="00121BF5"/>
    <w:rsid w:val="00122137"/>
    <w:rsid w:val="00122481"/>
    <w:rsid w:val="00122F28"/>
    <w:rsid w:val="00123221"/>
    <w:rsid w:val="00123BBC"/>
    <w:rsid w:val="00123DB5"/>
    <w:rsid w:val="0012454B"/>
    <w:rsid w:val="0012477E"/>
    <w:rsid w:val="00124C76"/>
    <w:rsid w:val="00124D9C"/>
    <w:rsid w:val="00125169"/>
    <w:rsid w:val="00125443"/>
    <w:rsid w:val="001257C8"/>
    <w:rsid w:val="00125867"/>
    <w:rsid w:val="00126206"/>
    <w:rsid w:val="001263FC"/>
    <w:rsid w:val="001269C6"/>
    <w:rsid w:val="00126C57"/>
    <w:rsid w:val="00126CBF"/>
    <w:rsid w:val="00126F3C"/>
    <w:rsid w:val="00126FF9"/>
    <w:rsid w:val="0012738B"/>
    <w:rsid w:val="0012744C"/>
    <w:rsid w:val="00127688"/>
    <w:rsid w:val="0012792F"/>
    <w:rsid w:val="00127A76"/>
    <w:rsid w:val="00127B68"/>
    <w:rsid w:val="00130208"/>
    <w:rsid w:val="00130217"/>
    <w:rsid w:val="00130695"/>
    <w:rsid w:val="0013080C"/>
    <w:rsid w:val="00130B26"/>
    <w:rsid w:val="00130C1A"/>
    <w:rsid w:val="001312C5"/>
    <w:rsid w:val="00131AB7"/>
    <w:rsid w:val="00131CB0"/>
    <w:rsid w:val="00131D68"/>
    <w:rsid w:val="0013256D"/>
    <w:rsid w:val="00132716"/>
    <w:rsid w:val="00133123"/>
    <w:rsid w:val="001332C5"/>
    <w:rsid w:val="00133A1E"/>
    <w:rsid w:val="00133AF3"/>
    <w:rsid w:val="001341B6"/>
    <w:rsid w:val="001349BF"/>
    <w:rsid w:val="00134A59"/>
    <w:rsid w:val="00134C40"/>
    <w:rsid w:val="00134E74"/>
    <w:rsid w:val="001351C3"/>
    <w:rsid w:val="00135A20"/>
    <w:rsid w:val="00135D79"/>
    <w:rsid w:val="0013635E"/>
    <w:rsid w:val="0013678E"/>
    <w:rsid w:val="00136B03"/>
    <w:rsid w:val="00136BF2"/>
    <w:rsid w:val="00136D62"/>
    <w:rsid w:val="001370C3"/>
    <w:rsid w:val="001377C4"/>
    <w:rsid w:val="00137CF4"/>
    <w:rsid w:val="001400F2"/>
    <w:rsid w:val="00140438"/>
    <w:rsid w:val="001406A2"/>
    <w:rsid w:val="00140963"/>
    <w:rsid w:val="00140E53"/>
    <w:rsid w:val="00141640"/>
    <w:rsid w:val="00141B6E"/>
    <w:rsid w:val="00142633"/>
    <w:rsid w:val="0014282C"/>
    <w:rsid w:val="001429BC"/>
    <w:rsid w:val="00142BCD"/>
    <w:rsid w:val="00142ED4"/>
    <w:rsid w:val="0014306E"/>
    <w:rsid w:val="00143400"/>
    <w:rsid w:val="00143797"/>
    <w:rsid w:val="00143EE5"/>
    <w:rsid w:val="001440A2"/>
    <w:rsid w:val="001443B7"/>
    <w:rsid w:val="00144720"/>
    <w:rsid w:val="00144751"/>
    <w:rsid w:val="00144833"/>
    <w:rsid w:val="00144AFA"/>
    <w:rsid w:val="00144E2D"/>
    <w:rsid w:val="00144FBF"/>
    <w:rsid w:val="001454DA"/>
    <w:rsid w:val="001459FB"/>
    <w:rsid w:val="00146AB0"/>
    <w:rsid w:val="00146B26"/>
    <w:rsid w:val="00146C23"/>
    <w:rsid w:val="00146DAE"/>
    <w:rsid w:val="001470EC"/>
    <w:rsid w:val="001473CD"/>
    <w:rsid w:val="00147741"/>
    <w:rsid w:val="001479F5"/>
    <w:rsid w:val="00147B11"/>
    <w:rsid w:val="00147CD9"/>
    <w:rsid w:val="001503EA"/>
    <w:rsid w:val="00150E1E"/>
    <w:rsid w:val="001518FC"/>
    <w:rsid w:val="00151928"/>
    <w:rsid w:val="00151B38"/>
    <w:rsid w:val="001522CB"/>
    <w:rsid w:val="00152616"/>
    <w:rsid w:val="00152836"/>
    <w:rsid w:val="0015284A"/>
    <w:rsid w:val="00152FE0"/>
    <w:rsid w:val="001536B0"/>
    <w:rsid w:val="00153732"/>
    <w:rsid w:val="001537B2"/>
    <w:rsid w:val="0015394B"/>
    <w:rsid w:val="001542AE"/>
    <w:rsid w:val="001542E9"/>
    <w:rsid w:val="001543F7"/>
    <w:rsid w:val="0015445E"/>
    <w:rsid w:val="00154A46"/>
    <w:rsid w:val="00154A7A"/>
    <w:rsid w:val="00154E20"/>
    <w:rsid w:val="00154F9F"/>
    <w:rsid w:val="00155176"/>
    <w:rsid w:val="0015520C"/>
    <w:rsid w:val="0015521C"/>
    <w:rsid w:val="001553D0"/>
    <w:rsid w:val="001553F6"/>
    <w:rsid w:val="00155474"/>
    <w:rsid w:val="001554C8"/>
    <w:rsid w:val="00155A9F"/>
    <w:rsid w:val="0015630B"/>
    <w:rsid w:val="00156BB1"/>
    <w:rsid w:val="00156BDC"/>
    <w:rsid w:val="00156CAA"/>
    <w:rsid w:val="00156FD5"/>
    <w:rsid w:val="00157479"/>
    <w:rsid w:val="00157C6E"/>
    <w:rsid w:val="00160105"/>
    <w:rsid w:val="00160F97"/>
    <w:rsid w:val="001610B5"/>
    <w:rsid w:val="0016116C"/>
    <w:rsid w:val="00161763"/>
    <w:rsid w:val="001617D2"/>
    <w:rsid w:val="001621F3"/>
    <w:rsid w:val="00162974"/>
    <w:rsid w:val="00162C6A"/>
    <w:rsid w:val="00163653"/>
    <w:rsid w:val="001637FD"/>
    <w:rsid w:val="00163B12"/>
    <w:rsid w:val="0016452C"/>
    <w:rsid w:val="00164695"/>
    <w:rsid w:val="001646C1"/>
    <w:rsid w:val="00164CFF"/>
    <w:rsid w:val="00164D32"/>
    <w:rsid w:val="001650EF"/>
    <w:rsid w:val="00165288"/>
    <w:rsid w:val="001653AB"/>
    <w:rsid w:val="00165747"/>
    <w:rsid w:val="00165CAD"/>
    <w:rsid w:val="0016630B"/>
    <w:rsid w:val="00166558"/>
    <w:rsid w:val="00166572"/>
    <w:rsid w:val="00166AD2"/>
    <w:rsid w:val="00167069"/>
    <w:rsid w:val="001674E0"/>
    <w:rsid w:val="0016792C"/>
    <w:rsid w:val="00167A3B"/>
    <w:rsid w:val="00167A49"/>
    <w:rsid w:val="00167C30"/>
    <w:rsid w:val="00167DFE"/>
    <w:rsid w:val="00170027"/>
    <w:rsid w:val="00170274"/>
    <w:rsid w:val="001705FC"/>
    <w:rsid w:val="00170916"/>
    <w:rsid w:val="001709D6"/>
    <w:rsid w:val="001714F6"/>
    <w:rsid w:val="0017194E"/>
    <w:rsid w:val="00171C74"/>
    <w:rsid w:val="00171D55"/>
    <w:rsid w:val="001724E5"/>
    <w:rsid w:val="00173031"/>
    <w:rsid w:val="00173414"/>
    <w:rsid w:val="00173B41"/>
    <w:rsid w:val="00173BC1"/>
    <w:rsid w:val="001740BB"/>
    <w:rsid w:val="00174323"/>
    <w:rsid w:val="00174661"/>
    <w:rsid w:val="00174991"/>
    <w:rsid w:val="00174B65"/>
    <w:rsid w:val="00175200"/>
    <w:rsid w:val="00175C01"/>
    <w:rsid w:val="00175CE0"/>
    <w:rsid w:val="00175F06"/>
    <w:rsid w:val="001760AA"/>
    <w:rsid w:val="001761BC"/>
    <w:rsid w:val="001768A4"/>
    <w:rsid w:val="00176A87"/>
    <w:rsid w:val="00176BC9"/>
    <w:rsid w:val="00176D8D"/>
    <w:rsid w:val="00176EED"/>
    <w:rsid w:val="00176F0C"/>
    <w:rsid w:val="0017735D"/>
    <w:rsid w:val="00177CAA"/>
    <w:rsid w:val="00177F3A"/>
    <w:rsid w:val="00180197"/>
    <w:rsid w:val="001803AD"/>
    <w:rsid w:val="00180659"/>
    <w:rsid w:val="00180756"/>
    <w:rsid w:val="001809DC"/>
    <w:rsid w:val="00180F28"/>
    <w:rsid w:val="00181766"/>
    <w:rsid w:val="001817DD"/>
    <w:rsid w:val="00181B74"/>
    <w:rsid w:val="00181E53"/>
    <w:rsid w:val="00181F15"/>
    <w:rsid w:val="00181F18"/>
    <w:rsid w:val="00181F23"/>
    <w:rsid w:val="00182279"/>
    <w:rsid w:val="001823AE"/>
    <w:rsid w:val="00182952"/>
    <w:rsid w:val="00182EA6"/>
    <w:rsid w:val="00183246"/>
    <w:rsid w:val="00183395"/>
    <w:rsid w:val="00183526"/>
    <w:rsid w:val="00183761"/>
    <w:rsid w:val="0018378A"/>
    <w:rsid w:val="0018379A"/>
    <w:rsid w:val="00184555"/>
    <w:rsid w:val="00184BAC"/>
    <w:rsid w:val="00184E48"/>
    <w:rsid w:val="00184F35"/>
    <w:rsid w:val="00185261"/>
    <w:rsid w:val="00185393"/>
    <w:rsid w:val="0018606A"/>
    <w:rsid w:val="001863EB"/>
    <w:rsid w:val="001866CA"/>
    <w:rsid w:val="0018679A"/>
    <w:rsid w:val="00186936"/>
    <w:rsid w:val="00186B13"/>
    <w:rsid w:val="001878F8"/>
    <w:rsid w:val="00190E0F"/>
    <w:rsid w:val="00190FB2"/>
    <w:rsid w:val="00191275"/>
    <w:rsid w:val="00191B1E"/>
    <w:rsid w:val="00191C70"/>
    <w:rsid w:val="001923D5"/>
    <w:rsid w:val="001923E5"/>
    <w:rsid w:val="0019278C"/>
    <w:rsid w:val="0019331A"/>
    <w:rsid w:val="001936A8"/>
    <w:rsid w:val="00194D5E"/>
    <w:rsid w:val="00195356"/>
    <w:rsid w:val="001956DA"/>
    <w:rsid w:val="001958B2"/>
    <w:rsid w:val="001962D3"/>
    <w:rsid w:val="0019647C"/>
    <w:rsid w:val="001965F1"/>
    <w:rsid w:val="001966D0"/>
    <w:rsid w:val="001968FE"/>
    <w:rsid w:val="00196975"/>
    <w:rsid w:val="00196BB7"/>
    <w:rsid w:val="00197728"/>
    <w:rsid w:val="00197FE2"/>
    <w:rsid w:val="001A00A4"/>
    <w:rsid w:val="001A0448"/>
    <w:rsid w:val="001A0BAF"/>
    <w:rsid w:val="001A0F08"/>
    <w:rsid w:val="001A1437"/>
    <w:rsid w:val="001A17DF"/>
    <w:rsid w:val="001A1A4C"/>
    <w:rsid w:val="001A1C6B"/>
    <w:rsid w:val="001A2469"/>
    <w:rsid w:val="001A2638"/>
    <w:rsid w:val="001A2BDC"/>
    <w:rsid w:val="001A2D4A"/>
    <w:rsid w:val="001A3A02"/>
    <w:rsid w:val="001A4165"/>
    <w:rsid w:val="001A42E3"/>
    <w:rsid w:val="001A4A25"/>
    <w:rsid w:val="001A4A33"/>
    <w:rsid w:val="001A4F2D"/>
    <w:rsid w:val="001A533F"/>
    <w:rsid w:val="001A5637"/>
    <w:rsid w:val="001A5664"/>
    <w:rsid w:val="001A5E98"/>
    <w:rsid w:val="001A6068"/>
    <w:rsid w:val="001A60AA"/>
    <w:rsid w:val="001A651D"/>
    <w:rsid w:val="001A66A9"/>
    <w:rsid w:val="001A66DB"/>
    <w:rsid w:val="001A6A88"/>
    <w:rsid w:val="001A6B3A"/>
    <w:rsid w:val="001A7BB3"/>
    <w:rsid w:val="001A7DB3"/>
    <w:rsid w:val="001B05FF"/>
    <w:rsid w:val="001B0D31"/>
    <w:rsid w:val="001B0DD6"/>
    <w:rsid w:val="001B0ECB"/>
    <w:rsid w:val="001B135C"/>
    <w:rsid w:val="001B1917"/>
    <w:rsid w:val="001B1918"/>
    <w:rsid w:val="001B1A06"/>
    <w:rsid w:val="001B1D0F"/>
    <w:rsid w:val="001B20A4"/>
    <w:rsid w:val="001B2158"/>
    <w:rsid w:val="001B21DC"/>
    <w:rsid w:val="001B23A6"/>
    <w:rsid w:val="001B2439"/>
    <w:rsid w:val="001B2457"/>
    <w:rsid w:val="001B27B3"/>
    <w:rsid w:val="001B29D4"/>
    <w:rsid w:val="001B2CB5"/>
    <w:rsid w:val="001B2D92"/>
    <w:rsid w:val="001B36D5"/>
    <w:rsid w:val="001B3992"/>
    <w:rsid w:val="001B45AE"/>
    <w:rsid w:val="001B47DA"/>
    <w:rsid w:val="001B57F8"/>
    <w:rsid w:val="001B595C"/>
    <w:rsid w:val="001B5AFA"/>
    <w:rsid w:val="001B61FC"/>
    <w:rsid w:val="001B6706"/>
    <w:rsid w:val="001B6C01"/>
    <w:rsid w:val="001B7A3C"/>
    <w:rsid w:val="001B7C17"/>
    <w:rsid w:val="001C0096"/>
    <w:rsid w:val="001C0939"/>
    <w:rsid w:val="001C09D8"/>
    <w:rsid w:val="001C0BCE"/>
    <w:rsid w:val="001C0BDF"/>
    <w:rsid w:val="001C0E52"/>
    <w:rsid w:val="001C0EBB"/>
    <w:rsid w:val="001C109B"/>
    <w:rsid w:val="001C1338"/>
    <w:rsid w:val="001C13F7"/>
    <w:rsid w:val="001C2114"/>
    <w:rsid w:val="001C22C7"/>
    <w:rsid w:val="001C23C3"/>
    <w:rsid w:val="001C2F8E"/>
    <w:rsid w:val="001C33F1"/>
    <w:rsid w:val="001C3763"/>
    <w:rsid w:val="001C3A7B"/>
    <w:rsid w:val="001C3DE0"/>
    <w:rsid w:val="001C3ED1"/>
    <w:rsid w:val="001C3F1E"/>
    <w:rsid w:val="001C4A79"/>
    <w:rsid w:val="001C4FA5"/>
    <w:rsid w:val="001C572F"/>
    <w:rsid w:val="001C57A6"/>
    <w:rsid w:val="001C586D"/>
    <w:rsid w:val="001C5B69"/>
    <w:rsid w:val="001C62C6"/>
    <w:rsid w:val="001C6D3A"/>
    <w:rsid w:val="001C7193"/>
    <w:rsid w:val="001C7344"/>
    <w:rsid w:val="001C7624"/>
    <w:rsid w:val="001C77EB"/>
    <w:rsid w:val="001C7A55"/>
    <w:rsid w:val="001C7C3D"/>
    <w:rsid w:val="001C7E32"/>
    <w:rsid w:val="001C7EDD"/>
    <w:rsid w:val="001D07AE"/>
    <w:rsid w:val="001D0B64"/>
    <w:rsid w:val="001D0DBA"/>
    <w:rsid w:val="001D0EF9"/>
    <w:rsid w:val="001D11E7"/>
    <w:rsid w:val="001D16C9"/>
    <w:rsid w:val="001D19C5"/>
    <w:rsid w:val="001D1CA4"/>
    <w:rsid w:val="001D2102"/>
    <w:rsid w:val="001D2176"/>
    <w:rsid w:val="001D24A8"/>
    <w:rsid w:val="001D28D3"/>
    <w:rsid w:val="001D292E"/>
    <w:rsid w:val="001D2AB2"/>
    <w:rsid w:val="001D310B"/>
    <w:rsid w:val="001D3251"/>
    <w:rsid w:val="001D3DB6"/>
    <w:rsid w:val="001D40C7"/>
    <w:rsid w:val="001D40D1"/>
    <w:rsid w:val="001D4916"/>
    <w:rsid w:val="001D4D8C"/>
    <w:rsid w:val="001D51B5"/>
    <w:rsid w:val="001D5564"/>
    <w:rsid w:val="001D65CF"/>
    <w:rsid w:val="001D7A8E"/>
    <w:rsid w:val="001E0000"/>
    <w:rsid w:val="001E0996"/>
    <w:rsid w:val="001E0A0C"/>
    <w:rsid w:val="001E0DD7"/>
    <w:rsid w:val="001E1238"/>
    <w:rsid w:val="001E1253"/>
    <w:rsid w:val="001E1BF3"/>
    <w:rsid w:val="001E2353"/>
    <w:rsid w:val="001E235D"/>
    <w:rsid w:val="001E296C"/>
    <w:rsid w:val="001E2E9B"/>
    <w:rsid w:val="001E3116"/>
    <w:rsid w:val="001E35F4"/>
    <w:rsid w:val="001E3E95"/>
    <w:rsid w:val="001E4408"/>
    <w:rsid w:val="001E496F"/>
    <w:rsid w:val="001E4A6B"/>
    <w:rsid w:val="001E558E"/>
    <w:rsid w:val="001E575B"/>
    <w:rsid w:val="001E5911"/>
    <w:rsid w:val="001E5AAA"/>
    <w:rsid w:val="001E5BFA"/>
    <w:rsid w:val="001E5E06"/>
    <w:rsid w:val="001E640E"/>
    <w:rsid w:val="001E6979"/>
    <w:rsid w:val="001E726F"/>
    <w:rsid w:val="001E7EFB"/>
    <w:rsid w:val="001F0101"/>
    <w:rsid w:val="001F0158"/>
    <w:rsid w:val="001F039E"/>
    <w:rsid w:val="001F0410"/>
    <w:rsid w:val="001F0975"/>
    <w:rsid w:val="001F09F1"/>
    <w:rsid w:val="001F0A03"/>
    <w:rsid w:val="001F0AA1"/>
    <w:rsid w:val="001F0F84"/>
    <w:rsid w:val="001F18F3"/>
    <w:rsid w:val="001F1C34"/>
    <w:rsid w:val="001F1CA2"/>
    <w:rsid w:val="001F1D53"/>
    <w:rsid w:val="001F1EA1"/>
    <w:rsid w:val="001F1FE8"/>
    <w:rsid w:val="001F31DF"/>
    <w:rsid w:val="001F34EA"/>
    <w:rsid w:val="001F3B83"/>
    <w:rsid w:val="001F3CC1"/>
    <w:rsid w:val="001F3D1A"/>
    <w:rsid w:val="001F4643"/>
    <w:rsid w:val="001F47B4"/>
    <w:rsid w:val="001F47FB"/>
    <w:rsid w:val="001F4E54"/>
    <w:rsid w:val="001F50B6"/>
    <w:rsid w:val="001F52DF"/>
    <w:rsid w:val="001F58D9"/>
    <w:rsid w:val="001F6131"/>
    <w:rsid w:val="001F6499"/>
    <w:rsid w:val="001F6580"/>
    <w:rsid w:val="001F6587"/>
    <w:rsid w:val="001F6861"/>
    <w:rsid w:val="001F6973"/>
    <w:rsid w:val="001F6AE4"/>
    <w:rsid w:val="001F7541"/>
    <w:rsid w:val="001F78C0"/>
    <w:rsid w:val="002002C7"/>
    <w:rsid w:val="00201127"/>
    <w:rsid w:val="00201434"/>
    <w:rsid w:val="0020184A"/>
    <w:rsid w:val="0020200F"/>
    <w:rsid w:val="002025BC"/>
    <w:rsid w:val="002027AD"/>
    <w:rsid w:val="00202C92"/>
    <w:rsid w:val="00203AA2"/>
    <w:rsid w:val="00203FC6"/>
    <w:rsid w:val="002040D7"/>
    <w:rsid w:val="00204386"/>
    <w:rsid w:val="002043E9"/>
    <w:rsid w:val="002045AA"/>
    <w:rsid w:val="00204B8D"/>
    <w:rsid w:val="00204C00"/>
    <w:rsid w:val="0020563A"/>
    <w:rsid w:val="002056AD"/>
    <w:rsid w:val="00205A9E"/>
    <w:rsid w:val="00206359"/>
    <w:rsid w:val="00207A13"/>
    <w:rsid w:val="002103F6"/>
    <w:rsid w:val="00210734"/>
    <w:rsid w:val="00210869"/>
    <w:rsid w:val="00210CBF"/>
    <w:rsid w:val="002110AA"/>
    <w:rsid w:val="002115B8"/>
    <w:rsid w:val="00212216"/>
    <w:rsid w:val="00212EB6"/>
    <w:rsid w:val="0021332E"/>
    <w:rsid w:val="00213720"/>
    <w:rsid w:val="00213826"/>
    <w:rsid w:val="00213D6A"/>
    <w:rsid w:val="00214457"/>
    <w:rsid w:val="002145A8"/>
    <w:rsid w:val="00214B96"/>
    <w:rsid w:val="00215178"/>
    <w:rsid w:val="002154D9"/>
    <w:rsid w:val="002156A5"/>
    <w:rsid w:val="00215FB3"/>
    <w:rsid w:val="0021611C"/>
    <w:rsid w:val="0021621F"/>
    <w:rsid w:val="00216B19"/>
    <w:rsid w:val="00216B3C"/>
    <w:rsid w:val="00217400"/>
    <w:rsid w:val="002175BC"/>
    <w:rsid w:val="002175E4"/>
    <w:rsid w:val="0021769D"/>
    <w:rsid w:val="00217732"/>
    <w:rsid w:val="00217A0E"/>
    <w:rsid w:val="00220D02"/>
    <w:rsid w:val="00221109"/>
    <w:rsid w:val="00221385"/>
    <w:rsid w:val="002216A2"/>
    <w:rsid w:val="00221901"/>
    <w:rsid w:val="002224BF"/>
    <w:rsid w:val="002226EF"/>
    <w:rsid w:val="00222A13"/>
    <w:rsid w:val="00222C7E"/>
    <w:rsid w:val="00222E25"/>
    <w:rsid w:val="00222F79"/>
    <w:rsid w:val="00223032"/>
    <w:rsid w:val="00223095"/>
    <w:rsid w:val="0022323D"/>
    <w:rsid w:val="0022330D"/>
    <w:rsid w:val="00223516"/>
    <w:rsid w:val="00223D42"/>
    <w:rsid w:val="00224190"/>
    <w:rsid w:val="002241C1"/>
    <w:rsid w:val="002244D7"/>
    <w:rsid w:val="00224C54"/>
    <w:rsid w:val="00224C7B"/>
    <w:rsid w:val="00224E86"/>
    <w:rsid w:val="002253EA"/>
    <w:rsid w:val="0022591E"/>
    <w:rsid w:val="00225AA0"/>
    <w:rsid w:val="00225B09"/>
    <w:rsid w:val="00225E95"/>
    <w:rsid w:val="0022670C"/>
    <w:rsid w:val="002268ED"/>
    <w:rsid w:val="002269E5"/>
    <w:rsid w:val="00226A1C"/>
    <w:rsid w:val="00226B5B"/>
    <w:rsid w:val="00226D93"/>
    <w:rsid w:val="002274E6"/>
    <w:rsid w:val="002276BD"/>
    <w:rsid w:val="002279D8"/>
    <w:rsid w:val="00227B4D"/>
    <w:rsid w:val="00227CF2"/>
    <w:rsid w:val="0023006A"/>
    <w:rsid w:val="002302CF"/>
    <w:rsid w:val="00230306"/>
    <w:rsid w:val="00230CEE"/>
    <w:rsid w:val="002311D6"/>
    <w:rsid w:val="00231205"/>
    <w:rsid w:val="0023142A"/>
    <w:rsid w:val="00231F0E"/>
    <w:rsid w:val="00232102"/>
    <w:rsid w:val="002326B0"/>
    <w:rsid w:val="00232BF8"/>
    <w:rsid w:val="00232CF3"/>
    <w:rsid w:val="00233209"/>
    <w:rsid w:val="0023357D"/>
    <w:rsid w:val="002335C5"/>
    <w:rsid w:val="0023380A"/>
    <w:rsid w:val="00233889"/>
    <w:rsid w:val="00233AC4"/>
    <w:rsid w:val="0023409F"/>
    <w:rsid w:val="002342B3"/>
    <w:rsid w:val="002344E8"/>
    <w:rsid w:val="00234565"/>
    <w:rsid w:val="002349F0"/>
    <w:rsid w:val="00234A62"/>
    <w:rsid w:val="00234AAC"/>
    <w:rsid w:val="00234C03"/>
    <w:rsid w:val="00235214"/>
    <w:rsid w:val="002352E6"/>
    <w:rsid w:val="00236116"/>
    <w:rsid w:val="0023663A"/>
    <w:rsid w:val="00236643"/>
    <w:rsid w:val="00236E49"/>
    <w:rsid w:val="00237023"/>
    <w:rsid w:val="00237274"/>
    <w:rsid w:val="002404A1"/>
    <w:rsid w:val="002408F7"/>
    <w:rsid w:val="00240D51"/>
    <w:rsid w:val="00240D81"/>
    <w:rsid w:val="0024102A"/>
    <w:rsid w:val="002410D9"/>
    <w:rsid w:val="00241772"/>
    <w:rsid w:val="00241D1A"/>
    <w:rsid w:val="00241D32"/>
    <w:rsid w:val="00242802"/>
    <w:rsid w:val="00242811"/>
    <w:rsid w:val="00242D17"/>
    <w:rsid w:val="00242FA3"/>
    <w:rsid w:val="00243319"/>
    <w:rsid w:val="0024334C"/>
    <w:rsid w:val="002433A3"/>
    <w:rsid w:val="00243CE6"/>
    <w:rsid w:val="00243E55"/>
    <w:rsid w:val="002441D5"/>
    <w:rsid w:val="002442F7"/>
    <w:rsid w:val="00244C99"/>
    <w:rsid w:val="00244F1D"/>
    <w:rsid w:val="002450BD"/>
    <w:rsid w:val="00245347"/>
    <w:rsid w:val="00245586"/>
    <w:rsid w:val="00245976"/>
    <w:rsid w:val="00245D73"/>
    <w:rsid w:val="00245FEC"/>
    <w:rsid w:val="00246725"/>
    <w:rsid w:val="00247102"/>
    <w:rsid w:val="002475F5"/>
    <w:rsid w:val="00247B0A"/>
    <w:rsid w:val="00247F9F"/>
    <w:rsid w:val="00250950"/>
    <w:rsid w:val="00250D72"/>
    <w:rsid w:val="00250E5D"/>
    <w:rsid w:val="00251119"/>
    <w:rsid w:val="0025120C"/>
    <w:rsid w:val="0025164A"/>
    <w:rsid w:val="002517D1"/>
    <w:rsid w:val="00251863"/>
    <w:rsid w:val="002518FD"/>
    <w:rsid w:val="00251A39"/>
    <w:rsid w:val="002523E1"/>
    <w:rsid w:val="00252408"/>
    <w:rsid w:val="002526C7"/>
    <w:rsid w:val="002528ED"/>
    <w:rsid w:val="0025314C"/>
    <w:rsid w:val="002531FD"/>
    <w:rsid w:val="002534CF"/>
    <w:rsid w:val="00253544"/>
    <w:rsid w:val="0025357B"/>
    <w:rsid w:val="00254023"/>
    <w:rsid w:val="00254024"/>
    <w:rsid w:val="00254A94"/>
    <w:rsid w:val="00254C89"/>
    <w:rsid w:val="002552E6"/>
    <w:rsid w:val="002554F1"/>
    <w:rsid w:val="002555D0"/>
    <w:rsid w:val="00255747"/>
    <w:rsid w:val="0025581D"/>
    <w:rsid w:val="00255DC9"/>
    <w:rsid w:val="00255E93"/>
    <w:rsid w:val="002561C4"/>
    <w:rsid w:val="0025626F"/>
    <w:rsid w:val="00256C11"/>
    <w:rsid w:val="00256FD5"/>
    <w:rsid w:val="002572E1"/>
    <w:rsid w:val="002577DE"/>
    <w:rsid w:val="0025781C"/>
    <w:rsid w:val="002578AE"/>
    <w:rsid w:val="00257D78"/>
    <w:rsid w:val="00260205"/>
    <w:rsid w:val="00260733"/>
    <w:rsid w:val="002607A5"/>
    <w:rsid w:val="00261208"/>
    <w:rsid w:val="002613A1"/>
    <w:rsid w:val="00261585"/>
    <w:rsid w:val="00261642"/>
    <w:rsid w:val="002617E6"/>
    <w:rsid w:val="00262059"/>
    <w:rsid w:val="00263101"/>
    <w:rsid w:val="00263139"/>
    <w:rsid w:val="00263402"/>
    <w:rsid w:val="00263810"/>
    <w:rsid w:val="00263963"/>
    <w:rsid w:val="00263C21"/>
    <w:rsid w:val="0026476B"/>
    <w:rsid w:val="00264BB8"/>
    <w:rsid w:val="00264CAE"/>
    <w:rsid w:val="00264F71"/>
    <w:rsid w:val="00265719"/>
    <w:rsid w:val="00265915"/>
    <w:rsid w:val="00265EF0"/>
    <w:rsid w:val="002661CB"/>
    <w:rsid w:val="002666DC"/>
    <w:rsid w:val="00266907"/>
    <w:rsid w:val="00267527"/>
    <w:rsid w:val="00267AEA"/>
    <w:rsid w:val="00267B2B"/>
    <w:rsid w:val="00267D1F"/>
    <w:rsid w:val="002701D8"/>
    <w:rsid w:val="0027049F"/>
    <w:rsid w:val="00270AF2"/>
    <w:rsid w:val="00270D3A"/>
    <w:rsid w:val="00271224"/>
    <w:rsid w:val="002716B6"/>
    <w:rsid w:val="00271769"/>
    <w:rsid w:val="00271F33"/>
    <w:rsid w:val="0027304F"/>
    <w:rsid w:val="002739F8"/>
    <w:rsid w:val="00273AB0"/>
    <w:rsid w:val="002744D1"/>
    <w:rsid w:val="00274960"/>
    <w:rsid w:val="00274C84"/>
    <w:rsid w:val="002752AA"/>
    <w:rsid w:val="002753D1"/>
    <w:rsid w:val="0027540A"/>
    <w:rsid w:val="00275F4E"/>
    <w:rsid w:val="002761D0"/>
    <w:rsid w:val="00276292"/>
    <w:rsid w:val="002766DD"/>
    <w:rsid w:val="00276774"/>
    <w:rsid w:val="00276A32"/>
    <w:rsid w:val="00276A41"/>
    <w:rsid w:val="00277057"/>
    <w:rsid w:val="002775D1"/>
    <w:rsid w:val="00277695"/>
    <w:rsid w:val="00277B3C"/>
    <w:rsid w:val="00277C71"/>
    <w:rsid w:val="00280448"/>
    <w:rsid w:val="002807AE"/>
    <w:rsid w:val="00280875"/>
    <w:rsid w:val="00280A9F"/>
    <w:rsid w:val="00280D3B"/>
    <w:rsid w:val="002814C1"/>
    <w:rsid w:val="0028159D"/>
    <w:rsid w:val="0028171F"/>
    <w:rsid w:val="002834EB"/>
    <w:rsid w:val="00283E2A"/>
    <w:rsid w:val="002840AB"/>
    <w:rsid w:val="00284784"/>
    <w:rsid w:val="002856D7"/>
    <w:rsid w:val="00285738"/>
    <w:rsid w:val="00285BC4"/>
    <w:rsid w:val="00285F12"/>
    <w:rsid w:val="00285F72"/>
    <w:rsid w:val="00286223"/>
    <w:rsid w:val="002869BC"/>
    <w:rsid w:val="00286AEE"/>
    <w:rsid w:val="00286E04"/>
    <w:rsid w:val="00287F6A"/>
    <w:rsid w:val="00290011"/>
    <w:rsid w:val="002902DF"/>
    <w:rsid w:val="002905C8"/>
    <w:rsid w:val="002908EF"/>
    <w:rsid w:val="00290B95"/>
    <w:rsid w:val="00290C8E"/>
    <w:rsid w:val="0029152A"/>
    <w:rsid w:val="0029156D"/>
    <w:rsid w:val="00291819"/>
    <w:rsid w:val="0029215C"/>
    <w:rsid w:val="00292380"/>
    <w:rsid w:val="002925C2"/>
    <w:rsid w:val="00293022"/>
    <w:rsid w:val="002930E0"/>
    <w:rsid w:val="00293120"/>
    <w:rsid w:val="002931F8"/>
    <w:rsid w:val="0029331F"/>
    <w:rsid w:val="0029350E"/>
    <w:rsid w:val="0029389C"/>
    <w:rsid w:val="00293F7B"/>
    <w:rsid w:val="00294479"/>
    <w:rsid w:val="002947BD"/>
    <w:rsid w:val="00294C1D"/>
    <w:rsid w:val="00294C5E"/>
    <w:rsid w:val="00294D45"/>
    <w:rsid w:val="00294E4B"/>
    <w:rsid w:val="00295765"/>
    <w:rsid w:val="00295CAD"/>
    <w:rsid w:val="0029600A"/>
    <w:rsid w:val="00296BBB"/>
    <w:rsid w:val="002A01B8"/>
    <w:rsid w:val="002A02F0"/>
    <w:rsid w:val="002A05D7"/>
    <w:rsid w:val="002A11F6"/>
    <w:rsid w:val="002A12E9"/>
    <w:rsid w:val="002A1359"/>
    <w:rsid w:val="002A1645"/>
    <w:rsid w:val="002A1980"/>
    <w:rsid w:val="002A1CC3"/>
    <w:rsid w:val="002A1D3D"/>
    <w:rsid w:val="002A1D79"/>
    <w:rsid w:val="002A21B0"/>
    <w:rsid w:val="002A2AF4"/>
    <w:rsid w:val="002A2BF7"/>
    <w:rsid w:val="002A2C16"/>
    <w:rsid w:val="002A2D3A"/>
    <w:rsid w:val="002A2DDE"/>
    <w:rsid w:val="002A33EF"/>
    <w:rsid w:val="002A36F3"/>
    <w:rsid w:val="002A3D65"/>
    <w:rsid w:val="002A45B8"/>
    <w:rsid w:val="002A4834"/>
    <w:rsid w:val="002A4BE8"/>
    <w:rsid w:val="002A4EE4"/>
    <w:rsid w:val="002A522D"/>
    <w:rsid w:val="002A5BCB"/>
    <w:rsid w:val="002A5D78"/>
    <w:rsid w:val="002A614B"/>
    <w:rsid w:val="002A65A4"/>
    <w:rsid w:val="002A6CA1"/>
    <w:rsid w:val="002A73BF"/>
    <w:rsid w:val="002A7B7F"/>
    <w:rsid w:val="002A7BDA"/>
    <w:rsid w:val="002B03AB"/>
    <w:rsid w:val="002B04AE"/>
    <w:rsid w:val="002B08EA"/>
    <w:rsid w:val="002B0C82"/>
    <w:rsid w:val="002B0D49"/>
    <w:rsid w:val="002B1151"/>
    <w:rsid w:val="002B12BA"/>
    <w:rsid w:val="002B1550"/>
    <w:rsid w:val="002B1652"/>
    <w:rsid w:val="002B1CD3"/>
    <w:rsid w:val="002B1EC6"/>
    <w:rsid w:val="002B22A7"/>
    <w:rsid w:val="002B26C0"/>
    <w:rsid w:val="002B2E1F"/>
    <w:rsid w:val="002B3127"/>
    <w:rsid w:val="002B3282"/>
    <w:rsid w:val="002B33EB"/>
    <w:rsid w:val="002B4359"/>
    <w:rsid w:val="002B459C"/>
    <w:rsid w:val="002B4C44"/>
    <w:rsid w:val="002B4FC1"/>
    <w:rsid w:val="002B5554"/>
    <w:rsid w:val="002B578E"/>
    <w:rsid w:val="002B6026"/>
    <w:rsid w:val="002B62A5"/>
    <w:rsid w:val="002B62BB"/>
    <w:rsid w:val="002B62D4"/>
    <w:rsid w:val="002B63A9"/>
    <w:rsid w:val="002B6A29"/>
    <w:rsid w:val="002B6C6D"/>
    <w:rsid w:val="002B6CD5"/>
    <w:rsid w:val="002B6E10"/>
    <w:rsid w:val="002B7260"/>
    <w:rsid w:val="002B73FF"/>
    <w:rsid w:val="002B742F"/>
    <w:rsid w:val="002B7837"/>
    <w:rsid w:val="002C0B40"/>
    <w:rsid w:val="002C0BF5"/>
    <w:rsid w:val="002C0F42"/>
    <w:rsid w:val="002C1362"/>
    <w:rsid w:val="002C1A52"/>
    <w:rsid w:val="002C1B0A"/>
    <w:rsid w:val="002C1C08"/>
    <w:rsid w:val="002C1C87"/>
    <w:rsid w:val="002C20D7"/>
    <w:rsid w:val="002C2249"/>
    <w:rsid w:val="002C2D7A"/>
    <w:rsid w:val="002C36B9"/>
    <w:rsid w:val="002C3740"/>
    <w:rsid w:val="002C38B9"/>
    <w:rsid w:val="002C38F5"/>
    <w:rsid w:val="002C520B"/>
    <w:rsid w:val="002C5230"/>
    <w:rsid w:val="002C569E"/>
    <w:rsid w:val="002C5B23"/>
    <w:rsid w:val="002C5B73"/>
    <w:rsid w:val="002C5E64"/>
    <w:rsid w:val="002C6991"/>
    <w:rsid w:val="002C6CBB"/>
    <w:rsid w:val="002C6D71"/>
    <w:rsid w:val="002C70B3"/>
    <w:rsid w:val="002C7774"/>
    <w:rsid w:val="002C7959"/>
    <w:rsid w:val="002C7F7F"/>
    <w:rsid w:val="002C7FDC"/>
    <w:rsid w:val="002D00B6"/>
    <w:rsid w:val="002D06CE"/>
    <w:rsid w:val="002D0875"/>
    <w:rsid w:val="002D0889"/>
    <w:rsid w:val="002D11AB"/>
    <w:rsid w:val="002D141F"/>
    <w:rsid w:val="002D1897"/>
    <w:rsid w:val="002D243B"/>
    <w:rsid w:val="002D274D"/>
    <w:rsid w:val="002D2BB3"/>
    <w:rsid w:val="002D317D"/>
    <w:rsid w:val="002D3449"/>
    <w:rsid w:val="002D4515"/>
    <w:rsid w:val="002D49F3"/>
    <w:rsid w:val="002D4E31"/>
    <w:rsid w:val="002D53F2"/>
    <w:rsid w:val="002D595B"/>
    <w:rsid w:val="002D5AF1"/>
    <w:rsid w:val="002D5CF6"/>
    <w:rsid w:val="002D5D26"/>
    <w:rsid w:val="002D61D8"/>
    <w:rsid w:val="002E04FB"/>
    <w:rsid w:val="002E0586"/>
    <w:rsid w:val="002E06A2"/>
    <w:rsid w:val="002E06C9"/>
    <w:rsid w:val="002E085A"/>
    <w:rsid w:val="002E09C9"/>
    <w:rsid w:val="002E1030"/>
    <w:rsid w:val="002E1338"/>
    <w:rsid w:val="002E14A0"/>
    <w:rsid w:val="002E18E4"/>
    <w:rsid w:val="002E1A26"/>
    <w:rsid w:val="002E24A6"/>
    <w:rsid w:val="002E28D7"/>
    <w:rsid w:val="002E2A2B"/>
    <w:rsid w:val="002E2D77"/>
    <w:rsid w:val="002E3240"/>
    <w:rsid w:val="002E3BBC"/>
    <w:rsid w:val="002E3C2F"/>
    <w:rsid w:val="002E4422"/>
    <w:rsid w:val="002E4A74"/>
    <w:rsid w:val="002E4AC3"/>
    <w:rsid w:val="002E4C66"/>
    <w:rsid w:val="002E4E42"/>
    <w:rsid w:val="002E5344"/>
    <w:rsid w:val="002E587E"/>
    <w:rsid w:val="002E5FA9"/>
    <w:rsid w:val="002E631B"/>
    <w:rsid w:val="002E6344"/>
    <w:rsid w:val="002E65A1"/>
    <w:rsid w:val="002E6FED"/>
    <w:rsid w:val="002E794B"/>
    <w:rsid w:val="002E7DB7"/>
    <w:rsid w:val="002F0C0A"/>
    <w:rsid w:val="002F1C6A"/>
    <w:rsid w:val="002F20D8"/>
    <w:rsid w:val="002F2C92"/>
    <w:rsid w:val="002F2CAB"/>
    <w:rsid w:val="002F2D47"/>
    <w:rsid w:val="002F2D79"/>
    <w:rsid w:val="002F2DE3"/>
    <w:rsid w:val="002F3564"/>
    <w:rsid w:val="002F3778"/>
    <w:rsid w:val="002F41C5"/>
    <w:rsid w:val="002F42C6"/>
    <w:rsid w:val="002F52F7"/>
    <w:rsid w:val="002F561F"/>
    <w:rsid w:val="002F5964"/>
    <w:rsid w:val="002F5AB3"/>
    <w:rsid w:val="002F5BEC"/>
    <w:rsid w:val="002F60F4"/>
    <w:rsid w:val="002F63CC"/>
    <w:rsid w:val="002F6E14"/>
    <w:rsid w:val="002F7061"/>
    <w:rsid w:val="002F722B"/>
    <w:rsid w:val="002F7853"/>
    <w:rsid w:val="002F79A2"/>
    <w:rsid w:val="002F7B1C"/>
    <w:rsid w:val="0030001B"/>
    <w:rsid w:val="00300508"/>
    <w:rsid w:val="00300714"/>
    <w:rsid w:val="00300730"/>
    <w:rsid w:val="00300878"/>
    <w:rsid w:val="0030088F"/>
    <w:rsid w:val="00300B84"/>
    <w:rsid w:val="00301179"/>
    <w:rsid w:val="00301726"/>
    <w:rsid w:val="00302364"/>
    <w:rsid w:val="0030238D"/>
    <w:rsid w:val="003023C4"/>
    <w:rsid w:val="00302CC1"/>
    <w:rsid w:val="003030C5"/>
    <w:rsid w:val="00303236"/>
    <w:rsid w:val="003038AC"/>
    <w:rsid w:val="00304259"/>
    <w:rsid w:val="00304BC3"/>
    <w:rsid w:val="00304CDB"/>
    <w:rsid w:val="00304DCC"/>
    <w:rsid w:val="0030507B"/>
    <w:rsid w:val="00305223"/>
    <w:rsid w:val="003052A4"/>
    <w:rsid w:val="0030552D"/>
    <w:rsid w:val="00305A93"/>
    <w:rsid w:val="00305BC9"/>
    <w:rsid w:val="00305CAE"/>
    <w:rsid w:val="00305DAE"/>
    <w:rsid w:val="00306868"/>
    <w:rsid w:val="003068AF"/>
    <w:rsid w:val="0030697B"/>
    <w:rsid w:val="00306E63"/>
    <w:rsid w:val="00307032"/>
    <w:rsid w:val="003070B4"/>
    <w:rsid w:val="003070E0"/>
    <w:rsid w:val="00307D6C"/>
    <w:rsid w:val="00310D76"/>
    <w:rsid w:val="00310E92"/>
    <w:rsid w:val="00311258"/>
    <w:rsid w:val="003112C0"/>
    <w:rsid w:val="00311369"/>
    <w:rsid w:val="003128A4"/>
    <w:rsid w:val="0031298B"/>
    <w:rsid w:val="00312A16"/>
    <w:rsid w:val="00312ACC"/>
    <w:rsid w:val="00312ACF"/>
    <w:rsid w:val="00312B34"/>
    <w:rsid w:val="00312EA6"/>
    <w:rsid w:val="00312F5A"/>
    <w:rsid w:val="00313321"/>
    <w:rsid w:val="003137FD"/>
    <w:rsid w:val="003144C4"/>
    <w:rsid w:val="003148D5"/>
    <w:rsid w:val="0031496B"/>
    <w:rsid w:val="00314A0A"/>
    <w:rsid w:val="00314B38"/>
    <w:rsid w:val="00314BC0"/>
    <w:rsid w:val="00314F2A"/>
    <w:rsid w:val="00315613"/>
    <w:rsid w:val="00315BF8"/>
    <w:rsid w:val="00315F3A"/>
    <w:rsid w:val="00316349"/>
    <w:rsid w:val="003163B8"/>
    <w:rsid w:val="003169AB"/>
    <w:rsid w:val="00316B3E"/>
    <w:rsid w:val="00316CB4"/>
    <w:rsid w:val="003179A3"/>
    <w:rsid w:val="00317A2D"/>
    <w:rsid w:val="00317BA5"/>
    <w:rsid w:val="00317D3A"/>
    <w:rsid w:val="003202A0"/>
    <w:rsid w:val="003203D2"/>
    <w:rsid w:val="00320789"/>
    <w:rsid w:val="003207B3"/>
    <w:rsid w:val="00320B6B"/>
    <w:rsid w:val="00320C9F"/>
    <w:rsid w:val="00320E8F"/>
    <w:rsid w:val="003210A1"/>
    <w:rsid w:val="00321D8A"/>
    <w:rsid w:val="00322288"/>
    <w:rsid w:val="003222C8"/>
    <w:rsid w:val="00322334"/>
    <w:rsid w:val="003228EF"/>
    <w:rsid w:val="00322A3D"/>
    <w:rsid w:val="00322A5A"/>
    <w:rsid w:val="00322D89"/>
    <w:rsid w:val="0032342E"/>
    <w:rsid w:val="00323E66"/>
    <w:rsid w:val="00324051"/>
    <w:rsid w:val="0032449C"/>
    <w:rsid w:val="0032486A"/>
    <w:rsid w:val="00324F72"/>
    <w:rsid w:val="00325358"/>
    <w:rsid w:val="0032541E"/>
    <w:rsid w:val="0032560E"/>
    <w:rsid w:val="0032637F"/>
    <w:rsid w:val="0032642C"/>
    <w:rsid w:val="00326B53"/>
    <w:rsid w:val="00326FAF"/>
    <w:rsid w:val="003273C4"/>
    <w:rsid w:val="003277A7"/>
    <w:rsid w:val="003278D6"/>
    <w:rsid w:val="00327E78"/>
    <w:rsid w:val="0033004E"/>
    <w:rsid w:val="0033050B"/>
    <w:rsid w:val="00330A12"/>
    <w:rsid w:val="00330BDC"/>
    <w:rsid w:val="003313D2"/>
    <w:rsid w:val="00331649"/>
    <w:rsid w:val="0033176E"/>
    <w:rsid w:val="003317E8"/>
    <w:rsid w:val="00331A42"/>
    <w:rsid w:val="00331AD8"/>
    <w:rsid w:val="00331EE5"/>
    <w:rsid w:val="00332679"/>
    <w:rsid w:val="003330D3"/>
    <w:rsid w:val="0033398C"/>
    <w:rsid w:val="00333A06"/>
    <w:rsid w:val="00333C2D"/>
    <w:rsid w:val="00333E49"/>
    <w:rsid w:val="00333FC1"/>
    <w:rsid w:val="0033418F"/>
    <w:rsid w:val="003341DF"/>
    <w:rsid w:val="0033458C"/>
    <w:rsid w:val="003347D1"/>
    <w:rsid w:val="00334A1B"/>
    <w:rsid w:val="00334A46"/>
    <w:rsid w:val="003350C6"/>
    <w:rsid w:val="00335434"/>
    <w:rsid w:val="00335642"/>
    <w:rsid w:val="003359DB"/>
    <w:rsid w:val="00335AAE"/>
    <w:rsid w:val="00335C62"/>
    <w:rsid w:val="00335D1E"/>
    <w:rsid w:val="00335DDD"/>
    <w:rsid w:val="0033632F"/>
    <w:rsid w:val="003369F1"/>
    <w:rsid w:val="00336D18"/>
    <w:rsid w:val="00337196"/>
    <w:rsid w:val="00337E12"/>
    <w:rsid w:val="00337F64"/>
    <w:rsid w:val="003400CE"/>
    <w:rsid w:val="003401A5"/>
    <w:rsid w:val="00340559"/>
    <w:rsid w:val="00341673"/>
    <w:rsid w:val="00342461"/>
    <w:rsid w:val="00342D00"/>
    <w:rsid w:val="00342D50"/>
    <w:rsid w:val="00342F23"/>
    <w:rsid w:val="00343079"/>
    <w:rsid w:val="00343C55"/>
    <w:rsid w:val="003442AC"/>
    <w:rsid w:val="003442FA"/>
    <w:rsid w:val="003447C8"/>
    <w:rsid w:val="00344DCD"/>
    <w:rsid w:val="00345DC4"/>
    <w:rsid w:val="003468E6"/>
    <w:rsid w:val="003468FA"/>
    <w:rsid w:val="003469A3"/>
    <w:rsid w:val="00346A4F"/>
    <w:rsid w:val="00346E71"/>
    <w:rsid w:val="00347376"/>
    <w:rsid w:val="0034761B"/>
    <w:rsid w:val="00347B78"/>
    <w:rsid w:val="00347C20"/>
    <w:rsid w:val="00350502"/>
    <w:rsid w:val="003505E5"/>
    <w:rsid w:val="00350660"/>
    <w:rsid w:val="003509FE"/>
    <w:rsid w:val="00350CD2"/>
    <w:rsid w:val="00351284"/>
    <w:rsid w:val="00351ABD"/>
    <w:rsid w:val="00351E3B"/>
    <w:rsid w:val="00352129"/>
    <w:rsid w:val="00352258"/>
    <w:rsid w:val="00352430"/>
    <w:rsid w:val="00352531"/>
    <w:rsid w:val="003528A9"/>
    <w:rsid w:val="00352C11"/>
    <w:rsid w:val="003532E5"/>
    <w:rsid w:val="0035387D"/>
    <w:rsid w:val="00353B6E"/>
    <w:rsid w:val="00353D09"/>
    <w:rsid w:val="00353DC2"/>
    <w:rsid w:val="00353E6E"/>
    <w:rsid w:val="003548C0"/>
    <w:rsid w:val="00354CD6"/>
    <w:rsid w:val="00354E1C"/>
    <w:rsid w:val="00354F0B"/>
    <w:rsid w:val="003550A8"/>
    <w:rsid w:val="003550EF"/>
    <w:rsid w:val="00355294"/>
    <w:rsid w:val="0035629C"/>
    <w:rsid w:val="003564B0"/>
    <w:rsid w:val="00356672"/>
    <w:rsid w:val="003567EE"/>
    <w:rsid w:val="00356935"/>
    <w:rsid w:val="00356C7E"/>
    <w:rsid w:val="0035700E"/>
    <w:rsid w:val="00357325"/>
    <w:rsid w:val="00357576"/>
    <w:rsid w:val="0035796E"/>
    <w:rsid w:val="00357C7B"/>
    <w:rsid w:val="0036034D"/>
    <w:rsid w:val="003609FB"/>
    <w:rsid w:val="003610DB"/>
    <w:rsid w:val="003611DA"/>
    <w:rsid w:val="00361530"/>
    <w:rsid w:val="003616D4"/>
    <w:rsid w:val="0036178B"/>
    <w:rsid w:val="00361C12"/>
    <w:rsid w:val="003621B4"/>
    <w:rsid w:val="003621CB"/>
    <w:rsid w:val="003629B5"/>
    <w:rsid w:val="00362B7C"/>
    <w:rsid w:val="00362C8C"/>
    <w:rsid w:val="00363304"/>
    <w:rsid w:val="003636E9"/>
    <w:rsid w:val="00363779"/>
    <w:rsid w:val="003639F2"/>
    <w:rsid w:val="00363F20"/>
    <w:rsid w:val="003648F6"/>
    <w:rsid w:val="00364D5E"/>
    <w:rsid w:val="00365129"/>
    <w:rsid w:val="003651B6"/>
    <w:rsid w:val="00365456"/>
    <w:rsid w:val="00365CC8"/>
    <w:rsid w:val="003664CA"/>
    <w:rsid w:val="00366A49"/>
    <w:rsid w:val="003675BA"/>
    <w:rsid w:val="003675D0"/>
    <w:rsid w:val="00367641"/>
    <w:rsid w:val="00367F0A"/>
    <w:rsid w:val="00367FC9"/>
    <w:rsid w:val="00370691"/>
    <w:rsid w:val="003707C2"/>
    <w:rsid w:val="00370C7F"/>
    <w:rsid w:val="00370DCE"/>
    <w:rsid w:val="00370F17"/>
    <w:rsid w:val="00371374"/>
    <w:rsid w:val="00372338"/>
    <w:rsid w:val="003723B3"/>
    <w:rsid w:val="00372644"/>
    <w:rsid w:val="00372BE4"/>
    <w:rsid w:val="00372C7A"/>
    <w:rsid w:val="00372C96"/>
    <w:rsid w:val="00372CBD"/>
    <w:rsid w:val="00372E67"/>
    <w:rsid w:val="003730AD"/>
    <w:rsid w:val="003735F7"/>
    <w:rsid w:val="00373C7A"/>
    <w:rsid w:val="00373F6F"/>
    <w:rsid w:val="003741F5"/>
    <w:rsid w:val="00374405"/>
    <w:rsid w:val="0037446F"/>
    <w:rsid w:val="00374661"/>
    <w:rsid w:val="00374AA8"/>
    <w:rsid w:val="00374ADE"/>
    <w:rsid w:val="00375586"/>
    <w:rsid w:val="00375667"/>
    <w:rsid w:val="003756D6"/>
    <w:rsid w:val="00375B4C"/>
    <w:rsid w:val="00375C91"/>
    <w:rsid w:val="00375DE3"/>
    <w:rsid w:val="00376358"/>
    <w:rsid w:val="0037678A"/>
    <w:rsid w:val="003774E7"/>
    <w:rsid w:val="0037784C"/>
    <w:rsid w:val="0037791C"/>
    <w:rsid w:val="0038075B"/>
    <w:rsid w:val="00380778"/>
    <w:rsid w:val="00380927"/>
    <w:rsid w:val="003809B1"/>
    <w:rsid w:val="00380A0B"/>
    <w:rsid w:val="00380BBC"/>
    <w:rsid w:val="00380BED"/>
    <w:rsid w:val="00380FA1"/>
    <w:rsid w:val="003814DB"/>
    <w:rsid w:val="003815C2"/>
    <w:rsid w:val="00381A51"/>
    <w:rsid w:val="00381B01"/>
    <w:rsid w:val="00381DCB"/>
    <w:rsid w:val="00381E9A"/>
    <w:rsid w:val="00382566"/>
    <w:rsid w:val="00382EB7"/>
    <w:rsid w:val="003831DC"/>
    <w:rsid w:val="003832EE"/>
    <w:rsid w:val="00383407"/>
    <w:rsid w:val="003847D3"/>
    <w:rsid w:val="00384FC7"/>
    <w:rsid w:val="0038521D"/>
    <w:rsid w:val="00385DE1"/>
    <w:rsid w:val="00386282"/>
    <w:rsid w:val="0038636F"/>
    <w:rsid w:val="00386664"/>
    <w:rsid w:val="00386E6E"/>
    <w:rsid w:val="0038786A"/>
    <w:rsid w:val="003878F2"/>
    <w:rsid w:val="00387D80"/>
    <w:rsid w:val="00387EB4"/>
    <w:rsid w:val="0039067A"/>
    <w:rsid w:val="00390797"/>
    <w:rsid w:val="00390AD6"/>
    <w:rsid w:val="00390CA8"/>
    <w:rsid w:val="00390F08"/>
    <w:rsid w:val="00391273"/>
    <w:rsid w:val="00391AD5"/>
    <w:rsid w:val="00392142"/>
    <w:rsid w:val="00392175"/>
    <w:rsid w:val="00392A9C"/>
    <w:rsid w:val="00392EA9"/>
    <w:rsid w:val="003936F0"/>
    <w:rsid w:val="00393801"/>
    <w:rsid w:val="0039381C"/>
    <w:rsid w:val="00393AB5"/>
    <w:rsid w:val="00394DB7"/>
    <w:rsid w:val="003955CE"/>
    <w:rsid w:val="0039580D"/>
    <w:rsid w:val="00395A3C"/>
    <w:rsid w:val="003961A6"/>
    <w:rsid w:val="0039693C"/>
    <w:rsid w:val="00396F70"/>
    <w:rsid w:val="003970BA"/>
    <w:rsid w:val="003972D9"/>
    <w:rsid w:val="00397E1B"/>
    <w:rsid w:val="003A04DD"/>
    <w:rsid w:val="003A0619"/>
    <w:rsid w:val="003A0DA2"/>
    <w:rsid w:val="003A1260"/>
    <w:rsid w:val="003A13BE"/>
    <w:rsid w:val="003A1F92"/>
    <w:rsid w:val="003A208D"/>
    <w:rsid w:val="003A2536"/>
    <w:rsid w:val="003A2821"/>
    <w:rsid w:val="003A340D"/>
    <w:rsid w:val="003A3BBE"/>
    <w:rsid w:val="003A3BE2"/>
    <w:rsid w:val="003A3DA6"/>
    <w:rsid w:val="003A4647"/>
    <w:rsid w:val="003A49D2"/>
    <w:rsid w:val="003A4A69"/>
    <w:rsid w:val="003A5263"/>
    <w:rsid w:val="003A535C"/>
    <w:rsid w:val="003A5382"/>
    <w:rsid w:val="003A5D23"/>
    <w:rsid w:val="003A5F10"/>
    <w:rsid w:val="003A602D"/>
    <w:rsid w:val="003A634D"/>
    <w:rsid w:val="003A6651"/>
    <w:rsid w:val="003A6B82"/>
    <w:rsid w:val="003A6C03"/>
    <w:rsid w:val="003A6CE6"/>
    <w:rsid w:val="003A6EB4"/>
    <w:rsid w:val="003A705A"/>
    <w:rsid w:val="003A7235"/>
    <w:rsid w:val="003A7285"/>
    <w:rsid w:val="003A74DE"/>
    <w:rsid w:val="003A7E55"/>
    <w:rsid w:val="003B07E4"/>
    <w:rsid w:val="003B0882"/>
    <w:rsid w:val="003B0DF0"/>
    <w:rsid w:val="003B0E71"/>
    <w:rsid w:val="003B1055"/>
    <w:rsid w:val="003B1586"/>
    <w:rsid w:val="003B161D"/>
    <w:rsid w:val="003B1A6B"/>
    <w:rsid w:val="003B1B17"/>
    <w:rsid w:val="003B32C3"/>
    <w:rsid w:val="003B374E"/>
    <w:rsid w:val="003B37DA"/>
    <w:rsid w:val="003B3B59"/>
    <w:rsid w:val="003B3BD4"/>
    <w:rsid w:val="003B45CF"/>
    <w:rsid w:val="003B4E2B"/>
    <w:rsid w:val="003B50C0"/>
    <w:rsid w:val="003B5886"/>
    <w:rsid w:val="003B5F45"/>
    <w:rsid w:val="003B60D9"/>
    <w:rsid w:val="003B6B50"/>
    <w:rsid w:val="003B6F64"/>
    <w:rsid w:val="003B7112"/>
    <w:rsid w:val="003B7629"/>
    <w:rsid w:val="003B7C47"/>
    <w:rsid w:val="003C018F"/>
    <w:rsid w:val="003C035D"/>
    <w:rsid w:val="003C0398"/>
    <w:rsid w:val="003C044B"/>
    <w:rsid w:val="003C0640"/>
    <w:rsid w:val="003C08EF"/>
    <w:rsid w:val="003C0DEF"/>
    <w:rsid w:val="003C13A6"/>
    <w:rsid w:val="003C1412"/>
    <w:rsid w:val="003C1A82"/>
    <w:rsid w:val="003C1B46"/>
    <w:rsid w:val="003C1BB6"/>
    <w:rsid w:val="003C1CD7"/>
    <w:rsid w:val="003C225B"/>
    <w:rsid w:val="003C243E"/>
    <w:rsid w:val="003C2691"/>
    <w:rsid w:val="003C29AA"/>
    <w:rsid w:val="003C29F1"/>
    <w:rsid w:val="003C2CAA"/>
    <w:rsid w:val="003C3612"/>
    <w:rsid w:val="003C373A"/>
    <w:rsid w:val="003C3D8F"/>
    <w:rsid w:val="003C42E4"/>
    <w:rsid w:val="003C42E9"/>
    <w:rsid w:val="003C4612"/>
    <w:rsid w:val="003C46D5"/>
    <w:rsid w:val="003C477E"/>
    <w:rsid w:val="003C4904"/>
    <w:rsid w:val="003C495D"/>
    <w:rsid w:val="003C4E04"/>
    <w:rsid w:val="003C523A"/>
    <w:rsid w:val="003C561E"/>
    <w:rsid w:val="003C5941"/>
    <w:rsid w:val="003C707E"/>
    <w:rsid w:val="003C736E"/>
    <w:rsid w:val="003C749E"/>
    <w:rsid w:val="003C75AD"/>
    <w:rsid w:val="003C77B4"/>
    <w:rsid w:val="003C7BD8"/>
    <w:rsid w:val="003D01B1"/>
    <w:rsid w:val="003D0483"/>
    <w:rsid w:val="003D0647"/>
    <w:rsid w:val="003D0893"/>
    <w:rsid w:val="003D0E08"/>
    <w:rsid w:val="003D0ED3"/>
    <w:rsid w:val="003D0EF7"/>
    <w:rsid w:val="003D1094"/>
    <w:rsid w:val="003D1405"/>
    <w:rsid w:val="003D1666"/>
    <w:rsid w:val="003D1BC9"/>
    <w:rsid w:val="003D1F08"/>
    <w:rsid w:val="003D2B24"/>
    <w:rsid w:val="003D2BB7"/>
    <w:rsid w:val="003D2EDC"/>
    <w:rsid w:val="003D304E"/>
    <w:rsid w:val="003D396E"/>
    <w:rsid w:val="003D3CFD"/>
    <w:rsid w:val="003D4484"/>
    <w:rsid w:val="003D4AEC"/>
    <w:rsid w:val="003D4B1B"/>
    <w:rsid w:val="003D5017"/>
    <w:rsid w:val="003D5301"/>
    <w:rsid w:val="003D53F4"/>
    <w:rsid w:val="003D56EA"/>
    <w:rsid w:val="003D5905"/>
    <w:rsid w:val="003D59D6"/>
    <w:rsid w:val="003D5B93"/>
    <w:rsid w:val="003D5E9B"/>
    <w:rsid w:val="003D641C"/>
    <w:rsid w:val="003D66EE"/>
    <w:rsid w:val="003D6F58"/>
    <w:rsid w:val="003D71F9"/>
    <w:rsid w:val="003D7255"/>
    <w:rsid w:val="003D7931"/>
    <w:rsid w:val="003D7990"/>
    <w:rsid w:val="003D7A48"/>
    <w:rsid w:val="003D7A9B"/>
    <w:rsid w:val="003D7B1C"/>
    <w:rsid w:val="003D7EE1"/>
    <w:rsid w:val="003E0534"/>
    <w:rsid w:val="003E05D1"/>
    <w:rsid w:val="003E06E3"/>
    <w:rsid w:val="003E0D24"/>
    <w:rsid w:val="003E0DDC"/>
    <w:rsid w:val="003E1161"/>
    <w:rsid w:val="003E16B8"/>
    <w:rsid w:val="003E16DD"/>
    <w:rsid w:val="003E1879"/>
    <w:rsid w:val="003E28B8"/>
    <w:rsid w:val="003E2908"/>
    <w:rsid w:val="003E3C6F"/>
    <w:rsid w:val="003E4404"/>
    <w:rsid w:val="003E4B16"/>
    <w:rsid w:val="003E4B3D"/>
    <w:rsid w:val="003E5398"/>
    <w:rsid w:val="003E5AE2"/>
    <w:rsid w:val="003E5BD6"/>
    <w:rsid w:val="003E5C24"/>
    <w:rsid w:val="003E5F3E"/>
    <w:rsid w:val="003E60B6"/>
    <w:rsid w:val="003E68B5"/>
    <w:rsid w:val="003E6EDA"/>
    <w:rsid w:val="003E7993"/>
    <w:rsid w:val="003E79A9"/>
    <w:rsid w:val="003E7BE3"/>
    <w:rsid w:val="003E7C82"/>
    <w:rsid w:val="003E7D27"/>
    <w:rsid w:val="003E7E28"/>
    <w:rsid w:val="003F00B8"/>
    <w:rsid w:val="003F04F3"/>
    <w:rsid w:val="003F05B7"/>
    <w:rsid w:val="003F0736"/>
    <w:rsid w:val="003F0A8E"/>
    <w:rsid w:val="003F0D82"/>
    <w:rsid w:val="003F1022"/>
    <w:rsid w:val="003F1064"/>
    <w:rsid w:val="003F10B7"/>
    <w:rsid w:val="003F162D"/>
    <w:rsid w:val="003F17C4"/>
    <w:rsid w:val="003F1D53"/>
    <w:rsid w:val="003F1E72"/>
    <w:rsid w:val="003F243F"/>
    <w:rsid w:val="003F24B4"/>
    <w:rsid w:val="003F271B"/>
    <w:rsid w:val="003F2742"/>
    <w:rsid w:val="003F29ED"/>
    <w:rsid w:val="003F2E77"/>
    <w:rsid w:val="003F3028"/>
    <w:rsid w:val="003F321F"/>
    <w:rsid w:val="003F336B"/>
    <w:rsid w:val="003F3651"/>
    <w:rsid w:val="003F3E8C"/>
    <w:rsid w:val="003F3F85"/>
    <w:rsid w:val="003F417E"/>
    <w:rsid w:val="003F468D"/>
    <w:rsid w:val="003F47A3"/>
    <w:rsid w:val="003F47ED"/>
    <w:rsid w:val="003F521D"/>
    <w:rsid w:val="003F5309"/>
    <w:rsid w:val="003F54F7"/>
    <w:rsid w:val="003F5664"/>
    <w:rsid w:val="003F57B5"/>
    <w:rsid w:val="003F5CBF"/>
    <w:rsid w:val="003F67E1"/>
    <w:rsid w:val="003F6CE6"/>
    <w:rsid w:val="003F6F59"/>
    <w:rsid w:val="003F74DC"/>
    <w:rsid w:val="003F7616"/>
    <w:rsid w:val="003F77C5"/>
    <w:rsid w:val="003F7C48"/>
    <w:rsid w:val="003F7DA5"/>
    <w:rsid w:val="003F7E9B"/>
    <w:rsid w:val="004009FA"/>
    <w:rsid w:val="0040148A"/>
    <w:rsid w:val="0040157F"/>
    <w:rsid w:val="00401E20"/>
    <w:rsid w:val="0040242C"/>
    <w:rsid w:val="004024EF"/>
    <w:rsid w:val="004029F7"/>
    <w:rsid w:val="004039E6"/>
    <w:rsid w:val="00404155"/>
    <w:rsid w:val="0040526F"/>
    <w:rsid w:val="00405AAB"/>
    <w:rsid w:val="00405FBE"/>
    <w:rsid w:val="0040620C"/>
    <w:rsid w:val="004066D9"/>
    <w:rsid w:val="0040683B"/>
    <w:rsid w:val="0040765E"/>
    <w:rsid w:val="004076CD"/>
    <w:rsid w:val="00407811"/>
    <w:rsid w:val="00407E63"/>
    <w:rsid w:val="00410271"/>
    <w:rsid w:val="00410385"/>
    <w:rsid w:val="00410619"/>
    <w:rsid w:val="0041086D"/>
    <w:rsid w:val="00410E3E"/>
    <w:rsid w:val="004118E7"/>
    <w:rsid w:val="00411A03"/>
    <w:rsid w:val="00411C8E"/>
    <w:rsid w:val="00411C96"/>
    <w:rsid w:val="00411D5B"/>
    <w:rsid w:val="00411EED"/>
    <w:rsid w:val="00411F40"/>
    <w:rsid w:val="00412A14"/>
    <w:rsid w:val="00412B87"/>
    <w:rsid w:val="00413773"/>
    <w:rsid w:val="004137BE"/>
    <w:rsid w:val="00413A3C"/>
    <w:rsid w:val="00413CC4"/>
    <w:rsid w:val="00413DE6"/>
    <w:rsid w:val="00413E5B"/>
    <w:rsid w:val="00414798"/>
    <w:rsid w:val="00414922"/>
    <w:rsid w:val="00414BFA"/>
    <w:rsid w:val="00414C29"/>
    <w:rsid w:val="00414F3B"/>
    <w:rsid w:val="00415005"/>
    <w:rsid w:val="00415049"/>
    <w:rsid w:val="004151F5"/>
    <w:rsid w:val="00415773"/>
    <w:rsid w:val="00415774"/>
    <w:rsid w:val="004159B2"/>
    <w:rsid w:val="00415BB7"/>
    <w:rsid w:val="00415C60"/>
    <w:rsid w:val="00415EDE"/>
    <w:rsid w:val="00416208"/>
    <w:rsid w:val="00416838"/>
    <w:rsid w:val="00416B05"/>
    <w:rsid w:val="00416B28"/>
    <w:rsid w:val="00416F45"/>
    <w:rsid w:val="004175C8"/>
    <w:rsid w:val="00417881"/>
    <w:rsid w:val="004205C6"/>
    <w:rsid w:val="00421322"/>
    <w:rsid w:val="00421A3B"/>
    <w:rsid w:val="00421DBE"/>
    <w:rsid w:val="00421EC9"/>
    <w:rsid w:val="004223E2"/>
    <w:rsid w:val="00422BB3"/>
    <w:rsid w:val="00422BBB"/>
    <w:rsid w:val="00422C3F"/>
    <w:rsid w:val="00422C52"/>
    <w:rsid w:val="00423160"/>
    <w:rsid w:val="0042381E"/>
    <w:rsid w:val="0042392E"/>
    <w:rsid w:val="00423E9D"/>
    <w:rsid w:val="004243F7"/>
    <w:rsid w:val="00424818"/>
    <w:rsid w:val="0042498F"/>
    <w:rsid w:val="00424A60"/>
    <w:rsid w:val="00424B81"/>
    <w:rsid w:val="00424CF3"/>
    <w:rsid w:val="00424EE1"/>
    <w:rsid w:val="004252ED"/>
    <w:rsid w:val="004262B3"/>
    <w:rsid w:val="00426815"/>
    <w:rsid w:val="0042693E"/>
    <w:rsid w:val="00426F4A"/>
    <w:rsid w:val="00427509"/>
    <w:rsid w:val="00427526"/>
    <w:rsid w:val="00427925"/>
    <w:rsid w:val="00427ADC"/>
    <w:rsid w:val="00427F26"/>
    <w:rsid w:val="00427F4C"/>
    <w:rsid w:val="0043069B"/>
    <w:rsid w:val="00430999"/>
    <w:rsid w:val="004309A1"/>
    <w:rsid w:val="004309CE"/>
    <w:rsid w:val="00430E02"/>
    <w:rsid w:val="004311CC"/>
    <w:rsid w:val="0043140D"/>
    <w:rsid w:val="0043148A"/>
    <w:rsid w:val="00431508"/>
    <w:rsid w:val="00431594"/>
    <w:rsid w:val="0043232E"/>
    <w:rsid w:val="004329F6"/>
    <w:rsid w:val="004332A5"/>
    <w:rsid w:val="004332DD"/>
    <w:rsid w:val="004337F0"/>
    <w:rsid w:val="00433982"/>
    <w:rsid w:val="00433DB2"/>
    <w:rsid w:val="00433E8E"/>
    <w:rsid w:val="00433FAF"/>
    <w:rsid w:val="0043403E"/>
    <w:rsid w:val="00434BE4"/>
    <w:rsid w:val="00434D1D"/>
    <w:rsid w:val="00435235"/>
    <w:rsid w:val="004353DB"/>
    <w:rsid w:val="00436173"/>
    <w:rsid w:val="0043632E"/>
    <w:rsid w:val="00436559"/>
    <w:rsid w:val="0043698B"/>
    <w:rsid w:val="00436DCB"/>
    <w:rsid w:val="00436EB5"/>
    <w:rsid w:val="0043761D"/>
    <w:rsid w:val="004376E0"/>
    <w:rsid w:val="004378B5"/>
    <w:rsid w:val="00440215"/>
    <w:rsid w:val="0044046D"/>
    <w:rsid w:val="004409FE"/>
    <w:rsid w:val="00440D00"/>
    <w:rsid w:val="00441464"/>
    <w:rsid w:val="00441790"/>
    <w:rsid w:val="00441D70"/>
    <w:rsid w:val="00442004"/>
    <w:rsid w:val="004422D8"/>
    <w:rsid w:val="004427C0"/>
    <w:rsid w:val="00442843"/>
    <w:rsid w:val="004433B3"/>
    <w:rsid w:val="00443754"/>
    <w:rsid w:val="00443986"/>
    <w:rsid w:val="004441B6"/>
    <w:rsid w:val="00444586"/>
    <w:rsid w:val="00444D82"/>
    <w:rsid w:val="00444EEB"/>
    <w:rsid w:val="00444F5C"/>
    <w:rsid w:val="00445829"/>
    <w:rsid w:val="00445CDF"/>
    <w:rsid w:val="00446400"/>
    <w:rsid w:val="00446A58"/>
    <w:rsid w:val="00446E23"/>
    <w:rsid w:val="00447218"/>
    <w:rsid w:val="00447481"/>
    <w:rsid w:val="0045076C"/>
    <w:rsid w:val="00450B21"/>
    <w:rsid w:val="00450C92"/>
    <w:rsid w:val="00450CA3"/>
    <w:rsid w:val="00450EB3"/>
    <w:rsid w:val="00452177"/>
    <w:rsid w:val="00452331"/>
    <w:rsid w:val="0045234F"/>
    <w:rsid w:val="00452408"/>
    <w:rsid w:val="00452828"/>
    <w:rsid w:val="004528E7"/>
    <w:rsid w:val="00452BC9"/>
    <w:rsid w:val="00452F86"/>
    <w:rsid w:val="00453436"/>
    <w:rsid w:val="00453835"/>
    <w:rsid w:val="00453C17"/>
    <w:rsid w:val="00453CA0"/>
    <w:rsid w:val="00454166"/>
    <w:rsid w:val="0045449A"/>
    <w:rsid w:val="004545D2"/>
    <w:rsid w:val="00454977"/>
    <w:rsid w:val="00454F3A"/>
    <w:rsid w:val="00455076"/>
    <w:rsid w:val="00455464"/>
    <w:rsid w:val="004556A1"/>
    <w:rsid w:val="00456271"/>
    <w:rsid w:val="00456753"/>
    <w:rsid w:val="00456BF4"/>
    <w:rsid w:val="00456C69"/>
    <w:rsid w:val="00457684"/>
    <w:rsid w:val="004578E1"/>
    <w:rsid w:val="00457904"/>
    <w:rsid w:val="00460C22"/>
    <w:rsid w:val="00460EAD"/>
    <w:rsid w:val="00460ED8"/>
    <w:rsid w:val="00461F00"/>
    <w:rsid w:val="00462116"/>
    <w:rsid w:val="00462227"/>
    <w:rsid w:val="0046231C"/>
    <w:rsid w:val="00462B4E"/>
    <w:rsid w:val="00462C5B"/>
    <w:rsid w:val="00463307"/>
    <w:rsid w:val="0046346A"/>
    <w:rsid w:val="00463CBA"/>
    <w:rsid w:val="00463FB9"/>
    <w:rsid w:val="00464391"/>
    <w:rsid w:val="0046493A"/>
    <w:rsid w:val="00464D56"/>
    <w:rsid w:val="00464F6C"/>
    <w:rsid w:val="004651B0"/>
    <w:rsid w:val="00465C39"/>
    <w:rsid w:val="00465D2F"/>
    <w:rsid w:val="00465E7F"/>
    <w:rsid w:val="0046604C"/>
    <w:rsid w:val="00466944"/>
    <w:rsid w:val="00467150"/>
    <w:rsid w:val="00470A93"/>
    <w:rsid w:val="00470E32"/>
    <w:rsid w:val="00470F4F"/>
    <w:rsid w:val="004710F3"/>
    <w:rsid w:val="00471D79"/>
    <w:rsid w:val="004721B5"/>
    <w:rsid w:val="004723AC"/>
    <w:rsid w:val="004728C0"/>
    <w:rsid w:val="00472A5A"/>
    <w:rsid w:val="00472CBB"/>
    <w:rsid w:val="00473141"/>
    <w:rsid w:val="00473393"/>
    <w:rsid w:val="004736AE"/>
    <w:rsid w:val="0047409D"/>
    <w:rsid w:val="00474B47"/>
    <w:rsid w:val="0047577C"/>
    <w:rsid w:val="00475CFB"/>
    <w:rsid w:val="00475EDC"/>
    <w:rsid w:val="00476993"/>
    <w:rsid w:val="00477380"/>
    <w:rsid w:val="0047777C"/>
    <w:rsid w:val="00480055"/>
    <w:rsid w:val="004802C7"/>
    <w:rsid w:val="00480745"/>
    <w:rsid w:val="00480889"/>
    <w:rsid w:val="00480985"/>
    <w:rsid w:val="00480AFD"/>
    <w:rsid w:val="00480C4E"/>
    <w:rsid w:val="004810CB"/>
    <w:rsid w:val="00481494"/>
    <w:rsid w:val="004817C7"/>
    <w:rsid w:val="00481E98"/>
    <w:rsid w:val="00481EE6"/>
    <w:rsid w:val="00481FC9"/>
    <w:rsid w:val="0048206F"/>
    <w:rsid w:val="004824FA"/>
    <w:rsid w:val="004825FD"/>
    <w:rsid w:val="00482A70"/>
    <w:rsid w:val="00482E51"/>
    <w:rsid w:val="0048345F"/>
    <w:rsid w:val="004836EA"/>
    <w:rsid w:val="00483C97"/>
    <w:rsid w:val="00483CB2"/>
    <w:rsid w:val="00484741"/>
    <w:rsid w:val="004855AE"/>
    <w:rsid w:val="00485A51"/>
    <w:rsid w:val="00485D93"/>
    <w:rsid w:val="0048625A"/>
    <w:rsid w:val="00486D4C"/>
    <w:rsid w:val="00487093"/>
    <w:rsid w:val="004870D8"/>
    <w:rsid w:val="004877BA"/>
    <w:rsid w:val="00487A15"/>
    <w:rsid w:val="00490712"/>
    <w:rsid w:val="0049086F"/>
    <w:rsid w:val="00490CB6"/>
    <w:rsid w:val="00490EBE"/>
    <w:rsid w:val="00491068"/>
    <w:rsid w:val="00491573"/>
    <w:rsid w:val="00491AD5"/>
    <w:rsid w:val="004923C2"/>
    <w:rsid w:val="00492497"/>
    <w:rsid w:val="004928EC"/>
    <w:rsid w:val="004931B0"/>
    <w:rsid w:val="00493A04"/>
    <w:rsid w:val="00493B5B"/>
    <w:rsid w:val="0049437A"/>
    <w:rsid w:val="0049467D"/>
    <w:rsid w:val="00494C99"/>
    <w:rsid w:val="00494FC0"/>
    <w:rsid w:val="0049585F"/>
    <w:rsid w:val="004960AE"/>
    <w:rsid w:val="0049722B"/>
    <w:rsid w:val="004978B6"/>
    <w:rsid w:val="004979FA"/>
    <w:rsid w:val="00497D42"/>
    <w:rsid w:val="004A091E"/>
    <w:rsid w:val="004A09C1"/>
    <w:rsid w:val="004A0AA3"/>
    <w:rsid w:val="004A0B14"/>
    <w:rsid w:val="004A0B61"/>
    <w:rsid w:val="004A1014"/>
    <w:rsid w:val="004A1607"/>
    <w:rsid w:val="004A1883"/>
    <w:rsid w:val="004A1914"/>
    <w:rsid w:val="004A1983"/>
    <w:rsid w:val="004A1A2D"/>
    <w:rsid w:val="004A1B26"/>
    <w:rsid w:val="004A1D34"/>
    <w:rsid w:val="004A1EC6"/>
    <w:rsid w:val="004A203F"/>
    <w:rsid w:val="004A252E"/>
    <w:rsid w:val="004A2A45"/>
    <w:rsid w:val="004A2BAE"/>
    <w:rsid w:val="004A2BCC"/>
    <w:rsid w:val="004A2F81"/>
    <w:rsid w:val="004A3348"/>
    <w:rsid w:val="004A3836"/>
    <w:rsid w:val="004A3B40"/>
    <w:rsid w:val="004A3C66"/>
    <w:rsid w:val="004A4291"/>
    <w:rsid w:val="004A439C"/>
    <w:rsid w:val="004A440B"/>
    <w:rsid w:val="004A50D4"/>
    <w:rsid w:val="004A5B2F"/>
    <w:rsid w:val="004A5B90"/>
    <w:rsid w:val="004A5E0F"/>
    <w:rsid w:val="004A60EB"/>
    <w:rsid w:val="004A71CF"/>
    <w:rsid w:val="004A7BB3"/>
    <w:rsid w:val="004B0537"/>
    <w:rsid w:val="004B0CEF"/>
    <w:rsid w:val="004B10D7"/>
    <w:rsid w:val="004B1114"/>
    <w:rsid w:val="004B182C"/>
    <w:rsid w:val="004B196A"/>
    <w:rsid w:val="004B198A"/>
    <w:rsid w:val="004B2915"/>
    <w:rsid w:val="004B304E"/>
    <w:rsid w:val="004B34A8"/>
    <w:rsid w:val="004B360A"/>
    <w:rsid w:val="004B3734"/>
    <w:rsid w:val="004B3A1D"/>
    <w:rsid w:val="004B3A4B"/>
    <w:rsid w:val="004B474F"/>
    <w:rsid w:val="004B4752"/>
    <w:rsid w:val="004B486F"/>
    <w:rsid w:val="004B4CF7"/>
    <w:rsid w:val="004B4E03"/>
    <w:rsid w:val="004B5029"/>
    <w:rsid w:val="004B5150"/>
    <w:rsid w:val="004B53B3"/>
    <w:rsid w:val="004B5870"/>
    <w:rsid w:val="004B5F25"/>
    <w:rsid w:val="004B6A56"/>
    <w:rsid w:val="004B6AF6"/>
    <w:rsid w:val="004B6DFB"/>
    <w:rsid w:val="004B6E88"/>
    <w:rsid w:val="004B6EFB"/>
    <w:rsid w:val="004B7406"/>
    <w:rsid w:val="004B79C7"/>
    <w:rsid w:val="004B7A8A"/>
    <w:rsid w:val="004B7D28"/>
    <w:rsid w:val="004B7FDD"/>
    <w:rsid w:val="004C0B14"/>
    <w:rsid w:val="004C0C70"/>
    <w:rsid w:val="004C0D8E"/>
    <w:rsid w:val="004C0F64"/>
    <w:rsid w:val="004C1052"/>
    <w:rsid w:val="004C15E7"/>
    <w:rsid w:val="004C173E"/>
    <w:rsid w:val="004C1D1D"/>
    <w:rsid w:val="004C1DD4"/>
    <w:rsid w:val="004C1F27"/>
    <w:rsid w:val="004C224C"/>
    <w:rsid w:val="004C24C8"/>
    <w:rsid w:val="004C2739"/>
    <w:rsid w:val="004C2B37"/>
    <w:rsid w:val="004C2C69"/>
    <w:rsid w:val="004C31E9"/>
    <w:rsid w:val="004C3446"/>
    <w:rsid w:val="004C34BF"/>
    <w:rsid w:val="004C350B"/>
    <w:rsid w:val="004C358E"/>
    <w:rsid w:val="004C358F"/>
    <w:rsid w:val="004C3A92"/>
    <w:rsid w:val="004C3D56"/>
    <w:rsid w:val="004C41BD"/>
    <w:rsid w:val="004C4515"/>
    <w:rsid w:val="004C4B0C"/>
    <w:rsid w:val="004C4C87"/>
    <w:rsid w:val="004C4ECC"/>
    <w:rsid w:val="004C51EA"/>
    <w:rsid w:val="004C5926"/>
    <w:rsid w:val="004C5EA1"/>
    <w:rsid w:val="004C5F99"/>
    <w:rsid w:val="004C63E7"/>
    <w:rsid w:val="004C6752"/>
    <w:rsid w:val="004C69A2"/>
    <w:rsid w:val="004C6E3A"/>
    <w:rsid w:val="004C72D8"/>
    <w:rsid w:val="004C768D"/>
    <w:rsid w:val="004C796E"/>
    <w:rsid w:val="004C7C83"/>
    <w:rsid w:val="004D0161"/>
    <w:rsid w:val="004D049E"/>
    <w:rsid w:val="004D08CE"/>
    <w:rsid w:val="004D0927"/>
    <w:rsid w:val="004D0C6A"/>
    <w:rsid w:val="004D1364"/>
    <w:rsid w:val="004D13B1"/>
    <w:rsid w:val="004D13B7"/>
    <w:rsid w:val="004D14EF"/>
    <w:rsid w:val="004D20CC"/>
    <w:rsid w:val="004D26C9"/>
    <w:rsid w:val="004D301B"/>
    <w:rsid w:val="004D306C"/>
    <w:rsid w:val="004D3343"/>
    <w:rsid w:val="004D33CE"/>
    <w:rsid w:val="004D380C"/>
    <w:rsid w:val="004D3A09"/>
    <w:rsid w:val="004D43A3"/>
    <w:rsid w:val="004D4605"/>
    <w:rsid w:val="004D471E"/>
    <w:rsid w:val="004D47EF"/>
    <w:rsid w:val="004D4F91"/>
    <w:rsid w:val="004D5188"/>
    <w:rsid w:val="004D5987"/>
    <w:rsid w:val="004D6318"/>
    <w:rsid w:val="004D63A7"/>
    <w:rsid w:val="004D6AC9"/>
    <w:rsid w:val="004D6D9E"/>
    <w:rsid w:val="004D719E"/>
    <w:rsid w:val="004D7693"/>
    <w:rsid w:val="004D7923"/>
    <w:rsid w:val="004E02A0"/>
    <w:rsid w:val="004E0525"/>
    <w:rsid w:val="004E080D"/>
    <w:rsid w:val="004E09D5"/>
    <w:rsid w:val="004E0AAD"/>
    <w:rsid w:val="004E0D1F"/>
    <w:rsid w:val="004E1376"/>
    <w:rsid w:val="004E1676"/>
    <w:rsid w:val="004E16B8"/>
    <w:rsid w:val="004E1A4A"/>
    <w:rsid w:val="004E1BAF"/>
    <w:rsid w:val="004E1FF9"/>
    <w:rsid w:val="004E24E4"/>
    <w:rsid w:val="004E2851"/>
    <w:rsid w:val="004E28D9"/>
    <w:rsid w:val="004E2A26"/>
    <w:rsid w:val="004E2C5B"/>
    <w:rsid w:val="004E2CD8"/>
    <w:rsid w:val="004E2D91"/>
    <w:rsid w:val="004E34E2"/>
    <w:rsid w:val="004E3FE4"/>
    <w:rsid w:val="004E4524"/>
    <w:rsid w:val="004E455B"/>
    <w:rsid w:val="004E4DDB"/>
    <w:rsid w:val="004E55B5"/>
    <w:rsid w:val="004E5E88"/>
    <w:rsid w:val="004E6154"/>
    <w:rsid w:val="004E6387"/>
    <w:rsid w:val="004E68E6"/>
    <w:rsid w:val="004E6D6A"/>
    <w:rsid w:val="004E75DB"/>
    <w:rsid w:val="004E7B3C"/>
    <w:rsid w:val="004F02B5"/>
    <w:rsid w:val="004F04B7"/>
    <w:rsid w:val="004F0C01"/>
    <w:rsid w:val="004F0C0C"/>
    <w:rsid w:val="004F1361"/>
    <w:rsid w:val="004F14E3"/>
    <w:rsid w:val="004F151C"/>
    <w:rsid w:val="004F260C"/>
    <w:rsid w:val="004F2690"/>
    <w:rsid w:val="004F2695"/>
    <w:rsid w:val="004F3005"/>
    <w:rsid w:val="004F3009"/>
    <w:rsid w:val="004F325B"/>
    <w:rsid w:val="004F3D3A"/>
    <w:rsid w:val="004F4426"/>
    <w:rsid w:val="004F45BD"/>
    <w:rsid w:val="004F4808"/>
    <w:rsid w:val="004F48FA"/>
    <w:rsid w:val="004F58F0"/>
    <w:rsid w:val="004F5B3B"/>
    <w:rsid w:val="004F63D5"/>
    <w:rsid w:val="004F661D"/>
    <w:rsid w:val="004F6831"/>
    <w:rsid w:val="004F6B1B"/>
    <w:rsid w:val="004F6CD3"/>
    <w:rsid w:val="004F6D49"/>
    <w:rsid w:val="004F6EE0"/>
    <w:rsid w:val="004F7093"/>
    <w:rsid w:val="004F7139"/>
    <w:rsid w:val="004F73AB"/>
    <w:rsid w:val="004F7437"/>
    <w:rsid w:val="004F7C51"/>
    <w:rsid w:val="00500616"/>
    <w:rsid w:val="00500B28"/>
    <w:rsid w:val="00500C89"/>
    <w:rsid w:val="00500F10"/>
    <w:rsid w:val="00500FC6"/>
    <w:rsid w:val="00501450"/>
    <w:rsid w:val="005024D5"/>
    <w:rsid w:val="00502826"/>
    <w:rsid w:val="00502940"/>
    <w:rsid w:val="00502E31"/>
    <w:rsid w:val="0050351E"/>
    <w:rsid w:val="00503BD4"/>
    <w:rsid w:val="00504394"/>
    <w:rsid w:val="00504625"/>
    <w:rsid w:val="00504810"/>
    <w:rsid w:val="00504DEA"/>
    <w:rsid w:val="00505443"/>
    <w:rsid w:val="00505C16"/>
    <w:rsid w:val="00505FE4"/>
    <w:rsid w:val="005063B9"/>
    <w:rsid w:val="005067D4"/>
    <w:rsid w:val="00506813"/>
    <w:rsid w:val="00506841"/>
    <w:rsid w:val="00506AB5"/>
    <w:rsid w:val="00506FC1"/>
    <w:rsid w:val="00506FDD"/>
    <w:rsid w:val="0050700E"/>
    <w:rsid w:val="00507672"/>
    <w:rsid w:val="0050767F"/>
    <w:rsid w:val="005077B7"/>
    <w:rsid w:val="0050785C"/>
    <w:rsid w:val="00507A47"/>
    <w:rsid w:val="00507D36"/>
    <w:rsid w:val="00507EE7"/>
    <w:rsid w:val="005103C2"/>
    <w:rsid w:val="005104AB"/>
    <w:rsid w:val="005105F2"/>
    <w:rsid w:val="00510700"/>
    <w:rsid w:val="0051084F"/>
    <w:rsid w:val="00510A23"/>
    <w:rsid w:val="00510ABA"/>
    <w:rsid w:val="00510ACB"/>
    <w:rsid w:val="00511458"/>
    <w:rsid w:val="005119BB"/>
    <w:rsid w:val="00511D13"/>
    <w:rsid w:val="00512008"/>
    <w:rsid w:val="00512405"/>
    <w:rsid w:val="00512C57"/>
    <w:rsid w:val="00513864"/>
    <w:rsid w:val="00513C25"/>
    <w:rsid w:val="00513D95"/>
    <w:rsid w:val="00513E30"/>
    <w:rsid w:val="00513F6B"/>
    <w:rsid w:val="00513FF5"/>
    <w:rsid w:val="005142DA"/>
    <w:rsid w:val="005145DF"/>
    <w:rsid w:val="005149D8"/>
    <w:rsid w:val="005150E4"/>
    <w:rsid w:val="0051530A"/>
    <w:rsid w:val="00515E2A"/>
    <w:rsid w:val="00515F48"/>
    <w:rsid w:val="00516268"/>
    <w:rsid w:val="00516601"/>
    <w:rsid w:val="00516AD5"/>
    <w:rsid w:val="00516B52"/>
    <w:rsid w:val="00516CB4"/>
    <w:rsid w:val="00517318"/>
    <w:rsid w:val="00517851"/>
    <w:rsid w:val="005178DD"/>
    <w:rsid w:val="00517C98"/>
    <w:rsid w:val="00517D64"/>
    <w:rsid w:val="00517DB6"/>
    <w:rsid w:val="0052040C"/>
    <w:rsid w:val="00520A9A"/>
    <w:rsid w:val="00520B55"/>
    <w:rsid w:val="00521054"/>
    <w:rsid w:val="00521232"/>
    <w:rsid w:val="005213E9"/>
    <w:rsid w:val="00522C10"/>
    <w:rsid w:val="00523435"/>
    <w:rsid w:val="0052343A"/>
    <w:rsid w:val="00523801"/>
    <w:rsid w:val="00523EC5"/>
    <w:rsid w:val="005240E9"/>
    <w:rsid w:val="00524102"/>
    <w:rsid w:val="005246FD"/>
    <w:rsid w:val="00524C09"/>
    <w:rsid w:val="0052516F"/>
    <w:rsid w:val="005255F8"/>
    <w:rsid w:val="00525CE1"/>
    <w:rsid w:val="00525F1A"/>
    <w:rsid w:val="0052607F"/>
    <w:rsid w:val="0052651A"/>
    <w:rsid w:val="005265AD"/>
    <w:rsid w:val="0052685A"/>
    <w:rsid w:val="00526B47"/>
    <w:rsid w:val="00526E84"/>
    <w:rsid w:val="0052744B"/>
    <w:rsid w:val="0052751A"/>
    <w:rsid w:val="0052757E"/>
    <w:rsid w:val="00527AB2"/>
    <w:rsid w:val="00527C4D"/>
    <w:rsid w:val="00527D51"/>
    <w:rsid w:val="00530BA4"/>
    <w:rsid w:val="005310F1"/>
    <w:rsid w:val="005312C2"/>
    <w:rsid w:val="00531DC6"/>
    <w:rsid w:val="0053231B"/>
    <w:rsid w:val="00532B95"/>
    <w:rsid w:val="0053320B"/>
    <w:rsid w:val="0053387D"/>
    <w:rsid w:val="00533A73"/>
    <w:rsid w:val="00533ADF"/>
    <w:rsid w:val="005340CB"/>
    <w:rsid w:val="005348CB"/>
    <w:rsid w:val="00534EE0"/>
    <w:rsid w:val="00535972"/>
    <w:rsid w:val="00535E32"/>
    <w:rsid w:val="00535E7B"/>
    <w:rsid w:val="00535EAF"/>
    <w:rsid w:val="00536045"/>
    <w:rsid w:val="005365C7"/>
    <w:rsid w:val="00536F26"/>
    <w:rsid w:val="005370C6"/>
    <w:rsid w:val="0053756C"/>
    <w:rsid w:val="00537700"/>
    <w:rsid w:val="00537920"/>
    <w:rsid w:val="00537D8B"/>
    <w:rsid w:val="005405FE"/>
    <w:rsid w:val="0054084E"/>
    <w:rsid w:val="005409A6"/>
    <w:rsid w:val="00540C40"/>
    <w:rsid w:val="00540F7A"/>
    <w:rsid w:val="00541376"/>
    <w:rsid w:val="00541A51"/>
    <w:rsid w:val="00541A6B"/>
    <w:rsid w:val="00541C63"/>
    <w:rsid w:val="00541C6C"/>
    <w:rsid w:val="00541D00"/>
    <w:rsid w:val="00541D0D"/>
    <w:rsid w:val="00541E37"/>
    <w:rsid w:val="005420F9"/>
    <w:rsid w:val="00542554"/>
    <w:rsid w:val="00542BB0"/>
    <w:rsid w:val="00542BCF"/>
    <w:rsid w:val="00543964"/>
    <w:rsid w:val="00543A4D"/>
    <w:rsid w:val="00543A9C"/>
    <w:rsid w:val="00544873"/>
    <w:rsid w:val="00544DB1"/>
    <w:rsid w:val="00544DF2"/>
    <w:rsid w:val="00544F3A"/>
    <w:rsid w:val="0054558B"/>
    <w:rsid w:val="00545AE2"/>
    <w:rsid w:val="00545C0F"/>
    <w:rsid w:val="00546396"/>
    <w:rsid w:val="00547185"/>
    <w:rsid w:val="005471C9"/>
    <w:rsid w:val="0054740E"/>
    <w:rsid w:val="00547976"/>
    <w:rsid w:val="00547D5D"/>
    <w:rsid w:val="0055007A"/>
    <w:rsid w:val="0055027B"/>
    <w:rsid w:val="0055049B"/>
    <w:rsid w:val="00550BB2"/>
    <w:rsid w:val="00550D4A"/>
    <w:rsid w:val="0055122D"/>
    <w:rsid w:val="005512CE"/>
    <w:rsid w:val="00551A60"/>
    <w:rsid w:val="00551A91"/>
    <w:rsid w:val="00551D27"/>
    <w:rsid w:val="00552A3B"/>
    <w:rsid w:val="00553330"/>
    <w:rsid w:val="005534F3"/>
    <w:rsid w:val="0055355F"/>
    <w:rsid w:val="00553D72"/>
    <w:rsid w:val="00553E8C"/>
    <w:rsid w:val="0055441D"/>
    <w:rsid w:val="00555213"/>
    <w:rsid w:val="00555312"/>
    <w:rsid w:val="00555381"/>
    <w:rsid w:val="00555B30"/>
    <w:rsid w:val="00556300"/>
    <w:rsid w:val="005566F6"/>
    <w:rsid w:val="00556827"/>
    <w:rsid w:val="00556B37"/>
    <w:rsid w:val="00557420"/>
    <w:rsid w:val="00557453"/>
    <w:rsid w:val="00557B66"/>
    <w:rsid w:val="00557FD7"/>
    <w:rsid w:val="00561515"/>
    <w:rsid w:val="005617EE"/>
    <w:rsid w:val="0056197B"/>
    <w:rsid w:val="00561AA8"/>
    <w:rsid w:val="00561D61"/>
    <w:rsid w:val="00561DE4"/>
    <w:rsid w:val="00562161"/>
    <w:rsid w:val="00562985"/>
    <w:rsid w:val="00562E56"/>
    <w:rsid w:val="0056330F"/>
    <w:rsid w:val="00563F56"/>
    <w:rsid w:val="00564080"/>
    <w:rsid w:val="0056410C"/>
    <w:rsid w:val="00564219"/>
    <w:rsid w:val="0056436E"/>
    <w:rsid w:val="00564967"/>
    <w:rsid w:val="0056517D"/>
    <w:rsid w:val="0056522F"/>
    <w:rsid w:val="005657F8"/>
    <w:rsid w:val="00565C7C"/>
    <w:rsid w:val="00565C8E"/>
    <w:rsid w:val="00565E65"/>
    <w:rsid w:val="00565F0A"/>
    <w:rsid w:val="00565FA5"/>
    <w:rsid w:val="0056606B"/>
    <w:rsid w:val="00566431"/>
    <w:rsid w:val="005667EE"/>
    <w:rsid w:val="00566A76"/>
    <w:rsid w:val="00566E08"/>
    <w:rsid w:val="005672C6"/>
    <w:rsid w:val="00567445"/>
    <w:rsid w:val="00567573"/>
    <w:rsid w:val="005676A9"/>
    <w:rsid w:val="005677A3"/>
    <w:rsid w:val="005701B3"/>
    <w:rsid w:val="00570573"/>
    <w:rsid w:val="00570609"/>
    <w:rsid w:val="005706CB"/>
    <w:rsid w:val="00570932"/>
    <w:rsid w:val="00570DA3"/>
    <w:rsid w:val="0057205E"/>
    <w:rsid w:val="00572080"/>
    <w:rsid w:val="00572C65"/>
    <w:rsid w:val="00572C8C"/>
    <w:rsid w:val="00573538"/>
    <w:rsid w:val="00573BED"/>
    <w:rsid w:val="0057415A"/>
    <w:rsid w:val="00574355"/>
    <w:rsid w:val="00574517"/>
    <w:rsid w:val="00574571"/>
    <w:rsid w:val="005749EC"/>
    <w:rsid w:val="00574B52"/>
    <w:rsid w:val="00574BC9"/>
    <w:rsid w:val="0057557D"/>
    <w:rsid w:val="00575A39"/>
    <w:rsid w:val="00575A8F"/>
    <w:rsid w:val="00575B66"/>
    <w:rsid w:val="00576321"/>
    <w:rsid w:val="0057672C"/>
    <w:rsid w:val="0057680D"/>
    <w:rsid w:val="005768B1"/>
    <w:rsid w:val="005768E8"/>
    <w:rsid w:val="00577505"/>
    <w:rsid w:val="0057779F"/>
    <w:rsid w:val="00577965"/>
    <w:rsid w:val="00577ADC"/>
    <w:rsid w:val="00577F6A"/>
    <w:rsid w:val="00580187"/>
    <w:rsid w:val="00580235"/>
    <w:rsid w:val="00580398"/>
    <w:rsid w:val="00580678"/>
    <w:rsid w:val="005807D3"/>
    <w:rsid w:val="005808E7"/>
    <w:rsid w:val="00580EC8"/>
    <w:rsid w:val="0058118C"/>
    <w:rsid w:val="0058132F"/>
    <w:rsid w:val="00581372"/>
    <w:rsid w:val="0058159E"/>
    <w:rsid w:val="00582194"/>
    <w:rsid w:val="005823E9"/>
    <w:rsid w:val="005826FF"/>
    <w:rsid w:val="00582B95"/>
    <w:rsid w:val="0058310A"/>
    <w:rsid w:val="00583326"/>
    <w:rsid w:val="005838C8"/>
    <w:rsid w:val="005838E2"/>
    <w:rsid w:val="00583CEA"/>
    <w:rsid w:val="00583F15"/>
    <w:rsid w:val="00584019"/>
    <w:rsid w:val="0058407F"/>
    <w:rsid w:val="0058478C"/>
    <w:rsid w:val="00584C0A"/>
    <w:rsid w:val="00584D04"/>
    <w:rsid w:val="00584D93"/>
    <w:rsid w:val="00584DC1"/>
    <w:rsid w:val="00584DE1"/>
    <w:rsid w:val="00585555"/>
    <w:rsid w:val="00586506"/>
    <w:rsid w:val="00586599"/>
    <w:rsid w:val="0058688C"/>
    <w:rsid w:val="00586CB3"/>
    <w:rsid w:val="00586E8F"/>
    <w:rsid w:val="00587346"/>
    <w:rsid w:val="00587456"/>
    <w:rsid w:val="0058765B"/>
    <w:rsid w:val="00587F7E"/>
    <w:rsid w:val="00590650"/>
    <w:rsid w:val="00590B84"/>
    <w:rsid w:val="00590C67"/>
    <w:rsid w:val="00591725"/>
    <w:rsid w:val="00591C4E"/>
    <w:rsid w:val="00591E4B"/>
    <w:rsid w:val="00592215"/>
    <w:rsid w:val="005927DB"/>
    <w:rsid w:val="005928ED"/>
    <w:rsid w:val="00592E5D"/>
    <w:rsid w:val="005933FC"/>
    <w:rsid w:val="00593492"/>
    <w:rsid w:val="00593641"/>
    <w:rsid w:val="00593677"/>
    <w:rsid w:val="00593B22"/>
    <w:rsid w:val="005943AD"/>
    <w:rsid w:val="00594581"/>
    <w:rsid w:val="00594B0B"/>
    <w:rsid w:val="00594B21"/>
    <w:rsid w:val="00594D45"/>
    <w:rsid w:val="00594D62"/>
    <w:rsid w:val="00594F7D"/>
    <w:rsid w:val="00595098"/>
    <w:rsid w:val="005953E5"/>
    <w:rsid w:val="005958B8"/>
    <w:rsid w:val="00595E0F"/>
    <w:rsid w:val="00596218"/>
    <w:rsid w:val="00596252"/>
    <w:rsid w:val="005972BE"/>
    <w:rsid w:val="00597A06"/>
    <w:rsid w:val="00597A08"/>
    <w:rsid w:val="00597CAA"/>
    <w:rsid w:val="005A002F"/>
    <w:rsid w:val="005A00E7"/>
    <w:rsid w:val="005A0124"/>
    <w:rsid w:val="005A02C1"/>
    <w:rsid w:val="005A04A5"/>
    <w:rsid w:val="005A05B0"/>
    <w:rsid w:val="005A09A7"/>
    <w:rsid w:val="005A0B9B"/>
    <w:rsid w:val="005A0E12"/>
    <w:rsid w:val="005A0E42"/>
    <w:rsid w:val="005A1A2A"/>
    <w:rsid w:val="005A1A99"/>
    <w:rsid w:val="005A1B39"/>
    <w:rsid w:val="005A203D"/>
    <w:rsid w:val="005A2461"/>
    <w:rsid w:val="005A2EDD"/>
    <w:rsid w:val="005A2FDC"/>
    <w:rsid w:val="005A340D"/>
    <w:rsid w:val="005A36A1"/>
    <w:rsid w:val="005A3B5D"/>
    <w:rsid w:val="005A410D"/>
    <w:rsid w:val="005A45C7"/>
    <w:rsid w:val="005A490B"/>
    <w:rsid w:val="005A4B84"/>
    <w:rsid w:val="005A5250"/>
    <w:rsid w:val="005A54B2"/>
    <w:rsid w:val="005A56B7"/>
    <w:rsid w:val="005A5823"/>
    <w:rsid w:val="005A6029"/>
    <w:rsid w:val="005A65C1"/>
    <w:rsid w:val="005A66E3"/>
    <w:rsid w:val="005A6A83"/>
    <w:rsid w:val="005A6B60"/>
    <w:rsid w:val="005A7388"/>
    <w:rsid w:val="005A795F"/>
    <w:rsid w:val="005A796E"/>
    <w:rsid w:val="005A79B1"/>
    <w:rsid w:val="005A7B3F"/>
    <w:rsid w:val="005A7C20"/>
    <w:rsid w:val="005A7F1B"/>
    <w:rsid w:val="005A7F41"/>
    <w:rsid w:val="005B0329"/>
    <w:rsid w:val="005B0376"/>
    <w:rsid w:val="005B03D0"/>
    <w:rsid w:val="005B0759"/>
    <w:rsid w:val="005B10FD"/>
    <w:rsid w:val="005B186A"/>
    <w:rsid w:val="005B1BAB"/>
    <w:rsid w:val="005B2908"/>
    <w:rsid w:val="005B290A"/>
    <w:rsid w:val="005B2977"/>
    <w:rsid w:val="005B29FF"/>
    <w:rsid w:val="005B2B90"/>
    <w:rsid w:val="005B338A"/>
    <w:rsid w:val="005B3405"/>
    <w:rsid w:val="005B4B1B"/>
    <w:rsid w:val="005B4C5F"/>
    <w:rsid w:val="005B4CDA"/>
    <w:rsid w:val="005B4D3F"/>
    <w:rsid w:val="005B4F72"/>
    <w:rsid w:val="005B51AB"/>
    <w:rsid w:val="005B5328"/>
    <w:rsid w:val="005B5872"/>
    <w:rsid w:val="005B6319"/>
    <w:rsid w:val="005B7B0F"/>
    <w:rsid w:val="005B7C42"/>
    <w:rsid w:val="005B7EA9"/>
    <w:rsid w:val="005B7FEE"/>
    <w:rsid w:val="005C00C9"/>
    <w:rsid w:val="005C00CC"/>
    <w:rsid w:val="005C00D8"/>
    <w:rsid w:val="005C0981"/>
    <w:rsid w:val="005C0E6A"/>
    <w:rsid w:val="005C10F7"/>
    <w:rsid w:val="005C1314"/>
    <w:rsid w:val="005C1A5B"/>
    <w:rsid w:val="005C1C86"/>
    <w:rsid w:val="005C28E6"/>
    <w:rsid w:val="005C2BC8"/>
    <w:rsid w:val="005C2F8F"/>
    <w:rsid w:val="005C30C9"/>
    <w:rsid w:val="005C34CD"/>
    <w:rsid w:val="005C3D1D"/>
    <w:rsid w:val="005C4462"/>
    <w:rsid w:val="005C4BF6"/>
    <w:rsid w:val="005C4CC2"/>
    <w:rsid w:val="005C517B"/>
    <w:rsid w:val="005C522C"/>
    <w:rsid w:val="005C55BE"/>
    <w:rsid w:val="005C5AB8"/>
    <w:rsid w:val="005C5D3C"/>
    <w:rsid w:val="005C603C"/>
    <w:rsid w:val="005C67C0"/>
    <w:rsid w:val="005C68D0"/>
    <w:rsid w:val="005C69C9"/>
    <w:rsid w:val="005C72BA"/>
    <w:rsid w:val="005C7561"/>
    <w:rsid w:val="005C763D"/>
    <w:rsid w:val="005C78B3"/>
    <w:rsid w:val="005C78CD"/>
    <w:rsid w:val="005C7C80"/>
    <w:rsid w:val="005C7ECA"/>
    <w:rsid w:val="005D01D6"/>
    <w:rsid w:val="005D063C"/>
    <w:rsid w:val="005D0A6E"/>
    <w:rsid w:val="005D0E47"/>
    <w:rsid w:val="005D11E2"/>
    <w:rsid w:val="005D1887"/>
    <w:rsid w:val="005D1A8D"/>
    <w:rsid w:val="005D1DEB"/>
    <w:rsid w:val="005D248C"/>
    <w:rsid w:val="005D26C0"/>
    <w:rsid w:val="005D3D4C"/>
    <w:rsid w:val="005D3DEB"/>
    <w:rsid w:val="005D416F"/>
    <w:rsid w:val="005D45AF"/>
    <w:rsid w:val="005D45B7"/>
    <w:rsid w:val="005D462C"/>
    <w:rsid w:val="005D4AA1"/>
    <w:rsid w:val="005D50EA"/>
    <w:rsid w:val="005D52B4"/>
    <w:rsid w:val="005D55A7"/>
    <w:rsid w:val="005D597B"/>
    <w:rsid w:val="005D5E9D"/>
    <w:rsid w:val="005D61DD"/>
    <w:rsid w:val="005D6BCA"/>
    <w:rsid w:val="005D6F01"/>
    <w:rsid w:val="005D71B8"/>
    <w:rsid w:val="005D755F"/>
    <w:rsid w:val="005D7B9A"/>
    <w:rsid w:val="005E010F"/>
    <w:rsid w:val="005E03FB"/>
    <w:rsid w:val="005E0609"/>
    <w:rsid w:val="005E0ABF"/>
    <w:rsid w:val="005E0B25"/>
    <w:rsid w:val="005E0C96"/>
    <w:rsid w:val="005E10F0"/>
    <w:rsid w:val="005E1335"/>
    <w:rsid w:val="005E17F9"/>
    <w:rsid w:val="005E1CE9"/>
    <w:rsid w:val="005E1F9C"/>
    <w:rsid w:val="005E2238"/>
    <w:rsid w:val="005E33A2"/>
    <w:rsid w:val="005E3C6E"/>
    <w:rsid w:val="005E4212"/>
    <w:rsid w:val="005E4245"/>
    <w:rsid w:val="005E448C"/>
    <w:rsid w:val="005E5272"/>
    <w:rsid w:val="005E55F3"/>
    <w:rsid w:val="005E598B"/>
    <w:rsid w:val="005E5C96"/>
    <w:rsid w:val="005E5EF3"/>
    <w:rsid w:val="005E5F47"/>
    <w:rsid w:val="005E64DE"/>
    <w:rsid w:val="005E6611"/>
    <w:rsid w:val="005E698C"/>
    <w:rsid w:val="005E6B9B"/>
    <w:rsid w:val="005E6CE5"/>
    <w:rsid w:val="005E6DA9"/>
    <w:rsid w:val="005E6DDD"/>
    <w:rsid w:val="005E755D"/>
    <w:rsid w:val="005E769A"/>
    <w:rsid w:val="005E76D3"/>
    <w:rsid w:val="005E76F7"/>
    <w:rsid w:val="005E79A4"/>
    <w:rsid w:val="005E7B6F"/>
    <w:rsid w:val="005F044A"/>
    <w:rsid w:val="005F087C"/>
    <w:rsid w:val="005F0ACE"/>
    <w:rsid w:val="005F1479"/>
    <w:rsid w:val="005F164E"/>
    <w:rsid w:val="005F18CE"/>
    <w:rsid w:val="005F1A1D"/>
    <w:rsid w:val="005F1D62"/>
    <w:rsid w:val="005F288F"/>
    <w:rsid w:val="005F29FA"/>
    <w:rsid w:val="005F2A3B"/>
    <w:rsid w:val="005F30F4"/>
    <w:rsid w:val="005F36C5"/>
    <w:rsid w:val="005F4143"/>
    <w:rsid w:val="005F42C9"/>
    <w:rsid w:val="005F452A"/>
    <w:rsid w:val="005F4567"/>
    <w:rsid w:val="005F51E4"/>
    <w:rsid w:val="005F526B"/>
    <w:rsid w:val="005F6376"/>
    <w:rsid w:val="005F66AA"/>
    <w:rsid w:val="005F6845"/>
    <w:rsid w:val="005F69F8"/>
    <w:rsid w:val="005F6C3F"/>
    <w:rsid w:val="005F7323"/>
    <w:rsid w:val="005F7665"/>
    <w:rsid w:val="00600084"/>
    <w:rsid w:val="00600174"/>
    <w:rsid w:val="006002EE"/>
    <w:rsid w:val="00600759"/>
    <w:rsid w:val="00600ACA"/>
    <w:rsid w:val="00600AFD"/>
    <w:rsid w:val="0060110A"/>
    <w:rsid w:val="00601760"/>
    <w:rsid w:val="00601784"/>
    <w:rsid w:val="006017FF"/>
    <w:rsid w:val="0060196E"/>
    <w:rsid w:val="00601A57"/>
    <w:rsid w:val="00601F06"/>
    <w:rsid w:val="00601FF9"/>
    <w:rsid w:val="00602329"/>
    <w:rsid w:val="006025E9"/>
    <w:rsid w:val="006026BB"/>
    <w:rsid w:val="0060285A"/>
    <w:rsid w:val="0060336C"/>
    <w:rsid w:val="00603760"/>
    <w:rsid w:val="00603D9F"/>
    <w:rsid w:val="00604540"/>
    <w:rsid w:val="00604AE1"/>
    <w:rsid w:val="00604B20"/>
    <w:rsid w:val="00604D19"/>
    <w:rsid w:val="00605714"/>
    <w:rsid w:val="0060579D"/>
    <w:rsid w:val="00605984"/>
    <w:rsid w:val="00606081"/>
    <w:rsid w:val="0060656B"/>
    <w:rsid w:val="006068F6"/>
    <w:rsid w:val="00606CB9"/>
    <w:rsid w:val="006079FF"/>
    <w:rsid w:val="00607EF2"/>
    <w:rsid w:val="0061090C"/>
    <w:rsid w:val="0061096B"/>
    <w:rsid w:val="00610C8E"/>
    <w:rsid w:val="00611086"/>
    <w:rsid w:val="0061177A"/>
    <w:rsid w:val="0061190C"/>
    <w:rsid w:val="00611943"/>
    <w:rsid w:val="00611F95"/>
    <w:rsid w:val="006124C3"/>
    <w:rsid w:val="00612934"/>
    <w:rsid w:val="00612BEC"/>
    <w:rsid w:val="00613564"/>
    <w:rsid w:val="0061407C"/>
    <w:rsid w:val="00614560"/>
    <w:rsid w:val="006158F2"/>
    <w:rsid w:val="00615C7A"/>
    <w:rsid w:val="00615D32"/>
    <w:rsid w:val="0061686D"/>
    <w:rsid w:val="00616E9C"/>
    <w:rsid w:val="00617847"/>
    <w:rsid w:val="00617A5C"/>
    <w:rsid w:val="00617B73"/>
    <w:rsid w:val="00617E9D"/>
    <w:rsid w:val="0062062F"/>
    <w:rsid w:val="00620FD8"/>
    <w:rsid w:val="0062104F"/>
    <w:rsid w:val="006211EC"/>
    <w:rsid w:val="00623188"/>
    <w:rsid w:val="0062324C"/>
    <w:rsid w:val="00623562"/>
    <w:rsid w:val="006235B0"/>
    <w:rsid w:val="0062381B"/>
    <w:rsid w:val="00623C08"/>
    <w:rsid w:val="00624192"/>
    <w:rsid w:val="0062461F"/>
    <w:rsid w:val="0062558C"/>
    <w:rsid w:val="00625956"/>
    <w:rsid w:val="00625E37"/>
    <w:rsid w:val="00626276"/>
    <w:rsid w:val="006263EB"/>
    <w:rsid w:val="00626681"/>
    <w:rsid w:val="0062709F"/>
    <w:rsid w:val="006270E6"/>
    <w:rsid w:val="0062717A"/>
    <w:rsid w:val="00630050"/>
    <w:rsid w:val="0063043B"/>
    <w:rsid w:val="006305AF"/>
    <w:rsid w:val="006305E9"/>
    <w:rsid w:val="006306EB"/>
    <w:rsid w:val="00630F40"/>
    <w:rsid w:val="006316B2"/>
    <w:rsid w:val="00631AD5"/>
    <w:rsid w:val="00631D36"/>
    <w:rsid w:val="006324C0"/>
    <w:rsid w:val="00632779"/>
    <w:rsid w:val="00632B59"/>
    <w:rsid w:val="00632F65"/>
    <w:rsid w:val="0063327C"/>
    <w:rsid w:val="0063388D"/>
    <w:rsid w:val="00633AB2"/>
    <w:rsid w:val="00633AB8"/>
    <w:rsid w:val="00633C2A"/>
    <w:rsid w:val="0063414A"/>
    <w:rsid w:val="0063464B"/>
    <w:rsid w:val="00634D55"/>
    <w:rsid w:val="00635126"/>
    <w:rsid w:val="0063514C"/>
    <w:rsid w:val="006356DF"/>
    <w:rsid w:val="00636443"/>
    <w:rsid w:val="006364D7"/>
    <w:rsid w:val="00636514"/>
    <w:rsid w:val="0063677B"/>
    <w:rsid w:val="0063699E"/>
    <w:rsid w:val="00636E66"/>
    <w:rsid w:val="006371FB"/>
    <w:rsid w:val="00637499"/>
    <w:rsid w:val="0063792A"/>
    <w:rsid w:val="00637992"/>
    <w:rsid w:val="00637B58"/>
    <w:rsid w:val="00637C96"/>
    <w:rsid w:val="0064000D"/>
    <w:rsid w:val="00640272"/>
    <w:rsid w:val="0064031F"/>
    <w:rsid w:val="0064040C"/>
    <w:rsid w:val="00640583"/>
    <w:rsid w:val="006406DE"/>
    <w:rsid w:val="006407D8"/>
    <w:rsid w:val="00640A7D"/>
    <w:rsid w:val="00640BAC"/>
    <w:rsid w:val="00641102"/>
    <w:rsid w:val="00641740"/>
    <w:rsid w:val="00641FC4"/>
    <w:rsid w:val="00642825"/>
    <w:rsid w:val="00642F3F"/>
    <w:rsid w:val="00643750"/>
    <w:rsid w:val="00643894"/>
    <w:rsid w:val="00643BCB"/>
    <w:rsid w:val="0064433F"/>
    <w:rsid w:val="00644567"/>
    <w:rsid w:val="006445F0"/>
    <w:rsid w:val="006445FC"/>
    <w:rsid w:val="00644626"/>
    <w:rsid w:val="00644F06"/>
    <w:rsid w:val="00644FFD"/>
    <w:rsid w:val="006452D1"/>
    <w:rsid w:val="00645519"/>
    <w:rsid w:val="006455D2"/>
    <w:rsid w:val="006456AA"/>
    <w:rsid w:val="00646856"/>
    <w:rsid w:val="006468B2"/>
    <w:rsid w:val="006469C0"/>
    <w:rsid w:val="00646D06"/>
    <w:rsid w:val="00646D61"/>
    <w:rsid w:val="00646E82"/>
    <w:rsid w:val="00647C30"/>
    <w:rsid w:val="00647DC9"/>
    <w:rsid w:val="0065016F"/>
    <w:rsid w:val="0065019F"/>
    <w:rsid w:val="0065068E"/>
    <w:rsid w:val="00650B5A"/>
    <w:rsid w:val="00650BD3"/>
    <w:rsid w:val="00650F7E"/>
    <w:rsid w:val="006516F1"/>
    <w:rsid w:val="006517A4"/>
    <w:rsid w:val="0065186A"/>
    <w:rsid w:val="006519B8"/>
    <w:rsid w:val="00651F00"/>
    <w:rsid w:val="006524AD"/>
    <w:rsid w:val="00652507"/>
    <w:rsid w:val="00652808"/>
    <w:rsid w:val="00652D17"/>
    <w:rsid w:val="00652FB5"/>
    <w:rsid w:val="00653620"/>
    <w:rsid w:val="00654000"/>
    <w:rsid w:val="00654179"/>
    <w:rsid w:val="00654270"/>
    <w:rsid w:val="00654E3F"/>
    <w:rsid w:val="00654EAC"/>
    <w:rsid w:val="006550FB"/>
    <w:rsid w:val="006555F0"/>
    <w:rsid w:val="00655761"/>
    <w:rsid w:val="006557A7"/>
    <w:rsid w:val="00655883"/>
    <w:rsid w:val="00655D33"/>
    <w:rsid w:val="0065608C"/>
    <w:rsid w:val="00656234"/>
    <w:rsid w:val="00656C75"/>
    <w:rsid w:val="00656DBE"/>
    <w:rsid w:val="006570CF"/>
    <w:rsid w:val="0066033D"/>
    <w:rsid w:val="006605E0"/>
    <w:rsid w:val="0066145B"/>
    <w:rsid w:val="006615DF"/>
    <w:rsid w:val="00661B9B"/>
    <w:rsid w:val="00662537"/>
    <w:rsid w:val="0066266D"/>
    <w:rsid w:val="00662C68"/>
    <w:rsid w:val="00662D0B"/>
    <w:rsid w:val="00662E4A"/>
    <w:rsid w:val="00662F6A"/>
    <w:rsid w:val="0066342C"/>
    <w:rsid w:val="00663685"/>
    <w:rsid w:val="006639A0"/>
    <w:rsid w:val="00663B52"/>
    <w:rsid w:val="00663C52"/>
    <w:rsid w:val="00663FB8"/>
    <w:rsid w:val="0066465E"/>
    <w:rsid w:val="00664D1E"/>
    <w:rsid w:val="00665555"/>
    <w:rsid w:val="006657CF"/>
    <w:rsid w:val="006664F7"/>
    <w:rsid w:val="0066676E"/>
    <w:rsid w:val="00666B4A"/>
    <w:rsid w:val="00667469"/>
    <w:rsid w:val="006674DE"/>
    <w:rsid w:val="0066773F"/>
    <w:rsid w:val="006677F8"/>
    <w:rsid w:val="00670B7C"/>
    <w:rsid w:val="00670BE9"/>
    <w:rsid w:val="00671383"/>
    <w:rsid w:val="0067142F"/>
    <w:rsid w:val="006714BE"/>
    <w:rsid w:val="006714EB"/>
    <w:rsid w:val="00671607"/>
    <w:rsid w:val="0067193C"/>
    <w:rsid w:val="00671B31"/>
    <w:rsid w:val="00671DA3"/>
    <w:rsid w:val="0067248C"/>
    <w:rsid w:val="00672BD8"/>
    <w:rsid w:val="00672CC6"/>
    <w:rsid w:val="00672E6A"/>
    <w:rsid w:val="00673A50"/>
    <w:rsid w:val="00673F33"/>
    <w:rsid w:val="0067422A"/>
    <w:rsid w:val="00674C4E"/>
    <w:rsid w:val="006753BE"/>
    <w:rsid w:val="0067556A"/>
    <w:rsid w:val="00675ECF"/>
    <w:rsid w:val="006763C6"/>
    <w:rsid w:val="0067653F"/>
    <w:rsid w:val="00676547"/>
    <w:rsid w:val="00676551"/>
    <w:rsid w:val="00676AF4"/>
    <w:rsid w:val="00676F0D"/>
    <w:rsid w:val="0067702A"/>
    <w:rsid w:val="00677668"/>
    <w:rsid w:val="0067795E"/>
    <w:rsid w:val="0068010F"/>
    <w:rsid w:val="00680208"/>
    <w:rsid w:val="00680C07"/>
    <w:rsid w:val="006814C2"/>
    <w:rsid w:val="00681ADF"/>
    <w:rsid w:val="0068222A"/>
    <w:rsid w:val="00682610"/>
    <w:rsid w:val="00682807"/>
    <w:rsid w:val="006829D6"/>
    <w:rsid w:val="00682B01"/>
    <w:rsid w:val="00682D66"/>
    <w:rsid w:val="00682FC1"/>
    <w:rsid w:val="00683026"/>
    <w:rsid w:val="00683306"/>
    <w:rsid w:val="00683CAC"/>
    <w:rsid w:val="0068436B"/>
    <w:rsid w:val="0068526C"/>
    <w:rsid w:val="00685310"/>
    <w:rsid w:val="0068592D"/>
    <w:rsid w:val="00685DB4"/>
    <w:rsid w:val="0068602E"/>
    <w:rsid w:val="0068610A"/>
    <w:rsid w:val="00686221"/>
    <w:rsid w:val="0068634A"/>
    <w:rsid w:val="0068679C"/>
    <w:rsid w:val="006867AB"/>
    <w:rsid w:val="00686EBD"/>
    <w:rsid w:val="00686F50"/>
    <w:rsid w:val="006871EC"/>
    <w:rsid w:val="006874A0"/>
    <w:rsid w:val="006877F0"/>
    <w:rsid w:val="00687B99"/>
    <w:rsid w:val="00687FC2"/>
    <w:rsid w:val="00690D69"/>
    <w:rsid w:val="006911B3"/>
    <w:rsid w:val="0069228E"/>
    <w:rsid w:val="00692493"/>
    <w:rsid w:val="00692EFA"/>
    <w:rsid w:val="00692F52"/>
    <w:rsid w:val="0069336F"/>
    <w:rsid w:val="0069338F"/>
    <w:rsid w:val="00693597"/>
    <w:rsid w:val="006939F2"/>
    <w:rsid w:val="00693C5D"/>
    <w:rsid w:val="00694117"/>
    <w:rsid w:val="006943AE"/>
    <w:rsid w:val="00694404"/>
    <w:rsid w:val="00694A9E"/>
    <w:rsid w:val="00694B9B"/>
    <w:rsid w:val="00694C50"/>
    <w:rsid w:val="00694D98"/>
    <w:rsid w:val="00694F3B"/>
    <w:rsid w:val="006951C2"/>
    <w:rsid w:val="006952F6"/>
    <w:rsid w:val="00695497"/>
    <w:rsid w:val="006955FD"/>
    <w:rsid w:val="0069568B"/>
    <w:rsid w:val="00695718"/>
    <w:rsid w:val="00695FC1"/>
    <w:rsid w:val="00696B01"/>
    <w:rsid w:val="00697106"/>
    <w:rsid w:val="00697201"/>
    <w:rsid w:val="0069768D"/>
    <w:rsid w:val="00697A57"/>
    <w:rsid w:val="00697C9F"/>
    <w:rsid w:val="00697DB4"/>
    <w:rsid w:val="00697FFD"/>
    <w:rsid w:val="006A0CC7"/>
    <w:rsid w:val="006A1140"/>
    <w:rsid w:val="006A1208"/>
    <w:rsid w:val="006A16C6"/>
    <w:rsid w:val="006A16DB"/>
    <w:rsid w:val="006A1B54"/>
    <w:rsid w:val="006A2598"/>
    <w:rsid w:val="006A263D"/>
    <w:rsid w:val="006A26E6"/>
    <w:rsid w:val="006A285D"/>
    <w:rsid w:val="006A2E84"/>
    <w:rsid w:val="006A302B"/>
    <w:rsid w:val="006A36E8"/>
    <w:rsid w:val="006A3EB0"/>
    <w:rsid w:val="006A403C"/>
    <w:rsid w:val="006A40A7"/>
    <w:rsid w:val="006A462F"/>
    <w:rsid w:val="006A4A60"/>
    <w:rsid w:val="006A4E6C"/>
    <w:rsid w:val="006A5155"/>
    <w:rsid w:val="006A533F"/>
    <w:rsid w:val="006A53F8"/>
    <w:rsid w:val="006A59B7"/>
    <w:rsid w:val="006A5A33"/>
    <w:rsid w:val="006A5C2B"/>
    <w:rsid w:val="006A5C73"/>
    <w:rsid w:val="006A5EA2"/>
    <w:rsid w:val="006A5F4C"/>
    <w:rsid w:val="006A6204"/>
    <w:rsid w:val="006A62FF"/>
    <w:rsid w:val="006A6D0A"/>
    <w:rsid w:val="006A7297"/>
    <w:rsid w:val="006A781A"/>
    <w:rsid w:val="006A7ABD"/>
    <w:rsid w:val="006B01F9"/>
    <w:rsid w:val="006B05A2"/>
    <w:rsid w:val="006B0D72"/>
    <w:rsid w:val="006B0E16"/>
    <w:rsid w:val="006B1F6E"/>
    <w:rsid w:val="006B2FA6"/>
    <w:rsid w:val="006B30C0"/>
    <w:rsid w:val="006B333C"/>
    <w:rsid w:val="006B3367"/>
    <w:rsid w:val="006B36EA"/>
    <w:rsid w:val="006B3978"/>
    <w:rsid w:val="006B3F04"/>
    <w:rsid w:val="006B41A6"/>
    <w:rsid w:val="006B4A7B"/>
    <w:rsid w:val="006B5726"/>
    <w:rsid w:val="006B60C1"/>
    <w:rsid w:val="006B62D7"/>
    <w:rsid w:val="006B67DC"/>
    <w:rsid w:val="006B6937"/>
    <w:rsid w:val="006B6C93"/>
    <w:rsid w:val="006B7396"/>
    <w:rsid w:val="006B74DF"/>
    <w:rsid w:val="006B75DD"/>
    <w:rsid w:val="006B7BC0"/>
    <w:rsid w:val="006C0263"/>
    <w:rsid w:val="006C04F5"/>
    <w:rsid w:val="006C062E"/>
    <w:rsid w:val="006C14F4"/>
    <w:rsid w:val="006C17E0"/>
    <w:rsid w:val="006C1968"/>
    <w:rsid w:val="006C1BDD"/>
    <w:rsid w:val="006C1D95"/>
    <w:rsid w:val="006C1FE3"/>
    <w:rsid w:val="006C20BC"/>
    <w:rsid w:val="006C2182"/>
    <w:rsid w:val="006C27B6"/>
    <w:rsid w:val="006C316F"/>
    <w:rsid w:val="006C340F"/>
    <w:rsid w:val="006C3711"/>
    <w:rsid w:val="006C3EBF"/>
    <w:rsid w:val="006C3F27"/>
    <w:rsid w:val="006C46AA"/>
    <w:rsid w:val="006C50AE"/>
    <w:rsid w:val="006C512B"/>
    <w:rsid w:val="006C540F"/>
    <w:rsid w:val="006C5B23"/>
    <w:rsid w:val="006C5DD2"/>
    <w:rsid w:val="006C5F45"/>
    <w:rsid w:val="006C626E"/>
    <w:rsid w:val="006C63AA"/>
    <w:rsid w:val="006C642D"/>
    <w:rsid w:val="006C644A"/>
    <w:rsid w:val="006C6D57"/>
    <w:rsid w:val="006C70A6"/>
    <w:rsid w:val="006C7822"/>
    <w:rsid w:val="006C7999"/>
    <w:rsid w:val="006C7F30"/>
    <w:rsid w:val="006D0147"/>
    <w:rsid w:val="006D081E"/>
    <w:rsid w:val="006D0F2E"/>
    <w:rsid w:val="006D11E8"/>
    <w:rsid w:val="006D2221"/>
    <w:rsid w:val="006D2ABF"/>
    <w:rsid w:val="006D3202"/>
    <w:rsid w:val="006D3316"/>
    <w:rsid w:val="006D3618"/>
    <w:rsid w:val="006D3832"/>
    <w:rsid w:val="006D3B60"/>
    <w:rsid w:val="006D3CE6"/>
    <w:rsid w:val="006D3F35"/>
    <w:rsid w:val="006D4665"/>
    <w:rsid w:val="006D4A48"/>
    <w:rsid w:val="006D4AA1"/>
    <w:rsid w:val="006D4C36"/>
    <w:rsid w:val="006D4E4C"/>
    <w:rsid w:val="006D581B"/>
    <w:rsid w:val="006D5A1E"/>
    <w:rsid w:val="006D62F9"/>
    <w:rsid w:val="006D7115"/>
    <w:rsid w:val="006D7268"/>
    <w:rsid w:val="006D7F3B"/>
    <w:rsid w:val="006E0805"/>
    <w:rsid w:val="006E0816"/>
    <w:rsid w:val="006E08E7"/>
    <w:rsid w:val="006E0B5C"/>
    <w:rsid w:val="006E15B6"/>
    <w:rsid w:val="006E1B61"/>
    <w:rsid w:val="006E2136"/>
    <w:rsid w:val="006E225F"/>
    <w:rsid w:val="006E22DA"/>
    <w:rsid w:val="006E2DE3"/>
    <w:rsid w:val="006E3056"/>
    <w:rsid w:val="006E3A43"/>
    <w:rsid w:val="006E3A55"/>
    <w:rsid w:val="006E3CE8"/>
    <w:rsid w:val="006E3FEA"/>
    <w:rsid w:val="006E412A"/>
    <w:rsid w:val="006E427D"/>
    <w:rsid w:val="006E4391"/>
    <w:rsid w:val="006E46C9"/>
    <w:rsid w:val="006E4F77"/>
    <w:rsid w:val="006E550D"/>
    <w:rsid w:val="006E5B5F"/>
    <w:rsid w:val="006E5FC9"/>
    <w:rsid w:val="006E60DD"/>
    <w:rsid w:val="006E6231"/>
    <w:rsid w:val="006E697B"/>
    <w:rsid w:val="006E6E92"/>
    <w:rsid w:val="006E6F6B"/>
    <w:rsid w:val="006E728D"/>
    <w:rsid w:val="006E789D"/>
    <w:rsid w:val="006F0A0A"/>
    <w:rsid w:val="006F0F4F"/>
    <w:rsid w:val="006F124F"/>
    <w:rsid w:val="006F1BAF"/>
    <w:rsid w:val="006F1F60"/>
    <w:rsid w:val="006F2F89"/>
    <w:rsid w:val="006F329E"/>
    <w:rsid w:val="006F3562"/>
    <w:rsid w:val="006F3762"/>
    <w:rsid w:val="006F3B6A"/>
    <w:rsid w:val="006F4228"/>
    <w:rsid w:val="006F4812"/>
    <w:rsid w:val="006F4B34"/>
    <w:rsid w:val="006F4BD1"/>
    <w:rsid w:val="006F5377"/>
    <w:rsid w:val="006F59B2"/>
    <w:rsid w:val="006F59D7"/>
    <w:rsid w:val="006F6421"/>
    <w:rsid w:val="006F6C0A"/>
    <w:rsid w:val="006F6F39"/>
    <w:rsid w:val="006F749C"/>
    <w:rsid w:val="006F7A66"/>
    <w:rsid w:val="006F7B9E"/>
    <w:rsid w:val="006F7F62"/>
    <w:rsid w:val="0070013B"/>
    <w:rsid w:val="007002E6"/>
    <w:rsid w:val="0070050A"/>
    <w:rsid w:val="007008DE"/>
    <w:rsid w:val="00700B37"/>
    <w:rsid w:val="00700E9C"/>
    <w:rsid w:val="00701060"/>
    <w:rsid w:val="007014CF"/>
    <w:rsid w:val="00701836"/>
    <w:rsid w:val="00701911"/>
    <w:rsid w:val="007019AD"/>
    <w:rsid w:val="00701C8B"/>
    <w:rsid w:val="00701FA9"/>
    <w:rsid w:val="0070267F"/>
    <w:rsid w:val="0070268B"/>
    <w:rsid w:val="0070279A"/>
    <w:rsid w:val="0070294C"/>
    <w:rsid w:val="007033CD"/>
    <w:rsid w:val="007042A3"/>
    <w:rsid w:val="0070444A"/>
    <w:rsid w:val="00704511"/>
    <w:rsid w:val="007045AB"/>
    <w:rsid w:val="00704653"/>
    <w:rsid w:val="00704715"/>
    <w:rsid w:val="00704BE9"/>
    <w:rsid w:val="00704DAB"/>
    <w:rsid w:val="007057F0"/>
    <w:rsid w:val="00705861"/>
    <w:rsid w:val="00705ADA"/>
    <w:rsid w:val="00705BA4"/>
    <w:rsid w:val="00705FA4"/>
    <w:rsid w:val="007064ED"/>
    <w:rsid w:val="0070662F"/>
    <w:rsid w:val="0070666F"/>
    <w:rsid w:val="00706BA4"/>
    <w:rsid w:val="00707307"/>
    <w:rsid w:val="007077E7"/>
    <w:rsid w:val="00707F79"/>
    <w:rsid w:val="007103F1"/>
    <w:rsid w:val="00710867"/>
    <w:rsid w:val="007109EA"/>
    <w:rsid w:val="00710E96"/>
    <w:rsid w:val="00711077"/>
    <w:rsid w:val="00711B89"/>
    <w:rsid w:val="00711CB3"/>
    <w:rsid w:val="007120E0"/>
    <w:rsid w:val="00712492"/>
    <w:rsid w:val="00712573"/>
    <w:rsid w:val="00712B00"/>
    <w:rsid w:val="00712B2D"/>
    <w:rsid w:val="007132EF"/>
    <w:rsid w:val="007133A8"/>
    <w:rsid w:val="00713BE1"/>
    <w:rsid w:val="0071556D"/>
    <w:rsid w:val="00715C4F"/>
    <w:rsid w:val="00715DD1"/>
    <w:rsid w:val="00716943"/>
    <w:rsid w:val="00716D05"/>
    <w:rsid w:val="00717926"/>
    <w:rsid w:val="00717A63"/>
    <w:rsid w:val="00717C7E"/>
    <w:rsid w:val="00720293"/>
    <w:rsid w:val="00720380"/>
    <w:rsid w:val="00720953"/>
    <w:rsid w:val="00720A2E"/>
    <w:rsid w:val="00720BB6"/>
    <w:rsid w:val="0072116A"/>
    <w:rsid w:val="00721408"/>
    <w:rsid w:val="0072192D"/>
    <w:rsid w:val="00721E75"/>
    <w:rsid w:val="00721FA5"/>
    <w:rsid w:val="00722069"/>
    <w:rsid w:val="0072242D"/>
    <w:rsid w:val="00722464"/>
    <w:rsid w:val="007229F8"/>
    <w:rsid w:val="00722CDF"/>
    <w:rsid w:val="00722D25"/>
    <w:rsid w:val="00722E6F"/>
    <w:rsid w:val="00722F65"/>
    <w:rsid w:val="00723B88"/>
    <w:rsid w:val="00723BAB"/>
    <w:rsid w:val="00723C8B"/>
    <w:rsid w:val="0072405C"/>
    <w:rsid w:val="00724482"/>
    <w:rsid w:val="007249CA"/>
    <w:rsid w:val="007257C3"/>
    <w:rsid w:val="00725FA3"/>
    <w:rsid w:val="007261A5"/>
    <w:rsid w:val="00726D82"/>
    <w:rsid w:val="00727159"/>
    <w:rsid w:val="007273D3"/>
    <w:rsid w:val="00727A49"/>
    <w:rsid w:val="00727B05"/>
    <w:rsid w:val="00727E11"/>
    <w:rsid w:val="007307EA"/>
    <w:rsid w:val="00730ADF"/>
    <w:rsid w:val="00730BC3"/>
    <w:rsid w:val="00730E2D"/>
    <w:rsid w:val="0073134A"/>
    <w:rsid w:val="00731643"/>
    <w:rsid w:val="007319B5"/>
    <w:rsid w:val="00731D8E"/>
    <w:rsid w:val="00731F4E"/>
    <w:rsid w:val="00732651"/>
    <w:rsid w:val="00732A94"/>
    <w:rsid w:val="00732B6D"/>
    <w:rsid w:val="00732CD6"/>
    <w:rsid w:val="00732F17"/>
    <w:rsid w:val="0073364C"/>
    <w:rsid w:val="00733DA8"/>
    <w:rsid w:val="00733E39"/>
    <w:rsid w:val="007340B2"/>
    <w:rsid w:val="007341BB"/>
    <w:rsid w:val="00734294"/>
    <w:rsid w:val="00734308"/>
    <w:rsid w:val="0073440E"/>
    <w:rsid w:val="007345D5"/>
    <w:rsid w:val="007345D9"/>
    <w:rsid w:val="00734C79"/>
    <w:rsid w:val="00734F0D"/>
    <w:rsid w:val="00735EBE"/>
    <w:rsid w:val="00736033"/>
    <w:rsid w:val="007362FF"/>
    <w:rsid w:val="00736840"/>
    <w:rsid w:val="00736A4A"/>
    <w:rsid w:val="00737058"/>
    <w:rsid w:val="00737756"/>
    <w:rsid w:val="007379CE"/>
    <w:rsid w:val="00737A2D"/>
    <w:rsid w:val="00737C31"/>
    <w:rsid w:val="007401DB"/>
    <w:rsid w:val="00740A67"/>
    <w:rsid w:val="00740B77"/>
    <w:rsid w:val="007418A7"/>
    <w:rsid w:val="0074200B"/>
    <w:rsid w:val="00742326"/>
    <w:rsid w:val="00742400"/>
    <w:rsid w:val="00742574"/>
    <w:rsid w:val="007426D4"/>
    <w:rsid w:val="00742C68"/>
    <w:rsid w:val="00743490"/>
    <w:rsid w:val="00743916"/>
    <w:rsid w:val="00743D61"/>
    <w:rsid w:val="007441EC"/>
    <w:rsid w:val="007442A4"/>
    <w:rsid w:val="00745133"/>
    <w:rsid w:val="007454E4"/>
    <w:rsid w:val="00745805"/>
    <w:rsid w:val="00745BF9"/>
    <w:rsid w:val="007460B8"/>
    <w:rsid w:val="00746391"/>
    <w:rsid w:val="00746453"/>
    <w:rsid w:val="007464C0"/>
    <w:rsid w:val="0074676F"/>
    <w:rsid w:val="00746A6D"/>
    <w:rsid w:val="00746ACD"/>
    <w:rsid w:val="00746FFD"/>
    <w:rsid w:val="007475A9"/>
    <w:rsid w:val="007477C9"/>
    <w:rsid w:val="00747883"/>
    <w:rsid w:val="00747D36"/>
    <w:rsid w:val="00747D8A"/>
    <w:rsid w:val="00750363"/>
    <w:rsid w:val="00750656"/>
    <w:rsid w:val="00750A91"/>
    <w:rsid w:val="00750BFE"/>
    <w:rsid w:val="00750CA7"/>
    <w:rsid w:val="007510C5"/>
    <w:rsid w:val="00751369"/>
    <w:rsid w:val="007513FE"/>
    <w:rsid w:val="007514A7"/>
    <w:rsid w:val="007516A1"/>
    <w:rsid w:val="00751DD7"/>
    <w:rsid w:val="007523B7"/>
    <w:rsid w:val="00752403"/>
    <w:rsid w:val="00752692"/>
    <w:rsid w:val="007528C1"/>
    <w:rsid w:val="00752902"/>
    <w:rsid w:val="0075306A"/>
    <w:rsid w:val="0075328B"/>
    <w:rsid w:val="007535EF"/>
    <w:rsid w:val="00753EB2"/>
    <w:rsid w:val="00755302"/>
    <w:rsid w:val="007554CB"/>
    <w:rsid w:val="0075568E"/>
    <w:rsid w:val="00755813"/>
    <w:rsid w:val="00755C4B"/>
    <w:rsid w:val="0075606E"/>
    <w:rsid w:val="007567EE"/>
    <w:rsid w:val="00757255"/>
    <w:rsid w:val="00757451"/>
    <w:rsid w:val="00757656"/>
    <w:rsid w:val="00760124"/>
    <w:rsid w:val="007602A6"/>
    <w:rsid w:val="007606C0"/>
    <w:rsid w:val="00760807"/>
    <w:rsid w:val="00760888"/>
    <w:rsid w:val="00760E12"/>
    <w:rsid w:val="00760FDB"/>
    <w:rsid w:val="0076100B"/>
    <w:rsid w:val="00762420"/>
    <w:rsid w:val="00762829"/>
    <w:rsid w:val="00762C1C"/>
    <w:rsid w:val="00762E1F"/>
    <w:rsid w:val="00762EFA"/>
    <w:rsid w:val="00763344"/>
    <w:rsid w:val="00763527"/>
    <w:rsid w:val="00763CBC"/>
    <w:rsid w:val="00763E75"/>
    <w:rsid w:val="00764B5B"/>
    <w:rsid w:val="007658AD"/>
    <w:rsid w:val="00765D1D"/>
    <w:rsid w:val="007663D6"/>
    <w:rsid w:val="007664C0"/>
    <w:rsid w:val="00766CCF"/>
    <w:rsid w:val="00767227"/>
    <w:rsid w:val="007672AE"/>
    <w:rsid w:val="007672D6"/>
    <w:rsid w:val="0076762F"/>
    <w:rsid w:val="007707B5"/>
    <w:rsid w:val="00770B02"/>
    <w:rsid w:val="00771149"/>
    <w:rsid w:val="007711A4"/>
    <w:rsid w:val="007717EE"/>
    <w:rsid w:val="00771D7F"/>
    <w:rsid w:val="00771E25"/>
    <w:rsid w:val="0077241F"/>
    <w:rsid w:val="0077328C"/>
    <w:rsid w:val="0077397E"/>
    <w:rsid w:val="00773A87"/>
    <w:rsid w:val="00773C92"/>
    <w:rsid w:val="0077412A"/>
    <w:rsid w:val="0077414B"/>
    <w:rsid w:val="007742DA"/>
    <w:rsid w:val="007746DA"/>
    <w:rsid w:val="0077573A"/>
    <w:rsid w:val="007758E4"/>
    <w:rsid w:val="00775E48"/>
    <w:rsid w:val="00775EA9"/>
    <w:rsid w:val="00775F10"/>
    <w:rsid w:val="00776495"/>
    <w:rsid w:val="00776751"/>
    <w:rsid w:val="007769F5"/>
    <w:rsid w:val="00777045"/>
    <w:rsid w:val="0077745A"/>
    <w:rsid w:val="00777F37"/>
    <w:rsid w:val="00777F96"/>
    <w:rsid w:val="00777FD6"/>
    <w:rsid w:val="00780031"/>
    <w:rsid w:val="00780464"/>
    <w:rsid w:val="0078055F"/>
    <w:rsid w:val="00780ABF"/>
    <w:rsid w:val="00780B74"/>
    <w:rsid w:val="00781145"/>
    <w:rsid w:val="007811AB"/>
    <w:rsid w:val="00781622"/>
    <w:rsid w:val="00781CD9"/>
    <w:rsid w:val="00781E56"/>
    <w:rsid w:val="00781E7D"/>
    <w:rsid w:val="007824AB"/>
    <w:rsid w:val="00782668"/>
    <w:rsid w:val="00782C91"/>
    <w:rsid w:val="0078323D"/>
    <w:rsid w:val="00783406"/>
    <w:rsid w:val="00783A07"/>
    <w:rsid w:val="00783A5B"/>
    <w:rsid w:val="00783EE4"/>
    <w:rsid w:val="00784094"/>
    <w:rsid w:val="00784170"/>
    <w:rsid w:val="0078499C"/>
    <w:rsid w:val="00784AFD"/>
    <w:rsid w:val="00785020"/>
    <w:rsid w:val="00785552"/>
    <w:rsid w:val="007855BF"/>
    <w:rsid w:val="007857D0"/>
    <w:rsid w:val="00785895"/>
    <w:rsid w:val="0078600C"/>
    <w:rsid w:val="00786168"/>
    <w:rsid w:val="00786495"/>
    <w:rsid w:val="00786516"/>
    <w:rsid w:val="00786A65"/>
    <w:rsid w:val="00786B17"/>
    <w:rsid w:val="00786D38"/>
    <w:rsid w:val="00786D79"/>
    <w:rsid w:val="00787E98"/>
    <w:rsid w:val="007908F8"/>
    <w:rsid w:val="007909BA"/>
    <w:rsid w:val="00791389"/>
    <w:rsid w:val="00791FB1"/>
    <w:rsid w:val="007920D9"/>
    <w:rsid w:val="00792647"/>
    <w:rsid w:val="00792E48"/>
    <w:rsid w:val="00793375"/>
    <w:rsid w:val="00793D9C"/>
    <w:rsid w:val="00793FA1"/>
    <w:rsid w:val="00794174"/>
    <w:rsid w:val="00794701"/>
    <w:rsid w:val="00794837"/>
    <w:rsid w:val="00794E30"/>
    <w:rsid w:val="00795633"/>
    <w:rsid w:val="00795DD1"/>
    <w:rsid w:val="00795FD5"/>
    <w:rsid w:val="007966AD"/>
    <w:rsid w:val="007966D3"/>
    <w:rsid w:val="007967F4"/>
    <w:rsid w:val="00796AB2"/>
    <w:rsid w:val="00796BF2"/>
    <w:rsid w:val="00796C28"/>
    <w:rsid w:val="0079780E"/>
    <w:rsid w:val="0079799A"/>
    <w:rsid w:val="00797CF6"/>
    <w:rsid w:val="007A0151"/>
    <w:rsid w:val="007A0489"/>
    <w:rsid w:val="007A0B51"/>
    <w:rsid w:val="007A0B62"/>
    <w:rsid w:val="007A0C05"/>
    <w:rsid w:val="007A12CD"/>
    <w:rsid w:val="007A1326"/>
    <w:rsid w:val="007A1C31"/>
    <w:rsid w:val="007A1E36"/>
    <w:rsid w:val="007A2009"/>
    <w:rsid w:val="007A23A8"/>
    <w:rsid w:val="007A2C5E"/>
    <w:rsid w:val="007A2CC7"/>
    <w:rsid w:val="007A2DF0"/>
    <w:rsid w:val="007A3219"/>
    <w:rsid w:val="007A35F4"/>
    <w:rsid w:val="007A37F1"/>
    <w:rsid w:val="007A42E3"/>
    <w:rsid w:val="007A4884"/>
    <w:rsid w:val="007A4D6B"/>
    <w:rsid w:val="007A54F5"/>
    <w:rsid w:val="007A5808"/>
    <w:rsid w:val="007A5B18"/>
    <w:rsid w:val="007A5BD9"/>
    <w:rsid w:val="007A6428"/>
    <w:rsid w:val="007A68AC"/>
    <w:rsid w:val="007A6D2E"/>
    <w:rsid w:val="007A6FDD"/>
    <w:rsid w:val="007A75CD"/>
    <w:rsid w:val="007A765B"/>
    <w:rsid w:val="007A796F"/>
    <w:rsid w:val="007A7D43"/>
    <w:rsid w:val="007B0292"/>
    <w:rsid w:val="007B079F"/>
    <w:rsid w:val="007B08ED"/>
    <w:rsid w:val="007B0B43"/>
    <w:rsid w:val="007B0E0B"/>
    <w:rsid w:val="007B0E0E"/>
    <w:rsid w:val="007B1005"/>
    <w:rsid w:val="007B12DA"/>
    <w:rsid w:val="007B1441"/>
    <w:rsid w:val="007B154C"/>
    <w:rsid w:val="007B15C3"/>
    <w:rsid w:val="007B1CDB"/>
    <w:rsid w:val="007B2621"/>
    <w:rsid w:val="007B2A43"/>
    <w:rsid w:val="007B2E8D"/>
    <w:rsid w:val="007B34CE"/>
    <w:rsid w:val="007B3EF2"/>
    <w:rsid w:val="007B3FB9"/>
    <w:rsid w:val="007B426B"/>
    <w:rsid w:val="007B4414"/>
    <w:rsid w:val="007B4494"/>
    <w:rsid w:val="007B4AB0"/>
    <w:rsid w:val="007B4DD5"/>
    <w:rsid w:val="007B5034"/>
    <w:rsid w:val="007B570F"/>
    <w:rsid w:val="007B602A"/>
    <w:rsid w:val="007B658A"/>
    <w:rsid w:val="007B6AEC"/>
    <w:rsid w:val="007B6DB6"/>
    <w:rsid w:val="007B7E97"/>
    <w:rsid w:val="007B7F7A"/>
    <w:rsid w:val="007C0629"/>
    <w:rsid w:val="007C07FC"/>
    <w:rsid w:val="007C094E"/>
    <w:rsid w:val="007C1CEE"/>
    <w:rsid w:val="007C1CFF"/>
    <w:rsid w:val="007C1D4E"/>
    <w:rsid w:val="007C1DF7"/>
    <w:rsid w:val="007C24D6"/>
    <w:rsid w:val="007C2547"/>
    <w:rsid w:val="007C2E99"/>
    <w:rsid w:val="007C3F37"/>
    <w:rsid w:val="007C408A"/>
    <w:rsid w:val="007C42D8"/>
    <w:rsid w:val="007C45A1"/>
    <w:rsid w:val="007C4828"/>
    <w:rsid w:val="007C4E23"/>
    <w:rsid w:val="007C4FDC"/>
    <w:rsid w:val="007C572C"/>
    <w:rsid w:val="007C5785"/>
    <w:rsid w:val="007C5998"/>
    <w:rsid w:val="007C5A09"/>
    <w:rsid w:val="007C5C49"/>
    <w:rsid w:val="007C64AF"/>
    <w:rsid w:val="007C6877"/>
    <w:rsid w:val="007C6C4C"/>
    <w:rsid w:val="007C79B7"/>
    <w:rsid w:val="007C7BC4"/>
    <w:rsid w:val="007D0251"/>
    <w:rsid w:val="007D06F1"/>
    <w:rsid w:val="007D087E"/>
    <w:rsid w:val="007D0B6A"/>
    <w:rsid w:val="007D0FF3"/>
    <w:rsid w:val="007D1341"/>
    <w:rsid w:val="007D139F"/>
    <w:rsid w:val="007D1471"/>
    <w:rsid w:val="007D1B16"/>
    <w:rsid w:val="007D1FB5"/>
    <w:rsid w:val="007D2249"/>
    <w:rsid w:val="007D230E"/>
    <w:rsid w:val="007D236B"/>
    <w:rsid w:val="007D291B"/>
    <w:rsid w:val="007D2B88"/>
    <w:rsid w:val="007D3165"/>
    <w:rsid w:val="007D3E73"/>
    <w:rsid w:val="007D445B"/>
    <w:rsid w:val="007D5085"/>
    <w:rsid w:val="007D5E6D"/>
    <w:rsid w:val="007D684E"/>
    <w:rsid w:val="007D694D"/>
    <w:rsid w:val="007D70AE"/>
    <w:rsid w:val="007D76F7"/>
    <w:rsid w:val="007D776C"/>
    <w:rsid w:val="007D78C0"/>
    <w:rsid w:val="007D7BBB"/>
    <w:rsid w:val="007E0270"/>
    <w:rsid w:val="007E0372"/>
    <w:rsid w:val="007E03D3"/>
    <w:rsid w:val="007E054F"/>
    <w:rsid w:val="007E135C"/>
    <w:rsid w:val="007E142E"/>
    <w:rsid w:val="007E14DB"/>
    <w:rsid w:val="007E17B7"/>
    <w:rsid w:val="007E1BAE"/>
    <w:rsid w:val="007E1E00"/>
    <w:rsid w:val="007E1FF5"/>
    <w:rsid w:val="007E2667"/>
    <w:rsid w:val="007E27F9"/>
    <w:rsid w:val="007E2849"/>
    <w:rsid w:val="007E28EF"/>
    <w:rsid w:val="007E3214"/>
    <w:rsid w:val="007E3505"/>
    <w:rsid w:val="007E3F00"/>
    <w:rsid w:val="007E4077"/>
    <w:rsid w:val="007E441E"/>
    <w:rsid w:val="007E49A5"/>
    <w:rsid w:val="007E4A28"/>
    <w:rsid w:val="007E4E9B"/>
    <w:rsid w:val="007E4EED"/>
    <w:rsid w:val="007E5371"/>
    <w:rsid w:val="007E55B0"/>
    <w:rsid w:val="007E57E0"/>
    <w:rsid w:val="007E5BF8"/>
    <w:rsid w:val="007E6427"/>
    <w:rsid w:val="007E6918"/>
    <w:rsid w:val="007E6A9D"/>
    <w:rsid w:val="007E6B2F"/>
    <w:rsid w:val="007E7EA3"/>
    <w:rsid w:val="007F03FA"/>
    <w:rsid w:val="007F057D"/>
    <w:rsid w:val="007F0817"/>
    <w:rsid w:val="007F0CEC"/>
    <w:rsid w:val="007F12C0"/>
    <w:rsid w:val="007F1C05"/>
    <w:rsid w:val="007F1D4C"/>
    <w:rsid w:val="007F1FB9"/>
    <w:rsid w:val="007F213F"/>
    <w:rsid w:val="007F22B1"/>
    <w:rsid w:val="007F2893"/>
    <w:rsid w:val="007F2B21"/>
    <w:rsid w:val="007F2C4A"/>
    <w:rsid w:val="007F3200"/>
    <w:rsid w:val="007F333A"/>
    <w:rsid w:val="007F3A45"/>
    <w:rsid w:val="007F3BE5"/>
    <w:rsid w:val="007F3DE0"/>
    <w:rsid w:val="007F3E22"/>
    <w:rsid w:val="007F460C"/>
    <w:rsid w:val="007F4708"/>
    <w:rsid w:val="007F4C5E"/>
    <w:rsid w:val="007F4ED3"/>
    <w:rsid w:val="007F50EF"/>
    <w:rsid w:val="007F51C0"/>
    <w:rsid w:val="007F5271"/>
    <w:rsid w:val="007F53E2"/>
    <w:rsid w:val="007F553E"/>
    <w:rsid w:val="007F5593"/>
    <w:rsid w:val="007F5BD9"/>
    <w:rsid w:val="007F61D6"/>
    <w:rsid w:val="007F638B"/>
    <w:rsid w:val="007F6453"/>
    <w:rsid w:val="007F664A"/>
    <w:rsid w:val="007F683A"/>
    <w:rsid w:val="007F6864"/>
    <w:rsid w:val="007F6C29"/>
    <w:rsid w:val="007F6C43"/>
    <w:rsid w:val="007F6D42"/>
    <w:rsid w:val="007F6E37"/>
    <w:rsid w:val="007F729A"/>
    <w:rsid w:val="007F7305"/>
    <w:rsid w:val="007F7453"/>
    <w:rsid w:val="007F7B6A"/>
    <w:rsid w:val="007F7C4C"/>
    <w:rsid w:val="007F7D94"/>
    <w:rsid w:val="007F7DE0"/>
    <w:rsid w:val="007F7ECD"/>
    <w:rsid w:val="00800229"/>
    <w:rsid w:val="00800370"/>
    <w:rsid w:val="00800389"/>
    <w:rsid w:val="008009EE"/>
    <w:rsid w:val="00800A8D"/>
    <w:rsid w:val="00800CE8"/>
    <w:rsid w:val="00801440"/>
    <w:rsid w:val="00801A92"/>
    <w:rsid w:val="00801D44"/>
    <w:rsid w:val="00802057"/>
    <w:rsid w:val="008025D5"/>
    <w:rsid w:val="0080296E"/>
    <w:rsid w:val="00802BCA"/>
    <w:rsid w:val="00803097"/>
    <w:rsid w:val="008041E5"/>
    <w:rsid w:val="00804564"/>
    <w:rsid w:val="00804735"/>
    <w:rsid w:val="00804A9D"/>
    <w:rsid w:val="008054F0"/>
    <w:rsid w:val="00805B8C"/>
    <w:rsid w:val="00805BE5"/>
    <w:rsid w:val="00805F3A"/>
    <w:rsid w:val="00806037"/>
    <w:rsid w:val="00806278"/>
    <w:rsid w:val="0080685A"/>
    <w:rsid w:val="00806B6C"/>
    <w:rsid w:val="00806CE4"/>
    <w:rsid w:val="008072C7"/>
    <w:rsid w:val="00807479"/>
    <w:rsid w:val="00807557"/>
    <w:rsid w:val="00807706"/>
    <w:rsid w:val="008077E7"/>
    <w:rsid w:val="00807B6A"/>
    <w:rsid w:val="00807BE0"/>
    <w:rsid w:val="00807D7B"/>
    <w:rsid w:val="00807DC4"/>
    <w:rsid w:val="0081063D"/>
    <w:rsid w:val="00810FA5"/>
    <w:rsid w:val="00811091"/>
    <w:rsid w:val="008110B8"/>
    <w:rsid w:val="008113D4"/>
    <w:rsid w:val="00811473"/>
    <w:rsid w:val="00811609"/>
    <w:rsid w:val="00811703"/>
    <w:rsid w:val="00811C29"/>
    <w:rsid w:val="00811CFA"/>
    <w:rsid w:val="00811D24"/>
    <w:rsid w:val="0081254E"/>
    <w:rsid w:val="00812A66"/>
    <w:rsid w:val="00813621"/>
    <w:rsid w:val="008136AB"/>
    <w:rsid w:val="008137B7"/>
    <w:rsid w:val="008139D6"/>
    <w:rsid w:val="00813E69"/>
    <w:rsid w:val="00814A9C"/>
    <w:rsid w:val="00814AFC"/>
    <w:rsid w:val="00814DBA"/>
    <w:rsid w:val="00814E6E"/>
    <w:rsid w:val="008150E5"/>
    <w:rsid w:val="008150F6"/>
    <w:rsid w:val="00815587"/>
    <w:rsid w:val="008156E7"/>
    <w:rsid w:val="008156F4"/>
    <w:rsid w:val="00815F20"/>
    <w:rsid w:val="0081612D"/>
    <w:rsid w:val="0081629A"/>
    <w:rsid w:val="00816461"/>
    <w:rsid w:val="00816E97"/>
    <w:rsid w:val="00816FC5"/>
    <w:rsid w:val="00817840"/>
    <w:rsid w:val="00817A42"/>
    <w:rsid w:val="0082054E"/>
    <w:rsid w:val="00820ABF"/>
    <w:rsid w:val="00820D38"/>
    <w:rsid w:val="008211DE"/>
    <w:rsid w:val="00821400"/>
    <w:rsid w:val="0082159F"/>
    <w:rsid w:val="0082163F"/>
    <w:rsid w:val="00821A01"/>
    <w:rsid w:val="00821A37"/>
    <w:rsid w:val="00821B1D"/>
    <w:rsid w:val="00821C71"/>
    <w:rsid w:val="00821F0B"/>
    <w:rsid w:val="00821F82"/>
    <w:rsid w:val="00822105"/>
    <w:rsid w:val="008228DA"/>
    <w:rsid w:val="0082292F"/>
    <w:rsid w:val="008233AF"/>
    <w:rsid w:val="00823480"/>
    <w:rsid w:val="008238F1"/>
    <w:rsid w:val="008239F9"/>
    <w:rsid w:val="00823EB6"/>
    <w:rsid w:val="00823F33"/>
    <w:rsid w:val="00824834"/>
    <w:rsid w:val="00825060"/>
    <w:rsid w:val="00825253"/>
    <w:rsid w:val="008253D1"/>
    <w:rsid w:val="008258FB"/>
    <w:rsid w:val="008259E8"/>
    <w:rsid w:val="00825BBF"/>
    <w:rsid w:val="008263CA"/>
    <w:rsid w:val="0082714E"/>
    <w:rsid w:val="00827764"/>
    <w:rsid w:val="00827927"/>
    <w:rsid w:val="00827A34"/>
    <w:rsid w:val="00827E18"/>
    <w:rsid w:val="00830333"/>
    <w:rsid w:val="008305B1"/>
    <w:rsid w:val="008306C6"/>
    <w:rsid w:val="008307B7"/>
    <w:rsid w:val="00830839"/>
    <w:rsid w:val="008309C3"/>
    <w:rsid w:val="00830D54"/>
    <w:rsid w:val="00830E41"/>
    <w:rsid w:val="0083122A"/>
    <w:rsid w:val="00831483"/>
    <w:rsid w:val="0083150B"/>
    <w:rsid w:val="008317B3"/>
    <w:rsid w:val="00831C21"/>
    <w:rsid w:val="008324EB"/>
    <w:rsid w:val="00832858"/>
    <w:rsid w:val="00832DCB"/>
    <w:rsid w:val="008330BB"/>
    <w:rsid w:val="008331C2"/>
    <w:rsid w:val="00833F28"/>
    <w:rsid w:val="00834B51"/>
    <w:rsid w:val="00834C1D"/>
    <w:rsid w:val="008354E5"/>
    <w:rsid w:val="00835682"/>
    <w:rsid w:val="00835847"/>
    <w:rsid w:val="00835997"/>
    <w:rsid w:val="00835A20"/>
    <w:rsid w:val="00835A75"/>
    <w:rsid w:val="0083604F"/>
    <w:rsid w:val="0083614A"/>
    <w:rsid w:val="008362DC"/>
    <w:rsid w:val="008363D5"/>
    <w:rsid w:val="00836F5B"/>
    <w:rsid w:val="008370BB"/>
    <w:rsid w:val="00837726"/>
    <w:rsid w:val="00837B05"/>
    <w:rsid w:val="008400EA"/>
    <w:rsid w:val="00840FAA"/>
    <w:rsid w:val="0084156F"/>
    <w:rsid w:val="00841984"/>
    <w:rsid w:val="00841AEA"/>
    <w:rsid w:val="00841D1F"/>
    <w:rsid w:val="008428BE"/>
    <w:rsid w:val="00842CD2"/>
    <w:rsid w:val="00842D20"/>
    <w:rsid w:val="00842EB5"/>
    <w:rsid w:val="008431C7"/>
    <w:rsid w:val="008431E0"/>
    <w:rsid w:val="008436BB"/>
    <w:rsid w:val="00843ED9"/>
    <w:rsid w:val="00844376"/>
    <w:rsid w:val="008445EC"/>
    <w:rsid w:val="00844ACB"/>
    <w:rsid w:val="008454E6"/>
    <w:rsid w:val="00845959"/>
    <w:rsid w:val="008459D0"/>
    <w:rsid w:val="00845BD5"/>
    <w:rsid w:val="00845C31"/>
    <w:rsid w:val="00845CE4"/>
    <w:rsid w:val="00845F71"/>
    <w:rsid w:val="00846777"/>
    <w:rsid w:val="0084697D"/>
    <w:rsid w:val="00846F43"/>
    <w:rsid w:val="00846FC1"/>
    <w:rsid w:val="00847204"/>
    <w:rsid w:val="008472A4"/>
    <w:rsid w:val="0084753D"/>
    <w:rsid w:val="00850070"/>
    <w:rsid w:val="00850131"/>
    <w:rsid w:val="008506E5"/>
    <w:rsid w:val="00850CA4"/>
    <w:rsid w:val="008511EE"/>
    <w:rsid w:val="00851348"/>
    <w:rsid w:val="0085169C"/>
    <w:rsid w:val="00851A61"/>
    <w:rsid w:val="00851C17"/>
    <w:rsid w:val="00853168"/>
    <w:rsid w:val="00853799"/>
    <w:rsid w:val="00853C04"/>
    <w:rsid w:val="00853DAD"/>
    <w:rsid w:val="00853E1F"/>
    <w:rsid w:val="00854072"/>
    <w:rsid w:val="00854263"/>
    <w:rsid w:val="00854375"/>
    <w:rsid w:val="008544DE"/>
    <w:rsid w:val="008545EB"/>
    <w:rsid w:val="008548B9"/>
    <w:rsid w:val="00854C05"/>
    <w:rsid w:val="00854EFC"/>
    <w:rsid w:val="0085583F"/>
    <w:rsid w:val="00855A86"/>
    <w:rsid w:val="00855DC9"/>
    <w:rsid w:val="008560C3"/>
    <w:rsid w:val="00856397"/>
    <w:rsid w:val="008566AC"/>
    <w:rsid w:val="00856864"/>
    <w:rsid w:val="0085688A"/>
    <w:rsid w:val="0085697B"/>
    <w:rsid w:val="00856C13"/>
    <w:rsid w:val="00856FE1"/>
    <w:rsid w:val="00857A22"/>
    <w:rsid w:val="008605A1"/>
    <w:rsid w:val="00860FC4"/>
    <w:rsid w:val="008618CF"/>
    <w:rsid w:val="00861CBA"/>
    <w:rsid w:val="0086209B"/>
    <w:rsid w:val="00862423"/>
    <w:rsid w:val="00862DDA"/>
    <w:rsid w:val="008631C4"/>
    <w:rsid w:val="0086367D"/>
    <w:rsid w:val="0086386A"/>
    <w:rsid w:val="00863A6E"/>
    <w:rsid w:val="00863B5B"/>
    <w:rsid w:val="00864122"/>
    <w:rsid w:val="00864646"/>
    <w:rsid w:val="00864A0C"/>
    <w:rsid w:val="008653B9"/>
    <w:rsid w:val="0086567D"/>
    <w:rsid w:val="008657C8"/>
    <w:rsid w:val="00865CF9"/>
    <w:rsid w:val="00865FFA"/>
    <w:rsid w:val="00866429"/>
    <w:rsid w:val="00866585"/>
    <w:rsid w:val="008665B4"/>
    <w:rsid w:val="00866F52"/>
    <w:rsid w:val="00867195"/>
    <w:rsid w:val="0086764D"/>
    <w:rsid w:val="00867986"/>
    <w:rsid w:val="008679FD"/>
    <w:rsid w:val="00867C33"/>
    <w:rsid w:val="00867DEC"/>
    <w:rsid w:val="00870175"/>
    <w:rsid w:val="0087027B"/>
    <w:rsid w:val="008707B8"/>
    <w:rsid w:val="00870FF7"/>
    <w:rsid w:val="00871641"/>
    <w:rsid w:val="00871845"/>
    <w:rsid w:val="00871FE2"/>
    <w:rsid w:val="00872411"/>
    <w:rsid w:val="00872824"/>
    <w:rsid w:val="00872A4D"/>
    <w:rsid w:val="00872B42"/>
    <w:rsid w:val="00873A23"/>
    <w:rsid w:val="00874394"/>
    <w:rsid w:val="0087464E"/>
    <w:rsid w:val="00874B87"/>
    <w:rsid w:val="008756A9"/>
    <w:rsid w:val="008757F4"/>
    <w:rsid w:val="00875CF8"/>
    <w:rsid w:val="00876012"/>
    <w:rsid w:val="00876329"/>
    <w:rsid w:val="0087643C"/>
    <w:rsid w:val="00876A26"/>
    <w:rsid w:val="0087739E"/>
    <w:rsid w:val="00877B90"/>
    <w:rsid w:val="00877EE9"/>
    <w:rsid w:val="00880314"/>
    <w:rsid w:val="00880673"/>
    <w:rsid w:val="008808F4"/>
    <w:rsid w:val="00880B98"/>
    <w:rsid w:val="008812D1"/>
    <w:rsid w:val="008814B0"/>
    <w:rsid w:val="00882225"/>
    <w:rsid w:val="008822EF"/>
    <w:rsid w:val="008829C1"/>
    <w:rsid w:val="00882EFC"/>
    <w:rsid w:val="00882F32"/>
    <w:rsid w:val="0088320F"/>
    <w:rsid w:val="00883E34"/>
    <w:rsid w:val="0088412D"/>
    <w:rsid w:val="00884282"/>
    <w:rsid w:val="008848A3"/>
    <w:rsid w:val="00885118"/>
    <w:rsid w:val="0088522E"/>
    <w:rsid w:val="00885596"/>
    <w:rsid w:val="008861E0"/>
    <w:rsid w:val="008866BA"/>
    <w:rsid w:val="00886764"/>
    <w:rsid w:val="00886847"/>
    <w:rsid w:val="00886F78"/>
    <w:rsid w:val="00886F8B"/>
    <w:rsid w:val="0088707B"/>
    <w:rsid w:val="00887159"/>
    <w:rsid w:val="008872C2"/>
    <w:rsid w:val="00887335"/>
    <w:rsid w:val="00887794"/>
    <w:rsid w:val="00887F10"/>
    <w:rsid w:val="00887F37"/>
    <w:rsid w:val="008905FB"/>
    <w:rsid w:val="00890CDD"/>
    <w:rsid w:val="00891580"/>
    <w:rsid w:val="008921BB"/>
    <w:rsid w:val="00892359"/>
    <w:rsid w:val="0089276D"/>
    <w:rsid w:val="00892928"/>
    <w:rsid w:val="00892A50"/>
    <w:rsid w:val="00892BEC"/>
    <w:rsid w:val="00892C84"/>
    <w:rsid w:val="00892F26"/>
    <w:rsid w:val="008938C1"/>
    <w:rsid w:val="00894097"/>
    <w:rsid w:val="008948A5"/>
    <w:rsid w:val="00894A20"/>
    <w:rsid w:val="00894B8E"/>
    <w:rsid w:val="00894EA7"/>
    <w:rsid w:val="008953CE"/>
    <w:rsid w:val="00896009"/>
    <w:rsid w:val="00896748"/>
    <w:rsid w:val="00896833"/>
    <w:rsid w:val="00896BCF"/>
    <w:rsid w:val="00896EC8"/>
    <w:rsid w:val="00897116"/>
    <w:rsid w:val="00897560"/>
    <w:rsid w:val="00897950"/>
    <w:rsid w:val="00897A42"/>
    <w:rsid w:val="00897A51"/>
    <w:rsid w:val="008A0445"/>
    <w:rsid w:val="008A0F61"/>
    <w:rsid w:val="008A131F"/>
    <w:rsid w:val="008A1625"/>
    <w:rsid w:val="008A1935"/>
    <w:rsid w:val="008A2148"/>
    <w:rsid w:val="008A23E6"/>
    <w:rsid w:val="008A2B00"/>
    <w:rsid w:val="008A35BF"/>
    <w:rsid w:val="008A37D6"/>
    <w:rsid w:val="008A3DFA"/>
    <w:rsid w:val="008A405A"/>
    <w:rsid w:val="008A4255"/>
    <w:rsid w:val="008A4429"/>
    <w:rsid w:val="008A48A4"/>
    <w:rsid w:val="008A4B78"/>
    <w:rsid w:val="008A4D30"/>
    <w:rsid w:val="008A4E90"/>
    <w:rsid w:val="008A4FBB"/>
    <w:rsid w:val="008A54ED"/>
    <w:rsid w:val="008A5DE6"/>
    <w:rsid w:val="008A5F24"/>
    <w:rsid w:val="008A6A89"/>
    <w:rsid w:val="008A75A5"/>
    <w:rsid w:val="008A76E1"/>
    <w:rsid w:val="008A7741"/>
    <w:rsid w:val="008A7AC0"/>
    <w:rsid w:val="008B02B7"/>
    <w:rsid w:val="008B0436"/>
    <w:rsid w:val="008B045E"/>
    <w:rsid w:val="008B0777"/>
    <w:rsid w:val="008B087D"/>
    <w:rsid w:val="008B13AC"/>
    <w:rsid w:val="008B1827"/>
    <w:rsid w:val="008B197C"/>
    <w:rsid w:val="008B1BDA"/>
    <w:rsid w:val="008B224D"/>
    <w:rsid w:val="008B2B4C"/>
    <w:rsid w:val="008B2C7D"/>
    <w:rsid w:val="008B2CB2"/>
    <w:rsid w:val="008B2CCC"/>
    <w:rsid w:val="008B31F8"/>
    <w:rsid w:val="008B328D"/>
    <w:rsid w:val="008B3434"/>
    <w:rsid w:val="008B3B7B"/>
    <w:rsid w:val="008B3CF3"/>
    <w:rsid w:val="008B42F4"/>
    <w:rsid w:val="008B44A8"/>
    <w:rsid w:val="008B4837"/>
    <w:rsid w:val="008B4F93"/>
    <w:rsid w:val="008B527D"/>
    <w:rsid w:val="008B5DB0"/>
    <w:rsid w:val="008B6FCB"/>
    <w:rsid w:val="008B70FD"/>
    <w:rsid w:val="008B7148"/>
    <w:rsid w:val="008C0498"/>
    <w:rsid w:val="008C088A"/>
    <w:rsid w:val="008C12DA"/>
    <w:rsid w:val="008C1703"/>
    <w:rsid w:val="008C19C6"/>
    <w:rsid w:val="008C1BEF"/>
    <w:rsid w:val="008C1F18"/>
    <w:rsid w:val="008C203E"/>
    <w:rsid w:val="008C21F3"/>
    <w:rsid w:val="008C259F"/>
    <w:rsid w:val="008C2E4C"/>
    <w:rsid w:val="008C32D0"/>
    <w:rsid w:val="008C4128"/>
    <w:rsid w:val="008C42A4"/>
    <w:rsid w:val="008C4374"/>
    <w:rsid w:val="008C5081"/>
    <w:rsid w:val="008C544B"/>
    <w:rsid w:val="008C5CC8"/>
    <w:rsid w:val="008C6070"/>
    <w:rsid w:val="008C6440"/>
    <w:rsid w:val="008C66B8"/>
    <w:rsid w:val="008C684B"/>
    <w:rsid w:val="008C6A82"/>
    <w:rsid w:val="008C70EC"/>
    <w:rsid w:val="008C7F2D"/>
    <w:rsid w:val="008D0202"/>
    <w:rsid w:val="008D03A8"/>
    <w:rsid w:val="008D08E2"/>
    <w:rsid w:val="008D0DC0"/>
    <w:rsid w:val="008D0F02"/>
    <w:rsid w:val="008D14AE"/>
    <w:rsid w:val="008D1777"/>
    <w:rsid w:val="008D1BE1"/>
    <w:rsid w:val="008D1C99"/>
    <w:rsid w:val="008D1F29"/>
    <w:rsid w:val="008D1FF2"/>
    <w:rsid w:val="008D21E1"/>
    <w:rsid w:val="008D275A"/>
    <w:rsid w:val="008D2AAD"/>
    <w:rsid w:val="008D2B00"/>
    <w:rsid w:val="008D2E3C"/>
    <w:rsid w:val="008D2E80"/>
    <w:rsid w:val="008D3E40"/>
    <w:rsid w:val="008D3F6B"/>
    <w:rsid w:val="008D4298"/>
    <w:rsid w:val="008D4310"/>
    <w:rsid w:val="008D4A3B"/>
    <w:rsid w:val="008D5982"/>
    <w:rsid w:val="008D5F40"/>
    <w:rsid w:val="008D6057"/>
    <w:rsid w:val="008D617A"/>
    <w:rsid w:val="008D63D6"/>
    <w:rsid w:val="008D69B8"/>
    <w:rsid w:val="008D706A"/>
    <w:rsid w:val="008D731C"/>
    <w:rsid w:val="008D7C86"/>
    <w:rsid w:val="008D7CE4"/>
    <w:rsid w:val="008E01FD"/>
    <w:rsid w:val="008E0355"/>
    <w:rsid w:val="008E045C"/>
    <w:rsid w:val="008E062B"/>
    <w:rsid w:val="008E135A"/>
    <w:rsid w:val="008E1654"/>
    <w:rsid w:val="008E1672"/>
    <w:rsid w:val="008E1D17"/>
    <w:rsid w:val="008E1D62"/>
    <w:rsid w:val="008E2577"/>
    <w:rsid w:val="008E25E7"/>
    <w:rsid w:val="008E27AE"/>
    <w:rsid w:val="008E2B2E"/>
    <w:rsid w:val="008E338B"/>
    <w:rsid w:val="008E359F"/>
    <w:rsid w:val="008E3E67"/>
    <w:rsid w:val="008E407A"/>
    <w:rsid w:val="008E41D2"/>
    <w:rsid w:val="008E468C"/>
    <w:rsid w:val="008E4A71"/>
    <w:rsid w:val="008E5412"/>
    <w:rsid w:val="008E5B5D"/>
    <w:rsid w:val="008E5B7A"/>
    <w:rsid w:val="008E6343"/>
    <w:rsid w:val="008E64E1"/>
    <w:rsid w:val="008E65A3"/>
    <w:rsid w:val="008E7FC5"/>
    <w:rsid w:val="008F03C0"/>
    <w:rsid w:val="008F048A"/>
    <w:rsid w:val="008F05B3"/>
    <w:rsid w:val="008F0BCB"/>
    <w:rsid w:val="008F11C1"/>
    <w:rsid w:val="008F1A44"/>
    <w:rsid w:val="008F1AEE"/>
    <w:rsid w:val="008F25D5"/>
    <w:rsid w:val="008F2A98"/>
    <w:rsid w:val="008F2B09"/>
    <w:rsid w:val="008F3B4C"/>
    <w:rsid w:val="008F3F41"/>
    <w:rsid w:val="008F461F"/>
    <w:rsid w:val="008F47A6"/>
    <w:rsid w:val="008F49DC"/>
    <w:rsid w:val="008F4EF9"/>
    <w:rsid w:val="008F500E"/>
    <w:rsid w:val="008F5193"/>
    <w:rsid w:val="008F5687"/>
    <w:rsid w:val="008F5DE7"/>
    <w:rsid w:val="008F5DFA"/>
    <w:rsid w:val="008F5F94"/>
    <w:rsid w:val="008F63BF"/>
    <w:rsid w:val="008F6770"/>
    <w:rsid w:val="008F67D6"/>
    <w:rsid w:val="008F69EF"/>
    <w:rsid w:val="008F74A3"/>
    <w:rsid w:val="008F77AA"/>
    <w:rsid w:val="008F77E1"/>
    <w:rsid w:val="008F787C"/>
    <w:rsid w:val="008F7B33"/>
    <w:rsid w:val="008F7C9B"/>
    <w:rsid w:val="008F7D3D"/>
    <w:rsid w:val="008F7E85"/>
    <w:rsid w:val="009000C6"/>
    <w:rsid w:val="009004E8"/>
    <w:rsid w:val="00900843"/>
    <w:rsid w:val="0090099A"/>
    <w:rsid w:val="00900BEB"/>
    <w:rsid w:val="0090120F"/>
    <w:rsid w:val="00901320"/>
    <w:rsid w:val="009013F5"/>
    <w:rsid w:val="00901603"/>
    <w:rsid w:val="0090190D"/>
    <w:rsid w:val="00901CED"/>
    <w:rsid w:val="00901FED"/>
    <w:rsid w:val="009021D9"/>
    <w:rsid w:val="009023C9"/>
    <w:rsid w:val="00902484"/>
    <w:rsid w:val="0090271D"/>
    <w:rsid w:val="00902F97"/>
    <w:rsid w:val="00903427"/>
    <w:rsid w:val="009034EF"/>
    <w:rsid w:val="00903A26"/>
    <w:rsid w:val="00904348"/>
    <w:rsid w:val="00904442"/>
    <w:rsid w:val="00904652"/>
    <w:rsid w:val="00904814"/>
    <w:rsid w:val="009055CA"/>
    <w:rsid w:val="00905615"/>
    <w:rsid w:val="00905BFA"/>
    <w:rsid w:val="00906105"/>
    <w:rsid w:val="009063C3"/>
    <w:rsid w:val="009066E5"/>
    <w:rsid w:val="00906734"/>
    <w:rsid w:val="009069B8"/>
    <w:rsid w:val="00906C77"/>
    <w:rsid w:val="00907059"/>
    <w:rsid w:val="00907586"/>
    <w:rsid w:val="00907B39"/>
    <w:rsid w:val="00910674"/>
    <w:rsid w:val="00910A1D"/>
    <w:rsid w:val="009111C1"/>
    <w:rsid w:val="009112F8"/>
    <w:rsid w:val="00911319"/>
    <w:rsid w:val="00911385"/>
    <w:rsid w:val="00911860"/>
    <w:rsid w:val="009118F0"/>
    <w:rsid w:val="00911E09"/>
    <w:rsid w:val="00911E27"/>
    <w:rsid w:val="00911E98"/>
    <w:rsid w:val="00912897"/>
    <w:rsid w:val="00912E2D"/>
    <w:rsid w:val="00913350"/>
    <w:rsid w:val="00913813"/>
    <w:rsid w:val="00913A68"/>
    <w:rsid w:val="00913AFE"/>
    <w:rsid w:val="00913BFF"/>
    <w:rsid w:val="0091409B"/>
    <w:rsid w:val="00914608"/>
    <w:rsid w:val="00914CCF"/>
    <w:rsid w:val="00914D19"/>
    <w:rsid w:val="00915246"/>
    <w:rsid w:val="009152DF"/>
    <w:rsid w:val="00915665"/>
    <w:rsid w:val="00915942"/>
    <w:rsid w:val="009161DB"/>
    <w:rsid w:val="00916350"/>
    <w:rsid w:val="00916CC2"/>
    <w:rsid w:val="00916DCC"/>
    <w:rsid w:val="00917029"/>
    <w:rsid w:val="009174B5"/>
    <w:rsid w:val="00920088"/>
    <w:rsid w:val="00920807"/>
    <w:rsid w:val="00920919"/>
    <w:rsid w:val="00920A05"/>
    <w:rsid w:val="00920DB7"/>
    <w:rsid w:val="00920FA1"/>
    <w:rsid w:val="00921C03"/>
    <w:rsid w:val="00921CCF"/>
    <w:rsid w:val="00921DC1"/>
    <w:rsid w:val="00922525"/>
    <w:rsid w:val="00922719"/>
    <w:rsid w:val="00922785"/>
    <w:rsid w:val="009233B3"/>
    <w:rsid w:val="00923457"/>
    <w:rsid w:val="009236FB"/>
    <w:rsid w:val="00923725"/>
    <w:rsid w:val="00923A7E"/>
    <w:rsid w:val="00923F00"/>
    <w:rsid w:val="0092403F"/>
    <w:rsid w:val="009247A8"/>
    <w:rsid w:val="0092486A"/>
    <w:rsid w:val="009248C7"/>
    <w:rsid w:val="00924C62"/>
    <w:rsid w:val="009252C8"/>
    <w:rsid w:val="00925D24"/>
    <w:rsid w:val="00925E8A"/>
    <w:rsid w:val="00926502"/>
    <w:rsid w:val="009265D3"/>
    <w:rsid w:val="00926D53"/>
    <w:rsid w:val="0092702C"/>
    <w:rsid w:val="009270ED"/>
    <w:rsid w:val="00927143"/>
    <w:rsid w:val="00927B7E"/>
    <w:rsid w:val="00927F05"/>
    <w:rsid w:val="00930297"/>
    <w:rsid w:val="00930F4C"/>
    <w:rsid w:val="009317B4"/>
    <w:rsid w:val="00931C8A"/>
    <w:rsid w:val="00932494"/>
    <w:rsid w:val="00932835"/>
    <w:rsid w:val="00932EB1"/>
    <w:rsid w:val="0093338F"/>
    <w:rsid w:val="00933C14"/>
    <w:rsid w:val="00933DD2"/>
    <w:rsid w:val="0093460D"/>
    <w:rsid w:val="00934B98"/>
    <w:rsid w:val="00934FC1"/>
    <w:rsid w:val="009354F6"/>
    <w:rsid w:val="00935757"/>
    <w:rsid w:val="00935AE7"/>
    <w:rsid w:val="00935BD5"/>
    <w:rsid w:val="00936176"/>
    <w:rsid w:val="00936309"/>
    <w:rsid w:val="00936516"/>
    <w:rsid w:val="00936542"/>
    <w:rsid w:val="00936861"/>
    <w:rsid w:val="009368BD"/>
    <w:rsid w:val="00937663"/>
    <w:rsid w:val="00937821"/>
    <w:rsid w:val="00937992"/>
    <w:rsid w:val="00937AB9"/>
    <w:rsid w:val="00937BDB"/>
    <w:rsid w:val="00937CAE"/>
    <w:rsid w:val="00937E32"/>
    <w:rsid w:val="009402D7"/>
    <w:rsid w:val="009403F9"/>
    <w:rsid w:val="00940521"/>
    <w:rsid w:val="009407CB"/>
    <w:rsid w:val="009409EC"/>
    <w:rsid w:val="00940B69"/>
    <w:rsid w:val="00940BF6"/>
    <w:rsid w:val="00940D17"/>
    <w:rsid w:val="0094149B"/>
    <w:rsid w:val="009417B8"/>
    <w:rsid w:val="009417F6"/>
    <w:rsid w:val="00941810"/>
    <w:rsid w:val="00941E67"/>
    <w:rsid w:val="00942587"/>
    <w:rsid w:val="00942732"/>
    <w:rsid w:val="00943129"/>
    <w:rsid w:val="00943A95"/>
    <w:rsid w:val="00943F95"/>
    <w:rsid w:val="00943FD9"/>
    <w:rsid w:val="009440BB"/>
    <w:rsid w:val="009442C3"/>
    <w:rsid w:val="009446B2"/>
    <w:rsid w:val="00944994"/>
    <w:rsid w:val="00944DA8"/>
    <w:rsid w:val="00944F8B"/>
    <w:rsid w:val="009450C1"/>
    <w:rsid w:val="0094582B"/>
    <w:rsid w:val="009458EE"/>
    <w:rsid w:val="00945A74"/>
    <w:rsid w:val="00945CB5"/>
    <w:rsid w:val="00945D59"/>
    <w:rsid w:val="00945EBD"/>
    <w:rsid w:val="00946872"/>
    <w:rsid w:val="00946A88"/>
    <w:rsid w:val="0094740B"/>
    <w:rsid w:val="00947AAD"/>
    <w:rsid w:val="009500A7"/>
    <w:rsid w:val="009511B0"/>
    <w:rsid w:val="00951597"/>
    <w:rsid w:val="009521AE"/>
    <w:rsid w:val="00952A08"/>
    <w:rsid w:val="00952BCB"/>
    <w:rsid w:val="0095386C"/>
    <w:rsid w:val="00954050"/>
    <w:rsid w:val="009544A3"/>
    <w:rsid w:val="00954B11"/>
    <w:rsid w:val="00954B98"/>
    <w:rsid w:val="00954FA3"/>
    <w:rsid w:val="00955085"/>
    <w:rsid w:val="00955383"/>
    <w:rsid w:val="00955801"/>
    <w:rsid w:val="00955CE4"/>
    <w:rsid w:val="00955E17"/>
    <w:rsid w:val="009561C4"/>
    <w:rsid w:val="009562F0"/>
    <w:rsid w:val="00956659"/>
    <w:rsid w:val="0095790D"/>
    <w:rsid w:val="00957B4C"/>
    <w:rsid w:val="00957C0A"/>
    <w:rsid w:val="00960F37"/>
    <w:rsid w:val="00961008"/>
    <w:rsid w:val="0096124E"/>
    <w:rsid w:val="00961602"/>
    <w:rsid w:val="00961640"/>
    <w:rsid w:val="00961C2C"/>
    <w:rsid w:val="00962134"/>
    <w:rsid w:val="0096258A"/>
    <w:rsid w:val="00962CAF"/>
    <w:rsid w:val="00963120"/>
    <w:rsid w:val="0096313D"/>
    <w:rsid w:val="009637BC"/>
    <w:rsid w:val="009637C6"/>
    <w:rsid w:val="00963B01"/>
    <w:rsid w:val="00963C37"/>
    <w:rsid w:val="0096500E"/>
    <w:rsid w:val="0096502F"/>
    <w:rsid w:val="00965610"/>
    <w:rsid w:val="00966531"/>
    <w:rsid w:val="00966617"/>
    <w:rsid w:val="00966818"/>
    <w:rsid w:val="00966973"/>
    <w:rsid w:val="00966A6E"/>
    <w:rsid w:val="00966B6F"/>
    <w:rsid w:val="00966E50"/>
    <w:rsid w:val="00967130"/>
    <w:rsid w:val="00967161"/>
    <w:rsid w:val="00967547"/>
    <w:rsid w:val="00967863"/>
    <w:rsid w:val="00967897"/>
    <w:rsid w:val="00967AB7"/>
    <w:rsid w:val="0097052B"/>
    <w:rsid w:val="00970636"/>
    <w:rsid w:val="0097080F"/>
    <w:rsid w:val="00970DB4"/>
    <w:rsid w:val="009713A9"/>
    <w:rsid w:val="00971511"/>
    <w:rsid w:val="0097162F"/>
    <w:rsid w:val="0097175C"/>
    <w:rsid w:val="0097189A"/>
    <w:rsid w:val="00971B26"/>
    <w:rsid w:val="00971B85"/>
    <w:rsid w:val="00971D21"/>
    <w:rsid w:val="00972647"/>
    <w:rsid w:val="009728CC"/>
    <w:rsid w:val="0097304B"/>
    <w:rsid w:val="009733E1"/>
    <w:rsid w:val="00973D16"/>
    <w:rsid w:val="009742DD"/>
    <w:rsid w:val="009743E2"/>
    <w:rsid w:val="00974580"/>
    <w:rsid w:val="00974727"/>
    <w:rsid w:val="00974C3F"/>
    <w:rsid w:val="009752D2"/>
    <w:rsid w:val="009753AD"/>
    <w:rsid w:val="009757FE"/>
    <w:rsid w:val="00975931"/>
    <w:rsid w:val="009759C5"/>
    <w:rsid w:val="00975A13"/>
    <w:rsid w:val="00975B9B"/>
    <w:rsid w:val="00975C54"/>
    <w:rsid w:val="00976404"/>
    <w:rsid w:val="009764E0"/>
    <w:rsid w:val="0097654D"/>
    <w:rsid w:val="009767FD"/>
    <w:rsid w:val="00976892"/>
    <w:rsid w:val="009769CB"/>
    <w:rsid w:val="009769D5"/>
    <w:rsid w:val="00976C82"/>
    <w:rsid w:val="00977222"/>
    <w:rsid w:val="0097729E"/>
    <w:rsid w:val="00977CDE"/>
    <w:rsid w:val="00977FD3"/>
    <w:rsid w:val="00980552"/>
    <w:rsid w:val="00980EFC"/>
    <w:rsid w:val="00981494"/>
    <w:rsid w:val="00981D3E"/>
    <w:rsid w:val="009825E4"/>
    <w:rsid w:val="00982844"/>
    <w:rsid w:val="00982C47"/>
    <w:rsid w:val="00983053"/>
    <w:rsid w:val="0098316F"/>
    <w:rsid w:val="009831B5"/>
    <w:rsid w:val="00983200"/>
    <w:rsid w:val="00983644"/>
    <w:rsid w:val="00983DA3"/>
    <w:rsid w:val="00983EFA"/>
    <w:rsid w:val="00984841"/>
    <w:rsid w:val="0098486C"/>
    <w:rsid w:val="00984A32"/>
    <w:rsid w:val="00984DAB"/>
    <w:rsid w:val="009850F7"/>
    <w:rsid w:val="00985A45"/>
    <w:rsid w:val="00985AAA"/>
    <w:rsid w:val="00985CAC"/>
    <w:rsid w:val="009861F5"/>
    <w:rsid w:val="009865E6"/>
    <w:rsid w:val="00986D16"/>
    <w:rsid w:val="00987894"/>
    <w:rsid w:val="00987B3E"/>
    <w:rsid w:val="00987ECB"/>
    <w:rsid w:val="009901B1"/>
    <w:rsid w:val="009902BE"/>
    <w:rsid w:val="0099055B"/>
    <w:rsid w:val="009905B1"/>
    <w:rsid w:val="00990703"/>
    <w:rsid w:val="009909D7"/>
    <w:rsid w:val="00990A78"/>
    <w:rsid w:val="00990B44"/>
    <w:rsid w:val="00990EEB"/>
    <w:rsid w:val="0099135F"/>
    <w:rsid w:val="0099147F"/>
    <w:rsid w:val="00991E17"/>
    <w:rsid w:val="009926FA"/>
    <w:rsid w:val="00993769"/>
    <w:rsid w:val="00994326"/>
    <w:rsid w:val="009944B7"/>
    <w:rsid w:val="0099450B"/>
    <w:rsid w:val="00994798"/>
    <w:rsid w:val="00994E29"/>
    <w:rsid w:val="009951C3"/>
    <w:rsid w:val="00995494"/>
    <w:rsid w:val="00995D6A"/>
    <w:rsid w:val="00996682"/>
    <w:rsid w:val="009967E4"/>
    <w:rsid w:val="0099690C"/>
    <w:rsid w:val="0099711D"/>
    <w:rsid w:val="0099748D"/>
    <w:rsid w:val="00997501"/>
    <w:rsid w:val="00997E7C"/>
    <w:rsid w:val="009A0016"/>
    <w:rsid w:val="009A0758"/>
    <w:rsid w:val="009A0851"/>
    <w:rsid w:val="009A0B24"/>
    <w:rsid w:val="009A0DE7"/>
    <w:rsid w:val="009A0FBD"/>
    <w:rsid w:val="009A152E"/>
    <w:rsid w:val="009A177D"/>
    <w:rsid w:val="009A1ED5"/>
    <w:rsid w:val="009A2390"/>
    <w:rsid w:val="009A244F"/>
    <w:rsid w:val="009A2975"/>
    <w:rsid w:val="009A2A23"/>
    <w:rsid w:val="009A2D8C"/>
    <w:rsid w:val="009A32B3"/>
    <w:rsid w:val="009A3AD6"/>
    <w:rsid w:val="009A3BB9"/>
    <w:rsid w:val="009A3D27"/>
    <w:rsid w:val="009A3E16"/>
    <w:rsid w:val="009A41A7"/>
    <w:rsid w:val="009A4BCA"/>
    <w:rsid w:val="009A4DDA"/>
    <w:rsid w:val="009A4E97"/>
    <w:rsid w:val="009A531C"/>
    <w:rsid w:val="009A5516"/>
    <w:rsid w:val="009A5CC5"/>
    <w:rsid w:val="009A6161"/>
    <w:rsid w:val="009A64AC"/>
    <w:rsid w:val="009A71B8"/>
    <w:rsid w:val="009A7828"/>
    <w:rsid w:val="009A7B15"/>
    <w:rsid w:val="009A7BF0"/>
    <w:rsid w:val="009B0585"/>
    <w:rsid w:val="009B0BA1"/>
    <w:rsid w:val="009B1BC1"/>
    <w:rsid w:val="009B1C0D"/>
    <w:rsid w:val="009B2090"/>
    <w:rsid w:val="009B2126"/>
    <w:rsid w:val="009B213F"/>
    <w:rsid w:val="009B2303"/>
    <w:rsid w:val="009B2656"/>
    <w:rsid w:val="009B2F52"/>
    <w:rsid w:val="009B2FCB"/>
    <w:rsid w:val="009B3082"/>
    <w:rsid w:val="009B3355"/>
    <w:rsid w:val="009B3C4C"/>
    <w:rsid w:val="009B4282"/>
    <w:rsid w:val="009B47D2"/>
    <w:rsid w:val="009B4831"/>
    <w:rsid w:val="009B48D2"/>
    <w:rsid w:val="009B49A8"/>
    <w:rsid w:val="009B4DAC"/>
    <w:rsid w:val="009B500C"/>
    <w:rsid w:val="009B5258"/>
    <w:rsid w:val="009B540D"/>
    <w:rsid w:val="009B5979"/>
    <w:rsid w:val="009B5CAE"/>
    <w:rsid w:val="009B5F59"/>
    <w:rsid w:val="009B6694"/>
    <w:rsid w:val="009B6CE7"/>
    <w:rsid w:val="009B6FBC"/>
    <w:rsid w:val="009B7777"/>
    <w:rsid w:val="009B7F99"/>
    <w:rsid w:val="009C01BC"/>
    <w:rsid w:val="009C0404"/>
    <w:rsid w:val="009C1F20"/>
    <w:rsid w:val="009C25AD"/>
    <w:rsid w:val="009C25AF"/>
    <w:rsid w:val="009C2930"/>
    <w:rsid w:val="009C3279"/>
    <w:rsid w:val="009C3404"/>
    <w:rsid w:val="009C3A53"/>
    <w:rsid w:val="009C3C97"/>
    <w:rsid w:val="009C460F"/>
    <w:rsid w:val="009C549C"/>
    <w:rsid w:val="009C5649"/>
    <w:rsid w:val="009C5859"/>
    <w:rsid w:val="009C5EC5"/>
    <w:rsid w:val="009C5F0E"/>
    <w:rsid w:val="009C625B"/>
    <w:rsid w:val="009C655A"/>
    <w:rsid w:val="009C71EB"/>
    <w:rsid w:val="009C72F6"/>
    <w:rsid w:val="009C7742"/>
    <w:rsid w:val="009C78F4"/>
    <w:rsid w:val="009C7AA4"/>
    <w:rsid w:val="009D0571"/>
    <w:rsid w:val="009D0927"/>
    <w:rsid w:val="009D09EA"/>
    <w:rsid w:val="009D0CF2"/>
    <w:rsid w:val="009D13A5"/>
    <w:rsid w:val="009D140F"/>
    <w:rsid w:val="009D20E1"/>
    <w:rsid w:val="009D221F"/>
    <w:rsid w:val="009D2FCF"/>
    <w:rsid w:val="009D325A"/>
    <w:rsid w:val="009D3583"/>
    <w:rsid w:val="009D3B13"/>
    <w:rsid w:val="009D3D0F"/>
    <w:rsid w:val="009D414F"/>
    <w:rsid w:val="009D41F4"/>
    <w:rsid w:val="009D4264"/>
    <w:rsid w:val="009D4938"/>
    <w:rsid w:val="009D4973"/>
    <w:rsid w:val="009D4C53"/>
    <w:rsid w:val="009D4DAB"/>
    <w:rsid w:val="009D5590"/>
    <w:rsid w:val="009D5B42"/>
    <w:rsid w:val="009D5C33"/>
    <w:rsid w:val="009D6E49"/>
    <w:rsid w:val="009D6F50"/>
    <w:rsid w:val="009D6FE4"/>
    <w:rsid w:val="009D76EB"/>
    <w:rsid w:val="009D7A81"/>
    <w:rsid w:val="009D7B06"/>
    <w:rsid w:val="009D7B30"/>
    <w:rsid w:val="009D7C5B"/>
    <w:rsid w:val="009E04C0"/>
    <w:rsid w:val="009E073E"/>
    <w:rsid w:val="009E10FF"/>
    <w:rsid w:val="009E155E"/>
    <w:rsid w:val="009E1770"/>
    <w:rsid w:val="009E18FA"/>
    <w:rsid w:val="009E1A3C"/>
    <w:rsid w:val="009E236A"/>
    <w:rsid w:val="009E2797"/>
    <w:rsid w:val="009E33DA"/>
    <w:rsid w:val="009E375D"/>
    <w:rsid w:val="009E3FF9"/>
    <w:rsid w:val="009E4073"/>
    <w:rsid w:val="009E43AA"/>
    <w:rsid w:val="009E490F"/>
    <w:rsid w:val="009E4938"/>
    <w:rsid w:val="009E4AD7"/>
    <w:rsid w:val="009E5179"/>
    <w:rsid w:val="009E5E67"/>
    <w:rsid w:val="009E6BE7"/>
    <w:rsid w:val="009E750D"/>
    <w:rsid w:val="009E79DC"/>
    <w:rsid w:val="009E7AF9"/>
    <w:rsid w:val="009E7B8F"/>
    <w:rsid w:val="009E7BF3"/>
    <w:rsid w:val="009E7DB0"/>
    <w:rsid w:val="009F028C"/>
    <w:rsid w:val="009F0396"/>
    <w:rsid w:val="009F087B"/>
    <w:rsid w:val="009F0D18"/>
    <w:rsid w:val="009F0D5F"/>
    <w:rsid w:val="009F14CC"/>
    <w:rsid w:val="009F16B8"/>
    <w:rsid w:val="009F1714"/>
    <w:rsid w:val="009F20C8"/>
    <w:rsid w:val="009F245A"/>
    <w:rsid w:val="009F25A6"/>
    <w:rsid w:val="009F2CDE"/>
    <w:rsid w:val="009F2D81"/>
    <w:rsid w:val="009F2DB5"/>
    <w:rsid w:val="009F2E7D"/>
    <w:rsid w:val="009F2F94"/>
    <w:rsid w:val="009F302A"/>
    <w:rsid w:val="009F3075"/>
    <w:rsid w:val="009F34CB"/>
    <w:rsid w:val="009F3939"/>
    <w:rsid w:val="009F3AC6"/>
    <w:rsid w:val="009F4903"/>
    <w:rsid w:val="009F4D38"/>
    <w:rsid w:val="009F4FBF"/>
    <w:rsid w:val="009F52E8"/>
    <w:rsid w:val="009F54A0"/>
    <w:rsid w:val="009F54F2"/>
    <w:rsid w:val="009F585B"/>
    <w:rsid w:val="009F5E0D"/>
    <w:rsid w:val="009F5ED8"/>
    <w:rsid w:val="009F6BC7"/>
    <w:rsid w:val="009F722B"/>
    <w:rsid w:val="009F7491"/>
    <w:rsid w:val="009F75B6"/>
    <w:rsid w:val="009F7EBA"/>
    <w:rsid w:val="00A006C9"/>
    <w:rsid w:val="00A0096F"/>
    <w:rsid w:val="00A00FCE"/>
    <w:rsid w:val="00A010C0"/>
    <w:rsid w:val="00A01358"/>
    <w:rsid w:val="00A01674"/>
    <w:rsid w:val="00A018BF"/>
    <w:rsid w:val="00A01970"/>
    <w:rsid w:val="00A01DDA"/>
    <w:rsid w:val="00A01E21"/>
    <w:rsid w:val="00A01F67"/>
    <w:rsid w:val="00A02063"/>
    <w:rsid w:val="00A03549"/>
    <w:rsid w:val="00A0362E"/>
    <w:rsid w:val="00A03BDA"/>
    <w:rsid w:val="00A03C0F"/>
    <w:rsid w:val="00A03CBC"/>
    <w:rsid w:val="00A03DE1"/>
    <w:rsid w:val="00A03E39"/>
    <w:rsid w:val="00A041A3"/>
    <w:rsid w:val="00A04476"/>
    <w:rsid w:val="00A04562"/>
    <w:rsid w:val="00A04607"/>
    <w:rsid w:val="00A04813"/>
    <w:rsid w:val="00A053BE"/>
    <w:rsid w:val="00A0550C"/>
    <w:rsid w:val="00A0556F"/>
    <w:rsid w:val="00A055B8"/>
    <w:rsid w:val="00A055D2"/>
    <w:rsid w:val="00A05956"/>
    <w:rsid w:val="00A05BD2"/>
    <w:rsid w:val="00A05EC8"/>
    <w:rsid w:val="00A0632C"/>
    <w:rsid w:val="00A064F6"/>
    <w:rsid w:val="00A06A0F"/>
    <w:rsid w:val="00A06BF0"/>
    <w:rsid w:val="00A06D31"/>
    <w:rsid w:val="00A07085"/>
    <w:rsid w:val="00A07463"/>
    <w:rsid w:val="00A101AB"/>
    <w:rsid w:val="00A107BD"/>
    <w:rsid w:val="00A10C25"/>
    <w:rsid w:val="00A10DF0"/>
    <w:rsid w:val="00A112C0"/>
    <w:rsid w:val="00A11B15"/>
    <w:rsid w:val="00A11ECA"/>
    <w:rsid w:val="00A12088"/>
    <w:rsid w:val="00A12412"/>
    <w:rsid w:val="00A128FA"/>
    <w:rsid w:val="00A12A93"/>
    <w:rsid w:val="00A13348"/>
    <w:rsid w:val="00A13622"/>
    <w:rsid w:val="00A1386D"/>
    <w:rsid w:val="00A13F0B"/>
    <w:rsid w:val="00A13F5A"/>
    <w:rsid w:val="00A140E5"/>
    <w:rsid w:val="00A14207"/>
    <w:rsid w:val="00A14466"/>
    <w:rsid w:val="00A14E15"/>
    <w:rsid w:val="00A15A54"/>
    <w:rsid w:val="00A15F2E"/>
    <w:rsid w:val="00A15F71"/>
    <w:rsid w:val="00A16218"/>
    <w:rsid w:val="00A16242"/>
    <w:rsid w:val="00A163EB"/>
    <w:rsid w:val="00A164E2"/>
    <w:rsid w:val="00A16671"/>
    <w:rsid w:val="00A16772"/>
    <w:rsid w:val="00A168A2"/>
    <w:rsid w:val="00A1692E"/>
    <w:rsid w:val="00A169FB"/>
    <w:rsid w:val="00A16B1D"/>
    <w:rsid w:val="00A177C1"/>
    <w:rsid w:val="00A177EB"/>
    <w:rsid w:val="00A1781F"/>
    <w:rsid w:val="00A17E12"/>
    <w:rsid w:val="00A20431"/>
    <w:rsid w:val="00A21075"/>
    <w:rsid w:val="00A21FFD"/>
    <w:rsid w:val="00A22526"/>
    <w:rsid w:val="00A2255C"/>
    <w:rsid w:val="00A225DC"/>
    <w:rsid w:val="00A226E8"/>
    <w:rsid w:val="00A22780"/>
    <w:rsid w:val="00A22797"/>
    <w:rsid w:val="00A22A4B"/>
    <w:rsid w:val="00A22B81"/>
    <w:rsid w:val="00A22C1C"/>
    <w:rsid w:val="00A22CEA"/>
    <w:rsid w:val="00A23342"/>
    <w:rsid w:val="00A2362D"/>
    <w:rsid w:val="00A24389"/>
    <w:rsid w:val="00A24750"/>
    <w:rsid w:val="00A24B02"/>
    <w:rsid w:val="00A24C13"/>
    <w:rsid w:val="00A24C49"/>
    <w:rsid w:val="00A24F4D"/>
    <w:rsid w:val="00A25913"/>
    <w:rsid w:val="00A25DDC"/>
    <w:rsid w:val="00A260F3"/>
    <w:rsid w:val="00A2614A"/>
    <w:rsid w:val="00A26551"/>
    <w:rsid w:val="00A26791"/>
    <w:rsid w:val="00A26A35"/>
    <w:rsid w:val="00A26E13"/>
    <w:rsid w:val="00A27A62"/>
    <w:rsid w:val="00A27DD8"/>
    <w:rsid w:val="00A3022A"/>
    <w:rsid w:val="00A307DD"/>
    <w:rsid w:val="00A30965"/>
    <w:rsid w:val="00A30ADC"/>
    <w:rsid w:val="00A30B6E"/>
    <w:rsid w:val="00A30EE9"/>
    <w:rsid w:val="00A3117D"/>
    <w:rsid w:val="00A3156C"/>
    <w:rsid w:val="00A316A0"/>
    <w:rsid w:val="00A31A25"/>
    <w:rsid w:val="00A323FA"/>
    <w:rsid w:val="00A32905"/>
    <w:rsid w:val="00A32D04"/>
    <w:rsid w:val="00A32FC9"/>
    <w:rsid w:val="00A3349D"/>
    <w:rsid w:val="00A336C1"/>
    <w:rsid w:val="00A339FE"/>
    <w:rsid w:val="00A33DD4"/>
    <w:rsid w:val="00A3432F"/>
    <w:rsid w:val="00A34576"/>
    <w:rsid w:val="00A345AB"/>
    <w:rsid w:val="00A348EF"/>
    <w:rsid w:val="00A34AF9"/>
    <w:rsid w:val="00A359FD"/>
    <w:rsid w:val="00A35CFD"/>
    <w:rsid w:val="00A35D7F"/>
    <w:rsid w:val="00A36539"/>
    <w:rsid w:val="00A36615"/>
    <w:rsid w:val="00A36670"/>
    <w:rsid w:val="00A36920"/>
    <w:rsid w:val="00A36C1A"/>
    <w:rsid w:val="00A36EA8"/>
    <w:rsid w:val="00A374CA"/>
    <w:rsid w:val="00A3753F"/>
    <w:rsid w:val="00A375AF"/>
    <w:rsid w:val="00A378A7"/>
    <w:rsid w:val="00A378E5"/>
    <w:rsid w:val="00A37999"/>
    <w:rsid w:val="00A4037B"/>
    <w:rsid w:val="00A406D5"/>
    <w:rsid w:val="00A408B2"/>
    <w:rsid w:val="00A40C72"/>
    <w:rsid w:val="00A410CC"/>
    <w:rsid w:val="00A41686"/>
    <w:rsid w:val="00A41C57"/>
    <w:rsid w:val="00A42438"/>
    <w:rsid w:val="00A4245F"/>
    <w:rsid w:val="00A42934"/>
    <w:rsid w:val="00A429F9"/>
    <w:rsid w:val="00A42EAB"/>
    <w:rsid w:val="00A43314"/>
    <w:rsid w:val="00A436A9"/>
    <w:rsid w:val="00A43CAB"/>
    <w:rsid w:val="00A43E17"/>
    <w:rsid w:val="00A44441"/>
    <w:rsid w:val="00A4446D"/>
    <w:rsid w:val="00A44575"/>
    <w:rsid w:val="00A44751"/>
    <w:rsid w:val="00A44AD3"/>
    <w:rsid w:val="00A44AE6"/>
    <w:rsid w:val="00A45416"/>
    <w:rsid w:val="00A459E6"/>
    <w:rsid w:val="00A45EB7"/>
    <w:rsid w:val="00A4686C"/>
    <w:rsid w:val="00A46D9E"/>
    <w:rsid w:val="00A47011"/>
    <w:rsid w:val="00A4763C"/>
    <w:rsid w:val="00A47799"/>
    <w:rsid w:val="00A47A1D"/>
    <w:rsid w:val="00A47A38"/>
    <w:rsid w:val="00A47A50"/>
    <w:rsid w:val="00A50216"/>
    <w:rsid w:val="00A50318"/>
    <w:rsid w:val="00A506CC"/>
    <w:rsid w:val="00A50C90"/>
    <w:rsid w:val="00A51134"/>
    <w:rsid w:val="00A5113C"/>
    <w:rsid w:val="00A516B8"/>
    <w:rsid w:val="00A516DD"/>
    <w:rsid w:val="00A51705"/>
    <w:rsid w:val="00A51B8F"/>
    <w:rsid w:val="00A523B6"/>
    <w:rsid w:val="00A525E1"/>
    <w:rsid w:val="00A52C3E"/>
    <w:rsid w:val="00A52D39"/>
    <w:rsid w:val="00A52D63"/>
    <w:rsid w:val="00A531E0"/>
    <w:rsid w:val="00A5360F"/>
    <w:rsid w:val="00A538E8"/>
    <w:rsid w:val="00A53BA7"/>
    <w:rsid w:val="00A53F2F"/>
    <w:rsid w:val="00A54093"/>
    <w:rsid w:val="00A5470E"/>
    <w:rsid w:val="00A54D48"/>
    <w:rsid w:val="00A553CF"/>
    <w:rsid w:val="00A55C3C"/>
    <w:rsid w:val="00A55D50"/>
    <w:rsid w:val="00A55D80"/>
    <w:rsid w:val="00A5622C"/>
    <w:rsid w:val="00A568AA"/>
    <w:rsid w:val="00A56B7A"/>
    <w:rsid w:val="00A57045"/>
    <w:rsid w:val="00A57B2A"/>
    <w:rsid w:val="00A57C0A"/>
    <w:rsid w:val="00A60292"/>
    <w:rsid w:val="00A60717"/>
    <w:rsid w:val="00A60ADE"/>
    <w:rsid w:val="00A60C1A"/>
    <w:rsid w:val="00A60D90"/>
    <w:rsid w:val="00A614CE"/>
    <w:rsid w:val="00A61517"/>
    <w:rsid w:val="00A616E3"/>
    <w:rsid w:val="00A61AED"/>
    <w:rsid w:val="00A61E1E"/>
    <w:rsid w:val="00A6255C"/>
    <w:rsid w:val="00A639BC"/>
    <w:rsid w:val="00A63F31"/>
    <w:rsid w:val="00A642C0"/>
    <w:rsid w:val="00A6432E"/>
    <w:rsid w:val="00A646E0"/>
    <w:rsid w:val="00A64703"/>
    <w:rsid w:val="00A648AE"/>
    <w:rsid w:val="00A65328"/>
    <w:rsid w:val="00A655CB"/>
    <w:rsid w:val="00A65809"/>
    <w:rsid w:val="00A6585E"/>
    <w:rsid w:val="00A65D8F"/>
    <w:rsid w:val="00A65F13"/>
    <w:rsid w:val="00A66197"/>
    <w:rsid w:val="00A6646A"/>
    <w:rsid w:val="00A665A2"/>
    <w:rsid w:val="00A66684"/>
    <w:rsid w:val="00A6699E"/>
    <w:rsid w:val="00A66B8A"/>
    <w:rsid w:val="00A670D8"/>
    <w:rsid w:val="00A673DF"/>
    <w:rsid w:val="00A67622"/>
    <w:rsid w:val="00A6782D"/>
    <w:rsid w:val="00A70862"/>
    <w:rsid w:val="00A709B2"/>
    <w:rsid w:val="00A709D0"/>
    <w:rsid w:val="00A709FE"/>
    <w:rsid w:val="00A71260"/>
    <w:rsid w:val="00A7132F"/>
    <w:rsid w:val="00A71B99"/>
    <w:rsid w:val="00A72754"/>
    <w:rsid w:val="00A72EAA"/>
    <w:rsid w:val="00A73574"/>
    <w:rsid w:val="00A7398E"/>
    <w:rsid w:val="00A741C4"/>
    <w:rsid w:val="00A74261"/>
    <w:rsid w:val="00A748EC"/>
    <w:rsid w:val="00A74A51"/>
    <w:rsid w:val="00A75687"/>
    <w:rsid w:val="00A75EF6"/>
    <w:rsid w:val="00A75F02"/>
    <w:rsid w:val="00A75F9A"/>
    <w:rsid w:val="00A76208"/>
    <w:rsid w:val="00A7638A"/>
    <w:rsid w:val="00A763FF"/>
    <w:rsid w:val="00A76734"/>
    <w:rsid w:val="00A76735"/>
    <w:rsid w:val="00A76B6D"/>
    <w:rsid w:val="00A76D0E"/>
    <w:rsid w:val="00A76D66"/>
    <w:rsid w:val="00A7731B"/>
    <w:rsid w:val="00A775EE"/>
    <w:rsid w:val="00A77B44"/>
    <w:rsid w:val="00A80331"/>
    <w:rsid w:val="00A805BF"/>
    <w:rsid w:val="00A80D6F"/>
    <w:rsid w:val="00A80D77"/>
    <w:rsid w:val="00A80DA5"/>
    <w:rsid w:val="00A80E80"/>
    <w:rsid w:val="00A811E6"/>
    <w:rsid w:val="00A8148D"/>
    <w:rsid w:val="00A814D8"/>
    <w:rsid w:val="00A81577"/>
    <w:rsid w:val="00A817B3"/>
    <w:rsid w:val="00A81B91"/>
    <w:rsid w:val="00A82139"/>
    <w:rsid w:val="00A822D4"/>
    <w:rsid w:val="00A8259C"/>
    <w:rsid w:val="00A82B85"/>
    <w:rsid w:val="00A83004"/>
    <w:rsid w:val="00A83DAD"/>
    <w:rsid w:val="00A83E5C"/>
    <w:rsid w:val="00A8422C"/>
    <w:rsid w:val="00A842CD"/>
    <w:rsid w:val="00A85DFD"/>
    <w:rsid w:val="00A85E1D"/>
    <w:rsid w:val="00A861C5"/>
    <w:rsid w:val="00A863AA"/>
    <w:rsid w:val="00A864E5"/>
    <w:rsid w:val="00A8663E"/>
    <w:rsid w:val="00A86B4B"/>
    <w:rsid w:val="00A86F00"/>
    <w:rsid w:val="00A8758C"/>
    <w:rsid w:val="00A877B6"/>
    <w:rsid w:val="00A87805"/>
    <w:rsid w:val="00A9008E"/>
    <w:rsid w:val="00A9012D"/>
    <w:rsid w:val="00A90628"/>
    <w:rsid w:val="00A9065F"/>
    <w:rsid w:val="00A90757"/>
    <w:rsid w:val="00A90828"/>
    <w:rsid w:val="00A908CF"/>
    <w:rsid w:val="00A91210"/>
    <w:rsid w:val="00A914BB"/>
    <w:rsid w:val="00A91A42"/>
    <w:rsid w:val="00A91C12"/>
    <w:rsid w:val="00A92282"/>
    <w:rsid w:val="00A9274E"/>
    <w:rsid w:val="00A92751"/>
    <w:rsid w:val="00A9333B"/>
    <w:rsid w:val="00A93467"/>
    <w:rsid w:val="00A93700"/>
    <w:rsid w:val="00A94174"/>
    <w:rsid w:val="00A946F8"/>
    <w:rsid w:val="00A94C23"/>
    <w:rsid w:val="00A94E03"/>
    <w:rsid w:val="00A950DB"/>
    <w:rsid w:val="00A950E1"/>
    <w:rsid w:val="00A95591"/>
    <w:rsid w:val="00A9592E"/>
    <w:rsid w:val="00A95B72"/>
    <w:rsid w:val="00A95E9A"/>
    <w:rsid w:val="00A95F0C"/>
    <w:rsid w:val="00A96645"/>
    <w:rsid w:val="00A966DD"/>
    <w:rsid w:val="00A966F4"/>
    <w:rsid w:val="00A968A8"/>
    <w:rsid w:val="00A96F4F"/>
    <w:rsid w:val="00A971C1"/>
    <w:rsid w:val="00A974FE"/>
    <w:rsid w:val="00A97D20"/>
    <w:rsid w:val="00A97DF7"/>
    <w:rsid w:val="00A97E17"/>
    <w:rsid w:val="00AA041A"/>
    <w:rsid w:val="00AA07E4"/>
    <w:rsid w:val="00AA09F1"/>
    <w:rsid w:val="00AA0B8B"/>
    <w:rsid w:val="00AA16A4"/>
    <w:rsid w:val="00AA1C00"/>
    <w:rsid w:val="00AA217A"/>
    <w:rsid w:val="00AA21AE"/>
    <w:rsid w:val="00AA2772"/>
    <w:rsid w:val="00AA2857"/>
    <w:rsid w:val="00AA2A5A"/>
    <w:rsid w:val="00AA3152"/>
    <w:rsid w:val="00AA3312"/>
    <w:rsid w:val="00AA3721"/>
    <w:rsid w:val="00AA3AE9"/>
    <w:rsid w:val="00AA3F7B"/>
    <w:rsid w:val="00AA41BD"/>
    <w:rsid w:val="00AA42D4"/>
    <w:rsid w:val="00AA4442"/>
    <w:rsid w:val="00AA4532"/>
    <w:rsid w:val="00AA45CE"/>
    <w:rsid w:val="00AA4A83"/>
    <w:rsid w:val="00AA4B52"/>
    <w:rsid w:val="00AA4D38"/>
    <w:rsid w:val="00AA518C"/>
    <w:rsid w:val="00AA552C"/>
    <w:rsid w:val="00AA6204"/>
    <w:rsid w:val="00AA68BE"/>
    <w:rsid w:val="00AA68C7"/>
    <w:rsid w:val="00AA6B6D"/>
    <w:rsid w:val="00AA7095"/>
    <w:rsid w:val="00AA73E3"/>
    <w:rsid w:val="00AA753C"/>
    <w:rsid w:val="00AB02F9"/>
    <w:rsid w:val="00AB071D"/>
    <w:rsid w:val="00AB08A5"/>
    <w:rsid w:val="00AB0BFD"/>
    <w:rsid w:val="00AB10C6"/>
    <w:rsid w:val="00AB11F1"/>
    <w:rsid w:val="00AB136B"/>
    <w:rsid w:val="00AB1529"/>
    <w:rsid w:val="00AB2581"/>
    <w:rsid w:val="00AB27C9"/>
    <w:rsid w:val="00AB29D3"/>
    <w:rsid w:val="00AB3199"/>
    <w:rsid w:val="00AB3ECF"/>
    <w:rsid w:val="00AB428C"/>
    <w:rsid w:val="00AB4EAA"/>
    <w:rsid w:val="00AB4F01"/>
    <w:rsid w:val="00AB5150"/>
    <w:rsid w:val="00AB5415"/>
    <w:rsid w:val="00AB545C"/>
    <w:rsid w:val="00AB545F"/>
    <w:rsid w:val="00AB55E7"/>
    <w:rsid w:val="00AB5A52"/>
    <w:rsid w:val="00AB5E3E"/>
    <w:rsid w:val="00AB5E44"/>
    <w:rsid w:val="00AB5EEE"/>
    <w:rsid w:val="00AB6186"/>
    <w:rsid w:val="00AB6633"/>
    <w:rsid w:val="00AB70B7"/>
    <w:rsid w:val="00AB7316"/>
    <w:rsid w:val="00AB7567"/>
    <w:rsid w:val="00AB7611"/>
    <w:rsid w:val="00AB7737"/>
    <w:rsid w:val="00AB7899"/>
    <w:rsid w:val="00AB7D97"/>
    <w:rsid w:val="00AB7F91"/>
    <w:rsid w:val="00AC0C19"/>
    <w:rsid w:val="00AC0D57"/>
    <w:rsid w:val="00AC0DB6"/>
    <w:rsid w:val="00AC1157"/>
    <w:rsid w:val="00AC15C8"/>
    <w:rsid w:val="00AC1B14"/>
    <w:rsid w:val="00AC1DD0"/>
    <w:rsid w:val="00AC22B4"/>
    <w:rsid w:val="00AC2491"/>
    <w:rsid w:val="00AC2905"/>
    <w:rsid w:val="00AC2929"/>
    <w:rsid w:val="00AC377E"/>
    <w:rsid w:val="00AC38D2"/>
    <w:rsid w:val="00AC3923"/>
    <w:rsid w:val="00AC4000"/>
    <w:rsid w:val="00AC4104"/>
    <w:rsid w:val="00AC45D0"/>
    <w:rsid w:val="00AC46BB"/>
    <w:rsid w:val="00AC46C6"/>
    <w:rsid w:val="00AC48B9"/>
    <w:rsid w:val="00AC5009"/>
    <w:rsid w:val="00AC61D5"/>
    <w:rsid w:val="00AC6471"/>
    <w:rsid w:val="00AC6604"/>
    <w:rsid w:val="00AC66A8"/>
    <w:rsid w:val="00AC673E"/>
    <w:rsid w:val="00AC6BA2"/>
    <w:rsid w:val="00AC7E1E"/>
    <w:rsid w:val="00AC7E3F"/>
    <w:rsid w:val="00AC7F37"/>
    <w:rsid w:val="00AD0DAE"/>
    <w:rsid w:val="00AD12FB"/>
    <w:rsid w:val="00AD23B4"/>
    <w:rsid w:val="00AD23D5"/>
    <w:rsid w:val="00AD28D3"/>
    <w:rsid w:val="00AD2D89"/>
    <w:rsid w:val="00AD31FE"/>
    <w:rsid w:val="00AD355B"/>
    <w:rsid w:val="00AD3B58"/>
    <w:rsid w:val="00AD3E40"/>
    <w:rsid w:val="00AD437D"/>
    <w:rsid w:val="00AD4E13"/>
    <w:rsid w:val="00AD4E73"/>
    <w:rsid w:val="00AD4E94"/>
    <w:rsid w:val="00AD4F9D"/>
    <w:rsid w:val="00AD6277"/>
    <w:rsid w:val="00AD635A"/>
    <w:rsid w:val="00AD66C3"/>
    <w:rsid w:val="00AD7035"/>
    <w:rsid w:val="00AD7104"/>
    <w:rsid w:val="00AD79C2"/>
    <w:rsid w:val="00AE048B"/>
    <w:rsid w:val="00AE0E69"/>
    <w:rsid w:val="00AE1479"/>
    <w:rsid w:val="00AE152F"/>
    <w:rsid w:val="00AE1678"/>
    <w:rsid w:val="00AE1859"/>
    <w:rsid w:val="00AE1882"/>
    <w:rsid w:val="00AE1A2D"/>
    <w:rsid w:val="00AE1C14"/>
    <w:rsid w:val="00AE217F"/>
    <w:rsid w:val="00AE24AC"/>
    <w:rsid w:val="00AE2819"/>
    <w:rsid w:val="00AE29AB"/>
    <w:rsid w:val="00AE2C59"/>
    <w:rsid w:val="00AE3192"/>
    <w:rsid w:val="00AE37ED"/>
    <w:rsid w:val="00AE3C64"/>
    <w:rsid w:val="00AE4297"/>
    <w:rsid w:val="00AE430F"/>
    <w:rsid w:val="00AE4488"/>
    <w:rsid w:val="00AE4762"/>
    <w:rsid w:val="00AE4D2E"/>
    <w:rsid w:val="00AE4F3C"/>
    <w:rsid w:val="00AE5134"/>
    <w:rsid w:val="00AE5171"/>
    <w:rsid w:val="00AE53FE"/>
    <w:rsid w:val="00AE562E"/>
    <w:rsid w:val="00AE56E9"/>
    <w:rsid w:val="00AE58EA"/>
    <w:rsid w:val="00AE6363"/>
    <w:rsid w:val="00AE6702"/>
    <w:rsid w:val="00AE6CFC"/>
    <w:rsid w:val="00AE6D0B"/>
    <w:rsid w:val="00AE6DF7"/>
    <w:rsid w:val="00AE7854"/>
    <w:rsid w:val="00AE7B1B"/>
    <w:rsid w:val="00AE7B1D"/>
    <w:rsid w:val="00AE7B90"/>
    <w:rsid w:val="00AE7C1D"/>
    <w:rsid w:val="00AE7C57"/>
    <w:rsid w:val="00AF05B7"/>
    <w:rsid w:val="00AF075D"/>
    <w:rsid w:val="00AF0A3E"/>
    <w:rsid w:val="00AF0D7E"/>
    <w:rsid w:val="00AF13BE"/>
    <w:rsid w:val="00AF1479"/>
    <w:rsid w:val="00AF1EC6"/>
    <w:rsid w:val="00AF1EE9"/>
    <w:rsid w:val="00AF1F4B"/>
    <w:rsid w:val="00AF2125"/>
    <w:rsid w:val="00AF312F"/>
    <w:rsid w:val="00AF33A6"/>
    <w:rsid w:val="00AF343A"/>
    <w:rsid w:val="00AF352A"/>
    <w:rsid w:val="00AF3C12"/>
    <w:rsid w:val="00AF4015"/>
    <w:rsid w:val="00AF41FD"/>
    <w:rsid w:val="00AF4228"/>
    <w:rsid w:val="00AF4C50"/>
    <w:rsid w:val="00AF5376"/>
    <w:rsid w:val="00AF585A"/>
    <w:rsid w:val="00AF5D30"/>
    <w:rsid w:val="00AF686A"/>
    <w:rsid w:val="00AF70F5"/>
    <w:rsid w:val="00AF754B"/>
    <w:rsid w:val="00AF79C3"/>
    <w:rsid w:val="00AF7B6F"/>
    <w:rsid w:val="00AF7C6F"/>
    <w:rsid w:val="00B00262"/>
    <w:rsid w:val="00B00406"/>
    <w:rsid w:val="00B00535"/>
    <w:rsid w:val="00B0056F"/>
    <w:rsid w:val="00B0093C"/>
    <w:rsid w:val="00B0095A"/>
    <w:rsid w:val="00B01421"/>
    <w:rsid w:val="00B01B64"/>
    <w:rsid w:val="00B01C70"/>
    <w:rsid w:val="00B01C92"/>
    <w:rsid w:val="00B01DBF"/>
    <w:rsid w:val="00B01F75"/>
    <w:rsid w:val="00B0207F"/>
    <w:rsid w:val="00B02258"/>
    <w:rsid w:val="00B02360"/>
    <w:rsid w:val="00B02620"/>
    <w:rsid w:val="00B034AA"/>
    <w:rsid w:val="00B035EB"/>
    <w:rsid w:val="00B036EE"/>
    <w:rsid w:val="00B03E68"/>
    <w:rsid w:val="00B03E80"/>
    <w:rsid w:val="00B03F30"/>
    <w:rsid w:val="00B0404D"/>
    <w:rsid w:val="00B040F3"/>
    <w:rsid w:val="00B0449E"/>
    <w:rsid w:val="00B04B57"/>
    <w:rsid w:val="00B04D96"/>
    <w:rsid w:val="00B055AF"/>
    <w:rsid w:val="00B056CB"/>
    <w:rsid w:val="00B05BB9"/>
    <w:rsid w:val="00B05DB2"/>
    <w:rsid w:val="00B062F1"/>
    <w:rsid w:val="00B063B1"/>
    <w:rsid w:val="00B06F73"/>
    <w:rsid w:val="00B07075"/>
    <w:rsid w:val="00B070FA"/>
    <w:rsid w:val="00B07208"/>
    <w:rsid w:val="00B07583"/>
    <w:rsid w:val="00B076AD"/>
    <w:rsid w:val="00B0775F"/>
    <w:rsid w:val="00B078AB"/>
    <w:rsid w:val="00B07BA6"/>
    <w:rsid w:val="00B07D41"/>
    <w:rsid w:val="00B10313"/>
    <w:rsid w:val="00B10D51"/>
    <w:rsid w:val="00B10F38"/>
    <w:rsid w:val="00B11C81"/>
    <w:rsid w:val="00B11E3E"/>
    <w:rsid w:val="00B12BB8"/>
    <w:rsid w:val="00B12F62"/>
    <w:rsid w:val="00B12F93"/>
    <w:rsid w:val="00B13448"/>
    <w:rsid w:val="00B134B0"/>
    <w:rsid w:val="00B13699"/>
    <w:rsid w:val="00B13845"/>
    <w:rsid w:val="00B13D06"/>
    <w:rsid w:val="00B13E65"/>
    <w:rsid w:val="00B13F01"/>
    <w:rsid w:val="00B140D0"/>
    <w:rsid w:val="00B14215"/>
    <w:rsid w:val="00B1466D"/>
    <w:rsid w:val="00B146BC"/>
    <w:rsid w:val="00B14C2E"/>
    <w:rsid w:val="00B14DBE"/>
    <w:rsid w:val="00B15198"/>
    <w:rsid w:val="00B161E9"/>
    <w:rsid w:val="00B16441"/>
    <w:rsid w:val="00B16D7F"/>
    <w:rsid w:val="00B170F7"/>
    <w:rsid w:val="00B171AF"/>
    <w:rsid w:val="00B179B6"/>
    <w:rsid w:val="00B17E66"/>
    <w:rsid w:val="00B17F6A"/>
    <w:rsid w:val="00B20158"/>
    <w:rsid w:val="00B20458"/>
    <w:rsid w:val="00B20A46"/>
    <w:rsid w:val="00B21094"/>
    <w:rsid w:val="00B21811"/>
    <w:rsid w:val="00B21DC9"/>
    <w:rsid w:val="00B21EDF"/>
    <w:rsid w:val="00B21F78"/>
    <w:rsid w:val="00B22137"/>
    <w:rsid w:val="00B22320"/>
    <w:rsid w:val="00B22476"/>
    <w:rsid w:val="00B22D33"/>
    <w:rsid w:val="00B2317B"/>
    <w:rsid w:val="00B23CC3"/>
    <w:rsid w:val="00B23E32"/>
    <w:rsid w:val="00B23E75"/>
    <w:rsid w:val="00B24149"/>
    <w:rsid w:val="00B24887"/>
    <w:rsid w:val="00B24ED7"/>
    <w:rsid w:val="00B25273"/>
    <w:rsid w:val="00B2536F"/>
    <w:rsid w:val="00B254C4"/>
    <w:rsid w:val="00B25661"/>
    <w:rsid w:val="00B25B64"/>
    <w:rsid w:val="00B25DC9"/>
    <w:rsid w:val="00B26226"/>
    <w:rsid w:val="00B263B2"/>
    <w:rsid w:val="00B26634"/>
    <w:rsid w:val="00B26A76"/>
    <w:rsid w:val="00B26A7B"/>
    <w:rsid w:val="00B26AC5"/>
    <w:rsid w:val="00B26ED3"/>
    <w:rsid w:val="00B27142"/>
    <w:rsid w:val="00B276D5"/>
    <w:rsid w:val="00B2792E"/>
    <w:rsid w:val="00B27A40"/>
    <w:rsid w:val="00B27BB8"/>
    <w:rsid w:val="00B27E29"/>
    <w:rsid w:val="00B30488"/>
    <w:rsid w:val="00B30691"/>
    <w:rsid w:val="00B30A71"/>
    <w:rsid w:val="00B30BBD"/>
    <w:rsid w:val="00B30BCD"/>
    <w:rsid w:val="00B30C3D"/>
    <w:rsid w:val="00B30F90"/>
    <w:rsid w:val="00B30F92"/>
    <w:rsid w:val="00B31A3A"/>
    <w:rsid w:val="00B321CC"/>
    <w:rsid w:val="00B327AB"/>
    <w:rsid w:val="00B32870"/>
    <w:rsid w:val="00B32F57"/>
    <w:rsid w:val="00B332E9"/>
    <w:rsid w:val="00B333EC"/>
    <w:rsid w:val="00B33900"/>
    <w:rsid w:val="00B3423B"/>
    <w:rsid w:val="00B34380"/>
    <w:rsid w:val="00B34B76"/>
    <w:rsid w:val="00B35322"/>
    <w:rsid w:val="00B3535C"/>
    <w:rsid w:val="00B35411"/>
    <w:rsid w:val="00B3556F"/>
    <w:rsid w:val="00B35837"/>
    <w:rsid w:val="00B35A5E"/>
    <w:rsid w:val="00B35B4C"/>
    <w:rsid w:val="00B35DC5"/>
    <w:rsid w:val="00B35DFA"/>
    <w:rsid w:val="00B36547"/>
    <w:rsid w:val="00B3654D"/>
    <w:rsid w:val="00B365DA"/>
    <w:rsid w:val="00B36618"/>
    <w:rsid w:val="00B369A8"/>
    <w:rsid w:val="00B36E4E"/>
    <w:rsid w:val="00B36E5F"/>
    <w:rsid w:val="00B36EF2"/>
    <w:rsid w:val="00B374EF"/>
    <w:rsid w:val="00B378C6"/>
    <w:rsid w:val="00B37C5D"/>
    <w:rsid w:val="00B408BF"/>
    <w:rsid w:val="00B41230"/>
    <w:rsid w:val="00B41315"/>
    <w:rsid w:val="00B419F3"/>
    <w:rsid w:val="00B41C11"/>
    <w:rsid w:val="00B41FFF"/>
    <w:rsid w:val="00B423B8"/>
    <w:rsid w:val="00B42864"/>
    <w:rsid w:val="00B42A23"/>
    <w:rsid w:val="00B430BC"/>
    <w:rsid w:val="00B43387"/>
    <w:rsid w:val="00B43772"/>
    <w:rsid w:val="00B43C50"/>
    <w:rsid w:val="00B43E74"/>
    <w:rsid w:val="00B43F14"/>
    <w:rsid w:val="00B445F3"/>
    <w:rsid w:val="00B44926"/>
    <w:rsid w:val="00B454B1"/>
    <w:rsid w:val="00B45712"/>
    <w:rsid w:val="00B45A79"/>
    <w:rsid w:val="00B45B0D"/>
    <w:rsid w:val="00B45B43"/>
    <w:rsid w:val="00B463F6"/>
    <w:rsid w:val="00B46CEA"/>
    <w:rsid w:val="00B46FE4"/>
    <w:rsid w:val="00B5044F"/>
    <w:rsid w:val="00B5045C"/>
    <w:rsid w:val="00B50687"/>
    <w:rsid w:val="00B506DC"/>
    <w:rsid w:val="00B50E08"/>
    <w:rsid w:val="00B5131F"/>
    <w:rsid w:val="00B51C30"/>
    <w:rsid w:val="00B52068"/>
    <w:rsid w:val="00B522DA"/>
    <w:rsid w:val="00B52691"/>
    <w:rsid w:val="00B529B0"/>
    <w:rsid w:val="00B52FFA"/>
    <w:rsid w:val="00B53CE8"/>
    <w:rsid w:val="00B5457D"/>
    <w:rsid w:val="00B5467C"/>
    <w:rsid w:val="00B54A57"/>
    <w:rsid w:val="00B54AE0"/>
    <w:rsid w:val="00B550D2"/>
    <w:rsid w:val="00B55220"/>
    <w:rsid w:val="00B5584F"/>
    <w:rsid w:val="00B55A62"/>
    <w:rsid w:val="00B55D1B"/>
    <w:rsid w:val="00B56001"/>
    <w:rsid w:val="00B560DB"/>
    <w:rsid w:val="00B56C18"/>
    <w:rsid w:val="00B56CB9"/>
    <w:rsid w:val="00B5750F"/>
    <w:rsid w:val="00B57FD7"/>
    <w:rsid w:val="00B6004E"/>
    <w:rsid w:val="00B60315"/>
    <w:rsid w:val="00B60848"/>
    <w:rsid w:val="00B608AB"/>
    <w:rsid w:val="00B612FA"/>
    <w:rsid w:val="00B61600"/>
    <w:rsid w:val="00B61AC8"/>
    <w:rsid w:val="00B61ADA"/>
    <w:rsid w:val="00B61F79"/>
    <w:rsid w:val="00B61FE5"/>
    <w:rsid w:val="00B62141"/>
    <w:rsid w:val="00B635E7"/>
    <w:rsid w:val="00B638F7"/>
    <w:rsid w:val="00B640FF"/>
    <w:rsid w:val="00B64839"/>
    <w:rsid w:val="00B649E7"/>
    <w:rsid w:val="00B64A13"/>
    <w:rsid w:val="00B64CBE"/>
    <w:rsid w:val="00B65417"/>
    <w:rsid w:val="00B655BB"/>
    <w:rsid w:val="00B658F6"/>
    <w:rsid w:val="00B65A12"/>
    <w:rsid w:val="00B65B25"/>
    <w:rsid w:val="00B65DCD"/>
    <w:rsid w:val="00B65ED9"/>
    <w:rsid w:val="00B66113"/>
    <w:rsid w:val="00B662EE"/>
    <w:rsid w:val="00B669EE"/>
    <w:rsid w:val="00B66B29"/>
    <w:rsid w:val="00B66EFA"/>
    <w:rsid w:val="00B67113"/>
    <w:rsid w:val="00B6766F"/>
    <w:rsid w:val="00B67811"/>
    <w:rsid w:val="00B67BDD"/>
    <w:rsid w:val="00B67DB6"/>
    <w:rsid w:val="00B67E3F"/>
    <w:rsid w:val="00B702EB"/>
    <w:rsid w:val="00B70AFA"/>
    <w:rsid w:val="00B70DFC"/>
    <w:rsid w:val="00B71978"/>
    <w:rsid w:val="00B71A37"/>
    <w:rsid w:val="00B71CAF"/>
    <w:rsid w:val="00B720D3"/>
    <w:rsid w:val="00B721FA"/>
    <w:rsid w:val="00B724C2"/>
    <w:rsid w:val="00B72619"/>
    <w:rsid w:val="00B734D1"/>
    <w:rsid w:val="00B73A53"/>
    <w:rsid w:val="00B7415B"/>
    <w:rsid w:val="00B741B7"/>
    <w:rsid w:val="00B7449A"/>
    <w:rsid w:val="00B744A0"/>
    <w:rsid w:val="00B74753"/>
    <w:rsid w:val="00B74A29"/>
    <w:rsid w:val="00B7524F"/>
    <w:rsid w:val="00B7593A"/>
    <w:rsid w:val="00B75DB1"/>
    <w:rsid w:val="00B75E0A"/>
    <w:rsid w:val="00B75EC1"/>
    <w:rsid w:val="00B76979"/>
    <w:rsid w:val="00B76B8E"/>
    <w:rsid w:val="00B7789E"/>
    <w:rsid w:val="00B77BAC"/>
    <w:rsid w:val="00B77E7E"/>
    <w:rsid w:val="00B80162"/>
    <w:rsid w:val="00B803C0"/>
    <w:rsid w:val="00B80C23"/>
    <w:rsid w:val="00B80CB1"/>
    <w:rsid w:val="00B8184A"/>
    <w:rsid w:val="00B818A1"/>
    <w:rsid w:val="00B818E1"/>
    <w:rsid w:val="00B8244E"/>
    <w:rsid w:val="00B825C6"/>
    <w:rsid w:val="00B82617"/>
    <w:rsid w:val="00B828DF"/>
    <w:rsid w:val="00B8359C"/>
    <w:rsid w:val="00B83F2B"/>
    <w:rsid w:val="00B843D4"/>
    <w:rsid w:val="00B84476"/>
    <w:rsid w:val="00B846A8"/>
    <w:rsid w:val="00B846CD"/>
    <w:rsid w:val="00B850DD"/>
    <w:rsid w:val="00B85455"/>
    <w:rsid w:val="00B85A18"/>
    <w:rsid w:val="00B85CEC"/>
    <w:rsid w:val="00B85DC4"/>
    <w:rsid w:val="00B85F49"/>
    <w:rsid w:val="00B85FDD"/>
    <w:rsid w:val="00B863CF"/>
    <w:rsid w:val="00B86D5A"/>
    <w:rsid w:val="00B870E0"/>
    <w:rsid w:val="00B87351"/>
    <w:rsid w:val="00B8788C"/>
    <w:rsid w:val="00B8791D"/>
    <w:rsid w:val="00B87A3F"/>
    <w:rsid w:val="00B87FF0"/>
    <w:rsid w:val="00B90240"/>
    <w:rsid w:val="00B9053F"/>
    <w:rsid w:val="00B906FF"/>
    <w:rsid w:val="00B90C49"/>
    <w:rsid w:val="00B91E8A"/>
    <w:rsid w:val="00B9225E"/>
    <w:rsid w:val="00B927B4"/>
    <w:rsid w:val="00B928D8"/>
    <w:rsid w:val="00B92A5E"/>
    <w:rsid w:val="00B92CC9"/>
    <w:rsid w:val="00B92FD2"/>
    <w:rsid w:val="00B932EE"/>
    <w:rsid w:val="00B93652"/>
    <w:rsid w:val="00B9374A"/>
    <w:rsid w:val="00B9415A"/>
    <w:rsid w:val="00B94D02"/>
    <w:rsid w:val="00B94DF5"/>
    <w:rsid w:val="00B954BB"/>
    <w:rsid w:val="00B958E4"/>
    <w:rsid w:val="00B959C2"/>
    <w:rsid w:val="00B95B8A"/>
    <w:rsid w:val="00B95CC3"/>
    <w:rsid w:val="00B95E1C"/>
    <w:rsid w:val="00B9601E"/>
    <w:rsid w:val="00B961B6"/>
    <w:rsid w:val="00B96339"/>
    <w:rsid w:val="00B96871"/>
    <w:rsid w:val="00B9715D"/>
    <w:rsid w:val="00B971B7"/>
    <w:rsid w:val="00B97353"/>
    <w:rsid w:val="00B976FD"/>
    <w:rsid w:val="00B97929"/>
    <w:rsid w:val="00BA0AF0"/>
    <w:rsid w:val="00BA16CC"/>
    <w:rsid w:val="00BA1730"/>
    <w:rsid w:val="00BA1761"/>
    <w:rsid w:val="00BA1AD1"/>
    <w:rsid w:val="00BA22D5"/>
    <w:rsid w:val="00BA2351"/>
    <w:rsid w:val="00BA2D28"/>
    <w:rsid w:val="00BA3405"/>
    <w:rsid w:val="00BA399E"/>
    <w:rsid w:val="00BA40E2"/>
    <w:rsid w:val="00BA4305"/>
    <w:rsid w:val="00BA4583"/>
    <w:rsid w:val="00BA475E"/>
    <w:rsid w:val="00BA4B46"/>
    <w:rsid w:val="00BA57B3"/>
    <w:rsid w:val="00BA58A9"/>
    <w:rsid w:val="00BA5D2D"/>
    <w:rsid w:val="00BA6373"/>
    <w:rsid w:val="00BA65DE"/>
    <w:rsid w:val="00BA661C"/>
    <w:rsid w:val="00BA72FE"/>
    <w:rsid w:val="00BA75B4"/>
    <w:rsid w:val="00BA79BC"/>
    <w:rsid w:val="00BA7B27"/>
    <w:rsid w:val="00BA7DCA"/>
    <w:rsid w:val="00BB010F"/>
    <w:rsid w:val="00BB054F"/>
    <w:rsid w:val="00BB0638"/>
    <w:rsid w:val="00BB090C"/>
    <w:rsid w:val="00BB0A2B"/>
    <w:rsid w:val="00BB105B"/>
    <w:rsid w:val="00BB1129"/>
    <w:rsid w:val="00BB185C"/>
    <w:rsid w:val="00BB1871"/>
    <w:rsid w:val="00BB1AE4"/>
    <w:rsid w:val="00BB2260"/>
    <w:rsid w:val="00BB230E"/>
    <w:rsid w:val="00BB2B1A"/>
    <w:rsid w:val="00BB2BB4"/>
    <w:rsid w:val="00BB2F15"/>
    <w:rsid w:val="00BB2F90"/>
    <w:rsid w:val="00BB3066"/>
    <w:rsid w:val="00BB3279"/>
    <w:rsid w:val="00BB35D3"/>
    <w:rsid w:val="00BB3B70"/>
    <w:rsid w:val="00BB3C47"/>
    <w:rsid w:val="00BB3CB6"/>
    <w:rsid w:val="00BB3F6D"/>
    <w:rsid w:val="00BB4385"/>
    <w:rsid w:val="00BB43DA"/>
    <w:rsid w:val="00BB443A"/>
    <w:rsid w:val="00BB4700"/>
    <w:rsid w:val="00BB4B43"/>
    <w:rsid w:val="00BB4FC9"/>
    <w:rsid w:val="00BB7688"/>
    <w:rsid w:val="00BB77F0"/>
    <w:rsid w:val="00BB79D2"/>
    <w:rsid w:val="00BB7BBE"/>
    <w:rsid w:val="00BB7C6F"/>
    <w:rsid w:val="00BC0199"/>
    <w:rsid w:val="00BC074D"/>
    <w:rsid w:val="00BC091F"/>
    <w:rsid w:val="00BC0AFA"/>
    <w:rsid w:val="00BC0B76"/>
    <w:rsid w:val="00BC0F48"/>
    <w:rsid w:val="00BC1329"/>
    <w:rsid w:val="00BC260A"/>
    <w:rsid w:val="00BC2E25"/>
    <w:rsid w:val="00BC316E"/>
    <w:rsid w:val="00BC32D1"/>
    <w:rsid w:val="00BC379E"/>
    <w:rsid w:val="00BC386B"/>
    <w:rsid w:val="00BC3A17"/>
    <w:rsid w:val="00BC43E3"/>
    <w:rsid w:val="00BC43E8"/>
    <w:rsid w:val="00BC4B0E"/>
    <w:rsid w:val="00BC5037"/>
    <w:rsid w:val="00BC64FF"/>
    <w:rsid w:val="00BC6A64"/>
    <w:rsid w:val="00BC7338"/>
    <w:rsid w:val="00BD0213"/>
    <w:rsid w:val="00BD0AF8"/>
    <w:rsid w:val="00BD0F45"/>
    <w:rsid w:val="00BD205E"/>
    <w:rsid w:val="00BD2287"/>
    <w:rsid w:val="00BD2458"/>
    <w:rsid w:val="00BD2BE2"/>
    <w:rsid w:val="00BD35C5"/>
    <w:rsid w:val="00BD3928"/>
    <w:rsid w:val="00BD3C7A"/>
    <w:rsid w:val="00BD4358"/>
    <w:rsid w:val="00BD48B1"/>
    <w:rsid w:val="00BD4B23"/>
    <w:rsid w:val="00BD4EEB"/>
    <w:rsid w:val="00BD5661"/>
    <w:rsid w:val="00BD56AB"/>
    <w:rsid w:val="00BD5DB6"/>
    <w:rsid w:val="00BD5DC6"/>
    <w:rsid w:val="00BD5EE6"/>
    <w:rsid w:val="00BD6322"/>
    <w:rsid w:val="00BD64EF"/>
    <w:rsid w:val="00BD7035"/>
    <w:rsid w:val="00BD72A7"/>
    <w:rsid w:val="00BD7833"/>
    <w:rsid w:val="00BD7BE6"/>
    <w:rsid w:val="00BD7C98"/>
    <w:rsid w:val="00BE046F"/>
    <w:rsid w:val="00BE09F6"/>
    <w:rsid w:val="00BE0C09"/>
    <w:rsid w:val="00BE0DA2"/>
    <w:rsid w:val="00BE10AB"/>
    <w:rsid w:val="00BE132F"/>
    <w:rsid w:val="00BE1488"/>
    <w:rsid w:val="00BE1551"/>
    <w:rsid w:val="00BE1770"/>
    <w:rsid w:val="00BE1BA5"/>
    <w:rsid w:val="00BE2029"/>
    <w:rsid w:val="00BE2104"/>
    <w:rsid w:val="00BE240D"/>
    <w:rsid w:val="00BE2786"/>
    <w:rsid w:val="00BE27D3"/>
    <w:rsid w:val="00BE27FB"/>
    <w:rsid w:val="00BE2973"/>
    <w:rsid w:val="00BE2C76"/>
    <w:rsid w:val="00BE2E9F"/>
    <w:rsid w:val="00BE334A"/>
    <w:rsid w:val="00BE38B7"/>
    <w:rsid w:val="00BE38F8"/>
    <w:rsid w:val="00BE39CB"/>
    <w:rsid w:val="00BE3AC4"/>
    <w:rsid w:val="00BE3BD7"/>
    <w:rsid w:val="00BE3EF6"/>
    <w:rsid w:val="00BE3F8A"/>
    <w:rsid w:val="00BE4016"/>
    <w:rsid w:val="00BE44AA"/>
    <w:rsid w:val="00BE480B"/>
    <w:rsid w:val="00BE51DE"/>
    <w:rsid w:val="00BE59C5"/>
    <w:rsid w:val="00BE5B30"/>
    <w:rsid w:val="00BE5EFA"/>
    <w:rsid w:val="00BE5FD0"/>
    <w:rsid w:val="00BE603B"/>
    <w:rsid w:val="00BE6273"/>
    <w:rsid w:val="00BE6433"/>
    <w:rsid w:val="00BE65F2"/>
    <w:rsid w:val="00BE66CD"/>
    <w:rsid w:val="00BE6767"/>
    <w:rsid w:val="00BE6C14"/>
    <w:rsid w:val="00BE6E5E"/>
    <w:rsid w:val="00BE7007"/>
    <w:rsid w:val="00BE76A7"/>
    <w:rsid w:val="00BE79EB"/>
    <w:rsid w:val="00BE7A0F"/>
    <w:rsid w:val="00BE7F35"/>
    <w:rsid w:val="00BF08D9"/>
    <w:rsid w:val="00BF098A"/>
    <w:rsid w:val="00BF0B61"/>
    <w:rsid w:val="00BF1E00"/>
    <w:rsid w:val="00BF1E48"/>
    <w:rsid w:val="00BF1ECD"/>
    <w:rsid w:val="00BF2B6C"/>
    <w:rsid w:val="00BF2F18"/>
    <w:rsid w:val="00BF2FF7"/>
    <w:rsid w:val="00BF31E7"/>
    <w:rsid w:val="00BF321E"/>
    <w:rsid w:val="00BF3857"/>
    <w:rsid w:val="00BF3BD2"/>
    <w:rsid w:val="00BF48DC"/>
    <w:rsid w:val="00BF4B21"/>
    <w:rsid w:val="00BF50D5"/>
    <w:rsid w:val="00BF55F8"/>
    <w:rsid w:val="00BF5A7F"/>
    <w:rsid w:val="00BF5C94"/>
    <w:rsid w:val="00BF620E"/>
    <w:rsid w:val="00BF6421"/>
    <w:rsid w:val="00BF681E"/>
    <w:rsid w:val="00BF6A9C"/>
    <w:rsid w:val="00BF6D05"/>
    <w:rsid w:val="00BF6EA3"/>
    <w:rsid w:val="00BF70C8"/>
    <w:rsid w:val="00BF7475"/>
    <w:rsid w:val="00BF748B"/>
    <w:rsid w:val="00BF7532"/>
    <w:rsid w:val="00BF7689"/>
    <w:rsid w:val="00BF7762"/>
    <w:rsid w:val="00C00B3C"/>
    <w:rsid w:val="00C00B84"/>
    <w:rsid w:val="00C00BBE"/>
    <w:rsid w:val="00C00E07"/>
    <w:rsid w:val="00C0118C"/>
    <w:rsid w:val="00C01205"/>
    <w:rsid w:val="00C0139A"/>
    <w:rsid w:val="00C01401"/>
    <w:rsid w:val="00C0148D"/>
    <w:rsid w:val="00C01BCE"/>
    <w:rsid w:val="00C01F86"/>
    <w:rsid w:val="00C02142"/>
    <w:rsid w:val="00C022C4"/>
    <w:rsid w:val="00C02651"/>
    <w:rsid w:val="00C02A9D"/>
    <w:rsid w:val="00C02DDF"/>
    <w:rsid w:val="00C02EBB"/>
    <w:rsid w:val="00C039B4"/>
    <w:rsid w:val="00C03B15"/>
    <w:rsid w:val="00C03B5E"/>
    <w:rsid w:val="00C03CB9"/>
    <w:rsid w:val="00C03DFB"/>
    <w:rsid w:val="00C0402E"/>
    <w:rsid w:val="00C04233"/>
    <w:rsid w:val="00C04333"/>
    <w:rsid w:val="00C0499D"/>
    <w:rsid w:val="00C04FD5"/>
    <w:rsid w:val="00C059A3"/>
    <w:rsid w:val="00C066EC"/>
    <w:rsid w:val="00C0690E"/>
    <w:rsid w:val="00C069E8"/>
    <w:rsid w:val="00C06A8E"/>
    <w:rsid w:val="00C06FB8"/>
    <w:rsid w:val="00C0704A"/>
    <w:rsid w:val="00C076A2"/>
    <w:rsid w:val="00C078AD"/>
    <w:rsid w:val="00C0792B"/>
    <w:rsid w:val="00C07F8E"/>
    <w:rsid w:val="00C1055D"/>
    <w:rsid w:val="00C106B1"/>
    <w:rsid w:val="00C10947"/>
    <w:rsid w:val="00C10970"/>
    <w:rsid w:val="00C10FF9"/>
    <w:rsid w:val="00C1103D"/>
    <w:rsid w:val="00C112E3"/>
    <w:rsid w:val="00C11303"/>
    <w:rsid w:val="00C12362"/>
    <w:rsid w:val="00C123D5"/>
    <w:rsid w:val="00C12E38"/>
    <w:rsid w:val="00C13289"/>
    <w:rsid w:val="00C1370A"/>
    <w:rsid w:val="00C13830"/>
    <w:rsid w:val="00C13B10"/>
    <w:rsid w:val="00C13B5B"/>
    <w:rsid w:val="00C147C4"/>
    <w:rsid w:val="00C14CCD"/>
    <w:rsid w:val="00C14DDE"/>
    <w:rsid w:val="00C15076"/>
    <w:rsid w:val="00C1511C"/>
    <w:rsid w:val="00C154D3"/>
    <w:rsid w:val="00C15796"/>
    <w:rsid w:val="00C15A5B"/>
    <w:rsid w:val="00C15F4A"/>
    <w:rsid w:val="00C15F91"/>
    <w:rsid w:val="00C165C7"/>
    <w:rsid w:val="00C16C46"/>
    <w:rsid w:val="00C16ED4"/>
    <w:rsid w:val="00C17214"/>
    <w:rsid w:val="00C17CAF"/>
    <w:rsid w:val="00C17FEF"/>
    <w:rsid w:val="00C200A8"/>
    <w:rsid w:val="00C20554"/>
    <w:rsid w:val="00C20628"/>
    <w:rsid w:val="00C207EA"/>
    <w:rsid w:val="00C21070"/>
    <w:rsid w:val="00C211E9"/>
    <w:rsid w:val="00C219D3"/>
    <w:rsid w:val="00C21AAA"/>
    <w:rsid w:val="00C21BD3"/>
    <w:rsid w:val="00C21D8C"/>
    <w:rsid w:val="00C21F0F"/>
    <w:rsid w:val="00C220C1"/>
    <w:rsid w:val="00C221BF"/>
    <w:rsid w:val="00C2240D"/>
    <w:rsid w:val="00C22B3A"/>
    <w:rsid w:val="00C22D20"/>
    <w:rsid w:val="00C2309E"/>
    <w:rsid w:val="00C23413"/>
    <w:rsid w:val="00C236E0"/>
    <w:rsid w:val="00C23E9C"/>
    <w:rsid w:val="00C23FC0"/>
    <w:rsid w:val="00C24099"/>
    <w:rsid w:val="00C24317"/>
    <w:rsid w:val="00C24D7A"/>
    <w:rsid w:val="00C260E2"/>
    <w:rsid w:val="00C264C8"/>
    <w:rsid w:val="00C2652F"/>
    <w:rsid w:val="00C2696C"/>
    <w:rsid w:val="00C26F87"/>
    <w:rsid w:val="00C27082"/>
    <w:rsid w:val="00C270C4"/>
    <w:rsid w:val="00C27598"/>
    <w:rsid w:val="00C27703"/>
    <w:rsid w:val="00C27A3F"/>
    <w:rsid w:val="00C300D6"/>
    <w:rsid w:val="00C30772"/>
    <w:rsid w:val="00C309CE"/>
    <w:rsid w:val="00C30B57"/>
    <w:rsid w:val="00C30D4C"/>
    <w:rsid w:val="00C30D5D"/>
    <w:rsid w:val="00C31336"/>
    <w:rsid w:val="00C31399"/>
    <w:rsid w:val="00C314C1"/>
    <w:rsid w:val="00C316FE"/>
    <w:rsid w:val="00C31781"/>
    <w:rsid w:val="00C318A1"/>
    <w:rsid w:val="00C31C06"/>
    <w:rsid w:val="00C31EFF"/>
    <w:rsid w:val="00C31FCC"/>
    <w:rsid w:val="00C32980"/>
    <w:rsid w:val="00C3302B"/>
    <w:rsid w:val="00C33196"/>
    <w:rsid w:val="00C33344"/>
    <w:rsid w:val="00C33354"/>
    <w:rsid w:val="00C33598"/>
    <w:rsid w:val="00C33CC0"/>
    <w:rsid w:val="00C3545F"/>
    <w:rsid w:val="00C35547"/>
    <w:rsid w:val="00C3561A"/>
    <w:rsid w:val="00C3578E"/>
    <w:rsid w:val="00C3584E"/>
    <w:rsid w:val="00C365FD"/>
    <w:rsid w:val="00C36AB3"/>
    <w:rsid w:val="00C37779"/>
    <w:rsid w:val="00C37C64"/>
    <w:rsid w:val="00C40733"/>
    <w:rsid w:val="00C4083E"/>
    <w:rsid w:val="00C409CE"/>
    <w:rsid w:val="00C40EA9"/>
    <w:rsid w:val="00C4104C"/>
    <w:rsid w:val="00C412CA"/>
    <w:rsid w:val="00C413FD"/>
    <w:rsid w:val="00C41B35"/>
    <w:rsid w:val="00C42217"/>
    <w:rsid w:val="00C4221E"/>
    <w:rsid w:val="00C42327"/>
    <w:rsid w:val="00C42B84"/>
    <w:rsid w:val="00C43035"/>
    <w:rsid w:val="00C43121"/>
    <w:rsid w:val="00C4323E"/>
    <w:rsid w:val="00C4324A"/>
    <w:rsid w:val="00C43ABA"/>
    <w:rsid w:val="00C43EA5"/>
    <w:rsid w:val="00C44A82"/>
    <w:rsid w:val="00C45188"/>
    <w:rsid w:val="00C4559B"/>
    <w:rsid w:val="00C456FC"/>
    <w:rsid w:val="00C45975"/>
    <w:rsid w:val="00C45AFE"/>
    <w:rsid w:val="00C45B44"/>
    <w:rsid w:val="00C46753"/>
    <w:rsid w:val="00C4685F"/>
    <w:rsid w:val="00C46C8E"/>
    <w:rsid w:val="00C46F0C"/>
    <w:rsid w:val="00C47010"/>
    <w:rsid w:val="00C47304"/>
    <w:rsid w:val="00C47427"/>
    <w:rsid w:val="00C4757D"/>
    <w:rsid w:val="00C47865"/>
    <w:rsid w:val="00C4796A"/>
    <w:rsid w:val="00C500CA"/>
    <w:rsid w:val="00C50308"/>
    <w:rsid w:val="00C503DC"/>
    <w:rsid w:val="00C503F4"/>
    <w:rsid w:val="00C50F7F"/>
    <w:rsid w:val="00C51201"/>
    <w:rsid w:val="00C5121F"/>
    <w:rsid w:val="00C51360"/>
    <w:rsid w:val="00C514B2"/>
    <w:rsid w:val="00C51D40"/>
    <w:rsid w:val="00C522C3"/>
    <w:rsid w:val="00C524BA"/>
    <w:rsid w:val="00C52718"/>
    <w:rsid w:val="00C527C1"/>
    <w:rsid w:val="00C52865"/>
    <w:rsid w:val="00C52C5A"/>
    <w:rsid w:val="00C536BB"/>
    <w:rsid w:val="00C53CFA"/>
    <w:rsid w:val="00C546C9"/>
    <w:rsid w:val="00C547CA"/>
    <w:rsid w:val="00C54829"/>
    <w:rsid w:val="00C54BFC"/>
    <w:rsid w:val="00C54C93"/>
    <w:rsid w:val="00C54D46"/>
    <w:rsid w:val="00C54DD5"/>
    <w:rsid w:val="00C54E6D"/>
    <w:rsid w:val="00C5534A"/>
    <w:rsid w:val="00C557ED"/>
    <w:rsid w:val="00C55BF7"/>
    <w:rsid w:val="00C560B5"/>
    <w:rsid w:val="00C560C4"/>
    <w:rsid w:val="00C5697A"/>
    <w:rsid w:val="00C608E6"/>
    <w:rsid w:val="00C60A86"/>
    <w:rsid w:val="00C60D0D"/>
    <w:rsid w:val="00C60F1A"/>
    <w:rsid w:val="00C60FEA"/>
    <w:rsid w:val="00C616FC"/>
    <w:rsid w:val="00C61994"/>
    <w:rsid w:val="00C61E53"/>
    <w:rsid w:val="00C62374"/>
    <w:rsid w:val="00C626A4"/>
    <w:rsid w:val="00C626E9"/>
    <w:rsid w:val="00C628B4"/>
    <w:rsid w:val="00C628BA"/>
    <w:rsid w:val="00C628BC"/>
    <w:rsid w:val="00C62DFE"/>
    <w:rsid w:val="00C62EC3"/>
    <w:rsid w:val="00C62EE2"/>
    <w:rsid w:val="00C63046"/>
    <w:rsid w:val="00C6348E"/>
    <w:rsid w:val="00C637B0"/>
    <w:rsid w:val="00C63978"/>
    <w:rsid w:val="00C63A87"/>
    <w:rsid w:val="00C63B9A"/>
    <w:rsid w:val="00C643D7"/>
    <w:rsid w:val="00C6470B"/>
    <w:rsid w:val="00C64A20"/>
    <w:rsid w:val="00C65362"/>
    <w:rsid w:val="00C65952"/>
    <w:rsid w:val="00C65960"/>
    <w:rsid w:val="00C65A29"/>
    <w:rsid w:val="00C65CD6"/>
    <w:rsid w:val="00C65DE4"/>
    <w:rsid w:val="00C663D4"/>
    <w:rsid w:val="00C66784"/>
    <w:rsid w:val="00C66F61"/>
    <w:rsid w:val="00C66FCA"/>
    <w:rsid w:val="00C6755E"/>
    <w:rsid w:val="00C67842"/>
    <w:rsid w:val="00C67FF2"/>
    <w:rsid w:val="00C70305"/>
    <w:rsid w:val="00C706E5"/>
    <w:rsid w:val="00C70701"/>
    <w:rsid w:val="00C70EA9"/>
    <w:rsid w:val="00C7103D"/>
    <w:rsid w:val="00C71501"/>
    <w:rsid w:val="00C71E70"/>
    <w:rsid w:val="00C71F2D"/>
    <w:rsid w:val="00C726BB"/>
    <w:rsid w:val="00C72733"/>
    <w:rsid w:val="00C72A38"/>
    <w:rsid w:val="00C72B52"/>
    <w:rsid w:val="00C73670"/>
    <w:rsid w:val="00C73C2A"/>
    <w:rsid w:val="00C73C48"/>
    <w:rsid w:val="00C73CA3"/>
    <w:rsid w:val="00C74442"/>
    <w:rsid w:val="00C749E2"/>
    <w:rsid w:val="00C74CE5"/>
    <w:rsid w:val="00C74D5B"/>
    <w:rsid w:val="00C755E7"/>
    <w:rsid w:val="00C75FFE"/>
    <w:rsid w:val="00C7667D"/>
    <w:rsid w:val="00C76896"/>
    <w:rsid w:val="00C76BE3"/>
    <w:rsid w:val="00C77081"/>
    <w:rsid w:val="00C773A4"/>
    <w:rsid w:val="00C77DE2"/>
    <w:rsid w:val="00C8007A"/>
    <w:rsid w:val="00C800F9"/>
    <w:rsid w:val="00C801C1"/>
    <w:rsid w:val="00C8038C"/>
    <w:rsid w:val="00C80B9C"/>
    <w:rsid w:val="00C80DC6"/>
    <w:rsid w:val="00C8109B"/>
    <w:rsid w:val="00C813EF"/>
    <w:rsid w:val="00C81856"/>
    <w:rsid w:val="00C8193A"/>
    <w:rsid w:val="00C822CE"/>
    <w:rsid w:val="00C829F7"/>
    <w:rsid w:val="00C82DB2"/>
    <w:rsid w:val="00C83486"/>
    <w:rsid w:val="00C83D08"/>
    <w:rsid w:val="00C83D1D"/>
    <w:rsid w:val="00C8400B"/>
    <w:rsid w:val="00C84114"/>
    <w:rsid w:val="00C84263"/>
    <w:rsid w:val="00C84617"/>
    <w:rsid w:val="00C84B7D"/>
    <w:rsid w:val="00C84C3F"/>
    <w:rsid w:val="00C84E66"/>
    <w:rsid w:val="00C85609"/>
    <w:rsid w:val="00C860D5"/>
    <w:rsid w:val="00C86AF0"/>
    <w:rsid w:val="00C86BDC"/>
    <w:rsid w:val="00C879AE"/>
    <w:rsid w:val="00C87C4F"/>
    <w:rsid w:val="00C87D38"/>
    <w:rsid w:val="00C90D63"/>
    <w:rsid w:val="00C90EBC"/>
    <w:rsid w:val="00C91682"/>
    <w:rsid w:val="00C91819"/>
    <w:rsid w:val="00C91AF4"/>
    <w:rsid w:val="00C92234"/>
    <w:rsid w:val="00C92554"/>
    <w:rsid w:val="00C927CE"/>
    <w:rsid w:val="00C92CD2"/>
    <w:rsid w:val="00C93515"/>
    <w:rsid w:val="00C93911"/>
    <w:rsid w:val="00C94348"/>
    <w:rsid w:val="00C945EE"/>
    <w:rsid w:val="00C9493D"/>
    <w:rsid w:val="00C95224"/>
    <w:rsid w:val="00C9534E"/>
    <w:rsid w:val="00C953EC"/>
    <w:rsid w:val="00C96114"/>
    <w:rsid w:val="00C96CF9"/>
    <w:rsid w:val="00C96FEF"/>
    <w:rsid w:val="00C97591"/>
    <w:rsid w:val="00C97F4F"/>
    <w:rsid w:val="00CA05B0"/>
    <w:rsid w:val="00CA07CB"/>
    <w:rsid w:val="00CA0A68"/>
    <w:rsid w:val="00CA1E17"/>
    <w:rsid w:val="00CA222C"/>
    <w:rsid w:val="00CA23C2"/>
    <w:rsid w:val="00CA3206"/>
    <w:rsid w:val="00CA340C"/>
    <w:rsid w:val="00CA350E"/>
    <w:rsid w:val="00CA35BB"/>
    <w:rsid w:val="00CA393C"/>
    <w:rsid w:val="00CA3A60"/>
    <w:rsid w:val="00CA3CDC"/>
    <w:rsid w:val="00CA3EE6"/>
    <w:rsid w:val="00CA3EFC"/>
    <w:rsid w:val="00CA5210"/>
    <w:rsid w:val="00CA53E3"/>
    <w:rsid w:val="00CA564D"/>
    <w:rsid w:val="00CA5886"/>
    <w:rsid w:val="00CA58F6"/>
    <w:rsid w:val="00CA5ACB"/>
    <w:rsid w:val="00CA5D3D"/>
    <w:rsid w:val="00CA651C"/>
    <w:rsid w:val="00CA66DF"/>
    <w:rsid w:val="00CA67F5"/>
    <w:rsid w:val="00CA6CAB"/>
    <w:rsid w:val="00CA6E79"/>
    <w:rsid w:val="00CA6EE7"/>
    <w:rsid w:val="00CA728D"/>
    <w:rsid w:val="00CA7793"/>
    <w:rsid w:val="00CA78A5"/>
    <w:rsid w:val="00CA7E4E"/>
    <w:rsid w:val="00CB003B"/>
    <w:rsid w:val="00CB0143"/>
    <w:rsid w:val="00CB03DC"/>
    <w:rsid w:val="00CB08AA"/>
    <w:rsid w:val="00CB0E07"/>
    <w:rsid w:val="00CB0E8D"/>
    <w:rsid w:val="00CB0E98"/>
    <w:rsid w:val="00CB19A1"/>
    <w:rsid w:val="00CB1CDF"/>
    <w:rsid w:val="00CB1E0C"/>
    <w:rsid w:val="00CB2A8D"/>
    <w:rsid w:val="00CB32C6"/>
    <w:rsid w:val="00CB35E5"/>
    <w:rsid w:val="00CB36FA"/>
    <w:rsid w:val="00CB391C"/>
    <w:rsid w:val="00CB3D29"/>
    <w:rsid w:val="00CB3EC4"/>
    <w:rsid w:val="00CB4120"/>
    <w:rsid w:val="00CB41F5"/>
    <w:rsid w:val="00CB4508"/>
    <w:rsid w:val="00CB49BF"/>
    <w:rsid w:val="00CB4FC4"/>
    <w:rsid w:val="00CB508D"/>
    <w:rsid w:val="00CB565B"/>
    <w:rsid w:val="00CB5AA2"/>
    <w:rsid w:val="00CB5F5D"/>
    <w:rsid w:val="00CB5F70"/>
    <w:rsid w:val="00CB61E0"/>
    <w:rsid w:val="00CB6B36"/>
    <w:rsid w:val="00CB6D5F"/>
    <w:rsid w:val="00CB6E46"/>
    <w:rsid w:val="00CB72F0"/>
    <w:rsid w:val="00CB736D"/>
    <w:rsid w:val="00CB7BF9"/>
    <w:rsid w:val="00CC0021"/>
    <w:rsid w:val="00CC0A69"/>
    <w:rsid w:val="00CC1100"/>
    <w:rsid w:val="00CC11AF"/>
    <w:rsid w:val="00CC133B"/>
    <w:rsid w:val="00CC143E"/>
    <w:rsid w:val="00CC14E9"/>
    <w:rsid w:val="00CC168B"/>
    <w:rsid w:val="00CC21B0"/>
    <w:rsid w:val="00CC227A"/>
    <w:rsid w:val="00CC2CFE"/>
    <w:rsid w:val="00CC2F91"/>
    <w:rsid w:val="00CC3347"/>
    <w:rsid w:val="00CC40DA"/>
    <w:rsid w:val="00CC488E"/>
    <w:rsid w:val="00CC4AE1"/>
    <w:rsid w:val="00CC4B29"/>
    <w:rsid w:val="00CC5030"/>
    <w:rsid w:val="00CC5F8F"/>
    <w:rsid w:val="00CC685C"/>
    <w:rsid w:val="00CC6F5D"/>
    <w:rsid w:val="00CC7203"/>
    <w:rsid w:val="00CC75B8"/>
    <w:rsid w:val="00CC7CEC"/>
    <w:rsid w:val="00CC7E70"/>
    <w:rsid w:val="00CD0161"/>
    <w:rsid w:val="00CD06F8"/>
    <w:rsid w:val="00CD0852"/>
    <w:rsid w:val="00CD0AB7"/>
    <w:rsid w:val="00CD0B08"/>
    <w:rsid w:val="00CD0D20"/>
    <w:rsid w:val="00CD0E66"/>
    <w:rsid w:val="00CD0ECA"/>
    <w:rsid w:val="00CD121E"/>
    <w:rsid w:val="00CD14FC"/>
    <w:rsid w:val="00CD2397"/>
    <w:rsid w:val="00CD26F8"/>
    <w:rsid w:val="00CD2C65"/>
    <w:rsid w:val="00CD341C"/>
    <w:rsid w:val="00CD356A"/>
    <w:rsid w:val="00CD3601"/>
    <w:rsid w:val="00CD37A9"/>
    <w:rsid w:val="00CD3A54"/>
    <w:rsid w:val="00CD4623"/>
    <w:rsid w:val="00CD4C64"/>
    <w:rsid w:val="00CD4CC5"/>
    <w:rsid w:val="00CD4D3E"/>
    <w:rsid w:val="00CD558F"/>
    <w:rsid w:val="00CD6458"/>
    <w:rsid w:val="00CD65EE"/>
    <w:rsid w:val="00CD6D97"/>
    <w:rsid w:val="00CD6E2D"/>
    <w:rsid w:val="00CD7E74"/>
    <w:rsid w:val="00CE0119"/>
    <w:rsid w:val="00CE03B0"/>
    <w:rsid w:val="00CE06D8"/>
    <w:rsid w:val="00CE08FA"/>
    <w:rsid w:val="00CE100A"/>
    <w:rsid w:val="00CE12ED"/>
    <w:rsid w:val="00CE13C3"/>
    <w:rsid w:val="00CE15D3"/>
    <w:rsid w:val="00CE1A2E"/>
    <w:rsid w:val="00CE1B14"/>
    <w:rsid w:val="00CE1DB6"/>
    <w:rsid w:val="00CE242B"/>
    <w:rsid w:val="00CE27EA"/>
    <w:rsid w:val="00CE2BF5"/>
    <w:rsid w:val="00CE3440"/>
    <w:rsid w:val="00CE3500"/>
    <w:rsid w:val="00CE3589"/>
    <w:rsid w:val="00CE3710"/>
    <w:rsid w:val="00CE3C34"/>
    <w:rsid w:val="00CE4390"/>
    <w:rsid w:val="00CE51BD"/>
    <w:rsid w:val="00CE5404"/>
    <w:rsid w:val="00CE5887"/>
    <w:rsid w:val="00CE5C60"/>
    <w:rsid w:val="00CE6AA4"/>
    <w:rsid w:val="00CE6F24"/>
    <w:rsid w:val="00CE7A38"/>
    <w:rsid w:val="00CF0001"/>
    <w:rsid w:val="00CF04F1"/>
    <w:rsid w:val="00CF0ACF"/>
    <w:rsid w:val="00CF0C92"/>
    <w:rsid w:val="00CF1293"/>
    <w:rsid w:val="00CF12D2"/>
    <w:rsid w:val="00CF174D"/>
    <w:rsid w:val="00CF1827"/>
    <w:rsid w:val="00CF197E"/>
    <w:rsid w:val="00CF2312"/>
    <w:rsid w:val="00CF25DA"/>
    <w:rsid w:val="00CF2BAD"/>
    <w:rsid w:val="00CF3430"/>
    <w:rsid w:val="00CF34D5"/>
    <w:rsid w:val="00CF37CB"/>
    <w:rsid w:val="00CF3A7D"/>
    <w:rsid w:val="00CF3E1A"/>
    <w:rsid w:val="00CF443B"/>
    <w:rsid w:val="00CF4A82"/>
    <w:rsid w:val="00CF4D0D"/>
    <w:rsid w:val="00CF4F4C"/>
    <w:rsid w:val="00CF52B4"/>
    <w:rsid w:val="00CF533E"/>
    <w:rsid w:val="00CF56A6"/>
    <w:rsid w:val="00CF57D6"/>
    <w:rsid w:val="00CF5BA7"/>
    <w:rsid w:val="00CF6424"/>
    <w:rsid w:val="00CF6518"/>
    <w:rsid w:val="00CF7026"/>
    <w:rsid w:val="00CF7110"/>
    <w:rsid w:val="00CF74B5"/>
    <w:rsid w:val="00CF7B64"/>
    <w:rsid w:val="00CF7D6F"/>
    <w:rsid w:val="00D00D03"/>
    <w:rsid w:val="00D00F1F"/>
    <w:rsid w:val="00D00F43"/>
    <w:rsid w:val="00D01182"/>
    <w:rsid w:val="00D0160F"/>
    <w:rsid w:val="00D0274E"/>
    <w:rsid w:val="00D0279E"/>
    <w:rsid w:val="00D02D5B"/>
    <w:rsid w:val="00D0363A"/>
    <w:rsid w:val="00D03AF9"/>
    <w:rsid w:val="00D03BEF"/>
    <w:rsid w:val="00D0416A"/>
    <w:rsid w:val="00D0455E"/>
    <w:rsid w:val="00D04802"/>
    <w:rsid w:val="00D049B7"/>
    <w:rsid w:val="00D04AF6"/>
    <w:rsid w:val="00D04DBF"/>
    <w:rsid w:val="00D0535B"/>
    <w:rsid w:val="00D0569A"/>
    <w:rsid w:val="00D057DA"/>
    <w:rsid w:val="00D05BAD"/>
    <w:rsid w:val="00D05F38"/>
    <w:rsid w:val="00D06009"/>
    <w:rsid w:val="00D06103"/>
    <w:rsid w:val="00D0620A"/>
    <w:rsid w:val="00D0626C"/>
    <w:rsid w:val="00D0641E"/>
    <w:rsid w:val="00D066A9"/>
    <w:rsid w:val="00D06867"/>
    <w:rsid w:val="00D06A16"/>
    <w:rsid w:val="00D07317"/>
    <w:rsid w:val="00D0743B"/>
    <w:rsid w:val="00D0792B"/>
    <w:rsid w:val="00D07D21"/>
    <w:rsid w:val="00D100B0"/>
    <w:rsid w:val="00D10129"/>
    <w:rsid w:val="00D106E8"/>
    <w:rsid w:val="00D10A50"/>
    <w:rsid w:val="00D10C86"/>
    <w:rsid w:val="00D1107D"/>
    <w:rsid w:val="00D11681"/>
    <w:rsid w:val="00D1188C"/>
    <w:rsid w:val="00D11F7C"/>
    <w:rsid w:val="00D123B7"/>
    <w:rsid w:val="00D129BC"/>
    <w:rsid w:val="00D12B7E"/>
    <w:rsid w:val="00D12CEA"/>
    <w:rsid w:val="00D12DA7"/>
    <w:rsid w:val="00D1325D"/>
    <w:rsid w:val="00D13C71"/>
    <w:rsid w:val="00D14474"/>
    <w:rsid w:val="00D144A1"/>
    <w:rsid w:val="00D1478F"/>
    <w:rsid w:val="00D14CA5"/>
    <w:rsid w:val="00D150A5"/>
    <w:rsid w:val="00D150D6"/>
    <w:rsid w:val="00D15252"/>
    <w:rsid w:val="00D15695"/>
    <w:rsid w:val="00D15A1F"/>
    <w:rsid w:val="00D15EA1"/>
    <w:rsid w:val="00D16460"/>
    <w:rsid w:val="00D16898"/>
    <w:rsid w:val="00D16C55"/>
    <w:rsid w:val="00D16C91"/>
    <w:rsid w:val="00D16FEA"/>
    <w:rsid w:val="00D172A7"/>
    <w:rsid w:val="00D17AE0"/>
    <w:rsid w:val="00D17F62"/>
    <w:rsid w:val="00D2022F"/>
    <w:rsid w:val="00D20339"/>
    <w:rsid w:val="00D20522"/>
    <w:rsid w:val="00D20679"/>
    <w:rsid w:val="00D2097B"/>
    <w:rsid w:val="00D212DB"/>
    <w:rsid w:val="00D21329"/>
    <w:rsid w:val="00D216E1"/>
    <w:rsid w:val="00D21D97"/>
    <w:rsid w:val="00D22E0E"/>
    <w:rsid w:val="00D2325F"/>
    <w:rsid w:val="00D23654"/>
    <w:rsid w:val="00D2375F"/>
    <w:rsid w:val="00D237B0"/>
    <w:rsid w:val="00D2394D"/>
    <w:rsid w:val="00D23EE2"/>
    <w:rsid w:val="00D23F4E"/>
    <w:rsid w:val="00D2455F"/>
    <w:rsid w:val="00D24722"/>
    <w:rsid w:val="00D24A16"/>
    <w:rsid w:val="00D24E8C"/>
    <w:rsid w:val="00D2525C"/>
    <w:rsid w:val="00D25B39"/>
    <w:rsid w:val="00D25C52"/>
    <w:rsid w:val="00D25F8B"/>
    <w:rsid w:val="00D26C7F"/>
    <w:rsid w:val="00D2703F"/>
    <w:rsid w:val="00D27242"/>
    <w:rsid w:val="00D27335"/>
    <w:rsid w:val="00D2741C"/>
    <w:rsid w:val="00D27715"/>
    <w:rsid w:val="00D27E0D"/>
    <w:rsid w:val="00D30094"/>
    <w:rsid w:val="00D300B5"/>
    <w:rsid w:val="00D30133"/>
    <w:rsid w:val="00D301D6"/>
    <w:rsid w:val="00D302BA"/>
    <w:rsid w:val="00D303ED"/>
    <w:rsid w:val="00D3088C"/>
    <w:rsid w:val="00D30BA4"/>
    <w:rsid w:val="00D3128F"/>
    <w:rsid w:val="00D3146C"/>
    <w:rsid w:val="00D31D6E"/>
    <w:rsid w:val="00D32F9B"/>
    <w:rsid w:val="00D33100"/>
    <w:rsid w:val="00D3324A"/>
    <w:rsid w:val="00D336FC"/>
    <w:rsid w:val="00D33904"/>
    <w:rsid w:val="00D33C5C"/>
    <w:rsid w:val="00D34150"/>
    <w:rsid w:val="00D341BF"/>
    <w:rsid w:val="00D341EF"/>
    <w:rsid w:val="00D348DD"/>
    <w:rsid w:val="00D34954"/>
    <w:rsid w:val="00D34984"/>
    <w:rsid w:val="00D34AC4"/>
    <w:rsid w:val="00D34D7E"/>
    <w:rsid w:val="00D34DB4"/>
    <w:rsid w:val="00D34FF7"/>
    <w:rsid w:val="00D35B91"/>
    <w:rsid w:val="00D35CCA"/>
    <w:rsid w:val="00D35F39"/>
    <w:rsid w:val="00D365D7"/>
    <w:rsid w:val="00D366F1"/>
    <w:rsid w:val="00D36BA8"/>
    <w:rsid w:val="00D36DB5"/>
    <w:rsid w:val="00D37001"/>
    <w:rsid w:val="00D3764F"/>
    <w:rsid w:val="00D37965"/>
    <w:rsid w:val="00D379F8"/>
    <w:rsid w:val="00D37A09"/>
    <w:rsid w:val="00D403A1"/>
    <w:rsid w:val="00D40646"/>
    <w:rsid w:val="00D40741"/>
    <w:rsid w:val="00D40E1B"/>
    <w:rsid w:val="00D414E1"/>
    <w:rsid w:val="00D41C40"/>
    <w:rsid w:val="00D41DB7"/>
    <w:rsid w:val="00D4212D"/>
    <w:rsid w:val="00D42466"/>
    <w:rsid w:val="00D427D3"/>
    <w:rsid w:val="00D42982"/>
    <w:rsid w:val="00D42C69"/>
    <w:rsid w:val="00D42E13"/>
    <w:rsid w:val="00D43059"/>
    <w:rsid w:val="00D43210"/>
    <w:rsid w:val="00D4346E"/>
    <w:rsid w:val="00D44FB6"/>
    <w:rsid w:val="00D45180"/>
    <w:rsid w:val="00D4592B"/>
    <w:rsid w:val="00D45D80"/>
    <w:rsid w:val="00D46132"/>
    <w:rsid w:val="00D463D8"/>
    <w:rsid w:val="00D463DA"/>
    <w:rsid w:val="00D46460"/>
    <w:rsid w:val="00D466CB"/>
    <w:rsid w:val="00D46C3E"/>
    <w:rsid w:val="00D46D60"/>
    <w:rsid w:val="00D47256"/>
    <w:rsid w:val="00D4752D"/>
    <w:rsid w:val="00D47B2E"/>
    <w:rsid w:val="00D47B3A"/>
    <w:rsid w:val="00D47EF4"/>
    <w:rsid w:val="00D505F5"/>
    <w:rsid w:val="00D50FB8"/>
    <w:rsid w:val="00D51152"/>
    <w:rsid w:val="00D514F3"/>
    <w:rsid w:val="00D514FC"/>
    <w:rsid w:val="00D525AC"/>
    <w:rsid w:val="00D52696"/>
    <w:rsid w:val="00D5287F"/>
    <w:rsid w:val="00D52EA3"/>
    <w:rsid w:val="00D52EFF"/>
    <w:rsid w:val="00D53249"/>
    <w:rsid w:val="00D532A2"/>
    <w:rsid w:val="00D53825"/>
    <w:rsid w:val="00D5382D"/>
    <w:rsid w:val="00D53910"/>
    <w:rsid w:val="00D53A25"/>
    <w:rsid w:val="00D53FBB"/>
    <w:rsid w:val="00D545D3"/>
    <w:rsid w:val="00D54641"/>
    <w:rsid w:val="00D5485E"/>
    <w:rsid w:val="00D548D6"/>
    <w:rsid w:val="00D54EAF"/>
    <w:rsid w:val="00D55C0F"/>
    <w:rsid w:val="00D560D2"/>
    <w:rsid w:val="00D5625B"/>
    <w:rsid w:val="00D565D9"/>
    <w:rsid w:val="00D566B2"/>
    <w:rsid w:val="00D568F6"/>
    <w:rsid w:val="00D579B5"/>
    <w:rsid w:val="00D6044A"/>
    <w:rsid w:val="00D606B9"/>
    <w:rsid w:val="00D60824"/>
    <w:rsid w:val="00D608B9"/>
    <w:rsid w:val="00D60AB1"/>
    <w:rsid w:val="00D60D06"/>
    <w:rsid w:val="00D6143E"/>
    <w:rsid w:val="00D61442"/>
    <w:rsid w:val="00D6158F"/>
    <w:rsid w:val="00D61593"/>
    <w:rsid w:val="00D61666"/>
    <w:rsid w:val="00D61677"/>
    <w:rsid w:val="00D61938"/>
    <w:rsid w:val="00D620A2"/>
    <w:rsid w:val="00D622D4"/>
    <w:rsid w:val="00D623CD"/>
    <w:rsid w:val="00D62CD3"/>
    <w:rsid w:val="00D62F58"/>
    <w:rsid w:val="00D63282"/>
    <w:rsid w:val="00D635C9"/>
    <w:rsid w:val="00D6374F"/>
    <w:rsid w:val="00D637D7"/>
    <w:rsid w:val="00D63D39"/>
    <w:rsid w:val="00D63FD9"/>
    <w:rsid w:val="00D640AA"/>
    <w:rsid w:val="00D641B7"/>
    <w:rsid w:val="00D645EC"/>
    <w:rsid w:val="00D64A01"/>
    <w:rsid w:val="00D65101"/>
    <w:rsid w:val="00D65666"/>
    <w:rsid w:val="00D65BE2"/>
    <w:rsid w:val="00D65D7B"/>
    <w:rsid w:val="00D65EC7"/>
    <w:rsid w:val="00D66462"/>
    <w:rsid w:val="00D664F3"/>
    <w:rsid w:val="00D6718B"/>
    <w:rsid w:val="00D6732C"/>
    <w:rsid w:val="00D673C5"/>
    <w:rsid w:val="00D67BB8"/>
    <w:rsid w:val="00D70294"/>
    <w:rsid w:val="00D70346"/>
    <w:rsid w:val="00D708B8"/>
    <w:rsid w:val="00D70B68"/>
    <w:rsid w:val="00D70F73"/>
    <w:rsid w:val="00D71116"/>
    <w:rsid w:val="00D711C5"/>
    <w:rsid w:val="00D7139D"/>
    <w:rsid w:val="00D7170C"/>
    <w:rsid w:val="00D717BB"/>
    <w:rsid w:val="00D71DE3"/>
    <w:rsid w:val="00D723A4"/>
    <w:rsid w:val="00D7240E"/>
    <w:rsid w:val="00D72437"/>
    <w:rsid w:val="00D7253A"/>
    <w:rsid w:val="00D72800"/>
    <w:rsid w:val="00D72CB6"/>
    <w:rsid w:val="00D730F6"/>
    <w:rsid w:val="00D73B41"/>
    <w:rsid w:val="00D73BB0"/>
    <w:rsid w:val="00D73E89"/>
    <w:rsid w:val="00D7404D"/>
    <w:rsid w:val="00D7423A"/>
    <w:rsid w:val="00D7439E"/>
    <w:rsid w:val="00D749C9"/>
    <w:rsid w:val="00D75149"/>
    <w:rsid w:val="00D75667"/>
    <w:rsid w:val="00D75689"/>
    <w:rsid w:val="00D7599F"/>
    <w:rsid w:val="00D75A06"/>
    <w:rsid w:val="00D75C47"/>
    <w:rsid w:val="00D76233"/>
    <w:rsid w:val="00D76CAA"/>
    <w:rsid w:val="00D76ECB"/>
    <w:rsid w:val="00D77D1F"/>
    <w:rsid w:val="00D805E0"/>
    <w:rsid w:val="00D80ADF"/>
    <w:rsid w:val="00D80E97"/>
    <w:rsid w:val="00D8127C"/>
    <w:rsid w:val="00D8189A"/>
    <w:rsid w:val="00D81D84"/>
    <w:rsid w:val="00D820F9"/>
    <w:rsid w:val="00D83180"/>
    <w:rsid w:val="00D83540"/>
    <w:rsid w:val="00D83549"/>
    <w:rsid w:val="00D8377E"/>
    <w:rsid w:val="00D84C24"/>
    <w:rsid w:val="00D84E56"/>
    <w:rsid w:val="00D84F08"/>
    <w:rsid w:val="00D8502F"/>
    <w:rsid w:val="00D8559A"/>
    <w:rsid w:val="00D857E9"/>
    <w:rsid w:val="00D86642"/>
    <w:rsid w:val="00D86879"/>
    <w:rsid w:val="00D869AB"/>
    <w:rsid w:val="00D86C5C"/>
    <w:rsid w:val="00D873A7"/>
    <w:rsid w:val="00D87540"/>
    <w:rsid w:val="00D875B1"/>
    <w:rsid w:val="00D87AC7"/>
    <w:rsid w:val="00D87B17"/>
    <w:rsid w:val="00D9025C"/>
    <w:rsid w:val="00D91892"/>
    <w:rsid w:val="00D91B99"/>
    <w:rsid w:val="00D91E77"/>
    <w:rsid w:val="00D93221"/>
    <w:rsid w:val="00D93229"/>
    <w:rsid w:val="00D937A4"/>
    <w:rsid w:val="00D93CB8"/>
    <w:rsid w:val="00D9400C"/>
    <w:rsid w:val="00D9435E"/>
    <w:rsid w:val="00D95761"/>
    <w:rsid w:val="00D95A3E"/>
    <w:rsid w:val="00D95E51"/>
    <w:rsid w:val="00D96508"/>
    <w:rsid w:val="00D968FD"/>
    <w:rsid w:val="00D96AE2"/>
    <w:rsid w:val="00D96D9D"/>
    <w:rsid w:val="00D970D1"/>
    <w:rsid w:val="00D9751B"/>
    <w:rsid w:val="00D977BF"/>
    <w:rsid w:val="00DA0856"/>
    <w:rsid w:val="00DA0967"/>
    <w:rsid w:val="00DA0C09"/>
    <w:rsid w:val="00DA0F36"/>
    <w:rsid w:val="00DA10C4"/>
    <w:rsid w:val="00DA1545"/>
    <w:rsid w:val="00DA1C7E"/>
    <w:rsid w:val="00DA2F98"/>
    <w:rsid w:val="00DA3481"/>
    <w:rsid w:val="00DA3507"/>
    <w:rsid w:val="00DA3518"/>
    <w:rsid w:val="00DA3970"/>
    <w:rsid w:val="00DA3E70"/>
    <w:rsid w:val="00DA43E5"/>
    <w:rsid w:val="00DA4478"/>
    <w:rsid w:val="00DA4587"/>
    <w:rsid w:val="00DA53B3"/>
    <w:rsid w:val="00DA53BB"/>
    <w:rsid w:val="00DA54DB"/>
    <w:rsid w:val="00DA55A7"/>
    <w:rsid w:val="00DA5F8B"/>
    <w:rsid w:val="00DA60E2"/>
    <w:rsid w:val="00DA6162"/>
    <w:rsid w:val="00DA74E4"/>
    <w:rsid w:val="00DA79B0"/>
    <w:rsid w:val="00DA7B32"/>
    <w:rsid w:val="00DA7C88"/>
    <w:rsid w:val="00DA7D88"/>
    <w:rsid w:val="00DB0263"/>
    <w:rsid w:val="00DB02CC"/>
    <w:rsid w:val="00DB045E"/>
    <w:rsid w:val="00DB0680"/>
    <w:rsid w:val="00DB0746"/>
    <w:rsid w:val="00DB0A1A"/>
    <w:rsid w:val="00DB0B1A"/>
    <w:rsid w:val="00DB0F8E"/>
    <w:rsid w:val="00DB161B"/>
    <w:rsid w:val="00DB1EC2"/>
    <w:rsid w:val="00DB20CB"/>
    <w:rsid w:val="00DB231B"/>
    <w:rsid w:val="00DB304E"/>
    <w:rsid w:val="00DB391A"/>
    <w:rsid w:val="00DB418A"/>
    <w:rsid w:val="00DB4387"/>
    <w:rsid w:val="00DB4E0C"/>
    <w:rsid w:val="00DB5038"/>
    <w:rsid w:val="00DB550A"/>
    <w:rsid w:val="00DB5874"/>
    <w:rsid w:val="00DB5C9B"/>
    <w:rsid w:val="00DB630A"/>
    <w:rsid w:val="00DB676C"/>
    <w:rsid w:val="00DB6C5F"/>
    <w:rsid w:val="00DB6D29"/>
    <w:rsid w:val="00DB6F73"/>
    <w:rsid w:val="00DB707B"/>
    <w:rsid w:val="00DB7138"/>
    <w:rsid w:val="00DB7FDC"/>
    <w:rsid w:val="00DC0011"/>
    <w:rsid w:val="00DC1067"/>
    <w:rsid w:val="00DC1245"/>
    <w:rsid w:val="00DC136C"/>
    <w:rsid w:val="00DC1701"/>
    <w:rsid w:val="00DC17DE"/>
    <w:rsid w:val="00DC19A0"/>
    <w:rsid w:val="00DC19B2"/>
    <w:rsid w:val="00DC2420"/>
    <w:rsid w:val="00DC24B2"/>
    <w:rsid w:val="00DC24D8"/>
    <w:rsid w:val="00DC2D70"/>
    <w:rsid w:val="00DC2DC8"/>
    <w:rsid w:val="00DC2FBE"/>
    <w:rsid w:val="00DC3399"/>
    <w:rsid w:val="00DC33B1"/>
    <w:rsid w:val="00DC3702"/>
    <w:rsid w:val="00DC37AE"/>
    <w:rsid w:val="00DC3BBB"/>
    <w:rsid w:val="00DC3BF0"/>
    <w:rsid w:val="00DC3E79"/>
    <w:rsid w:val="00DC40D4"/>
    <w:rsid w:val="00DC41B2"/>
    <w:rsid w:val="00DC46DA"/>
    <w:rsid w:val="00DC5071"/>
    <w:rsid w:val="00DC5313"/>
    <w:rsid w:val="00DC5413"/>
    <w:rsid w:val="00DC580E"/>
    <w:rsid w:val="00DC602F"/>
    <w:rsid w:val="00DC6263"/>
    <w:rsid w:val="00DC6C4C"/>
    <w:rsid w:val="00DC6DE4"/>
    <w:rsid w:val="00DC70C7"/>
    <w:rsid w:val="00DC7147"/>
    <w:rsid w:val="00DC7876"/>
    <w:rsid w:val="00DC7B02"/>
    <w:rsid w:val="00DC7D04"/>
    <w:rsid w:val="00DC7F17"/>
    <w:rsid w:val="00DD012C"/>
    <w:rsid w:val="00DD028F"/>
    <w:rsid w:val="00DD07BB"/>
    <w:rsid w:val="00DD07DB"/>
    <w:rsid w:val="00DD1459"/>
    <w:rsid w:val="00DD1A8C"/>
    <w:rsid w:val="00DD2459"/>
    <w:rsid w:val="00DD24AC"/>
    <w:rsid w:val="00DD2935"/>
    <w:rsid w:val="00DD2D50"/>
    <w:rsid w:val="00DD324E"/>
    <w:rsid w:val="00DD3298"/>
    <w:rsid w:val="00DD3409"/>
    <w:rsid w:val="00DD3A88"/>
    <w:rsid w:val="00DD3AFE"/>
    <w:rsid w:val="00DD3F51"/>
    <w:rsid w:val="00DD3F61"/>
    <w:rsid w:val="00DD3FE1"/>
    <w:rsid w:val="00DD56D7"/>
    <w:rsid w:val="00DD5AD4"/>
    <w:rsid w:val="00DD5E16"/>
    <w:rsid w:val="00DD5F74"/>
    <w:rsid w:val="00DD63F7"/>
    <w:rsid w:val="00DD658E"/>
    <w:rsid w:val="00DD68BF"/>
    <w:rsid w:val="00DD6AA7"/>
    <w:rsid w:val="00DD6D29"/>
    <w:rsid w:val="00DD7309"/>
    <w:rsid w:val="00DD7637"/>
    <w:rsid w:val="00DD7835"/>
    <w:rsid w:val="00DD7916"/>
    <w:rsid w:val="00DE07D4"/>
    <w:rsid w:val="00DE08AE"/>
    <w:rsid w:val="00DE0D73"/>
    <w:rsid w:val="00DE0ECB"/>
    <w:rsid w:val="00DE1297"/>
    <w:rsid w:val="00DE1CA5"/>
    <w:rsid w:val="00DE1DAE"/>
    <w:rsid w:val="00DE201F"/>
    <w:rsid w:val="00DE2435"/>
    <w:rsid w:val="00DE25C6"/>
    <w:rsid w:val="00DE2693"/>
    <w:rsid w:val="00DE2DCF"/>
    <w:rsid w:val="00DE2F73"/>
    <w:rsid w:val="00DE3B69"/>
    <w:rsid w:val="00DE3FB7"/>
    <w:rsid w:val="00DE429E"/>
    <w:rsid w:val="00DE4320"/>
    <w:rsid w:val="00DE4AF8"/>
    <w:rsid w:val="00DE4E21"/>
    <w:rsid w:val="00DE5AF9"/>
    <w:rsid w:val="00DE5D11"/>
    <w:rsid w:val="00DE6020"/>
    <w:rsid w:val="00DE6B89"/>
    <w:rsid w:val="00DE70EB"/>
    <w:rsid w:val="00DE72DF"/>
    <w:rsid w:val="00DE7389"/>
    <w:rsid w:val="00DE750E"/>
    <w:rsid w:val="00DE7E1D"/>
    <w:rsid w:val="00DF01C8"/>
    <w:rsid w:val="00DF02EB"/>
    <w:rsid w:val="00DF0831"/>
    <w:rsid w:val="00DF0916"/>
    <w:rsid w:val="00DF120A"/>
    <w:rsid w:val="00DF12C2"/>
    <w:rsid w:val="00DF1508"/>
    <w:rsid w:val="00DF191E"/>
    <w:rsid w:val="00DF1D6E"/>
    <w:rsid w:val="00DF240D"/>
    <w:rsid w:val="00DF268C"/>
    <w:rsid w:val="00DF2774"/>
    <w:rsid w:val="00DF27E8"/>
    <w:rsid w:val="00DF2B01"/>
    <w:rsid w:val="00DF2CBA"/>
    <w:rsid w:val="00DF2F22"/>
    <w:rsid w:val="00DF32DF"/>
    <w:rsid w:val="00DF419B"/>
    <w:rsid w:val="00DF457B"/>
    <w:rsid w:val="00DF5395"/>
    <w:rsid w:val="00DF563B"/>
    <w:rsid w:val="00DF576E"/>
    <w:rsid w:val="00DF5980"/>
    <w:rsid w:val="00DF5BCB"/>
    <w:rsid w:val="00DF5E12"/>
    <w:rsid w:val="00DF6CB4"/>
    <w:rsid w:val="00DF6FC6"/>
    <w:rsid w:val="00DF736F"/>
    <w:rsid w:val="00DF7A4A"/>
    <w:rsid w:val="00DF7D62"/>
    <w:rsid w:val="00E005B7"/>
    <w:rsid w:val="00E007B4"/>
    <w:rsid w:val="00E0082E"/>
    <w:rsid w:val="00E01766"/>
    <w:rsid w:val="00E01F7C"/>
    <w:rsid w:val="00E02037"/>
    <w:rsid w:val="00E026BD"/>
    <w:rsid w:val="00E0297C"/>
    <w:rsid w:val="00E029DC"/>
    <w:rsid w:val="00E03B41"/>
    <w:rsid w:val="00E03C69"/>
    <w:rsid w:val="00E03DA4"/>
    <w:rsid w:val="00E03E15"/>
    <w:rsid w:val="00E04197"/>
    <w:rsid w:val="00E04553"/>
    <w:rsid w:val="00E0470A"/>
    <w:rsid w:val="00E047F6"/>
    <w:rsid w:val="00E0486F"/>
    <w:rsid w:val="00E04E5A"/>
    <w:rsid w:val="00E055DF"/>
    <w:rsid w:val="00E05920"/>
    <w:rsid w:val="00E05AD8"/>
    <w:rsid w:val="00E0615B"/>
    <w:rsid w:val="00E06306"/>
    <w:rsid w:val="00E0647B"/>
    <w:rsid w:val="00E06BB4"/>
    <w:rsid w:val="00E06E2E"/>
    <w:rsid w:val="00E070D3"/>
    <w:rsid w:val="00E070ED"/>
    <w:rsid w:val="00E076D6"/>
    <w:rsid w:val="00E07B68"/>
    <w:rsid w:val="00E10A72"/>
    <w:rsid w:val="00E118BB"/>
    <w:rsid w:val="00E11B38"/>
    <w:rsid w:val="00E11F31"/>
    <w:rsid w:val="00E128B8"/>
    <w:rsid w:val="00E12FCA"/>
    <w:rsid w:val="00E13049"/>
    <w:rsid w:val="00E130C9"/>
    <w:rsid w:val="00E13466"/>
    <w:rsid w:val="00E13570"/>
    <w:rsid w:val="00E13626"/>
    <w:rsid w:val="00E13D5E"/>
    <w:rsid w:val="00E13D77"/>
    <w:rsid w:val="00E13EB3"/>
    <w:rsid w:val="00E14063"/>
    <w:rsid w:val="00E144DD"/>
    <w:rsid w:val="00E14941"/>
    <w:rsid w:val="00E14BAA"/>
    <w:rsid w:val="00E15270"/>
    <w:rsid w:val="00E1534F"/>
    <w:rsid w:val="00E158D2"/>
    <w:rsid w:val="00E15FD8"/>
    <w:rsid w:val="00E163B2"/>
    <w:rsid w:val="00E16C60"/>
    <w:rsid w:val="00E16FB1"/>
    <w:rsid w:val="00E172DA"/>
    <w:rsid w:val="00E1755D"/>
    <w:rsid w:val="00E17659"/>
    <w:rsid w:val="00E17729"/>
    <w:rsid w:val="00E17747"/>
    <w:rsid w:val="00E1792C"/>
    <w:rsid w:val="00E179EE"/>
    <w:rsid w:val="00E17BB5"/>
    <w:rsid w:val="00E17F95"/>
    <w:rsid w:val="00E204BF"/>
    <w:rsid w:val="00E207A1"/>
    <w:rsid w:val="00E20A92"/>
    <w:rsid w:val="00E21190"/>
    <w:rsid w:val="00E211D9"/>
    <w:rsid w:val="00E2125B"/>
    <w:rsid w:val="00E212C6"/>
    <w:rsid w:val="00E21705"/>
    <w:rsid w:val="00E21C01"/>
    <w:rsid w:val="00E2323A"/>
    <w:rsid w:val="00E235A9"/>
    <w:rsid w:val="00E23618"/>
    <w:rsid w:val="00E2366A"/>
    <w:rsid w:val="00E23A24"/>
    <w:rsid w:val="00E23A9D"/>
    <w:rsid w:val="00E23FFD"/>
    <w:rsid w:val="00E243E5"/>
    <w:rsid w:val="00E246B0"/>
    <w:rsid w:val="00E250CF"/>
    <w:rsid w:val="00E2532A"/>
    <w:rsid w:val="00E25334"/>
    <w:rsid w:val="00E25E6A"/>
    <w:rsid w:val="00E25FD3"/>
    <w:rsid w:val="00E2611D"/>
    <w:rsid w:val="00E26366"/>
    <w:rsid w:val="00E263B3"/>
    <w:rsid w:val="00E26601"/>
    <w:rsid w:val="00E277A0"/>
    <w:rsid w:val="00E27907"/>
    <w:rsid w:val="00E27BD9"/>
    <w:rsid w:val="00E27E72"/>
    <w:rsid w:val="00E27FFC"/>
    <w:rsid w:val="00E303AC"/>
    <w:rsid w:val="00E305AB"/>
    <w:rsid w:val="00E30909"/>
    <w:rsid w:val="00E30976"/>
    <w:rsid w:val="00E30DC9"/>
    <w:rsid w:val="00E31142"/>
    <w:rsid w:val="00E31851"/>
    <w:rsid w:val="00E31BA1"/>
    <w:rsid w:val="00E31F4F"/>
    <w:rsid w:val="00E32580"/>
    <w:rsid w:val="00E32A84"/>
    <w:rsid w:val="00E33DDF"/>
    <w:rsid w:val="00E3403B"/>
    <w:rsid w:val="00E34224"/>
    <w:rsid w:val="00E34CE5"/>
    <w:rsid w:val="00E34E76"/>
    <w:rsid w:val="00E34F5C"/>
    <w:rsid w:val="00E35308"/>
    <w:rsid w:val="00E35675"/>
    <w:rsid w:val="00E35740"/>
    <w:rsid w:val="00E3637C"/>
    <w:rsid w:val="00E3646D"/>
    <w:rsid w:val="00E3660B"/>
    <w:rsid w:val="00E3698A"/>
    <w:rsid w:val="00E36ADD"/>
    <w:rsid w:val="00E36DC1"/>
    <w:rsid w:val="00E37167"/>
    <w:rsid w:val="00E40367"/>
    <w:rsid w:val="00E4049B"/>
    <w:rsid w:val="00E404DB"/>
    <w:rsid w:val="00E405BC"/>
    <w:rsid w:val="00E407DC"/>
    <w:rsid w:val="00E40F78"/>
    <w:rsid w:val="00E411D6"/>
    <w:rsid w:val="00E41721"/>
    <w:rsid w:val="00E418AE"/>
    <w:rsid w:val="00E418EE"/>
    <w:rsid w:val="00E41B2D"/>
    <w:rsid w:val="00E41BD8"/>
    <w:rsid w:val="00E42A59"/>
    <w:rsid w:val="00E42B85"/>
    <w:rsid w:val="00E42CAE"/>
    <w:rsid w:val="00E42DF1"/>
    <w:rsid w:val="00E43334"/>
    <w:rsid w:val="00E43F38"/>
    <w:rsid w:val="00E442D9"/>
    <w:rsid w:val="00E4436A"/>
    <w:rsid w:val="00E44848"/>
    <w:rsid w:val="00E44AD0"/>
    <w:rsid w:val="00E453EC"/>
    <w:rsid w:val="00E4542E"/>
    <w:rsid w:val="00E45492"/>
    <w:rsid w:val="00E45C96"/>
    <w:rsid w:val="00E4633B"/>
    <w:rsid w:val="00E46366"/>
    <w:rsid w:val="00E46BDB"/>
    <w:rsid w:val="00E46DA9"/>
    <w:rsid w:val="00E46F6B"/>
    <w:rsid w:val="00E470AE"/>
    <w:rsid w:val="00E471A1"/>
    <w:rsid w:val="00E473B3"/>
    <w:rsid w:val="00E47DFA"/>
    <w:rsid w:val="00E5027E"/>
    <w:rsid w:val="00E503CA"/>
    <w:rsid w:val="00E50860"/>
    <w:rsid w:val="00E50F66"/>
    <w:rsid w:val="00E511F1"/>
    <w:rsid w:val="00E5151C"/>
    <w:rsid w:val="00E5158D"/>
    <w:rsid w:val="00E5185A"/>
    <w:rsid w:val="00E51B16"/>
    <w:rsid w:val="00E51B9E"/>
    <w:rsid w:val="00E51D34"/>
    <w:rsid w:val="00E51EBE"/>
    <w:rsid w:val="00E5202B"/>
    <w:rsid w:val="00E521A8"/>
    <w:rsid w:val="00E52410"/>
    <w:rsid w:val="00E52431"/>
    <w:rsid w:val="00E529F2"/>
    <w:rsid w:val="00E52A69"/>
    <w:rsid w:val="00E52D5C"/>
    <w:rsid w:val="00E52DD0"/>
    <w:rsid w:val="00E53194"/>
    <w:rsid w:val="00E533E8"/>
    <w:rsid w:val="00E539D4"/>
    <w:rsid w:val="00E5449C"/>
    <w:rsid w:val="00E5485B"/>
    <w:rsid w:val="00E54CA1"/>
    <w:rsid w:val="00E5514C"/>
    <w:rsid w:val="00E55696"/>
    <w:rsid w:val="00E55CE9"/>
    <w:rsid w:val="00E55EF3"/>
    <w:rsid w:val="00E5604F"/>
    <w:rsid w:val="00E5605F"/>
    <w:rsid w:val="00E562CA"/>
    <w:rsid w:val="00E56510"/>
    <w:rsid w:val="00E565A7"/>
    <w:rsid w:val="00E569CF"/>
    <w:rsid w:val="00E56DB2"/>
    <w:rsid w:val="00E56E8E"/>
    <w:rsid w:val="00E574A9"/>
    <w:rsid w:val="00E5791C"/>
    <w:rsid w:val="00E57B5F"/>
    <w:rsid w:val="00E60831"/>
    <w:rsid w:val="00E60A71"/>
    <w:rsid w:val="00E60F9F"/>
    <w:rsid w:val="00E614BB"/>
    <w:rsid w:val="00E617C6"/>
    <w:rsid w:val="00E61A76"/>
    <w:rsid w:val="00E61AB2"/>
    <w:rsid w:val="00E627CA"/>
    <w:rsid w:val="00E62AC8"/>
    <w:rsid w:val="00E62B5F"/>
    <w:rsid w:val="00E62C40"/>
    <w:rsid w:val="00E62F26"/>
    <w:rsid w:val="00E63247"/>
    <w:rsid w:val="00E633CD"/>
    <w:rsid w:val="00E6363A"/>
    <w:rsid w:val="00E636CB"/>
    <w:rsid w:val="00E636E5"/>
    <w:rsid w:val="00E6374F"/>
    <w:rsid w:val="00E6380D"/>
    <w:rsid w:val="00E6395F"/>
    <w:rsid w:val="00E64307"/>
    <w:rsid w:val="00E64A05"/>
    <w:rsid w:val="00E64C97"/>
    <w:rsid w:val="00E64F71"/>
    <w:rsid w:val="00E651E7"/>
    <w:rsid w:val="00E65295"/>
    <w:rsid w:val="00E6547B"/>
    <w:rsid w:val="00E65565"/>
    <w:rsid w:val="00E6563E"/>
    <w:rsid w:val="00E65EA9"/>
    <w:rsid w:val="00E662B3"/>
    <w:rsid w:val="00E663B9"/>
    <w:rsid w:val="00E66446"/>
    <w:rsid w:val="00E66515"/>
    <w:rsid w:val="00E66546"/>
    <w:rsid w:val="00E66C00"/>
    <w:rsid w:val="00E66FAE"/>
    <w:rsid w:val="00E67557"/>
    <w:rsid w:val="00E67719"/>
    <w:rsid w:val="00E67CCE"/>
    <w:rsid w:val="00E67F18"/>
    <w:rsid w:val="00E703EF"/>
    <w:rsid w:val="00E70477"/>
    <w:rsid w:val="00E70A7B"/>
    <w:rsid w:val="00E7134E"/>
    <w:rsid w:val="00E717EB"/>
    <w:rsid w:val="00E71FED"/>
    <w:rsid w:val="00E7200F"/>
    <w:rsid w:val="00E720DE"/>
    <w:rsid w:val="00E7227D"/>
    <w:rsid w:val="00E7241D"/>
    <w:rsid w:val="00E72BAB"/>
    <w:rsid w:val="00E72DFB"/>
    <w:rsid w:val="00E73057"/>
    <w:rsid w:val="00E730C5"/>
    <w:rsid w:val="00E7371B"/>
    <w:rsid w:val="00E73990"/>
    <w:rsid w:val="00E73A9E"/>
    <w:rsid w:val="00E7425B"/>
    <w:rsid w:val="00E74A22"/>
    <w:rsid w:val="00E75102"/>
    <w:rsid w:val="00E7511A"/>
    <w:rsid w:val="00E751B4"/>
    <w:rsid w:val="00E75366"/>
    <w:rsid w:val="00E7540F"/>
    <w:rsid w:val="00E7588F"/>
    <w:rsid w:val="00E75E76"/>
    <w:rsid w:val="00E76655"/>
    <w:rsid w:val="00E7672B"/>
    <w:rsid w:val="00E769C7"/>
    <w:rsid w:val="00E76F37"/>
    <w:rsid w:val="00E776C3"/>
    <w:rsid w:val="00E77754"/>
    <w:rsid w:val="00E777D5"/>
    <w:rsid w:val="00E80987"/>
    <w:rsid w:val="00E80B2B"/>
    <w:rsid w:val="00E80BDD"/>
    <w:rsid w:val="00E813E8"/>
    <w:rsid w:val="00E814FA"/>
    <w:rsid w:val="00E81A29"/>
    <w:rsid w:val="00E81A5E"/>
    <w:rsid w:val="00E81DF6"/>
    <w:rsid w:val="00E823AB"/>
    <w:rsid w:val="00E82D2C"/>
    <w:rsid w:val="00E8361B"/>
    <w:rsid w:val="00E83680"/>
    <w:rsid w:val="00E84199"/>
    <w:rsid w:val="00E843C7"/>
    <w:rsid w:val="00E849C5"/>
    <w:rsid w:val="00E84D05"/>
    <w:rsid w:val="00E85925"/>
    <w:rsid w:val="00E85969"/>
    <w:rsid w:val="00E85C60"/>
    <w:rsid w:val="00E85EDE"/>
    <w:rsid w:val="00E871D5"/>
    <w:rsid w:val="00E874A3"/>
    <w:rsid w:val="00E87B7B"/>
    <w:rsid w:val="00E87EDA"/>
    <w:rsid w:val="00E90058"/>
    <w:rsid w:val="00E90BAA"/>
    <w:rsid w:val="00E90C91"/>
    <w:rsid w:val="00E90D0C"/>
    <w:rsid w:val="00E912B3"/>
    <w:rsid w:val="00E91824"/>
    <w:rsid w:val="00E91CD2"/>
    <w:rsid w:val="00E91CF4"/>
    <w:rsid w:val="00E91F90"/>
    <w:rsid w:val="00E921A1"/>
    <w:rsid w:val="00E9288B"/>
    <w:rsid w:val="00E9298B"/>
    <w:rsid w:val="00E92ADA"/>
    <w:rsid w:val="00E93135"/>
    <w:rsid w:val="00E939DF"/>
    <w:rsid w:val="00E93C7D"/>
    <w:rsid w:val="00E93F1B"/>
    <w:rsid w:val="00E93FF8"/>
    <w:rsid w:val="00E94458"/>
    <w:rsid w:val="00E94705"/>
    <w:rsid w:val="00E949DB"/>
    <w:rsid w:val="00E94AD0"/>
    <w:rsid w:val="00E94B2F"/>
    <w:rsid w:val="00E95477"/>
    <w:rsid w:val="00E96079"/>
    <w:rsid w:val="00E96705"/>
    <w:rsid w:val="00E96751"/>
    <w:rsid w:val="00E9779A"/>
    <w:rsid w:val="00E978C1"/>
    <w:rsid w:val="00E97DBA"/>
    <w:rsid w:val="00E97E77"/>
    <w:rsid w:val="00E97F55"/>
    <w:rsid w:val="00EA00D7"/>
    <w:rsid w:val="00EA02AB"/>
    <w:rsid w:val="00EA07C7"/>
    <w:rsid w:val="00EA0D10"/>
    <w:rsid w:val="00EA0FA9"/>
    <w:rsid w:val="00EA2833"/>
    <w:rsid w:val="00EA2A28"/>
    <w:rsid w:val="00EA2DE9"/>
    <w:rsid w:val="00EA300F"/>
    <w:rsid w:val="00EA31A0"/>
    <w:rsid w:val="00EA31A9"/>
    <w:rsid w:val="00EA31FA"/>
    <w:rsid w:val="00EA33C8"/>
    <w:rsid w:val="00EA3406"/>
    <w:rsid w:val="00EA36DE"/>
    <w:rsid w:val="00EA386F"/>
    <w:rsid w:val="00EA41A6"/>
    <w:rsid w:val="00EA4418"/>
    <w:rsid w:val="00EA4CF9"/>
    <w:rsid w:val="00EA4E51"/>
    <w:rsid w:val="00EA4EFB"/>
    <w:rsid w:val="00EA50C1"/>
    <w:rsid w:val="00EA55DA"/>
    <w:rsid w:val="00EA59CB"/>
    <w:rsid w:val="00EA5BD0"/>
    <w:rsid w:val="00EA6462"/>
    <w:rsid w:val="00EA675A"/>
    <w:rsid w:val="00EA7783"/>
    <w:rsid w:val="00EA78F0"/>
    <w:rsid w:val="00EA796C"/>
    <w:rsid w:val="00EA7986"/>
    <w:rsid w:val="00EA7C5A"/>
    <w:rsid w:val="00EB0184"/>
    <w:rsid w:val="00EB04E6"/>
    <w:rsid w:val="00EB0747"/>
    <w:rsid w:val="00EB07FB"/>
    <w:rsid w:val="00EB09A8"/>
    <w:rsid w:val="00EB0AC8"/>
    <w:rsid w:val="00EB0DC4"/>
    <w:rsid w:val="00EB18E5"/>
    <w:rsid w:val="00EB1AFC"/>
    <w:rsid w:val="00EB214F"/>
    <w:rsid w:val="00EB2257"/>
    <w:rsid w:val="00EB251D"/>
    <w:rsid w:val="00EB2558"/>
    <w:rsid w:val="00EB256F"/>
    <w:rsid w:val="00EB30B9"/>
    <w:rsid w:val="00EB3345"/>
    <w:rsid w:val="00EB3A13"/>
    <w:rsid w:val="00EB4069"/>
    <w:rsid w:val="00EB412F"/>
    <w:rsid w:val="00EB4348"/>
    <w:rsid w:val="00EB4B10"/>
    <w:rsid w:val="00EB4B13"/>
    <w:rsid w:val="00EB4CB9"/>
    <w:rsid w:val="00EB5512"/>
    <w:rsid w:val="00EB566A"/>
    <w:rsid w:val="00EB5F20"/>
    <w:rsid w:val="00EB6094"/>
    <w:rsid w:val="00EB6804"/>
    <w:rsid w:val="00EB711D"/>
    <w:rsid w:val="00EB7141"/>
    <w:rsid w:val="00EB7560"/>
    <w:rsid w:val="00EB768A"/>
    <w:rsid w:val="00EC054D"/>
    <w:rsid w:val="00EC0BF0"/>
    <w:rsid w:val="00EC0E03"/>
    <w:rsid w:val="00EC10C8"/>
    <w:rsid w:val="00EC1648"/>
    <w:rsid w:val="00EC1DAF"/>
    <w:rsid w:val="00EC1F0C"/>
    <w:rsid w:val="00EC23DA"/>
    <w:rsid w:val="00EC2C35"/>
    <w:rsid w:val="00EC2D9B"/>
    <w:rsid w:val="00EC3441"/>
    <w:rsid w:val="00EC3761"/>
    <w:rsid w:val="00EC37CB"/>
    <w:rsid w:val="00EC40EA"/>
    <w:rsid w:val="00EC41D5"/>
    <w:rsid w:val="00EC431B"/>
    <w:rsid w:val="00EC45CE"/>
    <w:rsid w:val="00EC49EA"/>
    <w:rsid w:val="00EC545F"/>
    <w:rsid w:val="00EC5A15"/>
    <w:rsid w:val="00EC608C"/>
    <w:rsid w:val="00EC60EA"/>
    <w:rsid w:val="00EC67CE"/>
    <w:rsid w:val="00EC684A"/>
    <w:rsid w:val="00EC7461"/>
    <w:rsid w:val="00EC74F9"/>
    <w:rsid w:val="00EC7860"/>
    <w:rsid w:val="00EC79E5"/>
    <w:rsid w:val="00ED0813"/>
    <w:rsid w:val="00ED096A"/>
    <w:rsid w:val="00ED107B"/>
    <w:rsid w:val="00ED13AF"/>
    <w:rsid w:val="00ED1906"/>
    <w:rsid w:val="00ED1914"/>
    <w:rsid w:val="00ED1BD6"/>
    <w:rsid w:val="00ED1DC6"/>
    <w:rsid w:val="00ED2202"/>
    <w:rsid w:val="00ED2B4A"/>
    <w:rsid w:val="00ED2D12"/>
    <w:rsid w:val="00ED31B8"/>
    <w:rsid w:val="00ED3639"/>
    <w:rsid w:val="00ED3855"/>
    <w:rsid w:val="00ED3F1D"/>
    <w:rsid w:val="00ED4365"/>
    <w:rsid w:val="00ED46FD"/>
    <w:rsid w:val="00ED4A55"/>
    <w:rsid w:val="00ED4CB6"/>
    <w:rsid w:val="00ED4CFE"/>
    <w:rsid w:val="00ED576B"/>
    <w:rsid w:val="00ED608F"/>
    <w:rsid w:val="00ED626C"/>
    <w:rsid w:val="00ED6490"/>
    <w:rsid w:val="00ED6A4A"/>
    <w:rsid w:val="00ED6AF7"/>
    <w:rsid w:val="00ED6B01"/>
    <w:rsid w:val="00ED6FDF"/>
    <w:rsid w:val="00ED73B2"/>
    <w:rsid w:val="00ED75F9"/>
    <w:rsid w:val="00ED77D0"/>
    <w:rsid w:val="00ED7F67"/>
    <w:rsid w:val="00EE0315"/>
    <w:rsid w:val="00EE047A"/>
    <w:rsid w:val="00EE0C5E"/>
    <w:rsid w:val="00EE124A"/>
    <w:rsid w:val="00EE1AD9"/>
    <w:rsid w:val="00EE20E3"/>
    <w:rsid w:val="00EE2E7B"/>
    <w:rsid w:val="00EE2EF5"/>
    <w:rsid w:val="00EE3960"/>
    <w:rsid w:val="00EE3E49"/>
    <w:rsid w:val="00EE5985"/>
    <w:rsid w:val="00EE5D63"/>
    <w:rsid w:val="00EE5F76"/>
    <w:rsid w:val="00EE6B31"/>
    <w:rsid w:val="00EE6D60"/>
    <w:rsid w:val="00EE6E0F"/>
    <w:rsid w:val="00EE6EA8"/>
    <w:rsid w:val="00EE71FD"/>
    <w:rsid w:val="00EE7656"/>
    <w:rsid w:val="00EE76AF"/>
    <w:rsid w:val="00EF06F9"/>
    <w:rsid w:val="00EF0BDB"/>
    <w:rsid w:val="00EF0D5D"/>
    <w:rsid w:val="00EF0F9D"/>
    <w:rsid w:val="00EF0FA4"/>
    <w:rsid w:val="00EF12E9"/>
    <w:rsid w:val="00EF13DB"/>
    <w:rsid w:val="00EF1453"/>
    <w:rsid w:val="00EF1AA9"/>
    <w:rsid w:val="00EF1D6D"/>
    <w:rsid w:val="00EF1FAD"/>
    <w:rsid w:val="00EF25C9"/>
    <w:rsid w:val="00EF2ADB"/>
    <w:rsid w:val="00EF2D05"/>
    <w:rsid w:val="00EF2D8C"/>
    <w:rsid w:val="00EF3B4F"/>
    <w:rsid w:val="00EF4023"/>
    <w:rsid w:val="00EF44B1"/>
    <w:rsid w:val="00EF483F"/>
    <w:rsid w:val="00EF50D1"/>
    <w:rsid w:val="00EF50EE"/>
    <w:rsid w:val="00EF5250"/>
    <w:rsid w:val="00EF5525"/>
    <w:rsid w:val="00EF56DE"/>
    <w:rsid w:val="00EF5837"/>
    <w:rsid w:val="00EF5F6E"/>
    <w:rsid w:val="00EF6A3B"/>
    <w:rsid w:val="00EF6A58"/>
    <w:rsid w:val="00EF7782"/>
    <w:rsid w:val="00EF7872"/>
    <w:rsid w:val="00EF7D4E"/>
    <w:rsid w:val="00F00290"/>
    <w:rsid w:val="00F0034E"/>
    <w:rsid w:val="00F004D8"/>
    <w:rsid w:val="00F00FC1"/>
    <w:rsid w:val="00F015CC"/>
    <w:rsid w:val="00F02314"/>
    <w:rsid w:val="00F02842"/>
    <w:rsid w:val="00F029CD"/>
    <w:rsid w:val="00F0317D"/>
    <w:rsid w:val="00F032DC"/>
    <w:rsid w:val="00F03654"/>
    <w:rsid w:val="00F03F2F"/>
    <w:rsid w:val="00F04AD5"/>
    <w:rsid w:val="00F05C38"/>
    <w:rsid w:val="00F05F57"/>
    <w:rsid w:val="00F05F84"/>
    <w:rsid w:val="00F06351"/>
    <w:rsid w:val="00F0647C"/>
    <w:rsid w:val="00F0698F"/>
    <w:rsid w:val="00F06B5F"/>
    <w:rsid w:val="00F06C53"/>
    <w:rsid w:val="00F0710A"/>
    <w:rsid w:val="00F07178"/>
    <w:rsid w:val="00F0768B"/>
    <w:rsid w:val="00F07B57"/>
    <w:rsid w:val="00F07E04"/>
    <w:rsid w:val="00F10770"/>
    <w:rsid w:val="00F10B29"/>
    <w:rsid w:val="00F10D3A"/>
    <w:rsid w:val="00F1181E"/>
    <w:rsid w:val="00F1222D"/>
    <w:rsid w:val="00F125AD"/>
    <w:rsid w:val="00F12620"/>
    <w:rsid w:val="00F12C56"/>
    <w:rsid w:val="00F130B8"/>
    <w:rsid w:val="00F1332A"/>
    <w:rsid w:val="00F137AC"/>
    <w:rsid w:val="00F13BE7"/>
    <w:rsid w:val="00F13FF4"/>
    <w:rsid w:val="00F143DC"/>
    <w:rsid w:val="00F144B0"/>
    <w:rsid w:val="00F14929"/>
    <w:rsid w:val="00F14D25"/>
    <w:rsid w:val="00F15234"/>
    <w:rsid w:val="00F15579"/>
    <w:rsid w:val="00F1557B"/>
    <w:rsid w:val="00F15988"/>
    <w:rsid w:val="00F15A92"/>
    <w:rsid w:val="00F15B3A"/>
    <w:rsid w:val="00F15CD8"/>
    <w:rsid w:val="00F15F7A"/>
    <w:rsid w:val="00F15FD3"/>
    <w:rsid w:val="00F16E9A"/>
    <w:rsid w:val="00F177CB"/>
    <w:rsid w:val="00F177D6"/>
    <w:rsid w:val="00F179D6"/>
    <w:rsid w:val="00F17B6B"/>
    <w:rsid w:val="00F20464"/>
    <w:rsid w:val="00F2134D"/>
    <w:rsid w:val="00F21DC0"/>
    <w:rsid w:val="00F22038"/>
    <w:rsid w:val="00F2227A"/>
    <w:rsid w:val="00F224A0"/>
    <w:rsid w:val="00F22BA6"/>
    <w:rsid w:val="00F23052"/>
    <w:rsid w:val="00F230A8"/>
    <w:rsid w:val="00F241B9"/>
    <w:rsid w:val="00F248E9"/>
    <w:rsid w:val="00F24AE3"/>
    <w:rsid w:val="00F24B27"/>
    <w:rsid w:val="00F25069"/>
    <w:rsid w:val="00F25125"/>
    <w:rsid w:val="00F2513F"/>
    <w:rsid w:val="00F254B9"/>
    <w:rsid w:val="00F25C08"/>
    <w:rsid w:val="00F26890"/>
    <w:rsid w:val="00F26FE3"/>
    <w:rsid w:val="00F270AE"/>
    <w:rsid w:val="00F2755D"/>
    <w:rsid w:val="00F277D9"/>
    <w:rsid w:val="00F27A7D"/>
    <w:rsid w:val="00F27AB5"/>
    <w:rsid w:val="00F27B1A"/>
    <w:rsid w:val="00F27CF4"/>
    <w:rsid w:val="00F30191"/>
    <w:rsid w:val="00F3029E"/>
    <w:rsid w:val="00F3052F"/>
    <w:rsid w:val="00F30BCC"/>
    <w:rsid w:val="00F30D95"/>
    <w:rsid w:val="00F30E54"/>
    <w:rsid w:val="00F30E84"/>
    <w:rsid w:val="00F30FB2"/>
    <w:rsid w:val="00F31523"/>
    <w:rsid w:val="00F31F62"/>
    <w:rsid w:val="00F31F93"/>
    <w:rsid w:val="00F320C3"/>
    <w:rsid w:val="00F3222E"/>
    <w:rsid w:val="00F328C7"/>
    <w:rsid w:val="00F32BB7"/>
    <w:rsid w:val="00F336F6"/>
    <w:rsid w:val="00F345A0"/>
    <w:rsid w:val="00F34BD6"/>
    <w:rsid w:val="00F3511D"/>
    <w:rsid w:val="00F35B6F"/>
    <w:rsid w:val="00F35C4C"/>
    <w:rsid w:val="00F35CF6"/>
    <w:rsid w:val="00F35D1D"/>
    <w:rsid w:val="00F3658D"/>
    <w:rsid w:val="00F36A12"/>
    <w:rsid w:val="00F370E7"/>
    <w:rsid w:val="00F37776"/>
    <w:rsid w:val="00F378FF"/>
    <w:rsid w:val="00F37A82"/>
    <w:rsid w:val="00F40182"/>
    <w:rsid w:val="00F402A3"/>
    <w:rsid w:val="00F40DE4"/>
    <w:rsid w:val="00F4119E"/>
    <w:rsid w:val="00F41558"/>
    <w:rsid w:val="00F41C76"/>
    <w:rsid w:val="00F425AA"/>
    <w:rsid w:val="00F425CA"/>
    <w:rsid w:val="00F42B6F"/>
    <w:rsid w:val="00F42CEB"/>
    <w:rsid w:val="00F43207"/>
    <w:rsid w:val="00F43270"/>
    <w:rsid w:val="00F433C6"/>
    <w:rsid w:val="00F4341B"/>
    <w:rsid w:val="00F436DC"/>
    <w:rsid w:val="00F43F75"/>
    <w:rsid w:val="00F448D8"/>
    <w:rsid w:val="00F44921"/>
    <w:rsid w:val="00F4541C"/>
    <w:rsid w:val="00F4545C"/>
    <w:rsid w:val="00F45C43"/>
    <w:rsid w:val="00F45D10"/>
    <w:rsid w:val="00F45E7F"/>
    <w:rsid w:val="00F45FBA"/>
    <w:rsid w:val="00F46A92"/>
    <w:rsid w:val="00F46D62"/>
    <w:rsid w:val="00F46EA2"/>
    <w:rsid w:val="00F47443"/>
    <w:rsid w:val="00F47761"/>
    <w:rsid w:val="00F47A70"/>
    <w:rsid w:val="00F47F15"/>
    <w:rsid w:val="00F50123"/>
    <w:rsid w:val="00F50AC0"/>
    <w:rsid w:val="00F50DFE"/>
    <w:rsid w:val="00F51201"/>
    <w:rsid w:val="00F51A04"/>
    <w:rsid w:val="00F51CAB"/>
    <w:rsid w:val="00F51CE7"/>
    <w:rsid w:val="00F51D97"/>
    <w:rsid w:val="00F523FB"/>
    <w:rsid w:val="00F52915"/>
    <w:rsid w:val="00F52A4B"/>
    <w:rsid w:val="00F52AEF"/>
    <w:rsid w:val="00F530C1"/>
    <w:rsid w:val="00F530E4"/>
    <w:rsid w:val="00F53263"/>
    <w:rsid w:val="00F536F6"/>
    <w:rsid w:val="00F53769"/>
    <w:rsid w:val="00F53885"/>
    <w:rsid w:val="00F53B80"/>
    <w:rsid w:val="00F53ED2"/>
    <w:rsid w:val="00F54131"/>
    <w:rsid w:val="00F5427F"/>
    <w:rsid w:val="00F5446B"/>
    <w:rsid w:val="00F54C56"/>
    <w:rsid w:val="00F559A0"/>
    <w:rsid w:val="00F55A40"/>
    <w:rsid w:val="00F55A94"/>
    <w:rsid w:val="00F55CEB"/>
    <w:rsid w:val="00F56306"/>
    <w:rsid w:val="00F5635A"/>
    <w:rsid w:val="00F56783"/>
    <w:rsid w:val="00F568B5"/>
    <w:rsid w:val="00F56CFD"/>
    <w:rsid w:val="00F56F71"/>
    <w:rsid w:val="00F5706E"/>
    <w:rsid w:val="00F570C5"/>
    <w:rsid w:val="00F5738C"/>
    <w:rsid w:val="00F57516"/>
    <w:rsid w:val="00F576E5"/>
    <w:rsid w:val="00F57F74"/>
    <w:rsid w:val="00F6047F"/>
    <w:rsid w:val="00F6056C"/>
    <w:rsid w:val="00F60901"/>
    <w:rsid w:val="00F6095C"/>
    <w:rsid w:val="00F60962"/>
    <w:rsid w:val="00F60AA5"/>
    <w:rsid w:val="00F61678"/>
    <w:rsid w:val="00F6182A"/>
    <w:rsid w:val="00F6198E"/>
    <w:rsid w:val="00F61BBA"/>
    <w:rsid w:val="00F61C7C"/>
    <w:rsid w:val="00F624C0"/>
    <w:rsid w:val="00F6281C"/>
    <w:rsid w:val="00F629AC"/>
    <w:rsid w:val="00F62E55"/>
    <w:rsid w:val="00F638CB"/>
    <w:rsid w:val="00F6427A"/>
    <w:rsid w:val="00F64C9B"/>
    <w:rsid w:val="00F64DA0"/>
    <w:rsid w:val="00F650D1"/>
    <w:rsid w:val="00F6581D"/>
    <w:rsid w:val="00F6599E"/>
    <w:rsid w:val="00F65D3B"/>
    <w:rsid w:val="00F65EF0"/>
    <w:rsid w:val="00F66558"/>
    <w:rsid w:val="00F66F2C"/>
    <w:rsid w:val="00F67284"/>
    <w:rsid w:val="00F67BF8"/>
    <w:rsid w:val="00F67F8E"/>
    <w:rsid w:val="00F70423"/>
    <w:rsid w:val="00F7084B"/>
    <w:rsid w:val="00F70A04"/>
    <w:rsid w:val="00F70CB1"/>
    <w:rsid w:val="00F70CDF"/>
    <w:rsid w:val="00F71246"/>
    <w:rsid w:val="00F71541"/>
    <w:rsid w:val="00F71564"/>
    <w:rsid w:val="00F7237E"/>
    <w:rsid w:val="00F723A8"/>
    <w:rsid w:val="00F73184"/>
    <w:rsid w:val="00F7381E"/>
    <w:rsid w:val="00F73EF0"/>
    <w:rsid w:val="00F74A8E"/>
    <w:rsid w:val="00F75186"/>
    <w:rsid w:val="00F75251"/>
    <w:rsid w:val="00F75B37"/>
    <w:rsid w:val="00F75C67"/>
    <w:rsid w:val="00F75D84"/>
    <w:rsid w:val="00F75F09"/>
    <w:rsid w:val="00F7658B"/>
    <w:rsid w:val="00F766A0"/>
    <w:rsid w:val="00F7741D"/>
    <w:rsid w:val="00F77471"/>
    <w:rsid w:val="00F77E3E"/>
    <w:rsid w:val="00F77F1F"/>
    <w:rsid w:val="00F807ED"/>
    <w:rsid w:val="00F80C15"/>
    <w:rsid w:val="00F810B2"/>
    <w:rsid w:val="00F818D5"/>
    <w:rsid w:val="00F819CD"/>
    <w:rsid w:val="00F82456"/>
    <w:rsid w:val="00F82C4D"/>
    <w:rsid w:val="00F833F2"/>
    <w:rsid w:val="00F83549"/>
    <w:rsid w:val="00F83623"/>
    <w:rsid w:val="00F84125"/>
    <w:rsid w:val="00F84486"/>
    <w:rsid w:val="00F84E87"/>
    <w:rsid w:val="00F8513D"/>
    <w:rsid w:val="00F8555F"/>
    <w:rsid w:val="00F8557A"/>
    <w:rsid w:val="00F86215"/>
    <w:rsid w:val="00F8635D"/>
    <w:rsid w:val="00F863F4"/>
    <w:rsid w:val="00F865B6"/>
    <w:rsid w:val="00F8712A"/>
    <w:rsid w:val="00F90566"/>
    <w:rsid w:val="00F90E04"/>
    <w:rsid w:val="00F9133D"/>
    <w:rsid w:val="00F91B16"/>
    <w:rsid w:val="00F91C15"/>
    <w:rsid w:val="00F91F0D"/>
    <w:rsid w:val="00F91FCB"/>
    <w:rsid w:val="00F92187"/>
    <w:rsid w:val="00F92221"/>
    <w:rsid w:val="00F9232E"/>
    <w:rsid w:val="00F92B5A"/>
    <w:rsid w:val="00F92C08"/>
    <w:rsid w:val="00F9309D"/>
    <w:rsid w:val="00F93190"/>
    <w:rsid w:val="00F9361E"/>
    <w:rsid w:val="00F936FE"/>
    <w:rsid w:val="00F93C09"/>
    <w:rsid w:val="00F941A1"/>
    <w:rsid w:val="00F94C89"/>
    <w:rsid w:val="00F94D12"/>
    <w:rsid w:val="00F95107"/>
    <w:rsid w:val="00F953B1"/>
    <w:rsid w:val="00F95A78"/>
    <w:rsid w:val="00F9648E"/>
    <w:rsid w:val="00F96DC9"/>
    <w:rsid w:val="00F970F1"/>
    <w:rsid w:val="00F971EA"/>
    <w:rsid w:val="00F975A6"/>
    <w:rsid w:val="00F977D5"/>
    <w:rsid w:val="00F979B2"/>
    <w:rsid w:val="00F97C4C"/>
    <w:rsid w:val="00F97E8B"/>
    <w:rsid w:val="00FA005A"/>
    <w:rsid w:val="00FA01D0"/>
    <w:rsid w:val="00FA01FF"/>
    <w:rsid w:val="00FA0253"/>
    <w:rsid w:val="00FA0303"/>
    <w:rsid w:val="00FA0509"/>
    <w:rsid w:val="00FA07C5"/>
    <w:rsid w:val="00FA0A1C"/>
    <w:rsid w:val="00FA0EB4"/>
    <w:rsid w:val="00FA1694"/>
    <w:rsid w:val="00FA170F"/>
    <w:rsid w:val="00FA1BA1"/>
    <w:rsid w:val="00FA1C22"/>
    <w:rsid w:val="00FA1FA5"/>
    <w:rsid w:val="00FA24DD"/>
    <w:rsid w:val="00FA271B"/>
    <w:rsid w:val="00FA3269"/>
    <w:rsid w:val="00FA32FD"/>
    <w:rsid w:val="00FA3483"/>
    <w:rsid w:val="00FA34E9"/>
    <w:rsid w:val="00FA3D9E"/>
    <w:rsid w:val="00FA40EA"/>
    <w:rsid w:val="00FA4104"/>
    <w:rsid w:val="00FA4465"/>
    <w:rsid w:val="00FA44AB"/>
    <w:rsid w:val="00FA4668"/>
    <w:rsid w:val="00FA4EDC"/>
    <w:rsid w:val="00FA4EF5"/>
    <w:rsid w:val="00FA50BC"/>
    <w:rsid w:val="00FA6072"/>
    <w:rsid w:val="00FA641E"/>
    <w:rsid w:val="00FA6488"/>
    <w:rsid w:val="00FA6F67"/>
    <w:rsid w:val="00FA7032"/>
    <w:rsid w:val="00FA76AC"/>
    <w:rsid w:val="00FB0182"/>
    <w:rsid w:val="00FB07EC"/>
    <w:rsid w:val="00FB0A1C"/>
    <w:rsid w:val="00FB0AD9"/>
    <w:rsid w:val="00FB0B32"/>
    <w:rsid w:val="00FB1189"/>
    <w:rsid w:val="00FB1498"/>
    <w:rsid w:val="00FB1589"/>
    <w:rsid w:val="00FB1C4E"/>
    <w:rsid w:val="00FB1D2B"/>
    <w:rsid w:val="00FB2A48"/>
    <w:rsid w:val="00FB3052"/>
    <w:rsid w:val="00FB3EAE"/>
    <w:rsid w:val="00FB3F89"/>
    <w:rsid w:val="00FB43ED"/>
    <w:rsid w:val="00FB4457"/>
    <w:rsid w:val="00FB4B61"/>
    <w:rsid w:val="00FB4D15"/>
    <w:rsid w:val="00FB50C2"/>
    <w:rsid w:val="00FB5531"/>
    <w:rsid w:val="00FB5884"/>
    <w:rsid w:val="00FB6374"/>
    <w:rsid w:val="00FB6F08"/>
    <w:rsid w:val="00FB7100"/>
    <w:rsid w:val="00FB7373"/>
    <w:rsid w:val="00FB789C"/>
    <w:rsid w:val="00FB7A3B"/>
    <w:rsid w:val="00FB7D29"/>
    <w:rsid w:val="00FC095D"/>
    <w:rsid w:val="00FC0A1A"/>
    <w:rsid w:val="00FC0B02"/>
    <w:rsid w:val="00FC0BD6"/>
    <w:rsid w:val="00FC0BE2"/>
    <w:rsid w:val="00FC1B89"/>
    <w:rsid w:val="00FC2092"/>
    <w:rsid w:val="00FC281F"/>
    <w:rsid w:val="00FC350B"/>
    <w:rsid w:val="00FC3534"/>
    <w:rsid w:val="00FC3766"/>
    <w:rsid w:val="00FC4463"/>
    <w:rsid w:val="00FC4540"/>
    <w:rsid w:val="00FC4839"/>
    <w:rsid w:val="00FC526F"/>
    <w:rsid w:val="00FC530B"/>
    <w:rsid w:val="00FC5321"/>
    <w:rsid w:val="00FC57F5"/>
    <w:rsid w:val="00FC582F"/>
    <w:rsid w:val="00FC5AFB"/>
    <w:rsid w:val="00FC5B42"/>
    <w:rsid w:val="00FC5B85"/>
    <w:rsid w:val="00FC6164"/>
    <w:rsid w:val="00FC61F2"/>
    <w:rsid w:val="00FC62A3"/>
    <w:rsid w:val="00FC67EF"/>
    <w:rsid w:val="00FC7002"/>
    <w:rsid w:val="00FC7222"/>
    <w:rsid w:val="00FC74A3"/>
    <w:rsid w:val="00FC7501"/>
    <w:rsid w:val="00FC768E"/>
    <w:rsid w:val="00FC76A5"/>
    <w:rsid w:val="00FC76BB"/>
    <w:rsid w:val="00FC7B6C"/>
    <w:rsid w:val="00FC7C14"/>
    <w:rsid w:val="00FD00BE"/>
    <w:rsid w:val="00FD0333"/>
    <w:rsid w:val="00FD0A90"/>
    <w:rsid w:val="00FD0BF4"/>
    <w:rsid w:val="00FD0C27"/>
    <w:rsid w:val="00FD148A"/>
    <w:rsid w:val="00FD14F3"/>
    <w:rsid w:val="00FD1A93"/>
    <w:rsid w:val="00FD1FDF"/>
    <w:rsid w:val="00FD2BEC"/>
    <w:rsid w:val="00FD2CD7"/>
    <w:rsid w:val="00FD2DA9"/>
    <w:rsid w:val="00FD3393"/>
    <w:rsid w:val="00FD3398"/>
    <w:rsid w:val="00FD362C"/>
    <w:rsid w:val="00FD39ED"/>
    <w:rsid w:val="00FD3C78"/>
    <w:rsid w:val="00FD3C79"/>
    <w:rsid w:val="00FD3E8F"/>
    <w:rsid w:val="00FD3FB4"/>
    <w:rsid w:val="00FD42E4"/>
    <w:rsid w:val="00FD4300"/>
    <w:rsid w:val="00FD49F9"/>
    <w:rsid w:val="00FD4CF3"/>
    <w:rsid w:val="00FD4D95"/>
    <w:rsid w:val="00FD526F"/>
    <w:rsid w:val="00FD5352"/>
    <w:rsid w:val="00FD548F"/>
    <w:rsid w:val="00FD56C0"/>
    <w:rsid w:val="00FD56CC"/>
    <w:rsid w:val="00FD578E"/>
    <w:rsid w:val="00FD58DD"/>
    <w:rsid w:val="00FD63FA"/>
    <w:rsid w:val="00FD6685"/>
    <w:rsid w:val="00FD66A9"/>
    <w:rsid w:val="00FD6C9C"/>
    <w:rsid w:val="00FD772F"/>
    <w:rsid w:val="00FD784E"/>
    <w:rsid w:val="00FE0046"/>
    <w:rsid w:val="00FE08E9"/>
    <w:rsid w:val="00FE0D45"/>
    <w:rsid w:val="00FE0DD5"/>
    <w:rsid w:val="00FE148B"/>
    <w:rsid w:val="00FE18C6"/>
    <w:rsid w:val="00FE1C11"/>
    <w:rsid w:val="00FE272A"/>
    <w:rsid w:val="00FE2AF9"/>
    <w:rsid w:val="00FE2C16"/>
    <w:rsid w:val="00FE2D27"/>
    <w:rsid w:val="00FE32B9"/>
    <w:rsid w:val="00FE3A17"/>
    <w:rsid w:val="00FE3E4F"/>
    <w:rsid w:val="00FE4283"/>
    <w:rsid w:val="00FE49D8"/>
    <w:rsid w:val="00FE4B2C"/>
    <w:rsid w:val="00FE4B4F"/>
    <w:rsid w:val="00FE4EC7"/>
    <w:rsid w:val="00FE573F"/>
    <w:rsid w:val="00FE58DD"/>
    <w:rsid w:val="00FE5E2E"/>
    <w:rsid w:val="00FE60CD"/>
    <w:rsid w:val="00FE61AB"/>
    <w:rsid w:val="00FE655E"/>
    <w:rsid w:val="00FE6D80"/>
    <w:rsid w:val="00FE7955"/>
    <w:rsid w:val="00FE7BCB"/>
    <w:rsid w:val="00FF03B6"/>
    <w:rsid w:val="00FF0406"/>
    <w:rsid w:val="00FF09C6"/>
    <w:rsid w:val="00FF09F8"/>
    <w:rsid w:val="00FF0D1D"/>
    <w:rsid w:val="00FF1297"/>
    <w:rsid w:val="00FF18FC"/>
    <w:rsid w:val="00FF1D2A"/>
    <w:rsid w:val="00FF1D7F"/>
    <w:rsid w:val="00FF1FB3"/>
    <w:rsid w:val="00FF29F3"/>
    <w:rsid w:val="00FF2F09"/>
    <w:rsid w:val="00FF2F3A"/>
    <w:rsid w:val="00FF3668"/>
    <w:rsid w:val="00FF3B6E"/>
    <w:rsid w:val="00FF4192"/>
    <w:rsid w:val="00FF45AF"/>
    <w:rsid w:val="00FF4860"/>
    <w:rsid w:val="00FF4A62"/>
    <w:rsid w:val="00FF4C22"/>
    <w:rsid w:val="00FF548D"/>
    <w:rsid w:val="00FF5710"/>
    <w:rsid w:val="00FF5A28"/>
    <w:rsid w:val="00FF5B47"/>
    <w:rsid w:val="00FF5B82"/>
    <w:rsid w:val="00FF5CEE"/>
    <w:rsid w:val="00FF5DA0"/>
    <w:rsid w:val="00FF5F66"/>
    <w:rsid w:val="00FF6029"/>
    <w:rsid w:val="00FF66CC"/>
    <w:rsid w:val="00FF6FD0"/>
    <w:rsid w:val="00FF7239"/>
    <w:rsid w:val="00FF72DA"/>
    <w:rsid w:val="00FF7353"/>
    <w:rsid w:val="00FF7920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1C162F"/>
  <w15:docId w15:val="{6BA1264A-E944-403F-9E1A-B5069CC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4C89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2DF7"/>
    <w:pPr>
      <w:keepNext/>
      <w:keepLines/>
      <w:numPr>
        <w:numId w:val="1"/>
      </w:numPr>
      <w:spacing w:before="240" w:after="240"/>
      <w:ind w:left="357" w:hanging="357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71F2D"/>
    <w:pPr>
      <w:keepNext/>
      <w:keepLines/>
      <w:numPr>
        <w:numId w:val="2"/>
      </w:numPr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B2908"/>
    <w:pPr>
      <w:keepNext/>
      <w:keepLines/>
      <w:tabs>
        <w:tab w:val="left" w:pos="425"/>
        <w:tab w:val="left" w:pos="567"/>
      </w:tabs>
      <w:ind w:left="357" w:hanging="357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177E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77E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77E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77E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77E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665555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rážky,Odstavec cíl se seznamem,Odstavec se seznamem1"/>
    <w:basedOn w:val="Normln"/>
    <w:link w:val="OdstavecseseznamemChar"/>
    <w:uiPriority w:val="34"/>
    <w:qFormat/>
    <w:rsid w:val="00F77F1F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665555"/>
    <w:rPr>
      <w:rFonts w:ascii="Cambria" w:eastAsia="Times New Roman" w:hAnsi="Cambria" w:cs="Times New Roman"/>
      <w:sz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665555"/>
    <w:pPr>
      <w:spacing w:line="240" w:lineRule="auto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665555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Zkladn">
    <w:name w:val="Základní"/>
    <w:basedOn w:val="Normln"/>
    <w:rsid w:val="00665555"/>
    <w:pPr>
      <w:spacing w:before="120" w:after="0" w:line="240" w:lineRule="auto"/>
    </w:pPr>
    <w:rPr>
      <w:rFonts w:ascii="Arial" w:eastAsia="Times New Roman" w:hAnsi="Arial" w:cs="Times New Roman"/>
      <w:szCs w:val="24"/>
    </w:rPr>
  </w:style>
  <w:style w:type="paragraph" w:styleId="Textpoznpodarou">
    <w:name w:val="footnote text"/>
    <w:aliases w:val="Text poznámky pod čiarou 007,Fußnotentextf,Geneva 9,Font: Geneva 9,Boston 10,f,Schriftart: 9 pt,Schriftart: 10 pt,Schriftart: 8 pt,pozn. pod čarou,Podrozdział,Podrozdzia3,Char Char Char Char"/>
    <w:basedOn w:val="Normln"/>
    <w:link w:val="TextpoznpodarouChar"/>
    <w:unhideWhenUsed/>
    <w:rsid w:val="007732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Text poznámky pod čiarou 007 Char,Fußnotentextf Char,Geneva 9 Char,Font: Geneva 9 Char,Boston 10 Char,f Char,Schriftart: 9 pt Char,Schriftart: 10 pt Char,Schriftart: 8 pt Char,pozn. pod čarou Char,Podrozdział Char"/>
    <w:basedOn w:val="Standardnpsmoodstavce"/>
    <w:link w:val="Textpoznpodarou"/>
    <w:rsid w:val="0077328C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aliases w:val="Footnote,PGI Fußnote Ziffer + Times New Roman,12 b.,Zúžené o ...,PGI Fußnote Ziffer,Footnote call"/>
    <w:basedOn w:val="Standardnpsmoodstavce"/>
    <w:unhideWhenUsed/>
    <w:rsid w:val="0077328C"/>
    <w:rPr>
      <w:vertAlign w:val="superscript"/>
    </w:rPr>
  </w:style>
  <w:style w:type="character" w:customStyle="1" w:styleId="OdstavecseseznamemChar">
    <w:name w:val="Odstavec se seznamem Char"/>
    <w:aliases w:val="odrážky Char,Odstavec cíl se seznamem Char,Odstavec se seznamem1 Char"/>
    <w:basedOn w:val="Standardnpsmoodstavce"/>
    <w:link w:val="Odstavecseseznamem"/>
    <w:uiPriority w:val="34"/>
    <w:locked/>
    <w:rsid w:val="0077328C"/>
  </w:style>
  <w:style w:type="paragraph" w:customStyle="1" w:styleId="Default">
    <w:name w:val="Default"/>
    <w:rsid w:val="004F30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3EE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6DC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2B09"/>
    <w:rPr>
      <w:color w:val="954F72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14CCF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14CCF"/>
  </w:style>
  <w:style w:type="paragraph" w:styleId="Zhlav">
    <w:name w:val="header"/>
    <w:basedOn w:val="Normln"/>
    <w:link w:val="Zhlav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5DE6"/>
  </w:style>
  <w:style w:type="paragraph" w:styleId="Zpat">
    <w:name w:val="footer"/>
    <w:basedOn w:val="Normln"/>
    <w:link w:val="ZpatChar"/>
    <w:uiPriority w:val="99"/>
    <w:unhideWhenUsed/>
    <w:rsid w:val="008A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5DE6"/>
  </w:style>
  <w:style w:type="paragraph" w:customStyle="1" w:styleId="Protokol-normln">
    <w:name w:val="Protokol - normální"/>
    <w:basedOn w:val="Normln"/>
    <w:link w:val="Protokol-normlnChar"/>
    <w:qFormat/>
    <w:rsid w:val="005D11E2"/>
    <w:pPr>
      <w:spacing w:after="0" w:line="240" w:lineRule="auto"/>
    </w:pPr>
    <w:rPr>
      <w:rFonts w:eastAsia="Times New Roman" w:cs="Calibri"/>
      <w:szCs w:val="24"/>
    </w:rPr>
  </w:style>
  <w:style w:type="character" w:customStyle="1" w:styleId="Protokol-normlnChar">
    <w:name w:val="Protokol - normální Char"/>
    <w:basedOn w:val="Standardnpsmoodstavce"/>
    <w:link w:val="Protokol-normln"/>
    <w:rsid w:val="005D11E2"/>
    <w:rPr>
      <w:rFonts w:eastAsia="Times New Roman" w:cs="Calibri"/>
      <w:sz w:val="24"/>
      <w:szCs w:val="24"/>
    </w:rPr>
  </w:style>
  <w:style w:type="paragraph" w:customStyle="1" w:styleId="poznmkapodarou">
    <w:name w:val="poznámka pod čarou"/>
    <w:basedOn w:val="Textpoznpodarou"/>
    <w:qFormat/>
    <w:rsid w:val="005D11E2"/>
    <w:pPr>
      <w:tabs>
        <w:tab w:val="left" w:pos="284"/>
      </w:tabs>
      <w:ind w:left="284" w:hanging="284"/>
    </w:pPr>
    <w:rPr>
      <w:rFonts w:ascii="Calibri" w:hAnsi="Calibri" w:cs="Calibr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112DF7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90E0F"/>
    <w:rPr>
      <w:rFonts w:ascii="Calibri" w:eastAsiaTheme="majorEastAsia" w:hAnsi="Calibri" w:cstheme="majorBidi"/>
      <w:b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B5F20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177E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77EB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77EB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77EB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77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8307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307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07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07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07B7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3F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134E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sttabulka11">
    <w:name w:val="Prostá tabulka 11"/>
    <w:basedOn w:val="Normlntabulka"/>
    <w:uiPriority w:val="41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21">
    <w:name w:val="Světlá tabulka s mřížkou 1 – zvýraznění 21"/>
    <w:basedOn w:val="Normlntabulka"/>
    <w:uiPriority w:val="46"/>
    <w:rsid w:val="00134E7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11">
    <w:name w:val="Světlá tabulka s mřížkou 1 – zvýraznění 1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526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P-normlntext">
    <w:name w:val="KP-normální text"/>
    <w:basedOn w:val="Normln"/>
    <w:link w:val="KP-normlntextChar"/>
    <w:uiPriority w:val="99"/>
    <w:rsid w:val="001761BC"/>
    <w:pPr>
      <w:spacing w:before="12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KP-normlntextChar">
    <w:name w:val="KP-normální text Char"/>
    <w:link w:val="KP-normlntext"/>
    <w:uiPriority w:val="99"/>
    <w:locked/>
    <w:rsid w:val="001761BC"/>
    <w:rPr>
      <w:rFonts w:ascii="Arial" w:eastAsia="Times New Roman" w:hAnsi="Arial" w:cs="Arial"/>
      <w:color w:val="000000"/>
      <w:sz w:val="20"/>
      <w:szCs w:val="20"/>
    </w:rPr>
  </w:style>
  <w:style w:type="paragraph" w:customStyle="1" w:styleId="KZnormln">
    <w:name w:val="KZ normální"/>
    <w:basedOn w:val="Normln"/>
    <w:link w:val="KZnormlnChar"/>
    <w:qFormat/>
    <w:rsid w:val="00352C11"/>
    <w:pPr>
      <w:spacing w:before="120" w:line="240" w:lineRule="auto"/>
    </w:pPr>
    <w:rPr>
      <w:rFonts w:eastAsia="Times New Roman" w:cstheme="minorHAnsi"/>
      <w:color w:val="000000"/>
      <w:lang w:val="x-none"/>
    </w:rPr>
  </w:style>
  <w:style w:type="character" w:customStyle="1" w:styleId="KZnormlnChar">
    <w:name w:val="KZ normální Char"/>
    <w:basedOn w:val="Standardnpsmoodstavce"/>
    <w:link w:val="KZnormln"/>
    <w:rsid w:val="00352C11"/>
    <w:rPr>
      <w:rFonts w:eastAsia="Times New Roman" w:cstheme="minorHAnsi"/>
      <w:color w:val="000000"/>
      <w:sz w:val="24"/>
      <w:lang w:val="x-none"/>
    </w:rPr>
  </w:style>
  <w:style w:type="character" w:styleId="Siln">
    <w:name w:val="Strong"/>
    <w:basedOn w:val="Standardnpsmoodstavce"/>
    <w:uiPriority w:val="22"/>
    <w:qFormat/>
    <w:rsid w:val="00794174"/>
    <w:rPr>
      <w:b/>
      <w:bCs/>
    </w:rPr>
  </w:style>
  <w:style w:type="paragraph" w:styleId="Bezmezer">
    <w:name w:val="No Spacing"/>
    <w:link w:val="BezmezerChar"/>
    <w:uiPriority w:val="1"/>
    <w:qFormat/>
    <w:rsid w:val="00C23FC0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C23FC0"/>
    <w:rPr>
      <w:rFonts w:eastAsiaTheme="minorEastAsia"/>
      <w:lang w:eastAsia="cs-CZ"/>
    </w:rPr>
  </w:style>
  <w:style w:type="paragraph" w:customStyle="1" w:styleId="KPnormln">
    <w:name w:val="KP normální"/>
    <w:basedOn w:val="Normln"/>
    <w:link w:val="KPnormlnChar"/>
    <w:qFormat/>
    <w:rsid w:val="003707C2"/>
    <w:rPr>
      <w:rFonts w:eastAsia="Times New Roman" w:cstheme="minorHAnsi"/>
      <w:color w:val="000000"/>
    </w:rPr>
  </w:style>
  <w:style w:type="character" w:customStyle="1" w:styleId="KPnormlnChar">
    <w:name w:val="KP normální Char"/>
    <w:basedOn w:val="Standardnpsmoodstavce"/>
    <w:link w:val="KPnormln"/>
    <w:rsid w:val="003707C2"/>
    <w:rPr>
      <w:rFonts w:eastAsia="Times New Roman" w:cstheme="minorHAnsi"/>
      <w:color w:val="000000"/>
      <w:sz w:val="24"/>
    </w:rPr>
  </w:style>
  <w:style w:type="paragraph" w:styleId="Titulek">
    <w:name w:val="caption"/>
    <w:basedOn w:val="Normln"/>
    <w:next w:val="Normln"/>
    <w:uiPriority w:val="35"/>
    <w:unhideWhenUsed/>
    <w:qFormat/>
    <w:rsid w:val="00CB61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191B1E"/>
    <w:rPr>
      <w:b w:val="0"/>
      <w:bCs w:val="0"/>
      <w:i/>
      <w:iCs/>
    </w:rPr>
  </w:style>
  <w:style w:type="character" w:customStyle="1" w:styleId="apple-converted-space">
    <w:name w:val="apple-converted-space"/>
    <w:basedOn w:val="Standardnpsmoodstavce"/>
    <w:rsid w:val="004D6318"/>
  </w:style>
  <w:style w:type="paragraph" w:styleId="Revize">
    <w:name w:val="Revision"/>
    <w:hidden/>
    <w:uiPriority w:val="99"/>
    <w:semiHidden/>
    <w:rsid w:val="005D50EA"/>
    <w:pPr>
      <w:spacing w:after="0" w:line="240" w:lineRule="auto"/>
    </w:pPr>
    <w:rPr>
      <w:sz w:val="24"/>
    </w:rPr>
  </w:style>
  <w:style w:type="character" w:customStyle="1" w:styleId="velkytext">
    <w:name w:val="velkytext"/>
    <w:basedOn w:val="Standardnpsmoodstavce"/>
    <w:rsid w:val="00733DA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24534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4534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45347"/>
    <w:rPr>
      <w:vertAlign w:val="superscript"/>
    </w:rPr>
  </w:style>
  <w:style w:type="character" w:styleId="Zdraznnjemn">
    <w:name w:val="Subtle Emphasis"/>
    <w:aliases w:val="poznámka pod carou"/>
    <w:uiPriority w:val="19"/>
    <w:qFormat/>
    <w:rsid w:val="006445F0"/>
    <w:rPr>
      <w:rFonts w:asciiTheme="minorHAnsi" w:hAnsiTheme="minorHAnsi"/>
      <w:b w:val="0"/>
      <w:i w:val="0"/>
      <w:iCs/>
      <w:color w:val="404040" w:themeColor="text1" w:themeTint="BF"/>
      <w:sz w:val="18"/>
    </w:rPr>
  </w:style>
  <w:style w:type="paragraph" w:customStyle="1" w:styleId="Odstavec">
    <w:name w:val="Odstavec"/>
    <w:basedOn w:val="Normln"/>
    <w:qFormat/>
    <w:rsid w:val="00740B77"/>
    <w:pPr>
      <w:spacing w:after="120" w:line="240" w:lineRule="auto"/>
      <w:ind w:firstLine="567"/>
    </w:pPr>
    <w:rPr>
      <w:rFonts w:ascii="Arial" w:eastAsia="Calibri" w:hAnsi="Arial" w:cs="Times New Roman"/>
      <w:noProof/>
      <w:sz w:val="22"/>
      <w:lang w:eastAsia="cs-CZ"/>
    </w:rPr>
  </w:style>
  <w:style w:type="paragraph" w:styleId="Normlnweb">
    <w:name w:val="Normal (Web)"/>
    <w:basedOn w:val="Normln"/>
    <w:uiPriority w:val="99"/>
    <w:rsid w:val="00FD3C79"/>
    <w:rPr>
      <w:rFonts w:eastAsia="Times New Roman" w:cs="Times New Roman"/>
      <w:szCs w:val="24"/>
    </w:rPr>
  </w:style>
  <w:style w:type="paragraph" w:customStyle="1" w:styleId="Tabulka">
    <w:name w:val="Tabulka č."/>
    <w:basedOn w:val="Normln"/>
    <w:link w:val="TabulkaChar"/>
    <w:qFormat/>
    <w:rsid w:val="00D80E97"/>
    <w:pPr>
      <w:spacing w:after="0" w:line="240" w:lineRule="auto"/>
      <w:ind w:left="1495" w:hanging="360"/>
    </w:pPr>
    <w:rPr>
      <w:rFonts w:eastAsia="Times New Roman" w:cs="Arial"/>
      <w:szCs w:val="18"/>
    </w:rPr>
  </w:style>
  <w:style w:type="character" w:customStyle="1" w:styleId="TabulkaChar">
    <w:name w:val="Tabulka č. Char"/>
    <w:link w:val="Tabulka"/>
    <w:rsid w:val="00D80E97"/>
    <w:rPr>
      <w:rFonts w:eastAsia="Times New Roman" w:cs="Arial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56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6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0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5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hyperlink" Target="http://ec.europa.eu/internal_market/scoreboard/performance_per_policy_area/public_procurement/index_en.ht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c.europa.eu/internal_market/scoreboard/performance_per_policy_area/public_procurement/index_en.htm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untahankinnat.fi/en" TargetMode="External"/><Relationship Id="rId2" Type="http://schemas.openxmlformats.org/officeDocument/2006/relationships/hyperlink" Target="http://www.mvcr.cz/clanek/centralni-nakup-statu-softwarovych-produktu.aspx" TargetMode="External"/><Relationship Id="rId1" Type="http://schemas.openxmlformats.org/officeDocument/2006/relationships/hyperlink" Target="https://www.vestnikverejnychzakazek.cz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AFKAP\AppData\Local\Microsoft\Windows\INetCache\Content.Outlook\0BFL6GIK\Kopie%20-%20Kopie%20-%20indicator-%204%20_-cooperative-procurement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D\Dokumenty\_KA\17_24%20Centr&#225;ln&#237;%20zad&#225;v&#225;n&#237;\Z&#225;v&#283;r\Kopie%20-%20indicator-%204%20_-cooperative-procurement.xlsb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 (2)'!$D$2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dPt>
            <c:idx val="2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30-4D70-973F-C96313F5ED5C}"/>
              </c:ext>
            </c:extLst>
          </c:dPt>
          <c:dLbls>
            <c:dLbl>
              <c:idx val="11"/>
              <c:layout>
                <c:manualLayout>
                  <c:x val="-4.04169346286349E-17"/>
                  <c:y val="1.2615643397813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3EF-4778-8B5D-26D766698ABB}"/>
                </c:ext>
              </c:extLst>
            </c:dLbl>
            <c:dLbl>
              <c:idx val="12"/>
              <c:layout>
                <c:manualLayout>
                  <c:x val="2.2045855379188711E-3"/>
                  <c:y val="8.41042893187544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13EF-4778-8B5D-26D766698ABB}"/>
                </c:ext>
              </c:extLst>
            </c:dLbl>
            <c:dLbl>
              <c:idx val="13"/>
              <c:layout>
                <c:manualLayout>
                  <c:x val="6.6137566137566134E-3"/>
                  <c:y val="1.2615643397813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3EF-4778-8B5D-26D766698ABB}"/>
                </c:ext>
              </c:extLst>
            </c:dLbl>
            <c:dLbl>
              <c:idx val="14"/>
              <c:layout>
                <c:manualLayout>
                  <c:x val="1.4064699166605665E-3"/>
                  <c:y val="-5.36552649228705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B30-4D70-973F-C96313F5ED5C}"/>
                </c:ext>
              </c:extLst>
            </c:dLbl>
            <c:dLbl>
              <c:idx val="15"/>
              <c:layout>
                <c:manualLayout>
                  <c:x val="6.6137566137566134E-3"/>
                  <c:y val="-8.0481844731561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B30-4D70-973F-C96313F5ED5C}"/>
                </c:ext>
              </c:extLst>
            </c:dLbl>
            <c:dLbl>
              <c:idx val="16"/>
              <c:layout>
                <c:manualLayout>
                  <c:x val="4.4091710758376616E-3"/>
                  <c:y val="8.77267339059488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B30-4D70-973F-C96313F5ED5C}"/>
                </c:ext>
              </c:extLst>
            </c:dLbl>
            <c:dLbl>
              <c:idx val="17"/>
              <c:layout>
                <c:manualLayout>
                  <c:x val="1.1022927689594356E-2"/>
                  <c:y val="4.56745892465704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B30-4D70-973F-C96313F5ED5C}"/>
                </c:ext>
              </c:extLst>
            </c:dLbl>
            <c:dLbl>
              <c:idx val="18"/>
              <c:layout>
                <c:manualLayout>
                  <c:x val="1.5432098765432098E-2"/>
                  <c:y val="-8.4104289318755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3EF-4778-8B5D-26D766698ABB}"/>
                </c:ext>
              </c:extLst>
            </c:dLbl>
            <c:dLbl>
              <c:idx val="19"/>
              <c:layout>
                <c:manualLayout>
                  <c:x val="1.1022927689594356E-2"/>
                  <c:y val="3.3641715727502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3EF-4778-8B5D-26D766698ABB}"/>
                </c:ext>
              </c:extLst>
            </c:dLbl>
            <c:dLbl>
              <c:idx val="20"/>
              <c:layout>
                <c:manualLayout>
                  <c:x val="6.6137566137565327E-3"/>
                  <c:y val="2.9436501261564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3EF-4778-8B5D-26D766698ABB}"/>
                </c:ext>
              </c:extLst>
            </c:dLbl>
            <c:dLbl>
              <c:idx val="21"/>
              <c:layout>
                <c:manualLayout>
                  <c:x val="4.4091710758377423E-3"/>
                  <c:y val="1.6820857863751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3EF-4778-8B5D-26D766698ABB}"/>
                </c:ext>
              </c:extLst>
            </c:dLbl>
            <c:dLbl>
              <c:idx val="22"/>
              <c:layout>
                <c:manualLayout>
                  <c:x val="2.2045855379188711E-3"/>
                  <c:y val="2.102607232968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3EF-4778-8B5D-26D766698ABB}"/>
                </c:ext>
              </c:extLst>
            </c:dLbl>
            <c:dLbl>
              <c:idx val="23"/>
              <c:layout>
                <c:manualLayout>
                  <c:x val="6.6137566137566134E-3"/>
                  <c:y val="2.5231286795626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B30-4D70-973F-C96313F5ED5C}"/>
                </c:ext>
              </c:extLst>
            </c:dLbl>
            <c:dLbl>
              <c:idx val="24"/>
              <c:layout>
                <c:manualLayout>
                  <c:x val="6.6137566137566134E-3"/>
                  <c:y val="2.5231286795626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3EF-4778-8B5D-26D766698ABB}"/>
                </c:ext>
              </c:extLst>
            </c:dLbl>
            <c:dLbl>
              <c:idx val="25"/>
              <c:layout>
                <c:manualLayout>
                  <c:x val="4.4091710758377423E-3"/>
                  <c:y val="2.5231286795626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13EF-4778-8B5D-26D766698ABB}"/>
                </c:ext>
              </c:extLst>
            </c:dLbl>
            <c:dLbl>
              <c:idx val="26"/>
              <c:layout>
                <c:manualLayout>
                  <c:x val="4.4091710758377423E-3"/>
                  <c:y val="1.2615643397813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13EF-4778-8B5D-26D766698ABB}"/>
                </c:ext>
              </c:extLst>
            </c:dLbl>
            <c:dLbl>
              <c:idx val="27"/>
              <c:layout>
                <c:manualLayout>
                  <c:x val="2.2045855379188711E-3"/>
                  <c:y val="8.4104289318755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13EF-4778-8B5D-26D766698ABB}"/>
                </c:ext>
              </c:extLst>
            </c:dLbl>
            <c:dLbl>
              <c:idx val="28"/>
              <c:layout>
                <c:manualLayout>
                  <c:x val="2.2045855379188711E-3"/>
                  <c:y val="2.102607232968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13EF-4778-8B5D-26D766698ABB}"/>
                </c:ext>
              </c:extLst>
            </c:dLbl>
            <c:dLbl>
              <c:idx val="29"/>
              <c:layout>
                <c:manualLayout>
                  <c:x val="6.6137566137566134E-3"/>
                  <c:y val="1.6820857863751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3EF-4778-8B5D-26D766698ABB}"/>
                </c:ext>
              </c:extLst>
            </c:dLbl>
            <c:dLbl>
              <c:idx val="30"/>
              <c:layout>
                <c:manualLayout>
                  <c:x val="2.2045855379187098E-3"/>
                  <c:y val="1.2615643397813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13EF-4778-8B5D-26D766698ABB}"/>
                </c:ext>
              </c:extLst>
            </c:dLbl>
            <c:numFmt formatCode="0_I%" sourceLinked="0"/>
            <c:spPr>
              <a:noFill/>
              <a:ln>
                <a:noFill/>
              </a:ln>
              <a:effectLst/>
            </c:spPr>
            <c:txPr>
              <a:bodyPr rot="-27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val>
            <c:numRef>
              <c:f>'Ark1 (2)'!$D$3:$D$33</c:f>
              <c:numCache>
                <c:formatCode>0%</c:formatCode>
                <c:ptCount val="31"/>
                <c:pt idx="0">
                  <c:v>0.32</c:v>
                </c:pt>
                <c:pt idx="1">
                  <c:v>0.27</c:v>
                </c:pt>
                <c:pt idx="2">
                  <c:v>0.25</c:v>
                </c:pt>
                <c:pt idx="3">
                  <c:v>0.21</c:v>
                </c:pt>
                <c:pt idx="4">
                  <c:v>0.21</c:v>
                </c:pt>
                <c:pt idx="5">
                  <c:v>0.19</c:v>
                </c:pt>
                <c:pt idx="6">
                  <c:v>0.18</c:v>
                </c:pt>
                <c:pt idx="7">
                  <c:v>0.17</c:v>
                </c:pt>
                <c:pt idx="8">
                  <c:v>0.16</c:v>
                </c:pt>
                <c:pt idx="9">
                  <c:v>0.15</c:v>
                </c:pt>
                <c:pt idx="10">
                  <c:v>0.14000000000000001</c:v>
                </c:pt>
                <c:pt idx="11">
                  <c:v>0.14000000000000001</c:v>
                </c:pt>
                <c:pt idx="12">
                  <c:v>0.11</c:v>
                </c:pt>
                <c:pt idx="13">
                  <c:v>0.11</c:v>
                </c:pt>
                <c:pt idx="14">
                  <c:v>0.09</c:v>
                </c:pt>
                <c:pt idx="15">
                  <c:v>0.09</c:v>
                </c:pt>
                <c:pt idx="16">
                  <c:v>0.09</c:v>
                </c:pt>
                <c:pt idx="17">
                  <c:v>0.09</c:v>
                </c:pt>
                <c:pt idx="18">
                  <c:v>0.08</c:v>
                </c:pt>
                <c:pt idx="19">
                  <c:v>7.0000000000000007E-2</c:v>
                </c:pt>
                <c:pt idx="20">
                  <c:v>0.06</c:v>
                </c:pt>
                <c:pt idx="21">
                  <c:v>0.05</c:v>
                </c:pt>
                <c:pt idx="22">
                  <c:v>0.05</c:v>
                </c:pt>
                <c:pt idx="23">
                  <c:v>0.04</c:v>
                </c:pt>
                <c:pt idx="24">
                  <c:v>0.04</c:v>
                </c:pt>
                <c:pt idx="25">
                  <c:v>0.04</c:v>
                </c:pt>
                <c:pt idx="26">
                  <c:v>0.03</c:v>
                </c:pt>
                <c:pt idx="27">
                  <c:v>0.03</c:v>
                </c:pt>
                <c:pt idx="28">
                  <c:v>0.02</c:v>
                </c:pt>
                <c:pt idx="29">
                  <c:v>0.02</c:v>
                </c:pt>
                <c:pt idx="3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B30-4D70-973F-C96313F5E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59190095"/>
        <c:axId val="1259186351"/>
      </c:barChart>
      <c:lineChart>
        <c:grouping val="standard"/>
        <c:varyColors val="0"/>
        <c:ser>
          <c:idx val="1"/>
          <c:order val="1"/>
          <c:tx>
            <c:strRef>
              <c:f>'Ark1 (2)'!$E$2</c:f>
              <c:strCache>
                <c:ptCount val="1"/>
                <c:pt idx="0">
                  <c:v>Optimální míra využívání centralizovaného zadávání dle Evropské komise</c:v>
                </c:pt>
              </c:strCache>
            </c:strRef>
          </c:tx>
          <c:spPr>
            <a:ln w="28575" cap="rnd">
              <a:solidFill>
                <a:srgbClr val="BD2A33"/>
              </a:solidFill>
              <a:round/>
            </a:ln>
            <a:effectLst/>
          </c:spPr>
          <c:marker>
            <c:symbol val="none"/>
          </c:marker>
          <c:cat>
            <c:strRef>
              <c:f>'Ark1 (2)'!$A$3:$A$33</c:f>
              <c:strCache>
                <c:ptCount val="31"/>
                <c:pt idx="0">
                  <c:v>Island</c:v>
                </c:pt>
                <c:pt idx="1">
                  <c:v>Malta</c:v>
                </c:pt>
                <c:pt idx="2">
                  <c:v>Spojené království</c:v>
                </c:pt>
                <c:pt idx="3">
                  <c:v>Belgie</c:v>
                </c:pt>
                <c:pt idx="4">
                  <c:v>Irsko</c:v>
                </c:pt>
                <c:pt idx="5">
                  <c:v>Chorvatsko</c:v>
                </c:pt>
                <c:pt idx="6">
                  <c:v>Finsko</c:v>
                </c:pt>
                <c:pt idx="7">
                  <c:v>Lotyšsko</c:v>
                </c:pt>
                <c:pt idx="8">
                  <c:v>Itálie</c:v>
                </c:pt>
                <c:pt idx="9">
                  <c:v>Norsko</c:v>
                </c:pt>
                <c:pt idx="10">
                  <c:v>Dánsko</c:v>
                </c:pt>
                <c:pt idx="11">
                  <c:v>Kypr</c:v>
                </c:pt>
                <c:pt idx="12">
                  <c:v>Řecko</c:v>
                </c:pt>
                <c:pt idx="13">
                  <c:v>Lichtenštejnsko</c:v>
                </c:pt>
                <c:pt idx="14">
                  <c:v>Německo</c:v>
                </c:pt>
                <c:pt idx="15">
                  <c:v>Estonsko</c:v>
                </c:pt>
                <c:pt idx="16">
                  <c:v>Maďarsko</c:v>
                </c:pt>
                <c:pt idx="17">
                  <c:v>Slovinsko</c:v>
                </c:pt>
                <c:pt idx="18">
                  <c:v>Švédsko</c:v>
                </c:pt>
                <c:pt idx="19">
                  <c:v>Litva</c:v>
                </c:pt>
                <c:pt idx="20">
                  <c:v>Francie</c:v>
                </c:pt>
                <c:pt idx="21">
                  <c:v>Lucembursko</c:v>
                </c:pt>
                <c:pt idx="22">
                  <c:v>Rakousko</c:v>
                </c:pt>
                <c:pt idx="23">
                  <c:v>Česká republika</c:v>
                </c:pt>
                <c:pt idx="24">
                  <c:v>Nizozemsko</c:v>
                </c:pt>
                <c:pt idx="25">
                  <c:v>Slovensko</c:v>
                </c:pt>
                <c:pt idx="26">
                  <c:v>Polsko</c:v>
                </c:pt>
                <c:pt idx="27">
                  <c:v>Portugalsko</c:v>
                </c:pt>
                <c:pt idx="28">
                  <c:v>Bulharsko</c:v>
                </c:pt>
                <c:pt idx="29">
                  <c:v>Rumunsko</c:v>
                </c:pt>
                <c:pt idx="30">
                  <c:v>Španělsko</c:v>
                </c:pt>
              </c:strCache>
            </c:strRef>
          </c:cat>
          <c:val>
            <c:numRef>
              <c:f>'Ark1 (2)'!$E$3:$E$33</c:f>
              <c:numCache>
                <c:formatCode>0%</c:formatCode>
                <c:ptCount val="31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0.1</c:v>
                </c:pt>
                <c:pt idx="16">
                  <c:v>0.1</c:v>
                </c:pt>
                <c:pt idx="17">
                  <c:v>0.1</c:v>
                </c:pt>
                <c:pt idx="18">
                  <c:v>0.1</c:v>
                </c:pt>
                <c:pt idx="19">
                  <c:v>0.1</c:v>
                </c:pt>
                <c:pt idx="20">
                  <c:v>0.1</c:v>
                </c:pt>
                <c:pt idx="21">
                  <c:v>0.1</c:v>
                </c:pt>
                <c:pt idx="22">
                  <c:v>0.1</c:v>
                </c:pt>
                <c:pt idx="23">
                  <c:v>0.1</c:v>
                </c:pt>
                <c:pt idx="24">
                  <c:v>0.1</c:v>
                </c:pt>
                <c:pt idx="25">
                  <c:v>0.1</c:v>
                </c:pt>
                <c:pt idx="26">
                  <c:v>0.1</c:v>
                </c:pt>
                <c:pt idx="27">
                  <c:v>0.1</c:v>
                </c:pt>
                <c:pt idx="28">
                  <c:v>0.1</c:v>
                </c:pt>
                <c:pt idx="29">
                  <c:v>0.1</c:v>
                </c:pt>
                <c:pt idx="30">
                  <c:v>0.1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EB30-4D70-973F-C96313F5E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9190095"/>
        <c:axId val="1259186351"/>
      </c:lineChart>
      <c:catAx>
        <c:axId val="125919009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259186351"/>
        <c:crosses val="autoZero"/>
        <c:auto val="1"/>
        <c:lblAlgn val="ctr"/>
        <c:lblOffset val="100"/>
        <c:noMultiLvlLbl val="0"/>
      </c:catAx>
      <c:valAx>
        <c:axId val="125918635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25919009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egendEntry>
        <c:idx val="0"/>
        <c:delete val="1"/>
      </c:legendEntry>
      <c:layout>
        <c:manualLayout>
          <c:xMode val="edge"/>
          <c:yMode val="edge"/>
          <c:x val="0.10993816745129081"/>
          <c:y val="2.5231286795626577E-2"/>
          <c:w val="0.79114641919760031"/>
          <c:h val="7.6042528956378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'Ark1'!$B$2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3C5C6"/>
            </a:solidFill>
            <a:ln>
              <a:noFill/>
            </a:ln>
            <a:effectLst/>
          </c:spPr>
          <c:invertIfNegative val="0"/>
          <c:cat>
            <c:strRef>
              <c:f>'Ark1'!$A$3:$A$33</c:f>
              <c:strCache>
                <c:ptCount val="31"/>
                <c:pt idx="0">
                  <c:v>Belgie</c:v>
                </c:pt>
                <c:pt idx="1">
                  <c:v>Bulharsko</c:v>
                </c:pt>
                <c:pt idx="2">
                  <c:v>Česká republika</c:v>
                </c:pt>
                <c:pt idx="3">
                  <c:v>Dánsko</c:v>
                </c:pt>
                <c:pt idx="4">
                  <c:v>Německo</c:v>
                </c:pt>
                <c:pt idx="5">
                  <c:v>Estonsko</c:v>
                </c:pt>
                <c:pt idx="6">
                  <c:v>Irsko</c:v>
                </c:pt>
                <c:pt idx="7">
                  <c:v>Řecko</c:v>
                </c:pt>
                <c:pt idx="8">
                  <c:v>Špenělsko</c:v>
                </c:pt>
                <c:pt idx="9">
                  <c:v>Francie</c:v>
                </c:pt>
                <c:pt idx="10">
                  <c:v>Chorvatsko</c:v>
                </c:pt>
                <c:pt idx="11">
                  <c:v>Itálie</c:v>
                </c:pt>
                <c:pt idx="12">
                  <c:v>Kypr</c:v>
                </c:pt>
                <c:pt idx="13">
                  <c:v>Lotyšsko</c:v>
                </c:pt>
                <c:pt idx="14">
                  <c:v>Litva</c:v>
                </c:pt>
                <c:pt idx="15">
                  <c:v>Lucembursko</c:v>
                </c:pt>
                <c:pt idx="16">
                  <c:v>Maďarsko</c:v>
                </c:pt>
                <c:pt idx="17">
                  <c:v>Malta</c:v>
                </c:pt>
                <c:pt idx="18">
                  <c:v>Nizozemsko</c:v>
                </c:pt>
                <c:pt idx="19">
                  <c:v>Rakousko</c:v>
                </c:pt>
                <c:pt idx="20">
                  <c:v>Polsko</c:v>
                </c:pt>
                <c:pt idx="21">
                  <c:v>Portugalsko</c:v>
                </c:pt>
                <c:pt idx="22">
                  <c:v>Rumunsko</c:v>
                </c:pt>
                <c:pt idx="23">
                  <c:v>Slovinsko</c:v>
                </c:pt>
                <c:pt idx="24">
                  <c:v>Slovensko</c:v>
                </c:pt>
                <c:pt idx="25">
                  <c:v>Finsko</c:v>
                </c:pt>
                <c:pt idx="26">
                  <c:v>Švédsko</c:v>
                </c:pt>
                <c:pt idx="27">
                  <c:v>Spojené království</c:v>
                </c:pt>
                <c:pt idx="28">
                  <c:v>Island</c:v>
                </c:pt>
                <c:pt idx="29">
                  <c:v>Lichtenštejnsko</c:v>
                </c:pt>
                <c:pt idx="30">
                  <c:v>Norsko</c:v>
                </c:pt>
              </c:strCache>
            </c:strRef>
          </c:cat>
          <c:val>
            <c:numRef>
              <c:f>'Ark1'!$B$3:$B$33</c:f>
              <c:numCache>
                <c:formatCode>0%</c:formatCode>
                <c:ptCount val="31"/>
                <c:pt idx="0">
                  <c:v>0.15</c:v>
                </c:pt>
                <c:pt idx="1">
                  <c:v>0.01</c:v>
                </c:pt>
                <c:pt idx="2">
                  <c:v>0.05</c:v>
                </c:pt>
                <c:pt idx="3">
                  <c:v>0.14000000000000001</c:v>
                </c:pt>
                <c:pt idx="4">
                  <c:v>0.04</c:v>
                </c:pt>
                <c:pt idx="5">
                  <c:v>0.04</c:v>
                </c:pt>
                <c:pt idx="6">
                  <c:v>0.09</c:v>
                </c:pt>
                <c:pt idx="7">
                  <c:v>0.03</c:v>
                </c:pt>
                <c:pt idx="8">
                  <c:v>0.02</c:v>
                </c:pt>
                <c:pt idx="9">
                  <c:v>0.05</c:v>
                </c:pt>
                <c:pt idx="10">
                  <c:v>0.09</c:v>
                </c:pt>
                <c:pt idx="11">
                  <c:v>0.1</c:v>
                </c:pt>
                <c:pt idx="12">
                  <c:v>0.15</c:v>
                </c:pt>
                <c:pt idx="13">
                  <c:v>0.15</c:v>
                </c:pt>
                <c:pt idx="14">
                  <c:v>0.06</c:v>
                </c:pt>
                <c:pt idx="15">
                  <c:v>0.05</c:v>
                </c:pt>
                <c:pt idx="16">
                  <c:v>0.1</c:v>
                </c:pt>
                <c:pt idx="17">
                  <c:v>0.3</c:v>
                </c:pt>
                <c:pt idx="18">
                  <c:v>0.03</c:v>
                </c:pt>
                <c:pt idx="19">
                  <c:v>0.05</c:v>
                </c:pt>
                <c:pt idx="20">
                  <c:v>0.03</c:v>
                </c:pt>
                <c:pt idx="21">
                  <c:v>0.02</c:v>
                </c:pt>
                <c:pt idx="22">
                  <c:v>0.01</c:v>
                </c:pt>
                <c:pt idx="23">
                  <c:v>0.12</c:v>
                </c:pt>
                <c:pt idx="24">
                  <c:v>0.06</c:v>
                </c:pt>
                <c:pt idx="25">
                  <c:v>0.1</c:v>
                </c:pt>
                <c:pt idx="26">
                  <c:v>0.1</c:v>
                </c:pt>
                <c:pt idx="27">
                  <c:v>0.21</c:v>
                </c:pt>
                <c:pt idx="28">
                  <c:v>0.25</c:v>
                </c:pt>
                <c:pt idx="3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4-425E-9AE9-D68A9BE9E05F}"/>
            </c:ext>
          </c:extLst>
        </c:ser>
        <c:ser>
          <c:idx val="1"/>
          <c:order val="1"/>
          <c:tx>
            <c:strRef>
              <c:f>'Ark1'!$C$2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cat>
            <c:strRef>
              <c:f>'Ark1'!$A$3:$A$33</c:f>
              <c:strCache>
                <c:ptCount val="31"/>
                <c:pt idx="0">
                  <c:v>Belgie</c:v>
                </c:pt>
                <c:pt idx="1">
                  <c:v>Bulharsko</c:v>
                </c:pt>
                <c:pt idx="2">
                  <c:v>Česká republika</c:v>
                </c:pt>
                <c:pt idx="3">
                  <c:v>Dánsko</c:v>
                </c:pt>
                <c:pt idx="4">
                  <c:v>Německo</c:v>
                </c:pt>
                <c:pt idx="5">
                  <c:v>Estonsko</c:v>
                </c:pt>
                <c:pt idx="6">
                  <c:v>Irsko</c:v>
                </c:pt>
                <c:pt idx="7">
                  <c:v>Řecko</c:v>
                </c:pt>
                <c:pt idx="8">
                  <c:v>Špenělsko</c:v>
                </c:pt>
                <c:pt idx="9">
                  <c:v>Francie</c:v>
                </c:pt>
                <c:pt idx="10">
                  <c:v>Chorvatsko</c:v>
                </c:pt>
                <c:pt idx="11">
                  <c:v>Itálie</c:v>
                </c:pt>
                <c:pt idx="12">
                  <c:v>Kypr</c:v>
                </c:pt>
                <c:pt idx="13">
                  <c:v>Lotyšsko</c:v>
                </c:pt>
                <c:pt idx="14">
                  <c:v>Litva</c:v>
                </c:pt>
                <c:pt idx="15">
                  <c:v>Lucembursko</c:v>
                </c:pt>
                <c:pt idx="16">
                  <c:v>Maďarsko</c:v>
                </c:pt>
                <c:pt idx="17">
                  <c:v>Malta</c:v>
                </c:pt>
                <c:pt idx="18">
                  <c:v>Nizozemsko</c:v>
                </c:pt>
                <c:pt idx="19">
                  <c:v>Rakousko</c:v>
                </c:pt>
                <c:pt idx="20">
                  <c:v>Polsko</c:v>
                </c:pt>
                <c:pt idx="21">
                  <c:v>Portugalsko</c:v>
                </c:pt>
                <c:pt idx="22">
                  <c:v>Rumunsko</c:v>
                </c:pt>
                <c:pt idx="23">
                  <c:v>Slovinsko</c:v>
                </c:pt>
                <c:pt idx="24">
                  <c:v>Slovensko</c:v>
                </c:pt>
                <c:pt idx="25">
                  <c:v>Finsko</c:v>
                </c:pt>
                <c:pt idx="26">
                  <c:v>Švédsko</c:v>
                </c:pt>
                <c:pt idx="27">
                  <c:v>Spojené království</c:v>
                </c:pt>
                <c:pt idx="28">
                  <c:v>Island</c:v>
                </c:pt>
                <c:pt idx="29">
                  <c:v>Lichtenštejnsko</c:v>
                </c:pt>
                <c:pt idx="30">
                  <c:v>Norsko</c:v>
                </c:pt>
              </c:strCache>
            </c:strRef>
          </c:cat>
          <c:val>
            <c:numRef>
              <c:f>'Ark1'!$C$3:$C$33</c:f>
              <c:numCache>
                <c:formatCode>0%</c:formatCode>
                <c:ptCount val="31"/>
                <c:pt idx="0">
                  <c:v>0.18</c:v>
                </c:pt>
                <c:pt idx="1">
                  <c:v>0.02</c:v>
                </c:pt>
                <c:pt idx="2">
                  <c:v>0.09</c:v>
                </c:pt>
                <c:pt idx="3">
                  <c:v>0.14000000000000001</c:v>
                </c:pt>
                <c:pt idx="4">
                  <c:v>0.04</c:v>
                </c:pt>
                <c:pt idx="5">
                  <c:v>7.0000000000000007E-2</c:v>
                </c:pt>
                <c:pt idx="6">
                  <c:v>0.12</c:v>
                </c:pt>
                <c:pt idx="7">
                  <c:v>0.06</c:v>
                </c:pt>
                <c:pt idx="8">
                  <c:v>0.02</c:v>
                </c:pt>
                <c:pt idx="9">
                  <c:v>0.06</c:v>
                </c:pt>
                <c:pt idx="10">
                  <c:v>0.1</c:v>
                </c:pt>
                <c:pt idx="11">
                  <c:v>0.12</c:v>
                </c:pt>
                <c:pt idx="12">
                  <c:v>0.14000000000000001</c:v>
                </c:pt>
                <c:pt idx="13">
                  <c:v>0.15</c:v>
                </c:pt>
                <c:pt idx="14">
                  <c:v>7.0000000000000007E-2</c:v>
                </c:pt>
                <c:pt idx="15">
                  <c:v>7.0000000000000007E-2</c:v>
                </c:pt>
                <c:pt idx="16">
                  <c:v>0.09</c:v>
                </c:pt>
                <c:pt idx="18">
                  <c:v>0.03</c:v>
                </c:pt>
                <c:pt idx="19">
                  <c:v>0.04</c:v>
                </c:pt>
                <c:pt idx="20">
                  <c:v>0.04</c:v>
                </c:pt>
                <c:pt idx="21">
                  <c:v>0.02</c:v>
                </c:pt>
                <c:pt idx="22">
                  <c:v>0.01</c:v>
                </c:pt>
                <c:pt idx="23">
                  <c:v>0.12</c:v>
                </c:pt>
                <c:pt idx="24">
                  <c:v>0.05</c:v>
                </c:pt>
                <c:pt idx="25">
                  <c:v>0.09</c:v>
                </c:pt>
                <c:pt idx="26">
                  <c:v>0.11</c:v>
                </c:pt>
                <c:pt idx="27">
                  <c:v>0.2</c:v>
                </c:pt>
                <c:pt idx="28">
                  <c:v>0.09</c:v>
                </c:pt>
                <c:pt idx="30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B4-425E-9AE9-D68A9BE9E05F}"/>
            </c:ext>
          </c:extLst>
        </c:ser>
        <c:ser>
          <c:idx val="2"/>
          <c:order val="2"/>
          <c:tx>
            <c:strRef>
              <c:f>'Ark1'!$D$2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004595"/>
            </a:solidFill>
            <a:ln>
              <a:noFill/>
            </a:ln>
            <a:effectLst/>
          </c:spPr>
          <c:invertIfNegative val="0"/>
          <c:cat>
            <c:strRef>
              <c:f>'Ark1'!$A$3:$A$33</c:f>
              <c:strCache>
                <c:ptCount val="31"/>
                <c:pt idx="0">
                  <c:v>Belgie</c:v>
                </c:pt>
                <c:pt idx="1">
                  <c:v>Bulharsko</c:v>
                </c:pt>
                <c:pt idx="2">
                  <c:v>Česká republika</c:v>
                </c:pt>
                <c:pt idx="3">
                  <c:v>Dánsko</c:v>
                </c:pt>
                <c:pt idx="4">
                  <c:v>Německo</c:v>
                </c:pt>
                <c:pt idx="5">
                  <c:v>Estonsko</c:v>
                </c:pt>
                <c:pt idx="6">
                  <c:v>Irsko</c:v>
                </c:pt>
                <c:pt idx="7">
                  <c:v>Řecko</c:v>
                </c:pt>
                <c:pt idx="8">
                  <c:v>Špenělsko</c:v>
                </c:pt>
                <c:pt idx="9">
                  <c:v>Francie</c:v>
                </c:pt>
                <c:pt idx="10">
                  <c:v>Chorvatsko</c:v>
                </c:pt>
                <c:pt idx="11">
                  <c:v>Itálie</c:v>
                </c:pt>
                <c:pt idx="12">
                  <c:v>Kypr</c:v>
                </c:pt>
                <c:pt idx="13">
                  <c:v>Lotyšsko</c:v>
                </c:pt>
                <c:pt idx="14">
                  <c:v>Litva</c:v>
                </c:pt>
                <c:pt idx="15">
                  <c:v>Lucembursko</c:v>
                </c:pt>
                <c:pt idx="16">
                  <c:v>Maďarsko</c:v>
                </c:pt>
                <c:pt idx="17">
                  <c:v>Malta</c:v>
                </c:pt>
                <c:pt idx="18">
                  <c:v>Nizozemsko</c:v>
                </c:pt>
                <c:pt idx="19">
                  <c:v>Rakousko</c:v>
                </c:pt>
                <c:pt idx="20">
                  <c:v>Polsko</c:v>
                </c:pt>
                <c:pt idx="21">
                  <c:v>Portugalsko</c:v>
                </c:pt>
                <c:pt idx="22">
                  <c:v>Rumunsko</c:v>
                </c:pt>
                <c:pt idx="23">
                  <c:v>Slovinsko</c:v>
                </c:pt>
                <c:pt idx="24">
                  <c:v>Slovensko</c:v>
                </c:pt>
                <c:pt idx="25">
                  <c:v>Finsko</c:v>
                </c:pt>
                <c:pt idx="26">
                  <c:v>Švédsko</c:v>
                </c:pt>
                <c:pt idx="27">
                  <c:v>Spojené království</c:v>
                </c:pt>
                <c:pt idx="28">
                  <c:v>Island</c:v>
                </c:pt>
                <c:pt idx="29">
                  <c:v>Lichtenštejnsko</c:v>
                </c:pt>
                <c:pt idx="30">
                  <c:v>Norsko</c:v>
                </c:pt>
              </c:strCache>
            </c:strRef>
          </c:cat>
          <c:val>
            <c:numRef>
              <c:f>'Ark1'!$D$3:$D$33</c:f>
              <c:numCache>
                <c:formatCode>0%</c:formatCode>
                <c:ptCount val="31"/>
                <c:pt idx="0">
                  <c:v>0.21</c:v>
                </c:pt>
                <c:pt idx="1">
                  <c:v>0.02</c:v>
                </c:pt>
                <c:pt idx="2">
                  <c:v>0.04</c:v>
                </c:pt>
                <c:pt idx="3">
                  <c:v>0.14000000000000001</c:v>
                </c:pt>
                <c:pt idx="4">
                  <c:v>0.09</c:v>
                </c:pt>
                <c:pt idx="5">
                  <c:v>0.09</c:v>
                </c:pt>
                <c:pt idx="6">
                  <c:v>0.21</c:v>
                </c:pt>
                <c:pt idx="7">
                  <c:v>0.11</c:v>
                </c:pt>
                <c:pt idx="8">
                  <c:v>0.01</c:v>
                </c:pt>
                <c:pt idx="9">
                  <c:v>0.06</c:v>
                </c:pt>
                <c:pt idx="10">
                  <c:v>0.19</c:v>
                </c:pt>
                <c:pt idx="11">
                  <c:v>0.16</c:v>
                </c:pt>
                <c:pt idx="12">
                  <c:v>0.14000000000000001</c:v>
                </c:pt>
                <c:pt idx="13">
                  <c:v>0.17</c:v>
                </c:pt>
                <c:pt idx="14">
                  <c:v>7.0000000000000007E-2</c:v>
                </c:pt>
                <c:pt idx="15">
                  <c:v>0.05</c:v>
                </c:pt>
                <c:pt idx="16">
                  <c:v>0.09</c:v>
                </c:pt>
                <c:pt idx="17">
                  <c:v>0.27</c:v>
                </c:pt>
                <c:pt idx="18">
                  <c:v>0.04</c:v>
                </c:pt>
                <c:pt idx="19">
                  <c:v>0.05</c:v>
                </c:pt>
                <c:pt idx="20">
                  <c:v>0.03</c:v>
                </c:pt>
                <c:pt idx="21">
                  <c:v>0.03</c:v>
                </c:pt>
                <c:pt idx="22">
                  <c:v>0.02</c:v>
                </c:pt>
                <c:pt idx="23">
                  <c:v>0.09</c:v>
                </c:pt>
                <c:pt idx="24">
                  <c:v>0.04</c:v>
                </c:pt>
                <c:pt idx="25">
                  <c:v>0.18</c:v>
                </c:pt>
                <c:pt idx="26">
                  <c:v>0.08</c:v>
                </c:pt>
                <c:pt idx="27">
                  <c:v>0.25</c:v>
                </c:pt>
                <c:pt idx="28">
                  <c:v>0.32</c:v>
                </c:pt>
                <c:pt idx="29">
                  <c:v>0.11</c:v>
                </c:pt>
                <c:pt idx="3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B4-425E-9AE9-D68A9BE9E05F}"/>
            </c:ext>
          </c:extLst>
        </c:ser>
        <c:ser>
          <c:idx val="3"/>
          <c:order val="3"/>
          <c:tx>
            <c:strRef>
              <c:f>'Ark1'!$E$2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004595">
                <a:alpha val="40000"/>
              </a:srgbClr>
            </a:solidFill>
            <a:ln>
              <a:noFill/>
            </a:ln>
            <a:effectLst/>
          </c:spPr>
          <c:invertIfNegative val="0"/>
          <c:val>
            <c:numRef>
              <c:f>'Ark1'!$E$3:$E$33</c:f>
              <c:numCache>
                <c:formatCode>0%</c:formatCode>
                <c:ptCount val="31"/>
                <c:pt idx="0">
                  <c:v>0.17</c:v>
                </c:pt>
                <c:pt idx="1">
                  <c:v>0.02</c:v>
                </c:pt>
                <c:pt idx="2">
                  <c:v>0.05</c:v>
                </c:pt>
                <c:pt idx="3">
                  <c:v>0.17</c:v>
                </c:pt>
                <c:pt idx="4">
                  <c:v>0.12</c:v>
                </c:pt>
                <c:pt idx="5">
                  <c:v>0.09</c:v>
                </c:pt>
                <c:pt idx="6">
                  <c:v>0.23</c:v>
                </c:pt>
                <c:pt idx="7">
                  <c:v>7.0000000000000007E-2</c:v>
                </c:pt>
                <c:pt idx="8">
                  <c:v>0.01</c:v>
                </c:pt>
                <c:pt idx="9">
                  <c:v>0.06</c:v>
                </c:pt>
                <c:pt idx="10">
                  <c:v>0.03</c:v>
                </c:pt>
                <c:pt idx="11">
                  <c:v>0.19</c:v>
                </c:pt>
                <c:pt idx="12">
                  <c:v>0.13</c:v>
                </c:pt>
                <c:pt idx="13">
                  <c:v>0.15</c:v>
                </c:pt>
                <c:pt idx="14">
                  <c:v>0.06</c:v>
                </c:pt>
                <c:pt idx="15">
                  <c:v>0.02</c:v>
                </c:pt>
                <c:pt idx="16">
                  <c:v>0.08</c:v>
                </c:pt>
                <c:pt idx="18">
                  <c:v>0.04</c:v>
                </c:pt>
                <c:pt idx="19">
                  <c:v>0.05</c:v>
                </c:pt>
                <c:pt idx="20">
                  <c:v>0.03</c:v>
                </c:pt>
                <c:pt idx="21">
                  <c:v>0.04</c:v>
                </c:pt>
                <c:pt idx="22">
                  <c:v>0.01</c:v>
                </c:pt>
                <c:pt idx="23">
                  <c:v>7.0000000000000007E-2</c:v>
                </c:pt>
                <c:pt idx="24">
                  <c:v>0.05</c:v>
                </c:pt>
                <c:pt idx="25">
                  <c:v>0.19</c:v>
                </c:pt>
                <c:pt idx="26">
                  <c:v>0.03</c:v>
                </c:pt>
                <c:pt idx="27">
                  <c:v>0.26</c:v>
                </c:pt>
                <c:pt idx="28">
                  <c:v>0.13</c:v>
                </c:pt>
                <c:pt idx="30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B4-425E-9AE9-D68A9BE9E0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73694559"/>
        <c:axId val="1873691647"/>
      </c:barChart>
      <c:catAx>
        <c:axId val="18736945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73691647"/>
        <c:crosses val="autoZero"/>
        <c:auto val="1"/>
        <c:lblAlgn val="ctr"/>
        <c:lblOffset val="100"/>
        <c:noMultiLvlLbl val="0"/>
      </c:catAx>
      <c:valAx>
        <c:axId val="18736916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Míra centralizovaného zadávání</a:t>
                </a:r>
              </a:p>
            </c:rich>
          </c:tx>
          <c:layout>
            <c:manualLayout>
              <c:xMode val="edge"/>
              <c:yMode val="edge"/>
              <c:x val="1.5432098765432098E-2"/>
              <c:y val="0.1437213326696488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_I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873694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1578C09B39C3449BA922CF93D57238" ma:contentTypeVersion="1" ma:contentTypeDescription="Vytvoří nový dokument" ma:contentTypeScope="" ma:versionID="24edf2323ae57301b14f81ef83b63d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2121-075A-45D4-A705-8AF544BB247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9EAB75-89D2-4BB0-BA75-7249665B8A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09B26-00F6-4275-B13E-AD3FAE5EB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6812F-D1EB-49D7-8D12-54A7FEA0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9EE3EBFB</Template>
  <TotalTime>8</TotalTime>
  <Pages>24</Pages>
  <Words>7657</Words>
  <Characters>45177</Characters>
  <Application>Microsoft Office Word</Application>
  <DocSecurity>0</DocSecurity>
  <Lines>376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17/24 - Veřejné nákupy v oblasti státní správy a využití centralizovaného zadávání</vt:lpstr>
    </vt:vector>
  </TitlesOfParts>
  <Company>Nejvyšší kontrolní úřad</Company>
  <LinksUpToDate>false</LinksUpToDate>
  <CharactersWithSpaces>52729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17/24 - Veřejné nákupy v oblasti státní správy a využití centralizovaného zadávání</dc:title>
  <dc:subject>Kontrolní závěr z kontrolní akce NKÚ č. 16/13 - Peněžní prostředky vynakládané na rozvoj vzdělávání v České republice</dc:subject>
  <dc:creator>Nejvyšší kontrolní úřad</dc:creator>
  <cp:keywords>kontrolní závěr; veřejné zakázky; centralizované zadávání</cp:keywords>
  <cp:lastModifiedBy>KOKRDA Daniel</cp:lastModifiedBy>
  <cp:revision>6</cp:revision>
  <cp:lastPrinted>2018-08-15T10:46:00Z</cp:lastPrinted>
  <dcterms:created xsi:type="dcterms:W3CDTF">2018-08-15T08:39:00Z</dcterms:created>
  <dcterms:modified xsi:type="dcterms:W3CDTF">2018-08-15T10:46:00Z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15/26-NKU30/394/16</vt:lpwstr>
  </property>
  <property fmtid="{D5CDD505-2E9C-101B-9397-08002B2CF9AE}" pid="3" name="Contact_PostaOdes_All">
    <vt:lpwstr>ROZDĚLOVNÍK...</vt:lpwstr>
  </property>
  <property fmtid="{D5CDD505-2E9C-101B-9397-08002B2CF9AE}" pid="4" name="SZ_Spis_Pisemnost">
    <vt:lpwstr>15/26</vt:lpwstr>
  </property>
  <property fmtid="{D5CDD505-2E9C-101B-9397-08002B2CF9AE}" pid="5" name="DisplayName_SpisovyUzel_PoziceZodpo_Pisemnost">
    <vt:lpwstr>30</vt:lpwstr>
  </property>
  <property fmtid="{D5CDD505-2E9C-101B-9397-08002B2CF9AE}" pid="6" name="Zkratka_SpisovyUzel_PoziceZodpo_Pisemnost">
    <vt:lpwstr>30</vt:lpwstr>
  </property>
  <property fmtid="{D5CDD505-2E9C-101B-9397-08002B2CF9AE}" pid="7" name="Key_BarCode_Pisemnost">
    <vt:lpwstr>*B000263454*</vt:lpwstr>
  </property>
  <property fmtid="{D5CDD505-2E9C-101B-9397-08002B2CF9AE}" pid="8" name="EC_Pisemnost">
    <vt:lpwstr>16-5727/NKU</vt:lpwstr>
  </property>
  <property fmtid="{D5CDD505-2E9C-101B-9397-08002B2CF9AE}" pid="9" name="Odkaz">
    <vt:lpwstr>ODKAZ</vt:lpwstr>
  </property>
  <property fmtid="{D5CDD505-2E9C-101B-9397-08002B2CF9AE}" pid="10" name="SkartacniZnakLhuta_PisemnostZnak">
    <vt:lpwstr>?/?</vt:lpwstr>
  </property>
  <property fmtid="{D5CDD505-2E9C-101B-9397-08002B2CF9AE}" pid="11" name="CJ_Spis_Pisemnost">
    <vt:lpwstr>CJ/SPIS/ROK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TEST">
    <vt:lpwstr>testovací pole</vt:lpwstr>
  </property>
  <property fmtid="{D5CDD505-2E9C-101B-9397-08002B2CF9AE}" pid="16" name="PocetListu_Pisemnost">
    <vt:lpwstr>1</vt:lpwstr>
  </property>
  <property fmtid="{D5CDD505-2E9C-101B-9397-08002B2CF9AE}" pid="17" name="Vec_Pisemnost">
    <vt:lpwstr>Návrh kontrolního závěru 15/26 do připomínek</vt:lpwstr>
  </property>
  <property fmtid="{D5CDD505-2E9C-101B-9397-08002B2CF9AE}" pid="18" name="DatumPoriz_Pisemnost">
    <vt:lpwstr>15.4.2016</vt:lpwstr>
  </property>
  <property fmtid="{D5CDD505-2E9C-101B-9397-08002B2CF9AE}" pid="19" name="KRukam">
    <vt:lpwstr>{KRukam}</vt:lpwstr>
  </property>
  <property fmtid="{D5CDD505-2E9C-101B-9397-08002B2CF9AE}" pid="20" name="PocetListuDokumentu_Pisemnost">
    <vt:lpwstr>1</vt:lpwstr>
  </property>
  <property fmtid="{D5CDD505-2E9C-101B-9397-08002B2CF9AE}" pid="21" name="PocetPriloh_Pisemnost">
    <vt:lpwstr>0</vt:lpwstr>
  </property>
  <property fmtid="{D5CDD505-2E9C-101B-9397-08002B2CF9AE}" pid="22" name="TypPrilohy_Pisemnost">
    <vt:lpwstr>TYP PŘÍLOHY</vt:lpwstr>
  </property>
  <property fmtid="{D5CDD505-2E9C-101B-9397-08002B2CF9AE}" pid="23" name="DisplayName_UserPoriz_Pisemnost">
    <vt:lpwstr>Bc. Jana Pokorná</vt:lpwstr>
  </property>
  <property fmtid="{D5CDD505-2E9C-101B-9397-08002B2CF9AE}" pid="24" name="Podpis">
    <vt:lpwstr/>
  </property>
  <property fmtid="{D5CDD505-2E9C-101B-9397-08002B2CF9AE}" pid="25" name="SmlouvaCislo">
    <vt:lpwstr>ČÍSLO SMLOUVY</vt:lpwstr>
  </property>
  <property fmtid="{D5CDD505-2E9C-101B-9397-08002B2CF9AE}" pid="26" name="ContentTypeId">
    <vt:lpwstr>0x010100751578C09B39C3449BA922CF93D57238</vt:lpwstr>
  </property>
</Properties>
</file>