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B890D" w14:textId="14EA32ED" w:rsidR="002E1E39" w:rsidRDefault="00EC3A0D" w:rsidP="00DC4129">
      <w:pPr>
        <w:tabs>
          <w:tab w:val="left" w:pos="1695"/>
        </w:tabs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77071" wp14:editId="45374F17">
            <wp:simplePos x="0" y="0"/>
            <wp:positionH relativeFrom="margin">
              <wp:posOffset>2477770</wp:posOffset>
            </wp:positionH>
            <wp:positionV relativeFrom="paragraph">
              <wp:posOffset>35560</wp:posOffset>
            </wp:positionV>
            <wp:extent cx="792480" cy="55943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C5B741" w14:textId="77777777" w:rsidR="000D72DE" w:rsidRDefault="000D72DE" w:rsidP="00DC4129">
      <w:pPr>
        <w:tabs>
          <w:tab w:val="left" w:pos="1695"/>
        </w:tabs>
      </w:pPr>
    </w:p>
    <w:p w14:paraId="5B13F215" w14:textId="77777777" w:rsidR="000D72DE" w:rsidRDefault="000D72DE" w:rsidP="00DC4129">
      <w:pPr>
        <w:tabs>
          <w:tab w:val="left" w:pos="1695"/>
        </w:tabs>
      </w:pPr>
    </w:p>
    <w:p w14:paraId="273AF5AF" w14:textId="77777777" w:rsidR="00EC3A0D" w:rsidRDefault="00EC3A0D" w:rsidP="00EC3A0D">
      <w:pPr>
        <w:jc w:val="center"/>
      </w:pPr>
    </w:p>
    <w:p w14:paraId="1BEFFD30" w14:textId="77777777" w:rsidR="00EC3A0D" w:rsidRPr="00EC3A0D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bookmarkStart w:id="0" w:name="_GoBack"/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60D0E045" w14:textId="77777777" w:rsidR="00EC3A0D" w:rsidRPr="00EC3A0D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B461B8">
        <w:rPr>
          <w:rFonts w:asciiTheme="minorHAnsi" w:eastAsiaTheme="minorHAnsi" w:hAnsiTheme="minorHAnsi" w:cstheme="minorHAnsi"/>
          <w:b/>
          <w:sz w:val="28"/>
          <w:szCs w:val="28"/>
        </w:rPr>
        <w:t>8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B461B8">
        <w:rPr>
          <w:rFonts w:asciiTheme="minorHAnsi" w:eastAsiaTheme="minorHAnsi" w:hAnsiTheme="minorHAnsi" w:cstheme="minorHAnsi"/>
          <w:b/>
          <w:sz w:val="28"/>
          <w:szCs w:val="28"/>
        </w:rPr>
        <w:t>05</w:t>
      </w:r>
    </w:p>
    <w:p w14:paraId="48389BFF" w14:textId="77777777" w:rsidR="00EC3A0D" w:rsidRPr="00EC3A0D" w:rsidRDefault="00B461B8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>Účetnictví Ministerstva financí za rok 2017</w:t>
      </w:r>
    </w:p>
    <w:bookmarkEnd w:id="0"/>
    <w:p w14:paraId="3EC552D0" w14:textId="77777777" w:rsidR="00EC3A0D" w:rsidRPr="000D72DE" w:rsidRDefault="00EC3A0D" w:rsidP="00EC3A0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14:paraId="3306D2D9" w14:textId="6595854E" w:rsid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B461B8">
        <w:rPr>
          <w:rFonts w:asciiTheme="minorHAnsi" w:eastAsiaTheme="minorHAnsi" w:hAnsiTheme="minorHAnsi" w:cstheme="minorHAnsi"/>
        </w:rPr>
        <w:t>8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B461B8">
        <w:rPr>
          <w:rFonts w:asciiTheme="minorHAnsi" w:eastAsiaTheme="minorHAnsi" w:hAnsiTheme="minorHAnsi" w:cstheme="minorHAnsi"/>
        </w:rPr>
        <w:t>18/05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řídil</w:t>
      </w:r>
      <w:r w:rsidRPr="00EC3A0D">
        <w:rPr>
          <w:rFonts w:asciiTheme="minorHAnsi" w:eastAsiaTheme="minorHAnsi" w:hAnsiTheme="minorHAnsi" w:cstheme="minorHAnsi"/>
        </w:rPr>
        <w:t xml:space="preserve"> a kontrolní závěr vypracoval člen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="00B461B8">
        <w:rPr>
          <w:rFonts w:asciiTheme="minorHAnsi" w:eastAsiaTheme="minorHAnsi" w:hAnsiTheme="minorHAnsi" w:cstheme="minorHAnsi"/>
        </w:rPr>
        <w:t>NKÚ Ing. Daniel Reisiegel, MPA</w:t>
      </w:r>
      <w:r w:rsidRPr="00EC3A0D">
        <w:rPr>
          <w:rFonts w:asciiTheme="minorHAnsi" w:eastAsiaTheme="minorHAnsi" w:hAnsiTheme="minorHAnsi" w:cstheme="minorHAnsi"/>
        </w:rPr>
        <w:t>.</w:t>
      </w:r>
    </w:p>
    <w:p w14:paraId="27D3AE25" w14:textId="77777777" w:rsidR="007B4CF6" w:rsidRPr="00EC3A0D" w:rsidRDefault="007B4CF6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</w:p>
    <w:p w14:paraId="7ECC76B6" w14:textId="77777777" w:rsidR="00EC3A0D" w:rsidRPr="000D72DE" w:rsidRDefault="00B461B8" w:rsidP="007C74F1">
      <w:pPr>
        <w:spacing w:after="160"/>
        <w:jc w:val="both"/>
        <w:rPr>
          <w:rFonts w:asciiTheme="minorHAnsi" w:eastAsiaTheme="minorHAnsi" w:hAnsiTheme="minorHAnsi" w:cstheme="minorHAnsi"/>
          <w:bCs/>
        </w:rPr>
      </w:pPr>
      <w:r>
        <w:rPr>
          <w:rFonts w:asciiTheme="minorHAnsi" w:eastAsiaTheme="minorHAnsi" w:hAnsiTheme="minorHAnsi" w:cstheme="minorHAnsi"/>
        </w:rPr>
        <w:t>Cílem kontroly bylo prověřit, zda Ministerstvo financí při vedení účetnictví v roce 2017 postupovalo v souladu s příslušnými právními předpisy</w:t>
      </w:r>
      <w:r w:rsidR="00EC3A0D" w:rsidRPr="000D72DE">
        <w:rPr>
          <w:rFonts w:asciiTheme="minorHAnsi" w:eastAsiaTheme="minorHAnsi" w:hAnsiTheme="minorHAnsi" w:cstheme="minorHAnsi"/>
          <w:bCs/>
        </w:rPr>
        <w:t>.</w:t>
      </w:r>
    </w:p>
    <w:p w14:paraId="04F329F1" w14:textId="77777777" w:rsidR="007C74F1" w:rsidRDefault="007C74F1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  <w:b/>
        </w:rPr>
      </w:pPr>
    </w:p>
    <w:p w14:paraId="7F9CC5E8" w14:textId="77777777" w:rsidR="00EC3A0D" w:rsidRPr="00EC3A0D" w:rsidRDefault="00EC3A0D" w:rsidP="00FA2354">
      <w:pPr>
        <w:spacing w:after="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3C6160CC" w14:textId="77777777" w:rsidR="00EC3A0D" w:rsidRDefault="00B461B8" w:rsidP="00FA2354">
      <w:pPr>
        <w:spacing w:after="0" w:line="259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Ministerstvo financí</w:t>
      </w:r>
      <w:r w:rsidR="00EC3A0D" w:rsidRPr="00EC3A0D">
        <w:rPr>
          <w:rFonts w:asciiTheme="minorHAnsi" w:eastAsiaTheme="minorHAnsi" w:hAnsiTheme="minorHAnsi" w:cstheme="minorHAnsi"/>
        </w:rPr>
        <w:t xml:space="preserve"> (dále také „M</w:t>
      </w:r>
      <w:r>
        <w:rPr>
          <w:rFonts w:asciiTheme="minorHAnsi" w:eastAsiaTheme="minorHAnsi" w:hAnsiTheme="minorHAnsi" w:cstheme="minorHAnsi"/>
        </w:rPr>
        <w:t>F</w:t>
      </w:r>
      <w:r w:rsidR="00EC3A0D" w:rsidRPr="00EC3A0D">
        <w:rPr>
          <w:rFonts w:asciiTheme="minorHAnsi" w:eastAsiaTheme="minorHAnsi" w:hAnsiTheme="minorHAnsi" w:cstheme="minorHAnsi"/>
        </w:rPr>
        <w:t>“).</w:t>
      </w:r>
    </w:p>
    <w:p w14:paraId="7ECB5456" w14:textId="77777777" w:rsidR="00FA2354" w:rsidRPr="00EC3A0D" w:rsidRDefault="00FA2354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</w:p>
    <w:p w14:paraId="596F6C77" w14:textId="77777777" w:rsidR="00EC3A0D" w:rsidRPr="007D17AA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7D17AA">
        <w:rPr>
          <w:rFonts w:asciiTheme="minorHAnsi" w:eastAsiaTheme="minorHAnsi" w:hAnsiTheme="minorHAnsi" w:cstheme="minorHAnsi"/>
        </w:rPr>
        <w:t>Kontrolováno bylo období roku 201</w:t>
      </w:r>
      <w:r w:rsidR="005F2754" w:rsidRPr="007D17AA">
        <w:rPr>
          <w:rFonts w:asciiTheme="minorHAnsi" w:eastAsiaTheme="minorHAnsi" w:hAnsiTheme="minorHAnsi" w:cstheme="minorHAnsi"/>
        </w:rPr>
        <w:t>7</w:t>
      </w:r>
      <w:r w:rsidR="004E3929" w:rsidRPr="007D17AA">
        <w:rPr>
          <w:rFonts w:asciiTheme="minorHAnsi" w:eastAsiaTheme="minorHAnsi" w:hAnsiTheme="minorHAnsi" w:cstheme="minorHAnsi"/>
        </w:rPr>
        <w:t xml:space="preserve"> včetně</w:t>
      </w:r>
      <w:r w:rsidRPr="007D17AA">
        <w:rPr>
          <w:rFonts w:asciiTheme="minorHAnsi" w:eastAsiaTheme="minorHAnsi" w:hAnsiTheme="minorHAnsi" w:cstheme="minorHAnsi"/>
        </w:rPr>
        <w:t xml:space="preserve"> související</w:t>
      </w:r>
      <w:r w:rsidR="004E3929" w:rsidRPr="007D17AA">
        <w:rPr>
          <w:rFonts w:asciiTheme="minorHAnsi" w:eastAsiaTheme="minorHAnsi" w:hAnsiTheme="minorHAnsi" w:cstheme="minorHAnsi"/>
        </w:rPr>
        <w:t>ch</w:t>
      </w:r>
      <w:r w:rsidRPr="007D17AA">
        <w:rPr>
          <w:rFonts w:asciiTheme="minorHAnsi" w:eastAsiaTheme="minorHAnsi" w:hAnsiTheme="minorHAnsi" w:cstheme="minorHAnsi"/>
        </w:rPr>
        <w:t xml:space="preserve"> skutečnost</w:t>
      </w:r>
      <w:r w:rsidR="004E3929" w:rsidRPr="007D17AA">
        <w:rPr>
          <w:rFonts w:asciiTheme="minorHAnsi" w:eastAsiaTheme="minorHAnsi" w:hAnsiTheme="minorHAnsi" w:cstheme="minorHAnsi"/>
        </w:rPr>
        <w:t>í</w:t>
      </w:r>
      <w:r w:rsidRPr="007D17AA">
        <w:rPr>
          <w:rFonts w:asciiTheme="minorHAnsi" w:eastAsiaTheme="minorHAnsi" w:hAnsiTheme="minorHAnsi" w:cstheme="minorHAnsi"/>
        </w:rPr>
        <w:t xml:space="preserve"> z let předchozích a roku následujícího.</w:t>
      </w:r>
    </w:p>
    <w:p w14:paraId="22A0E993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Kontrola byla prováděna</w:t>
      </w:r>
      <w:r w:rsidR="00B461B8">
        <w:rPr>
          <w:rFonts w:asciiTheme="minorHAnsi" w:eastAsiaTheme="minorHAnsi" w:hAnsiTheme="minorHAnsi" w:cstheme="minorHAnsi"/>
        </w:rPr>
        <w:t xml:space="preserve"> u kontrolované osoby v době od března do října</w:t>
      </w:r>
      <w:r w:rsidR="005F2754">
        <w:rPr>
          <w:rFonts w:asciiTheme="minorHAnsi" w:eastAsiaTheme="minorHAnsi" w:hAnsiTheme="minorHAnsi" w:cstheme="minorHAnsi"/>
        </w:rPr>
        <w:t xml:space="preserve"> 2018</w:t>
      </w:r>
      <w:r w:rsidRPr="00EC3A0D">
        <w:rPr>
          <w:rFonts w:asciiTheme="minorHAnsi" w:eastAsiaTheme="minorHAnsi" w:hAnsiTheme="minorHAnsi" w:cstheme="minorHAnsi"/>
        </w:rPr>
        <w:t>.</w:t>
      </w:r>
    </w:p>
    <w:p w14:paraId="122D65CD" w14:textId="77777777" w:rsidR="00EC3A0D" w:rsidRPr="00EC3A0D" w:rsidRDefault="00EC3A0D" w:rsidP="00EC3A0D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</w:p>
    <w:p w14:paraId="72A72231" w14:textId="77777777" w:rsidR="00EC3A0D" w:rsidRPr="00FA2354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A2354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FA2354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FA2354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FA2354">
        <w:rPr>
          <w:rFonts w:asciiTheme="minorHAnsi" w:eastAsiaTheme="minorHAnsi" w:hAnsiTheme="minorHAnsi" w:cstheme="minorHAnsi"/>
        </w:rPr>
        <w:t xml:space="preserve">   na svém </w:t>
      </w:r>
      <w:r w:rsidR="00614D03">
        <w:rPr>
          <w:rFonts w:asciiTheme="minorHAnsi" w:eastAsiaTheme="minorHAnsi" w:hAnsiTheme="minorHAnsi" w:cstheme="minorHAnsi"/>
        </w:rPr>
        <w:t>II.</w:t>
      </w:r>
      <w:r w:rsidRPr="00FA2354">
        <w:rPr>
          <w:rFonts w:asciiTheme="minorHAnsi" w:eastAsiaTheme="minorHAnsi" w:hAnsiTheme="minorHAnsi" w:cstheme="minorHAnsi"/>
        </w:rPr>
        <w:t xml:space="preserve"> jednání, které se konalo dne</w:t>
      </w:r>
      <w:r w:rsidR="00243613" w:rsidRPr="00FA2354">
        <w:rPr>
          <w:rFonts w:asciiTheme="minorHAnsi" w:eastAsiaTheme="minorHAnsi" w:hAnsiTheme="minorHAnsi" w:cstheme="minorHAnsi"/>
        </w:rPr>
        <w:t xml:space="preserve"> </w:t>
      </w:r>
      <w:r w:rsidR="00614D03">
        <w:rPr>
          <w:rFonts w:asciiTheme="minorHAnsi" w:eastAsiaTheme="minorHAnsi" w:hAnsiTheme="minorHAnsi" w:cstheme="minorHAnsi"/>
        </w:rPr>
        <w:t>4. února</w:t>
      </w:r>
      <w:r w:rsidRPr="00FA2354">
        <w:rPr>
          <w:rFonts w:asciiTheme="minorHAnsi" w:eastAsiaTheme="minorHAnsi" w:hAnsiTheme="minorHAnsi" w:cstheme="minorHAnsi"/>
        </w:rPr>
        <w:t xml:space="preserve"> 201</w:t>
      </w:r>
      <w:r w:rsidR="00B461B8" w:rsidRPr="00FA2354">
        <w:rPr>
          <w:rFonts w:asciiTheme="minorHAnsi" w:eastAsiaTheme="minorHAnsi" w:hAnsiTheme="minorHAnsi" w:cstheme="minorHAnsi"/>
        </w:rPr>
        <w:t>9</w:t>
      </w:r>
      <w:r w:rsidRPr="00FA2354">
        <w:rPr>
          <w:rFonts w:asciiTheme="minorHAnsi" w:eastAsiaTheme="minorHAnsi" w:hAnsiTheme="minorHAnsi" w:cstheme="minorHAnsi"/>
        </w:rPr>
        <w:t>,</w:t>
      </w:r>
    </w:p>
    <w:p w14:paraId="10D79EE6" w14:textId="77777777" w:rsidR="00EC3A0D" w:rsidRPr="00D90A66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A2354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FA2354">
        <w:rPr>
          <w:rFonts w:asciiTheme="minorHAnsi" w:eastAsiaTheme="minorHAnsi" w:hAnsiTheme="minorHAnsi" w:cstheme="minorHAnsi"/>
        </w:rPr>
        <w:t xml:space="preserve">   usnesením č. </w:t>
      </w:r>
      <w:r w:rsidR="00951168">
        <w:rPr>
          <w:rFonts w:asciiTheme="minorHAnsi" w:eastAsiaTheme="minorHAnsi" w:hAnsiTheme="minorHAnsi" w:cstheme="minorHAnsi"/>
        </w:rPr>
        <w:t>6</w:t>
      </w:r>
      <w:r w:rsidR="00FA2354">
        <w:rPr>
          <w:rFonts w:asciiTheme="minorHAnsi" w:eastAsiaTheme="minorHAnsi" w:hAnsiTheme="minorHAnsi" w:cstheme="minorHAnsi"/>
        </w:rPr>
        <w:t>/</w:t>
      </w:r>
      <w:r w:rsidR="00614D03">
        <w:rPr>
          <w:rFonts w:asciiTheme="minorHAnsi" w:eastAsiaTheme="minorHAnsi" w:hAnsiTheme="minorHAnsi" w:cstheme="minorHAnsi"/>
        </w:rPr>
        <w:t>II</w:t>
      </w:r>
      <w:r w:rsidRPr="00FA2354">
        <w:rPr>
          <w:rFonts w:asciiTheme="minorHAnsi" w:eastAsiaTheme="minorHAnsi" w:hAnsiTheme="minorHAnsi" w:cstheme="minorHAnsi"/>
        </w:rPr>
        <w:t>/201</w:t>
      </w:r>
      <w:r w:rsidR="00B461B8" w:rsidRPr="00FA2354">
        <w:rPr>
          <w:rFonts w:asciiTheme="minorHAnsi" w:eastAsiaTheme="minorHAnsi" w:hAnsiTheme="minorHAnsi" w:cstheme="minorHAnsi"/>
        </w:rPr>
        <w:t>9</w:t>
      </w:r>
    </w:p>
    <w:p w14:paraId="3AF7A304" w14:textId="77777777" w:rsidR="00EC3A0D" w:rsidRDefault="00EC3A0D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18212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18212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18212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2295D">
        <w:rPr>
          <w:rFonts w:asciiTheme="minorHAnsi" w:eastAsiaTheme="minorHAnsi" w:hAnsiTheme="minorHAnsi" w:cstheme="minorHAnsi"/>
        </w:rPr>
        <w:t xml:space="preserve">   v tomto znění:</w:t>
      </w:r>
    </w:p>
    <w:p w14:paraId="4935928A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274399EB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6774816B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7B95D6C9" w14:textId="77777777"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22AE4435" w14:textId="180632CB" w:rsidR="004C3D87" w:rsidRDefault="005F2754" w:rsidP="004C3D87">
      <w:pPr>
        <w:ind w:left="426"/>
        <w:rPr>
          <w:rFonts w:asciiTheme="minorHAnsi" w:eastAsiaTheme="minorHAnsi" w:hAnsiTheme="minorHAnsi" w:cstheme="minorHAnsi"/>
          <w:sz w:val="22"/>
          <w:szCs w:val="22"/>
          <w:highlight w:val="yellow"/>
        </w:rPr>
      </w:pPr>
      <w:r>
        <w:rPr>
          <w:rFonts w:asciiTheme="minorHAnsi" w:eastAsiaTheme="minorHAnsi" w:hAnsiTheme="minorHAnsi" w:cstheme="minorHAnsi"/>
          <w:sz w:val="22"/>
          <w:szCs w:val="22"/>
          <w:highlight w:val="yellow"/>
        </w:rPr>
        <w:br w:type="column"/>
      </w:r>
      <w:r w:rsidR="001877B1">
        <w:rPr>
          <w:rFonts w:asciiTheme="minorHAnsi" w:eastAsiaTheme="minorHAnsi" w:hAnsiTheme="minorHAnsi" w:cstheme="minorHAnsi"/>
          <w:noProof/>
          <w:sz w:val="22"/>
          <w:szCs w:val="22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8EBA35F" wp14:editId="782243F2">
            <wp:simplePos x="0" y="0"/>
            <wp:positionH relativeFrom="page">
              <wp:align>left</wp:align>
            </wp:positionH>
            <wp:positionV relativeFrom="paragraph">
              <wp:posOffset>-900430</wp:posOffset>
            </wp:positionV>
            <wp:extent cx="7590676" cy="107365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_05_Kreslicí plátno 1 kopie 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676" cy="1073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87">
        <w:rPr>
          <w:rFonts w:asciiTheme="minorHAnsi" w:eastAsiaTheme="minorHAnsi" w:hAnsiTheme="minorHAnsi" w:cstheme="minorHAnsi"/>
          <w:sz w:val="22"/>
          <w:szCs w:val="22"/>
          <w:highlight w:val="yellow"/>
        </w:rPr>
        <w:br w:type="page"/>
      </w:r>
    </w:p>
    <w:p w14:paraId="302B5B7D" w14:textId="37C52F24" w:rsidR="0025037A" w:rsidRPr="00F37D8D" w:rsidRDefault="00F37D8D" w:rsidP="00F37D8D">
      <w:pPr>
        <w:ind w:left="426"/>
        <w:rPr>
          <w:b/>
          <w:sz w:val="28"/>
          <w:szCs w:val="28"/>
          <w:u w:val="single"/>
        </w:rPr>
      </w:pPr>
      <w:r w:rsidRPr="00F37D8D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 xml:space="preserve">I. </w:t>
      </w:r>
      <w:r w:rsidR="0025037A" w:rsidRPr="00F37D8D">
        <w:rPr>
          <w:b/>
          <w:sz w:val="28"/>
          <w:szCs w:val="28"/>
          <w:u w:val="single"/>
        </w:rPr>
        <w:t>Shrnutí a vyhodnocení</w:t>
      </w:r>
    </w:p>
    <w:p w14:paraId="0A6190C5" w14:textId="77777777" w:rsidR="0025037A" w:rsidRDefault="0025037A" w:rsidP="0025037A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Cílem kontrolní akce (dále také „KA“) č. 18/05 bylo prověřit, zda Ministerstvo financí při vedení účetnictví v roce 2017 postupovalo v souladu s příslušnými právními </w:t>
      </w:r>
      <w:r w:rsidRPr="000F0802">
        <w:rPr>
          <w:rFonts w:asciiTheme="minorHAnsi" w:eastAsiaTheme="minorHAnsi" w:hAnsiTheme="minorHAnsi" w:cstheme="minorHAnsi"/>
        </w:rPr>
        <w:t>předpisy</w:t>
      </w:r>
      <w:r w:rsidRPr="000F0802">
        <w:rPr>
          <w:rFonts w:asciiTheme="minorHAnsi" w:eastAsiaTheme="minorHAnsi" w:hAnsiTheme="minorHAnsi" w:cstheme="minorHAnsi"/>
          <w:bCs/>
        </w:rPr>
        <w:t xml:space="preserve">, </w:t>
      </w:r>
      <w:r w:rsidRPr="000F0802">
        <w:rPr>
          <w:rFonts w:asciiTheme="minorHAnsi" w:hAnsiTheme="minorHAnsi" w:cstheme="minorHAnsi"/>
        </w:rPr>
        <w:t>zejména</w:t>
      </w:r>
      <w:r>
        <w:rPr>
          <w:rFonts w:asciiTheme="minorHAnsi" w:hAnsiTheme="minorHAnsi" w:cstheme="minorHAnsi"/>
        </w:rPr>
        <w:t xml:space="preserve"> z hlediska </w:t>
      </w:r>
      <w:r w:rsidRPr="00B97E3C">
        <w:rPr>
          <w:rFonts w:asciiTheme="minorHAnsi" w:hAnsiTheme="minorHAnsi" w:cstheme="minorHAnsi"/>
        </w:rPr>
        <w:t>správnost</w:t>
      </w:r>
      <w:r>
        <w:rPr>
          <w:rFonts w:asciiTheme="minorHAnsi" w:hAnsiTheme="minorHAnsi" w:cstheme="minorHAnsi"/>
        </w:rPr>
        <w:t>i</w:t>
      </w:r>
      <w:r w:rsidRPr="00B97E3C">
        <w:rPr>
          <w:rFonts w:asciiTheme="minorHAnsi" w:hAnsiTheme="minorHAnsi" w:cstheme="minorHAnsi"/>
        </w:rPr>
        <w:t>, úplnost</w:t>
      </w:r>
      <w:r>
        <w:rPr>
          <w:rFonts w:asciiTheme="minorHAnsi" w:hAnsiTheme="minorHAnsi" w:cstheme="minorHAnsi"/>
        </w:rPr>
        <w:t>i</w:t>
      </w:r>
      <w:r w:rsidRPr="00B97E3C">
        <w:rPr>
          <w:rFonts w:asciiTheme="minorHAnsi" w:hAnsiTheme="minorHAnsi" w:cstheme="minorHAnsi"/>
        </w:rPr>
        <w:t>, průkaznost</w:t>
      </w:r>
      <w:r>
        <w:rPr>
          <w:rFonts w:asciiTheme="minorHAnsi" w:hAnsiTheme="minorHAnsi" w:cstheme="minorHAnsi"/>
        </w:rPr>
        <w:t>i</w:t>
      </w:r>
      <w:r w:rsidRPr="00B97E3C">
        <w:rPr>
          <w:rFonts w:asciiTheme="minorHAnsi" w:hAnsiTheme="minorHAnsi" w:cstheme="minorHAnsi"/>
        </w:rPr>
        <w:t xml:space="preserve"> a srozum</w:t>
      </w:r>
      <w:r>
        <w:rPr>
          <w:rFonts w:asciiTheme="minorHAnsi" w:hAnsiTheme="minorHAnsi" w:cstheme="minorHAnsi"/>
        </w:rPr>
        <w:t xml:space="preserve">itelnosti vedení účetnictví, </w:t>
      </w:r>
      <w:r w:rsidRPr="00B97E3C">
        <w:rPr>
          <w:rFonts w:asciiTheme="minorHAnsi" w:hAnsiTheme="minorHAnsi" w:cstheme="minorHAnsi"/>
        </w:rPr>
        <w:t>dodržení směr</w:t>
      </w:r>
      <w:r>
        <w:rPr>
          <w:rFonts w:asciiTheme="minorHAnsi" w:hAnsiTheme="minorHAnsi" w:cstheme="minorHAnsi"/>
        </w:rPr>
        <w:t xml:space="preserve">né účtové osnovy, </w:t>
      </w:r>
      <w:r w:rsidRPr="00B97E3C">
        <w:rPr>
          <w:rFonts w:asciiTheme="minorHAnsi" w:hAnsiTheme="minorHAnsi" w:cstheme="minorHAnsi"/>
        </w:rPr>
        <w:t>správnost</w:t>
      </w:r>
      <w:r>
        <w:rPr>
          <w:rFonts w:asciiTheme="minorHAnsi" w:hAnsiTheme="minorHAnsi" w:cstheme="minorHAnsi"/>
        </w:rPr>
        <w:t>i</w:t>
      </w:r>
      <w:r w:rsidRPr="00B97E3C">
        <w:rPr>
          <w:rFonts w:asciiTheme="minorHAnsi" w:hAnsiTheme="minorHAnsi" w:cstheme="minorHAnsi"/>
        </w:rPr>
        <w:t xml:space="preserve"> používaných účetních metod a ostatních podmínek vedení </w:t>
      </w:r>
      <w:r>
        <w:rPr>
          <w:rFonts w:asciiTheme="minorHAnsi" w:hAnsiTheme="minorHAnsi" w:cstheme="minorHAnsi"/>
        </w:rPr>
        <w:t>účetnictví v rámci vybraných oblastí.</w:t>
      </w:r>
    </w:p>
    <w:p w14:paraId="5BFB9E8C" w14:textId="346CA426" w:rsidR="0025037A" w:rsidRDefault="0025037A" w:rsidP="0025037A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Cs/>
        </w:rPr>
        <w:t>Kontrolov</w:t>
      </w:r>
      <w:r w:rsidR="004A37D6">
        <w:rPr>
          <w:rFonts w:asciiTheme="minorHAnsi" w:eastAsiaTheme="minorHAnsi" w:hAnsiTheme="minorHAnsi" w:cstheme="minorHAnsi"/>
          <w:bCs/>
        </w:rPr>
        <w:t xml:space="preserve">ány byly vybrané oblasti účetnictví, a to </w:t>
      </w:r>
      <w:r>
        <w:rPr>
          <w:rFonts w:asciiTheme="minorHAnsi" w:eastAsiaTheme="minorHAnsi" w:hAnsiTheme="minorHAnsi" w:cstheme="minorHAnsi"/>
          <w:bCs/>
        </w:rPr>
        <w:t>operace a zůstatky Národního fondu (dále také „NF“), národní transfery, přehled o peněžních tocích a přehled o změnách vlastního kapitálu</w:t>
      </w:r>
      <w:r w:rsidR="00D1235C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a dále oblasti kontrolované v rámci KA č. 16/03</w:t>
      </w:r>
      <w:r w:rsidR="00641456">
        <w:rPr>
          <w:rStyle w:val="Znakapoznpodarou"/>
          <w:rFonts w:asciiTheme="minorHAnsi" w:eastAsiaTheme="minorHAnsi" w:hAnsiTheme="minorHAnsi" w:cstheme="minorHAnsi"/>
          <w:bCs/>
        </w:rPr>
        <w:footnoteReference w:id="1"/>
      </w:r>
      <w:r>
        <w:rPr>
          <w:rFonts w:asciiTheme="minorHAnsi" w:eastAsiaTheme="minorHAnsi" w:hAnsiTheme="minorHAnsi" w:cstheme="minorHAnsi"/>
          <w:bCs/>
        </w:rPr>
        <w:t xml:space="preserve"> především z titulu prověření </w:t>
      </w:r>
      <w:r>
        <w:rPr>
          <w:rFonts w:asciiTheme="minorHAnsi" w:hAnsiTheme="minorHAnsi" w:cstheme="minorHAnsi"/>
        </w:rPr>
        <w:t>opatření přijatých k nápravě zjištěných nedostatků s dopadem na vedení účetnictví v roce 2017.</w:t>
      </w:r>
    </w:p>
    <w:p w14:paraId="5EFE378D" w14:textId="6CED727C" w:rsidR="009173DD" w:rsidRPr="004B1EEA" w:rsidRDefault="009173DD" w:rsidP="00AF4368">
      <w:pPr>
        <w:spacing w:after="160"/>
        <w:jc w:val="both"/>
        <w:rPr>
          <w:rFonts w:asciiTheme="minorHAnsi" w:hAnsiTheme="minorHAnsi" w:cstheme="minorHAnsi"/>
          <w:b/>
        </w:rPr>
      </w:pPr>
      <w:r w:rsidRPr="004B1EEA">
        <w:rPr>
          <w:rFonts w:asciiTheme="minorHAnsi" w:hAnsiTheme="minorHAnsi" w:cstheme="minorHAnsi"/>
          <w:b/>
        </w:rPr>
        <w:t xml:space="preserve">NKÚ </w:t>
      </w:r>
      <w:r w:rsidR="000A4A13" w:rsidRPr="004B1EEA">
        <w:rPr>
          <w:rFonts w:asciiTheme="minorHAnsi" w:hAnsiTheme="minorHAnsi" w:cstheme="minorHAnsi"/>
          <w:b/>
        </w:rPr>
        <w:t>kontrolou</w:t>
      </w:r>
      <w:r w:rsidRPr="004B1EEA">
        <w:rPr>
          <w:rFonts w:asciiTheme="minorHAnsi" w:hAnsiTheme="minorHAnsi" w:cstheme="minorHAnsi"/>
          <w:b/>
        </w:rPr>
        <w:t xml:space="preserve"> zjistil</w:t>
      </w:r>
      <w:r w:rsidRPr="001C2A11">
        <w:rPr>
          <w:rFonts w:asciiTheme="minorHAnsi" w:hAnsiTheme="minorHAnsi" w:cstheme="minorHAnsi"/>
          <w:b/>
        </w:rPr>
        <w:t xml:space="preserve"> </w:t>
      </w:r>
      <w:r w:rsidR="0025037A" w:rsidRPr="004B1EEA">
        <w:rPr>
          <w:rFonts w:asciiTheme="minorHAnsi" w:hAnsiTheme="minorHAnsi" w:cstheme="minorHAnsi"/>
          <w:b/>
        </w:rPr>
        <w:t>nedostatky v</w:t>
      </w:r>
      <w:r w:rsidR="00BE667A" w:rsidRPr="004B1EEA">
        <w:rPr>
          <w:rFonts w:asciiTheme="minorHAnsi" w:hAnsiTheme="minorHAnsi" w:cstheme="minorHAnsi"/>
          <w:b/>
        </w:rPr>
        <w:t>e vedení</w:t>
      </w:r>
      <w:r w:rsidR="0025037A" w:rsidRPr="004B1EEA">
        <w:rPr>
          <w:rFonts w:asciiTheme="minorHAnsi" w:hAnsiTheme="minorHAnsi" w:cstheme="minorHAnsi"/>
          <w:b/>
        </w:rPr>
        <w:t> účetnictví</w:t>
      </w:r>
      <w:r w:rsidR="00BE667A" w:rsidRPr="004B1EEA">
        <w:rPr>
          <w:rFonts w:asciiTheme="minorHAnsi" w:hAnsiTheme="minorHAnsi" w:cstheme="minorHAnsi"/>
          <w:b/>
        </w:rPr>
        <w:t xml:space="preserve"> Národního fondu, např.</w:t>
      </w:r>
      <w:r w:rsidR="0025037A" w:rsidRPr="004B1EEA">
        <w:rPr>
          <w:rFonts w:asciiTheme="minorHAnsi" w:hAnsiTheme="minorHAnsi" w:cstheme="minorHAnsi"/>
          <w:b/>
        </w:rPr>
        <w:t xml:space="preserve"> </w:t>
      </w:r>
      <w:r w:rsidR="00BE667A" w:rsidRPr="004B1EEA">
        <w:rPr>
          <w:rFonts w:asciiTheme="minorHAnsi" w:hAnsiTheme="minorHAnsi" w:cstheme="minorHAnsi"/>
          <w:b/>
        </w:rPr>
        <w:t>vykázání neexistujících pohledávek Národního fondu za Evropskou komisí (dále také „Komise“) minimálně ve výši 600,5 mil. Kč (</w:t>
      </w:r>
      <w:r w:rsidR="00951168">
        <w:rPr>
          <w:rFonts w:asciiTheme="minorHAnsi" w:hAnsiTheme="minorHAnsi" w:cstheme="minorHAnsi"/>
          <w:b/>
        </w:rPr>
        <w:t>riziko se týká celého v rozvaze vykázaného nároku</w:t>
      </w:r>
      <w:r w:rsidR="00BE667A" w:rsidRPr="004B1EEA">
        <w:rPr>
          <w:rFonts w:asciiTheme="minorHAnsi" w:hAnsiTheme="minorHAnsi" w:cstheme="minorHAnsi"/>
          <w:b/>
        </w:rPr>
        <w:t xml:space="preserve"> 5,69</w:t>
      </w:r>
      <w:r w:rsidR="00BC66AB">
        <w:rPr>
          <w:rFonts w:asciiTheme="minorHAnsi" w:hAnsiTheme="minorHAnsi" w:cstheme="minorHAnsi"/>
          <w:b/>
        </w:rPr>
        <w:t> </w:t>
      </w:r>
      <w:r w:rsidR="00BE667A" w:rsidRPr="004B1EEA">
        <w:rPr>
          <w:rFonts w:asciiTheme="minorHAnsi" w:hAnsiTheme="minorHAnsi" w:cstheme="minorHAnsi"/>
          <w:b/>
        </w:rPr>
        <w:t>mld.</w:t>
      </w:r>
      <w:r w:rsidR="00BC66AB">
        <w:rPr>
          <w:rFonts w:asciiTheme="minorHAnsi" w:hAnsiTheme="minorHAnsi" w:cstheme="minorHAnsi"/>
          <w:b/>
        </w:rPr>
        <w:t> </w:t>
      </w:r>
      <w:r w:rsidR="00BE667A" w:rsidRPr="004B1EEA">
        <w:rPr>
          <w:rFonts w:asciiTheme="minorHAnsi" w:hAnsiTheme="minorHAnsi" w:cstheme="minorHAnsi"/>
          <w:b/>
        </w:rPr>
        <w:t>Kč). Dále byla zjištěna nesprávnost ve</w:t>
      </w:r>
      <w:r w:rsidRPr="004B1EEA">
        <w:rPr>
          <w:rFonts w:asciiTheme="minorHAnsi" w:hAnsiTheme="minorHAnsi" w:cstheme="minorHAnsi"/>
          <w:b/>
        </w:rPr>
        <w:t xml:space="preserve"> </w:t>
      </w:r>
      <w:r w:rsidR="00151F0E" w:rsidRPr="004B1EEA">
        <w:rPr>
          <w:rFonts w:asciiTheme="minorHAnsi" w:hAnsiTheme="minorHAnsi" w:cstheme="minorHAnsi"/>
          <w:b/>
        </w:rPr>
        <w:t>vyk</w:t>
      </w:r>
      <w:r w:rsidR="00BE667A" w:rsidRPr="004B1EEA">
        <w:rPr>
          <w:rFonts w:asciiTheme="minorHAnsi" w:hAnsiTheme="minorHAnsi" w:cstheme="minorHAnsi"/>
          <w:b/>
        </w:rPr>
        <w:t>ázá</w:t>
      </w:r>
      <w:r w:rsidR="00151F0E" w:rsidRPr="004B1EEA">
        <w:rPr>
          <w:rFonts w:asciiTheme="minorHAnsi" w:hAnsiTheme="minorHAnsi" w:cstheme="minorHAnsi"/>
          <w:b/>
        </w:rPr>
        <w:t>ní peněžních toků z provozní činnosti</w:t>
      </w:r>
      <w:r w:rsidRPr="004B1EEA">
        <w:rPr>
          <w:rFonts w:asciiTheme="minorHAnsi" w:hAnsiTheme="minorHAnsi" w:cstheme="minorHAnsi"/>
          <w:b/>
        </w:rPr>
        <w:t xml:space="preserve"> ve výši 71,6 mld. Kč</w:t>
      </w:r>
      <w:r w:rsidR="00DC0C21" w:rsidRPr="004B1EEA">
        <w:rPr>
          <w:rFonts w:asciiTheme="minorHAnsi" w:hAnsiTheme="minorHAnsi" w:cstheme="minorHAnsi"/>
          <w:b/>
        </w:rPr>
        <w:t>, k</w:t>
      </w:r>
      <w:r w:rsidR="00BE667A" w:rsidRPr="004B1EEA">
        <w:rPr>
          <w:rFonts w:asciiTheme="minorHAnsi" w:hAnsiTheme="minorHAnsi" w:cstheme="minorHAnsi"/>
          <w:b/>
        </w:rPr>
        <w:t xml:space="preserve">e kterým ve skutečnosti nedošlo. </w:t>
      </w:r>
      <w:r w:rsidR="00BE35FE" w:rsidRPr="004B1EEA">
        <w:rPr>
          <w:rFonts w:asciiTheme="minorHAnsi" w:hAnsiTheme="minorHAnsi" w:cstheme="minorHAnsi"/>
          <w:b/>
        </w:rPr>
        <w:t>V</w:t>
      </w:r>
      <w:r w:rsidR="00445B64" w:rsidRPr="004B1EEA">
        <w:rPr>
          <w:rFonts w:asciiTheme="minorHAnsi" w:hAnsiTheme="minorHAnsi" w:cstheme="minorHAnsi"/>
          <w:b/>
        </w:rPr>
        <w:t xml:space="preserve"> ostatních kontrolovaných oblastech </w:t>
      </w:r>
      <w:r w:rsidR="00BE35FE" w:rsidRPr="004B1EEA">
        <w:rPr>
          <w:rFonts w:asciiTheme="minorHAnsi" w:hAnsiTheme="minorHAnsi" w:cstheme="minorHAnsi"/>
          <w:b/>
        </w:rPr>
        <w:t xml:space="preserve">NKÚ nezjistil významné nedostatky představující porušení právních předpisů </w:t>
      </w:r>
      <w:r w:rsidR="00445B64" w:rsidRPr="004B1EEA">
        <w:rPr>
          <w:rFonts w:asciiTheme="minorHAnsi" w:hAnsiTheme="minorHAnsi" w:cstheme="minorHAnsi"/>
          <w:b/>
        </w:rPr>
        <w:t xml:space="preserve">při vedení </w:t>
      </w:r>
      <w:r w:rsidR="00BE35FE" w:rsidRPr="004B1EEA">
        <w:rPr>
          <w:rFonts w:asciiTheme="minorHAnsi" w:hAnsiTheme="minorHAnsi" w:cstheme="minorHAnsi"/>
          <w:b/>
        </w:rPr>
        <w:t>účetnictví</w:t>
      </w:r>
      <w:r w:rsidR="00445B64" w:rsidRPr="004B1EEA">
        <w:rPr>
          <w:rFonts w:asciiTheme="minorHAnsi" w:hAnsiTheme="minorHAnsi" w:cstheme="minorHAnsi"/>
          <w:b/>
        </w:rPr>
        <w:t xml:space="preserve">. </w:t>
      </w:r>
    </w:p>
    <w:p w14:paraId="59A5FC21" w14:textId="6C4DFC79" w:rsidR="0025037A" w:rsidRDefault="00445B64" w:rsidP="0025037A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4B1EEA">
        <w:rPr>
          <w:rFonts w:asciiTheme="minorHAnsi" w:hAnsiTheme="minorHAnsi" w:cstheme="minorHAnsi"/>
          <w:b/>
        </w:rPr>
        <w:t>NKÚ</w:t>
      </w:r>
      <w:r>
        <w:rPr>
          <w:rFonts w:asciiTheme="minorHAnsi" w:hAnsiTheme="minorHAnsi" w:cstheme="minorHAnsi"/>
        </w:rPr>
        <w:t xml:space="preserve"> </w:t>
      </w:r>
      <w:r w:rsidR="000A4A13" w:rsidRPr="000A4A13">
        <w:rPr>
          <w:rFonts w:asciiTheme="minorHAnsi" w:hAnsiTheme="minorHAnsi" w:cstheme="minorHAnsi"/>
        </w:rPr>
        <w:t>d</w:t>
      </w:r>
      <w:r w:rsidR="000A4A13">
        <w:rPr>
          <w:rFonts w:asciiTheme="minorHAnsi" w:hAnsiTheme="minorHAnsi" w:cstheme="minorHAnsi"/>
        </w:rPr>
        <w:t>ále</w:t>
      </w:r>
      <w:r w:rsidR="009173DD" w:rsidRPr="000A4A13">
        <w:rPr>
          <w:rFonts w:asciiTheme="minorHAnsi" w:hAnsiTheme="minorHAnsi" w:cstheme="minorHAnsi"/>
        </w:rPr>
        <w:t xml:space="preserve"> identifikoval</w:t>
      </w:r>
      <w:r w:rsidR="009173DD">
        <w:rPr>
          <w:rFonts w:asciiTheme="minorHAnsi" w:hAnsiTheme="minorHAnsi" w:cstheme="minorHAnsi"/>
        </w:rPr>
        <w:t xml:space="preserve"> rizika a souvislosti, jež nebyly nesprávnostmi, </w:t>
      </w:r>
      <w:r w:rsidR="00993CB4">
        <w:rPr>
          <w:rFonts w:asciiTheme="minorHAnsi" w:hAnsiTheme="minorHAnsi" w:cstheme="minorHAnsi"/>
        </w:rPr>
        <w:t xml:space="preserve">ale NKÚ na jejich základě </w:t>
      </w:r>
      <w:r w:rsidR="00993CB4" w:rsidRPr="004B1EEA">
        <w:rPr>
          <w:rFonts w:asciiTheme="minorHAnsi" w:hAnsiTheme="minorHAnsi" w:cstheme="minorHAnsi"/>
          <w:b/>
        </w:rPr>
        <w:t>doporučuje</w:t>
      </w:r>
      <w:r w:rsidR="009173DD" w:rsidRPr="004B1EEA">
        <w:rPr>
          <w:rFonts w:asciiTheme="minorHAnsi" w:hAnsiTheme="minorHAnsi" w:cstheme="minorHAnsi"/>
          <w:b/>
        </w:rPr>
        <w:t xml:space="preserve"> MF, jako ústřednímu orgánu státní správy pro účetnictví</w:t>
      </w:r>
      <w:r w:rsidR="009173DD" w:rsidRPr="004B1EEA">
        <w:rPr>
          <w:rStyle w:val="Znakapoznpodarou"/>
          <w:rFonts w:asciiTheme="minorHAnsi" w:hAnsiTheme="minorHAnsi" w:cstheme="minorHAnsi"/>
          <w:b/>
        </w:rPr>
        <w:footnoteReference w:id="2"/>
      </w:r>
      <w:r w:rsidR="009173DD" w:rsidRPr="004B1EEA">
        <w:rPr>
          <w:rFonts w:asciiTheme="minorHAnsi" w:hAnsiTheme="minorHAnsi" w:cstheme="minorHAnsi"/>
          <w:b/>
        </w:rPr>
        <w:t>,</w:t>
      </w:r>
      <w:r w:rsidR="00993CB4" w:rsidRPr="004B1EEA">
        <w:rPr>
          <w:rFonts w:asciiTheme="minorHAnsi" w:hAnsiTheme="minorHAnsi" w:cstheme="minorHAnsi"/>
          <w:b/>
        </w:rPr>
        <w:t xml:space="preserve"> úpravu</w:t>
      </w:r>
      <w:r w:rsidR="009173DD" w:rsidRPr="004B1EEA">
        <w:rPr>
          <w:rFonts w:asciiTheme="minorHAnsi" w:hAnsiTheme="minorHAnsi" w:cstheme="minorHAnsi"/>
          <w:b/>
        </w:rPr>
        <w:t xml:space="preserve"> účetních předpisů a upozorňuje na významné systémové dopady na účetnictví.</w:t>
      </w:r>
      <w:r w:rsidR="0025037A">
        <w:rPr>
          <w:rFonts w:asciiTheme="minorHAnsi" w:hAnsiTheme="minorHAnsi" w:cstheme="minorHAnsi"/>
        </w:rPr>
        <w:t xml:space="preserve"> </w:t>
      </w:r>
    </w:p>
    <w:p w14:paraId="4FC66B02" w14:textId="77777777" w:rsidR="0025037A" w:rsidRDefault="0025037A" w:rsidP="0025037A">
      <w:pPr>
        <w:pStyle w:val="Odstavecseseznamem"/>
        <w:spacing w:after="0"/>
        <w:ind w:left="0"/>
        <w:contextualSpacing w:val="0"/>
        <w:jc w:val="both"/>
        <w:rPr>
          <w:rFonts w:asciiTheme="minorHAnsi" w:hAnsiTheme="minorHAnsi" w:cs="Arial"/>
          <w:b/>
          <w:bCs/>
          <w:iCs/>
        </w:rPr>
      </w:pPr>
    </w:p>
    <w:p w14:paraId="0A041095" w14:textId="77777777" w:rsidR="0025037A" w:rsidRPr="002C0211" w:rsidRDefault="0025037A" w:rsidP="00AF4368">
      <w:pPr>
        <w:pStyle w:val="Odstavecseseznamem"/>
        <w:numPr>
          <w:ilvl w:val="0"/>
          <w:numId w:val="18"/>
        </w:numPr>
        <w:spacing w:after="160"/>
        <w:ind w:left="0" w:firstLine="0"/>
        <w:contextualSpacing w:val="0"/>
        <w:jc w:val="both"/>
        <w:rPr>
          <w:rFonts w:cs="Calibri"/>
          <w:b/>
          <w:u w:val="single"/>
        </w:rPr>
      </w:pPr>
      <w:r w:rsidRPr="002C0211">
        <w:rPr>
          <w:rFonts w:cs="Calibri"/>
          <w:b/>
          <w:u w:val="single"/>
        </w:rPr>
        <w:t xml:space="preserve">Systémové problémy a </w:t>
      </w:r>
      <w:r w:rsidR="00FB54E6">
        <w:rPr>
          <w:rFonts w:cs="Calibri"/>
          <w:b/>
          <w:u w:val="single"/>
        </w:rPr>
        <w:t>dopady na účetní výkazy</w:t>
      </w:r>
    </w:p>
    <w:p w14:paraId="58FCEA56" w14:textId="06DBB0DC" w:rsidR="0025037A" w:rsidRPr="00720ADC" w:rsidRDefault="005A1D9B" w:rsidP="00720ADC">
      <w:pPr>
        <w:spacing w:after="160"/>
        <w:ind w:left="426" w:hanging="426"/>
        <w:jc w:val="both"/>
        <w:rPr>
          <w:rFonts w:cs="Calibri"/>
          <w:b/>
        </w:rPr>
      </w:pPr>
      <w:r>
        <w:rPr>
          <w:rFonts w:cs="Calibri"/>
          <w:b/>
        </w:rPr>
        <w:t xml:space="preserve">1.1 </w:t>
      </w:r>
      <w:r w:rsidR="0025037A" w:rsidRPr="00720ADC">
        <w:rPr>
          <w:rFonts w:cs="Calibri"/>
          <w:b/>
        </w:rPr>
        <w:t xml:space="preserve">Právní předpis nevhodně upravuje způsob naplnění </w:t>
      </w:r>
      <w:r w:rsidR="00BB74DD" w:rsidRPr="00720ADC">
        <w:rPr>
          <w:rFonts w:cs="Calibri"/>
          <w:b/>
        </w:rPr>
        <w:t xml:space="preserve">položek </w:t>
      </w:r>
      <w:r w:rsidR="0025037A" w:rsidRPr="00720ADC">
        <w:rPr>
          <w:rFonts w:cs="Calibri"/>
          <w:b/>
        </w:rPr>
        <w:t>přehledu o peněžních tocích</w:t>
      </w:r>
    </w:p>
    <w:p w14:paraId="79B6C6A5" w14:textId="351CA7FD" w:rsidR="00822739" w:rsidRPr="00720ADC" w:rsidRDefault="00FB31A8" w:rsidP="00AF4368">
      <w:pPr>
        <w:tabs>
          <w:tab w:val="left" w:pos="1276"/>
        </w:tabs>
        <w:spacing w:after="160"/>
        <w:jc w:val="both"/>
        <w:rPr>
          <w:rFonts w:cstheme="minorHAnsi"/>
        </w:rPr>
      </w:pPr>
      <w:r w:rsidRPr="00363F8A">
        <w:rPr>
          <w:rFonts w:cstheme="minorHAnsi"/>
        </w:rPr>
        <w:t>Zatímco položka C.II</w:t>
      </w:r>
      <w:r w:rsidR="00324A6B">
        <w:rPr>
          <w:rFonts w:cstheme="minorHAnsi"/>
        </w:rPr>
        <w:t>.</w:t>
      </w:r>
      <w:r w:rsidRPr="00363F8A">
        <w:rPr>
          <w:rFonts w:cstheme="minorHAnsi"/>
        </w:rPr>
        <w:t xml:space="preserve"> </w:t>
      </w:r>
      <w:r w:rsidRPr="004D11F4">
        <w:rPr>
          <w:rFonts w:cstheme="minorHAnsi"/>
          <w:i/>
        </w:rPr>
        <w:t>Změna stavu dlouhodobých závazků</w:t>
      </w:r>
      <w:r w:rsidRPr="00363F8A">
        <w:rPr>
          <w:rFonts w:cstheme="minorHAnsi"/>
        </w:rPr>
        <w:t xml:space="preserve"> přehledu o peněžních tocích je dle vyhlášky č. 410/2009 Sb.</w:t>
      </w:r>
      <w:r w:rsidR="00BB74DD">
        <w:rPr>
          <w:rStyle w:val="Znakapoznpodarou"/>
          <w:rFonts w:cstheme="minorHAnsi"/>
        </w:rPr>
        <w:footnoteReference w:id="3"/>
      </w:r>
      <w:r w:rsidRPr="00363F8A">
        <w:rPr>
          <w:rFonts w:cstheme="minorHAnsi"/>
        </w:rPr>
        <w:t xml:space="preserve"> určena pro </w:t>
      </w:r>
      <w:r w:rsidR="00827855">
        <w:rPr>
          <w:rFonts w:cstheme="minorHAnsi"/>
        </w:rPr>
        <w:t xml:space="preserve">zvýšení či snížení </w:t>
      </w:r>
      <w:r w:rsidRPr="00363F8A">
        <w:rPr>
          <w:rFonts w:cstheme="minorHAnsi"/>
        </w:rPr>
        <w:t xml:space="preserve">stavu dlouhodobých závazků, aniž by se </w:t>
      </w:r>
      <w:r w:rsidR="00827855">
        <w:rPr>
          <w:rFonts w:cstheme="minorHAnsi"/>
        </w:rPr>
        <w:t xml:space="preserve">jednoznačně </w:t>
      </w:r>
      <w:r w:rsidRPr="00363F8A">
        <w:rPr>
          <w:rFonts w:cstheme="minorHAnsi"/>
        </w:rPr>
        <w:t>vyžadovalo rozlišovat peněžní a nepeněžní toky, tak součtová položka C.</w:t>
      </w:r>
      <w:r w:rsidR="001C2A11">
        <w:rPr>
          <w:rFonts w:cstheme="minorHAnsi"/>
        </w:rPr>
        <w:t> </w:t>
      </w:r>
      <w:r w:rsidRPr="004D11F4">
        <w:rPr>
          <w:rFonts w:cstheme="minorHAnsi"/>
          <w:i/>
        </w:rPr>
        <w:t>Peněžní toky z</w:t>
      </w:r>
      <w:r w:rsidRPr="004D11F4">
        <w:rPr>
          <w:rFonts w:cstheme="minorHAnsi"/>
        </w:rPr>
        <w:t> </w:t>
      </w:r>
      <w:r w:rsidRPr="004D11F4">
        <w:rPr>
          <w:rFonts w:cstheme="minorHAnsi"/>
          <w:i/>
        </w:rPr>
        <w:t>vlastního kapitálu, dlouhodobých závazků a dlouhodobých pohledávek</w:t>
      </w:r>
      <w:r w:rsidRPr="00363F8A">
        <w:rPr>
          <w:rFonts w:cstheme="minorHAnsi"/>
        </w:rPr>
        <w:t xml:space="preserve"> je vymezena pro </w:t>
      </w:r>
      <w:r w:rsidR="00827855" w:rsidRPr="00827855">
        <w:rPr>
          <w:rFonts w:cstheme="minorHAnsi"/>
        </w:rPr>
        <w:t>zvýšení či snížení stavu peněžních prostředků</w:t>
      </w:r>
      <w:r w:rsidRPr="00363F8A">
        <w:rPr>
          <w:rFonts w:cstheme="minorHAnsi"/>
        </w:rPr>
        <w:t xml:space="preserve">. Vzniká tak </w:t>
      </w:r>
      <w:r w:rsidR="00827855">
        <w:rPr>
          <w:rFonts w:cstheme="minorHAnsi"/>
        </w:rPr>
        <w:t xml:space="preserve">při aplikaci </w:t>
      </w:r>
      <w:r w:rsidRPr="00363F8A">
        <w:rPr>
          <w:rFonts w:cstheme="minorHAnsi"/>
        </w:rPr>
        <w:t>rozpor mezi vymezením součtové a detailnější položky, který může vést ke zkreslení vykázaných informací.</w:t>
      </w:r>
      <w:r w:rsidRPr="004D11F4">
        <w:rPr>
          <w:rFonts w:cstheme="minorHAnsi"/>
        </w:rPr>
        <w:t xml:space="preserve"> </w:t>
      </w:r>
      <w:r w:rsidR="0025037A" w:rsidRPr="004D11F4">
        <w:rPr>
          <w:rFonts w:cstheme="minorHAnsi"/>
        </w:rPr>
        <w:t>Vyhláška č.</w:t>
      </w:r>
      <w:r w:rsidR="00A84AC8">
        <w:rPr>
          <w:rFonts w:cstheme="minorHAnsi"/>
        </w:rPr>
        <w:t> </w:t>
      </w:r>
      <w:r w:rsidR="0025037A" w:rsidRPr="004D11F4">
        <w:rPr>
          <w:rFonts w:cstheme="minorHAnsi"/>
        </w:rPr>
        <w:t>410/2009 Sb. podle názoru NKÚ</w:t>
      </w:r>
      <w:r w:rsidR="0025037A" w:rsidRPr="0068402D">
        <w:rPr>
          <w:rFonts w:cstheme="minorHAnsi"/>
        </w:rPr>
        <w:t xml:space="preserve"> nestanovuje jednoznačný postup, jakým způsobem</w:t>
      </w:r>
      <w:r w:rsidR="00D1235C">
        <w:rPr>
          <w:rFonts w:cstheme="minorHAnsi"/>
        </w:rPr>
        <w:t>,</w:t>
      </w:r>
      <w:r w:rsidR="0025037A" w:rsidRPr="0068402D">
        <w:rPr>
          <w:rFonts w:cstheme="minorHAnsi"/>
        </w:rPr>
        <w:t xml:space="preserve"> resp. prostřednictvím jaké položky přehledu o peněžních tocích</w:t>
      </w:r>
      <w:r w:rsidR="00D1235C">
        <w:rPr>
          <w:rFonts w:cstheme="minorHAnsi"/>
        </w:rPr>
        <w:t>,</w:t>
      </w:r>
      <w:r w:rsidR="0025037A" w:rsidRPr="0068402D">
        <w:rPr>
          <w:rFonts w:cstheme="minorHAnsi"/>
        </w:rPr>
        <w:t xml:space="preserve"> vyloučit </w:t>
      </w:r>
      <w:r w:rsidR="00D1235C" w:rsidRPr="0068402D">
        <w:rPr>
          <w:rFonts w:cstheme="minorHAnsi"/>
        </w:rPr>
        <w:t xml:space="preserve">z přehledu o peněžních tocích </w:t>
      </w:r>
      <w:r w:rsidR="0025037A" w:rsidRPr="0068402D">
        <w:rPr>
          <w:rFonts w:cstheme="minorHAnsi"/>
        </w:rPr>
        <w:t xml:space="preserve">nepeněžní transakce týkající se </w:t>
      </w:r>
      <w:r w:rsidR="0025037A" w:rsidRPr="0025037A">
        <w:rPr>
          <w:rFonts w:cstheme="minorHAnsi"/>
        </w:rPr>
        <w:t>položky C.II</w:t>
      </w:r>
      <w:r w:rsidR="00324A6B">
        <w:rPr>
          <w:rFonts w:cstheme="minorHAnsi"/>
        </w:rPr>
        <w:t>.</w:t>
      </w:r>
      <w:r w:rsidR="0025037A" w:rsidRPr="0068402D">
        <w:rPr>
          <w:rFonts w:cstheme="minorHAnsi"/>
          <w:i/>
        </w:rPr>
        <w:t xml:space="preserve"> Změna stavu dlouhodobých závazků</w:t>
      </w:r>
      <w:r w:rsidR="0025037A" w:rsidRPr="00720ADC">
        <w:rPr>
          <w:rFonts w:cstheme="minorHAnsi"/>
        </w:rPr>
        <w:t>.</w:t>
      </w:r>
      <w:r w:rsidR="00BC1BDC" w:rsidRPr="00720ADC">
        <w:rPr>
          <w:rFonts w:cstheme="minorHAnsi"/>
        </w:rPr>
        <w:t xml:space="preserve"> </w:t>
      </w:r>
    </w:p>
    <w:p w14:paraId="73EFAD3C" w14:textId="77777777" w:rsidR="0025037A" w:rsidRPr="00363F8A" w:rsidRDefault="00BA23B9" w:rsidP="00AF4368">
      <w:pPr>
        <w:tabs>
          <w:tab w:val="left" w:pos="1276"/>
        </w:tabs>
        <w:spacing w:after="160"/>
        <w:jc w:val="both"/>
        <w:rPr>
          <w:rFonts w:cstheme="minorHAnsi"/>
        </w:rPr>
      </w:pPr>
      <w:r>
        <w:rPr>
          <w:rFonts w:cstheme="minorHAnsi"/>
        </w:rPr>
        <w:t>NKÚ doporuču</w:t>
      </w:r>
      <w:r w:rsidR="00FB31A8">
        <w:rPr>
          <w:rFonts w:cstheme="minorHAnsi"/>
        </w:rPr>
        <w:t xml:space="preserve">je, aby právní předpis nastavil </w:t>
      </w:r>
      <w:r>
        <w:rPr>
          <w:rFonts w:cstheme="minorHAnsi"/>
        </w:rPr>
        <w:t xml:space="preserve">jednoznačný způsob provedení úpravy </w:t>
      </w:r>
      <w:r w:rsidR="0071400D">
        <w:rPr>
          <w:rFonts w:cstheme="minorHAnsi"/>
        </w:rPr>
        <w:t xml:space="preserve">vykazovaných </w:t>
      </w:r>
      <w:r>
        <w:rPr>
          <w:rFonts w:cstheme="minorHAnsi"/>
        </w:rPr>
        <w:t xml:space="preserve">peněžních toků o </w:t>
      </w:r>
      <w:r w:rsidRPr="003678F6">
        <w:rPr>
          <w:rFonts w:cstheme="minorHAnsi"/>
        </w:rPr>
        <w:t>nepeněžní transakce</w:t>
      </w:r>
      <w:r>
        <w:rPr>
          <w:rFonts w:cstheme="minorHAnsi"/>
        </w:rPr>
        <w:t xml:space="preserve">, a to tak, aby na souhrnných položkách o peněžních tocích </w:t>
      </w:r>
      <w:r w:rsidRPr="0025037A">
        <w:rPr>
          <w:rFonts w:cstheme="minorHAnsi"/>
        </w:rPr>
        <w:t>A.</w:t>
      </w:r>
      <w:r w:rsidRPr="00375452">
        <w:rPr>
          <w:rFonts w:cstheme="minorHAnsi"/>
          <w:i/>
        </w:rPr>
        <w:t xml:space="preserve"> Peněžní toky z provozní činnosti</w:t>
      </w:r>
      <w:r w:rsidRPr="00720ADC">
        <w:rPr>
          <w:rFonts w:cstheme="minorHAnsi"/>
        </w:rPr>
        <w:t xml:space="preserve">, </w:t>
      </w:r>
      <w:r w:rsidRPr="0025037A">
        <w:rPr>
          <w:rFonts w:cstheme="minorHAnsi"/>
        </w:rPr>
        <w:t>B.</w:t>
      </w:r>
      <w:r>
        <w:rPr>
          <w:rFonts w:cstheme="minorHAnsi"/>
          <w:i/>
        </w:rPr>
        <w:t xml:space="preserve"> Pe</w:t>
      </w:r>
      <w:r w:rsidRPr="00C91BAD">
        <w:rPr>
          <w:rFonts w:cstheme="minorHAnsi"/>
          <w:i/>
        </w:rPr>
        <w:t>něžní toky</w:t>
      </w:r>
      <w:r w:rsidRPr="00375452">
        <w:rPr>
          <w:rFonts w:cstheme="minorHAnsi"/>
          <w:i/>
        </w:rPr>
        <w:t xml:space="preserve"> z dlouhodobých aktiv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a</w:t>
      </w:r>
      <w:r w:rsidR="00113E5B">
        <w:rPr>
          <w:rFonts w:cstheme="minorHAnsi"/>
        </w:rPr>
        <w:t> </w:t>
      </w:r>
      <w:r>
        <w:rPr>
          <w:rFonts w:cstheme="minorHAnsi"/>
        </w:rPr>
        <w:t>C</w:t>
      </w:r>
      <w:r w:rsidRPr="00375452">
        <w:rPr>
          <w:rFonts w:cstheme="minorHAnsi"/>
          <w:i/>
        </w:rPr>
        <w:t>. Peněžní toky z</w:t>
      </w:r>
      <w:r>
        <w:rPr>
          <w:rFonts w:cstheme="minorHAnsi"/>
        </w:rPr>
        <w:t> </w:t>
      </w:r>
      <w:r w:rsidRPr="00184F8E">
        <w:rPr>
          <w:rFonts w:cstheme="minorHAnsi"/>
          <w:i/>
        </w:rPr>
        <w:t>vlastního kapitálu, dlouhodobých závazků a</w:t>
      </w:r>
      <w:r w:rsidR="005821E4">
        <w:rPr>
          <w:rFonts w:cstheme="minorHAnsi"/>
          <w:i/>
        </w:rPr>
        <w:t> </w:t>
      </w:r>
      <w:r w:rsidRPr="00184F8E">
        <w:rPr>
          <w:rFonts w:cstheme="minorHAnsi"/>
          <w:i/>
        </w:rPr>
        <w:t>dlouhodobých pohledávek</w:t>
      </w:r>
      <w:r>
        <w:rPr>
          <w:rFonts w:cstheme="minorHAnsi"/>
        </w:rPr>
        <w:t xml:space="preserve"> byly vykazovány jen peněžní toky a nevznikal problém s nepeněžními transakcemi</w:t>
      </w:r>
      <w:r w:rsidR="000A4A13">
        <w:rPr>
          <w:rStyle w:val="Znakapoznpodarou"/>
          <w:rFonts w:cstheme="minorHAnsi"/>
        </w:rPr>
        <w:footnoteReference w:id="4"/>
      </w:r>
      <w:r>
        <w:rPr>
          <w:rFonts w:cstheme="minorHAnsi"/>
        </w:rPr>
        <w:t>.</w:t>
      </w:r>
      <w:r w:rsidR="00BC2BBB">
        <w:rPr>
          <w:rFonts w:cstheme="minorHAnsi"/>
        </w:rPr>
        <w:t xml:space="preserve"> </w:t>
      </w:r>
    </w:p>
    <w:p w14:paraId="4CD5DC65" w14:textId="77777777" w:rsidR="0025037A" w:rsidRPr="005A4235" w:rsidRDefault="00662BC9" w:rsidP="0025037A">
      <w:pPr>
        <w:pStyle w:val="Odstavecseseznamem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Uvedený</w:t>
      </w:r>
      <w:r w:rsidR="00653D4B" w:rsidRPr="005A4235">
        <w:rPr>
          <w:rFonts w:asciiTheme="minorHAnsi" w:hAnsiTheme="minorHAnsi" w:cstheme="minorHAnsi"/>
        </w:rPr>
        <w:t xml:space="preserve"> rozpor se i se svými důsledky projevil </w:t>
      </w:r>
      <w:r w:rsidR="0025037A" w:rsidRPr="005A4235">
        <w:rPr>
          <w:rFonts w:asciiTheme="minorHAnsi" w:hAnsiTheme="minorHAnsi" w:cstheme="minorHAnsi"/>
        </w:rPr>
        <w:t>ve výkazu přehled o peněžních tocích</w:t>
      </w:r>
      <w:r w:rsidR="004D11F4" w:rsidRPr="005A4235">
        <w:rPr>
          <w:rFonts w:asciiTheme="minorHAnsi" w:hAnsiTheme="minorHAnsi" w:cstheme="minorHAnsi"/>
        </w:rPr>
        <w:t xml:space="preserve"> k 31.</w:t>
      </w:r>
      <w:r w:rsidR="00A84AC8">
        <w:rPr>
          <w:rFonts w:asciiTheme="minorHAnsi" w:hAnsiTheme="minorHAnsi" w:cstheme="minorHAnsi"/>
        </w:rPr>
        <w:t> </w:t>
      </w:r>
      <w:r w:rsidR="004D11F4" w:rsidRPr="005A4235">
        <w:rPr>
          <w:rFonts w:asciiTheme="minorHAnsi" w:hAnsiTheme="minorHAnsi" w:cstheme="minorHAnsi"/>
        </w:rPr>
        <w:t>12.</w:t>
      </w:r>
      <w:r w:rsidR="00A84AC8">
        <w:rPr>
          <w:rFonts w:asciiTheme="minorHAnsi" w:hAnsiTheme="minorHAnsi" w:cstheme="minorHAnsi"/>
        </w:rPr>
        <w:t> </w:t>
      </w:r>
      <w:r w:rsidR="004D11F4" w:rsidRPr="005A4235">
        <w:rPr>
          <w:rFonts w:asciiTheme="minorHAnsi" w:hAnsiTheme="minorHAnsi" w:cstheme="minorHAnsi"/>
        </w:rPr>
        <w:t>2017</w:t>
      </w:r>
      <w:r w:rsidR="007C049A" w:rsidRPr="005A4235">
        <w:rPr>
          <w:rFonts w:asciiTheme="minorHAnsi" w:hAnsiTheme="minorHAnsi" w:cstheme="minorHAnsi"/>
        </w:rPr>
        <w:t xml:space="preserve"> (</w:t>
      </w:r>
      <w:r w:rsidR="00A84AC8">
        <w:rPr>
          <w:rFonts w:asciiTheme="minorHAnsi" w:hAnsiTheme="minorHAnsi" w:cstheme="minorHAnsi"/>
        </w:rPr>
        <w:t>viz</w:t>
      </w:r>
      <w:r w:rsidR="007C049A" w:rsidRPr="005A4235">
        <w:rPr>
          <w:rFonts w:asciiTheme="minorHAnsi" w:hAnsiTheme="minorHAnsi" w:cstheme="minorHAnsi"/>
        </w:rPr>
        <w:t xml:space="preserve"> část</w:t>
      </w:r>
      <w:r w:rsidR="00D1235C">
        <w:rPr>
          <w:rFonts w:asciiTheme="minorHAnsi" w:hAnsiTheme="minorHAnsi" w:cstheme="minorHAnsi"/>
        </w:rPr>
        <w:t>i</w:t>
      </w:r>
      <w:r w:rsidR="007C049A" w:rsidRPr="005A4235">
        <w:rPr>
          <w:rFonts w:asciiTheme="minorHAnsi" w:hAnsiTheme="minorHAnsi" w:cstheme="minorHAnsi"/>
        </w:rPr>
        <w:t xml:space="preserve"> </w:t>
      </w:r>
      <w:r w:rsidR="00653D4B" w:rsidRPr="005A4235">
        <w:rPr>
          <w:rFonts w:asciiTheme="minorHAnsi" w:hAnsiTheme="minorHAnsi" w:cstheme="minorHAnsi"/>
        </w:rPr>
        <w:t>I.</w:t>
      </w:r>
      <w:r w:rsidR="00AF1471">
        <w:rPr>
          <w:rFonts w:asciiTheme="minorHAnsi" w:hAnsiTheme="minorHAnsi" w:cstheme="minorHAnsi"/>
        </w:rPr>
        <w:t>2.2 a IV.2</w:t>
      </w:r>
      <w:r w:rsidR="00D1235C">
        <w:rPr>
          <w:rFonts w:asciiTheme="minorHAnsi" w:hAnsiTheme="minorHAnsi" w:cstheme="minorHAnsi"/>
        </w:rPr>
        <w:t>.</w:t>
      </w:r>
      <w:r w:rsidR="007C049A" w:rsidRPr="005A4235">
        <w:rPr>
          <w:rFonts w:asciiTheme="minorHAnsi" w:hAnsiTheme="minorHAnsi" w:cstheme="minorHAnsi"/>
        </w:rPr>
        <w:t xml:space="preserve">). </w:t>
      </w:r>
    </w:p>
    <w:p w14:paraId="4374E36F" w14:textId="77777777" w:rsidR="0025037A" w:rsidRDefault="0025037A" w:rsidP="0025037A">
      <w:pPr>
        <w:tabs>
          <w:tab w:val="left" w:pos="1276"/>
        </w:tabs>
        <w:spacing w:after="0"/>
        <w:jc w:val="both"/>
        <w:rPr>
          <w:rFonts w:cstheme="minorHAnsi"/>
        </w:rPr>
      </w:pPr>
    </w:p>
    <w:p w14:paraId="764603DF" w14:textId="77777777" w:rsidR="0025037A" w:rsidRPr="00720ADC" w:rsidRDefault="005A1D9B" w:rsidP="00720ADC">
      <w:pPr>
        <w:spacing w:after="160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cs="Calibri"/>
          <w:b/>
        </w:rPr>
        <w:t xml:space="preserve">1.2 </w:t>
      </w:r>
      <w:r>
        <w:rPr>
          <w:rFonts w:cs="Calibri"/>
          <w:b/>
        </w:rPr>
        <w:tab/>
      </w:r>
      <w:r w:rsidR="0025037A" w:rsidRPr="00720ADC">
        <w:rPr>
          <w:rFonts w:cs="Calibri"/>
          <w:b/>
        </w:rPr>
        <w:t>Některá systémová rizika v oblasti účetního výkaznictví státu přetrvávají</w:t>
      </w:r>
    </w:p>
    <w:p w14:paraId="770F6716" w14:textId="75545B97" w:rsidR="0025037A" w:rsidRPr="00375452" w:rsidRDefault="0025037A" w:rsidP="00AF4368">
      <w:pPr>
        <w:tabs>
          <w:tab w:val="left" w:pos="1276"/>
        </w:tabs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v předchozí kontrole provedené u MF</w:t>
      </w:r>
      <w:r>
        <w:rPr>
          <w:rStyle w:val="Znakapoznpodarou"/>
          <w:rFonts w:asciiTheme="minorHAnsi" w:eastAsia="Calibri" w:hAnsiTheme="minorHAnsi"/>
        </w:rPr>
        <w:footnoteReference w:id="5"/>
      </w:r>
      <w:r w:rsidR="00A531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konstatoval některá systémová doporučení v oblasti účetního výkaznictví organizačních </w:t>
      </w:r>
      <w:r w:rsidRPr="00857000">
        <w:rPr>
          <w:rFonts w:cs="Calibri"/>
          <w:bCs/>
          <w:iCs/>
        </w:rPr>
        <w:t xml:space="preserve">složek státu a </w:t>
      </w:r>
      <w:r>
        <w:rPr>
          <w:rFonts w:cs="Calibri"/>
          <w:bCs/>
          <w:iCs/>
        </w:rPr>
        <w:t xml:space="preserve">v </w:t>
      </w:r>
      <w:r w:rsidRPr="00857000">
        <w:rPr>
          <w:rFonts w:cs="Calibri"/>
          <w:bCs/>
          <w:iCs/>
        </w:rPr>
        <w:t>použitelnosti a vypovídací schopnosti údajů vykázaných v</w:t>
      </w:r>
      <w:r w:rsidR="00F261F4">
        <w:rPr>
          <w:rFonts w:cs="Calibri"/>
          <w:bCs/>
          <w:iCs/>
        </w:rPr>
        <w:t xml:space="preserve"> </w:t>
      </w:r>
      <w:r w:rsidRPr="00857000">
        <w:rPr>
          <w:rFonts w:cs="Calibri"/>
          <w:bCs/>
          <w:iCs/>
        </w:rPr>
        <w:t>účetní závěrce</w:t>
      </w:r>
      <w:r>
        <w:rPr>
          <w:rFonts w:cs="Calibri"/>
          <w:bCs/>
          <w:iCs/>
        </w:rPr>
        <w:t xml:space="preserve"> a doporučil je řešit prostřednictvím úpravy účetních předpisů. K následujícím oblastem nebyla doporučení dosud realizována</w:t>
      </w:r>
      <w:r w:rsidR="00A07F75">
        <w:rPr>
          <w:rFonts w:cs="Calibri"/>
          <w:bCs/>
          <w:iCs/>
        </w:rPr>
        <w:t>,</w:t>
      </w:r>
      <w:r w:rsidR="008F01CC">
        <w:rPr>
          <w:rFonts w:cs="Calibri"/>
          <w:bCs/>
          <w:iCs/>
        </w:rPr>
        <w:t xml:space="preserve"> a </w:t>
      </w:r>
      <w:r w:rsidR="00A07F75">
        <w:rPr>
          <w:rFonts w:cs="Calibri"/>
          <w:bCs/>
          <w:iCs/>
        </w:rPr>
        <w:t xml:space="preserve">identifikovaná </w:t>
      </w:r>
      <w:r>
        <w:rPr>
          <w:rFonts w:cs="Calibri"/>
          <w:bCs/>
          <w:iCs/>
        </w:rPr>
        <w:t>rizika</w:t>
      </w:r>
      <w:r w:rsidR="004719EF">
        <w:rPr>
          <w:rFonts w:cs="Calibri"/>
          <w:bCs/>
          <w:iCs/>
        </w:rPr>
        <w:t xml:space="preserve"> </w:t>
      </w:r>
      <w:r w:rsidR="00A07F75">
        <w:rPr>
          <w:rFonts w:cs="Calibri"/>
          <w:bCs/>
          <w:iCs/>
        </w:rPr>
        <w:t xml:space="preserve">tak nadále </w:t>
      </w:r>
      <w:r>
        <w:rPr>
          <w:rFonts w:cs="Calibri"/>
          <w:bCs/>
          <w:iCs/>
        </w:rPr>
        <w:t>přetrvávají</w:t>
      </w:r>
      <w:r w:rsidR="004719EF">
        <w:rPr>
          <w:rFonts w:cs="Calibri"/>
          <w:bCs/>
          <w:iCs/>
        </w:rPr>
        <w:t>. NKÚ proto opakovaně doporučuje</w:t>
      </w:r>
      <w:r>
        <w:rPr>
          <w:rFonts w:cs="Calibri"/>
          <w:bCs/>
          <w:iCs/>
        </w:rPr>
        <w:t>:</w:t>
      </w:r>
    </w:p>
    <w:p w14:paraId="24F2B88C" w14:textId="404A96A8" w:rsidR="0025037A" w:rsidRPr="00375452" w:rsidRDefault="00F261F4" w:rsidP="001F3D22">
      <w:pPr>
        <w:pStyle w:val="Odstavecseseznamem"/>
        <w:numPr>
          <w:ilvl w:val="0"/>
          <w:numId w:val="5"/>
        </w:numPr>
        <w:spacing w:after="160" w:line="259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lang w:eastAsia="cs-CZ"/>
        </w:rPr>
      </w:pPr>
      <w:r w:rsidRPr="00375452">
        <w:rPr>
          <w:rFonts w:asciiTheme="minorHAnsi" w:hAnsiTheme="minorHAnsi" w:cstheme="minorHAnsi"/>
          <w:bCs/>
          <w:lang w:eastAsia="cs-CZ"/>
        </w:rPr>
        <w:t xml:space="preserve">v příloze účetní závěrky </w:t>
      </w:r>
      <w:r w:rsidR="0025037A" w:rsidRPr="00375452">
        <w:rPr>
          <w:rFonts w:asciiTheme="minorHAnsi" w:hAnsiTheme="minorHAnsi" w:cstheme="minorHAnsi"/>
          <w:bCs/>
          <w:lang w:eastAsia="cs-CZ"/>
        </w:rPr>
        <w:t>komentov</w:t>
      </w:r>
      <w:r w:rsidR="004719EF">
        <w:rPr>
          <w:rFonts w:asciiTheme="minorHAnsi" w:hAnsiTheme="minorHAnsi" w:cstheme="minorHAnsi"/>
          <w:bCs/>
          <w:lang w:eastAsia="cs-CZ"/>
        </w:rPr>
        <w:t>at</w:t>
      </w:r>
      <w:r w:rsidR="0025037A" w:rsidRPr="00375452">
        <w:rPr>
          <w:rFonts w:asciiTheme="minorHAnsi" w:hAnsiTheme="minorHAnsi" w:cstheme="minorHAnsi"/>
          <w:bCs/>
          <w:lang w:eastAsia="cs-CZ"/>
        </w:rPr>
        <w:t xml:space="preserve"> údaj</w:t>
      </w:r>
      <w:r w:rsidR="004719EF">
        <w:rPr>
          <w:rFonts w:asciiTheme="minorHAnsi" w:hAnsiTheme="minorHAnsi" w:cstheme="minorHAnsi"/>
          <w:bCs/>
          <w:lang w:eastAsia="cs-CZ"/>
        </w:rPr>
        <w:t>e</w:t>
      </w:r>
      <w:r w:rsidR="0025037A" w:rsidRPr="00375452">
        <w:rPr>
          <w:rFonts w:asciiTheme="minorHAnsi" w:hAnsiTheme="minorHAnsi" w:cstheme="minorHAnsi"/>
          <w:bCs/>
          <w:lang w:eastAsia="cs-CZ"/>
        </w:rPr>
        <w:t xml:space="preserve"> o podmíněných aktivech a pasivech;</w:t>
      </w:r>
    </w:p>
    <w:p w14:paraId="0E9E8896" w14:textId="77777777" w:rsidR="0025037A" w:rsidRPr="00E3158C" w:rsidRDefault="0025037A" w:rsidP="001F3D22">
      <w:pPr>
        <w:pStyle w:val="Odstavecseseznamem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lang w:eastAsia="cs-CZ"/>
        </w:rPr>
      </w:pPr>
      <w:r w:rsidRPr="00375452">
        <w:rPr>
          <w:rFonts w:asciiTheme="minorHAnsi" w:hAnsiTheme="minorHAnsi" w:cstheme="minorHAnsi"/>
          <w:bCs/>
          <w:lang w:eastAsia="cs-CZ"/>
        </w:rPr>
        <w:t>řeš</w:t>
      </w:r>
      <w:r w:rsidR="004719EF">
        <w:rPr>
          <w:rFonts w:asciiTheme="minorHAnsi" w:hAnsiTheme="minorHAnsi" w:cstheme="minorHAnsi"/>
          <w:bCs/>
          <w:lang w:eastAsia="cs-CZ"/>
        </w:rPr>
        <w:t>it</w:t>
      </w:r>
      <w:r w:rsidRPr="00375452">
        <w:rPr>
          <w:rFonts w:asciiTheme="minorHAnsi" w:hAnsiTheme="minorHAnsi" w:cstheme="minorHAnsi"/>
          <w:bCs/>
          <w:lang w:eastAsia="cs-CZ"/>
        </w:rPr>
        <w:t xml:space="preserve"> nejasnosti účetního zachycení a vykazování majetkových účastí v účetní závěrce</w:t>
      </w:r>
      <w:r w:rsidR="00A86734">
        <w:rPr>
          <w:rFonts w:asciiTheme="minorHAnsi" w:hAnsiTheme="minorHAnsi" w:cstheme="minorHAnsi"/>
          <w:bCs/>
          <w:lang w:eastAsia="cs-CZ"/>
        </w:rPr>
        <w:t xml:space="preserve"> organizačních složek státu</w:t>
      </w:r>
      <w:r>
        <w:rPr>
          <w:rFonts w:asciiTheme="minorHAnsi" w:hAnsiTheme="minorHAnsi" w:cstheme="minorHAnsi"/>
          <w:bCs/>
          <w:lang w:eastAsia="cs-CZ"/>
        </w:rPr>
        <w:t>.</w:t>
      </w:r>
    </w:p>
    <w:p w14:paraId="72EA9F08" w14:textId="77777777" w:rsidR="0025037A" w:rsidRPr="00562C0D" w:rsidRDefault="0025037A" w:rsidP="0025037A">
      <w:pPr>
        <w:pStyle w:val="Odstavecseseznamem"/>
        <w:spacing w:after="0"/>
        <w:ind w:left="714"/>
        <w:contextualSpacing w:val="0"/>
        <w:jc w:val="both"/>
        <w:rPr>
          <w:rFonts w:asciiTheme="minorHAnsi" w:hAnsiTheme="minorHAnsi" w:cstheme="minorHAnsi"/>
          <w:b/>
          <w:bCs/>
          <w:lang w:eastAsia="cs-CZ"/>
        </w:rPr>
      </w:pPr>
    </w:p>
    <w:p w14:paraId="2DE3ED1E" w14:textId="5486E1DA" w:rsidR="0025037A" w:rsidRDefault="0025037A" w:rsidP="005A1D9B">
      <w:pPr>
        <w:spacing w:after="160"/>
        <w:ind w:left="426" w:hanging="426"/>
        <w:jc w:val="both"/>
        <w:rPr>
          <w:rFonts w:cs="Calibri"/>
          <w:b/>
        </w:rPr>
      </w:pPr>
      <w:r w:rsidRPr="00375452">
        <w:rPr>
          <w:rFonts w:cs="Calibri"/>
          <w:b/>
        </w:rPr>
        <w:t>1.3</w:t>
      </w:r>
      <w:r w:rsidR="005A1D9B">
        <w:rPr>
          <w:rFonts w:cs="Calibri"/>
          <w:b/>
        </w:rPr>
        <w:t xml:space="preserve"> </w:t>
      </w:r>
      <w:r w:rsidR="005A1D9B">
        <w:rPr>
          <w:rFonts w:cs="Calibri"/>
          <w:b/>
        </w:rPr>
        <w:tab/>
      </w:r>
      <w:r w:rsidR="00F25612">
        <w:rPr>
          <w:rFonts w:cs="Calibri"/>
          <w:b/>
        </w:rPr>
        <w:t xml:space="preserve">Na </w:t>
      </w:r>
      <w:r w:rsidR="00662BC9">
        <w:rPr>
          <w:rFonts w:cs="Calibri"/>
          <w:b/>
        </w:rPr>
        <w:t xml:space="preserve">základě </w:t>
      </w:r>
      <w:r w:rsidR="00F25612">
        <w:rPr>
          <w:rFonts w:cs="Calibri"/>
          <w:b/>
        </w:rPr>
        <w:t xml:space="preserve">doporučení </w:t>
      </w:r>
      <w:r w:rsidR="00F261F4">
        <w:rPr>
          <w:rFonts w:cs="Calibri"/>
          <w:b/>
        </w:rPr>
        <w:t xml:space="preserve">z </w:t>
      </w:r>
      <w:r w:rsidR="00F25612">
        <w:rPr>
          <w:rFonts w:cs="Calibri"/>
          <w:b/>
        </w:rPr>
        <w:t>předchozí kont</w:t>
      </w:r>
      <w:r w:rsidR="00BE35FE">
        <w:rPr>
          <w:rFonts w:cs="Calibri"/>
          <w:b/>
        </w:rPr>
        <w:t xml:space="preserve">roly </w:t>
      </w:r>
      <w:r w:rsidR="00F261F4">
        <w:rPr>
          <w:rFonts w:cs="Calibri"/>
          <w:b/>
        </w:rPr>
        <w:t xml:space="preserve">vytvořilo </w:t>
      </w:r>
      <w:r w:rsidR="00BE35FE">
        <w:rPr>
          <w:rFonts w:cs="Calibri"/>
          <w:b/>
        </w:rPr>
        <w:t>MF poprvé rezervy</w:t>
      </w:r>
      <w:r w:rsidR="00F25612">
        <w:rPr>
          <w:rFonts w:cs="Calibri"/>
          <w:b/>
        </w:rPr>
        <w:t>, čímž se</w:t>
      </w:r>
      <w:r w:rsidRPr="00375452">
        <w:rPr>
          <w:rFonts w:cs="Calibri"/>
          <w:b/>
        </w:rPr>
        <w:t xml:space="preserve"> zpřesnil pohled na závazky státu </w:t>
      </w:r>
    </w:p>
    <w:p w14:paraId="1C0C7171" w14:textId="55935D9B" w:rsidR="0025037A" w:rsidRPr="00375452" w:rsidRDefault="0025037A" w:rsidP="00AF4368">
      <w:pPr>
        <w:tabs>
          <w:tab w:val="left" w:pos="1276"/>
        </w:tabs>
        <w:spacing w:after="160"/>
        <w:jc w:val="both"/>
        <w:rPr>
          <w:rFonts w:asciiTheme="minorHAnsi" w:hAnsiTheme="minorHAnsi" w:cstheme="minorHAnsi"/>
        </w:rPr>
      </w:pPr>
      <w:r w:rsidRPr="00375452">
        <w:rPr>
          <w:rFonts w:asciiTheme="minorHAnsi" w:hAnsiTheme="minorHAnsi" w:cstheme="minorHAnsi"/>
        </w:rPr>
        <w:t xml:space="preserve">MF v minulosti </w:t>
      </w:r>
      <w:r w:rsidRPr="00375452">
        <w:rPr>
          <w:rFonts w:asciiTheme="minorHAnsi" w:hAnsiTheme="minorHAnsi" w:cstheme="minorHAnsi"/>
          <w:iCs/>
        </w:rPr>
        <w:t>nevykazovalo rezervy na sanace ekologických zátěží</w:t>
      </w:r>
      <w:r>
        <w:rPr>
          <w:rFonts w:asciiTheme="minorHAnsi" w:hAnsiTheme="minorHAnsi" w:cstheme="minorHAnsi"/>
          <w:iCs/>
        </w:rPr>
        <w:t>,</w:t>
      </w:r>
      <w:r w:rsidRPr="00375452">
        <w:rPr>
          <w:rFonts w:asciiTheme="minorHAnsi" w:hAnsiTheme="minorHAnsi" w:cstheme="minorHAnsi"/>
          <w:iCs/>
        </w:rPr>
        <w:t xml:space="preserve"> a nepromítalo tak do svého účetnictví všechna předvídatelná rizika. V</w:t>
      </w:r>
      <w:r w:rsidR="00995543">
        <w:rPr>
          <w:rFonts w:asciiTheme="minorHAnsi" w:hAnsiTheme="minorHAnsi" w:cstheme="minorHAnsi"/>
          <w:iCs/>
        </w:rPr>
        <w:t xml:space="preserve"> kontrolním závěru z </w:t>
      </w:r>
      <w:r w:rsidRPr="00375452">
        <w:rPr>
          <w:rFonts w:asciiTheme="minorHAnsi" w:hAnsiTheme="minorHAnsi" w:cstheme="minorHAnsi"/>
          <w:iCs/>
        </w:rPr>
        <w:t>kontrolní akc</w:t>
      </w:r>
      <w:r w:rsidR="00995543">
        <w:rPr>
          <w:rFonts w:asciiTheme="minorHAnsi" w:hAnsiTheme="minorHAnsi" w:cstheme="minorHAnsi"/>
          <w:iCs/>
        </w:rPr>
        <w:t>e</w:t>
      </w:r>
      <w:r w:rsidRPr="00375452">
        <w:rPr>
          <w:rFonts w:asciiTheme="minorHAnsi" w:hAnsiTheme="minorHAnsi" w:cstheme="minorHAnsi"/>
          <w:iCs/>
        </w:rPr>
        <w:t xml:space="preserve"> č. 16/03 NKÚ konstatoval, že vykázaná pasiva MF tím mohou být podhodnocena v řádu desítek </w:t>
      </w:r>
      <w:r w:rsidR="00890662">
        <w:rPr>
          <w:rFonts w:asciiTheme="minorHAnsi" w:hAnsiTheme="minorHAnsi" w:cstheme="minorHAnsi"/>
          <w:iCs/>
        </w:rPr>
        <w:t>miliard </w:t>
      </w:r>
      <w:r w:rsidRPr="00375452">
        <w:rPr>
          <w:rFonts w:asciiTheme="minorHAnsi" w:hAnsiTheme="minorHAnsi" w:cstheme="minorHAnsi"/>
          <w:iCs/>
        </w:rPr>
        <w:t>Kč.</w:t>
      </w:r>
    </w:p>
    <w:p w14:paraId="2468B1DA" w14:textId="77777777" w:rsidR="0025037A" w:rsidRPr="00375452" w:rsidRDefault="0025037A" w:rsidP="0025037A">
      <w:pPr>
        <w:spacing w:after="160"/>
        <w:jc w:val="both"/>
        <w:rPr>
          <w:rFonts w:asciiTheme="minorHAnsi" w:hAnsiTheme="minorHAnsi" w:cstheme="minorHAnsi"/>
        </w:rPr>
      </w:pPr>
      <w:r w:rsidRPr="00375452">
        <w:rPr>
          <w:rFonts w:asciiTheme="minorHAnsi" w:hAnsiTheme="minorHAnsi" w:cstheme="minorHAnsi"/>
          <w:bCs/>
          <w:iCs/>
        </w:rPr>
        <w:t>V rámci plnění nápravných opatření začalo MF v roce 2017 rezervy na sanace ekologický</w:t>
      </w:r>
      <w:r>
        <w:rPr>
          <w:rFonts w:asciiTheme="minorHAnsi" w:hAnsiTheme="minorHAnsi" w:cstheme="minorHAnsi"/>
          <w:bCs/>
          <w:iCs/>
        </w:rPr>
        <w:t xml:space="preserve">ch zátěží ve své účetní závěrce vykazovat. </w:t>
      </w:r>
      <w:r w:rsidRPr="00375452">
        <w:rPr>
          <w:rFonts w:asciiTheme="minorHAnsi" w:hAnsiTheme="minorHAnsi" w:cstheme="minorHAnsi"/>
          <w:bCs/>
          <w:iCs/>
        </w:rPr>
        <w:t xml:space="preserve">K 31. 12. 2017 </w:t>
      </w:r>
      <w:r w:rsidRPr="005A4235">
        <w:rPr>
          <w:rFonts w:asciiTheme="minorHAnsi" w:hAnsiTheme="minorHAnsi" w:cstheme="minorHAnsi"/>
          <w:bCs/>
          <w:iCs/>
        </w:rPr>
        <w:t xml:space="preserve">MF </w:t>
      </w:r>
      <w:r w:rsidR="005C7C31" w:rsidRPr="005A4235">
        <w:rPr>
          <w:rFonts w:asciiTheme="minorHAnsi" w:hAnsiTheme="minorHAnsi" w:cstheme="minorHAnsi"/>
          <w:bCs/>
          <w:iCs/>
        </w:rPr>
        <w:t xml:space="preserve">poprvé vykázalo </w:t>
      </w:r>
      <w:r>
        <w:rPr>
          <w:rFonts w:asciiTheme="minorHAnsi" w:hAnsiTheme="minorHAnsi" w:cstheme="minorHAnsi"/>
          <w:bCs/>
          <w:iCs/>
        </w:rPr>
        <w:t>rezerv</w:t>
      </w:r>
      <w:r w:rsidR="005C7C31">
        <w:rPr>
          <w:rFonts w:asciiTheme="minorHAnsi" w:hAnsiTheme="minorHAnsi" w:cstheme="minorHAnsi"/>
          <w:bCs/>
          <w:iCs/>
        </w:rPr>
        <w:t>y</w:t>
      </w:r>
      <w:r w:rsidR="008F01CC">
        <w:rPr>
          <w:rFonts w:asciiTheme="minorHAnsi" w:hAnsiTheme="minorHAnsi" w:cstheme="minorHAnsi"/>
          <w:bCs/>
          <w:iCs/>
        </w:rPr>
        <w:t>, a to v </w:t>
      </w:r>
      <w:r w:rsidR="00995543">
        <w:rPr>
          <w:rFonts w:asciiTheme="minorHAnsi" w:hAnsiTheme="minorHAnsi" w:cstheme="minorHAnsi"/>
          <w:bCs/>
          <w:iCs/>
        </w:rPr>
        <w:t>souhrnné částce</w:t>
      </w:r>
      <w:r w:rsidRPr="00375452">
        <w:rPr>
          <w:rFonts w:asciiTheme="minorHAnsi" w:hAnsiTheme="minorHAnsi" w:cstheme="minorHAnsi"/>
          <w:bCs/>
          <w:iCs/>
        </w:rPr>
        <w:t xml:space="preserve"> </w:t>
      </w:r>
      <w:r w:rsidRPr="00375452">
        <w:rPr>
          <w:rFonts w:asciiTheme="minorHAnsi" w:hAnsiTheme="minorHAnsi" w:cstheme="minorHAnsi"/>
        </w:rPr>
        <w:t xml:space="preserve">82,8 mld. Kč, což představuje významnou změnu </w:t>
      </w:r>
      <w:r w:rsidR="00995543">
        <w:rPr>
          <w:rFonts w:asciiTheme="minorHAnsi" w:hAnsiTheme="minorHAnsi" w:cstheme="minorHAnsi"/>
        </w:rPr>
        <w:t xml:space="preserve">nejen </w:t>
      </w:r>
      <w:r w:rsidRPr="00375452">
        <w:rPr>
          <w:rFonts w:asciiTheme="minorHAnsi" w:hAnsiTheme="minorHAnsi" w:cstheme="minorHAnsi"/>
        </w:rPr>
        <w:t>ve výši</w:t>
      </w:r>
      <w:r w:rsidR="00995543">
        <w:rPr>
          <w:rFonts w:asciiTheme="minorHAnsi" w:hAnsiTheme="minorHAnsi" w:cstheme="minorHAnsi"/>
        </w:rPr>
        <w:t>, ale</w:t>
      </w:r>
      <w:r w:rsidR="008F01CC">
        <w:rPr>
          <w:rFonts w:asciiTheme="minorHAnsi" w:hAnsiTheme="minorHAnsi" w:cstheme="minorHAnsi"/>
        </w:rPr>
        <w:t xml:space="preserve"> i </w:t>
      </w:r>
      <w:r w:rsidRPr="00375452">
        <w:rPr>
          <w:rFonts w:asciiTheme="minorHAnsi" w:hAnsiTheme="minorHAnsi" w:cstheme="minorHAnsi"/>
        </w:rPr>
        <w:t>struktuře vykázaných</w:t>
      </w:r>
      <w:r w:rsidR="00A07F75">
        <w:rPr>
          <w:rFonts w:asciiTheme="minorHAnsi" w:hAnsiTheme="minorHAnsi" w:cstheme="minorHAnsi"/>
        </w:rPr>
        <w:t xml:space="preserve"> pasiv</w:t>
      </w:r>
      <w:r w:rsidRPr="00375452">
        <w:rPr>
          <w:rFonts w:asciiTheme="minorHAnsi" w:hAnsiTheme="minorHAnsi" w:cstheme="minorHAnsi"/>
        </w:rPr>
        <w:t xml:space="preserve"> MF; rezervy k 31. 12. 2017 představ</w:t>
      </w:r>
      <w:r w:rsidR="00995543">
        <w:rPr>
          <w:rFonts w:asciiTheme="minorHAnsi" w:hAnsiTheme="minorHAnsi" w:cstheme="minorHAnsi"/>
        </w:rPr>
        <w:t>ovaly</w:t>
      </w:r>
      <w:r w:rsidRPr="00375452">
        <w:rPr>
          <w:rFonts w:asciiTheme="minorHAnsi" w:hAnsiTheme="minorHAnsi" w:cstheme="minorHAnsi"/>
        </w:rPr>
        <w:t xml:space="preserve"> 28 % z celkové výše pasiv MF.</w:t>
      </w:r>
    </w:p>
    <w:p w14:paraId="5F7BBBB4" w14:textId="110D198F" w:rsidR="004661A6" w:rsidRDefault="0025037A" w:rsidP="004661A6">
      <w:pPr>
        <w:spacing w:after="160"/>
        <w:jc w:val="both"/>
        <w:rPr>
          <w:rFonts w:asciiTheme="minorHAnsi" w:hAnsiTheme="minorHAnsi" w:cstheme="minorHAnsi"/>
          <w:iCs/>
        </w:rPr>
      </w:pPr>
      <w:r w:rsidRPr="00AF1471">
        <w:rPr>
          <w:rFonts w:asciiTheme="minorHAnsi" w:hAnsiTheme="minorHAnsi" w:cstheme="minorHAnsi"/>
          <w:iCs/>
        </w:rPr>
        <w:t>Rezervy jsou v podstatě zvláštním druhem závazku a významně ovlivňují vypovídací schopnost informací účetní závěrky.</w:t>
      </w:r>
      <w:r w:rsidRPr="00375452">
        <w:rPr>
          <w:rFonts w:asciiTheme="minorHAnsi" w:hAnsiTheme="minorHAnsi" w:cstheme="minorHAnsi"/>
          <w:iCs/>
        </w:rPr>
        <w:t xml:space="preserve"> Vykázání </w:t>
      </w:r>
      <w:r>
        <w:rPr>
          <w:rFonts w:asciiTheme="minorHAnsi" w:hAnsiTheme="minorHAnsi" w:cstheme="minorHAnsi"/>
          <w:iCs/>
        </w:rPr>
        <w:t xml:space="preserve">uvedených </w:t>
      </w:r>
      <w:r w:rsidRPr="00375452">
        <w:rPr>
          <w:rFonts w:asciiTheme="minorHAnsi" w:hAnsiTheme="minorHAnsi" w:cstheme="minorHAnsi"/>
          <w:iCs/>
        </w:rPr>
        <w:t>rezerv</w:t>
      </w:r>
      <w:r>
        <w:rPr>
          <w:rFonts w:asciiTheme="minorHAnsi" w:hAnsiTheme="minorHAnsi" w:cstheme="minorHAnsi"/>
          <w:iCs/>
        </w:rPr>
        <w:t xml:space="preserve"> má a</w:t>
      </w:r>
      <w:r w:rsidRPr="00375452">
        <w:rPr>
          <w:rFonts w:asciiTheme="minorHAnsi" w:hAnsiTheme="minorHAnsi" w:cstheme="minorHAnsi"/>
          <w:iCs/>
        </w:rPr>
        <w:t xml:space="preserve"> bude mít důležitý vliv nejen na údaje za samotné MF, ale i na vykázání </w:t>
      </w:r>
      <w:r w:rsidRPr="00CE2D94">
        <w:rPr>
          <w:rFonts w:asciiTheme="minorHAnsi" w:hAnsiTheme="minorHAnsi" w:cstheme="minorHAnsi"/>
        </w:rPr>
        <w:t>účetních výkazů za Českou republiku.</w:t>
      </w:r>
      <w:r w:rsidR="004661A6">
        <w:rPr>
          <w:rFonts w:asciiTheme="minorHAnsi" w:hAnsiTheme="minorHAnsi" w:cstheme="minorHAnsi"/>
        </w:rPr>
        <w:t xml:space="preserve"> V s</w:t>
      </w:r>
      <w:r w:rsidR="004661A6">
        <w:rPr>
          <w:rFonts w:asciiTheme="minorHAnsi" w:hAnsiTheme="minorHAnsi" w:cstheme="minorHAnsi"/>
          <w:bCs/>
        </w:rPr>
        <w:t>ouhrnném výkazu majetku a závazků státu</w:t>
      </w:r>
      <w:r w:rsidR="004D2E27" w:rsidRPr="004D2E27">
        <w:rPr>
          <w:rFonts w:asciiTheme="minorHAnsi" w:hAnsiTheme="minorHAnsi" w:cstheme="minorHAnsi"/>
          <w:bCs/>
        </w:rPr>
        <w:t xml:space="preserve"> </w:t>
      </w:r>
      <w:r w:rsidR="004D2E27">
        <w:rPr>
          <w:rFonts w:asciiTheme="minorHAnsi" w:hAnsiTheme="minorHAnsi" w:cstheme="minorHAnsi"/>
          <w:bCs/>
        </w:rPr>
        <w:t>k 31. 12. 2016 (</w:t>
      </w:r>
      <w:r w:rsidR="004661A6">
        <w:rPr>
          <w:rFonts w:asciiTheme="minorHAnsi" w:hAnsiTheme="minorHAnsi" w:cstheme="minorHAnsi"/>
          <w:bCs/>
        </w:rPr>
        <w:t>dosud poslední zveřejněn</w:t>
      </w:r>
      <w:r w:rsidR="004D2E27">
        <w:rPr>
          <w:rFonts w:asciiTheme="minorHAnsi" w:hAnsiTheme="minorHAnsi" w:cstheme="minorHAnsi"/>
          <w:bCs/>
        </w:rPr>
        <w:t>ý</w:t>
      </w:r>
      <w:r w:rsidR="004661A6">
        <w:rPr>
          <w:rFonts w:asciiTheme="minorHAnsi" w:hAnsiTheme="minorHAnsi" w:cstheme="minorHAnsi"/>
          <w:bCs/>
        </w:rPr>
        <w:t xml:space="preserve"> stav</w:t>
      </w:r>
      <w:r w:rsidR="004D2E27">
        <w:rPr>
          <w:rFonts w:asciiTheme="minorHAnsi" w:hAnsiTheme="minorHAnsi" w:cstheme="minorHAnsi"/>
          <w:bCs/>
        </w:rPr>
        <w:t>)</w:t>
      </w:r>
      <w:r w:rsidR="004661A6">
        <w:rPr>
          <w:rFonts w:asciiTheme="minorHAnsi" w:hAnsiTheme="minorHAnsi" w:cstheme="minorHAnsi"/>
          <w:bCs/>
        </w:rPr>
        <w:t xml:space="preserve"> byly rezervy za všechny vybrané účetní jednotky</w:t>
      </w:r>
      <w:r w:rsidR="004661A6">
        <w:rPr>
          <w:rStyle w:val="Znakapoznpodarou"/>
          <w:rFonts w:asciiTheme="minorHAnsi" w:eastAsia="Calibri" w:hAnsiTheme="minorHAnsi"/>
          <w:bCs/>
        </w:rPr>
        <w:footnoteReference w:id="6"/>
      </w:r>
      <w:r w:rsidR="004661A6">
        <w:rPr>
          <w:rFonts w:asciiTheme="minorHAnsi" w:hAnsiTheme="minorHAnsi" w:cstheme="minorHAnsi"/>
          <w:bCs/>
        </w:rPr>
        <w:t xml:space="preserve"> vykázány ve výši 2,9</w:t>
      </w:r>
      <w:r w:rsidR="005A1D9B">
        <w:rPr>
          <w:rFonts w:asciiTheme="minorHAnsi" w:hAnsiTheme="minorHAnsi" w:cstheme="minorHAnsi"/>
          <w:bCs/>
        </w:rPr>
        <w:t> </w:t>
      </w:r>
      <w:r w:rsidR="004661A6">
        <w:rPr>
          <w:rFonts w:asciiTheme="minorHAnsi" w:hAnsiTheme="minorHAnsi" w:cstheme="minorHAnsi"/>
          <w:bCs/>
        </w:rPr>
        <w:t>mld.</w:t>
      </w:r>
      <w:r w:rsidR="005A1D9B">
        <w:rPr>
          <w:rFonts w:asciiTheme="minorHAnsi" w:hAnsiTheme="minorHAnsi" w:cstheme="minorHAnsi"/>
          <w:bCs/>
        </w:rPr>
        <w:t> </w:t>
      </w:r>
      <w:r w:rsidR="004661A6">
        <w:rPr>
          <w:rFonts w:asciiTheme="minorHAnsi" w:hAnsiTheme="minorHAnsi" w:cstheme="minorHAnsi"/>
          <w:bCs/>
        </w:rPr>
        <w:t>Kč</w:t>
      </w:r>
      <w:r w:rsidR="004661A6">
        <w:rPr>
          <w:rStyle w:val="Znakapoznpodarou"/>
          <w:rFonts w:asciiTheme="minorHAnsi" w:eastAsia="Calibri" w:hAnsiTheme="minorHAnsi"/>
          <w:bCs/>
        </w:rPr>
        <w:footnoteReference w:id="7"/>
      </w:r>
      <w:r w:rsidR="004661A6">
        <w:rPr>
          <w:rFonts w:asciiTheme="minorHAnsi" w:hAnsiTheme="minorHAnsi" w:cstheme="minorHAnsi"/>
          <w:bCs/>
        </w:rPr>
        <w:t xml:space="preserve">. Nově vykázané rezervy </w:t>
      </w:r>
      <w:r w:rsidR="004661A6">
        <w:rPr>
          <w:rFonts w:asciiTheme="minorHAnsi" w:hAnsiTheme="minorHAnsi" w:cstheme="minorHAnsi"/>
          <w:bCs/>
        </w:rPr>
        <w:lastRenderedPageBreak/>
        <w:t xml:space="preserve">za MF ve výši 82,8 mld. Kč tak představují více než 28násobek částky rezerv vykázaných za rok 2016 souhrnně za všechny konsolidované vybrané účetní jednotky. </w:t>
      </w:r>
    </w:p>
    <w:p w14:paraId="28DCDB7B" w14:textId="77777777" w:rsidR="0025037A" w:rsidRPr="003605E6" w:rsidRDefault="0025037A" w:rsidP="0025037A">
      <w:pPr>
        <w:spacing w:after="0"/>
        <w:jc w:val="both"/>
        <w:rPr>
          <w:rFonts w:asciiTheme="minorHAnsi" w:hAnsiTheme="minorHAnsi" w:cstheme="minorHAnsi"/>
          <w:color w:val="000000"/>
          <w:lang w:eastAsia="cs-CZ"/>
        </w:rPr>
      </w:pPr>
    </w:p>
    <w:p w14:paraId="3BDCD786" w14:textId="77777777" w:rsidR="0025037A" w:rsidRPr="00720ADC" w:rsidRDefault="0025037A" w:rsidP="00720ADC">
      <w:pPr>
        <w:pStyle w:val="Odstavecseseznamem"/>
        <w:numPr>
          <w:ilvl w:val="0"/>
          <w:numId w:val="18"/>
        </w:numPr>
        <w:spacing w:after="160"/>
        <w:ind w:left="0" w:firstLine="0"/>
        <w:contextualSpacing w:val="0"/>
        <w:jc w:val="both"/>
        <w:rPr>
          <w:rFonts w:cs="Calibri"/>
          <w:b/>
          <w:u w:val="single"/>
        </w:rPr>
      </w:pPr>
      <w:r w:rsidRPr="00720ADC">
        <w:rPr>
          <w:rFonts w:cs="Calibri"/>
          <w:b/>
          <w:u w:val="single"/>
        </w:rPr>
        <w:t>Zjištěné ne</w:t>
      </w:r>
      <w:r w:rsidR="00746500" w:rsidRPr="00720ADC">
        <w:rPr>
          <w:rFonts w:cs="Calibri"/>
          <w:b/>
          <w:u w:val="single"/>
        </w:rPr>
        <w:t>správnosti</w:t>
      </w:r>
    </w:p>
    <w:p w14:paraId="2245015B" w14:textId="77777777" w:rsidR="0025037A" w:rsidRPr="00817347" w:rsidRDefault="0025037A" w:rsidP="005A1D9B">
      <w:pPr>
        <w:pStyle w:val="Odstavecseseznamem"/>
        <w:numPr>
          <w:ilvl w:val="1"/>
          <w:numId w:val="17"/>
        </w:numPr>
        <w:spacing w:after="160"/>
        <w:ind w:left="426" w:hanging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MF vykázalo v rozvaze pohledávky Národního fondu za Evropskou komisí ve výši 600</w:t>
      </w:r>
      <w:r w:rsidR="00745A04">
        <w:rPr>
          <w:rFonts w:asciiTheme="minorHAnsi" w:hAnsiTheme="minorHAnsi" w:cstheme="minorHAnsi"/>
          <w:b/>
        </w:rPr>
        <w:t>,5</w:t>
      </w:r>
      <w:r w:rsidR="00BB33C1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mil. Kč, které neexistovaly</w:t>
      </w:r>
      <w:r w:rsidRPr="00817347">
        <w:rPr>
          <w:rFonts w:asciiTheme="minorHAnsi" w:hAnsiTheme="minorHAnsi" w:cstheme="minorHAnsi"/>
          <w:b/>
        </w:rPr>
        <w:t xml:space="preserve"> </w:t>
      </w:r>
    </w:p>
    <w:p w14:paraId="4C51B316" w14:textId="1CED35C7" w:rsidR="0025037A" w:rsidRPr="00375452" w:rsidRDefault="0025037A" w:rsidP="00AF4368">
      <w:pPr>
        <w:pStyle w:val="Odstavecseseznamem"/>
        <w:spacing w:after="160"/>
        <w:ind w:left="0"/>
        <w:contextualSpacing w:val="0"/>
        <w:jc w:val="both"/>
        <w:rPr>
          <w:rFonts w:asciiTheme="minorHAnsi" w:hAnsiTheme="minorHAnsi" w:cstheme="minorHAnsi"/>
        </w:rPr>
      </w:pPr>
      <w:r w:rsidRPr="00375452">
        <w:rPr>
          <w:rFonts w:asciiTheme="minorHAnsi" w:hAnsiTheme="minorHAnsi" w:cstheme="minorHAnsi"/>
        </w:rPr>
        <w:t xml:space="preserve">MF vykázalo </w:t>
      </w:r>
      <w:r>
        <w:rPr>
          <w:rFonts w:asciiTheme="minorHAnsi" w:hAnsiTheme="minorHAnsi" w:cstheme="minorHAnsi"/>
        </w:rPr>
        <w:t xml:space="preserve">k datu 31. 12. 2017 </w:t>
      </w:r>
      <w:r w:rsidRPr="00375452">
        <w:rPr>
          <w:rFonts w:asciiTheme="minorHAnsi" w:hAnsiTheme="minorHAnsi" w:cstheme="minorHAnsi"/>
        </w:rPr>
        <w:t xml:space="preserve">v rámci rozvahového účtu 475 </w:t>
      </w:r>
      <w:r w:rsidR="000C4DE7">
        <w:rPr>
          <w:rFonts w:asciiTheme="minorHAnsi" w:hAnsiTheme="minorHAnsi" w:cstheme="minorHAnsi"/>
        </w:rPr>
        <w:t>–</w:t>
      </w:r>
      <w:r w:rsidRPr="00375452">
        <w:rPr>
          <w:rFonts w:asciiTheme="minorHAnsi" w:hAnsiTheme="minorHAnsi" w:cstheme="minorHAnsi"/>
        </w:rPr>
        <w:t xml:space="preserve"> </w:t>
      </w:r>
      <w:r w:rsidRPr="00375452">
        <w:rPr>
          <w:rFonts w:asciiTheme="minorHAnsi" w:hAnsiTheme="minorHAnsi" w:cstheme="minorHAnsi"/>
          <w:i/>
        </w:rPr>
        <w:t>Dlouhodobé zprostředkování transferů</w:t>
      </w:r>
      <w:r w:rsidRPr="003754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pohledávky Národního fondu ve výši 600,5 mil. Kč za Evropskou komisí</w:t>
      </w:r>
      <w:r w:rsidR="000F64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titulu p</w:t>
      </w:r>
      <w:r w:rsidRPr="00D2676C">
        <w:rPr>
          <w:rFonts w:asciiTheme="minorHAnsi" w:hAnsiTheme="minorHAnsi" w:cstheme="minorHAnsi"/>
        </w:rPr>
        <w:t>rogramů a projektů</w:t>
      </w:r>
      <w:r>
        <w:rPr>
          <w:rFonts w:asciiTheme="minorHAnsi" w:hAnsiTheme="minorHAnsi" w:cstheme="minorHAnsi"/>
        </w:rPr>
        <w:t xml:space="preserve"> realizovaných a spolufinancovaných</w:t>
      </w:r>
      <w:r w:rsidRPr="00375452">
        <w:rPr>
          <w:rFonts w:asciiTheme="minorHAnsi" w:hAnsiTheme="minorHAnsi" w:cstheme="minorHAnsi"/>
        </w:rPr>
        <w:t xml:space="preserve"> z prostředků </w:t>
      </w:r>
      <w:r w:rsidR="00640C7F">
        <w:rPr>
          <w:rFonts w:asciiTheme="minorHAnsi" w:hAnsiTheme="minorHAnsi" w:cstheme="minorHAnsi"/>
        </w:rPr>
        <w:t xml:space="preserve">strukturálních fondů </w:t>
      </w:r>
      <w:r w:rsidR="00335540">
        <w:rPr>
          <w:rFonts w:asciiTheme="minorHAnsi" w:hAnsiTheme="minorHAnsi" w:cstheme="minorHAnsi"/>
        </w:rPr>
        <w:t>Evropské unie (dále také „</w:t>
      </w:r>
      <w:r w:rsidRPr="00375452">
        <w:rPr>
          <w:rFonts w:asciiTheme="minorHAnsi" w:hAnsiTheme="minorHAnsi" w:cstheme="minorHAnsi"/>
        </w:rPr>
        <w:t>EU</w:t>
      </w:r>
      <w:r w:rsidR="00335540">
        <w:rPr>
          <w:rFonts w:asciiTheme="minorHAnsi" w:hAnsiTheme="minorHAnsi" w:cstheme="minorHAnsi"/>
        </w:rPr>
        <w:t>“)</w:t>
      </w:r>
      <w:r w:rsidRPr="00375452">
        <w:rPr>
          <w:rFonts w:asciiTheme="minorHAnsi" w:hAnsiTheme="minorHAnsi" w:cstheme="minorHAnsi"/>
        </w:rPr>
        <w:t xml:space="preserve"> </w:t>
      </w:r>
      <w:r w:rsidR="00640C7F">
        <w:rPr>
          <w:rFonts w:asciiTheme="minorHAnsi" w:hAnsiTheme="minorHAnsi" w:cstheme="minorHAnsi"/>
        </w:rPr>
        <w:t xml:space="preserve">a </w:t>
      </w:r>
      <w:r w:rsidR="00640C7F" w:rsidRPr="00720ADC">
        <w:rPr>
          <w:rFonts w:asciiTheme="minorHAnsi" w:hAnsiTheme="minorHAnsi" w:cstheme="minorHAnsi"/>
          <w:i/>
        </w:rPr>
        <w:t>Fondu soudržnosti</w:t>
      </w:r>
      <w:r w:rsidR="00640C7F">
        <w:rPr>
          <w:rFonts w:asciiTheme="minorHAnsi" w:hAnsiTheme="minorHAnsi" w:cstheme="minorHAnsi"/>
        </w:rPr>
        <w:t xml:space="preserve"> </w:t>
      </w:r>
      <w:r w:rsidRPr="00375452">
        <w:rPr>
          <w:rFonts w:asciiTheme="minorHAnsi" w:hAnsiTheme="minorHAnsi" w:cstheme="minorHAnsi"/>
        </w:rPr>
        <w:t>v rámci programového období</w:t>
      </w:r>
      <w:r w:rsidR="005A1D9B">
        <w:rPr>
          <w:rFonts w:asciiTheme="minorHAnsi" w:hAnsiTheme="minorHAnsi" w:cstheme="minorHAnsi"/>
        </w:rPr>
        <w:t xml:space="preserve"> </w:t>
      </w:r>
      <w:r w:rsidR="00462BD6">
        <w:rPr>
          <w:rFonts w:asciiTheme="minorHAnsi" w:hAnsiTheme="minorHAnsi" w:cstheme="minorHAnsi"/>
        </w:rPr>
        <w:br/>
      </w:r>
      <w:r w:rsidRPr="00375452">
        <w:rPr>
          <w:rFonts w:asciiTheme="minorHAnsi" w:hAnsiTheme="minorHAnsi" w:cstheme="minorHAnsi"/>
        </w:rPr>
        <w:t>2004–2006</w:t>
      </w:r>
      <w:r>
        <w:rPr>
          <w:rFonts w:asciiTheme="minorHAnsi" w:hAnsiTheme="minorHAnsi" w:cstheme="minorHAnsi"/>
        </w:rPr>
        <w:t>.</w:t>
      </w:r>
      <w:r w:rsidRPr="00375452">
        <w:rPr>
          <w:rFonts w:asciiTheme="minorHAnsi" w:hAnsiTheme="minorHAnsi" w:cstheme="minorHAnsi"/>
          <w:b/>
        </w:rPr>
        <w:t xml:space="preserve"> </w:t>
      </w:r>
      <w:r w:rsidRPr="00D2676C">
        <w:rPr>
          <w:rFonts w:asciiTheme="minorHAnsi" w:hAnsiTheme="minorHAnsi" w:cstheme="minorHAnsi"/>
        </w:rPr>
        <w:t>NKÚ však</w:t>
      </w:r>
      <w:r w:rsidR="00640C7F">
        <w:rPr>
          <w:rFonts w:asciiTheme="minorHAnsi" w:hAnsiTheme="minorHAnsi" w:cstheme="minorHAnsi"/>
        </w:rPr>
        <w:t xml:space="preserve"> zjistil, že</w:t>
      </w:r>
      <w:r w:rsidRPr="00D2676C">
        <w:rPr>
          <w:rFonts w:asciiTheme="minorHAnsi" w:hAnsiTheme="minorHAnsi" w:cstheme="minorHAnsi"/>
        </w:rPr>
        <w:t xml:space="preserve"> t</w:t>
      </w:r>
      <w:r w:rsidRPr="00451C89">
        <w:rPr>
          <w:rFonts w:asciiTheme="minorHAnsi" w:hAnsiTheme="minorHAnsi" w:cstheme="minorHAnsi"/>
        </w:rPr>
        <w:t>yto pohledávky</w:t>
      </w:r>
      <w:r>
        <w:rPr>
          <w:rFonts w:asciiTheme="minorHAnsi" w:hAnsiTheme="minorHAnsi" w:cstheme="minorHAnsi"/>
        </w:rPr>
        <w:t xml:space="preserve"> </w:t>
      </w:r>
      <w:r w:rsidR="00640C7F">
        <w:rPr>
          <w:rFonts w:asciiTheme="minorHAnsi" w:hAnsiTheme="minorHAnsi" w:cstheme="minorHAnsi"/>
        </w:rPr>
        <w:t xml:space="preserve">k rozvahovému dni </w:t>
      </w:r>
      <w:r>
        <w:rPr>
          <w:rFonts w:asciiTheme="minorHAnsi" w:hAnsiTheme="minorHAnsi" w:cstheme="minorHAnsi"/>
        </w:rPr>
        <w:t>neexistovaly. V</w:t>
      </w:r>
      <w:r w:rsidRPr="00375452">
        <w:rPr>
          <w:rFonts w:asciiTheme="minorHAnsi" w:hAnsiTheme="minorHAnsi" w:cstheme="minorHAnsi"/>
        </w:rPr>
        <w:t>eškeré pohledávky vůči Evropské komisi z titulu závazku rozpočtu E</w:t>
      </w:r>
      <w:r>
        <w:rPr>
          <w:rFonts w:asciiTheme="minorHAnsi" w:hAnsiTheme="minorHAnsi" w:cstheme="minorHAnsi"/>
        </w:rPr>
        <w:t>U</w:t>
      </w:r>
      <w:r w:rsidRPr="00375452">
        <w:rPr>
          <w:rFonts w:asciiTheme="minorHAnsi" w:hAnsiTheme="minorHAnsi" w:cstheme="minorHAnsi"/>
        </w:rPr>
        <w:t xml:space="preserve"> stanoveného Evropskou komisí na programy/projekty na celé programové období 2004–2006 byly totiž již vyrovnány poskytnutím platby konečného zůstatku ze strany Evropské komis</w:t>
      </w:r>
      <w:r>
        <w:rPr>
          <w:rFonts w:asciiTheme="minorHAnsi" w:hAnsiTheme="minorHAnsi" w:cstheme="minorHAnsi"/>
        </w:rPr>
        <w:t>e</w:t>
      </w:r>
      <w:r w:rsidRPr="00375452">
        <w:rPr>
          <w:rFonts w:asciiTheme="minorHAnsi" w:hAnsiTheme="minorHAnsi" w:cstheme="minorHAnsi"/>
        </w:rPr>
        <w:t xml:space="preserve">, </w:t>
      </w:r>
      <w:r w:rsidR="00640C7F">
        <w:rPr>
          <w:rFonts w:asciiTheme="minorHAnsi" w:hAnsiTheme="minorHAnsi" w:cstheme="minorHAnsi"/>
        </w:rPr>
        <w:t xml:space="preserve">a </w:t>
      </w:r>
      <w:r w:rsidRPr="00375452">
        <w:rPr>
          <w:rFonts w:asciiTheme="minorHAnsi" w:hAnsiTheme="minorHAnsi" w:cstheme="minorHAnsi"/>
        </w:rPr>
        <w:t>žádné platby</w:t>
      </w:r>
      <w:r w:rsidR="00A35DE5">
        <w:rPr>
          <w:rFonts w:asciiTheme="minorHAnsi" w:hAnsiTheme="minorHAnsi" w:cstheme="minorHAnsi"/>
        </w:rPr>
        <w:t xml:space="preserve"> prostředků z rozpočtu EU</w:t>
      </w:r>
      <w:r w:rsidRPr="00375452">
        <w:rPr>
          <w:rFonts w:asciiTheme="minorHAnsi" w:hAnsiTheme="minorHAnsi" w:cstheme="minorHAnsi"/>
        </w:rPr>
        <w:t xml:space="preserve"> z uvedeného titulu </w:t>
      </w:r>
      <w:r w:rsidR="00640C7F">
        <w:rPr>
          <w:rFonts w:asciiTheme="minorHAnsi" w:hAnsiTheme="minorHAnsi" w:cstheme="minorHAnsi"/>
        </w:rPr>
        <w:t xml:space="preserve">tak </w:t>
      </w:r>
      <w:r w:rsidRPr="00375452">
        <w:rPr>
          <w:rFonts w:asciiTheme="minorHAnsi" w:hAnsiTheme="minorHAnsi" w:cstheme="minorHAnsi"/>
        </w:rPr>
        <w:t>již nelze očekávat.</w:t>
      </w:r>
    </w:p>
    <w:p w14:paraId="75502137" w14:textId="2B298A96" w:rsidR="00211C04" w:rsidRDefault="0025037A" w:rsidP="00AF4368">
      <w:pPr>
        <w:spacing w:after="160"/>
        <w:jc w:val="both"/>
        <w:rPr>
          <w:rFonts w:asciiTheme="minorHAnsi" w:hAnsiTheme="minorHAnsi" w:cstheme="minorHAnsi"/>
        </w:rPr>
      </w:pPr>
      <w:r w:rsidRPr="00363F8A">
        <w:rPr>
          <w:rFonts w:asciiTheme="minorHAnsi" w:hAnsiTheme="minorHAnsi" w:cstheme="minorHAnsi"/>
          <w:b/>
        </w:rPr>
        <w:t>Riziko nesprávného vykázání pohledávek za Evropskou komisí</w:t>
      </w:r>
      <w:r w:rsidRPr="00375452">
        <w:rPr>
          <w:rFonts w:asciiTheme="minorHAnsi" w:hAnsiTheme="minorHAnsi" w:cstheme="minorHAnsi"/>
        </w:rPr>
        <w:t xml:space="preserve"> v rámci účtu</w:t>
      </w:r>
      <w:r w:rsidR="005A1D9B">
        <w:rPr>
          <w:rFonts w:asciiTheme="minorHAnsi" w:hAnsiTheme="minorHAnsi" w:cstheme="minorHAnsi"/>
        </w:rPr>
        <w:t xml:space="preserve"> </w:t>
      </w:r>
      <w:r w:rsidR="00462BD6">
        <w:rPr>
          <w:rFonts w:asciiTheme="minorHAnsi" w:hAnsiTheme="minorHAnsi" w:cstheme="minorHAnsi"/>
        </w:rPr>
        <w:br/>
      </w:r>
      <w:r w:rsidRPr="00375452">
        <w:rPr>
          <w:rFonts w:asciiTheme="minorHAnsi" w:hAnsiTheme="minorHAnsi" w:cstheme="minorHAnsi"/>
        </w:rPr>
        <w:t>475</w:t>
      </w:r>
      <w:r w:rsidR="000C4DE7">
        <w:rPr>
          <w:rFonts w:asciiTheme="minorHAnsi" w:hAnsiTheme="minorHAnsi" w:cstheme="minorHAnsi"/>
        </w:rPr>
        <w:t xml:space="preserve"> – </w:t>
      </w:r>
      <w:r w:rsidR="000C4DE7" w:rsidRPr="00AF4368">
        <w:rPr>
          <w:rFonts w:asciiTheme="minorHAnsi" w:hAnsiTheme="minorHAnsi" w:cstheme="minorHAnsi"/>
          <w:i/>
        </w:rPr>
        <w:t>Dlouhodobé zprostředkování transferů</w:t>
      </w:r>
      <w:r w:rsidRPr="00375452">
        <w:rPr>
          <w:rFonts w:asciiTheme="minorHAnsi" w:hAnsiTheme="minorHAnsi" w:cstheme="minorHAnsi"/>
        </w:rPr>
        <w:t xml:space="preserve"> </w:t>
      </w:r>
      <w:r w:rsidR="004D2E27">
        <w:rPr>
          <w:rFonts w:asciiTheme="minorHAnsi" w:hAnsiTheme="minorHAnsi" w:cstheme="minorHAnsi"/>
        </w:rPr>
        <w:t xml:space="preserve">v souvislosti s </w:t>
      </w:r>
      <w:r w:rsidRPr="00D2676C">
        <w:rPr>
          <w:rFonts w:asciiTheme="minorHAnsi" w:hAnsiTheme="minorHAnsi" w:cstheme="minorHAnsi"/>
        </w:rPr>
        <w:t>programov</w:t>
      </w:r>
      <w:r w:rsidR="004D2E27">
        <w:rPr>
          <w:rFonts w:asciiTheme="minorHAnsi" w:hAnsiTheme="minorHAnsi" w:cstheme="minorHAnsi"/>
        </w:rPr>
        <w:t>ým</w:t>
      </w:r>
      <w:r w:rsidRPr="00D2676C">
        <w:rPr>
          <w:rFonts w:asciiTheme="minorHAnsi" w:hAnsiTheme="minorHAnsi" w:cstheme="minorHAnsi"/>
        </w:rPr>
        <w:t xml:space="preserve"> období</w:t>
      </w:r>
      <w:r w:rsidR="004D2E27">
        <w:rPr>
          <w:rFonts w:asciiTheme="minorHAnsi" w:hAnsiTheme="minorHAnsi" w:cstheme="minorHAnsi"/>
        </w:rPr>
        <w:t>m</w:t>
      </w:r>
      <w:r w:rsidRPr="00D2676C">
        <w:rPr>
          <w:rFonts w:asciiTheme="minorHAnsi" w:hAnsiTheme="minorHAnsi" w:cstheme="minorHAnsi"/>
        </w:rPr>
        <w:t xml:space="preserve"> </w:t>
      </w:r>
      <w:r w:rsidR="004D2E27">
        <w:rPr>
          <w:rFonts w:asciiTheme="minorHAnsi" w:hAnsiTheme="minorHAnsi" w:cstheme="minorHAnsi"/>
        </w:rPr>
        <w:br/>
      </w:r>
      <w:r w:rsidRPr="00D2676C">
        <w:rPr>
          <w:rFonts w:asciiTheme="minorHAnsi" w:hAnsiTheme="minorHAnsi" w:cstheme="minorHAnsi"/>
        </w:rPr>
        <w:t xml:space="preserve">2004–2006 </w:t>
      </w:r>
      <w:r w:rsidRPr="00375452">
        <w:rPr>
          <w:rFonts w:asciiTheme="minorHAnsi" w:hAnsiTheme="minorHAnsi" w:cstheme="minorHAnsi"/>
        </w:rPr>
        <w:t>je však vyšší než u detailně prověřené části zůstatku (600,5</w:t>
      </w:r>
      <w:r w:rsidR="00BB33C1">
        <w:rPr>
          <w:rFonts w:asciiTheme="minorHAnsi" w:hAnsiTheme="minorHAnsi" w:cstheme="minorHAnsi"/>
        </w:rPr>
        <w:t> </w:t>
      </w:r>
      <w:r w:rsidRPr="00375452">
        <w:rPr>
          <w:rFonts w:asciiTheme="minorHAnsi" w:hAnsiTheme="minorHAnsi" w:cstheme="minorHAnsi"/>
        </w:rPr>
        <w:t>mil. Kč),</w:t>
      </w:r>
      <w:r w:rsidR="00640C7F">
        <w:rPr>
          <w:rFonts w:asciiTheme="minorHAnsi" w:hAnsiTheme="minorHAnsi" w:cstheme="minorHAnsi"/>
        </w:rPr>
        <w:t xml:space="preserve"> </w:t>
      </w:r>
      <w:r w:rsidR="004D2E27">
        <w:rPr>
          <w:rFonts w:asciiTheme="minorHAnsi" w:hAnsiTheme="minorHAnsi" w:cstheme="minorHAnsi"/>
        </w:rPr>
        <w:t xml:space="preserve">neboť </w:t>
      </w:r>
      <w:r w:rsidR="004D2E27" w:rsidRPr="00720ADC">
        <w:rPr>
          <w:rFonts w:asciiTheme="minorHAnsi" w:hAnsiTheme="minorHAnsi" w:cstheme="minorHAnsi"/>
          <w:b/>
        </w:rPr>
        <w:t>se</w:t>
      </w:r>
      <w:r w:rsidR="004D2E27">
        <w:rPr>
          <w:rFonts w:asciiTheme="minorHAnsi" w:hAnsiTheme="minorHAnsi" w:cstheme="minorHAnsi"/>
        </w:rPr>
        <w:t xml:space="preserve"> </w:t>
      </w:r>
      <w:r w:rsidRPr="00363F8A">
        <w:rPr>
          <w:rFonts w:asciiTheme="minorHAnsi" w:hAnsiTheme="minorHAnsi" w:cstheme="minorHAnsi"/>
          <w:b/>
        </w:rPr>
        <w:t>týká celého v rozvaze vykázaného nároku ve výši 5,69 mld. Kč.</w:t>
      </w:r>
      <w:r w:rsidRPr="00375452">
        <w:rPr>
          <w:rFonts w:asciiTheme="minorHAnsi" w:hAnsiTheme="minorHAnsi" w:cstheme="minorHAnsi"/>
        </w:rPr>
        <w:t xml:space="preserve"> MF by mělo</w:t>
      </w:r>
      <w:r w:rsidR="003F06E2">
        <w:rPr>
          <w:rFonts w:asciiTheme="minorHAnsi" w:hAnsiTheme="minorHAnsi" w:cstheme="minorHAnsi"/>
        </w:rPr>
        <w:t>,</w:t>
      </w:r>
      <w:r w:rsidRPr="00375452">
        <w:rPr>
          <w:rFonts w:asciiTheme="minorHAnsi" w:hAnsiTheme="minorHAnsi" w:cstheme="minorHAnsi"/>
        </w:rPr>
        <w:t xml:space="preserve"> s využitím dokumentace </w:t>
      </w:r>
      <w:r w:rsidR="00640C7F">
        <w:rPr>
          <w:rFonts w:asciiTheme="minorHAnsi" w:hAnsiTheme="minorHAnsi" w:cstheme="minorHAnsi"/>
        </w:rPr>
        <w:t>p</w:t>
      </w:r>
      <w:r w:rsidR="00920752">
        <w:rPr>
          <w:rFonts w:asciiTheme="minorHAnsi" w:hAnsiTheme="minorHAnsi" w:cstheme="minorHAnsi"/>
        </w:rPr>
        <w:t xml:space="preserve">otvrzené Evropskou komisí k </w:t>
      </w:r>
      <w:r w:rsidRPr="00375452">
        <w:rPr>
          <w:rFonts w:asciiTheme="minorHAnsi" w:hAnsiTheme="minorHAnsi" w:cstheme="minorHAnsi"/>
        </w:rPr>
        <w:t xml:space="preserve">ukončení pomoci </w:t>
      </w:r>
      <w:r w:rsidR="00640C7F">
        <w:rPr>
          <w:rFonts w:asciiTheme="minorHAnsi" w:hAnsiTheme="minorHAnsi" w:cstheme="minorHAnsi"/>
        </w:rPr>
        <w:t>ze strukturálních fondů EU a</w:t>
      </w:r>
      <w:r w:rsidR="004D2E27">
        <w:rPr>
          <w:rFonts w:asciiTheme="minorHAnsi" w:hAnsiTheme="minorHAnsi" w:cstheme="minorHAnsi"/>
        </w:rPr>
        <w:t> </w:t>
      </w:r>
      <w:r w:rsidR="00640C7F" w:rsidRPr="00720ADC">
        <w:rPr>
          <w:rFonts w:asciiTheme="minorHAnsi" w:hAnsiTheme="minorHAnsi" w:cstheme="minorHAnsi"/>
          <w:i/>
        </w:rPr>
        <w:t>Fondu soudržnosti</w:t>
      </w:r>
      <w:r w:rsidR="003F06E2">
        <w:rPr>
          <w:rFonts w:asciiTheme="minorHAnsi" w:hAnsiTheme="minorHAnsi" w:cstheme="minorHAnsi"/>
        </w:rPr>
        <w:t>,</w:t>
      </w:r>
      <w:r w:rsidR="00640C7F">
        <w:rPr>
          <w:rFonts w:asciiTheme="minorHAnsi" w:hAnsiTheme="minorHAnsi" w:cstheme="minorHAnsi"/>
        </w:rPr>
        <w:t xml:space="preserve"> </w:t>
      </w:r>
      <w:r w:rsidRPr="00375452">
        <w:rPr>
          <w:rFonts w:asciiTheme="minorHAnsi" w:hAnsiTheme="minorHAnsi" w:cstheme="minorHAnsi"/>
        </w:rPr>
        <w:t>v rámci účtu 475 vykázat za Evropskou komisí pouze takové pohledávky, které odpovídají skutečnému zůstatku závazku rozpočtu EU vůči ČR</w:t>
      </w:r>
      <w:r w:rsidR="00640C7F">
        <w:rPr>
          <w:rFonts w:asciiTheme="minorHAnsi" w:hAnsiTheme="minorHAnsi" w:cstheme="minorHAnsi"/>
        </w:rPr>
        <w:t xml:space="preserve"> k rozvahovému dni</w:t>
      </w:r>
      <w:r w:rsidRPr="00375452">
        <w:rPr>
          <w:rFonts w:asciiTheme="minorHAnsi" w:hAnsiTheme="minorHAnsi" w:cstheme="minorHAnsi"/>
        </w:rPr>
        <w:t xml:space="preserve">. Skutečný stav těchto pohledávek MF </w:t>
      </w:r>
      <w:r w:rsidR="00640C7F">
        <w:rPr>
          <w:rFonts w:asciiTheme="minorHAnsi" w:hAnsiTheme="minorHAnsi" w:cstheme="minorHAnsi"/>
        </w:rPr>
        <w:t xml:space="preserve">nezjistilo ani </w:t>
      </w:r>
      <w:r w:rsidRPr="00375452">
        <w:rPr>
          <w:rFonts w:asciiTheme="minorHAnsi" w:hAnsiTheme="minorHAnsi" w:cstheme="minorHAnsi"/>
        </w:rPr>
        <w:t>při inventarizaci</w:t>
      </w:r>
      <w:r w:rsidR="00EB6045">
        <w:rPr>
          <w:rFonts w:asciiTheme="minorHAnsi" w:hAnsiTheme="minorHAnsi" w:cstheme="minorHAnsi"/>
        </w:rPr>
        <w:t>, a nepostupovalo tak v souladu se zákonem č. 563/1991 Sb., o účetnictví (dále také „zákon o účetnictví“).</w:t>
      </w:r>
    </w:p>
    <w:p w14:paraId="1E172D19" w14:textId="77777777" w:rsidR="0025037A" w:rsidRPr="009E3C0E" w:rsidRDefault="00211C04" w:rsidP="00AF4368">
      <w:pPr>
        <w:spacing w:after="160"/>
        <w:jc w:val="both"/>
        <w:rPr>
          <w:rFonts w:asciiTheme="minorHAnsi" w:hAnsiTheme="minorHAnsi" w:cstheme="minorHAnsi"/>
          <w:b/>
        </w:rPr>
      </w:pPr>
      <w:r w:rsidRPr="006E397B">
        <w:rPr>
          <w:rFonts w:asciiTheme="minorHAnsi" w:hAnsiTheme="minorHAnsi" w:cstheme="minorHAnsi"/>
        </w:rPr>
        <w:t>Z titulu neuhrazených</w:t>
      </w:r>
      <w:r>
        <w:rPr>
          <w:rFonts w:asciiTheme="minorHAnsi" w:hAnsiTheme="minorHAnsi" w:cstheme="minorHAnsi"/>
        </w:rPr>
        <w:t xml:space="preserve"> souhrnných žádostí v</w:t>
      </w:r>
      <w:r w:rsidR="006E397B">
        <w:rPr>
          <w:rFonts w:asciiTheme="minorHAnsi" w:hAnsiTheme="minorHAnsi" w:cstheme="minorHAnsi"/>
        </w:rPr>
        <w:t xml:space="preserve"> programovém</w:t>
      </w:r>
      <w:r>
        <w:rPr>
          <w:rFonts w:asciiTheme="minorHAnsi" w:hAnsiTheme="minorHAnsi" w:cstheme="minorHAnsi"/>
        </w:rPr>
        <w:t xml:space="preserve"> období 2004–2006</w:t>
      </w:r>
      <w:r w:rsidR="00920752">
        <w:rPr>
          <w:rFonts w:asciiTheme="minorHAnsi" w:hAnsiTheme="minorHAnsi" w:cstheme="minorHAnsi"/>
        </w:rPr>
        <w:t xml:space="preserve"> vykázalo MF k 31. 12. 2017 v rámci účtu </w:t>
      </w:r>
      <w:r w:rsidR="006E397B">
        <w:rPr>
          <w:rFonts w:asciiTheme="minorHAnsi" w:hAnsiTheme="minorHAnsi" w:cstheme="minorHAnsi"/>
        </w:rPr>
        <w:t xml:space="preserve">375 – </w:t>
      </w:r>
      <w:r w:rsidR="006E397B" w:rsidRPr="005A4235">
        <w:rPr>
          <w:rFonts w:asciiTheme="minorHAnsi" w:hAnsiTheme="minorHAnsi" w:cstheme="minorHAnsi"/>
          <w:i/>
        </w:rPr>
        <w:t>Krátkodobé zprostředkování transferů</w:t>
      </w:r>
      <w:r w:rsidR="006E397B">
        <w:rPr>
          <w:rFonts w:asciiTheme="minorHAnsi" w:hAnsiTheme="minorHAnsi" w:cstheme="minorHAnsi"/>
        </w:rPr>
        <w:t xml:space="preserve"> </w:t>
      </w:r>
      <w:r w:rsidR="00920752" w:rsidRPr="00AF4368">
        <w:rPr>
          <w:rFonts w:asciiTheme="minorHAnsi" w:hAnsiTheme="minorHAnsi" w:cstheme="minorHAnsi"/>
          <w:b/>
        </w:rPr>
        <w:t>závazky vůči předfinancujícím subjektům</w:t>
      </w:r>
      <w:r w:rsidR="006E397B" w:rsidRPr="00AF4368">
        <w:rPr>
          <w:rFonts w:asciiTheme="minorHAnsi" w:hAnsiTheme="minorHAnsi" w:cstheme="minorHAnsi"/>
          <w:b/>
        </w:rPr>
        <w:t xml:space="preserve"> ve výši 5,6</w:t>
      </w:r>
      <w:r w:rsidR="003114A8">
        <w:rPr>
          <w:rFonts w:asciiTheme="minorHAnsi" w:hAnsiTheme="minorHAnsi" w:cstheme="minorHAnsi"/>
          <w:b/>
        </w:rPr>
        <w:t>2</w:t>
      </w:r>
      <w:r w:rsidR="006E397B" w:rsidRPr="00AF4368">
        <w:rPr>
          <w:rFonts w:asciiTheme="minorHAnsi" w:hAnsiTheme="minorHAnsi" w:cstheme="minorHAnsi"/>
          <w:b/>
        </w:rPr>
        <w:t xml:space="preserve"> mld. Kč, u kterých není jisté, zda budou v plné výši uhrazeny.</w:t>
      </w:r>
      <w:r w:rsidR="00920752" w:rsidRPr="00AF4368">
        <w:rPr>
          <w:rFonts w:asciiTheme="minorHAnsi" w:hAnsiTheme="minorHAnsi" w:cstheme="minorHAnsi"/>
          <w:b/>
        </w:rPr>
        <w:t xml:space="preserve"> </w:t>
      </w:r>
    </w:p>
    <w:p w14:paraId="7A29E422" w14:textId="77777777" w:rsidR="0025037A" w:rsidRDefault="0025037A" w:rsidP="0025037A">
      <w:pPr>
        <w:spacing w:after="0"/>
        <w:jc w:val="both"/>
        <w:rPr>
          <w:rFonts w:asciiTheme="minorHAnsi" w:hAnsiTheme="minorHAnsi" w:cstheme="minorHAnsi"/>
          <w:color w:val="000000"/>
          <w:lang w:eastAsia="cs-CZ"/>
        </w:rPr>
      </w:pPr>
      <w:r>
        <w:rPr>
          <w:rFonts w:asciiTheme="minorHAnsi" w:hAnsiTheme="minorHAnsi" w:cstheme="minorHAnsi"/>
        </w:rPr>
        <w:t xml:space="preserve">Kontrola prověřovala i účtování o prostředcích </w:t>
      </w:r>
      <w:r w:rsidR="00D85EFD">
        <w:rPr>
          <w:rFonts w:asciiTheme="minorHAnsi" w:hAnsiTheme="minorHAnsi" w:cstheme="minorHAnsi"/>
        </w:rPr>
        <w:t xml:space="preserve">strukturálních fondů EU a </w:t>
      </w:r>
      <w:r w:rsidR="00D85EFD" w:rsidRPr="00720ADC">
        <w:rPr>
          <w:rFonts w:asciiTheme="minorHAnsi" w:hAnsiTheme="minorHAnsi" w:cstheme="minorHAnsi"/>
          <w:i/>
        </w:rPr>
        <w:t>Fondu soudržnosti</w:t>
      </w:r>
      <w:r w:rsidR="00D85E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 další programová období. NKÚ na základě těchto poznatků upozorňuje, že </w:t>
      </w:r>
      <w:r w:rsidRPr="00363F8A">
        <w:rPr>
          <w:rFonts w:asciiTheme="minorHAnsi" w:hAnsiTheme="minorHAnsi" w:cstheme="minorHAnsi"/>
          <w:b/>
        </w:rPr>
        <w:t xml:space="preserve">neupraví-li MF </w:t>
      </w:r>
      <w:r w:rsidRPr="00363F8A">
        <w:rPr>
          <w:rFonts w:asciiTheme="minorHAnsi" w:hAnsiTheme="minorHAnsi" w:cstheme="minorHAnsi"/>
          <w:b/>
          <w:color w:val="000000"/>
          <w:lang w:eastAsia="cs-CZ"/>
        </w:rPr>
        <w:t xml:space="preserve">stávající postupy zaúčtování a vykázání skutečností o pohledávkách za Evropskou komisí, pak </w:t>
      </w:r>
      <w:r w:rsidR="00640C7F">
        <w:rPr>
          <w:rFonts w:asciiTheme="minorHAnsi" w:hAnsiTheme="minorHAnsi" w:cstheme="minorHAnsi"/>
          <w:color w:val="000000"/>
          <w:lang w:eastAsia="cs-CZ"/>
        </w:rPr>
        <w:t>obdobně jako u programového období 2004</w:t>
      </w:r>
      <w:r w:rsidR="00D85EFD">
        <w:rPr>
          <w:rFonts w:asciiTheme="minorHAnsi" w:hAnsiTheme="minorHAnsi" w:cstheme="minorHAnsi"/>
          <w:color w:val="000000"/>
          <w:lang w:eastAsia="cs-CZ"/>
        </w:rPr>
        <w:t>–</w:t>
      </w:r>
      <w:r w:rsidR="00640C7F">
        <w:rPr>
          <w:rFonts w:asciiTheme="minorHAnsi" w:hAnsiTheme="minorHAnsi" w:cstheme="minorHAnsi"/>
          <w:color w:val="000000"/>
          <w:lang w:eastAsia="cs-CZ"/>
        </w:rPr>
        <w:t xml:space="preserve">2006 </w:t>
      </w:r>
      <w:r w:rsidRPr="00363F8A">
        <w:rPr>
          <w:rFonts w:asciiTheme="minorHAnsi" w:hAnsiTheme="minorHAnsi" w:cstheme="minorHAnsi"/>
          <w:b/>
          <w:color w:val="000000"/>
          <w:lang w:eastAsia="cs-CZ"/>
        </w:rPr>
        <w:t xml:space="preserve">vzniká riziko, že k 31. 12. 2018 dojde </w:t>
      </w:r>
      <w:r w:rsidR="00640C7F">
        <w:rPr>
          <w:rFonts w:asciiTheme="minorHAnsi" w:hAnsiTheme="minorHAnsi" w:cstheme="minorHAnsi"/>
          <w:color w:val="000000"/>
          <w:lang w:eastAsia="cs-CZ"/>
        </w:rPr>
        <w:t xml:space="preserve">z výše uvedených příčin </w:t>
      </w:r>
      <w:r w:rsidRPr="00363F8A">
        <w:rPr>
          <w:rFonts w:asciiTheme="minorHAnsi" w:hAnsiTheme="minorHAnsi" w:cstheme="minorHAnsi"/>
          <w:b/>
          <w:color w:val="000000"/>
          <w:lang w:eastAsia="cs-CZ"/>
        </w:rPr>
        <w:t>k vykázání pohledávky za Evropskou komisí z</w:t>
      </w:r>
      <w:r w:rsidR="00D85EFD">
        <w:rPr>
          <w:rFonts w:asciiTheme="minorHAnsi" w:hAnsiTheme="minorHAnsi" w:cstheme="minorHAnsi"/>
          <w:b/>
          <w:color w:val="000000"/>
          <w:lang w:eastAsia="cs-CZ"/>
        </w:rPr>
        <w:t>a</w:t>
      </w:r>
      <w:r w:rsidRPr="00363F8A">
        <w:rPr>
          <w:rFonts w:asciiTheme="minorHAnsi" w:hAnsiTheme="minorHAnsi" w:cstheme="minorHAnsi"/>
          <w:b/>
          <w:color w:val="000000"/>
          <w:lang w:eastAsia="cs-CZ"/>
        </w:rPr>
        <w:t xml:space="preserve"> programové období 2007–2013, přestože nárok ČR na prostředky </w:t>
      </w:r>
      <w:r w:rsidR="00D85EFD">
        <w:rPr>
          <w:rFonts w:asciiTheme="minorHAnsi" w:hAnsiTheme="minorHAnsi" w:cstheme="minorHAnsi"/>
          <w:b/>
          <w:color w:val="000000"/>
          <w:lang w:eastAsia="cs-CZ"/>
        </w:rPr>
        <w:t xml:space="preserve">z rozpočtu EU </w:t>
      </w:r>
      <w:r w:rsidRPr="00363F8A">
        <w:rPr>
          <w:rFonts w:asciiTheme="minorHAnsi" w:hAnsiTheme="minorHAnsi" w:cstheme="minorHAnsi"/>
          <w:b/>
          <w:color w:val="000000"/>
          <w:lang w:eastAsia="cs-CZ"/>
        </w:rPr>
        <w:t>k tomuto datu již neexistuje.</w:t>
      </w:r>
      <w:r w:rsidRPr="00E22AC7">
        <w:rPr>
          <w:rFonts w:asciiTheme="minorHAnsi" w:hAnsiTheme="minorHAnsi" w:cstheme="minorHAnsi"/>
          <w:color w:val="000000"/>
          <w:lang w:eastAsia="cs-CZ"/>
        </w:rPr>
        <w:t xml:space="preserve"> </w:t>
      </w:r>
    </w:p>
    <w:p w14:paraId="3421D434" w14:textId="77777777" w:rsidR="00AF1471" w:rsidRDefault="00AF1471" w:rsidP="0025037A">
      <w:pPr>
        <w:spacing w:after="0"/>
        <w:jc w:val="both"/>
        <w:rPr>
          <w:rFonts w:asciiTheme="minorHAnsi" w:hAnsiTheme="minorHAnsi" w:cstheme="minorHAnsi"/>
          <w:color w:val="000000"/>
          <w:lang w:eastAsia="cs-CZ"/>
        </w:rPr>
      </w:pPr>
    </w:p>
    <w:p w14:paraId="10D69F71" w14:textId="77777777" w:rsidR="00AF1471" w:rsidRPr="00375452" w:rsidRDefault="00AF1471" w:rsidP="007378F9">
      <w:pPr>
        <w:pStyle w:val="Odstavecseseznamem"/>
        <w:numPr>
          <w:ilvl w:val="1"/>
          <w:numId w:val="17"/>
        </w:numPr>
        <w:spacing w:after="16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375452">
        <w:rPr>
          <w:rFonts w:asciiTheme="minorHAnsi" w:hAnsiTheme="minorHAnsi" w:cstheme="minorHAnsi"/>
          <w:b/>
        </w:rPr>
        <w:t>MF ve výkazu přehled o peněžních tocích nesprávně vykázalo peněžní toky</w:t>
      </w:r>
      <w:r w:rsidRPr="00375452">
        <w:rPr>
          <w:rFonts w:asciiTheme="minorHAnsi" w:hAnsiTheme="minorHAnsi" w:cstheme="minorHAnsi"/>
        </w:rPr>
        <w:t xml:space="preserve"> </w:t>
      </w:r>
      <w:r w:rsidRPr="00375452">
        <w:rPr>
          <w:rFonts w:asciiTheme="minorHAnsi" w:hAnsiTheme="minorHAnsi" w:cstheme="minorHAnsi"/>
          <w:b/>
        </w:rPr>
        <w:t xml:space="preserve">z provozní činnosti </w:t>
      </w:r>
      <w:r>
        <w:rPr>
          <w:rFonts w:asciiTheme="minorHAnsi" w:hAnsiTheme="minorHAnsi" w:cstheme="minorHAnsi"/>
          <w:b/>
        </w:rPr>
        <w:t xml:space="preserve">ve výši </w:t>
      </w:r>
      <w:r w:rsidRPr="00375452">
        <w:rPr>
          <w:rFonts w:asciiTheme="minorHAnsi" w:hAnsiTheme="minorHAnsi" w:cstheme="minorHAnsi"/>
          <w:b/>
        </w:rPr>
        <w:t>71,6 mld. Kč</w:t>
      </w:r>
    </w:p>
    <w:p w14:paraId="14AF6FA5" w14:textId="77777777" w:rsidR="00AF1471" w:rsidRPr="00AF4368" w:rsidRDefault="00AF1471" w:rsidP="00AF1471">
      <w:pPr>
        <w:tabs>
          <w:tab w:val="left" w:pos="1276"/>
        </w:tabs>
        <w:spacing w:after="160"/>
        <w:jc w:val="both"/>
        <w:rPr>
          <w:rFonts w:asciiTheme="minorHAnsi" w:hAnsiTheme="minorHAnsi" w:cstheme="minorHAnsi"/>
          <w:b/>
        </w:rPr>
      </w:pPr>
      <w:r w:rsidRPr="00AF4368">
        <w:rPr>
          <w:rFonts w:asciiTheme="minorHAnsi" w:hAnsiTheme="minorHAnsi" w:cstheme="minorHAnsi"/>
          <w:b/>
        </w:rPr>
        <w:t xml:space="preserve">V algoritmu sestavení přehledu o peněžních tocích zjistil NKÚ nedostatek, který způsobil nesprávnost ve výši 71,6 mld. Kč při vykázání údaje o peněžních tocích z provozní činnosti (položka A. </w:t>
      </w:r>
      <w:r w:rsidRPr="00AF4368">
        <w:rPr>
          <w:rFonts w:asciiTheme="minorHAnsi" w:hAnsiTheme="minorHAnsi" w:cstheme="minorHAnsi"/>
          <w:b/>
          <w:i/>
        </w:rPr>
        <w:t>Peněžní toky z provozní činnosti</w:t>
      </w:r>
      <w:r w:rsidRPr="00AF4368">
        <w:rPr>
          <w:rFonts w:asciiTheme="minorHAnsi" w:hAnsiTheme="minorHAnsi" w:cstheme="minorHAnsi"/>
          <w:b/>
        </w:rPr>
        <w:t xml:space="preserve">). </w:t>
      </w:r>
    </w:p>
    <w:p w14:paraId="295ACC42" w14:textId="375FA9A6" w:rsidR="00AF1471" w:rsidRPr="005A4235" w:rsidRDefault="00AF1471" w:rsidP="00AF1471">
      <w:pPr>
        <w:pStyle w:val="Odstavecseseznamem"/>
        <w:spacing w:after="160"/>
        <w:ind w:left="0"/>
        <w:contextualSpacing w:val="0"/>
        <w:jc w:val="both"/>
        <w:rPr>
          <w:rFonts w:asciiTheme="minorHAnsi" w:hAnsiTheme="minorHAnsi" w:cstheme="minorHAnsi"/>
        </w:rPr>
      </w:pPr>
      <w:r w:rsidRPr="00AF1471">
        <w:rPr>
          <w:rFonts w:asciiTheme="minorHAnsi" w:hAnsiTheme="minorHAnsi" w:cstheme="minorHAnsi"/>
        </w:rPr>
        <w:t>MF ve výkazu přehled o peněžních tocích k 31. 12. 2017 vykázalo v rámci peněžních toků</w:t>
      </w:r>
      <w:r w:rsidRPr="00AF1471">
        <w:rPr>
          <w:rFonts w:asciiTheme="minorHAnsi" w:hAnsiTheme="minorHAnsi" w:cstheme="minorHAnsi"/>
          <w:b/>
        </w:rPr>
        <w:t xml:space="preserve"> </w:t>
      </w:r>
      <w:r w:rsidRPr="00AF1471">
        <w:rPr>
          <w:rFonts w:asciiTheme="minorHAnsi" w:hAnsiTheme="minorHAnsi" w:cstheme="minorHAnsi"/>
        </w:rPr>
        <w:t>z </w:t>
      </w:r>
      <w:r w:rsidRPr="00AF1471">
        <w:rPr>
          <w:rFonts w:asciiTheme="minorHAnsi" w:hAnsiTheme="minorHAnsi" w:cstheme="minorHAnsi"/>
          <w:i/>
        </w:rPr>
        <w:t>vlastního kapitálu, dlouhodobých závazků a dlouhodobých pohledávek</w:t>
      </w:r>
      <w:r w:rsidRPr="00AF1471">
        <w:rPr>
          <w:rFonts w:asciiTheme="minorHAnsi" w:hAnsiTheme="minorHAnsi" w:cstheme="minorHAnsi"/>
        </w:rPr>
        <w:t xml:space="preserve"> změny stavu dlouhodobých závazků v částce 71,6 mld. Kč. Tyto změny však nebyly spojeny s peněžním </w:t>
      </w:r>
      <w:r w:rsidRPr="00AF1471">
        <w:rPr>
          <w:rFonts w:asciiTheme="minorHAnsi" w:hAnsiTheme="minorHAnsi" w:cstheme="minorHAnsi"/>
        </w:rPr>
        <w:lastRenderedPageBreak/>
        <w:t>tokem. Jejich vykázání v rámci peněžních toků</w:t>
      </w:r>
      <w:r w:rsidRPr="00AF1471">
        <w:rPr>
          <w:rFonts w:asciiTheme="minorHAnsi" w:hAnsiTheme="minorHAnsi" w:cstheme="minorHAnsi"/>
          <w:b/>
        </w:rPr>
        <w:t xml:space="preserve"> </w:t>
      </w:r>
      <w:r w:rsidRPr="00AF1471">
        <w:rPr>
          <w:rFonts w:asciiTheme="minorHAnsi" w:hAnsiTheme="minorHAnsi" w:cstheme="minorHAnsi"/>
        </w:rPr>
        <w:t>z </w:t>
      </w:r>
      <w:r w:rsidRPr="00AF1471">
        <w:rPr>
          <w:rFonts w:asciiTheme="minorHAnsi" w:hAnsiTheme="minorHAnsi" w:cstheme="minorHAnsi"/>
          <w:i/>
        </w:rPr>
        <w:t>vlastního k</w:t>
      </w:r>
      <w:r w:rsidR="00462BD6">
        <w:rPr>
          <w:rFonts w:asciiTheme="minorHAnsi" w:hAnsiTheme="minorHAnsi" w:cstheme="minorHAnsi"/>
          <w:i/>
        </w:rPr>
        <w:t>apitálu, dlouhodobých závazků a </w:t>
      </w:r>
      <w:r w:rsidRPr="00AF1471">
        <w:rPr>
          <w:rFonts w:asciiTheme="minorHAnsi" w:hAnsiTheme="minorHAnsi" w:cstheme="minorHAnsi"/>
          <w:i/>
        </w:rPr>
        <w:t xml:space="preserve">dlouhodobých pohledávek </w:t>
      </w:r>
      <w:r w:rsidRPr="00AF1471">
        <w:rPr>
          <w:rFonts w:asciiTheme="minorHAnsi" w:hAnsiTheme="minorHAnsi" w:cstheme="minorHAnsi"/>
        </w:rPr>
        <w:t>nebylo vzhledem k problému s aplikací předpisu, uvedené</w:t>
      </w:r>
      <w:r w:rsidR="000D7361">
        <w:rPr>
          <w:rFonts w:asciiTheme="minorHAnsi" w:hAnsiTheme="minorHAnsi" w:cstheme="minorHAnsi"/>
        </w:rPr>
        <w:t>mu</w:t>
      </w:r>
      <w:r w:rsidRPr="00AF1471">
        <w:rPr>
          <w:rFonts w:asciiTheme="minorHAnsi" w:hAnsiTheme="minorHAnsi" w:cstheme="minorHAnsi"/>
        </w:rPr>
        <w:t xml:space="preserve"> v části I.1.1, dáno MF k tíži. </w:t>
      </w:r>
      <w:r w:rsidRPr="00AF1471">
        <w:rPr>
          <w:rFonts w:cstheme="minorHAnsi"/>
          <w:b/>
        </w:rPr>
        <w:t>MF sice provedlo vyloučení těchto nepeněžních operací z celkových peněžních toků, avšak v rozporu s vyhláškou č. 410/2009 Sb. prostřednictvím obsahově neodpovídající položky, týkající se zcela jiného druhu peněžních toků (peněžních toků z provozní činnosti),</w:t>
      </w:r>
      <w:r w:rsidRPr="00AF1471">
        <w:rPr>
          <w:rFonts w:asciiTheme="minorHAnsi" w:hAnsiTheme="minorHAnsi" w:cstheme="minorHAnsi"/>
          <w:b/>
        </w:rPr>
        <w:t xml:space="preserve"> </w:t>
      </w:r>
      <w:r w:rsidR="004D2E27">
        <w:rPr>
          <w:rFonts w:asciiTheme="minorHAnsi" w:hAnsiTheme="minorHAnsi" w:cstheme="minorHAnsi"/>
          <w:b/>
        </w:rPr>
        <w:t xml:space="preserve">blíže </w:t>
      </w:r>
      <w:r w:rsidRPr="00AF1471">
        <w:rPr>
          <w:rFonts w:asciiTheme="minorHAnsi" w:hAnsiTheme="minorHAnsi" w:cstheme="minorHAnsi"/>
          <w:b/>
        </w:rPr>
        <w:t>viz část IV.2.</w:t>
      </w:r>
    </w:p>
    <w:p w14:paraId="1B5AC61D" w14:textId="6BFC2549" w:rsidR="00AF1471" w:rsidRDefault="00AF1471" w:rsidP="00AF1471">
      <w:pPr>
        <w:tabs>
          <w:tab w:val="left" w:pos="1276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Zjištěná </w:t>
      </w:r>
      <w:r w:rsidRPr="00375452">
        <w:rPr>
          <w:rFonts w:asciiTheme="minorHAnsi" w:hAnsiTheme="minorHAnsi" w:cstheme="minorHAnsi"/>
        </w:rPr>
        <w:t>nesprávnost významně zkresluje vypovídací hodnotu tohoto přehledu</w:t>
      </w:r>
      <w:r>
        <w:rPr>
          <w:rFonts w:asciiTheme="minorHAnsi" w:hAnsiTheme="minorHAnsi" w:cstheme="minorHAnsi"/>
        </w:rPr>
        <w:t xml:space="preserve">, tj. </w:t>
      </w:r>
      <w:r w:rsidR="004D2E27">
        <w:rPr>
          <w:rFonts w:asciiTheme="minorHAnsi" w:hAnsiTheme="minorHAnsi" w:cstheme="minorHAnsi"/>
        </w:rPr>
        <w:t xml:space="preserve">snižuje </w:t>
      </w:r>
      <w:r>
        <w:rPr>
          <w:rFonts w:asciiTheme="minorHAnsi" w:hAnsiTheme="minorHAnsi" w:cstheme="minorHAnsi"/>
        </w:rPr>
        <w:t>možnost uživatele ÚZ</w:t>
      </w:r>
      <w:r w:rsidRPr="00375452">
        <w:rPr>
          <w:rFonts w:asciiTheme="minorHAnsi" w:hAnsiTheme="minorHAnsi" w:cstheme="minorHAnsi"/>
        </w:rPr>
        <w:t xml:space="preserve"> porozumě</w:t>
      </w:r>
      <w:r>
        <w:rPr>
          <w:rFonts w:asciiTheme="minorHAnsi" w:hAnsiTheme="minorHAnsi" w:cstheme="minorHAnsi"/>
        </w:rPr>
        <w:t>t</w:t>
      </w:r>
      <w:r w:rsidRPr="00375452">
        <w:rPr>
          <w:rFonts w:asciiTheme="minorHAnsi" w:hAnsiTheme="minorHAnsi" w:cstheme="minorHAnsi"/>
        </w:rPr>
        <w:t xml:space="preserve"> struktuře</w:t>
      </w:r>
      <w:r>
        <w:rPr>
          <w:rFonts w:asciiTheme="minorHAnsi" w:hAnsiTheme="minorHAnsi" w:cstheme="minorHAnsi"/>
        </w:rPr>
        <w:t xml:space="preserve"> </w:t>
      </w:r>
      <w:r w:rsidRPr="00375452">
        <w:rPr>
          <w:rFonts w:asciiTheme="minorHAnsi" w:hAnsiTheme="minorHAnsi" w:cstheme="minorHAnsi"/>
        </w:rPr>
        <w:t>i rozsah</w:t>
      </w:r>
      <w:r>
        <w:rPr>
          <w:rFonts w:asciiTheme="minorHAnsi" w:hAnsiTheme="minorHAnsi" w:cstheme="minorHAnsi"/>
        </w:rPr>
        <w:t>u</w:t>
      </w:r>
      <w:r w:rsidRPr="003754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jednotlivých druhů </w:t>
      </w:r>
      <w:r w:rsidRPr="00375452">
        <w:rPr>
          <w:rFonts w:asciiTheme="minorHAnsi" w:hAnsiTheme="minorHAnsi" w:cstheme="minorHAnsi"/>
        </w:rPr>
        <w:t>peněžních toků z činností MF.</w:t>
      </w:r>
    </w:p>
    <w:p w14:paraId="046EFA9D" w14:textId="432F5582" w:rsidR="0025037A" w:rsidRDefault="0025037A" w:rsidP="0025037A">
      <w:pPr>
        <w:spacing w:after="0"/>
        <w:jc w:val="both"/>
        <w:rPr>
          <w:rFonts w:asciiTheme="minorHAnsi" w:hAnsiTheme="minorHAnsi" w:cstheme="minorHAnsi"/>
          <w:color w:val="000000"/>
          <w:lang w:eastAsia="cs-CZ"/>
        </w:rPr>
      </w:pPr>
    </w:p>
    <w:p w14:paraId="309115BA" w14:textId="77777777" w:rsidR="0025037A" w:rsidRPr="00420851" w:rsidRDefault="0025037A" w:rsidP="00720ADC">
      <w:pPr>
        <w:pStyle w:val="Odstavecseseznamem"/>
        <w:numPr>
          <w:ilvl w:val="0"/>
          <w:numId w:val="18"/>
        </w:numPr>
        <w:spacing w:after="160"/>
        <w:ind w:left="0" w:firstLine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420851">
        <w:rPr>
          <w:rFonts w:cs="Calibri"/>
          <w:b/>
          <w:u w:val="single"/>
        </w:rPr>
        <w:t>Nápravná opatření</w:t>
      </w:r>
    </w:p>
    <w:p w14:paraId="48FB5F5B" w14:textId="77777777" w:rsidR="0025037A" w:rsidRPr="00375452" w:rsidRDefault="0025037A" w:rsidP="0025037A">
      <w:pPr>
        <w:spacing w:after="160"/>
        <w:jc w:val="both"/>
        <w:rPr>
          <w:rFonts w:asciiTheme="minorHAnsi" w:hAnsiTheme="minorHAnsi" w:cs="Arial"/>
          <w:bCs/>
          <w:iCs/>
        </w:rPr>
      </w:pPr>
      <w:r w:rsidRPr="00375452">
        <w:rPr>
          <w:rFonts w:asciiTheme="minorHAnsi" w:hAnsiTheme="minorHAnsi" w:cs="Arial"/>
          <w:bCs/>
          <w:iCs/>
        </w:rPr>
        <w:t xml:space="preserve">MF nápravná opatření vyplývající z KA </w:t>
      </w:r>
      <w:r w:rsidR="0059314E">
        <w:rPr>
          <w:rFonts w:asciiTheme="minorHAnsi" w:hAnsiTheme="minorHAnsi" w:cs="Arial"/>
          <w:bCs/>
          <w:iCs/>
        </w:rPr>
        <w:t xml:space="preserve">č. </w:t>
      </w:r>
      <w:r w:rsidRPr="00375452">
        <w:rPr>
          <w:rFonts w:asciiTheme="minorHAnsi" w:hAnsiTheme="minorHAnsi" w:cs="Arial"/>
          <w:bCs/>
          <w:iCs/>
        </w:rPr>
        <w:t xml:space="preserve">16/03 v oblasti </w:t>
      </w:r>
      <w:r w:rsidR="00E33FC1">
        <w:rPr>
          <w:rFonts w:asciiTheme="minorHAnsi" w:hAnsiTheme="minorHAnsi" w:cs="Arial"/>
          <w:bCs/>
          <w:iCs/>
        </w:rPr>
        <w:t xml:space="preserve">vedení svého </w:t>
      </w:r>
      <w:r w:rsidRPr="00375452">
        <w:rPr>
          <w:rFonts w:asciiTheme="minorHAnsi" w:hAnsiTheme="minorHAnsi" w:cs="Arial"/>
          <w:bCs/>
          <w:iCs/>
        </w:rPr>
        <w:t xml:space="preserve">účetnictví přijalo. </w:t>
      </w:r>
    </w:p>
    <w:p w14:paraId="6E85F747" w14:textId="77777777" w:rsidR="0025037A" w:rsidRPr="00375452" w:rsidRDefault="00631D2E" w:rsidP="0025037A">
      <w:pPr>
        <w:spacing w:after="160"/>
        <w:jc w:val="both"/>
        <w:rPr>
          <w:rFonts w:cstheme="minorHAnsi"/>
        </w:rPr>
      </w:pPr>
      <w:r>
        <w:rPr>
          <w:rFonts w:asciiTheme="minorHAnsi" w:hAnsiTheme="minorHAnsi" w:cs="Arial"/>
          <w:bCs/>
          <w:iCs/>
        </w:rPr>
        <w:t>V</w:t>
      </w:r>
      <w:r w:rsidR="0025037A">
        <w:rPr>
          <w:rFonts w:asciiTheme="minorHAnsi" w:hAnsiTheme="minorHAnsi" w:cs="Arial"/>
          <w:bCs/>
          <w:iCs/>
        </w:rPr>
        <w:t xml:space="preserve"> jednom případě </w:t>
      </w:r>
      <w:r w:rsidR="0025037A" w:rsidRPr="00375452">
        <w:rPr>
          <w:rFonts w:asciiTheme="minorHAnsi" w:hAnsiTheme="minorHAnsi" w:cs="Arial"/>
          <w:bCs/>
          <w:iCs/>
        </w:rPr>
        <w:t>však nepostupovalo v plném ro</w:t>
      </w:r>
      <w:r w:rsidR="0025037A">
        <w:rPr>
          <w:rFonts w:asciiTheme="minorHAnsi" w:hAnsiTheme="minorHAnsi" w:cs="Arial"/>
          <w:bCs/>
          <w:iCs/>
        </w:rPr>
        <w:t>zsahu doporučení plynoucích z kontrolní akce č. 16/03. V důsledku toho vzniká riziko podhodnocení rozvahových závazků k 31.</w:t>
      </w:r>
      <w:r w:rsidR="00FE00F3">
        <w:rPr>
          <w:rFonts w:asciiTheme="minorHAnsi" w:hAnsiTheme="minorHAnsi" w:cs="Arial"/>
          <w:bCs/>
          <w:iCs/>
        </w:rPr>
        <w:t> </w:t>
      </w:r>
      <w:r w:rsidR="0025037A">
        <w:rPr>
          <w:rFonts w:asciiTheme="minorHAnsi" w:hAnsiTheme="minorHAnsi" w:cs="Arial"/>
          <w:bCs/>
          <w:iCs/>
        </w:rPr>
        <w:t>12.</w:t>
      </w:r>
      <w:r w:rsidR="00FE00F3">
        <w:rPr>
          <w:rFonts w:asciiTheme="minorHAnsi" w:hAnsiTheme="minorHAnsi" w:cs="Arial"/>
          <w:bCs/>
          <w:iCs/>
        </w:rPr>
        <w:t> </w:t>
      </w:r>
      <w:r w:rsidR="0025037A">
        <w:rPr>
          <w:rFonts w:asciiTheme="minorHAnsi" w:hAnsiTheme="minorHAnsi" w:cs="Arial"/>
          <w:bCs/>
          <w:iCs/>
        </w:rPr>
        <w:t xml:space="preserve">2017 v částce až </w:t>
      </w:r>
      <w:r w:rsidR="0025037A" w:rsidRPr="00375452">
        <w:rPr>
          <w:rFonts w:cstheme="minorHAnsi"/>
        </w:rPr>
        <w:t>2,5 mld. Kč</w:t>
      </w:r>
      <w:r w:rsidR="000A598B">
        <w:rPr>
          <w:rFonts w:cstheme="minorHAnsi"/>
        </w:rPr>
        <w:t>.</w:t>
      </w:r>
      <w:r w:rsidR="0025037A" w:rsidRPr="00375452">
        <w:rPr>
          <w:rFonts w:cstheme="minorHAnsi"/>
        </w:rPr>
        <w:t xml:space="preserve"> </w:t>
      </w:r>
    </w:p>
    <w:p w14:paraId="246C5B1A" w14:textId="48569B2A" w:rsidR="0025037A" w:rsidRDefault="0025037A" w:rsidP="0025037A">
      <w:pPr>
        <w:pStyle w:val="Odstavecseseznamem"/>
        <w:spacing w:after="0"/>
        <w:ind w:left="0"/>
        <w:contextualSpacing w:val="0"/>
        <w:jc w:val="both"/>
        <w:rPr>
          <w:rFonts w:asciiTheme="minorHAnsi" w:hAnsiTheme="minorHAnsi" w:cs="Arial"/>
          <w:b/>
          <w:bCs/>
          <w:iCs/>
        </w:rPr>
      </w:pPr>
      <w:r w:rsidRPr="00375452">
        <w:rPr>
          <w:rFonts w:asciiTheme="minorHAnsi" w:hAnsiTheme="minorHAnsi" w:cs="Arial"/>
          <w:bCs/>
          <w:iCs/>
        </w:rPr>
        <w:t xml:space="preserve">Neprovedení </w:t>
      </w:r>
      <w:r w:rsidR="004D2E27">
        <w:rPr>
          <w:rFonts w:asciiTheme="minorHAnsi" w:hAnsiTheme="minorHAnsi" w:cs="Arial"/>
          <w:bCs/>
          <w:iCs/>
        </w:rPr>
        <w:t xml:space="preserve">legislativních </w:t>
      </w:r>
      <w:r w:rsidRPr="00375452">
        <w:rPr>
          <w:rFonts w:asciiTheme="minorHAnsi" w:hAnsiTheme="minorHAnsi" w:cs="Arial"/>
          <w:bCs/>
          <w:iCs/>
        </w:rPr>
        <w:t>změn</w:t>
      </w:r>
      <w:r>
        <w:rPr>
          <w:rFonts w:asciiTheme="minorHAnsi" w:hAnsiTheme="minorHAnsi" w:cs="Arial"/>
          <w:bCs/>
          <w:iCs/>
        </w:rPr>
        <w:t xml:space="preserve"> navržených v rámci kontrolní akce</w:t>
      </w:r>
      <w:r w:rsidRPr="00375452">
        <w:rPr>
          <w:rFonts w:asciiTheme="minorHAnsi" w:hAnsiTheme="minorHAnsi" w:cs="Arial"/>
          <w:bCs/>
          <w:iCs/>
        </w:rPr>
        <w:t xml:space="preserve"> č. 16/03 je uvedeno výše v části </w:t>
      </w:r>
      <w:r w:rsidR="00D85EFD">
        <w:rPr>
          <w:rFonts w:asciiTheme="minorHAnsi" w:hAnsiTheme="minorHAnsi" w:cs="Arial"/>
          <w:bCs/>
          <w:iCs/>
        </w:rPr>
        <w:t>I.</w:t>
      </w:r>
      <w:r w:rsidRPr="00431A4A">
        <w:rPr>
          <w:rFonts w:asciiTheme="minorHAnsi" w:hAnsiTheme="minorHAnsi" w:cs="Arial"/>
          <w:bCs/>
          <w:iCs/>
        </w:rPr>
        <w:t>1.2.</w:t>
      </w:r>
      <w:r>
        <w:rPr>
          <w:rFonts w:asciiTheme="minorHAnsi" w:hAnsiTheme="minorHAnsi" w:cs="Arial"/>
          <w:b/>
          <w:bCs/>
          <w:iCs/>
        </w:rPr>
        <w:t xml:space="preserve"> </w:t>
      </w:r>
    </w:p>
    <w:p w14:paraId="6BEFB51B" w14:textId="77777777" w:rsidR="0025037A" w:rsidRDefault="0025037A" w:rsidP="00AF4368">
      <w:pPr>
        <w:spacing w:after="0"/>
        <w:jc w:val="both"/>
      </w:pPr>
    </w:p>
    <w:p w14:paraId="6603C3A5" w14:textId="77777777" w:rsidR="00D85EFD" w:rsidRDefault="00D85EFD" w:rsidP="00AF4368">
      <w:pPr>
        <w:spacing w:after="0"/>
        <w:jc w:val="both"/>
      </w:pPr>
    </w:p>
    <w:p w14:paraId="39756E14" w14:textId="77777777" w:rsidR="00E91FF5" w:rsidRPr="0068373F" w:rsidRDefault="007378F9" w:rsidP="00720ADC">
      <w:pPr>
        <w:pStyle w:val="Nadpis1"/>
        <w:spacing w:line="240" w:lineRule="auto"/>
        <w:ind w:left="426"/>
        <w:jc w:val="left"/>
        <w:rPr>
          <w:u w:val="single"/>
        </w:rPr>
      </w:pPr>
      <w:r w:rsidRPr="00720ADC">
        <w:t xml:space="preserve">II. </w:t>
      </w:r>
      <w:r w:rsidR="00E91FF5" w:rsidRPr="0068373F">
        <w:rPr>
          <w:u w:val="single"/>
        </w:rPr>
        <w:t>Informace o kontrolované oblasti</w:t>
      </w:r>
    </w:p>
    <w:p w14:paraId="690CC6A3" w14:textId="77777777" w:rsidR="008954AA" w:rsidRPr="008954AA" w:rsidRDefault="008954AA" w:rsidP="00325B9D">
      <w:pPr>
        <w:spacing w:after="160"/>
        <w:jc w:val="both"/>
        <w:rPr>
          <w:rFonts w:asciiTheme="minorHAnsi" w:hAnsiTheme="minorHAnsi" w:cstheme="minorHAnsi"/>
        </w:rPr>
      </w:pPr>
      <w:r w:rsidRPr="008954AA">
        <w:rPr>
          <w:rFonts w:asciiTheme="minorHAnsi" w:hAnsiTheme="minorHAnsi" w:cstheme="minorHAnsi"/>
        </w:rPr>
        <w:t>MF j</w:t>
      </w:r>
      <w:r w:rsidR="004F5F87">
        <w:rPr>
          <w:rFonts w:asciiTheme="minorHAnsi" w:hAnsiTheme="minorHAnsi" w:cstheme="minorHAnsi"/>
        </w:rPr>
        <w:t xml:space="preserve">e dle </w:t>
      </w:r>
      <w:r w:rsidR="00462BD6">
        <w:rPr>
          <w:rFonts w:asciiTheme="minorHAnsi" w:hAnsiTheme="minorHAnsi" w:cstheme="minorHAnsi"/>
        </w:rPr>
        <w:t xml:space="preserve">ustanovení </w:t>
      </w:r>
      <w:r w:rsidR="004F5F87">
        <w:rPr>
          <w:rFonts w:asciiTheme="minorHAnsi" w:hAnsiTheme="minorHAnsi" w:cstheme="minorHAnsi"/>
        </w:rPr>
        <w:t>§ 4 zákona č. 2/1969 Sb.</w:t>
      </w:r>
      <w:r w:rsidR="00592268">
        <w:rPr>
          <w:rFonts w:asciiTheme="minorHAnsi" w:hAnsiTheme="minorHAnsi" w:cstheme="minorHAnsi"/>
        </w:rPr>
        <w:t xml:space="preserve"> </w:t>
      </w:r>
      <w:r w:rsidRPr="008954AA">
        <w:rPr>
          <w:rFonts w:asciiTheme="minorHAnsi" w:hAnsiTheme="minorHAnsi" w:cstheme="minorHAnsi"/>
        </w:rPr>
        <w:t>ústředním orgánem státní správy mj. pro státní rozpočet republiky, státní závěrečný účet republiky, státní pokladnu České republiky, finanční hospodaření, finanční kontrolu, účetnictví, audit a daňové poradenství, věci devizové včetně pohledávek a</w:t>
      </w:r>
      <w:r w:rsidR="00FE00F3">
        <w:rPr>
          <w:rFonts w:asciiTheme="minorHAnsi" w:hAnsiTheme="minorHAnsi" w:cstheme="minorHAnsi"/>
        </w:rPr>
        <w:t> </w:t>
      </w:r>
      <w:r w:rsidRPr="008954AA">
        <w:rPr>
          <w:rFonts w:asciiTheme="minorHAnsi" w:hAnsiTheme="minorHAnsi" w:cstheme="minorHAnsi"/>
        </w:rPr>
        <w:t>závazků státu vůči zahranič</w:t>
      </w:r>
      <w:r w:rsidR="000272EC">
        <w:rPr>
          <w:rFonts w:asciiTheme="minorHAnsi" w:hAnsiTheme="minorHAnsi" w:cstheme="minorHAnsi"/>
        </w:rPr>
        <w:t>í nebo</w:t>
      </w:r>
      <w:r w:rsidRPr="008954AA">
        <w:rPr>
          <w:rFonts w:asciiTheme="minorHAnsi" w:hAnsiTheme="minorHAnsi" w:cstheme="minorHAnsi"/>
        </w:rPr>
        <w:t xml:space="preserve"> hospodaření s majetkem</w:t>
      </w:r>
      <w:r w:rsidR="000272EC">
        <w:rPr>
          <w:rFonts w:asciiTheme="minorHAnsi" w:hAnsiTheme="minorHAnsi" w:cstheme="minorHAnsi"/>
        </w:rPr>
        <w:t xml:space="preserve"> státu.</w:t>
      </w:r>
    </w:p>
    <w:p w14:paraId="2A2D3F19" w14:textId="067600BB" w:rsidR="000272EC" w:rsidRPr="008954AA" w:rsidRDefault="008954AA" w:rsidP="000272EC">
      <w:pPr>
        <w:spacing w:after="160"/>
        <w:jc w:val="both"/>
        <w:rPr>
          <w:rFonts w:asciiTheme="minorHAnsi" w:hAnsiTheme="minorHAnsi" w:cstheme="minorHAnsi"/>
        </w:rPr>
      </w:pPr>
      <w:r w:rsidRPr="008954AA">
        <w:rPr>
          <w:rFonts w:asciiTheme="minorHAnsi" w:hAnsiTheme="minorHAnsi" w:cstheme="minorHAnsi"/>
        </w:rPr>
        <w:t>V souladu se zákonem č. 219/2000 Sb</w:t>
      </w:r>
      <w:r w:rsidRPr="008B38AF">
        <w:rPr>
          <w:rFonts w:asciiTheme="minorHAnsi" w:hAnsiTheme="minorHAnsi" w:cstheme="minorHAnsi"/>
        </w:rPr>
        <w:t xml:space="preserve">., </w:t>
      </w:r>
      <w:r w:rsidRPr="00AF4368">
        <w:rPr>
          <w:rFonts w:asciiTheme="minorHAnsi" w:hAnsiTheme="minorHAnsi" w:cstheme="minorHAnsi"/>
        </w:rPr>
        <w:t>o majetku České republiky a jejím vystupování v právních vztazích</w:t>
      </w:r>
      <w:r w:rsidRPr="008954AA">
        <w:rPr>
          <w:rFonts w:asciiTheme="minorHAnsi" w:hAnsiTheme="minorHAnsi" w:cstheme="minorHAnsi"/>
        </w:rPr>
        <w:t xml:space="preserve">, je MF organizační složkou </w:t>
      </w:r>
      <w:r w:rsidRPr="00BE35FE">
        <w:rPr>
          <w:rFonts w:asciiTheme="minorHAnsi" w:hAnsiTheme="minorHAnsi" w:cstheme="minorHAnsi"/>
        </w:rPr>
        <w:t>státu (dále také „OSS“)</w:t>
      </w:r>
      <w:r w:rsidRPr="008954AA">
        <w:rPr>
          <w:rFonts w:asciiTheme="minorHAnsi" w:hAnsiTheme="minorHAnsi" w:cstheme="minorHAnsi"/>
        </w:rPr>
        <w:t xml:space="preserve"> a dle </w:t>
      </w:r>
      <w:r w:rsidR="000272EC">
        <w:rPr>
          <w:rFonts w:asciiTheme="minorHAnsi" w:hAnsiTheme="minorHAnsi" w:cstheme="minorHAnsi"/>
        </w:rPr>
        <w:t>zákon</w:t>
      </w:r>
      <w:r w:rsidR="00EB6045">
        <w:rPr>
          <w:rFonts w:asciiTheme="minorHAnsi" w:hAnsiTheme="minorHAnsi" w:cstheme="minorHAnsi"/>
        </w:rPr>
        <w:t>a</w:t>
      </w:r>
      <w:r w:rsidR="000272EC">
        <w:rPr>
          <w:rFonts w:asciiTheme="minorHAnsi" w:hAnsiTheme="minorHAnsi" w:cstheme="minorHAnsi"/>
        </w:rPr>
        <w:t xml:space="preserve"> o účetnictví </w:t>
      </w:r>
      <w:r w:rsidRPr="008954AA">
        <w:rPr>
          <w:rFonts w:asciiTheme="minorHAnsi" w:hAnsiTheme="minorHAnsi" w:cstheme="minorHAnsi"/>
        </w:rPr>
        <w:t>je vybranou účetní jednotkou.</w:t>
      </w:r>
      <w:r w:rsidR="000272EC">
        <w:rPr>
          <w:rFonts w:asciiTheme="minorHAnsi" w:hAnsiTheme="minorHAnsi" w:cstheme="minorHAnsi"/>
        </w:rPr>
        <w:t xml:space="preserve"> </w:t>
      </w:r>
      <w:r w:rsidR="000272EC" w:rsidRPr="008954AA">
        <w:rPr>
          <w:rFonts w:asciiTheme="minorHAnsi" w:hAnsiTheme="minorHAnsi" w:cstheme="minorHAnsi"/>
        </w:rPr>
        <w:t xml:space="preserve">MF rovněž zjišťuje účetní záznamy pro potřeby státu </w:t>
      </w:r>
      <w:r w:rsidR="004D2E27">
        <w:rPr>
          <w:rFonts w:asciiTheme="minorHAnsi" w:hAnsiTheme="minorHAnsi" w:cstheme="minorHAnsi"/>
        </w:rPr>
        <w:t xml:space="preserve">a </w:t>
      </w:r>
      <w:r w:rsidR="000272EC" w:rsidRPr="008954AA">
        <w:rPr>
          <w:rFonts w:asciiTheme="minorHAnsi" w:hAnsiTheme="minorHAnsi" w:cstheme="minorHAnsi"/>
        </w:rPr>
        <w:t>sestav</w:t>
      </w:r>
      <w:r w:rsidR="00BA003F">
        <w:rPr>
          <w:rFonts w:asciiTheme="minorHAnsi" w:hAnsiTheme="minorHAnsi" w:cstheme="minorHAnsi"/>
        </w:rPr>
        <w:t>uje</w:t>
      </w:r>
      <w:r w:rsidR="000272EC" w:rsidRPr="008954AA">
        <w:rPr>
          <w:rFonts w:asciiTheme="minorHAnsi" w:hAnsiTheme="minorHAnsi" w:cstheme="minorHAnsi"/>
        </w:rPr>
        <w:t xml:space="preserve"> účetní výkaz</w:t>
      </w:r>
      <w:r w:rsidR="00BA003F">
        <w:rPr>
          <w:rFonts w:asciiTheme="minorHAnsi" w:hAnsiTheme="minorHAnsi" w:cstheme="minorHAnsi"/>
        </w:rPr>
        <w:t>y</w:t>
      </w:r>
      <w:r w:rsidR="000272EC" w:rsidRPr="008954AA">
        <w:rPr>
          <w:rFonts w:asciiTheme="minorHAnsi" w:hAnsiTheme="minorHAnsi" w:cstheme="minorHAnsi"/>
        </w:rPr>
        <w:t xml:space="preserve"> za Českou repub</w:t>
      </w:r>
      <w:r w:rsidR="000272EC">
        <w:rPr>
          <w:rFonts w:asciiTheme="minorHAnsi" w:hAnsiTheme="minorHAnsi" w:cstheme="minorHAnsi"/>
        </w:rPr>
        <w:t xml:space="preserve">liku podle </w:t>
      </w:r>
      <w:r w:rsidR="000272EC" w:rsidRPr="008954AA">
        <w:rPr>
          <w:rFonts w:asciiTheme="minorHAnsi" w:hAnsiTheme="minorHAnsi" w:cstheme="minorHAnsi"/>
        </w:rPr>
        <w:t>zákon</w:t>
      </w:r>
      <w:r w:rsidR="000272EC">
        <w:rPr>
          <w:rFonts w:asciiTheme="minorHAnsi" w:hAnsiTheme="minorHAnsi" w:cstheme="minorHAnsi"/>
        </w:rPr>
        <w:t>a o účetnictví</w:t>
      </w:r>
      <w:r w:rsidR="000272EC" w:rsidRPr="008954AA">
        <w:rPr>
          <w:rFonts w:asciiTheme="minorHAnsi" w:hAnsiTheme="minorHAnsi" w:cstheme="minorHAnsi"/>
        </w:rPr>
        <w:t>.</w:t>
      </w:r>
    </w:p>
    <w:p w14:paraId="24DA5A6E" w14:textId="1C7336ED" w:rsidR="008954AA" w:rsidRPr="008954AA" w:rsidRDefault="008954AA" w:rsidP="00325B9D">
      <w:pPr>
        <w:spacing w:after="160"/>
        <w:jc w:val="both"/>
        <w:rPr>
          <w:rFonts w:asciiTheme="minorHAnsi" w:hAnsiTheme="minorHAnsi" w:cstheme="minorHAnsi"/>
        </w:rPr>
      </w:pPr>
      <w:r w:rsidRPr="008954AA">
        <w:rPr>
          <w:rFonts w:asciiTheme="minorHAnsi" w:hAnsiTheme="minorHAnsi" w:cstheme="minorHAnsi"/>
        </w:rPr>
        <w:t xml:space="preserve">MF je dále podle zákona č. 218/2000 Sb., </w:t>
      </w:r>
      <w:r w:rsidRPr="00AF4368">
        <w:rPr>
          <w:rFonts w:asciiTheme="minorHAnsi" w:hAnsiTheme="minorHAnsi" w:cstheme="minorHAnsi"/>
        </w:rPr>
        <w:t>o rozpočtových pravidlech a o změně některých souvisejících zákonů (rozpočtová pravidla)</w:t>
      </w:r>
      <w:r w:rsidRPr="008954AA">
        <w:rPr>
          <w:rFonts w:asciiTheme="minorHAnsi" w:hAnsiTheme="minorHAnsi" w:cstheme="minorHAnsi"/>
        </w:rPr>
        <w:t xml:space="preserve">, správcem kapitol </w:t>
      </w:r>
      <w:r w:rsidR="00BA003F">
        <w:rPr>
          <w:rFonts w:asciiTheme="minorHAnsi" w:hAnsiTheme="minorHAnsi" w:cstheme="minorHAnsi"/>
        </w:rPr>
        <w:t xml:space="preserve">státního rozpočtu </w:t>
      </w:r>
      <w:r w:rsidR="00BA003F">
        <w:rPr>
          <w:rFonts w:asciiTheme="minorHAnsi" w:hAnsiTheme="minorHAnsi" w:cstheme="minorHAnsi"/>
        </w:rPr>
        <w:br/>
      </w:r>
      <w:r w:rsidRPr="008954AA">
        <w:rPr>
          <w:rFonts w:asciiTheme="minorHAnsi" w:hAnsiTheme="minorHAnsi" w:cstheme="minorHAnsi"/>
        </w:rPr>
        <w:t xml:space="preserve">312 </w:t>
      </w:r>
      <w:r w:rsidR="00BA003F">
        <w:rPr>
          <w:rFonts w:asciiTheme="minorHAnsi" w:hAnsiTheme="minorHAnsi" w:cstheme="minorHAnsi"/>
        </w:rPr>
        <w:t xml:space="preserve">– </w:t>
      </w:r>
      <w:r w:rsidRPr="008954AA">
        <w:rPr>
          <w:rFonts w:asciiTheme="minorHAnsi" w:hAnsiTheme="minorHAnsi" w:cstheme="minorHAnsi"/>
          <w:i/>
        </w:rPr>
        <w:t>Ministerstvo financí</w:t>
      </w:r>
      <w:r w:rsidRPr="008954AA">
        <w:rPr>
          <w:rFonts w:asciiTheme="minorHAnsi" w:hAnsiTheme="minorHAnsi" w:cstheme="minorHAnsi"/>
        </w:rPr>
        <w:t xml:space="preserve">, 396 </w:t>
      </w:r>
      <w:r w:rsidR="00BA003F">
        <w:rPr>
          <w:rFonts w:asciiTheme="minorHAnsi" w:hAnsiTheme="minorHAnsi" w:cstheme="minorHAnsi"/>
        </w:rPr>
        <w:t xml:space="preserve">– </w:t>
      </w:r>
      <w:r w:rsidRPr="008954AA">
        <w:rPr>
          <w:rFonts w:asciiTheme="minorHAnsi" w:hAnsiTheme="minorHAnsi" w:cstheme="minorHAnsi"/>
          <w:i/>
        </w:rPr>
        <w:t>Státní dluh</w:t>
      </w:r>
      <w:r w:rsidRPr="008954AA">
        <w:rPr>
          <w:rFonts w:asciiTheme="minorHAnsi" w:hAnsiTheme="minorHAnsi" w:cstheme="minorHAnsi"/>
        </w:rPr>
        <w:t xml:space="preserve">, 397 </w:t>
      </w:r>
      <w:r w:rsidR="00BA003F">
        <w:rPr>
          <w:rFonts w:asciiTheme="minorHAnsi" w:hAnsiTheme="minorHAnsi" w:cstheme="minorHAnsi"/>
        </w:rPr>
        <w:t xml:space="preserve">– </w:t>
      </w:r>
      <w:r w:rsidRPr="008954AA">
        <w:rPr>
          <w:rFonts w:asciiTheme="minorHAnsi" w:hAnsiTheme="minorHAnsi" w:cstheme="minorHAnsi"/>
          <w:i/>
        </w:rPr>
        <w:t>Operace státních finančních aktiv</w:t>
      </w:r>
      <w:r w:rsidRPr="008954AA">
        <w:rPr>
          <w:rFonts w:asciiTheme="minorHAnsi" w:hAnsiTheme="minorHAnsi" w:cstheme="minorHAnsi"/>
        </w:rPr>
        <w:t xml:space="preserve"> </w:t>
      </w:r>
      <w:r w:rsidR="00BA003F">
        <w:rPr>
          <w:rFonts w:asciiTheme="minorHAnsi" w:hAnsiTheme="minorHAnsi" w:cstheme="minorHAnsi"/>
        </w:rPr>
        <w:br/>
      </w:r>
      <w:r w:rsidRPr="008954AA">
        <w:rPr>
          <w:rFonts w:asciiTheme="minorHAnsi" w:hAnsiTheme="minorHAnsi" w:cstheme="minorHAnsi"/>
        </w:rPr>
        <w:t xml:space="preserve">a 398 </w:t>
      </w:r>
      <w:r w:rsidR="00BA003F">
        <w:rPr>
          <w:rFonts w:asciiTheme="minorHAnsi" w:hAnsiTheme="minorHAnsi" w:cstheme="minorHAnsi"/>
        </w:rPr>
        <w:t xml:space="preserve">– </w:t>
      </w:r>
      <w:r w:rsidRPr="008954AA">
        <w:rPr>
          <w:rFonts w:asciiTheme="minorHAnsi" w:hAnsiTheme="minorHAnsi" w:cstheme="minorHAnsi"/>
          <w:i/>
        </w:rPr>
        <w:t>Všeobecná pokladní správa</w:t>
      </w:r>
      <w:r w:rsidRPr="008954AA">
        <w:rPr>
          <w:rFonts w:asciiTheme="minorHAnsi" w:hAnsiTheme="minorHAnsi" w:cstheme="minorHAnsi"/>
        </w:rPr>
        <w:t xml:space="preserve"> (dále také „VPS“).</w:t>
      </w:r>
    </w:p>
    <w:p w14:paraId="67CBF836" w14:textId="7806B283" w:rsidR="008954AA" w:rsidRPr="008954AA" w:rsidRDefault="008954AA" w:rsidP="00325B9D">
      <w:pPr>
        <w:spacing w:after="160"/>
        <w:jc w:val="both"/>
        <w:rPr>
          <w:rFonts w:asciiTheme="minorHAnsi" w:hAnsiTheme="minorHAnsi" w:cstheme="minorHAnsi"/>
        </w:rPr>
      </w:pPr>
      <w:r w:rsidRPr="000272EC">
        <w:rPr>
          <w:rFonts w:asciiTheme="minorHAnsi" w:hAnsiTheme="minorHAnsi" w:cstheme="minorHAnsi"/>
        </w:rPr>
        <w:t xml:space="preserve">V následujících tabulkách jsou uvedeny vybrané </w:t>
      </w:r>
      <w:r w:rsidR="000272EC">
        <w:rPr>
          <w:rFonts w:asciiTheme="minorHAnsi" w:hAnsiTheme="minorHAnsi" w:cstheme="minorHAnsi"/>
        </w:rPr>
        <w:t xml:space="preserve">celkové </w:t>
      </w:r>
      <w:r w:rsidR="0096529F">
        <w:rPr>
          <w:rFonts w:asciiTheme="minorHAnsi" w:hAnsiTheme="minorHAnsi" w:cstheme="minorHAnsi"/>
        </w:rPr>
        <w:t>údaje z účetní závěrky (dále také „ÚZ“)</w:t>
      </w:r>
      <w:r w:rsidRPr="000272EC">
        <w:rPr>
          <w:rFonts w:asciiTheme="minorHAnsi" w:hAnsiTheme="minorHAnsi" w:cstheme="minorHAnsi"/>
        </w:rPr>
        <w:t xml:space="preserve"> MF sestavené k</w:t>
      </w:r>
      <w:r w:rsidR="0074231D">
        <w:rPr>
          <w:rFonts w:asciiTheme="minorHAnsi" w:hAnsiTheme="minorHAnsi" w:cstheme="minorHAnsi"/>
        </w:rPr>
        <w:t xml:space="preserve"> </w:t>
      </w:r>
      <w:r w:rsidRPr="000272EC">
        <w:rPr>
          <w:rFonts w:asciiTheme="minorHAnsi" w:hAnsiTheme="minorHAnsi" w:cstheme="minorHAnsi"/>
        </w:rPr>
        <w:t>31. 12. 2017</w:t>
      </w:r>
      <w:r w:rsidR="000272EC">
        <w:rPr>
          <w:rStyle w:val="Znakapoznpodarou"/>
          <w:rFonts w:asciiTheme="minorHAnsi" w:hAnsiTheme="minorHAnsi" w:cstheme="minorHAnsi"/>
        </w:rPr>
        <w:footnoteReference w:id="8"/>
      </w:r>
      <w:r w:rsidR="000272EC">
        <w:rPr>
          <w:rFonts w:asciiTheme="minorHAnsi" w:hAnsiTheme="minorHAnsi" w:cstheme="minorHAnsi"/>
        </w:rPr>
        <w:t>.</w:t>
      </w:r>
    </w:p>
    <w:p w14:paraId="16FE300C" w14:textId="77777777" w:rsidR="004854FB" w:rsidRDefault="004854FB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3085FC93" w14:textId="77777777" w:rsidR="008954AA" w:rsidRPr="00332A81" w:rsidRDefault="00C40098" w:rsidP="00720ADC">
      <w:pPr>
        <w:pStyle w:val="Titulek"/>
        <w:tabs>
          <w:tab w:val="right" w:pos="9070"/>
        </w:tabs>
        <w:spacing w:after="0"/>
        <w:ind w:left="1418" w:hanging="1418"/>
        <w:jc w:val="both"/>
        <w:rPr>
          <w:rFonts w:asciiTheme="minorHAnsi" w:hAnsiTheme="minorHAnsi" w:cstheme="minorHAnsi"/>
          <w:szCs w:val="24"/>
        </w:rPr>
      </w:pPr>
      <w:r w:rsidRPr="00332A81">
        <w:rPr>
          <w:rFonts w:asciiTheme="minorHAnsi" w:hAnsiTheme="minorHAnsi" w:cstheme="minorHAnsi"/>
          <w:szCs w:val="24"/>
        </w:rPr>
        <w:lastRenderedPageBreak/>
        <w:t xml:space="preserve">Tabulka </w:t>
      </w:r>
      <w:r w:rsidR="000272EC" w:rsidRPr="00332A81">
        <w:rPr>
          <w:rFonts w:asciiTheme="minorHAnsi" w:hAnsiTheme="minorHAnsi" w:cstheme="minorHAnsi"/>
          <w:szCs w:val="24"/>
        </w:rPr>
        <w:t>č. 1</w:t>
      </w:r>
      <w:r w:rsidR="008954AA" w:rsidRPr="00332A81">
        <w:rPr>
          <w:rFonts w:asciiTheme="minorHAnsi" w:hAnsiTheme="minorHAnsi" w:cstheme="minorHAnsi"/>
          <w:szCs w:val="24"/>
        </w:rPr>
        <w:t xml:space="preserve"> </w:t>
      </w:r>
      <w:r w:rsidR="00FE00F3" w:rsidRPr="00332A81">
        <w:rPr>
          <w:rFonts w:asciiTheme="minorHAnsi" w:hAnsiTheme="minorHAnsi" w:cstheme="minorHAnsi"/>
          <w:szCs w:val="24"/>
        </w:rPr>
        <w:t>–</w:t>
      </w:r>
      <w:r w:rsidR="00FE00F3" w:rsidRPr="00332A81">
        <w:rPr>
          <w:rFonts w:asciiTheme="minorHAnsi" w:hAnsiTheme="minorHAnsi" w:cstheme="minorHAnsi"/>
          <w:szCs w:val="24"/>
        </w:rPr>
        <w:tab/>
      </w:r>
      <w:r w:rsidR="008954AA" w:rsidRPr="00332A81">
        <w:rPr>
          <w:rFonts w:asciiTheme="minorHAnsi" w:hAnsiTheme="minorHAnsi" w:cstheme="minorHAnsi"/>
          <w:szCs w:val="24"/>
        </w:rPr>
        <w:t>Vybrané údaje MF k 31. 12. 2017 – rozvaha, výkaz zisku a ztráty</w:t>
      </w:r>
      <w:r w:rsidR="00F96549" w:rsidRPr="00332A81">
        <w:rPr>
          <w:rFonts w:asciiTheme="minorHAnsi" w:hAnsiTheme="minorHAnsi" w:cstheme="minorHAnsi"/>
          <w:szCs w:val="24"/>
        </w:rPr>
        <w:t>, přehled o</w:t>
      </w:r>
      <w:r w:rsidR="00FE00F3" w:rsidRPr="00332A81">
        <w:rPr>
          <w:rFonts w:asciiTheme="minorHAnsi" w:hAnsiTheme="minorHAnsi" w:cstheme="minorHAnsi"/>
          <w:szCs w:val="24"/>
        </w:rPr>
        <w:t> </w:t>
      </w:r>
      <w:r w:rsidR="00F96549" w:rsidRPr="00332A81">
        <w:rPr>
          <w:rFonts w:asciiTheme="minorHAnsi" w:hAnsiTheme="minorHAnsi" w:cstheme="minorHAnsi"/>
          <w:szCs w:val="24"/>
        </w:rPr>
        <w:t>peněžních tocích</w:t>
      </w:r>
      <w:r w:rsidR="008954AA" w:rsidRPr="00332A81">
        <w:rPr>
          <w:rFonts w:asciiTheme="minorHAnsi" w:hAnsiTheme="minorHAnsi" w:cstheme="minorHAnsi"/>
          <w:szCs w:val="24"/>
        </w:rPr>
        <w:t xml:space="preserve"> </w:t>
      </w:r>
      <w:r w:rsidR="00FE00F3" w:rsidRPr="00332A81">
        <w:rPr>
          <w:rFonts w:asciiTheme="minorHAnsi" w:hAnsiTheme="minorHAnsi" w:cstheme="minorHAnsi"/>
          <w:szCs w:val="24"/>
        </w:rPr>
        <w:tab/>
      </w:r>
      <w:r w:rsidR="008954AA" w:rsidRPr="00332A81">
        <w:rPr>
          <w:rFonts w:asciiTheme="minorHAnsi" w:hAnsiTheme="minorHAnsi" w:cstheme="minorHAnsi"/>
          <w:szCs w:val="24"/>
        </w:rPr>
        <w:t>(v Kč)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3"/>
        <w:gridCol w:w="4044"/>
      </w:tblGrid>
      <w:tr w:rsidR="008954AA" w:rsidRPr="00A3790D" w14:paraId="52395D40" w14:textId="77777777" w:rsidTr="00B97A1D">
        <w:trPr>
          <w:trHeight w:val="478"/>
          <w:jc w:val="center"/>
        </w:trPr>
        <w:tc>
          <w:tcPr>
            <w:tcW w:w="5043" w:type="dxa"/>
            <w:shd w:val="clear" w:color="auto" w:fill="E5F1FF"/>
            <w:noWrap/>
            <w:vAlign w:val="center"/>
            <w:hideMark/>
          </w:tcPr>
          <w:p w14:paraId="1F37606E" w14:textId="77777777" w:rsidR="008954AA" w:rsidRPr="00A3790D" w:rsidRDefault="008954AA" w:rsidP="00320D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79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4044" w:type="dxa"/>
            <w:shd w:val="clear" w:color="auto" w:fill="E5F1FF"/>
            <w:noWrap/>
            <w:vAlign w:val="center"/>
            <w:hideMark/>
          </w:tcPr>
          <w:p w14:paraId="2A7B2B50" w14:textId="77777777" w:rsidR="008954AA" w:rsidRPr="00A3790D" w:rsidRDefault="008954AA" w:rsidP="00320D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3790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8954AA" w:rsidRPr="00C306DC" w14:paraId="19BAEE68" w14:textId="77777777" w:rsidTr="00B97A1D">
        <w:trPr>
          <w:trHeight w:val="271"/>
          <w:jc w:val="center"/>
        </w:trPr>
        <w:tc>
          <w:tcPr>
            <w:tcW w:w="5043" w:type="dxa"/>
            <w:shd w:val="clear" w:color="auto" w:fill="auto"/>
            <w:noWrap/>
            <w:vAlign w:val="center"/>
            <w:hideMark/>
          </w:tcPr>
          <w:p w14:paraId="7DBB3B22" w14:textId="77777777" w:rsidR="008954AA" w:rsidRPr="00C306DC" w:rsidRDefault="008954AA" w:rsidP="00320DD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Aktiva netto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12D89438" w14:textId="77777777" w:rsidR="008954AA" w:rsidRPr="00C306DC" w:rsidRDefault="008954AA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291 130 595 562,31</w:t>
            </w:r>
          </w:p>
        </w:tc>
      </w:tr>
      <w:tr w:rsidR="0025037A" w:rsidRPr="00C306DC" w14:paraId="46947F37" w14:textId="77777777" w:rsidTr="007F0FE0">
        <w:trPr>
          <w:trHeight w:val="552"/>
          <w:jc w:val="center"/>
        </w:trPr>
        <w:tc>
          <w:tcPr>
            <w:tcW w:w="5043" w:type="dxa"/>
            <w:shd w:val="clear" w:color="auto" w:fill="auto"/>
            <w:noWrap/>
            <w:vAlign w:val="center"/>
            <w:hideMark/>
          </w:tcPr>
          <w:p w14:paraId="3358B8E4" w14:textId="77777777" w:rsidR="0025037A" w:rsidRPr="00C306DC" w:rsidRDefault="0025037A" w:rsidP="00320DD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Pasiva</w:t>
            </w:r>
          </w:p>
          <w:p w14:paraId="6DB9C3A3" w14:textId="77777777" w:rsidR="0025037A" w:rsidRPr="00C306DC" w:rsidRDefault="0025037A" w:rsidP="000272EC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77A24">
              <w:rPr>
                <w:rFonts w:asciiTheme="minorHAnsi" w:hAnsiTheme="minorHAnsi"/>
                <w:i/>
                <w:sz w:val="20"/>
                <w:szCs w:val="20"/>
              </w:rPr>
              <w:t xml:space="preserve">z toho: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rezervy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0A9348FE" w14:textId="77777777" w:rsidR="0025037A" w:rsidRPr="00C306DC" w:rsidRDefault="0025037A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291 130 595 562,31</w:t>
            </w:r>
          </w:p>
          <w:p w14:paraId="4F63E6A7" w14:textId="77777777" w:rsidR="0025037A" w:rsidRPr="00C306DC" w:rsidRDefault="0025037A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82 781 437 912,26</w:t>
            </w:r>
          </w:p>
        </w:tc>
      </w:tr>
      <w:tr w:rsidR="008954AA" w:rsidRPr="00C306DC" w14:paraId="3A08D15B" w14:textId="77777777" w:rsidTr="00B97A1D">
        <w:trPr>
          <w:trHeight w:val="271"/>
          <w:jc w:val="center"/>
        </w:trPr>
        <w:tc>
          <w:tcPr>
            <w:tcW w:w="5043" w:type="dxa"/>
            <w:shd w:val="clear" w:color="auto" w:fill="auto"/>
            <w:noWrap/>
            <w:vAlign w:val="center"/>
            <w:hideMark/>
          </w:tcPr>
          <w:p w14:paraId="49E1460F" w14:textId="77777777" w:rsidR="008954AA" w:rsidRPr="00C306DC" w:rsidRDefault="008954AA" w:rsidP="00320DD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Náklady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6249888F" w14:textId="77777777" w:rsidR="008954AA" w:rsidRPr="00C306DC" w:rsidRDefault="008954AA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438 493 916 263,78</w:t>
            </w:r>
          </w:p>
        </w:tc>
      </w:tr>
      <w:tr w:rsidR="008954AA" w:rsidRPr="00C306DC" w14:paraId="62B8D575" w14:textId="77777777" w:rsidTr="00B97A1D">
        <w:trPr>
          <w:trHeight w:val="271"/>
          <w:jc w:val="center"/>
        </w:trPr>
        <w:tc>
          <w:tcPr>
            <w:tcW w:w="5043" w:type="dxa"/>
            <w:shd w:val="clear" w:color="auto" w:fill="auto"/>
            <w:noWrap/>
            <w:vAlign w:val="center"/>
            <w:hideMark/>
          </w:tcPr>
          <w:p w14:paraId="7F54701D" w14:textId="77777777" w:rsidR="008954AA" w:rsidRPr="00C306DC" w:rsidRDefault="008954AA" w:rsidP="00320DD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Výnosy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655E037E" w14:textId="77777777" w:rsidR="008954AA" w:rsidRPr="00C306DC" w:rsidRDefault="008954AA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306DC">
              <w:rPr>
                <w:rFonts w:asciiTheme="minorHAnsi" w:hAnsiTheme="minorHAnsi"/>
                <w:b/>
                <w:sz w:val="20"/>
                <w:szCs w:val="20"/>
              </w:rPr>
              <w:t>56 776 824 250,77</w:t>
            </w:r>
          </w:p>
        </w:tc>
      </w:tr>
      <w:tr w:rsidR="008954AA" w:rsidRPr="0096529F" w14:paraId="190EE860" w14:textId="77777777" w:rsidTr="00B97A1D">
        <w:trPr>
          <w:trHeight w:val="271"/>
          <w:jc w:val="center"/>
        </w:trPr>
        <w:tc>
          <w:tcPr>
            <w:tcW w:w="5043" w:type="dxa"/>
            <w:shd w:val="clear" w:color="auto" w:fill="auto"/>
            <w:vAlign w:val="center"/>
            <w:hideMark/>
          </w:tcPr>
          <w:p w14:paraId="67E1DDCA" w14:textId="77777777" w:rsidR="008954AA" w:rsidRPr="0096529F" w:rsidRDefault="008954AA" w:rsidP="00320DD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6529F">
              <w:rPr>
                <w:rFonts w:asciiTheme="minorHAnsi" w:hAnsiTheme="minorHAnsi"/>
                <w:b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5F068AFD" w14:textId="33FB4EB7" w:rsidR="008954AA" w:rsidRPr="0096529F" w:rsidRDefault="00BA003F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37D8D">
              <w:rPr>
                <w:rFonts w:cs="Calibri"/>
                <w:b/>
                <w:sz w:val="20"/>
                <w:szCs w:val="20"/>
              </w:rPr>
              <w:t>−</w:t>
            </w:r>
            <w:r w:rsidR="008954AA" w:rsidRPr="00BA003F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8954AA" w:rsidRPr="0096529F">
              <w:rPr>
                <w:rFonts w:asciiTheme="minorHAnsi" w:hAnsiTheme="minorHAnsi"/>
                <w:b/>
                <w:sz w:val="20"/>
                <w:szCs w:val="20"/>
              </w:rPr>
              <w:t>81 717 092 013,01</w:t>
            </w:r>
          </w:p>
        </w:tc>
      </w:tr>
      <w:tr w:rsidR="00F96549" w:rsidRPr="0096529F" w14:paraId="47A4AF72" w14:textId="77777777" w:rsidTr="00B97A1D">
        <w:trPr>
          <w:trHeight w:val="271"/>
          <w:jc w:val="center"/>
        </w:trPr>
        <w:tc>
          <w:tcPr>
            <w:tcW w:w="5043" w:type="dxa"/>
            <w:shd w:val="clear" w:color="auto" w:fill="auto"/>
            <w:vAlign w:val="center"/>
          </w:tcPr>
          <w:p w14:paraId="6BF563E5" w14:textId="77777777" w:rsidR="00F96549" w:rsidRPr="0096529F" w:rsidRDefault="00F96549" w:rsidP="00320DD3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Stav peněžních prostředků dle přehledu o peněžních tocích</w:t>
            </w:r>
          </w:p>
        </w:tc>
        <w:tc>
          <w:tcPr>
            <w:tcW w:w="4044" w:type="dxa"/>
            <w:shd w:val="clear" w:color="auto" w:fill="auto"/>
            <w:noWrap/>
            <w:vAlign w:val="center"/>
          </w:tcPr>
          <w:p w14:paraId="40062ACC" w14:textId="77777777" w:rsidR="00F96549" w:rsidRPr="0096529F" w:rsidRDefault="00F96549" w:rsidP="00320DD3">
            <w:pPr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142 649 993 022,00</w:t>
            </w:r>
          </w:p>
        </w:tc>
      </w:tr>
    </w:tbl>
    <w:p w14:paraId="13EB925E" w14:textId="77777777" w:rsidR="008954AA" w:rsidRPr="00332A81" w:rsidRDefault="00CB46DC" w:rsidP="00297FD1">
      <w:pPr>
        <w:pStyle w:val="Zdroj"/>
        <w:spacing w:before="0"/>
        <w:rPr>
          <w:rFonts w:asciiTheme="minorHAnsi" w:hAnsiTheme="minorHAnsi"/>
          <w:i w:val="0"/>
        </w:rPr>
      </w:pPr>
      <w:r w:rsidRPr="001D5AA3">
        <w:rPr>
          <w:rFonts w:asciiTheme="minorHAnsi" w:hAnsiTheme="minorHAnsi"/>
          <w:b/>
          <w:i w:val="0"/>
        </w:rPr>
        <w:t>Zdroj:</w:t>
      </w:r>
      <w:r w:rsidRPr="00332A81">
        <w:rPr>
          <w:rFonts w:asciiTheme="minorHAnsi" w:hAnsiTheme="minorHAnsi"/>
          <w:i w:val="0"/>
        </w:rPr>
        <w:t xml:space="preserve"> </w:t>
      </w:r>
      <w:r w:rsidR="00B44CC5" w:rsidRPr="00332A81">
        <w:rPr>
          <w:rFonts w:asciiTheme="minorHAnsi" w:hAnsiTheme="minorHAnsi"/>
          <w:i w:val="0"/>
        </w:rPr>
        <w:t>ú</w:t>
      </w:r>
      <w:r w:rsidRPr="00332A81">
        <w:rPr>
          <w:rFonts w:asciiTheme="minorHAnsi" w:hAnsiTheme="minorHAnsi"/>
          <w:i w:val="0"/>
        </w:rPr>
        <w:t>četní závěrka</w:t>
      </w:r>
      <w:r w:rsidR="000272EC" w:rsidRPr="00332A81">
        <w:rPr>
          <w:rFonts w:asciiTheme="minorHAnsi" w:hAnsiTheme="minorHAnsi"/>
          <w:i w:val="0"/>
        </w:rPr>
        <w:t xml:space="preserve"> MF k 31. 12. 2017</w:t>
      </w:r>
      <w:r w:rsidR="00136E1C" w:rsidRPr="00332A81">
        <w:rPr>
          <w:rFonts w:asciiTheme="minorHAnsi" w:hAnsiTheme="minorHAnsi"/>
          <w:i w:val="0"/>
        </w:rPr>
        <w:t>.</w:t>
      </w:r>
    </w:p>
    <w:p w14:paraId="4F5ACD7B" w14:textId="77777777" w:rsidR="008954AA" w:rsidRPr="00332A81" w:rsidRDefault="0096529F" w:rsidP="00720ADC">
      <w:pPr>
        <w:pStyle w:val="Titulek"/>
        <w:tabs>
          <w:tab w:val="right" w:pos="9070"/>
        </w:tabs>
        <w:spacing w:after="0"/>
        <w:ind w:left="1418" w:hanging="1418"/>
        <w:jc w:val="both"/>
        <w:rPr>
          <w:rFonts w:asciiTheme="minorHAnsi" w:hAnsiTheme="minorHAnsi" w:cstheme="minorHAnsi"/>
          <w:szCs w:val="24"/>
        </w:rPr>
      </w:pPr>
      <w:r w:rsidRPr="00332A81">
        <w:rPr>
          <w:rFonts w:asciiTheme="minorHAnsi" w:hAnsiTheme="minorHAnsi" w:cstheme="minorHAnsi"/>
          <w:szCs w:val="24"/>
        </w:rPr>
        <w:t xml:space="preserve">Tabulka č. 2 </w:t>
      </w:r>
      <w:r w:rsidR="008954AA" w:rsidRPr="00332A81">
        <w:rPr>
          <w:rFonts w:asciiTheme="minorHAnsi" w:hAnsiTheme="minorHAnsi" w:cstheme="minorHAnsi"/>
          <w:szCs w:val="24"/>
        </w:rPr>
        <w:t>–</w:t>
      </w:r>
      <w:r w:rsidR="00FE00F3" w:rsidRPr="00332A81">
        <w:rPr>
          <w:rFonts w:asciiTheme="minorHAnsi" w:hAnsiTheme="minorHAnsi" w:cstheme="minorHAnsi"/>
          <w:szCs w:val="24"/>
        </w:rPr>
        <w:tab/>
      </w:r>
      <w:r w:rsidR="008954AA" w:rsidRPr="00332A81">
        <w:rPr>
          <w:rFonts w:asciiTheme="minorHAnsi" w:hAnsiTheme="minorHAnsi" w:cstheme="minorHAnsi"/>
          <w:szCs w:val="24"/>
        </w:rPr>
        <w:t xml:space="preserve">Vybrané údaje MF k 31. 12. 2017 – příloha – část A.4. </w:t>
      </w:r>
      <w:r w:rsidR="008954AA" w:rsidRPr="00720ADC">
        <w:rPr>
          <w:rFonts w:asciiTheme="minorHAnsi" w:hAnsiTheme="minorHAnsi" w:cstheme="minorHAnsi"/>
          <w:i/>
          <w:szCs w:val="24"/>
        </w:rPr>
        <w:t xml:space="preserve">Informace podle </w:t>
      </w:r>
      <w:r w:rsidR="00432E66" w:rsidRPr="00720ADC">
        <w:rPr>
          <w:rFonts w:asciiTheme="minorHAnsi" w:hAnsiTheme="minorHAnsi" w:cstheme="minorHAnsi"/>
          <w:i/>
          <w:szCs w:val="24"/>
        </w:rPr>
        <w:t xml:space="preserve">ustanovení </w:t>
      </w:r>
      <w:r w:rsidR="008954AA" w:rsidRPr="00720ADC">
        <w:rPr>
          <w:rFonts w:asciiTheme="minorHAnsi" w:hAnsiTheme="minorHAnsi" w:cstheme="minorHAnsi"/>
          <w:i/>
          <w:szCs w:val="24"/>
        </w:rPr>
        <w:t>§ 7 odst. 5 zákona</w:t>
      </w:r>
      <w:r w:rsidR="00BE35FE" w:rsidRPr="00720ADC">
        <w:rPr>
          <w:rFonts w:asciiTheme="minorHAnsi" w:hAnsiTheme="minorHAnsi" w:cstheme="minorHAnsi"/>
          <w:i/>
          <w:szCs w:val="24"/>
        </w:rPr>
        <w:t xml:space="preserve"> o účetnictví</w:t>
      </w:r>
      <w:r w:rsidR="005850FD" w:rsidRPr="00720ADC">
        <w:rPr>
          <w:rFonts w:asciiTheme="minorHAnsi" w:hAnsiTheme="minorHAnsi" w:cstheme="minorHAnsi"/>
          <w:i/>
          <w:szCs w:val="24"/>
        </w:rPr>
        <w:t xml:space="preserve"> </w:t>
      </w:r>
      <w:r w:rsidR="008954AA" w:rsidRPr="00720ADC">
        <w:rPr>
          <w:rFonts w:asciiTheme="minorHAnsi" w:hAnsiTheme="minorHAnsi" w:cstheme="minorHAnsi"/>
          <w:i/>
          <w:szCs w:val="24"/>
        </w:rPr>
        <w:t xml:space="preserve">o stavu účtů </w:t>
      </w:r>
      <w:r w:rsidR="000F6461" w:rsidRPr="00720ADC">
        <w:rPr>
          <w:rFonts w:asciiTheme="minorHAnsi" w:hAnsiTheme="minorHAnsi" w:cstheme="minorHAnsi"/>
          <w:i/>
          <w:szCs w:val="24"/>
        </w:rPr>
        <w:t xml:space="preserve">v </w:t>
      </w:r>
      <w:r w:rsidR="008954AA" w:rsidRPr="00720ADC">
        <w:rPr>
          <w:rFonts w:asciiTheme="minorHAnsi" w:hAnsiTheme="minorHAnsi" w:cstheme="minorHAnsi"/>
          <w:i/>
          <w:szCs w:val="24"/>
        </w:rPr>
        <w:t>knize podrozvahových účtů</w:t>
      </w:r>
      <w:r w:rsidR="00FB13CA" w:rsidRPr="00720ADC">
        <w:rPr>
          <w:rFonts w:asciiTheme="minorHAnsi" w:hAnsiTheme="minorHAnsi" w:cstheme="minorHAnsi"/>
          <w:i/>
          <w:szCs w:val="24"/>
        </w:rPr>
        <w:t xml:space="preserve"> </w:t>
      </w:r>
      <w:r w:rsidR="00432E66">
        <w:rPr>
          <w:rFonts w:asciiTheme="minorHAnsi" w:hAnsiTheme="minorHAnsi" w:cstheme="minorHAnsi"/>
          <w:szCs w:val="24"/>
        </w:rPr>
        <w:tab/>
      </w:r>
      <w:r w:rsidR="008954AA" w:rsidRPr="00332A81">
        <w:rPr>
          <w:rFonts w:asciiTheme="minorHAnsi" w:hAnsiTheme="minorHAnsi" w:cstheme="minorHAnsi"/>
          <w:szCs w:val="24"/>
        </w:rPr>
        <w:t>(v Kč)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089"/>
        <w:gridCol w:w="2132"/>
      </w:tblGrid>
      <w:tr w:rsidR="008954AA" w:rsidRPr="00251842" w14:paraId="36B6AD19" w14:textId="77777777" w:rsidTr="00213595">
        <w:trPr>
          <w:trHeight w:hRule="exact" w:val="460"/>
          <w:tblHeader/>
          <w:jc w:val="center"/>
        </w:trPr>
        <w:tc>
          <w:tcPr>
            <w:tcW w:w="6955" w:type="dxa"/>
            <w:gridSpan w:val="2"/>
            <w:shd w:val="clear" w:color="auto" w:fill="E5F1FF"/>
            <w:vAlign w:val="center"/>
            <w:hideMark/>
          </w:tcPr>
          <w:p w14:paraId="6989BD66" w14:textId="77777777" w:rsidR="008954AA" w:rsidRPr="00251842" w:rsidRDefault="008954AA" w:rsidP="00320D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18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132" w:type="dxa"/>
            <w:shd w:val="clear" w:color="auto" w:fill="E5F1FF"/>
            <w:noWrap/>
            <w:vAlign w:val="center"/>
            <w:hideMark/>
          </w:tcPr>
          <w:p w14:paraId="6433EA76" w14:textId="77777777" w:rsidR="008954AA" w:rsidRPr="00251842" w:rsidRDefault="008954AA" w:rsidP="00320DD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18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8954AA" w:rsidRPr="00DB4ED5" w14:paraId="48AC85D6" w14:textId="77777777" w:rsidTr="00213595">
        <w:trPr>
          <w:trHeight w:val="488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91B7811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P.I.</w:t>
            </w:r>
          </w:p>
        </w:tc>
        <w:tc>
          <w:tcPr>
            <w:tcW w:w="6089" w:type="dxa"/>
            <w:shd w:val="clear" w:color="auto" w:fill="auto"/>
            <w:noWrap/>
            <w:vAlign w:val="center"/>
            <w:hideMark/>
          </w:tcPr>
          <w:p w14:paraId="4DD9F1CD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Majetek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závazky</w:t>
            </w:r>
            <w:r w:rsidRPr="00F77A24">
              <w:rPr>
                <w:rFonts w:asciiTheme="minorHAnsi" w:hAnsiTheme="minorHAnsi"/>
                <w:sz w:val="20"/>
                <w:szCs w:val="20"/>
              </w:rPr>
              <w:t xml:space="preserve"> účetní jednotky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D1E2635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49 384 764 358,94</w:t>
            </w:r>
          </w:p>
        </w:tc>
      </w:tr>
      <w:tr w:rsidR="008954AA" w:rsidRPr="00DB4ED5" w14:paraId="2E5DBD76" w14:textId="77777777" w:rsidTr="00213595">
        <w:trPr>
          <w:trHeight w:val="488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1D9740A1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P.II.</w:t>
            </w: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4E972AD1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Krátkodobé podmíněné pohledávky z transferů a krátkodobé podmíněné závazky z</w:t>
            </w:r>
            <w:r w:rsidR="00996495">
              <w:rPr>
                <w:rFonts w:asciiTheme="minorHAnsi" w:hAnsiTheme="minorHAnsi"/>
                <w:sz w:val="20"/>
                <w:szCs w:val="20"/>
              </w:rPr>
              <w:t> </w:t>
            </w:r>
            <w:r w:rsidRPr="00F77A24">
              <w:rPr>
                <w:rFonts w:asciiTheme="minorHAnsi" w:hAnsiTheme="minorHAnsi"/>
                <w:sz w:val="20"/>
                <w:szCs w:val="20"/>
              </w:rPr>
              <w:t>transferů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85274F6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509 032 418,75</w:t>
            </w:r>
          </w:p>
        </w:tc>
      </w:tr>
      <w:tr w:rsidR="008954AA" w:rsidRPr="00DB4ED5" w14:paraId="6FD89A79" w14:textId="77777777" w:rsidTr="00213595">
        <w:trPr>
          <w:trHeight w:val="488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5D3A2544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P.III.</w:t>
            </w:r>
          </w:p>
        </w:tc>
        <w:tc>
          <w:tcPr>
            <w:tcW w:w="6089" w:type="dxa"/>
            <w:shd w:val="clear" w:color="auto" w:fill="auto"/>
            <w:noWrap/>
            <w:vAlign w:val="center"/>
          </w:tcPr>
          <w:p w14:paraId="1AB493E5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Podmíněné pohledávky z důvodu užívání majetku jinou osobou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C9A8B24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4 983 090,37</w:t>
            </w:r>
          </w:p>
        </w:tc>
      </w:tr>
      <w:tr w:rsidR="008954AA" w:rsidRPr="00DB4ED5" w14:paraId="0EA964EA" w14:textId="77777777" w:rsidTr="00213595">
        <w:trPr>
          <w:trHeight w:val="488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63AB0F36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P.IV.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473832E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 xml:space="preserve">Další podmíněné pohledávky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E7C3927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114 310 598 044,24</w:t>
            </w:r>
          </w:p>
        </w:tc>
      </w:tr>
      <w:tr w:rsidR="008954AA" w:rsidRPr="00DB4ED5" w14:paraId="18BBA700" w14:textId="77777777" w:rsidTr="00213595">
        <w:trPr>
          <w:trHeight w:hRule="exact" w:val="612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13910D06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P.V.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3EAD5282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Dlouhodobé podmíněné pohledávky z transferů a dlouhodobé podmíněné závazky z</w:t>
            </w:r>
            <w:r w:rsidR="00996495">
              <w:rPr>
                <w:rFonts w:asciiTheme="minorHAnsi" w:hAnsiTheme="minorHAnsi"/>
                <w:sz w:val="20"/>
                <w:szCs w:val="20"/>
              </w:rPr>
              <w:t> </w:t>
            </w:r>
            <w:r w:rsidRPr="00F77A24">
              <w:rPr>
                <w:rFonts w:asciiTheme="minorHAnsi" w:hAnsiTheme="minorHAnsi"/>
                <w:sz w:val="20"/>
                <w:szCs w:val="20"/>
              </w:rPr>
              <w:t>transferů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4308F7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653 316 050 946,19</w:t>
            </w:r>
          </w:p>
        </w:tc>
      </w:tr>
      <w:tr w:rsidR="008954AA" w:rsidRPr="00DB4ED5" w14:paraId="7909FA36" w14:textId="77777777" w:rsidTr="00213595">
        <w:trPr>
          <w:trHeight w:hRule="exact" w:val="397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72027879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P.VI.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3D4B31D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Podmíněné závazky z důvodu užívání cizího majetku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1E854CC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1 173 000,00</w:t>
            </w:r>
          </w:p>
        </w:tc>
      </w:tr>
      <w:tr w:rsidR="008954AA" w:rsidRPr="00DB4ED5" w14:paraId="2B35A4AE" w14:textId="77777777" w:rsidTr="00213595">
        <w:trPr>
          <w:trHeight w:hRule="exact" w:val="416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0ED0DD3C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P.VII.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7DC404C2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3F78EFE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266 791 254 705,58</w:t>
            </w:r>
          </w:p>
        </w:tc>
      </w:tr>
      <w:tr w:rsidR="008954AA" w:rsidRPr="00DB4ED5" w14:paraId="5A481D71" w14:textId="77777777" w:rsidTr="00213595">
        <w:trPr>
          <w:trHeight w:hRule="exact" w:val="379"/>
          <w:jc w:val="center"/>
        </w:trPr>
        <w:tc>
          <w:tcPr>
            <w:tcW w:w="866" w:type="dxa"/>
            <w:shd w:val="clear" w:color="auto" w:fill="auto"/>
            <w:noWrap/>
            <w:vAlign w:val="center"/>
          </w:tcPr>
          <w:p w14:paraId="43FB6B19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P.VIII.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1F48674A" w14:textId="77777777" w:rsidR="008954AA" w:rsidRPr="00F77A24" w:rsidRDefault="008954AA" w:rsidP="00320DD3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F77A24">
              <w:rPr>
                <w:rFonts w:asciiTheme="minorHAnsi" w:hAnsiTheme="minorHAnsi"/>
                <w:sz w:val="20"/>
                <w:szCs w:val="20"/>
              </w:rPr>
              <w:t>Ostatní podmíněná aktiva a ostatní podmíněná pasiva a vyrovnávací účty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37AF471E" w14:textId="77777777" w:rsidR="008954AA" w:rsidRPr="00F77A24" w:rsidRDefault="008954AA" w:rsidP="00320DD3">
            <w:pPr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225 813 934 473,83</w:t>
            </w:r>
          </w:p>
        </w:tc>
      </w:tr>
    </w:tbl>
    <w:p w14:paraId="1B9E6633" w14:textId="77777777" w:rsidR="008954AA" w:rsidRPr="00332A81" w:rsidRDefault="008954AA" w:rsidP="00720ADC">
      <w:pPr>
        <w:pStyle w:val="Zdroj"/>
        <w:spacing w:before="0"/>
        <w:rPr>
          <w:rFonts w:asciiTheme="minorHAnsi" w:hAnsiTheme="minorHAnsi"/>
          <w:i w:val="0"/>
        </w:rPr>
      </w:pPr>
      <w:r w:rsidRPr="001D5AA3">
        <w:rPr>
          <w:rFonts w:asciiTheme="minorHAnsi" w:hAnsiTheme="minorHAnsi"/>
          <w:b/>
          <w:i w:val="0"/>
        </w:rPr>
        <w:t>Zdroj</w:t>
      </w:r>
      <w:r w:rsidR="0096529F" w:rsidRPr="001D5AA3">
        <w:rPr>
          <w:rFonts w:asciiTheme="minorHAnsi" w:hAnsiTheme="minorHAnsi"/>
          <w:b/>
          <w:i w:val="0"/>
        </w:rPr>
        <w:t>:</w:t>
      </w:r>
      <w:r w:rsidRPr="00332A81">
        <w:rPr>
          <w:rFonts w:asciiTheme="minorHAnsi" w:hAnsiTheme="minorHAnsi"/>
          <w:i w:val="0"/>
        </w:rPr>
        <w:t xml:space="preserve"> </w:t>
      </w:r>
      <w:r w:rsidR="00B44CC5" w:rsidRPr="00332A81">
        <w:rPr>
          <w:rFonts w:asciiTheme="minorHAnsi" w:hAnsiTheme="minorHAnsi"/>
          <w:i w:val="0"/>
        </w:rPr>
        <w:t>ú</w:t>
      </w:r>
      <w:r w:rsidR="00CB46DC" w:rsidRPr="00332A81">
        <w:rPr>
          <w:rFonts w:asciiTheme="minorHAnsi" w:hAnsiTheme="minorHAnsi"/>
          <w:i w:val="0"/>
        </w:rPr>
        <w:t>četní závěrka</w:t>
      </w:r>
      <w:r w:rsidR="0096529F" w:rsidRPr="00332A81">
        <w:rPr>
          <w:rFonts w:asciiTheme="minorHAnsi" w:hAnsiTheme="minorHAnsi"/>
          <w:i w:val="0"/>
        </w:rPr>
        <w:t xml:space="preserve"> MF k 31. 12. 2017</w:t>
      </w:r>
      <w:r w:rsidR="00136E1C" w:rsidRPr="00332A81">
        <w:rPr>
          <w:rFonts w:asciiTheme="minorHAnsi" w:hAnsiTheme="minorHAnsi"/>
          <w:i w:val="0"/>
        </w:rPr>
        <w:t>.</w:t>
      </w:r>
    </w:p>
    <w:p w14:paraId="26C36674" w14:textId="77777777" w:rsidR="008954AA" w:rsidRPr="00332A81" w:rsidRDefault="0096529F" w:rsidP="00320DD3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D5AA3">
        <w:rPr>
          <w:rFonts w:asciiTheme="minorHAnsi" w:hAnsiTheme="minorHAnsi"/>
          <w:b/>
          <w:sz w:val="20"/>
          <w:szCs w:val="20"/>
        </w:rPr>
        <w:t>Pozn.:</w:t>
      </w:r>
      <w:r w:rsidRPr="00332A81">
        <w:rPr>
          <w:rFonts w:asciiTheme="minorHAnsi" w:hAnsiTheme="minorHAnsi"/>
          <w:sz w:val="20"/>
          <w:szCs w:val="20"/>
        </w:rPr>
        <w:t xml:space="preserve"> </w:t>
      </w:r>
      <w:r w:rsidR="008954AA" w:rsidRPr="00332A81">
        <w:rPr>
          <w:rFonts w:asciiTheme="minorHAnsi" w:hAnsiTheme="minorHAnsi"/>
          <w:sz w:val="20"/>
          <w:szCs w:val="20"/>
        </w:rPr>
        <w:t>Součástí položky P.VIII</w:t>
      </w:r>
      <w:r w:rsidR="00AC31EB">
        <w:rPr>
          <w:rFonts w:asciiTheme="minorHAnsi" w:hAnsiTheme="minorHAnsi"/>
          <w:sz w:val="20"/>
          <w:szCs w:val="20"/>
        </w:rPr>
        <w:t>.</w:t>
      </w:r>
      <w:r w:rsidR="008954AA" w:rsidRPr="00332A81">
        <w:rPr>
          <w:rFonts w:asciiTheme="minorHAnsi" w:hAnsiTheme="minorHAnsi"/>
          <w:sz w:val="20"/>
          <w:szCs w:val="20"/>
        </w:rPr>
        <w:t xml:space="preserve"> není zůstatek účtu 999 – </w:t>
      </w:r>
      <w:r w:rsidR="008954AA" w:rsidRPr="00332A81">
        <w:rPr>
          <w:rFonts w:asciiTheme="minorHAnsi" w:hAnsiTheme="minorHAnsi"/>
          <w:i/>
          <w:sz w:val="20"/>
          <w:szCs w:val="20"/>
        </w:rPr>
        <w:t>Vyrovnávací účet k podrozvahovým účtům</w:t>
      </w:r>
      <w:r w:rsidR="008954AA" w:rsidRPr="00332A81">
        <w:rPr>
          <w:rFonts w:asciiTheme="minorHAnsi" w:hAnsiTheme="minorHAnsi"/>
          <w:sz w:val="20"/>
          <w:szCs w:val="20"/>
        </w:rPr>
        <w:t>.</w:t>
      </w:r>
    </w:p>
    <w:p w14:paraId="313E4543" w14:textId="77777777" w:rsidR="00320DD3" w:rsidRPr="00AF4368" w:rsidRDefault="00320DD3" w:rsidP="00320DD3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3CF3DC01" w14:textId="77777777" w:rsidR="003C5836" w:rsidRPr="006A4E53" w:rsidRDefault="003C5836" w:rsidP="00320DD3">
      <w:pPr>
        <w:spacing w:after="0"/>
        <w:jc w:val="both"/>
        <w:rPr>
          <w:rFonts w:asciiTheme="minorHAnsi" w:hAnsiTheme="minorHAnsi" w:cstheme="minorHAnsi"/>
        </w:rPr>
      </w:pPr>
      <w:r w:rsidRPr="006A4E53">
        <w:rPr>
          <w:rFonts w:asciiTheme="minorHAnsi" w:hAnsiTheme="minorHAnsi" w:cstheme="minorHAnsi"/>
        </w:rPr>
        <w:t xml:space="preserve">Z výše uvedených celkových údajů byly kontrolovány </w:t>
      </w:r>
      <w:r w:rsidR="009E2E0A">
        <w:rPr>
          <w:rFonts w:asciiTheme="minorHAnsi" w:hAnsiTheme="minorHAnsi" w:cstheme="minorHAnsi"/>
        </w:rPr>
        <w:t xml:space="preserve">mj. </w:t>
      </w:r>
      <w:r w:rsidRPr="006A4E53">
        <w:rPr>
          <w:rFonts w:asciiTheme="minorHAnsi" w:hAnsiTheme="minorHAnsi" w:cstheme="minorHAnsi"/>
        </w:rPr>
        <w:t>následující vybrané oblasti:</w:t>
      </w:r>
    </w:p>
    <w:p w14:paraId="724BE2D5" w14:textId="77777777" w:rsidR="00954AFD" w:rsidRDefault="00954AFD" w:rsidP="00320DD3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644A08BA" w14:textId="77777777" w:rsidR="00320DD3" w:rsidRPr="003C5836" w:rsidRDefault="00320DD3" w:rsidP="00576E3F">
      <w:pPr>
        <w:spacing w:after="160"/>
        <w:jc w:val="both"/>
        <w:rPr>
          <w:rFonts w:asciiTheme="minorHAnsi" w:hAnsiTheme="minorHAnsi" w:cstheme="minorHAnsi"/>
          <w:b/>
          <w:u w:val="single"/>
        </w:rPr>
      </w:pPr>
      <w:r w:rsidRPr="003C5836">
        <w:rPr>
          <w:rFonts w:asciiTheme="minorHAnsi" w:hAnsiTheme="minorHAnsi" w:cstheme="minorHAnsi"/>
          <w:b/>
          <w:u w:val="single"/>
        </w:rPr>
        <w:t>Národní fond</w:t>
      </w:r>
    </w:p>
    <w:p w14:paraId="073DB173" w14:textId="77777777" w:rsidR="00AF1471" w:rsidRDefault="00576E3F" w:rsidP="00F01279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Dle </w:t>
      </w:r>
      <w:r w:rsidRPr="00F01279">
        <w:rPr>
          <w:rFonts w:asciiTheme="minorHAnsi" w:hAnsiTheme="minorHAnsi" w:cstheme="minorHAnsi"/>
        </w:rPr>
        <w:t>ustanovení § 37 odst. 1</w:t>
      </w:r>
      <w:r w:rsidRPr="000F72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zákona č. 218/2000 Sb. je </w:t>
      </w:r>
      <w:r w:rsidRPr="00720ADC">
        <w:rPr>
          <w:rFonts w:asciiTheme="minorHAnsi" w:hAnsiTheme="minorHAnsi" w:cstheme="minorHAnsi"/>
          <w:i/>
        </w:rPr>
        <w:t>Národní fond</w:t>
      </w:r>
      <w:r w:rsidRPr="00B855CC">
        <w:rPr>
          <w:rFonts w:asciiTheme="minorHAnsi" w:hAnsiTheme="minorHAnsi" w:cstheme="minorHAnsi"/>
        </w:rPr>
        <w:t xml:space="preserve"> </w:t>
      </w:r>
      <w:r w:rsidR="006D78B2">
        <w:rPr>
          <w:rFonts w:asciiTheme="minorHAnsi" w:hAnsiTheme="minorHAnsi" w:cstheme="minorHAnsi"/>
        </w:rPr>
        <w:t>„</w:t>
      </w:r>
      <w:r w:rsidR="006353AF" w:rsidRPr="00AF4368">
        <w:rPr>
          <w:rFonts w:asciiTheme="minorHAnsi" w:hAnsiTheme="minorHAnsi" w:cstheme="minorHAnsi"/>
          <w:i/>
        </w:rPr>
        <w:t xml:space="preserve">souhrn </w:t>
      </w:r>
    </w:p>
    <w:p w14:paraId="64CD2F24" w14:textId="77777777" w:rsidR="00F01279" w:rsidRPr="00F01279" w:rsidRDefault="006353AF" w:rsidP="004B1EEA">
      <w:pPr>
        <w:pStyle w:val="Odstavecseseznamem"/>
        <w:numPr>
          <w:ilvl w:val="0"/>
          <w:numId w:val="21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F1471">
        <w:rPr>
          <w:rFonts w:asciiTheme="minorHAnsi" w:hAnsiTheme="minorHAnsi" w:cstheme="minorHAnsi"/>
          <w:i/>
        </w:rPr>
        <w:t>peněžních prostředků, které svěřuje Evropská unie České republice k realizaci programů nebo projektů spolufinancovaných z rozpočtu Evropské unie prostřednictvím strukturálních fondů, Fondu soudržnosti a Evropského rybářského fondu</w:t>
      </w:r>
      <w:r w:rsidR="00065266">
        <w:rPr>
          <w:rFonts w:asciiTheme="minorHAnsi" w:hAnsiTheme="minorHAnsi" w:cstheme="minorHAnsi"/>
          <w:i/>
        </w:rPr>
        <w:t>,</w:t>
      </w:r>
    </w:p>
    <w:p w14:paraId="2E9651EB" w14:textId="77777777" w:rsidR="00F01279" w:rsidRPr="00F01279" w:rsidRDefault="00F01279" w:rsidP="004B1EEA">
      <w:pPr>
        <w:pStyle w:val="Odstavecseseznamem"/>
        <w:numPr>
          <w:ilvl w:val="0"/>
          <w:numId w:val="21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peněžních prostředků přechodového nástroje (Transition Facility) a</w:t>
      </w:r>
    </w:p>
    <w:p w14:paraId="57D1760B" w14:textId="77777777" w:rsidR="00F01279" w:rsidRDefault="00F01279" w:rsidP="00AF1471">
      <w:pPr>
        <w:pStyle w:val="Odstavecseseznamem"/>
        <w:numPr>
          <w:ilvl w:val="0"/>
          <w:numId w:val="21"/>
        </w:num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peněžních prostředků finančních mechanismů, které jsou České republice svěřeny na základě mezinárodních smluv, včetně úroků z nich.</w:t>
      </w:r>
      <w:r w:rsidR="006D78B2" w:rsidRPr="00AF1471">
        <w:rPr>
          <w:rFonts w:asciiTheme="minorHAnsi" w:hAnsiTheme="minorHAnsi" w:cstheme="minorHAnsi"/>
        </w:rPr>
        <w:t>“</w:t>
      </w:r>
    </w:p>
    <w:p w14:paraId="19AA5D63" w14:textId="77777777" w:rsidR="00576E3F" w:rsidRPr="00F01279" w:rsidRDefault="003C5836" w:rsidP="00F01279">
      <w:pPr>
        <w:spacing w:after="160"/>
        <w:jc w:val="both"/>
        <w:rPr>
          <w:rFonts w:asciiTheme="minorHAnsi" w:hAnsiTheme="minorHAnsi" w:cstheme="minorHAnsi"/>
        </w:rPr>
      </w:pPr>
      <w:r w:rsidRPr="00F01279">
        <w:rPr>
          <w:rFonts w:asciiTheme="minorHAnsi" w:hAnsiTheme="minorHAnsi" w:cstheme="minorHAnsi"/>
        </w:rPr>
        <w:lastRenderedPageBreak/>
        <w:t xml:space="preserve">Organizačně je </w:t>
      </w:r>
      <w:r w:rsidRPr="00720ADC">
        <w:rPr>
          <w:rFonts w:asciiTheme="minorHAnsi" w:hAnsiTheme="minorHAnsi" w:cstheme="minorHAnsi"/>
          <w:i/>
        </w:rPr>
        <w:t>Národní fond</w:t>
      </w:r>
      <w:r w:rsidRPr="00F01279">
        <w:rPr>
          <w:rFonts w:asciiTheme="minorHAnsi" w:hAnsiTheme="minorHAnsi" w:cstheme="minorHAnsi"/>
        </w:rPr>
        <w:t xml:space="preserve"> </w:t>
      </w:r>
      <w:r w:rsidR="00576E3F" w:rsidRPr="00F01279">
        <w:rPr>
          <w:rFonts w:asciiTheme="minorHAnsi" w:hAnsiTheme="minorHAnsi" w:cstheme="minorHAnsi"/>
        </w:rPr>
        <w:t xml:space="preserve">součástí MF. NF spravuje a koncepčně a metodicky řídí toky finančních prostředků z EU a </w:t>
      </w:r>
      <w:r w:rsidR="00640C7F" w:rsidRPr="00F01279">
        <w:rPr>
          <w:rFonts w:asciiTheme="minorHAnsi" w:hAnsiTheme="minorHAnsi" w:cstheme="minorHAnsi"/>
        </w:rPr>
        <w:t xml:space="preserve">ze </w:t>
      </w:r>
      <w:r w:rsidR="00576E3F" w:rsidRPr="00F01279">
        <w:rPr>
          <w:rFonts w:asciiTheme="minorHAnsi" w:hAnsiTheme="minorHAnsi" w:cstheme="minorHAnsi"/>
        </w:rPr>
        <w:t>zahraničí</w:t>
      </w:r>
      <w:r w:rsidRPr="00F01279">
        <w:rPr>
          <w:rFonts w:asciiTheme="minorHAnsi" w:hAnsiTheme="minorHAnsi" w:cstheme="minorHAnsi"/>
        </w:rPr>
        <w:t>,</w:t>
      </w:r>
      <w:r w:rsidR="00576E3F" w:rsidRPr="00F01279">
        <w:rPr>
          <w:rFonts w:asciiTheme="minorHAnsi" w:hAnsiTheme="minorHAnsi" w:cstheme="minorHAnsi"/>
        </w:rPr>
        <w:t xml:space="preserve"> poskytnuté ČR v jed</w:t>
      </w:r>
      <w:r w:rsidRPr="00F01279">
        <w:rPr>
          <w:rFonts w:asciiTheme="minorHAnsi" w:hAnsiTheme="minorHAnsi" w:cstheme="minorHAnsi"/>
        </w:rPr>
        <w:t>notlivých programových obdobích</w:t>
      </w:r>
      <w:r w:rsidR="004462B8">
        <w:rPr>
          <w:rStyle w:val="Znakapoznpodarou"/>
          <w:rFonts w:asciiTheme="minorHAnsi" w:hAnsiTheme="minorHAnsi" w:cstheme="minorHAnsi"/>
        </w:rPr>
        <w:footnoteReference w:id="9"/>
      </w:r>
      <w:r w:rsidRPr="00F01279">
        <w:rPr>
          <w:rFonts w:asciiTheme="minorHAnsi" w:hAnsiTheme="minorHAnsi" w:cstheme="minorHAnsi"/>
        </w:rPr>
        <w:t xml:space="preserve">. </w:t>
      </w:r>
    </w:p>
    <w:p w14:paraId="37CD6D31" w14:textId="4B079786" w:rsidR="00576E3F" w:rsidRDefault="00576E3F" w:rsidP="00576E3F">
      <w:pPr>
        <w:spacing w:after="160"/>
        <w:jc w:val="both"/>
        <w:rPr>
          <w:rFonts w:asciiTheme="minorHAnsi" w:hAnsiTheme="minorHAnsi" w:cstheme="minorHAnsi"/>
          <w:bCs/>
          <w:iCs/>
        </w:rPr>
      </w:pPr>
      <w:r w:rsidRPr="00F94D8E">
        <w:rPr>
          <w:rFonts w:asciiTheme="minorHAnsi" w:hAnsiTheme="minorHAnsi" w:cstheme="minorHAnsi"/>
          <w:bCs/>
          <w:iCs/>
        </w:rPr>
        <w:t xml:space="preserve">Zůstatky ÚZ MF k 31. 12. 2017, které byly nejvíce ovlivněny údaji za </w:t>
      </w:r>
      <w:r w:rsidRPr="00720ADC">
        <w:rPr>
          <w:rFonts w:asciiTheme="minorHAnsi" w:hAnsiTheme="minorHAnsi" w:cstheme="minorHAnsi"/>
          <w:bCs/>
          <w:i/>
          <w:iCs/>
        </w:rPr>
        <w:t>Národní fond</w:t>
      </w:r>
      <w:r w:rsidRPr="00F94D8E">
        <w:rPr>
          <w:rFonts w:asciiTheme="minorHAnsi" w:hAnsiTheme="minorHAnsi" w:cstheme="minorHAnsi"/>
          <w:bCs/>
          <w:iCs/>
        </w:rPr>
        <w:t xml:space="preserve">, zobrazuje </w:t>
      </w:r>
      <w:r>
        <w:rPr>
          <w:rFonts w:asciiTheme="minorHAnsi" w:hAnsiTheme="minorHAnsi" w:cstheme="minorHAnsi"/>
          <w:bCs/>
          <w:iCs/>
        </w:rPr>
        <w:t>tabulka</w:t>
      </w:r>
      <w:r w:rsidR="003C5836">
        <w:rPr>
          <w:rFonts w:asciiTheme="minorHAnsi" w:hAnsiTheme="minorHAnsi" w:cstheme="minorHAnsi"/>
          <w:bCs/>
          <w:iCs/>
        </w:rPr>
        <w:t xml:space="preserve"> č. 3</w:t>
      </w:r>
      <w:r w:rsidRPr="00F94D8E">
        <w:rPr>
          <w:rFonts w:asciiTheme="minorHAnsi" w:hAnsiTheme="minorHAnsi" w:cstheme="minorHAnsi"/>
          <w:bCs/>
          <w:iCs/>
        </w:rPr>
        <w:t>.</w:t>
      </w:r>
    </w:p>
    <w:tbl>
      <w:tblPr>
        <w:tblpPr w:leftFromText="141" w:rightFromText="141" w:vertAnchor="text" w:horzAnchor="margin" w:tblpY="35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834"/>
        <w:gridCol w:w="475"/>
        <w:gridCol w:w="1794"/>
        <w:gridCol w:w="1843"/>
        <w:gridCol w:w="1276"/>
      </w:tblGrid>
      <w:tr w:rsidR="00BA003F" w:rsidRPr="009F64A2" w14:paraId="3D6C63C9" w14:textId="77777777" w:rsidTr="00720ADC">
        <w:trPr>
          <w:trHeight w:val="465"/>
        </w:trPr>
        <w:tc>
          <w:tcPr>
            <w:tcW w:w="3613" w:type="dxa"/>
            <w:gridSpan w:val="2"/>
            <w:shd w:val="clear" w:color="auto" w:fill="E5F1FF"/>
            <w:vAlign w:val="center"/>
            <w:hideMark/>
          </w:tcPr>
          <w:p w14:paraId="69532D79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Položka výkazu</w:t>
            </w:r>
          </w:p>
        </w:tc>
        <w:tc>
          <w:tcPr>
            <w:tcW w:w="475" w:type="dxa"/>
            <w:shd w:val="clear" w:color="auto" w:fill="E5F1FF"/>
            <w:vAlign w:val="center"/>
            <w:hideMark/>
          </w:tcPr>
          <w:p w14:paraId="37045E50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SÚ</w:t>
            </w:r>
          </w:p>
        </w:tc>
        <w:tc>
          <w:tcPr>
            <w:tcW w:w="1794" w:type="dxa"/>
            <w:shd w:val="clear" w:color="auto" w:fill="E5F1FF"/>
            <w:vAlign w:val="center"/>
            <w:hideMark/>
          </w:tcPr>
          <w:p w14:paraId="3DA2F75B" w14:textId="77777777" w:rsidR="00BA003F" w:rsidRPr="0032513F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32513F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Národní fond </w:t>
            </w:r>
          </w:p>
          <w:p w14:paraId="2FF84529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v Kč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62820D56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ÚZ</w:t>
            </w: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 xml:space="preserve"> MF</w:t>
            </w:r>
          </w:p>
          <w:p w14:paraId="3246751C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v Kč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540776FB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Podíl NF na ÚZ</w:t>
            </w:r>
          </w:p>
        </w:tc>
      </w:tr>
      <w:tr w:rsidR="00BA003F" w:rsidRPr="009F64A2" w14:paraId="7452390B" w14:textId="77777777" w:rsidTr="00720ADC">
        <w:trPr>
          <w:trHeight w:val="315"/>
        </w:trPr>
        <w:tc>
          <w:tcPr>
            <w:tcW w:w="9001" w:type="dxa"/>
            <w:gridSpan w:val="6"/>
            <w:shd w:val="clear" w:color="auto" w:fill="E5F1FF"/>
            <w:vAlign w:val="center"/>
          </w:tcPr>
          <w:p w14:paraId="023CDF61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Rozvaha</w:t>
            </w:r>
          </w:p>
        </w:tc>
      </w:tr>
      <w:tr w:rsidR="00BA003F" w:rsidRPr="009F64A2" w14:paraId="2B07FE8B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11634CAB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A.IV.7.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980F54B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Dlouhodobé zprostředkování transferů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F086D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1A0310B2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14 163 078 060,06</w:t>
            </w:r>
          </w:p>
        </w:tc>
        <w:tc>
          <w:tcPr>
            <w:tcW w:w="1843" w:type="dxa"/>
            <w:vAlign w:val="center"/>
          </w:tcPr>
          <w:p w14:paraId="02A44101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14 163 078 060,06</w:t>
            </w:r>
          </w:p>
        </w:tc>
        <w:tc>
          <w:tcPr>
            <w:tcW w:w="1276" w:type="dxa"/>
            <w:vAlign w:val="center"/>
          </w:tcPr>
          <w:p w14:paraId="725E69A6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100,00 %</w:t>
            </w:r>
          </w:p>
        </w:tc>
      </w:tr>
      <w:tr w:rsidR="00BA003F" w:rsidRPr="009F64A2" w14:paraId="3E911CCB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6CBCE100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B.II.32.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510BA48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Dohadné účty aktivní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72A9C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CBA5CF8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371 483 590,21</w:t>
            </w:r>
          </w:p>
        </w:tc>
        <w:tc>
          <w:tcPr>
            <w:tcW w:w="1843" w:type="dxa"/>
            <w:vAlign w:val="center"/>
          </w:tcPr>
          <w:p w14:paraId="048D55B6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431 678 672,06</w:t>
            </w:r>
          </w:p>
        </w:tc>
        <w:tc>
          <w:tcPr>
            <w:tcW w:w="1276" w:type="dxa"/>
            <w:vAlign w:val="center"/>
          </w:tcPr>
          <w:p w14:paraId="3D1DE2C3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86,06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9F64A2" w14:paraId="54A7560E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600A7C4C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B.III.5.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D4F66AD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Jiné běžné účty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2A003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D617086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54 895 486 655,88</w:t>
            </w:r>
          </w:p>
        </w:tc>
        <w:tc>
          <w:tcPr>
            <w:tcW w:w="1843" w:type="dxa"/>
            <w:vAlign w:val="center"/>
          </w:tcPr>
          <w:p w14:paraId="7E26B1EC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56 135 594 935,29</w:t>
            </w:r>
          </w:p>
        </w:tc>
        <w:tc>
          <w:tcPr>
            <w:tcW w:w="1276" w:type="dxa"/>
            <w:vAlign w:val="center"/>
          </w:tcPr>
          <w:p w14:paraId="2D84A47F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97,79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9F64A2" w14:paraId="17FF3FAD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329D4096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D.III.33.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5C38ABD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Krátkodobé zprostředkování transferů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E631B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21CD29C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67 482 789 546,14</w:t>
            </w:r>
          </w:p>
        </w:tc>
        <w:tc>
          <w:tcPr>
            <w:tcW w:w="1843" w:type="dxa"/>
            <w:vAlign w:val="center"/>
          </w:tcPr>
          <w:p w14:paraId="66C86F4E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67 484 469 678,32</w:t>
            </w:r>
          </w:p>
        </w:tc>
        <w:tc>
          <w:tcPr>
            <w:tcW w:w="1276" w:type="dxa"/>
            <w:vAlign w:val="center"/>
          </w:tcPr>
          <w:p w14:paraId="3262EBDD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100,00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9F64A2" w14:paraId="0AE71661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363A80C7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D.III.</w:t>
            </w: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9F64A2">
              <w:rPr>
                <w:rFonts w:asciiTheme="minorHAnsi" w:hAnsiTheme="minorHAnsi" w:cs="Arial"/>
                <w:sz w:val="18"/>
                <w:szCs w:val="18"/>
              </w:rPr>
              <w:t>7.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D6B1D38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Dohadné účty pasivní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CDFC3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4D30FD67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104 521 620,33</w:t>
            </w:r>
          </w:p>
        </w:tc>
        <w:tc>
          <w:tcPr>
            <w:tcW w:w="1843" w:type="dxa"/>
            <w:vAlign w:val="center"/>
          </w:tcPr>
          <w:p w14:paraId="6B762FC8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1 062 803 223,94</w:t>
            </w:r>
          </w:p>
        </w:tc>
        <w:tc>
          <w:tcPr>
            <w:tcW w:w="1276" w:type="dxa"/>
            <w:vAlign w:val="center"/>
          </w:tcPr>
          <w:p w14:paraId="301403EB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9,83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D060CF" w14:paraId="16D68B4C" w14:textId="77777777" w:rsidTr="00720ADC">
        <w:trPr>
          <w:trHeight w:val="315"/>
        </w:trPr>
        <w:tc>
          <w:tcPr>
            <w:tcW w:w="9001" w:type="dxa"/>
            <w:gridSpan w:val="6"/>
            <w:shd w:val="clear" w:color="auto" w:fill="E5F1FF"/>
            <w:vAlign w:val="center"/>
          </w:tcPr>
          <w:p w14:paraId="5E525011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Výkaz zisku a ztráty</w:t>
            </w:r>
          </w:p>
        </w:tc>
      </w:tr>
      <w:tr w:rsidR="00BA003F" w:rsidRPr="009F64A2" w14:paraId="419D57C9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3FAAA466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A.II.3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071A2F7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Kurzové ztráty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5A343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BD530C3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4 454 685 546,93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BC6037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9 860 409 162,35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C3DA60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45,18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9F64A2" w14:paraId="4B889086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4C3D9BBA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B.II.3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28C0303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Kurzové zisky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C7F22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7785E456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1 786 315 944,06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59ECB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17 659 533 574,31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F9BB06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 w:cs="Calibri"/>
                <w:color w:val="000000"/>
                <w:sz w:val="18"/>
                <w:szCs w:val="18"/>
              </w:rPr>
              <w:t>10,12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D060CF" w14:paraId="69254F4C" w14:textId="77777777" w:rsidTr="00720ADC">
        <w:trPr>
          <w:trHeight w:val="315"/>
        </w:trPr>
        <w:tc>
          <w:tcPr>
            <w:tcW w:w="9001" w:type="dxa"/>
            <w:gridSpan w:val="6"/>
            <w:shd w:val="clear" w:color="auto" w:fill="E5F1FF"/>
            <w:vAlign w:val="center"/>
          </w:tcPr>
          <w:p w14:paraId="511D3920" w14:textId="77777777" w:rsidR="00BA003F" w:rsidRPr="00FA15AA" w:rsidRDefault="00BA003F" w:rsidP="00BA003F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15AA">
              <w:rPr>
                <w:rFonts w:asciiTheme="minorHAnsi" w:hAnsiTheme="minorHAnsi" w:cs="Arial"/>
                <w:b/>
                <w:sz w:val="20"/>
                <w:szCs w:val="20"/>
              </w:rPr>
              <w:t>Kniha podrozvahových účtů</w:t>
            </w:r>
          </w:p>
        </w:tc>
      </w:tr>
      <w:tr w:rsidR="00BA003F" w:rsidRPr="009F64A2" w14:paraId="1B4BACA1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57600C2C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P.II.4.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ABFCD9A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Krátkodobé podmíněné závazky ze zahraničních transferů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F49B6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5FBB0DE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35 638 468,75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BD281D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35 638 468,75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B8B6D9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100,00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9F64A2" w14:paraId="66DF8A74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412A5176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P.V.3.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F8405D2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Dlouhodobé podmíněné pohledávky ze zahraničních transferů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FF69F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6905077A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503 412 197 972,30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CCBBC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503 412 197 972,30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209ACC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100,00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%</w:t>
            </w:r>
          </w:p>
        </w:tc>
      </w:tr>
      <w:tr w:rsidR="00BA003F" w:rsidRPr="009F64A2" w14:paraId="4CB0739A" w14:textId="77777777" w:rsidTr="00720ADC">
        <w:trPr>
          <w:trHeight w:val="315"/>
        </w:trPr>
        <w:tc>
          <w:tcPr>
            <w:tcW w:w="779" w:type="dxa"/>
            <w:shd w:val="clear" w:color="auto" w:fill="auto"/>
            <w:vAlign w:val="center"/>
          </w:tcPr>
          <w:p w14:paraId="28CF83BF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P.V.5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BFDF6AD" w14:textId="77777777" w:rsidR="00BA003F" w:rsidRPr="009F64A2" w:rsidRDefault="00BA003F" w:rsidP="00BA003F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9F64A2">
              <w:rPr>
                <w:rFonts w:asciiTheme="minorHAnsi" w:hAnsiTheme="minorHAnsi" w:cs="Arial"/>
                <w:sz w:val="18"/>
                <w:szCs w:val="18"/>
              </w:rPr>
              <w:t>Ostatní dlouhodobé podmíněné pohledávky z transferů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D1ED8" w14:textId="77777777" w:rsidR="00BA003F" w:rsidRPr="009F64A2" w:rsidRDefault="00BA003F" w:rsidP="00BA003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5BC50FB2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14 725 761 286,10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80797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14 725 761 286,10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8033A" w14:textId="77777777" w:rsidR="00BA003F" w:rsidRPr="009F64A2" w:rsidRDefault="00BA003F" w:rsidP="00BA003F">
            <w:pPr>
              <w:spacing w:after="0"/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9F64A2">
              <w:rPr>
                <w:rFonts w:asciiTheme="minorHAnsi" w:hAnsiTheme="minorHAnsi"/>
                <w:color w:val="000000"/>
                <w:sz w:val="18"/>
                <w:szCs w:val="18"/>
              </w:rPr>
              <w:t>100,00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%</w:t>
            </w:r>
          </w:p>
        </w:tc>
      </w:tr>
    </w:tbl>
    <w:p w14:paraId="5EE2BC8D" w14:textId="77777777" w:rsidR="00576E3F" w:rsidRPr="00332A81" w:rsidRDefault="00576E3F" w:rsidP="00720ADC">
      <w:pPr>
        <w:spacing w:after="0"/>
        <w:jc w:val="both"/>
        <w:rPr>
          <w:rFonts w:asciiTheme="minorHAnsi" w:hAnsiTheme="minorHAnsi" w:cstheme="minorHAnsi"/>
          <w:b/>
        </w:rPr>
      </w:pPr>
      <w:r w:rsidRPr="00332A81">
        <w:rPr>
          <w:rFonts w:asciiTheme="minorHAnsi" w:hAnsiTheme="minorHAnsi" w:cstheme="minorHAnsi"/>
          <w:b/>
        </w:rPr>
        <w:t xml:space="preserve">Tabulka </w:t>
      </w:r>
      <w:r w:rsidR="009B6D98" w:rsidRPr="00332A81">
        <w:rPr>
          <w:rFonts w:asciiTheme="minorHAnsi" w:hAnsiTheme="minorHAnsi" w:cstheme="minorHAnsi"/>
          <w:b/>
        </w:rPr>
        <w:t>č.</w:t>
      </w:r>
      <w:r w:rsidR="003C5836" w:rsidRPr="00332A81">
        <w:rPr>
          <w:rFonts w:asciiTheme="minorHAnsi" w:hAnsiTheme="minorHAnsi" w:cstheme="minorHAnsi"/>
          <w:b/>
        </w:rPr>
        <w:t xml:space="preserve"> 3</w:t>
      </w:r>
      <w:r w:rsidRPr="00332A81">
        <w:rPr>
          <w:rFonts w:asciiTheme="minorHAnsi" w:hAnsiTheme="minorHAnsi" w:cstheme="minorHAnsi"/>
          <w:b/>
        </w:rPr>
        <w:t xml:space="preserve"> – Významné zůstatky </w:t>
      </w:r>
      <w:r w:rsidRPr="00720ADC">
        <w:rPr>
          <w:rFonts w:asciiTheme="minorHAnsi" w:hAnsiTheme="minorHAnsi" w:cstheme="minorHAnsi"/>
          <w:b/>
          <w:i/>
        </w:rPr>
        <w:t>Národního fondu</w:t>
      </w:r>
      <w:r w:rsidR="000F6461">
        <w:rPr>
          <w:rFonts w:asciiTheme="minorHAnsi" w:hAnsiTheme="minorHAnsi" w:cstheme="minorHAnsi"/>
          <w:b/>
        </w:rPr>
        <w:t xml:space="preserve"> k 31. 12. 2017</w:t>
      </w:r>
    </w:p>
    <w:p w14:paraId="516EEFF6" w14:textId="77777777" w:rsidR="00576E3F" w:rsidRPr="00332A81" w:rsidRDefault="00576E3F" w:rsidP="00297FD1">
      <w:pPr>
        <w:pStyle w:val="Zdroj"/>
        <w:spacing w:before="0"/>
        <w:jc w:val="both"/>
        <w:rPr>
          <w:rFonts w:asciiTheme="minorHAnsi" w:hAnsiTheme="minorHAnsi"/>
          <w:i w:val="0"/>
        </w:rPr>
      </w:pPr>
      <w:r w:rsidRPr="001267DC">
        <w:rPr>
          <w:rFonts w:asciiTheme="minorHAnsi" w:hAnsiTheme="minorHAnsi"/>
          <w:b/>
          <w:i w:val="0"/>
        </w:rPr>
        <w:t>Zdroj</w:t>
      </w:r>
      <w:r w:rsidR="003C5836" w:rsidRPr="001267DC">
        <w:rPr>
          <w:rFonts w:asciiTheme="minorHAnsi" w:hAnsiTheme="minorHAnsi"/>
          <w:b/>
          <w:i w:val="0"/>
        </w:rPr>
        <w:t>:</w:t>
      </w:r>
      <w:r w:rsidR="003C5836" w:rsidRPr="00332A81">
        <w:rPr>
          <w:rFonts w:asciiTheme="minorHAnsi" w:hAnsiTheme="minorHAnsi"/>
          <w:i w:val="0"/>
        </w:rPr>
        <w:t xml:space="preserve"> </w:t>
      </w:r>
      <w:r w:rsidR="00CB46DC" w:rsidRPr="00332A81">
        <w:rPr>
          <w:rFonts w:asciiTheme="minorHAnsi" w:hAnsiTheme="minorHAnsi"/>
          <w:i w:val="0"/>
        </w:rPr>
        <w:t>údaj</w:t>
      </w:r>
      <w:r w:rsidR="00B44CC5" w:rsidRPr="00332A81">
        <w:rPr>
          <w:rFonts w:asciiTheme="minorHAnsi" w:hAnsiTheme="minorHAnsi"/>
          <w:i w:val="0"/>
        </w:rPr>
        <w:t>e</w:t>
      </w:r>
      <w:r w:rsidR="00CB46DC" w:rsidRPr="00332A81">
        <w:rPr>
          <w:rFonts w:asciiTheme="minorHAnsi" w:hAnsiTheme="minorHAnsi"/>
          <w:i w:val="0"/>
        </w:rPr>
        <w:t xml:space="preserve"> z účetnictví</w:t>
      </w:r>
      <w:r w:rsidRPr="00332A81">
        <w:rPr>
          <w:rFonts w:asciiTheme="minorHAnsi" w:hAnsiTheme="minorHAnsi"/>
          <w:i w:val="0"/>
        </w:rPr>
        <w:t xml:space="preserve"> </w:t>
      </w:r>
      <w:r w:rsidR="00CB46DC" w:rsidRPr="00332A81">
        <w:rPr>
          <w:rFonts w:asciiTheme="minorHAnsi" w:hAnsiTheme="minorHAnsi"/>
          <w:i w:val="0"/>
        </w:rPr>
        <w:t>a účetní závěrky</w:t>
      </w:r>
      <w:r w:rsidR="003C5836" w:rsidRPr="00332A81">
        <w:rPr>
          <w:rFonts w:asciiTheme="minorHAnsi" w:hAnsiTheme="minorHAnsi"/>
          <w:i w:val="0"/>
        </w:rPr>
        <w:t xml:space="preserve"> MF</w:t>
      </w:r>
      <w:r w:rsidR="00CB46DC" w:rsidRPr="00332A81">
        <w:rPr>
          <w:rFonts w:asciiTheme="minorHAnsi" w:hAnsiTheme="minorHAnsi"/>
          <w:i w:val="0"/>
        </w:rPr>
        <w:t xml:space="preserve"> </w:t>
      </w:r>
      <w:r w:rsidR="003C5836" w:rsidRPr="00332A81">
        <w:rPr>
          <w:rFonts w:asciiTheme="minorHAnsi" w:hAnsiTheme="minorHAnsi"/>
          <w:i w:val="0"/>
        </w:rPr>
        <w:t>k 31. 12. 2017</w:t>
      </w:r>
      <w:r w:rsidR="00136E1C" w:rsidRPr="00332A81">
        <w:rPr>
          <w:rFonts w:asciiTheme="minorHAnsi" w:hAnsiTheme="minorHAnsi"/>
          <w:i w:val="0"/>
        </w:rPr>
        <w:t>.</w:t>
      </w:r>
    </w:p>
    <w:p w14:paraId="27F887F6" w14:textId="77777777" w:rsidR="00576E3F" w:rsidRPr="00332A81" w:rsidRDefault="003C5836" w:rsidP="00320DD3">
      <w:pPr>
        <w:pStyle w:val="Zdroj"/>
        <w:spacing w:before="0"/>
        <w:jc w:val="both"/>
        <w:rPr>
          <w:rFonts w:asciiTheme="minorHAnsi" w:hAnsiTheme="minorHAnsi"/>
          <w:i w:val="0"/>
        </w:rPr>
      </w:pPr>
      <w:r w:rsidRPr="001267DC">
        <w:rPr>
          <w:rFonts w:asciiTheme="minorHAnsi" w:hAnsiTheme="minorHAnsi"/>
          <w:b/>
          <w:i w:val="0"/>
        </w:rPr>
        <w:t>Pozn.:</w:t>
      </w:r>
      <w:r w:rsidRPr="00332A81">
        <w:rPr>
          <w:rFonts w:asciiTheme="minorHAnsi" w:hAnsiTheme="minorHAnsi"/>
          <w:i w:val="0"/>
        </w:rPr>
        <w:t xml:space="preserve"> </w:t>
      </w:r>
      <w:r w:rsidR="00576E3F" w:rsidRPr="00332A81">
        <w:rPr>
          <w:rFonts w:asciiTheme="minorHAnsi" w:hAnsiTheme="minorHAnsi"/>
          <w:i w:val="0"/>
        </w:rPr>
        <w:t>SÚ – syntetický účet</w:t>
      </w:r>
      <w:r w:rsidR="00136E1C" w:rsidRPr="00332A81">
        <w:rPr>
          <w:rFonts w:asciiTheme="minorHAnsi" w:hAnsiTheme="minorHAnsi"/>
          <w:i w:val="0"/>
        </w:rPr>
        <w:t>.</w:t>
      </w:r>
    </w:p>
    <w:p w14:paraId="0484A8CF" w14:textId="77777777" w:rsidR="00576E3F" w:rsidRDefault="00576E3F" w:rsidP="00320DD3">
      <w:pPr>
        <w:spacing w:after="0"/>
        <w:jc w:val="both"/>
        <w:rPr>
          <w:rFonts w:asciiTheme="minorHAnsi" w:hAnsiTheme="minorHAnsi" w:cstheme="minorHAnsi"/>
        </w:rPr>
      </w:pPr>
    </w:p>
    <w:p w14:paraId="704CC8C4" w14:textId="77777777" w:rsidR="006B3885" w:rsidRDefault="006B3885" w:rsidP="00320DD3">
      <w:pPr>
        <w:spacing w:after="0"/>
        <w:jc w:val="both"/>
        <w:rPr>
          <w:rFonts w:asciiTheme="minorHAnsi" w:hAnsiTheme="minorHAnsi" w:cstheme="minorHAnsi"/>
        </w:rPr>
      </w:pPr>
    </w:p>
    <w:p w14:paraId="4CBEF08D" w14:textId="77777777" w:rsidR="00320DD3" w:rsidRPr="006B3885" w:rsidRDefault="008272F5" w:rsidP="00320DD3">
      <w:pPr>
        <w:spacing w:after="160"/>
        <w:jc w:val="both"/>
        <w:rPr>
          <w:rFonts w:asciiTheme="minorHAnsi" w:hAnsiTheme="minorHAnsi" w:cstheme="minorHAnsi"/>
          <w:b/>
          <w:u w:val="single"/>
        </w:rPr>
      </w:pPr>
      <w:r w:rsidRPr="006B3885">
        <w:rPr>
          <w:rFonts w:asciiTheme="minorHAnsi" w:hAnsiTheme="minorHAnsi" w:cstheme="minorHAnsi"/>
          <w:b/>
          <w:u w:val="single"/>
        </w:rPr>
        <w:t>N</w:t>
      </w:r>
      <w:r w:rsidR="00320DD3" w:rsidRPr="006B3885">
        <w:rPr>
          <w:rFonts w:asciiTheme="minorHAnsi" w:hAnsiTheme="minorHAnsi" w:cstheme="minorHAnsi"/>
          <w:b/>
          <w:u w:val="single"/>
        </w:rPr>
        <w:t>árodní transfery</w:t>
      </w:r>
      <w:r w:rsidR="006B3885" w:rsidRPr="006B3885">
        <w:rPr>
          <w:rFonts w:asciiTheme="minorHAnsi" w:hAnsiTheme="minorHAnsi" w:cstheme="minorHAnsi"/>
          <w:b/>
          <w:u w:val="single"/>
        </w:rPr>
        <w:t xml:space="preserve"> (tj. transfery nespolufinancované ze zahraničí)</w:t>
      </w:r>
    </w:p>
    <w:p w14:paraId="541F3A0C" w14:textId="06CA5A42" w:rsidR="00320DD3" w:rsidRPr="00300BAE" w:rsidRDefault="00084557" w:rsidP="00320DD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ar-SA"/>
        </w:rPr>
        <w:t xml:space="preserve">Celkové náklady </w:t>
      </w:r>
      <w:r w:rsidR="00E75C95">
        <w:rPr>
          <w:rFonts w:asciiTheme="minorHAnsi" w:hAnsiTheme="minorHAnsi"/>
          <w:lang w:eastAsia="ar-SA"/>
        </w:rPr>
        <w:t xml:space="preserve">MF </w:t>
      </w:r>
      <w:r>
        <w:rPr>
          <w:rFonts w:asciiTheme="minorHAnsi" w:hAnsiTheme="minorHAnsi"/>
          <w:lang w:eastAsia="ar-SA"/>
        </w:rPr>
        <w:t xml:space="preserve">na transfery za rok 2017 činily </w:t>
      </w:r>
      <w:r w:rsidR="00320DD3" w:rsidRPr="002C514D">
        <w:rPr>
          <w:rFonts w:asciiTheme="minorHAnsi" w:hAnsiTheme="minorHAnsi"/>
        </w:rPr>
        <w:t>130</w:t>
      </w:r>
      <w:r>
        <w:rPr>
          <w:rFonts w:asciiTheme="minorHAnsi" w:hAnsiTheme="minorHAnsi"/>
        </w:rPr>
        <w:t>,</w:t>
      </w:r>
      <w:r w:rsidR="00592268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mld. Kč</w:t>
      </w:r>
      <w:r w:rsidR="007F0FE0">
        <w:rPr>
          <w:rStyle w:val="Znakapoznpodarou"/>
          <w:rFonts w:asciiTheme="minorHAnsi" w:hAnsiTheme="minorHAnsi"/>
        </w:rPr>
        <w:footnoteReference w:id="10"/>
      </w:r>
      <w:r>
        <w:rPr>
          <w:rFonts w:asciiTheme="minorHAnsi" w:hAnsiTheme="minorHAnsi"/>
        </w:rPr>
        <w:t xml:space="preserve"> (tj. téměř 30</w:t>
      </w:r>
      <w:r w:rsidR="00320DD3" w:rsidRPr="002C514D">
        <w:rPr>
          <w:rFonts w:asciiTheme="minorHAnsi" w:hAnsiTheme="minorHAnsi"/>
          <w:lang w:eastAsia="ar-SA"/>
        </w:rPr>
        <w:t xml:space="preserve"> % cel</w:t>
      </w:r>
      <w:r w:rsidR="00320DD3">
        <w:rPr>
          <w:rFonts w:asciiTheme="minorHAnsi" w:hAnsiTheme="minorHAnsi"/>
          <w:lang w:eastAsia="ar-SA"/>
        </w:rPr>
        <w:t>kových nákladů</w:t>
      </w:r>
      <w:r>
        <w:rPr>
          <w:rFonts w:asciiTheme="minorHAnsi" w:hAnsiTheme="minorHAnsi"/>
          <w:lang w:eastAsia="ar-SA"/>
        </w:rPr>
        <w:t xml:space="preserve"> MF), přičemž nejvýznamnější byly národní transfery poskytované z kapitoly VPS.</w:t>
      </w:r>
      <w:r w:rsidR="00B91B17">
        <w:rPr>
          <w:rFonts w:asciiTheme="minorHAnsi" w:hAnsiTheme="minorHAnsi"/>
          <w:lang w:eastAsia="ar-SA"/>
        </w:rPr>
        <w:t xml:space="preserve"> Významné výdaje na národní transfery poskytnuté v roce 2017 z kapitoly VPS jsou uvedeny v tabulce č. 4.</w:t>
      </w:r>
    </w:p>
    <w:p w14:paraId="4D02BC9E" w14:textId="77777777" w:rsidR="001267DC" w:rsidRDefault="001267DC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7D0AE691" w14:textId="77777777" w:rsidR="00320DD3" w:rsidRPr="00332A81" w:rsidRDefault="00320DD3" w:rsidP="00720ADC">
      <w:pPr>
        <w:pStyle w:val="Titulek"/>
        <w:spacing w:after="0"/>
        <w:jc w:val="both"/>
        <w:rPr>
          <w:rFonts w:asciiTheme="minorHAnsi" w:hAnsiTheme="minorHAnsi" w:cstheme="minorHAnsi"/>
          <w:szCs w:val="24"/>
        </w:rPr>
      </w:pPr>
      <w:r w:rsidRPr="00332A81">
        <w:rPr>
          <w:rFonts w:asciiTheme="minorHAnsi" w:hAnsiTheme="minorHAnsi" w:cstheme="minorHAnsi"/>
          <w:szCs w:val="24"/>
        </w:rPr>
        <w:lastRenderedPageBreak/>
        <w:t xml:space="preserve">Tabulka </w:t>
      </w:r>
      <w:r w:rsidR="00B91B17" w:rsidRPr="00332A81">
        <w:rPr>
          <w:rFonts w:asciiTheme="minorHAnsi" w:hAnsiTheme="minorHAnsi" w:cstheme="minorHAnsi"/>
          <w:szCs w:val="24"/>
        </w:rPr>
        <w:t>č. 4</w:t>
      </w:r>
      <w:r w:rsidRPr="00332A81">
        <w:rPr>
          <w:rFonts w:asciiTheme="minorHAnsi" w:hAnsiTheme="minorHAnsi" w:cstheme="minorHAnsi"/>
          <w:szCs w:val="24"/>
        </w:rPr>
        <w:t xml:space="preserve"> – </w:t>
      </w:r>
      <w:r w:rsidR="00B91B17" w:rsidRPr="00332A81">
        <w:rPr>
          <w:rFonts w:asciiTheme="minorHAnsi" w:hAnsiTheme="minorHAnsi" w:cstheme="minorHAnsi"/>
          <w:szCs w:val="24"/>
        </w:rPr>
        <w:t>Významné v</w:t>
      </w:r>
      <w:r w:rsidRPr="00332A81">
        <w:rPr>
          <w:rFonts w:asciiTheme="minorHAnsi" w:hAnsiTheme="minorHAnsi" w:cstheme="minorHAnsi"/>
          <w:szCs w:val="24"/>
        </w:rPr>
        <w:t>ýdaje na národní tr</w:t>
      </w:r>
      <w:r w:rsidR="00B91B17" w:rsidRPr="00332A81">
        <w:rPr>
          <w:rFonts w:asciiTheme="minorHAnsi" w:hAnsiTheme="minorHAnsi" w:cstheme="minorHAnsi"/>
          <w:szCs w:val="24"/>
        </w:rPr>
        <w:t>ansfery v roce 2017</w:t>
      </w:r>
    </w:p>
    <w:tbl>
      <w:tblPr>
        <w:tblW w:w="906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1134"/>
        <w:gridCol w:w="3628"/>
        <w:gridCol w:w="2278"/>
        <w:gridCol w:w="1059"/>
      </w:tblGrid>
      <w:tr w:rsidR="00320DD3" w:rsidRPr="004F06E0" w14:paraId="6FAAB4FB" w14:textId="77777777" w:rsidTr="00720ADC">
        <w:trPr>
          <w:trHeight w:val="76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63C3B78" w14:textId="77777777" w:rsidR="00320DD3" w:rsidRPr="004F06E0" w:rsidRDefault="007F0FE0" w:rsidP="00320DD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Kapitola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FC2288F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4F06E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oložka rozpočtové skladby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69AD81C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Název položky rozpočtové skladby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D615BD9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4F06E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kutečnost k 31. 12. 2017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(</w:t>
            </w:r>
            <w:r w:rsidRPr="004F06E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1B0D7E15" w14:textId="1BF54C4D" w:rsidR="00320DD3" w:rsidRPr="004F06E0" w:rsidRDefault="00320DD3" w:rsidP="00C91A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Podíl na cel</w:t>
            </w:r>
            <w:r w:rsidR="00B91B1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cs-CZ"/>
              </w:rPr>
              <w:t>kových výdajích kapitoly VPS</w:t>
            </w:r>
          </w:p>
        </w:tc>
      </w:tr>
      <w:tr w:rsidR="00320DD3" w:rsidRPr="004F06E0" w14:paraId="7F70A3EA" w14:textId="77777777" w:rsidTr="00720AD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FAB9" w14:textId="77777777" w:rsidR="00320DD3" w:rsidRPr="004004E6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004E6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304B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5214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A13" w14:textId="2C7CF3E6" w:rsidR="00320DD3" w:rsidRPr="004F06E0" w:rsidRDefault="00320DD3" w:rsidP="00C91A4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Neinvestiční transfery finančním a</w:t>
            </w:r>
            <w:r w:rsidR="00C91A48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podobným institucím ve vlastnictví státu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6A359" w14:textId="77777777" w:rsidR="00320DD3" w:rsidRPr="004F06E0" w:rsidRDefault="00320DD3" w:rsidP="00720ADC">
            <w:pPr>
              <w:spacing w:after="0"/>
              <w:ind w:right="57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4 367 257 521,59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5E55" w14:textId="77777777" w:rsidR="00320DD3" w:rsidRPr="002B06BC" w:rsidRDefault="00320DD3" w:rsidP="00720ADC">
            <w:pPr>
              <w:spacing w:after="0"/>
              <w:ind w:right="28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B06BC">
              <w:rPr>
                <w:rFonts w:asciiTheme="minorHAnsi" w:hAnsiTheme="minorHAnsi"/>
                <w:sz w:val="20"/>
                <w:szCs w:val="20"/>
                <w:lang w:eastAsia="cs-CZ"/>
              </w:rPr>
              <w:t>2,52 %</w:t>
            </w:r>
          </w:p>
        </w:tc>
      </w:tr>
      <w:tr w:rsidR="00320DD3" w:rsidRPr="004F06E0" w14:paraId="221C2E3E" w14:textId="77777777" w:rsidTr="00720ADC">
        <w:trPr>
          <w:trHeight w:val="52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3B53" w14:textId="77777777" w:rsidR="00320DD3" w:rsidRPr="004004E6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004E6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79B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5314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D7F3" w14:textId="50A594CC" w:rsidR="00320DD3" w:rsidRPr="004F06E0" w:rsidRDefault="00320DD3" w:rsidP="00C91A48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Neinvestiční transfery fondům sociálního a</w:t>
            </w:r>
            <w:r w:rsidR="00C91A48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veřejného zdravotního pojištění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C5BD3" w14:textId="77777777" w:rsidR="00320DD3" w:rsidRPr="004F06E0" w:rsidRDefault="00320DD3" w:rsidP="00720ADC">
            <w:pPr>
              <w:spacing w:after="0"/>
              <w:ind w:right="57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65 253 554 840,00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944" w14:textId="77777777" w:rsidR="00320DD3" w:rsidRPr="002B06BC" w:rsidRDefault="00320DD3" w:rsidP="00720ADC">
            <w:pPr>
              <w:spacing w:after="0"/>
              <w:ind w:right="28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B06BC">
              <w:rPr>
                <w:rFonts w:asciiTheme="minorHAnsi" w:hAnsiTheme="minorHAnsi"/>
                <w:sz w:val="20"/>
                <w:szCs w:val="20"/>
                <w:lang w:eastAsia="cs-CZ"/>
              </w:rPr>
              <w:t>37,66 %</w:t>
            </w:r>
          </w:p>
        </w:tc>
      </w:tr>
      <w:tr w:rsidR="00320DD3" w:rsidRPr="004F06E0" w14:paraId="1A1D470F" w14:textId="77777777" w:rsidTr="00720AD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E44" w14:textId="77777777" w:rsidR="00320DD3" w:rsidRPr="004004E6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004E6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3F5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5322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BE4" w14:textId="77777777" w:rsidR="00320DD3" w:rsidRPr="004F06E0" w:rsidRDefault="00320DD3" w:rsidP="00320D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 xml:space="preserve">Neinvestiční transfery obcím v rámci souhrnného dotačního </w:t>
            </w:r>
            <w:r w:rsidR="00592268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vztahu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5AB62" w14:textId="77777777" w:rsidR="00320DD3" w:rsidRPr="004F06E0" w:rsidRDefault="00320DD3" w:rsidP="00720ADC">
            <w:pPr>
              <w:spacing w:after="0"/>
              <w:ind w:right="57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9 096 544 728,00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8453" w14:textId="77777777" w:rsidR="00320DD3" w:rsidRPr="002B06BC" w:rsidRDefault="00320DD3" w:rsidP="00720ADC">
            <w:pPr>
              <w:spacing w:after="0"/>
              <w:ind w:right="28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B06BC">
              <w:rPr>
                <w:rFonts w:asciiTheme="minorHAnsi" w:hAnsiTheme="minorHAnsi"/>
                <w:sz w:val="20"/>
                <w:szCs w:val="20"/>
                <w:lang w:eastAsia="cs-CZ"/>
              </w:rPr>
              <w:t>5,25 %</w:t>
            </w:r>
          </w:p>
        </w:tc>
      </w:tr>
      <w:tr w:rsidR="00320DD3" w:rsidRPr="004F06E0" w14:paraId="4B69E925" w14:textId="77777777" w:rsidTr="00720AD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B4B" w14:textId="77777777" w:rsidR="00320DD3" w:rsidRPr="004004E6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004E6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CC13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5499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A3F" w14:textId="77777777" w:rsidR="00320DD3" w:rsidRPr="004F06E0" w:rsidRDefault="00320DD3" w:rsidP="00320D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Ostatní neinvestiční transfery obyvatelstvu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A874" w14:textId="77777777" w:rsidR="00320DD3" w:rsidRPr="004F06E0" w:rsidRDefault="00320DD3" w:rsidP="00720ADC">
            <w:pPr>
              <w:spacing w:after="0"/>
              <w:ind w:right="57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10 824 691 914,34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549D" w14:textId="77777777" w:rsidR="00320DD3" w:rsidRPr="002B06BC" w:rsidRDefault="00320DD3" w:rsidP="00720ADC">
            <w:pPr>
              <w:spacing w:after="0"/>
              <w:ind w:right="28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B06BC">
              <w:rPr>
                <w:rFonts w:asciiTheme="minorHAnsi" w:hAnsiTheme="minorHAnsi"/>
                <w:sz w:val="20"/>
                <w:szCs w:val="20"/>
                <w:lang w:eastAsia="cs-CZ"/>
              </w:rPr>
              <w:t>6,25 %</w:t>
            </w:r>
          </w:p>
        </w:tc>
      </w:tr>
      <w:tr w:rsidR="00320DD3" w:rsidRPr="004F06E0" w14:paraId="631F2AEC" w14:textId="77777777" w:rsidTr="00720AD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0FAD" w14:textId="77777777" w:rsidR="00320DD3" w:rsidRPr="004004E6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004E6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484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5514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F88" w14:textId="77777777" w:rsidR="00320DD3" w:rsidRPr="004F06E0" w:rsidRDefault="00320DD3" w:rsidP="00320D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Odvody vlastních zdrojů EU do rozpočtu EU podle DPH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3D9B" w14:textId="77777777" w:rsidR="00320DD3" w:rsidRPr="004F06E0" w:rsidRDefault="00320DD3" w:rsidP="00720ADC">
            <w:pPr>
              <w:spacing w:after="0"/>
              <w:ind w:right="57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5 740 768 171,80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3E0D" w14:textId="77777777" w:rsidR="00320DD3" w:rsidRPr="002B06BC" w:rsidRDefault="00320DD3" w:rsidP="00720ADC">
            <w:pPr>
              <w:spacing w:after="0"/>
              <w:ind w:right="28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B06BC">
              <w:rPr>
                <w:rFonts w:asciiTheme="minorHAnsi" w:hAnsiTheme="minorHAnsi"/>
                <w:sz w:val="20"/>
                <w:szCs w:val="20"/>
                <w:lang w:eastAsia="cs-CZ"/>
              </w:rPr>
              <w:t>3,31 %</w:t>
            </w:r>
          </w:p>
        </w:tc>
      </w:tr>
      <w:tr w:rsidR="00320DD3" w:rsidRPr="004F06E0" w14:paraId="1206BE36" w14:textId="77777777" w:rsidTr="00720ADC">
        <w:trPr>
          <w:trHeight w:val="51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9466" w14:textId="77777777" w:rsidR="00320DD3" w:rsidRPr="004004E6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004E6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EB3D" w14:textId="77777777" w:rsidR="00320DD3" w:rsidRPr="004F06E0" w:rsidRDefault="00320DD3" w:rsidP="00320DD3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5515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95D" w14:textId="77777777" w:rsidR="00320DD3" w:rsidRPr="004F06E0" w:rsidRDefault="00320DD3" w:rsidP="00320DD3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Odvody vlastních zdrojů EU do rozpočtu EU podle</w:t>
            </w:r>
            <w:r w:rsidR="00592268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 xml:space="preserve"> hrubého národního důchodu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E554" w14:textId="77777777" w:rsidR="00320DD3" w:rsidRPr="004F06E0" w:rsidRDefault="00320DD3" w:rsidP="00720ADC">
            <w:pPr>
              <w:spacing w:after="0"/>
              <w:ind w:right="57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</w:pPr>
            <w:r w:rsidRPr="004F06E0">
              <w:rPr>
                <w:rFonts w:asciiTheme="minorHAnsi" w:hAnsiTheme="minorHAnsi"/>
                <w:color w:val="000000"/>
                <w:sz w:val="20"/>
                <w:szCs w:val="20"/>
                <w:lang w:eastAsia="cs-CZ"/>
              </w:rPr>
              <w:t>29 612 069 275,92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D1D6" w14:textId="77777777" w:rsidR="00320DD3" w:rsidRPr="002B06BC" w:rsidRDefault="00320DD3" w:rsidP="00720ADC">
            <w:pPr>
              <w:spacing w:after="0"/>
              <w:ind w:right="28"/>
              <w:jc w:val="right"/>
              <w:rPr>
                <w:rFonts w:asciiTheme="minorHAnsi" w:hAnsiTheme="minorHAnsi"/>
                <w:sz w:val="20"/>
                <w:szCs w:val="20"/>
                <w:lang w:eastAsia="cs-CZ"/>
              </w:rPr>
            </w:pPr>
            <w:r w:rsidRPr="002B06BC">
              <w:rPr>
                <w:rFonts w:asciiTheme="minorHAnsi" w:hAnsiTheme="minorHAnsi"/>
                <w:sz w:val="20"/>
                <w:szCs w:val="20"/>
                <w:lang w:eastAsia="cs-CZ"/>
              </w:rPr>
              <w:t>17,09 %</w:t>
            </w:r>
          </w:p>
        </w:tc>
      </w:tr>
    </w:tbl>
    <w:p w14:paraId="27BBCB53" w14:textId="6882EA6C" w:rsidR="00320DD3" w:rsidRPr="00332A81" w:rsidRDefault="00320DD3" w:rsidP="000F33A9">
      <w:pPr>
        <w:pStyle w:val="Zdroj"/>
        <w:spacing w:before="0"/>
        <w:rPr>
          <w:rFonts w:asciiTheme="minorHAnsi" w:hAnsiTheme="minorHAnsi"/>
          <w:i w:val="0"/>
        </w:rPr>
      </w:pPr>
      <w:r w:rsidRPr="009F56ED">
        <w:rPr>
          <w:rFonts w:asciiTheme="minorHAnsi" w:hAnsiTheme="minorHAnsi"/>
          <w:b/>
          <w:i w:val="0"/>
        </w:rPr>
        <w:t>Zdroj</w:t>
      </w:r>
      <w:r w:rsidR="00B91B17" w:rsidRPr="009F56ED">
        <w:rPr>
          <w:rFonts w:asciiTheme="minorHAnsi" w:hAnsiTheme="minorHAnsi"/>
          <w:b/>
          <w:i w:val="0"/>
        </w:rPr>
        <w:t>:</w:t>
      </w:r>
      <w:r w:rsidR="00B91B17" w:rsidRPr="00332A81">
        <w:rPr>
          <w:rFonts w:asciiTheme="minorHAnsi" w:hAnsiTheme="minorHAnsi"/>
          <w:i w:val="0"/>
        </w:rPr>
        <w:t xml:space="preserve"> </w:t>
      </w:r>
      <w:r w:rsidRPr="00332A81">
        <w:rPr>
          <w:rFonts w:asciiTheme="minorHAnsi" w:hAnsiTheme="minorHAnsi"/>
          <w:i w:val="0"/>
        </w:rPr>
        <w:t xml:space="preserve">vlastní zpracování </w:t>
      </w:r>
      <w:r w:rsidR="00C91A48">
        <w:rPr>
          <w:rFonts w:asciiTheme="minorHAnsi" w:hAnsiTheme="minorHAnsi"/>
          <w:i w:val="0"/>
        </w:rPr>
        <w:t xml:space="preserve">údajů </w:t>
      </w:r>
      <w:r w:rsidRPr="00332A81">
        <w:rPr>
          <w:rFonts w:asciiTheme="minorHAnsi" w:hAnsiTheme="minorHAnsi"/>
          <w:i w:val="0"/>
        </w:rPr>
        <w:t>z výka</w:t>
      </w:r>
      <w:r w:rsidR="00B91B17" w:rsidRPr="00332A81">
        <w:rPr>
          <w:rFonts w:asciiTheme="minorHAnsi" w:hAnsiTheme="minorHAnsi"/>
          <w:i w:val="0"/>
        </w:rPr>
        <w:t>zu FIN 1-12 OSS k 31. 12. 2017</w:t>
      </w:r>
      <w:r w:rsidRPr="00332A81">
        <w:rPr>
          <w:rFonts w:asciiTheme="minorHAnsi" w:hAnsiTheme="minorHAnsi"/>
          <w:i w:val="0"/>
        </w:rPr>
        <w:t xml:space="preserve">, kapitola </w:t>
      </w:r>
      <w:r w:rsidR="00330549" w:rsidRPr="00332A81">
        <w:rPr>
          <w:rFonts w:asciiTheme="minorHAnsi" w:hAnsiTheme="minorHAnsi"/>
          <w:i w:val="0"/>
        </w:rPr>
        <w:t>VPS.</w:t>
      </w:r>
    </w:p>
    <w:p w14:paraId="6A740159" w14:textId="77777777" w:rsidR="00B91B17" w:rsidRDefault="00B91B17">
      <w:pPr>
        <w:spacing w:after="0"/>
        <w:jc w:val="both"/>
        <w:rPr>
          <w:rFonts w:asciiTheme="minorHAnsi" w:hAnsiTheme="minorHAnsi" w:cs="Calibri"/>
          <w:highlight w:val="yellow"/>
        </w:rPr>
      </w:pPr>
    </w:p>
    <w:p w14:paraId="7F649722" w14:textId="77777777" w:rsidR="00330549" w:rsidRDefault="00330549">
      <w:pPr>
        <w:spacing w:after="0"/>
        <w:jc w:val="both"/>
        <w:rPr>
          <w:rFonts w:asciiTheme="minorHAnsi" w:hAnsiTheme="minorHAnsi" w:cs="Calibri"/>
          <w:highlight w:val="yellow"/>
        </w:rPr>
      </w:pPr>
    </w:p>
    <w:p w14:paraId="5106F175" w14:textId="77777777" w:rsidR="0033466E" w:rsidRPr="0068373F" w:rsidRDefault="007378F9" w:rsidP="00720ADC">
      <w:pPr>
        <w:pStyle w:val="Nadpis1"/>
        <w:spacing w:line="240" w:lineRule="auto"/>
        <w:ind w:left="426"/>
        <w:jc w:val="left"/>
        <w:rPr>
          <w:u w:val="single"/>
        </w:rPr>
      </w:pPr>
      <w:r w:rsidRPr="00720ADC">
        <w:t xml:space="preserve">III. </w:t>
      </w:r>
      <w:r w:rsidR="0033466E" w:rsidRPr="0068373F">
        <w:rPr>
          <w:u w:val="single"/>
        </w:rPr>
        <w:t>Rozsah kontroly</w:t>
      </w:r>
    </w:p>
    <w:p w14:paraId="1269E3F5" w14:textId="375414E4" w:rsidR="0047658F" w:rsidRDefault="006C7984" w:rsidP="002F4AE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návaznosti na </w:t>
      </w:r>
      <w:r w:rsidR="003454EB">
        <w:rPr>
          <w:rFonts w:asciiTheme="minorHAnsi" w:hAnsiTheme="minorHAnsi" w:cstheme="minorHAnsi"/>
        </w:rPr>
        <w:t xml:space="preserve">předmět a </w:t>
      </w:r>
      <w:r>
        <w:rPr>
          <w:rFonts w:asciiTheme="minorHAnsi" w:hAnsiTheme="minorHAnsi" w:cstheme="minorHAnsi"/>
        </w:rPr>
        <w:t xml:space="preserve">cíl KA č. 18/05 bylo kontrolováno </w:t>
      </w:r>
      <w:r w:rsidR="002F4AE8" w:rsidRPr="00446240">
        <w:rPr>
          <w:rFonts w:asciiTheme="minorHAnsi" w:hAnsiTheme="minorHAnsi" w:cstheme="minorHAnsi"/>
        </w:rPr>
        <w:t>vedení účetnictví</w:t>
      </w:r>
      <w:r>
        <w:rPr>
          <w:rFonts w:asciiTheme="minorHAnsi" w:hAnsiTheme="minorHAnsi" w:cstheme="minorHAnsi"/>
        </w:rPr>
        <w:t xml:space="preserve"> MF, a to zejména </w:t>
      </w:r>
      <w:r w:rsidR="002F4AE8" w:rsidRPr="00B97E3C">
        <w:rPr>
          <w:rFonts w:asciiTheme="minorHAnsi" w:hAnsiTheme="minorHAnsi" w:cstheme="minorHAnsi"/>
        </w:rPr>
        <w:t>správnost, úplnost, průkaznost a srozum</w:t>
      </w:r>
      <w:r>
        <w:rPr>
          <w:rFonts w:asciiTheme="minorHAnsi" w:hAnsiTheme="minorHAnsi" w:cstheme="minorHAnsi"/>
        </w:rPr>
        <w:t xml:space="preserve">itelnost vedení účetnictví a </w:t>
      </w:r>
      <w:r w:rsidR="002F4AE8" w:rsidRPr="00B97E3C">
        <w:rPr>
          <w:rFonts w:asciiTheme="minorHAnsi" w:hAnsiTheme="minorHAnsi" w:cstheme="minorHAnsi"/>
        </w:rPr>
        <w:t>dodržení směr</w:t>
      </w:r>
      <w:r w:rsidR="002F4AE8">
        <w:rPr>
          <w:rFonts w:asciiTheme="minorHAnsi" w:hAnsiTheme="minorHAnsi" w:cstheme="minorHAnsi"/>
        </w:rPr>
        <w:t>né účtové osnovy. Rovněž byla</w:t>
      </w:r>
      <w:r w:rsidR="002F4AE8" w:rsidRPr="00B97E3C">
        <w:rPr>
          <w:rFonts w:asciiTheme="minorHAnsi" w:hAnsiTheme="minorHAnsi" w:cstheme="minorHAnsi"/>
        </w:rPr>
        <w:t xml:space="preserve"> ověřována správnost používaných účetních metod a </w:t>
      </w:r>
      <w:r w:rsidR="00C91A48">
        <w:rPr>
          <w:rFonts w:asciiTheme="minorHAnsi" w:hAnsiTheme="minorHAnsi" w:cstheme="minorHAnsi"/>
        </w:rPr>
        <w:t xml:space="preserve">dodržování </w:t>
      </w:r>
      <w:r w:rsidR="002F4AE8" w:rsidRPr="00B97E3C">
        <w:rPr>
          <w:rFonts w:asciiTheme="minorHAnsi" w:hAnsiTheme="minorHAnsi" w:cstheme="minorHAnsi"/>
        </w:rPr>
        <w:t>ostatních podmínek vedení účetnictví stanovených</w:t>
      </w:r>
      <w:r w:rsidR="00C7040E">
        <w:rPr>
          <w:rFonts w:asciiTheme="minorHAnsi" w:hAnsiTheme="minorHAnsi" w:cstheme="minorHAnsi"/>
        </w:rPr>
        <w:t xml:space="preserve"> </w:t>
      </w:r>
      <w:r w:rsidR="002F4AE8" w:rsidRPr="00B97E3C">
        <w:rPr>
          <w:rFonts w:asciiTheme="minorHAnsi" w:hAnsiTheme="minorHAnsi" w:cstheme="minorHAnsi"/>
        </w:rPr>
        <w:t>právními předpisy</w:t>
      </w:r>
      <w:r w:rsidR="002677A0">
        <w:rPr>
          <w:rFonts w:asciiTheme="minorHAnsi" w:hAnsiTheme="minorHAnsi" w:cstheme="minorHAnsi"/>
        </w:rPr>
        <w:t xml:space="preserve"> – zejména zákonem o</w:t>
      </w:r>
      <w:r w:rsidR="00C91A48">
        <w:rPr>
          <w:rFonts w:asciiTheme="minorHAnsi" w:hAnsiTheme="minorHAnsi" w:cstheme="minorHAnsi"/>
        </w:rPr>
        <w:t> </w:t>
      </w:r>
      <w:r w:rsidR="002677A0">
        <w:rPr>
          <w:rFonts w:asciiTheme="minorHAnsi" w:hAnsiTheme="minorHAnsi" w:cstheme="minorHAnsi"/>
        </w:rPr>
        <w:t xml:space="preserve">účetnictví, vyhláškou č. </w:t>
      </w:r>
      <w:r w:rsidR="00CB7F39">
        <w:rPr>
          <w:rFonts w:asciiTheme="minorHAnsi" w:hAnsiTheme="minorHAnsi" w:cstheme="minorHAnsi"/>
        </w:rPr>
        <w:t>41</w:t>
      </w:r>
      <w:r w:rsidR="00330549">
        <w:rPr>
          <w:rFonts w:asciiTheme="minorHAnsi" w:hAnsiTheme="minorHAnsi" w:cstheme="minorHAnsi"/>
        </w:rPr>
        <w:t>0</w:t>
      </w:r>
      <w:r w:rsidR="00CB7F39">
        <w:rPr>
          <w:rFonts w:asciiTheme="minorHAnsi" w:hAnsiTheme="minorHAnsi" w:cstheme="minorHAnsi"/>
        </w:rPr>
        <w:t xml:space="preserve">/2009 Sb. a vyhláškou č. 270/2010 Sb., </w:t>
      </w:r>
      <w:r w:rsidR="00CB7F39" w:rsidRPr="00AF4368">
        <w:rPr>
          <w:rFonts w:asciiTheme="minorHAnsi" w:hAnsiTheme="minorHAnsi" w:cstheme="minorHAnsi"/>
        </w:rPr>
        <w:t>o inventarizaci majetku a</w:t>
      </w:r>
      <w:r w:rsidR="00C91A48">
        <w:rPr>
          <w:rFonts w:asciiTheme="minorHAnsi" w:hAnsiTheme="minorHAnsi" w:cstheme="minorHAnsi"/>
        </w:rPr>
        <w:t> </w:t>
      </w:r>
      <w:r w:rsidR="00CB7F39" w:rsidRPr="00AF4368">
        <w:rPr>
          <w:rFonts w:asciiTheme="minorHAnsi" w:hAnsiTheme="minorHAnsi" w:cstheme="minorHAnsi"/>
        </w:rPr>
        <w:t>závazků</w:t>
      </w:r>
      <w:r w:rsidR="00496CA0">
        <w:rPr>
          <w:rFonts w:asciiTheme="minorHAnsi" w:hAnsiTheme="minorHAnsi" w:cstheme="minorHAnsi"/>
        </w:rPr>
        <w:t xml:space="preserve"> – a</w:t>
      </w:r>
      <w:r w:rsidR="00F07A62">
        <w:rPr>
          <w:rFonts w:asciiTheme="minorHAnsi" w:hAnsiTheme="minorHAnsi" w:cstheme="minorHAnsi"/>
        </w:rPr>
        <w:t> </w:t>
      </w:r>
      <w:r w:rsidR="00496CA0" w:rsidRPr="00720ADC">
        <w:rPr>
          <w:rFonts w:asciiTheme="minorHAnsi" w:hAnsiTheme="minorHAnsi" w:cstheme="minorHAnsi"/>
          <w:i/>
        </w:rPr>
        <w:t>Českými účetními standardy</w:t>
      </w:r>
      <w:r w:rsidR="00D52D76" w:rsidRPr="00720ADC">
        <w:rPr>
          <w:rFonts w:asciiTheme="minorHAnsi" w:hAnsiTheme="minorHAnsi" w:cstheme="minorHAnsi"/>
          <w:i/>
        </w:rPr>
        <w:t xml:space="preserve"> pro některé vybrané účetní jednotky, které vedou účetnictví podle vyhlášky č. 410/2009 Sb.</w:t>
      </w:r>
      <w:r w:rsidR="00D52D76">
        <w:rPr>
          <w:rFonts w:asciiTheme="minorHAnsi" w:hAnsiTheme="minorHAnsi" w:cstheme="minorHAnsi"/>
        </w:rPr>
        <w:t xml:space="preserve"> (dále také „ČÚS“).</w:t>
      </w:r>
      <w:r w:rsidR="00496CA0">
        <w:rPr>
          <w:rFonts w:asciiTheme="minorHAnsi" w:hAnsiTheme="minorHAnsi" w:cstheme="minorHAnsi"/>
        </w:rPr>
        <w:t xml:space="preserve"> </w:t>
      </w:r>
    </w:p>
    <w:p w14:paraId="035AE84D" w14:textId="66767FDC" w:rsidR="002F4AE8" w:rsidRPr="00B97E3C" w:rsidRDefault="0047658F" w:rsidP="002F4AE8">
      <w:pPr>
        <w:spacing w:after="160"/>
        <w:jc w:val="both"/>
        <w:rPr>
          <w:rFonts w:asciiTheme="minorHAnsi" w:hAnsiTheme="minorHAnsi" w:cstheme="minorHAnsi"/>
        </w:rPr>
      </w:pPr>
      <w:r w:rsidRPr="004A3A74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ontrolov</w:t>
      </w:r>
      <w:r w:rsidR="00C91A48">
        <w:rPr>
          <w:rFonts w:asciiTheme="minorHAnsi" w:hAnsiTheme="minorHAnsi" w:cstheme="minorHAnsi"/>
        </w:rPr>
        <w:t>áno</w:t>
      </w:r>
      <w:r>
        <w:rPr>
          <w:rFonts w:asciiTheme="minorHAnsi" w:hAnsiTheme="minorHAnsi" w:cstheme="minorHAnsi"/>
        </w:rPr>
        <w:t xml:space="preserve"> </w:t>
      </w:r>
      <w:r w:rsidR="00C91A48">
        <w:rPr>
          <w:rFonts w:asciiTheme="minorHAnsi" w:hAnsiTheme="minorHAnsi" w:cstheme="minorHAnsi"/>
        </w:rPr>
        <w:t xml:space="preserve">bylo </w:t>
      </w:r>
      <w:r>
        <w:rPr>
          <w:rFonts w:asciiTheme="minorHAnsi" w:hAnsiTheme="minorHAnsi" w:cstheme="minorHAnsi"/>
        </w:rPr>
        <w:t>období</w:t>
      </w:r>
      <w:r w:rsidRPr="004A3A74">
        <w:rPr>
          <w:rFonts w:asciiTheme="minorHAnsi" w:hAnsiTheme="minorHAnsi" w:cstheme="minorHAnsi"/>
        </w:rPr>
        <w:t xml:space="preserve"> rok</w:t>
      </w:r>
      <w:r w:rsidR="00C91A48">
        <w:rPr>
          <w:rFonts w:asciiTheme="minorHAnsi" w:hAnsiTheme="minorHAnsi" w:cstheme="minorHAnsi"/>
        </w:rPr>
        <w:t>u</w:t>
      </w:r>
      <w:r w:rsidRPr="004A3A74">
        <w:rPr>
          <w:rFonts w:asciiTheme="minorHAnsi" w:hAnsiTheme="minorHAnsi" w:cstheme="minorHAnsi"/>
        </w:rPr>
        <w:t xml:space="preserve"> 2017 a související skutečnosti z předcházejících let</w:t>
      </w:r>
      <w:r>
        <w:rPr>
          <w:rFonts w:asciiTheme="minorHAnsi" w:hAnsiTheme="minorHAnsi" w:cstheme="minorHAnsi"/>
        </w:rPr>
        <w:t xml:space="preserve"> (zejména v oblasti </w:t>
      </w:r>
      <w:r w:rsidRPr="00720ADC">
        <w:rPr>
          <w:rFonts w:asciiTheme="minorHAnsi" w:hAnsiTheme="minorHAnsi" w:cstheme="minorHAnsi"/>
          <w:i/>
        </w:rPr>
        <w:t>Národního fondu</w:t>
      </w:r>
      <w:r>
        <w:rPr>
          <w:rFonts w:asciiTheme="minorHAnsi" w:hAnsiTheme="minorHAnsi" w:cstheme="minorHAnsi"/>
        </w:rPr>
        <w:t>)</w:t>
      </w:r>
      <w:r w:rsidRPr="004A3A74">
        <w:rPr>
          <w:rFonts w:asciiTheme="minorHAnsi" w:hAnsiTheme="minorHAnsi" w:cstheme="minorHAnsi"/>
        </w:rPr>
        <w:t>, popřípadě z roku 2018.</w:t>
      </w:r>
      <w:r w:rsidR="00353AE9">
        <w:rPr>
          <w:rFonts w:asciiTheme="minorHAnsi" w:hAnsiTheme="minorHAnsi" w:cstheme="minorHAnsi"/>
        </w:rPr>
        <w:t xml:space="preserve"> Kontrola byla provedena</w:t>
      </w:r>
      <w:r w:rsidR="00353AE9" w:rsidRPr="00B97E3C">
        <w:rPr>
          <w:rFonts w:asciiTheme="minorHAnsi" w:hAnsiTheme="minorHAnsi" w:cstheme="minorHAnsi"/>
        </w:rPr>
        <w:t xml:space="preserve"> </w:t>
      </w:r>
      <w:r w:rsidR="00353AE9" w:rsidRPr="0047658F">
        <w:rPr>
          <w:rFonts w:asciiTheme="minorHAnsi" w:hAnsiTheme="minorHAnsi" w:cstheme="minorHAnsi"/>
        </w:rPr>
        <w:t>s ohledem na významnost</w:t>
      </w:r>
      <w:r w:rsidR="00353AE9" w:rsidRPr="00B97E3C">
        <w:rPr>
          <w:rFonts w:asciiTheme="minorHAnsi" w:hAnsiTheme="minorHAnsi" w:cstheme="minorHAnsi"/>
        </w:rPr>
        <w:t xml:space="preserve"> kontrolovaných skutečností a s rizikově orientovaným přístupem.</w:t>
      </w:r>
      <w:r w:rsidR="00353AE9">
        <w:rPr>
          <w:rFonts w:asciiTheme="minorHAnsi" w:hAnsiTheme="minorHAnsi" w:cstheme="minorHAnsi"/>
        </w:rPr>
        <w:t xml:space="preserve"> </w:t>
      </w:r>
    </w:p>
    <w:p w14:paraId="518E9196" w14:textId="77777777" w:rsidR="00353AE9" w:rsidRPr="00353AE9" w:rsidRDefault="00353AE9" w:rsidP="00AF436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Rozsah kontroly zahrnoval následující oblasti</w:t>
      </w:r>
      <w:r w:rsidR="002F4AE8" w:rsidRPr="002677A0">
        <w:rPr>
          <w:rFonts w:asciiTheme="minorHAnsi" w:hAnsiTheme="minorHAnsi" w:cstheme="minorHAnsi"/>
        </w:rPr>
        <w:t>:</w:t>
      </w:r>
    </w:p>
    <w:p w14:paraId="6574097F" w14:textId="6B140ED5" w:rsidR="002F4AE8" w:rsidRPr="00353AE9" w:rsidRDefault="002F4AE8" w:rsidP="00AF4368">
      <w:pPr>
        <w:pStyle w:val="Odstavecseseznamem"/>
        <w:numPr>
          <w:ilvl w:val="0"/>
          <w:numId w:val="6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20ADC">
        <w:rPr>
          <w:rFonts w:asciiTheme="minorHAnsi" w:hAnsiTheme="minorHAnsi" w:cstheme="minorHAnsi"/>
          <w:i/>
          <w:u w:val="single"/>
        </w:rPr>
        <w:t>Národní fond</w:t>
      </w:r>
      <w:r w:rsidR="00353AE9">
        <w:rPr>
          <w:rFonts w:asciiTheme="minorHAnsi" w:hAnsiTheme="minorHAnsi" w:cstheme="minorHAnsi"/>
        </w:rPr>
        <w:t xml:space="preserve"> </w:t>
      </w:r>
      <w:r w:rsidR="00C91A48">
        <w:rPr>
          <w:rFonts w:asciiTheme="minorHAnsi" w:hAnsiTheme="minorHAnsi" w:cstheme="minorHAnsi"/>
        </w:rPr>
        <w:t xml:space="preserve">– zde </w:t>
      </w:r>
      <w:r w:rsidR="00353AE9">
        <w:rPr>
          <w:rFonts w:asciiTheme="minorHAnsi" w:hAnsiTheme="minorHAnsi" w:cstheme="minorHAnsi"/>
        </w:rPr>
        <w:t xml:space="preserve">se </w:t>
      </w:r>
      <w:r w:rsidR="00C91A48">
        <w:rPr>
          <w:rFonts w:asciiTheme="minorHAnsi" w:hAnsiTheme="minorHAnsi" w:cstheme="minorHAnsi"/>
        </w:rPr>
        <w:t xml:space="preserve">kontrola </w:t>
      </w:r>
      <w:r w:rsidR="00353AE9">
        <w:rPr>
          <w:rFonts w:asciiTheme="minorHAnsi" w:hAnsiTheme="minorHAnsi" w:cstheme="minorHAnsi"/>
        </w:rPr>
        <w:t>zaměř</w:t>
      </w:r>
      <w:r w:rsidR="00C91A48">
        <w:rPr>
          <w:rFonts w:asciiTheme="minorHAnsi" w:hAnsiTheme="minorHAnsi" w:cstheme="minorHAnsi"/>
        </w:rPr>
        <w:t>ila</w:t>
      </w:r>
      <w:r w:rsidR="00353AE9">
        <w:rPr>
          <w:rFonts w:asciiTheme="minorHAnsi" w:hAnsiTheme="minorHAnsi" w:cstheme="minorHAnsi"/>
        </w:rPr>
        <w:t xml:space="preserve"> na postupy účtování významných operací </w:t>
      </w:r>
      <w:r w:rsidR="00E728DF">
        <w:rPr>
          <w:rFonts w:asciiTheme="minorHAnsi" w:hAnsiTheme="minorHAnsi" w:cstheme="minorHAnsi"/>
        </w:rPr>
        <w:t xml:space="preserve">zejména </w:t>
      </w:r>
      <w:r w:rsidR="00353AE9">
        <w:rPr>
          <w:rFonts w:asciiTheme="minorHAnsi" w:hAnsiTheme="minorHAnsi" w:cstheme="minorHAnsi"/>
        </w:rPr>
        <w:t>s</w:t>
      </w:r>
      <w:r w:rsidR="00330549">
        <w:rPr>
          <w:rFonts w:asciiTheme="minorHAnsi" w:hAnsiTheme="minorHAnsi" w:cstheme="minorHAnsi"/>
        </w:rPr>
        <w:t> </w:t>
      </w:r>
      <w:r w:rsidR="00C46F08" w:rsidRPr="00353AE9">
        <w:rPr>
          <w:rFonts w:asciiTheme="minorHAnsi" w:hAnsiTheme="minorHAnsi" w:cs="Arial"/>
          <w:bCs/>
          <w:iCs/>
        </w:rPr>
        <w:t>prostř</w:t>
      </w:r>
      <w:r w:rsidR="00802128" w:rsidRPr="00353AE9">
        <w:rPr>
          <w:rFonts w:asciiTheme="minorHAnsi" w:hAnsiTheme="minorHAnsi" w:cs="Arial"/>
          <w:bCs/>
          <w:iCs/>
        </w:rPr>
        <w:t>edky</w:t>
      </w:r>
      <w:r w:rsidR="00330549">
        <w:rPr>
          <w:rFonts w:asciiTheme="minorHAnsi" w:hAnsiTheme="minorHAnsi" w:cs="Arial"/>
          <w:bCs/>
          <w:iCs/>
        </w:rPr>
        <w:t xml:space="preserve"> strukturálních fondů EU a </w:t>
      </w:r>
      <w:r w:rsidR="00330549" w:rsidRPr="00720ADC">
        <w:rPr>
          <w:rFonts w:asciiTheme="minorHAnsi" w:hAnsiTheme="minorHAnsi" w:cs="Arial"/>
          <w:bCs/>
          <w:i/>
          <w:iCs/>
        </w:rPr>
        <w:t>Fondu soudržnosti</w:t>
      </w:r>
      <w:r w:rsidR="00E728DF">
        <w:rPr>
          <w:rStyle w:val="Znakapoznpodarou"/>
          <w:rFonts w:asciiTheme="minorHAnsi" w:hAnsiTheme="minorHAnsi" w:cs="Arial"/>
          <w:bCs/>
          <w:iCs/>
        </w:rPr>
        <w:footnoteReference w:id="11"/>
      </w:r>
      <w:r w:rsidR="00802128" w:rsidRPr="00353AE9">
        <w:rPr>
          <w:rFonts w:asciiTheme="minorHAnsi" w:hAnsiTheme="minorHAnsi" w:cs="Arial"/>
          <w:bCs/>
          <w:iCs/>
        </w:rPr>
        <w:t xml:space="preserve"> </w:t>
      </w:r>
      <w:r w:rsidR="00531867">
        <w:rPr>
          <w:rFonts w:asciiTheme="minorHAnsi" w:hAnsiTheme="minorHAnsi" w:cs="Arial"/>
          <w:bCs/>
          <w:iCs/>
        </w:rPr>
        <w:t xml:space="preserve">a </w:t>
      </w:r>
      <w:r w:rsidR="00C91A48">
        <w:rPr>
          <w:rFonts w:asciiTheme="minorHAnsi" w:hAnsiTheme="minorHAnsi" w:cs="Arial"/>
          <w:bCs/>
          <w:iCs/>
        </w:rPr>
        <w:t xml:space="preserve">na </w:t>
      </w:r>
      <w:r w:rsidR="00531867">
        <w:rPr>
          <w:rFonts w:asciiTheme="minorHAnsi" w:hAnsiTheme="minorHAnsi" w:cs="Arial"/>
          <w:bCs/>
          <w:iCs/>
        </w:rPr>
        <w:t xml:space="preserve">vykázané zůstatky významných účtů </w:t>
      </w:r>
      <w:r w:rsidR="00C46F08" w:rsidRPr="00353AE9">
        <w:rPr>
          <w:rFonts w:asciiTheme="minorHAnsi" w:hAnsiTheme="minorHAnsi" w:cs="Arial"/>
          <w:bCs/>
          <w:iCs/>
        </w:rPr>
        <w:t xml:space="preserve">v programových obdobích </w:t>
      </w:r>
      <w:r w:rsidR="00531867">
        <w:rPr>
          <w:rFonts w:asciiTheme="minorHAnsi" w:hAnsiTheme="minorHAnsi" w:cs="Arial"/>
          <w:bCs/>
          <w:iCs/>
        </w:rPr>
        <w:t xml:space="preserve">2004–2006, 2007–2013 </w:t>
      </w:r>
      <w:r w:rsidR="00C91A48">
        <w:rPr>
          <w:rFonts w:asciiTheme="minorHAnsi" w:hAnsiTheme="minorHAnsi" w:cs="Arial"/>
          <w:bCs/>
          <w:iCs/>
        </w:rPr>
        <w:br/>
      </w:r>
      <w:r w:rsidR="00531867">
        <w:rPr>
          <w:rFonts w:asciiTheme="minorHAnsi" w:hAnsiTheme="minorHAnsi" w:cs="Arial"/>
          <w:bCs/>
          <w:iCs/>
        </w:rPr>
        <w:t xml:space="preserve">a </w:t>
      </w:r>
      <w:r w:rsidR="00C46F08" w:rsidRPr="00353AE9">
        <w:rPr>
          <w:rFonts w:asciiTheme="minorHAnsi" w:hAnsiTheme="minorHAnsi" w:cs="Arial"/>
          <w:bCs/>
          <w:iCs/>
        </w:rPr>
        <w:t>2014–</w:t>
      </w:r>
      <w:r w:rsidR="00531867">
        <w:rPr>
          <w:rFonts w:asciiTheme="minorHAnsi" w:hAnsiTheme="minorHAnsi" w:cs="Arial"/>
          <w:bCs/>
          <w:iCs/>
        </w:rPr>
        <w:t>2020;</w:t>
      </w:r>
    </w:p>
    <w:p w14:paraId="2F9D3D75" w14:textId="614521C9" w:rsidR="00353AE9" w:rsidRDefault="00353AE9" w:rsidP="00AF4368">
      <w:pPr>
        <w:pStyle w:val="Odstavecseseznamem"/>
        <w:numPr>
          <w:ilvl w:val="0"/>
          <w:numId w:val="6"/>
        </w:numPr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31867">
        <w:rPr>
          <w:rFonts w:asciiTheme="minorHAnsi" w:hAnsiTheme="minorHAnsi" w:cstheme="minorHAnsi"/>
          <w:u w:val="single"/>
        </w:rPr>
        <w:t>národní transfery</w:t>
      </w:r>
      <w:r w:rsidR="00531867">
        <w:rPr>
          <w:rFonts w:asciiTheme="minorHAnsi" w:hAnsiTheme="minorHAnsi" w:cstheme="minorHAnsi"/>
        </w:rPr>
        <w:t xml:space="preserve"> </w:t>
      </w:r>
      <w:r w:rsidR="00C91A48">
        <w:rPr>
          <w:rFonts w:asciiTheme="minorHAnsi" w:hAnsiTheme="minorHAnsi" w:cstheme="minorHAnsi"/>
        </w:rPr>
        <w:t>– v této oblasti kontrola prověřila</w:t>
      </w:r>
      <w:r w:rsidR="00531867">
        <w:rPr>
          <w:rFonts w:asciiTheme="minorHAnsi" w:hAnsiTheme="minorHAnsi" w:cstheme="minorHAnsi"/>
        </w:rPr>
        <w:t xml:space="preserve"> postupy účtování </w:t>
      </w:r>
      <w:r w:rsidR="003B3FFC">
        <w:rPr>
          <w:rFonts w:asciiTheme="minorHAnsi" w:hAnsiTheme="minorHAnsi" w:cstheme="minorHAnsi"/>
        </w:rPr>
        <w:t>níže uvedených</w:t>
      </w:r>
      <w:r w:rsidR="00531867">
        <w:rPr>
          <w:rFonts w:asciiTheme="minorHAnsi" w:hAnsiTheme="minorHAnsi" w:cstheme="minorHAnsi"/>
        </w:rPr>
        <w:t xml:space="preserve"> významných druhů transferů:</w:t>
      </w:r>
    </w:p>
    <w:p w14:paraId="3E4B6FB2" w14:textId="342E0F09" w:rsidR="00531867" w:rsidRPr="00C7040E" w:rsidRDefault="00531867" w:rsidP="001F3D22">
      <w:pPr>
        <w:pStyle w:val="Odstavecseseznamem"/>
        <w:numPr>
          <w:ilvl w:val="0"/>
          <w:numId w:val="7"/>
        </w:numPr>
        <w:ind w:left="1134" w:hanging="283"/>
        <w:contextualSpacing w:val="0"/>
        <w:jc w:val="both"/>
        <w:rPr>
          <w:rFonts w:asciiTheme="minorHAnsi" w:hAnsiTheme="minorHAnsi" w:cs="Arial"/>
          <w:bCs/>
          <w:iCs/>
        </w:rPr>
      </w:pPr>
      <w:r w:rsidRPr="00531867">
        <w:rPr>
          <w:rFonts w:asciiTheme="minorHAnsi" w:hAnsiTheme="minorHAnsi" w:cs="Arial"/>
          <w:bCs/>
          <w:iCs/>
        </w:rPr>
        <w:t>dotac</w:t>
      </w:r>
      <w:r w:rsidR="003B3FFC">
        <w:rPr>
          <w:rFonts w:asciiTheme="minorHAnsi" w:hAnsiTheme="minorHAnsi" w:cs="Arial"/>
          <w:bCs/>
          <w:iCs/>
        </w:rPr>
        <w:t>í</w:t>
      </w:r>
      <w:r w:rsidRPr="00531867">
        <w:rPr>
          <w:rFonts w:asciiTheme="minorHAnsi" w:hAnsiTheme="minorHAnsi" w:cs="Arial"/>
          <w:bCs/>
          <w:iCs/>
        </w:rPr>
        <w:t xml:space="preserve"> na podporu exportu dle zákona č. 58/1995 Sb., </w:t>
      </w:r>
      <w:r w:rsidRPr="00AF4368">
        <w:rPr>
          <w:rFonts w:asciiTheme="minorHAnsi" w:hAnsiTheme="minorHAnsi" w:cs="Arial"/>
          <w:bCs/>
          <w:iCs/>
        </w:rPr>
        <w:t>o pojišťování a financování vývozu se státní podporou</w:t>
      </w:r>
      <w:r w:rsidR="00C7040E" w:rsidRPr="00AF4368">
        <w:rPr>
          <w:rFonts w:asciiTheme="minorHAnsi" w:hAnsiTheme="minorHAnsi" w:cs="Arial"/>
          <w:bCs/>
          <w:iCs/>
        </w:rPr>
        <w:t xml:space="preserve"> a o doplnění zákona č. 166/1993 Sb., o Nejvyšším kontrolním úřadu, ve znění pozdějších předpisů</w:t>
      </w:r>
      <w:r w:rsidRPr="00C7040E">
        <w:rPr>
          <w:rFonts w:asciiTheme="minorHAnsi" w:hAnsiTheme="minorHAnsi" w:cs="Arial"/>
          <w:bCs/>
          <w:iCs/>
        </w:rPr>
        <w:t>,</w:t>
      </w:r>
    </w:p>
    <w:p w14:paraId="6F08D05C" w14:textId="70C59306" w:rsidR="00531867" w:rsidRPr="00531867" w:rsidRDefault="00531867" w:rsidP="001F3D22">
      <w:pPr>
        <w:pStyle w:val="Odstavecseseznamem"/>
        <w:numPr>
          <w:ilvl w:val="0"/>
          <w:numId w:val="7"/>
        </w:numPr>
        <w:ind w:left="1134" w:hanging="283"/>
        <w:contextualSpacing w:val="0"/>
        <w:jc w:val="both"/>
        <w:rPr>
          <w:rFonts w:asciiTheme="minorHAnsi" w:hAnsiTheme="minorHAnsi" w:cs="Arial"/>
          <w:bCs/>
          <w:iCs/>
        </w:rPr>
      </w:pPr>
      <w:r w:rsidRPr="00531867">
        <w:rPr>
          <w:rFonts w:asciiTheme="minorHAnsi" w:hAnsiTheme="minorHAnsi" w:cs="Arial"/>
          <w:bCs/>
          <w:iCs/>
        </w:rPr>
        <w:lastRenderedPageBreak/>
        <w:t>odvod</w:t>
      </w:r>
      <w:r w:rsidR="003B3FFC">
        <w:rPr>
          <w:rFonts w:asciiTheme="minorHAnsi" w:hAnsiTheme="minorHAnsi" w:cs="Arial"/>
          <w:bCs/>
          <w:iCs/>
        </w:rPr>
        <w:t>ů</w:t>
      </w:r>
      <w:r w:rsidRPr="00531867">
        <w:rPr>
          <w:rFonts w:asciiTheme="minorHAnsi" w:hAnsiTheme="minorHAnsi" w:cs="Arial"/>
          <w:bCs/>
          <w:iCs/>
        </w:rPr>
        <w:t xml:space="preserve"> pojistného na zdravotní pojištění za osoby, za které je plátcem pojistného stát, dle zákona č. 592/1992 Sb., </w:t>
      </w:r>
      <w:r w:rsidRPr="00AF4368">
        <w:rPr>
          <w:rFonts w:asciiTheme="minorHAnsi" w:hAnsiTheme="minorHAnsi" w:cs="Arial"/>
          <w:bCs/>
          <w:iCs/>
        </w:rPr>
        <w:t>o pojistném na veřejné zdravotní pojištění</w:t>
      </w:r>
      <w:r w:rsidRPr="00531867">
        <w:rPr>
          <w:rFonts w:asciiTheme="minorHAnsi" w:hAnsiTheme="minorHAnsi" w:cs="Arial"/>
          <w:bCs/>
          <w:iCs/>
        </w:rPr>
        <w:t>,</w:t>
      </w:r>
    </w:p>
    <w:p w14:paraId="402E4B50" w14:textId="0BA42D08" w:rsidR="00531867" w:rsidRPr="00C7040E" w:rsidRDefault="00531867" w:rsidP="001F3D22">
      <w:pPr>
        <w:pStyle w:val="Odstavecseseznamem"/>
        <w:numPr>
          <w:ilvl w:val="0"/>
          <w:numId w:val="7"/>
        </w:numPr>
        <w:ind w:left="1134" w:hanging="283"/>
        <w:contextualSpacing w:val="0"/>
        <w:jc w:val="both"/>
        <w:rPr>
          <w:rFonts w:asciiTheme="minorHAnsi" w:hAnsiTheme="minorHAnsi" w:cs="Arial"/>
          <w:bCs/>
          <w:iCs/>
        </w:rPr>
      </w:pPr>
      <w:r w:rsidRPr="00531867">
        <w:rPr>
          <w:rFonts w:asciiTheme="minorHAnsi" w:hAnsiTheme="minorHAnsi" w:cs="Arial"/>
          <w:bCs/>
          <w:iCs/>
        </w:rPr>
        <w:t>příspěv</w:t>
      </w:r>
      <w:r w:rsidR="003B3FFC">
        <w:rPr>
          <w:rFonts w:asciiTheme="minorHAnsi" w:hAnsiTheme="minorHAnsi" w:cs="Arial"/>
          <w:bCs/>
          <w:iCs/>
        </w:rPr>
        <w:t>ků</w:t>
      </w:r>
      <w:r w:rsidRPr="00531867">
        <w:rPr>
          <w:rFonts w:asciiTheme="minorHAnsi" w:hAnsiTheme="minorHAnsi" w:cs="Arial"/>
          <w:bCs/>
          <w:iCs/>
        </w:rPr>
        <w:t xml:space="preserve"> obcím na výkon státní správy a účelov</w:t>
      </w:r>
      <w:r w:rsidR="003B3FFC">
        <w:rPr>
          <w:rFonts w:asciiTheme="minorHAnsi" w:hAnsiTheme="minorHAnsi" w:cs="Arial"/>
          <w:bCs/>
          <w:iCs/>
        </w:rPr>
        <w:t>ých</w:t>
      </w:r>
      <w:r w:rsidRPr="00531867">
        <w:rPr>
          <w:rFonts w:asciiTheme="minorHAnsi" w:hAnsiTheme="minorHAnsi" w:cs="Arial"/>
          <w:bCs/>
          <w:iCs/>
        </w:rPr>
        <w:t xml:space="preserve"> dotac</w:t>
      </w:r>
      <w:r w:rsidR="003B3FFC">
        <w:rPr>
          <w:rFonts w:asciiTheme="minorHAnsi" w:hAnsiTheme="minorHAnsi" w:cs="Arial"/>
          <w:bCs/>
          <w:iCs/>
        </w:rPr>
        <w:t>í</w:t>
      </w:r>
      <w:r w:rsidRPr="00531867">
        <w:rPr>
          <w:rFonts w:asciiTheme="minorHAnsi" w:hAnsiTheme="minorHAnsi" w:cs="Arial"/>
          <w:bCs/>
          <w:iCs/>
        </w:rPr>
        <w:t xml:space="preserve"> obcím na vybraná zdravotnická zařízení dle zákona č. 457/2016 Sb., </w:t>
      </w:r>
      <w:r w:rsidRPr="00AF4368">
        <w:rPr>
          <w:rFonts w:asciiTheme="minorHAnsi" w:hAnsiTheme="minorHAnsi" w:cs="Arial"/>
          <w:bCs/>
          <w:iCs/>
        </w:rPr>
        <w:t>o státním rozpočtu České republiky na rok 2017</w:t>
      </w:r>
      <w:r w:rsidRPr="00C7040E">
        <w:rPr>
          <w:rFonts w:asciiTheme="minorHAnsi" w:hAnsiTheme="minorHAnsi" w:cs="Arial"/>
          <w:bCs/>
          <w:iCs/>
        </w:rPr>
        <w:t xml:space="preserve">, </w:t>
      </w:r>
    </w:p>
    <w:p w14:paraId="4B0C197F" w14:textId="3460374A" w:rsidR="00531867" w:rsidRPr="00531867" w:rsidRDefault="00531867" w:rsidP="001F3D22">
      <w:pPr>
        <w:pStyle w:val="Odstavecseseznamem"/>
        <w:numPr>
          <w:ilvl w:val="0"/>
          <w:numId w:val="7"/>
        </w:numPr>
        <w:ind w:left="1134" w:hanging="283"/>
        <w:contextualSpacing w:val="0"/>
        <w:jc w:val="both"/>
        <w:rPr>
          <w:rFonts w:asciiTheme="minorHAnsi" w:hAnsiTheme="minorHAnsi" w:cs="Arial"/>
          <w:bCs/>
          <w:iCs/>
        </w:rPr>
      </w:pPr>
      <w:r w:rsidRPr="00531867">
        <w:rPr>
          <w:rFonts w:asciiTheme="minorHAnsi" w:hAnsiTheme="minorHAnsi" w:cs="Arial"/>
          <w:bCs/>
          <w:iCs/>
        </w:rPr>
        <w:t>státní</w:t>
      </w:r>
      <w:r w:rsidR="003B3FFC">
        <w:rPr>
          <w:rFonts w:asciiTheme="minorHAnsi" w:hAnsiTheme="minorHAnsi" w:cs="Arial"/>
          <w:bCs/>
          <w:iCs/>
        </w:rPr>
        <w:t>ho</w:t>
      </w:r>
      <w:r w:rsidRPr="00531867">
        <w:rPr>
          <w:rFonts w:asciiTheme="minorHAnsi" w:hAnsiTheme="minorHAnsi" w:cs="Arial"/>
          <w:bCs/>
          <w:iCs/>
        </w:rPr>
        <w:t xml:space="preserve"> příspěv</w:t>
      </w:r>
      <w:r w:rsidR="003B3FFC">
        <w:rPr>
          <w:rFonts w:asciiTheme="minorHAnsi" w:hAnsiTheme="minorHAnsi" w:cs="Arial"/>
          <w:bCs/>
          <w:iCs/>
        </w:rPr>
        <w:t>ku</w:t>
      </w:r>
      <w:r w:rsidRPr="00531867">
        <w:rPr>
          <w:rFonts w:asciiTheme="minorHAnsi" w:hAnsiTheme="minorHAnsi" w:cs="Arial"/>
          <w:bCs/>
          <w:iCs/>
        </w:rPr>
        <w:t xml:space="preserve"> dle zákona č. 427/2011 Sb., </w:t>
      </w:r>
      <w:r w:rsidRPr="00AF4368">
        <w:rPr>
          <w:rFonts w:asciiTheme="minorHAnsi" w:hAnsiTheme="minorHAnsi" w:cs="Arial"/>
          <w:bCs/>
          <w:iCs/>
        </w:rPr>
        <w:t>o doplňkovém penzijním spoření</w:t>
      </w:r>
      <w:r w:rsidRPr="00C7040E">
        <w:rPr>
          <w:rFonts w:asciiTheme="minorHAnsi" w:hAnsiTheme="minorHAnsi" w:cs="Arial"/>
          <w:bCs/>
          <w:iCs/>
        </w:rPr>
        <w:t>,</w:t>
      </w:r>
    </w:p>
    <w:p w14:paraId="2A3B0A62" w14:textId="6A35F23D" w:rsidR="00531867" w:rsidRPr="00C7040E" w:rsidRDefault="00531867" w:rsidP="001F3D22">
      <w:pPr>
        <w:pStyle w:val="Odstavecseseznamem"/>
        <w:numPr>
          <w:ilvl w:val="0"/>
          <w:numId w:val="7"/>
        </w:numPr>
        <w:ind w:left="1134" w:hanging="283"/>
        <w:contextualSpacing w:val="0"/>
        <w:jc w:val="both"/>
        <w:rPr>
          <w:rFonts w:asciiTheme="minorHAnsi" w:hAnsiTheme="minorHAnsi" w:cs="Arial"/>
          <w:bCs/>
          <w:iCs/>
        </w:rPr>
      </w:pPr>
      <w:r w:rsidRPr="00531867">
        <w:rPr>
          <w:rFonts w:asciiTheme="minorHAnsi" w:hAnsiTheme="minorHAnsi" w:cs="Arial"/>
          <w:bCs/>
          <w:iCs/>
        </w:rPr>
        <w:t>státní podpor</w:t>
      </w:r>
      <w:r w:rsidR="003B3FFC">
        <w:rPr>
          <w:rFonts w:asciiTheme="minorHAnsi" w:hAnsiTheme="minorHAnsi" w:cs="Arial"/>
          <w:bCs/>
          <w:iCs/>
        </w:rPr>
        <w:t>y</w:t>
      </w:r>
      <w:r w:rsidRPr="00531867">
        <w:rPr>
          <w:rFonts w:asciiTheme="minorHAnsi" w:hAnsiTheme="minorHAnsi" w:cs="Arial"/>
          <w:bCs/>
          <w:iCs/>
        </w:rPr>
        <w:t xml:space="preserve"> stavebního spoření dle zákona č. 96/1993 Sb., </w:t>
      </w:r>
      <w:r w:rsidRPr="00AF4368">
        <w:rPr>
          <w:rFonts w:asciiTheme="minorHAnsi" w:hAnsiTheme="minorHAnsi" w:cs="Arial"/>
          <w:bCs/>
          <w:iCs/>
        </w:rPr>
        <w:t>o stavebním spoření a státní podpoře stavebního spoření</w:t>
      </w:r>
      <w:r w:rsidRPr="00C7040E">
        <w:rPr>
          <w:rFonts w:asciiTheme="minorHAnsi" w:hAnsiTheme="minorHAnsi" w:cs="Arial"/>
          <w:bCs/>
          <w:iCs/>
        </w:rPr>
        <w:t>,</w:t>
      </w:r>
    </w:p>
    <w:p w14:paraId="360A24FF" w14:textId="7F27329D" w:rsidR="00531867" w:rsidRPr="00531867" w:rsidRDefault="00531867" w:rsidP="00AF4368">
      <w:pPr>
        <w:pStyle w:val="Odstavecseseznamem"/>
        <w:numPr>
          <w:ilvl w:val="1"/>
          <w:numId w:val="8"/>
        </w:numPr>
        <w:spacing w:after="160"/>
        <w:ind w:left="1135" w:hanging="284"/>
        <w:contextualSpacing w:val="0"/>
        <w:jc w:val="both"/>
        <w:rPr>
          <w:rFonts w:asciiTheme="minorHAnsi" w:hAnsiTheme="minorHAnsi" w:cstheme="minorHAnsi"/>
        </w:rPr>
      </w:pPr>
      <w:r w:rsidRPr="00531867">
        <w:rPr>
          <w:rFonts w:asciiTheme="minorHAnsi" w:hAnsiTheme="minorHAnsi" w:cs="Arial"/>
          <w:bCs/>
          <w:iCs/>
        </w:rPr>
        <w:t>odvod</w:t>
      </w:r>
      <w:r w:rsidR="003B3FFC">
        <w:rPr>
          <w:rFonts w:asciiTheme="minorHAnsi" w:hAnsiTheme="minorHAnsi" w:cs="Arial"/>
          <w:bCs/>
          <w:iCs/>
        </w:rPr>
        <w:t>ů</w:t>
      </w:r>
      <w:r w:rsidRPr="00531867">
        <w:rPr>
          <w:rFonts w:asciiTheme="minorHAnsi" w:hAnsiTheme="minorHAnsi" w:cs="Arial"/>
          <w:bCs/>
          <w:iCs/>
        </w:rPr>
        <w:t xml:space="preserve"> vlastních zdrojů EU do rozpočtu EU podle DPH a hrubého národního</w:t>
      </w:r>
      <w:r w:rsidR="00592268">
        <w:rPr>
          <w:rFonts w:asciiTheme="minorHAnsi" w:hAnsiTheme="minorHAnsi" w:cs="Arial"/>
          <w:bCs/>
          <w:iCs/>
        </w:rPr>
        <w:t xml:space="preserve"> </w:t>
      </w:r>
      <w:r w:rsidR="00592268" w:rsidRPr="004A6D2A">
        <w:rPr>
          <w:rFonts w:asciiTheme="minorHAnsi" w:hAnsiTheme="minorHAnsi" w:cs="Arial"/>
          <w:bCs/>
          <w:iCs/>
        </w:rPr>
        <w:t>důchodu</w:t>
      </w:r>
      <w:r w:rsidRPr="00531867">
        <w:rPr>
          <w:rFonts w:asciiTheme="minorHAnsi" w:hAnsiTheme="minorHAnsi" w:cs="Arial"/>
          <w:bCs/>
          <w:iCs/>
        </w:rPr>
        <w:t xml:space="preserve"> dle </w:t>
      </w:r>
      <w:r w:rsidR="003B3FFC">
        <w:rPr>
          <w:rFonts w:asciiTheme="minorHAnsi" w:hAnsiTheme="minorHAnsi" w:cs="Arial"/>
          <w:bCs/>
          <w:iCs/>
        </w:rPr>
        <w:t>r</w:t>
      </w:r>
      <w:r w:rsidRPr="00531867">
        <w:rPr>
          <w:rFonts w:asciiTheme="minorHAnsi" w:hAnsiTheme="minorHAnsi" w:cs="Arial"/>
          <w:bCs/>
          <w:iCs/>
        </w:rPr>
        <w:t>ozhodnutí Rady ze dne 26. května 2014</w:t>
      </w:r>
      <w:r w:rsidR="003B3FFC">
        <w:rPr>
          <w:rFonts w:asciiTheme="minorHAnsi" w:hAnsiTheme="minorHAnsi" w:cs="Arial"/>
          <w:bCs/>
          <w:iCs/>
        </w:rPr>
        <w:t>,</w:t>
      </w:r>
      <w:r w:rsidRPr="00531867">
        <w:rPr>
          <w:rFonts w:asciiTheme="minorHAnsi" w:hAnsiTheme="minorHAnsi" w:cs="Arial"/>
          <w:bCs/>
          <w:iCs/>
        </w:rPr>
        <w:t xml:space="preserve"> </w:t>
      </w:r>
      <w:r w:rsidRPr="00720ADC">
        <w:rPr>
          <w:rFonts w:asciiTheme="minorHAnsi" w:hAnsiTheme="minorHAnsi" w:cs="Arial"/>
          <w:bCs/>
          <w:iCs/>
        </w:rPr>
        <w:t>o systému vlastních zdrojů Evropské unie</w:t>
      </w:r>
      <w:r>
        <w:rPr>
          <w:rFonts w:asciiTheme="minorHAnsi" w:hAnsiTheme="minorHAnsi" w:cs="Arial"/>
          <w:bCs/>
          <w:iCs/>
        </w:rPr>
        <w:t xml:space="preserve"> (2014/335/EU, Euratom);</w:t>
      </w:r>
    </w:p>
    <w:p w14:paraId="3E3A2AD8" w14:textId="37406ED6" w:rsidR="002F4AE8" w:rsidRDefault="002F4AE8" w:rsidP="001F3D22">
      <w:pPr>
        <w:pStyle w:val="Odstavecseseznamem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8434F">
        <w:rPr>
          <w:rFonts w:asciiTheme="minorHAnsi" w:hAnsiTheme="minorHAnsi" w:cstheme="minorHAnsi"/>
          <w:u w:val="single"/>
        </w:rPr>
        <w:t xml:space="preserve">přehled o peněžních tocích </w:t>
      </w:r>
      <w:r w:rsidR="003B3FFC" w:rsidRPr="00720ADC">
        <w:rPr>
          <w:rFonts w:asciiTheme="minorHAnsi" w:hAnsiTheme="minorHAnsi" w:cstheme="minorHAnsi"/>
          <w:u w:val="single"/>
        </w:rPr>
        <w:t>k 31. 12. 2017</w:t>
      </w:r>
      <w:r w:rsidR="003B3FFC">
        <w:rPr>
          <w:rFonts w:asciiTheme="minorHAnsi" w:hAnsiTheme="minorHAnsi" w:cstheme="minorHAnsi"/>
        </w:rPr>
        <w:t xml:space="preserve"> </w:t>
      </w:r>
      <w:r w:rsidRPr="00720ADC">
        <w:rPr>
          <w:rFonts w:asciiTheme="minorHAnsi" w:hAnsiTheme="minorHAnsi" w:cstheme="minorHAnsi"/>
        </w:rPr>
        <w:t xml:space="preserve">a </w:t>
      </w:r>
      <w:r w:rsidRPr="0058434F">
        <w:rPr>
          <w:rFonts w:asciiTheme="minorHAnsi" w:hAnsiTheme="minorHAnsi" w:cstheme="minorHAnsi"/>
          <w:u w:val="single"/>
        </w:rPr>
        <w:t>přehled o změnách vlastního kapitálu</w:t>
      </w:r>
      <w:r>
        <w:rPr>
          <w:rFonts w:asciiTheme="minorHAnsi" w:hAnsiTheme="minorHAnsi" w:cstheme="minorHAnsi"/>
        </w:rPr>
        <w:t xml:space="preserve"> </w:t>
      </w:r>
      <w:r w:rsidR="00531867" w:rsidRPr="00720ADC">
        <w:rPr>
          <w:rFonts w:asciiTheme="minorHAnsi" w:hAnsiTheme="minorHAnsi" w:cstheme="minorHAnsi"/>
          <w:u w:val="single"/>
        </w:rPr>
        <w:t>k 31.</w:t>
      </w:r>
      <w:r w:rsidR="00136E1C" w:rsidRPr="00720ADC">
        <w:rPr>
          <w:rFonts w:asciiTheme="minorHAnsi" w:hAnsiTheme="minorHAnsi" w:cstheme="minorHAnsi"/>
          <w:u w:val="single"/>
        </w:rPr>
        <w:t> </w:t>
      </w:r>
      <w:r w:rsidR="00531867" w:rsidRPr="00720ADC">
        <w:rPr>
          <w:rFonts w:asciiTheme="minorHAnsi" w:hAnsiTheme="minorHAnsi" w:cstheme="minorHAnsi"/>
          <w:u w:val="single"/>
        </w:rPr>
        <w:t>12.</w:t>
      </w:r>
      <w:r w:rsidR="00136E1C" w:rsidRPr="00720ADC">
        <w:rPr>
          <w:rFonts w:asciiTheme="minorHAnsi" w:hAnsiTheme="minorHAnsi" w:cstheme="minorHAnsi"/>
          <w:u w:val="single"/>
        </w:rPr>
        <w:t> </w:t>
      </w:r>
      <w:r w:rsidR="00531867" w:rsidRPr="00720ADC">
        <w:rPr>
          <w:rFonts w:asciiTheme="minorHAnsi" w:hAnsiTheme="minorHAnsi" w:cstheme="minorHAnsi"/>
          <w:u w:val="single"/>
        </w:rPr>
        <w:t>2017</w:t>
      </w:r>
      <w:r w:rsidR="00531867">
        <w:rPr>
          <w:rFonts w:asciiTheme="minorHAnsi" w:hAnsiTheme="minorHAnsi" w:cstheme="minorHAnsi"/>
        </w:rPr>
        <w:t xml:space="preserve"> </w:t>
      </w:r>
      <w:r w:rsidR="003B3FFC">
        <w:rPr>
          <w:rFonts w:asciiTheme="minorHAnsi" w:hAnsiTheme="minorHAnsi" w:cstheme="minorHAnsi"/>
        </w:rPr>
        <w:t xml:space="preserve">– zde se kontrola </w:t>
      </w:r>
      <w:r w:rsidRPr="00B97E3C">
        <w:rPr>
          <w:rFonts w:asciiTheme="minorHAnsi" w:hAnsiTheme="minorHAnsi" w:cstheme="minorHAnsi"/>
        </w:rPr>
        <w:t>zaměř</w:t>
      </w:r>
      <w:r w:rsidR="003B3FFC">
        <w:rPr>
          <w:rFonts w:asciiTheme="minorHAnsi" w:hAnsiTheme="minorHAnsi" w:cstheme="minorHAnsi"/>
        </w:rPr>
        <w:t>ila</w:t>
      </w:r>
      <w:r w:rsidRPr="00B97E3C">
        <w:rPr>
          <w:rFonts w:asciiTheme="minorHAnsi" w:hAnsiTheme="minorHAnsi" w:cstheme="minorHAnsi"/>
        </w:rPr>
        <w:t xml:space="preserve"> na </w:t>
      </w:r>
      <w:r w:rsidRPr="00BE2B1D">
        <w:rPr>
          <w:rFonts w:asciiTheme="minorHAnsi" w:hAnsiTheme="minorHAnsi" w:cstheme="minorHAnsi"/>
        </w:rPr>
        <w:t>použité algoritmy sestavení</w:t>
      </w:r>
      <w:r w:rsidR="003B3FFC">
        <w:rPr>
          <w:rFonts w:asciiTheme="minorHAnsi" w:hAnsiTheme="minorHAnsi" w:cstheme="minorHAnsi"/>
        </w:rPr>
        <w:t xml:space="preserve"> těchto přehledů</w:t>
      </w:r>
      <w:r w:rsidR="00531867">
        <w:rPr>
          <w:rFonts w:asciiTheme="minorHAnsi" w:hAnsiTheme="minorHAnsi" w:cstheme="minorHAnsi"/>
        </w:rPr>
        <w:t>;</w:t>
      </w:r>
    </w:p>
    <w:p w14:paraId="588A8300" w14:textId="444794AF" w:rsidR="00353AE9" w:rsidRPr="007B658F" w:rsidRDefault="00353AE9" w:rsidP="00AF4368">
      <w:pPr>
        <w:pStyle w:val="Odstavecseseznamem"/>
        <w:numPr>
          <w:ilvl w:val="0"/>
          <w:numId w:val="3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B658F">
        <w:rPr>
          <w:rFonts w:asciiTheme="minorHAnsi" w:hAnsiTheme="minorHAnsi" w:cstheme="minorHAnsi"/>
          <w:u w:val="single"/>
        </w:rPr>
        <w:t>oblasti prověřované v rámci KA č. 16/03</w:t>
      </w:r>
      <w:r w:rsidR="009332B1">
        <w:rPr>
          <w:rFonts w:asciiTheme="minorHAnsi" w:hAnsiTheme="minorHAnsi" w:cstheme="minorHAnsi"/>
        </w:rPr>
        <w:t xml:space="preserve"> </w:t>
      </w:r>
      <w:r w:rsidR="003B3FFC">
        <w:rPr>
          <w:rFonts w:asciiTheme="minorHAnsi" w:hAnsiTheme="minorHAnsi" w:cstheme="minorHAnsi"/>
        </w:rPr>
        <w:t>– zde kontrola prověřila</w:t>
      </w:r>
      <w:r w:rsidR="009E2E0A">
        <w:rPr>
          <w:rFonts w:asciiTheme="minorHAnsi" w:hAnsiTheme="minorHAnsi" w:cstheme="minorHAnsi"/>
        </w:rPr>
        <w:t xml:space="preserve"> </w:t>
      </w:r>
      <w:r w:rsidR="000226D2">
        <w:rPr>
          <w:rFonts w:asciiTheme="minorHAnsi" w:hAnsiTheme="minorHAnsi" w:cstheme="minorHAnsi"/>
        </w:rPr>
        <w:t xml:space="preserve">nápravná </w:t>
      </w:r>
      <w:r w:rsidRPr="007B658F">
        <w:rPr>
          <w:rFonts w:asciiTheme="minorHAnsi" w:hAnsiTheme="minorHAnsi" w:cstheme="minorHAnsi"/>
        </w:rPr>
        <w:t>opatření</w:t>
      </w:r>
      <w:r w:rsidR="000F2A6B">
        <w:rPr>
          <w:rFonts w:asciiTheme="minorHAnsi" w:hAnsiTheme="minorHAnsi" w:cstheme="minorHAnsi"/>
        </w:rPr>
        <w:t>, která byla</w:t>
      </w:r>
      <w:r w:rsidRPr="007B658F">
        <w:rPr>
          <w:rFonts w:asciiTheme="minorHAnsi" w:hAnsiTheme="minorHAnsi" w:cstheme="minorHAnsi"/>
        </w:rPr>
        <w:t xml:space="preserve"> </w:t>
      </w:r>
      <w:r w:rsidR="000F2A6B" w:rsidRPr="007B658F">
        <w:rPr>
          <w:rFonts w:asciiTheme="minorHAnsi" w:hAnsiTheme="minorHAnsi" w:cstheme="minorHAnsi"/>
        </w:rPr>
        <w:t>přijat</w:t>
      </w:r>
      <w:r w:rsidR="000F2A6B">
        <w:rPr>
          <w:rFonts w:asciiTheme="minorHAnsi" w:hAnsiTheme="minorHAnsi" w:cstheme="minorHAnsi"/>
        </w:rPr>
        <w:t>a</w:t>
      </w:r>
      <w:r w:rsidR="000F2A6B" w:rsidRPr="007B658F">
        <w:rPr>
          <w:rFonts w:asciiTheme="minorHAnsi" w:hAnsiTheme="minorHAnsi" w:cstheme="minorHAnsi"/>
        </w:rPr>
        <w:t xml:space="preserve"> </w:t>
      </w:r>
      <w:r w:rsidRPr="007B658F">
        <w:rPr>
          <w:rFonts w:asciiTheme="minorHAnsi" w:hAnsiTheme="minorHAnsi" w:cstheme="minorHAnsi"/>
        </w:rPr>
        <w:t>k</w:t>
      </w:r>
      <w:r w:rsidR="000226D2">
        <w:rPr>
          <w:rFonts w:asciiTheme="minorHAnsi" w:hAnsiTheme="minorHAnsi" w:cstheme="minorHAnsi"/>
        </w:rPr>
        <w:t>e</w:t>
      </w:r>
      <w:r w:rsidRPr="007B658F">
        <w:rPr>
          <w:rFonts w:asciiTheme="minorHAnsi" w:hAnsiTheme="minorHAnsi" w:cstheme="minorHAnsi"/>
        </w:rPr>
        <w:t xml:space="preserve"> zjištěný</w:t>
      </w:r>
      <w:r w:rsidR="000226D2">
        <w:rPr>
          <w:rFonts w:asciiTheme="minorHAnsi" w:hAnsiTheme="minorHAnsi" w:cstheme="minorHAnsi"/>
        </w:rPr>
        <w:t>m</w:t>
      </w:r>
      <w:r w:rsidRPr="007B658F">
        <w:rPr>
          <w:rFonts w:asciiTheme="minorHAnsi" w:hAnsiTheme="minorHAnsi" w:cstheme="minorHAnsi"/>
        </w:rPr>
        <w:t xml:space="preserve"> nedostatků</w:t>
      </w:r>
      <w:r w:rsidR="000226D2">
        <w:rPr>
          <w:rFonts w:asciiTheme="minorHAnsi" w:hAnsiTheme="minorHAnsi" w:cstheme="minorHAnsi"/>
        </w:rPr>
        <w:t>m</w:t>
      </w:r>
      <w:r w:rsidRPr="007B658F">
        <w:rPr>
          <w:rFonts w:asciiTheme="minorHAnsi" w:hAnsiTheme="minorHAnsi" w:cstheme="minorHAnsi"/>
        </w:rPr>
        <w:t xml:space="preserve"> </w:t>
      </w:r>
      <w:r w:rsidR="000F2A6B">
        <w:rPr>
          <w:rFonts w:asciiTheme="minorHAnsi" w:hAnsiTheme="minorHAnsi" w:cstheme="minorHAnsi"/>
        </w:rPr>
        <w:t xml:space="preserve">a měla </w:t>
      </w:r>
      <w:r w:rsidRPr="007B658F">
        <w:rPr>
          <w:rFonts w:asciiTheme="minorHAnsi" w:hAnsiTheme="minorHAnsi" w:cstheme="minorHAnsi"/>
        </w:rPr>
        <w:t xml:space="preserve">dopad </w:t>
      </w:r>
      <w:r w:rsidR="009332B1">
        <w:rPr>
          <w:rFonts w:asciiTheme="minorHAnsi" w:hAnsiTheme="minorHAnsi" w:cstheme="minorHAnsi"/>
        </w:rPr>
        <w:t>na vedení účetnictví v roce 2017</w:t>
      </w:r>
      <w:r w:rsidR="00593CE4">
        <w:rPr>
          <w:rFonts w:asciiTheme="minorHAnsi" w:hAnsiTheme="minorHAnsi" w:cstheme="minorHAnsi"/>
        </w:rPr>
        <w:t>.</w:t>
      </w:r>
      <w:r w:rsidRPr="007B658F">
        <w:rPr>
          <w:rFonts w:asciiTheme="minorHAnsi" w:hAnsiTheme="minorHAnsi" w:cstheme="minorHAnsi"/>
        </w:rPr>
        <w:t xml:space="preserve"> </w:t>
      </w:r>
    </w:p>
    <w:p w14:paraId="54D06B5E" w14:textId="5B355B5F" w:rsidR="0047658F" w:rsidRPr="007B658F" w:rsidRDefault="0047658F" w:rsidP="00AF4368">
      <w:pPr>
        <w:spacing w:after="160"/>
        <w:jc w:val="both"/>
        <w:rPr>
          <w:rFonts w:cs="Calibri"/>
          <w:iCs/>
        </w:rPr>
      </w:pPr>
      <w:r w:rsidRPr="007B658F">
        <w:rPr>
          <w:rFonts w:cs="Calibri"/>
          <w:iCs/>
        </w:rPr>
        <w:t>Kontrolovaný objem majetku</w:t>
      </w:r>
      <w:r w:rsidR="003B3FFC">
        <w:rPr>
          <w:rFonts w:cs="Calibri"/>
          <w:iCs/>
        </w:rPr>
        <w:t>,</w:t>
      </w:r>
      <w:r w:rsidRPr="007B658F">
        <w:rPr>
          <w:rFonts w:cs="Calibri"/>
          <w:iCs/>
        </w:rPr>
        <w:t xml:space="preserve"> </w:t>
      </w:r>
      <w:r w:rsidR="007B658F" w:rsidRPr="007B658F">
        <w:rPr>
          <w:rFonts w:cs="Calibri"/>
          <w:iCs/>
        </w:rPr>
        <w:t xml:space="preserve">závazků a </w:t>
      </w:r>
      <w:r w:rsidRPr="007B658F">
        <w:rPr>
          <w:rFonts w:cs="Calibri"/>
          <w:iCs/>
        </w:rPr>
        <w:t>finančních prostředků</w:t>
      </w:r>
      <w:r w:rsidR="009E2E0A">
        <w:rPr>
          <w:rFonts w:cs="Calibri"/>
          <w:iCs/>
        </w:rPr>
        <w:t xml:space="preserve"> </w:t>
      </w:r>
      <w:r w:rsidR="003B3FFC">
        <w:rPr>
          <w:rFonts w:cs="Calibri"/>
          <w:iCs/>
        </w:rPr>
        <w:t>v členění dle</w:t>
      </w:r>
      <w:r w:rsidR="009E2E0A">
        <w:rPr>
          <w:rFonts w:cs="Calibri"/>
          <w:iCs/>
        </w:rPr>
        <w:t xml:space="preserve"> konkrétních</w:t>
      </w:r>
      <w:r w:rsidR="007B658F" w:rsidRPr="007B658F">
        <w:rPr>
          <w:rFonts w:cs="Calibri"/>
          <w:iCs/>
        </w:rPr>
        <w:t xml:space="preserve"> kontrolovaných oblast</w:t>
      </w:r>
      <w:r w:rsidR="003B3FFC">
        <w:rPr>
          <w:rFonts w:cs="Calibri"/>
          <w:iCs/>
        </w:rPr>
        <w:t>í</w:t>
      </w:r>
      <w:r w:rsidR="007B658F" w:rsidRPr="007B658F">
        <w:rPr>
          <w:rFonts w:cs="Calibri"/>
          <w:iCs/>
        </w:rPr>
        <w:t xml:space="preserve"> je uveden v tabulce č. 5</w:t>
      </w:r>
      <w:r w:rsidR="003B3FFC">
        <w:rPr>
          <w:rFonts w:cs="Calibri"/>
          <w:iCs/>
        </w:rPr>
        <w:t>.</w:t>
      </w:r>
      <w:r w:rsidRPr="007B658F">
        <w:rPr>
          <w:rFonts w:cs="Calibri"/>
          <w:iCs/>
        </w:rPr>
        <w:t xml:space="preserve"> </w:t>
      </w:r>
    </w:p>
    <w:p w14:paraId="5AB3E337" w14:textId="60EC6C7C" w:rsidR="0047658F" w:rsidRPr="00332A81" w:rsidRDefault="007B658F" w:rsidP="00720ADC">
      <w:pPr>
        <w:spacing w:after="0"/>
        <w:jc w:val="both"/>
        <w:rPr>
          <w:rFonts w:asciiTheme="minorHAnsi" w:hAnsiTheme="minorHAnsi" w:cstheme="minorHAnsi"/>
          <w:b/>
        </w:rPr>
      </w:pPr>
      <w:r w:rsidRPr="00332A81">
        <w:rPr>
          <w:rFonts w:asciiTheme="minorHAnsi" w:hAnsiTheme="minorHAnsi" w:cstheme="minorHAnsi"/>
          <w:b/>
        </w:rPr>
        <w:t>Tabulka č. 5</w:t>
      </w:r>
      <w:r w:rsidR="0047658F" w:rsidRPr="00332A81">
        <w:rPr>
          <w:rFonts w:asciiTheme="minorHAnsi" w:hAnsiTheme="minorHAnsi" w:cstheme="minorHAnsi"/>
          <w:b/>
        </w:rPr>
        <w:t xml:space="preserve"> – Údaje o kontrolovaném objemu majetku</w:t>
      </w:r>
      <w:r w:rsidR="003B3FFC">
        <w:rPr>
          <w:rFonts w:asciiTheme="minorHAnsi" w:hAnsiTheme="minorHAnsi" w:cstheme="minorHAnsi"/>
          <w:b/>
        </w:rPr>
        <w:t>,</w:t>
      </w:r>
      <w:r w:rsidR="00802128" w:rsidRPr="00332A81">
        <w:rPr>
          <w:rFonts w:asciiTheme="minorHAnsi" w:hAnsiTheme="minorHAnsi" w:cstheme="minorHAnsi"/>
          <w:b/>
        </w:rPr>
        <w:t xml:space="preserve"> závazků </w:t>
      </w:r>
      <w:r w:rsidR="009E2E0A" w:rsidRPr="00332A81">
        <w:rPr>
          <w:rFonts w:asciiTheme="minorHAnsi" w:hAnsiTheme="minorHAnsi" w:cstheme="minorHAnsi"/>
          <w:b/>
        </w:rPr>
        <w:t>a finančních prostředků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4"/>
        <w:gridCol w:w="3468"/>
      </w:tblGrid>
      <w:tr w:rsidR="0047658F" w:rsidRPr="00BD0BF0" w14:paraId="192B3C08" w14:textId="77777777" w:rsidTr="00D37B62">
        <w:trPr>
          <w:trHeight w:val="75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20AEAA" w14:textId="77777777" w:rsidR="0047658F" w:rsidRPr="00045B3A" w:rsidRDefault="0047658F" w:rsidP="005D090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0BF0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Kontrolovaná oblast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AD988FF" w14:textId="50A3D70C" w:rsidR="0047658F" w:rsidRDefault="0047658F" w:rsidP="005D090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Kontrolovaný objem majetku</w:t>
            </w:r>
            <w:r w:rsidR="003B3FF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="00802128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závazků </w:t>
            </w:r>
            <w:r w:rsidRPr="00045B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="00CC698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045B3A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finančních prostředků</w:t>
            </w:r>
          </w:p>
          <w:p w14:paraId="0669854B" w14:textId="77777777" w:rsidR="009E2E0A" w:rsidRPr="00045B3A" w:rsidRDefault="009E2E0A" w:rsidP="005D090D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(v Kč)</w:t>
            </w:r>
          </w:p>
        </w:tc>
      </w:tr>
      <w:tr w:rsidR="007B658F" w:rsidRPr="00BD0BF0" w14:paraId="7C313CCD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B1B6" w14:textId="77777777" w:rsidR="007B658F" w:rsidRPr="00720ADC" w:rsidRDefault="007B658F" w:rsidP="007B658F">
            <w:pPr>
              <w:spacing w:after="0"/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</w:pPr>
            <w:r w:rsidRPr="00720ADC">
              <w:rPr>
                <w:rFonts w:cs="Calibri"/>
                <w:i/>
                <w:color w:val="000000"/>
                <w:sz w:val="20"/>
                <w:szCs w:val="20"/>
                <w:lang w:eastAsia="cs-CZ"/>
              </w:rPr>
              <w:t>Národní fond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4C6F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asciiTheme="minorHAnsi" w:hAnsiTheme="minorHAnsi" w:cstheme="minorHAnsi"/>
                <w:sz w:val="20"/>
                <w:szCs w:val="20"/>
              </w:rPr>
              <w:t>69 430 048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45B3A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</w:tr>
      <w:tr w:rsidR="007B658F" w:rsidRPr="00BD0BF0" w14:paraId="4D699772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75B1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Národní transfery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CC76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109 829 590 798,71</w:t>
            </w:r>
          </w:p>
        </w:tc>
      </w:tr>
      <w:tr w:rsidR="007B658F" w:rsidRPr="00BD0BF0" w14:paraId="5756673F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BC50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Rezervy na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sanace ekologických zátěží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4957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55 617 817 018,31</w:t>
            </w:r>
          </w:p>
        </w:tc>
      </w:tr>
      <w:tr w:rsidR="007B658F" w:rsidRPr="00BD0BF0" w14:paraId="45A75295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128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Prostředky poskytnuté na splátky úvěru tuzemské bance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1A21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2 283 474 315,91</w:t>
            </w:r>
          </w:p>
        </w:tc>
      </w:tr>
      <w:tr w:rsidR="007B658F" w:rsidRPr="00BD0BF0" w14:paraId="520DD8E8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FBDD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Závazky ze </w:t>
            </w: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Státní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ho</w:t>
            </w: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dluh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00B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24 913 026 444,83</w:t>
            </w:r>
          </w:p>
        </w:tc>
      </w:tr>
      <w:tr w:rsidR="007B658F" w:rsidRPr="00BD0BF0" w14:paraId="17FC3CD0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1DFC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Majetkové účasti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75A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54 974 909 439,60</w:t>
            </w:r>
          </w:p>
        </w:tc>
      </w:tr>
      <w:tr w:rsidR="007B658F" w:rsidRPr="00BD0BF0" w14:paraId="08B9F516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A75E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Vyřazené pohledávky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96A4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48 600 161 780,02</w:t>
            </w:r>
          </w:p>
        </w:tc>
      </w:tr>
      <w:tr w:rsidR="007B658F" w:rsidRPr="00BD0BF0" w14:paraId="785FD6D8" w14:textId="77777777" w:rsidTr="00720ADC">
        <w:trPr>
          <w:trHeight w:val="30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C08DC" w14:textId="77777777" w:rsidR="007B658F" w:rsidRPr="00045B3A" w:rsidRDefault="007B658F" w:rsidP="007B658F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Podmíněné závazky z provozních smluv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BEC8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3 050 053 690,25</w:t>
            </w:r>
          </w:p>
        </w:tc>
      </w:tr>
      <w:tr w:rsidR="007B658F" w:rsidRPr="00BD0BF0" w14:paraId="2D4DC99F" w14:textId="77777777" w:rsidTr="00720ADC">
        <w:trPr>
          <w:trHeight w:val="300"/>
        </w:trPr>
        <w:tc>
          <w:tcPr>
            <w:tcW w:w="5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214A8" w14:textId="77777777" w:rsidR="007B658F" w:rsidRPr="00045B3A" w:rsidRDefault="007B658F" w:rsidP="00FD20D1">
            <w:pPr>
              <w:spacing w:after="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Sdílené daně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31FF" w14:textId="77777777" w:rsidR="007B658F" w:rsidRPr="00045B3A" w:rsidRDefault="007B658F" w:rsidP="00720ADC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045B3A">
              <w:rPr>
                <w:rFonts w:cs="Calibri"/>
                <w:color w:val="000000"/>
                <w:sz w:val="20"/>
                <w:szCs w:val="20"/>
                <w:lang w:eastAsia="cs-CZ"/>
              </w:rPr>
              <w:t>243 495 574 813,05</w:t>
            </w:r>
          </w:p>
        </w:tc>
      </w:tr>
    </w:tbl>
    <w:p w14:paraId="1C3CA544" w14:textId="77777777" w:rsidR="0047658F" w:rsidRPr="00332A81" w:rsidRDefault="007B658F" w:rsidP="000F33A9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7FD1">
        <w:rPr>
          <w:rFonts w:asciiTheme="minorHAnsi" w:hAnsiTheme="minorHAnsi" w:cstheme="minorHAnsi"/>
          <w:b/>
          <w:sz w:val="20"/>
          <w:szCs w:val="20"/>
        </w:rPr>
        <w:t>Zdroj</w:t>
      </w:r>
      <w:r w:rsidR="004D1284" w:rsidRPr="00297FD1">
        <w:rPr>
          <w:rFonts w:asciiTheme="minorHAnsi" w:hAnsiTheme="minorHAnsi" w:cstheme="minorHAnsi"/>
          <w:b/>
          <w:sz w:val="20"/>
          <w:szCs w:val="20"/>
        </w:rPr>
        <w:t>:</w:t>
      </w:r>
      <w:r w:rsidR="004D1284" w:rsidRPr="00332A81">
        <w:rPr>
          <w:rFonts w:asciiTheme="minorHAnsi" w:hAnsiTheme="minorHAnsi" w:cstheme="minorHAnsi"/>
          <w:sz w:val="20"/>
          <w:szCs w:val="20"/>
        </w:rPr>
        <w:t xml:space="preserve"> </w:t>
      </w:r>
      <w:r w:rsidR="00D07A83" w:rsidRPr="00332A81">
        <w:rPr>
          <w:rFonts w:asciiTheme="minorHAnsi" w:hAnsiTheme="minorHAnsi" w:cstheme="minorHAnsi"/>
          <w:sz w:val="20"/>
          <w:szCs w:val="20"/>
        </w:rPr>
        <w:t>vlastní výpočet</w:t>
      </w:r>
      <w:r w:rsidR="00330549" w:rsidRPr="00AF4368">
        <w:rPr>
          <w:rFonts w:asciiTheme="minorHAnsi" w:hAnsiTheme="minorHAnsi" w:cstheme="minorHAnsi"/>
          <w:sz w:val="20"/>
          <w:szCs w:val="20"/>
        </w:rPr>
        <w:t>.</w:t>
      </w:r>
    </w:p>
    <w:p w14:paraId="5C53D385" w14:textId="77777777" w:rsidR="000F2A6B" w:rsidRDefault="000F2A6B" w:rsidP="000F2A6B">
      <w:pPr>
        <w:spacing w:after="0"/>
        <w:ind w:left="709" w:hanging="709"/>
        <w:jc w:val="both"/>
        <w:rPr>
          <w:rFonts w:asciiTheme="minorHAnsi" w:hAnsiTheme="minorHAnsi" w:cstheme="minorHAnsi"/>
          <w:b/>
          <w:i/>
        </w:rPr>
      </w:pPr>
    </w:p>
    <w:p w14:paraId="6748D93F" w14:textId="149CBEE3" w:rsidR="009E2E0A" w:rsidRPr="000F2A6B" w:rsidRDefault="00DB5B92" w:rsidP="000F2A6B">
      <w:pPr>
        <w:spacing w:after="0"/>
        <w:ind w:left="709" w:hanging="709"/>
        <w:jc w:val="both"/>
        <w:rPr>
          <w:rFonts w:asciiTheme="minorHAnsi" w:hAnsiTheme="minorHAnsi" w:cstheme="minorHAnsi"/>
        </w:rPr>
      </w:pPr>
      <w:r w:rsidRPr="00720ADC">
        <w:rPr>
          <w:rFonts w:asciiTheme="minorHAnsi" w:hAnsiTheme="minorHAnsi" w:cstheme="minorHAnsi"/>
          <w:b/>
          <w:i/>
        </w:rPr>
        <w:t>Pozn.:</w:t>
      </w:r>
      <w:r w:rsidRPr="00AF4368">
        <w:rPr>
          <w:rFonts w:asciiTheme="minorHAnsi" w:hAnsiTheme="minorHAnsi" w:cstheme="minorHAnsi"/>
          <w:i/>
        </w:rPr>
        <w:t xml:space="preserve"> </w:t>
      </w:r>
      <w:r w:rsidR="00CC6986">
        <w:rPr>
          <w:rFonts w:asciiTheme="minorHAnsi" w:hAnsiTheme="minorHAnsi" w:cstheme="minorHAnsi"/>
          <w:i/>
        </w:rPr>
        <w:tab/>
      </w:r>
      <w:r w:rsidRPr="00AF4368">
        <w:rPr>
          <w:rFonts w:asciiTheme="minorHAnsi" w:hAnsiTheme="minorHAnsi" w:cstheme="minorHAnsi"/>
          <w:i/>
        </w:rPr>
        <w:t>Právní předpisy uvedené v tomto kontrolním závěru jsou aplikovány ve znění účinném pro kontrolované období.</w:t>
      </w:r>
    </w:p>
    <w:p w14:paraId="70C34483" w14:textId="77777777" w:rsidR="00DB5B92" w:rsidRPr="00720ADC" w:rsidRDefault="00DB5B92" w:rsidP="003125B2">
      <w:pPr>
        <w:spacing w:after="0"/>
        <w:jc w:val="both"/>
        <w:rPr>
          <w:highlight w:val="yellow"/>
        </w:rPr>
      </w:pPr>
    </w:p>
    <w:p w14:paraId="0E2854BF" w14:textId="77777777" w:rsidR="00330549" w:rsidRPr="00720ADC" w:rsidRDefault="00330549" w:rsidP="003125B2">
      <w:pPr>
        <w:spacing w:after="0"/>
        <w:jc w:val="both"/>
        <w:rPr>
          <w:highlight w:val="yellow"/>
        </w:rPr>
      </w:pPr>
    </w:p>
    <w:p w14:paraId="3C47E04E" w14:textId="77777777" w:rsidR="0033466E" w:rsidRPr="0068373F" w:rsidRDefault="007378F9" w:rsidP="00720ADC">
      <w:pPr>
        <w:pStyle w:val="Nadpis1"/>
        <w:ind w:left="426"/>
        <w:jc w:val="left"/>
        <w:rPr>
          <w:u w:val="single"/>
        </w:rPr>
      </w:pPr>
      <w:r w:rsidRPr="00720ADC">
        <w:t xml:space="preserve">IV. </w:t>
      </w:r>
      <w:r w:rsidR="0033466E" w:rsidRPr="0068373F">
        <w:rPr>
          <w:u w:val="single"/>
        </w:rPr>
        <w:t xml:space="preserve">Podrobné </w:t>
      </w:r>
      <w:r w:rsidR="008F4798" w:rsidRPr="0068373F">
        <w:rPr>
          <w:u w:val="single"/>
        </w:rPr>
        <w:t>skutečnosti</w:t>
      </w:r>
      <w:r w:rsidR="0033466E" w:rsidRPr="0068373F">
        <w:rPr>
          <w:u w:val="single"/>
        </w:rPr>
        <w:t xml:space="preserve"> </w:t>
      </w:r>
      <w:r w:rsidR="008F4798" w:rsidRPr="0068373F">
        <w:rPr>
          <w:u w:val="single"/>
        </w:rPr>
        <w:t>z</w:t>
      </w:r>
      <w:r w:rsidR="0033466E" w:rsidRPr="0068373F">
        <w:rPr>
          <w:u w:val="single"/>
        </w:rPr>
        <w:t>jištěn</w:t>
      </w:r>
      <w:r w:rsidR="008F4798" w:rsidRPr="0068373F">
        <w:rPr>
          <w:u w:val="single"/>
        </w:rPr>
        <w:t>é</w:t>
      </w:r>
      <w:r w:rsidR="0033466E" w:rsidRPr="0068373F">
        <w:rPr>
          <w:u w:val="single"/>
        </w:rPr>
        <w:t xml:space="preserve"> </w:t>
      </w:r>
      <w:r w:rsidR="008F4798" w:rsidRPr="0068373F">
        <w:rPr>
          <w:u w:val="single"/>
        </w:rPr>
        <w:t>kontrolou</w:t>
      </w:r>
    </w:p>
    <w:p w14:paraId="2C74DDAA" w14:textId="77777777" w:rsidR="00AD0B55" w:rsidRPr="005A4235" w:rsidRDefault="00FF7BB1" w:rsidP="007378F9">
      <w:pPr>
        <w:pStyle w:val="Nadpis2"/>
        <w:numPr>
          <w:ilvl w:val="0"/>
          <w:numId w:val="2"/>
        </w:numPr>
        <w:spacing w:after="160" w:line="240" w:lineRule="auto"/>
        <w:ind w:left="284" w:hanging="295"/>
        <w:contextualSpacing w:val="0"/>
        <w:rPr>
          <w:u w:val="single"/>
          <w:lang w:eastAsia="cs-CZ"/>
        </w:rPr>
      </w:pPr>
      <w:r w:rsidRPr="005A4235">
        <w:rPr>
          <w:u w:val="single"/>
          <w:lang w:eastAsia="cs-CZ"/>
        </w:rPr>
        <w:t>Národní fond</w:t>
      </w:r>
    </w:p>
    <w:p w14:paraId="1A68879F" w14:textId="64A04DE2" w:rsidR="00D04329" w:rsidRDefault="00C3605D" w:rsidP="00AF436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Peněžní prostředky EU poskytnuté Č</w:t>
      </w:r>
      <w:r w:rsidR="00CC6986">
        <w:rPr>
          <w:rFonts w:asciiTheme="minorHAnsi" w:hAnsiTheme="minorHAnsi" w:cstheme="minorHAnsi"/>
        </w:rPr>
        <w:t>eské republice</w:t>
      </w:r>
      <w:r>
        <w:rPr>
          <w:rFonts w:asciiTheme="minorHAnsi" w:hAnsiTheme="minorHAnsi" w:cstheme="minorHAnsi"/>
        </w:rPr>
        <w:t xml:space="preserve"> se soustřeďují na bankovních účtech </w:t>
      </w:r>
      <w:r w:rsidR="00CC6986">
        <w:rPr>
          <w:rFonts w:asciiTheme="minorHAnsi" w:hAnsiTheme="minorHAnsi" w:cstheme="minorHAnsi"/>
        </w:rPr>
        <w:t>Národní</w:t>
      </w:r>
      <w:r w:rsidR="000226D2">
        <w:rPr>
          <w:rFonts w:asciiTheme="minorHAnsi" w:hAnsiTheme="minorHAnsi" w:cstheme="minorHAnsi"/>
        </w:rPr>
        <w:t>ho</w:t>
      </w:r>
      <w:r w:rsidR="00CC6986">
        <w:rPr>
          <w:rFonts w:asciiTheme="minorHAnsi" w:hAnsiTheme="minorHAnsi" w:cstheme="minorHAnsi"/>
        </w:rPr>
        <w:t xml:space="preserve"> fond</w:t>
      </w:r>
      <w:r w:rsidR="004F454E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, který vystupuje v pozici platebního a certifikačního orgánu (dále jen </w:t>
      </w:r>
      <w:r w:rsidR="000226D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t xml:space="preserve">„NF-PCO“). Evropská komise </w:t>
      </w:r>
      <w:r w:rsidR="00D80399">
        <w:rPr>
          <w:rFonts w:asciiTheme="minorHAnsi" w:hAnsiTheme="minorHAnsi" w:cstheme="minorHAnsi"/>
        </w:rPr>
        <w:t xml:space="preserve">stanoví celkový objem </w:t>
      </w:r>
      <w:r w:rsidR="00B47640">
        <w:rPr>
          <w:rFonts w:asciiTheme="minorHAnsi" w:hAnsiTheme="minorHAnsi" w:cstheme="minorHAnsi"/>
        </w:rPr>
        <w:t xml:space="preserve">svého </w:t>
      </w:r>
      <w:r w:rsidR="00D80399">
        <w:rPr>
          <w:rFonts w:asciiTheme="minorHAnsi" w:hAnsiTheme="minorHAnsi" w:cstheme="minorHAnsi"/>
        </w:rPr>
        <w:t xml:space="preserve">závazku </w:t>
      </w:r>
      <w:r w:rsidR="00B47640">
        <w:rPr>
          <w:rFonts w:asciiTheme="minorHAnsi" w:hAnsiTheme="minorHAnsi" w:cstheme="minorHAnsi"/>
        </w:rPr>
        <w:t>vůči ČR z titulu schválení daného operačního programu</w:t>
      </w:r>
      <w:r w:rsidR="00D80399">
        <w:rPr>
          <w:rFonts w:asciiTheme="minorHAnsi" w:hAnsiTheme="minorHAnsi" w:cstheme="minorHAnsi"/>
        </w:rPr>
        <w:t xml:space="preserve"> </w:t>
      </w:r>
      <w:r w:rsidR="00D80399" w:rsidRPr="00B47640">
        <w:rPr>
          <w:rFonts w:asciiTheme="minorHAnsi" w:hAnsiTheme="minorHAnsi" w:cstheme="minorHAnsi"/>
        </w:rPr>
        <w:t>(tzv. alokaci</w:t>
      </w:r>
      <w:r w:rsidR="00B47640" w:rsidRPr="00B47640">
        <w:rPr>
          <w:rFonts w:asciiTheme="minorHAnsi" w:hAnsiTheme="minorHAnsi" w:cstheme="minorHAnsi"/>
        </w:rPr>
        <w:t xml:space="preserve"> prostředků z rozpočtu EU</w:t>
      </w:r>
      <w:r w:rsidR="00D80399" w:rsidRPr="00B47640">
        <w:rPr>
          <w:rFonts w:asciiTheme="minorHAnsi" w:hAnsiTheme="minorHAnsi" w:cstheme="minorHAnsi"/>
        </w:rPr>
        <w:t>)</w:t>
      </w:r>
      <w:r w:rsidR="00D80399">
        <w:rPr>
          <w:rFonts w:asciiTheme="minorHAnsi" w:hAnsiTheme="minorHAnsi" w:cstheme="minorHAnsi"/>
        </w:rPr>
        <w:t xml:space="preserve"> a po schválení operačního programu zašle na </w:t>
      </w:r>
      <w:r w:rsidR="00FD7F3A">
        <w:rPr>
          <w:rFonts w:asciiTheme="minorHAnsi" w:hAnsiTheme="minorHAnsi" w:cstheme="minorHAnsi"/>
        </w:rPr>
        <w:t xml:space="preserve">tzv. zdrojový </w:t>
      </w:r>
      <w:r w:rsidR="00D80399">
        <w:rPr>
          <w:rFonts w:asciiTheme="minorHAnsi" w:hAnsiTheme="minorHAnsi" w:cstheme="minorHAnsi"/>
        </w:rPr>
        <w:t>účet NF-PCO počáteční předběžné platby</w:t>
      </w:r>
      <w:r w:rsidR="00C35F27">
        <w:rPr>
          <w:rFonts w:asciiTheme="minorHAnsi" w:hAnsiTheme="minorHAnsi" w:cstheme="minorHAnsi"/>
        </w:rPr>
        <w:t>. V účetním období 2017 v souvislosti s operačními programy</w:t>
      </w:r>
      <w:r w:rsidR="00D97243">
        <w:rPr>
          <w:rFonts w:asciiTheme="minorHAnsi" w:hAnsiTheme="minorHAnsi" w:cstheme="minorHAnsi"/>
        </w:rPr>
        <w:t xml:space="preserve"> stávajícího</w:t>
      </w:r>
      <w:r w:rsidR="00C35F27">
        <w:rPr>
          <w:rFonts w:asciiTheme="minorHAnsi" w:hAnsiTheme="minorHAnsi" w:cstheme="minorHAnsi"/>
        </w:rPr>
        <w:t xml:space="preserve"> programové</w:t>
      </w:r>
      <w:r w:rsidR="009F4CEB">
        <w:rPr>
          <w:rFonts w:asciiTheme="minorHAnsi" w:hAnsiTheme="minorHAnsi" w:cstheme="minorHAnsi"/>
        </w:rPr>
        <w:t>ho</w:t>
      </w:r>
      <w:r w:rsidR="00C35F27">
        <w:rPr>
          <w:rFonts w:asciiTheme="minorHAnsi" w:hAnsiTheme="minorHAnsi" w:cstheme="minorHAnsi"/>
        </w:rPr>
        <w:t xml:space="preserve"> období 2014</w:t>
      </w:r>
      <w:r w:rsidR="009F4CEB">
        <w:rPr>
          <w:rFonts w:asciiTheme="minorHAnsi" w:hAnsiTheme="minorHAnsi" w:cstheme="minorHAnsi"/>
        </w:rPr>
        <w:t>–</w:t>
      </w:r>
      <w:r w:rsidR="00C35F27">
        <w:rPr>
          <w:rFonts w:asciiTheme="minorHAnsi" w:hAnsiTheme="minorHAnsi" w:cstheme="minorHAnsi"/>
        </w:rPr>
        <w:t>2020 plat</w:t>
      </w:r>
      <w:r w:rsidR="00332A81">
        <w:rPr>
          <w:rFonts w:asciiTheme="minorHAnsi" w:hAnsiTheme="minorHAnsi" w:cstheme="minorHAnsi"/>
        </w:rPr>
        <w:t>ilo</w:t>
      </w:r>
      <w:r w:rsidR="00C35F27">
        <w:rPr>
          <w:rFonts w:asciiTheme="minorHAnsi" w:hAnsiTheme="minorHAnsi" w:cstheme="minorHAnsi"/>
        </w:rPr>
        <w:t xml:space="preserve">, že </w:t>
      </w:r>
      <w:r w:rsidR="007F585E">
        <w:rPr>
          <w:rFonts w:asciiTheme="minorHAnsi" w:hAnsiTheme="minorHAnsi" w:cstheme="minorHAnsi"/>
        </w:rPr>
        <w:t>Evropská komise</w:t>
      </w:r>
      <w:r w:rsidR="006459B7">
        <w:rPr>
          <w:rFonts w:asciiTheme="minorHAnsi" w:hAnsiTheme="minorHAnsi" w:cstheme="minorHAnsi"/>
        </w:rPr>
        <w:t xml:space="preserve"> následně</w:t>
      </w:r>
      <w:r w:rsidR="007F585E">
        <w:rPr>
          <w:rFonts w:asciiTheme="minorHAnsi" w:hAnsiTheme="minorHAnsi" w:cstheme="minorHAnsi"/>
        </w:rPr>
        <w:t xml:space="preserve"> </w:t>
      </w:r>
      <w:r w:rsidR="00D80399">
        <w:rPr>
          <w:rFonts w:asciiTheme="minorHAnsi" w:hAnsiTheme="minorHAnsi" w:cstheme="minorHAnsi"/>
        </w:rPr>
        <w:t>zasíl</w:t>
      </w:r>
      <w:r w:rsidR="00332A81">
        <w:rPr>
          <w:rFonts w:asciiTheme="minorHAnsi" w:hAnsiTheme="minorHAnsi" w:cstheme="minorHAnsi"/>
        </w:rPr>
        <w:t>ala</w:t>
      </w:r>
      <w:r w:rsidR="00D80399">
        <w:rPr>
          <w:rFonts w:asciiTheme="minorHAnsi" w:hAnsiTheme="minorHAnsi" w:cstheme="minorHAnsi"/>
        </w:rPr>
        <w:t xml:space="preserve"> roční </w:t>
      </w:r>
      <w:r>
        <w:rPr>
          <w:rFonts w:asciiTheme="minorHAnsi" w:hAnsiTheme="minorHAnsi" w:cstheme="minorHAnsi"/>
        </w:rPr>
        <w:t xml:space="preserve">předběžné </w:t>
      </w:r>
      <w:r w:rsidR="00D80399">
        <w:rPr>
          <w:rFonts w:asciiTheme="minorHAnsi" w:hAnsiTheme="minorHAnsi" w:cstheme="minorHAnsi"/>
        </w:rPr>
        <w:t xml:space="preserve">platby </w:t>
      </w:r>
      <w:r>
        <w:rPr>
          <w:rFonts w:asciiTheme="minorHAnsi" w:hAnsiTheme="minorHAnsi" w:cstheme="minorHAnsi"/>
        </w:rPr>
        <w:t xml:space="preserve">a průběžné platby, dále </w:t>
      </w:r>
      <w:r w:rsidR="00D80399">
        <w:rPr>
          <w:rFonts w:asciiTheme="minorHAnsi" w:hAnsiTheme="minorHAnsi" w:cstheme="minorHAnsi"/>
        </w:rPr>
        <w:t xml:space="preserve">pak </w:t>
      </w:r>
      <w:r>
        <w:rPr>
          <w:rFonts w:asciiTheme="minorHAnsi" w:hAnsiTheme="minorHAnsi" w:cstheme="minorHAnsi"/>
        </w:rPr>
        <w:t>platby ročních a konečných zůstatků</w:t>
      </w:r>
      <w:r w:rsidR="007F585E">
        <w:rPr>
          <w:rFonts w:asciiTheme="minorHAnsi" w:hAnsiTheme="minorHAnsi" w:cstheme="minorHAnsi"/>
        </w:rPr>
        <w:t xml:space="preserve"> svého závazku vůči ČR</w:t>
      </w:r>
      <w:r>
        <w:rPr>
          <w:rFonts w:asciiTheme="minorHAnsi" w:hAnsiTheme="minorHAnsi" w:cstheme="minorHAnsi"/>
        </w:rPr>
        <w:t xml:space="preserve">. V případě operačních programů provádí NF-PCO na základě schválených souhrnných žádostí o platbu </w:t>
      </w:r>
      <w:r w:rsidR="00FD20D1">
        <w:rPr>
          <w:rFonts w:asciiTheme="minorHAnsi" w:hAnsiTheme="minorHAnsi" w:cstheme="minorHAnsi"/>
        </w:rPr>
        <w:t>převody prostředků z rozpo</w:t>
      </w:r>
      <w:r w:rsidR="002143EF">
        <w:rPr>
          <w:rFonts w:asciiTheme="minorHAnsi" w:hAnsiTheme="minorHAnsi" w:cstheme="minorHAnsi"/>
        </w:rPr>
        <w:t xml:space="preserve">čtu EU </w:t>
      </w:r>
      <w:r w:rsidR="00FD7F3A">
        <w:rPr>
          <w:rFonts w:asciiTheme="minorHAnsi" w:hAnsiTheme="minorHAnsi" w:cstheme="minorHAnsi"/>
        </w:rPr>
        <w:t xml:space="preserve">ze svého zdrojového účtu </w:t>
      </w:r>
      <w:r w:rsidR="002143EF">
        <w:rPr>
          <w:rFonts w:asciiTheme="minorHAnsi" w:hAnsiTheme="minorHAnsi" w:cstheme="minorHAnsi"/>
        </w:rPr>
        <w:t>na příjmové účty</w:t>
      </w:r>
      <w:r w:rsidR="005B3A1D">
        <w:rPr>
          <w:rFonts w:asciiTheme="minorHAnsi" w:hAnsiTheme="minorHAnsi" w:cstheme="minorHAnsi"/>
        </w:rPr>
        <w:t xml:space="preserve"> OSS, které předfinancovaly</w:t>
      </w:r>
      <w:r w:rsidR="00A92AEF">
        <w:rPr>
          <w:rFonts w:asciiTheme="minorHAnsi" w:hAnsiTheme="minorHAnsi" w:cstheme="minorHAnsi"/>
        </w:rPr>
        <w:t xml:space="preserve"> výdaje</w:t>
      </w:r>
      <w:r w:rsidR="00D80399">
        <w:rPr>
          <w:rFonts w:asciiTheme="minorHAnsi" w:hAnsiTheme="minorHAnsi" w:cstheme="minorHAnsi"/>
        </w:rPr>
        <w:t xml:space="preserve"> (tj.</w:t>
      </w:r>
      <w:r w:rsidR="005B3A1D">
        <w:rPr>
          <w:rFonts w:asciiTheme="minorHAnsi" w:hAnsiTheme="minorHAnsi" w:cstheme="minorHAnsi"/>
        </w:rPr>
        <w:t xml:space="preserve"> z rozpočtu své kapitoly za</w:t>
      </w:r>
      <w:r w:rsidR="005D3272">
        <w:rPr>
          <w:rFonts w:asciiTheme="minorHAnsi" w:hAnsiTheme="minorHAnsi" w:cstheme="minorHAnsi"/>
        </w:rPr>
        <w:t>jistily zaslání</w:t>
      </w:r>
      <w:r w:rsidR="00D80399">
        <w:rPr>
          <w:rFonts w:asciiTheme="minorHAnsi" w:hAnsiTheme="minorHAnsi" w:cstheme="minorHAnsi"/>
        </w:rPr>
        <w:t xml:space="preserve"> prostředk</w:t>
      </w:r>
      <w:r w:rsidR="005D3272">
        <w:rPr>
          <w:rFonts w:asciiTheme="minorHAnsi" w:hAnsiTheme="minorHAnsi" w:cstheme="minorHAnsi"/>
        </w:rPr>
        <w:t>ů</w:t>
      </w:r>
      <w:r w:rsidR="00D80399">
        <w:rPr>
          <w:rFonts w:asciiTheme="minorHAnsi" w:hAnsiTheme="minorHAnsi" w:cstheme="minorHAnsi"/>
        </w:rPr>
        <w:t xml:space="preserve"> konečnému příjemci)</w:t>
      </w:r>
      <w:r w:rsidR="00B47640">
        <w:rPr>
          <w:rFonts w:asciiTheme="minorHAnsi" w:hAnsiTheme="minorHAnsi" w:cstheme="minorHAnsi"/>
        </w:rPr>
        <w:t>, jež mají</w:t>
      </w:r>
      <w:r w:rsidR="00A92AEF">
        <w:rPr>
          <w:rFonts w:asciiTheme="minorHAnsi" w:hAnsiTheme="minorHAnsi" w:cstheme="minorHAnsi"/>
        </w:rPr>
        <w:t xml:space="preserve"> být kryty prost</w:t>
      </w:r>
      <w:r w:rsidR="005B3A1D">
        <w:rPr>
          <w:rFonts w:asciiTheme="minorHAnsi" w:hAnsiTheme="minorHAnsi" w:cstheme="minorHAnsi"/>
        </w:rPr>
        <w:t xml:space="preserve">ředky z rozpočtu EU (tzn. </w:t>
      </w:r>
      <w:r w:rsidR="006459B7">
        <w:rPr>
          <w:rFonts w:asciiTheme="minorHAnsi" w:hAnsiTheme="minorHAnsi" w:cstheme="minorHAnsi"/>
        </w:rPr>
        <w:t xml:space="preserve">tyto </w:t>
      </w:r>
      <w:r w:rsidR="005B3A1D">
        <w:rPr>
          <w:rFonts w:asciiTheme="minorHAnsi" w:hAnsiTheme="minorHAnsi" w:cstheme="minorHAnsi"/>
        </w:rPr>
        <w:t>OSS jsou</w:t>
      </w:r>
      <w:r w:rsidR="00A92AEF">
        <w:rPr>
          <w:rFonts w:asciiTheme="minorHAnsi" w:hAnsiTheme="minorHAnsi" w:cstheme="minorHAnsi"/>
        </w:rPr>
        <w:t xml:space="preserve"> předfinancujícím</w:t>
      </w:r>
      <w:r w:rsidR="005B3A1D">
        <w:rPr>
          <w:rFonts w:asciiTheme="minorHAnsi" w:hAnsiTheme="minorHAnsi" w:cstheme="minorHAnsi"/>
        </w:rPr>
        <w:t>i subjekty</w:t>
      </w:r>
      <w:r w:rsidR="00A92AEF">
        <w:rPr>
          <w:rFonts w:asciiTheme="minorHAnsi" w:hAnsiTheme="minorHAnsi" w:cstheme="minorHAnsi"/>
        </w:rPr>
        <w:t>)</w:t>
      </w:r>
      <w:r w:rsidR="00FD20D1">
        <w:rPr>
          <w:rFonts w:asciiTheme="minorHAnsi" w:hAnsiTheme="minorHAnsi" w:cstheme="minorHAnsi"/>
        </w:rPr>
        <w:t>. Veškeré platby z</w:t>
      </w:r>
      <w:r w:rsidR="00D97243">
        <w:rPr>
          <w:rFonts w:asciiTheme="minorHAnsi" w:hAnsiTheme="minorHAnsi" w:cstheme="minorHAnsi"/>
        </w:rPr>
        <w:t xml:space="preserve"> účtů</w:t>
      </w:r>
      <w:r w:rsidR="00FD20D1">
        <w:rPr>
          <w:rFonts w:asciiTheme="minorHAnsi" w:hAnsiTheme="minorHAnsi" w:cstheme="minorHAnsi"/>
        </w:rPr>
        <w:t>/</w:t>
      </w:r>
      <w:r w:rsidR="00D97243">
        <w:rPr>
          <w:rFonts w:asciiTheme="minorHAnsi" w:hAnsiTheme="minorHAnsi" w:cstheme="minorHAnsi"/>
        </w:rPr>
        <w:t>na účty</w:t>
      </w:r>
      <w:r w:rsidR="00FD20D1">
        <w:rPr>
          <w:rFonts w:asciiTheme="minorHAnsi" w:hAnsiTheme="minorHAnsi" w:cstheme="minorHAnsi"/>
        </w:rPr>
        <w:t xml:space="preserve"> Evropské komise probíhaj</w:t>
      </w:r>
      <w:r w:rsidR="002143EF">
        <w:rPr>
          <w:rFonts w:asciiTheme="minorHAnsi" w:hAnsiTheme="minorHAnsi" w:cstheme="minorHAnsi"/>
        </w:rPr>
        <w:t>í v</w:t>
      </w:r>
      <w:r w:rsidR="00537359">
        <w:rPr>
          <w:rFonts w:asciiTheme="minorHAnsi" w:hAnsiTheme="minorHAnsi" w:cstheme="minorHAnsi"/>
        </w:rPr>
        <w:t xml:space="preserve"> eurech</w:t>
      </w:r>
      <w:r w:rsidR="002143EF">
        <w:rPr>
          <w:rFonts w:asciiTheme="minorHAnsi" w:hAnsiTheme="minorHAnsi" w:cstheme="minorHAnsi"/>
        </w:rPr>
        <w:t>, platby předfinancujícím subjektům</w:t>
      </w:r>
      <w:r w:rsidR="000579DE">
        <w:rPr>
          <w:rFonts w:asciiTheme="minorHAnsi" w:hAnsiTheme="minorHAnsi" w:cstheme="minorHAnsi"/>
        </w:rPr>
        <w:t xml:space="preserve"> </w:t>
      </w:r>
      <w:r w:rsidR="00FD20D1">
        <w:rPr>
          <w:rFonts w:asciiTheme="minorHAnsi" w:hAnsiTheme="minorHAnsi" w:cstheme="minorHAnsi"/>
        </w:rPr>
        <w:t>v rámci operačního programu se provádějí v</w:t>
      </w:r>
      <w:r w:rsidR="00CC6986">
        <w:rPr>
          <w:rFonts w:asciiTheme="minorHAnsi" w:hAnsiTheme="minorHAnsi" w:cstheme="minorHAnsi"/>
        </w:rPr>
        <w:t> českých korunách</w:t>
      </w:r>
      <w:r w:rsidR="00FD20D1">
        <w:rPr>
          <w:rFonts w:asciiTheme="minorHAnsi" w:hAnsiTheme="minorHAnsi" w:cstheme="minorHAnsi"/>
        </w:rPr>
        <w:t>. V průběhu účetního roku provádí NF-PCO mj. certifikaci výdajů (ujištění, že výdaje zahrnuté do žádosti o průběžnou platbu</w:t>
      </w:r>
      <w:r w:rsidR="00D97243">
        <w:rPr>
          <w:rFonts w:asciiTheme="minorHAnsi" w:hAnsiTheme="minorHAnsi" w:cstheme="minorHAnsi"/>
        </w:rPr>
        <w:t>, zasílané</w:t>
      </w:r>
      <w:r w:rsidR="00FD20D1">
        <w:rPr>
          <w:rFonts w:asciiTheme="minorHAnsi" w:hAnsiTheme="minorHAnsi" w:cstheme="minorHAnsi"/>
        </w:rPr>
        <w:t xml:space="preserve"> Evropské komis</w:t>
      </w:r>
      <w:r w:rsidR="00D97243">
        <w:rPr>
          <w:rFonts w:asciiTheme="minorHAnsi" w:hAnsiTheme="minorHAnsi" w:cstheme="minorHAnsi"/>
        </w:rPr>
        <w:t>i,</w:t>
      </w:r>
      <w:r w:rsidR="00FD20D1">
        <w:rPr>
          <w:rFonts w:asciiTheme="minorHAnsi" w:hAnsiTheme="minorHAnsi" w:cstheme="minorHAnsi"/>
        </w:rPr>
        <w:t xml:space="preserve"> byly vynaloženy v souladu s předpisy EU a ČR</w:t>
      </w:r>
      <w:r w:rsidR="00361DDF">
        <w:rPr>
          <w:rFonts w:asciiTheme="minorHAnsi" w:hAnsiTheme="minorHAnsi" w:cstheme="minorHAnsi"/>
        </w:rPr>
        <w:t>)</w:t>
      </w:r>
      <w:r w:rsidR="00FD20D1">
        <w:rPr>
          <w:rFonts w:asciiTheme="minorHAnsi" w:hAnsiTheme="minorHAnsi" w:cstheme="minorHAnsi"/>
        </w:rPr>
        <w:t>. NF-PCO rovněž zasílá Evropské komisi účetní závěrku</w:t>
      </w:r>
      <w:r w:rsidR="00361DDF">
        <w:rPr>
          <w:rStyle w:val="Znakapoznpodarou"/>
          <w:rFonts w:asciiTheme="minorHAnsi" w:hAnsiTheme="minorHAnsi" w:cstheme="minorHAnsi"/>
        </w:rPr>
        <w:footnoteReference w:id="12"/>
      </w:r>
      <w:r w:rsidR="00FD20D1">
        <w:rPr>
          <w:rFonts w:asciiTheme="minorHAnsi" w:hAnsiTheme="minorHAnsi" w:cstheme="minorHAnsi"/>
        </w:rPr>
        <w:t xml:space="preserve">, na základě které Evropská komise </w:t>
      </w:r>
      <w:r w:rsidR="00F33359">
        <w:rPr>
          <w:rFonts w:asciiTheme="minorHAnsi" w:hAnsiTheme="minorHAnsi" w:cstheme="minorHAnsi"/>
        </w:rPr>
        <w:t>stanoví částku, kterou je třeba doplatit ČR, nebo naopak vrátit do rozpočtu EU.</w:t>
      </w:r>
      <w:r w:rsidR="00FD20D1">
        <w:rPr>
          <w:rFonts w:asciiTheme="minorHAnsi" w:hAnsiTheme="minorHAnsi" w:cstheme="minorHAnsi"/>
        </w:rPr>
        <w:t xml:space="preserve"> </w:t>
      </w:r>
    </w:p>
    <w:p w14:paraId="37278F77" w14:textId="7139E69E" w:rsidR="009426B3" w:rsidRDefault="000E2243" w:rsidP="00AF436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 výše popsaných finančních toků v rámci </w:t>
      </w:r>
      <w:r w:rsidRPr="00720ADC">
        <w:rPr>
          <w:rFonts w:asciiTheme="minorHAnsi" w:hAnsiTheme="minorHAnsi" w:cstheme="minorHAnsi"/>
          <w:i/>
        </w:rPr>
        <w:t>Národního fondu</w:t>
      </w:r>
      <w:r>
        <w:rPr>
          <w:rFonts w:asciiTheme="minorHAnsi" w:hAnsiTheme="minorHAnsi" w:cstheme="minorHAnsi"/>
        </w:rPr>
        <w:t xml:space="preserve"> pak vyplývají některé významné skutečnosti relevantní pro účetnictví, uvedené v tabulce č. 6. </w:t>
      </w:r>
      <w:r w:rsidRPr="00211C04">
        <w:rPr>
          <w:rFonts w:asciiTheme="minorHAnsi" w:hAnsiTheme="minorHAnsi" w:cstheme="minorHAnsi"/>
        </w:rPr>
        <w:t xml:space="preserve">Jedná se o </w:t>
      </w:r>
      <w:r w:rsidRPr="005A4235">
        <w:rPr>
          <w:rFonts w:asciiTheme="minorHAnsi" w:hAnsiTheme="minorHAnsi" w:cstheme="minorHAnsi"/>
        </w:rPr>
        <w:t>zjednodušený výčet skutečností, které jsou v rámci NF zachycovány. Smyslem tohoto přehledu je zjednodušeně představit účetní případy NF</w:t>
      </w:r>
      <w:r w:rsidR="00332A81">
        <w:rPr>
          <w:rFonts w:asciiTheme="minorHAnsi" w:hAnsiTheme="minorHAnsi" w:cstheme="minorHAnsi"/>
        </w:rPr>
        <w:t>, přičemž</w:t>
      </w:r>
      <w:r w:rsidRPr="005A4235">
        <w:rPr>
          <w:rFonts w:asciiTheme="minorHAnsi" w:hAnsiTheme="minorHAnsi" w:cstheme="minorHAnsi"/>
        </w:rPr>
        <w:t xml:space="preserve"> </w:t>
      </w:r>
      <w:r w:rsidR="00332A81">
        <w:rPr>
          <w:rFonts w:asciiTheme="minorHAnsi" w:hAnsiTheme="minorHAnsi" w:cstheme="minorHAnsi"/>
        </w:rPr>
        <w:t>j</w:t>
      </w:r>
      <w:r w:rsidRPr="005A4235">
        <w:rPr>
          <w:rFonts w:asciiTheme="minorHAnsi" w:hAnsiTheme="minorHAnsi" w:cstheme="minorHAnsi"/>
        </w:rPr>
        <w:t>e abstrahováno od rozdílnost</w:t>
      </w:r>
      <w:r w:rsidR="00CC6986">
        <w:rPr>
          <w:rFonts w:asciiTheme="minorHAnsi" w:hAnsiTheme="minorHAnsi" w:cstheme="minorHAnsi"/>
        </w:rPr>
        <w:t>í</w:t>
      </w:r>
      <w:r w:rsidRPr="005A4235">
        <w:rPr>
          <w:rFonts w:asciiTheme="minorHAnsi" w:hAnsiTheme="minorHAnsi" w:cstheme="minorHAnsi"/>
        </w:rPr>
        <w:t xml:space="preserve"> v</w:t>
      </w:r>
      <w:r w:rsidR="004A5C6E">
        <w:rPr>
          <w:rFonts w:asciiTheme="minorHAnsi" w:hAnsiTheme="minorHAnsi" w:cstheme="minorHAnsi"/>
        </w:rPr>
        <w:t> </w:t>
      </w:r>
      <w:r w:rsidRPr="005A4235">
        <w:rPr>
          <w:rFonts w:asciiTheme="minorHAnsi" w:hAnsiTheme="minorHAnsi" w:cstheme="minorHAnsi"/>
        </w:rPr>
        <w:t>terminologii</w:t>
      </w:r>
      <w:r w:rsidR="004A5C6E">
        <w:rPr>
          <w:rFonts w:asciiTheme="minorHAnsi" w:hAnsiTheme="minorHAnsi" w:cstheme="minorHAnsi"/>
        </w:rPr>
        <w:t xml:space="preserve"> </w:t>
      </w:r>
      <w:r w:rsidRPr="005A4235">
        <w:rPr>
          <w:rFonts w:asciiTheme="minorHAnsi" w:hAnsiTheme="minorHAnsi" w:cstheme="minorHAnsi"/>
        </w:rPr>
        <w:t xml:space="preserve">jednotlivých programových období. </w:t>
      </w:r>
    </w:p>
    <w:p w14:paraId="03B7A49F" w14:textId="77777777" w:rsidR="004D1284" w:rsidRPr="00332A81" w:rsidRDefault="004D1284" w:rsidP="00720ADC">
      <w:pPr>
        <w:spacing w:after="0"/>
        <w:jc w:val="both"/>
        <w:rPr>
          <w:rFonts w:asciiTheme="minorHAnsi" w:hAnsiTheme="minorHAnsi" w:cstheme="minorHAnsi"/>
          <w:b/>
        </w:rPr>
      </w:pPr>
      <w:r w:rsidRPr="00332A81">
        <w:rPr>
          <w:rFonts w:asciiTheme="minorHAnsi" w:hAnsiTheme="minorHAnsi" w:cstheme="minorHAnsi"/>
          <w:b/>
        </w:rPr>
        <w:t>Tabulka č. 6 –</w:t>
      </w:r>
      <w:r w:rsidR="002545FE" w:rsidRPr="00332A81">
        <w:rPr>
          <w:rFonts w:asciiTheme="minorHAnsi" w:hAnsiTheme="minorHAnsi" w:cstheme="minorHAnsi"/>
          <w:b/>
        </w:rPr>
        <w:t xml:space="preserve"> </w:t>
      </w:r>
      <w:r w:rsidR="00361DDF" w:rsidRPr="00332A81">
        <w:rPr>
          <w:rFonts w:asciiTheme="minorHAnsi" w:hAnsiTheme="minorHAnsi" w:cstheme="minorHAnsi"/>
          <w:b/>
        </w:rPr>
        <w:t>Vybrané f</w:t>
      </w:r>
      <w:r w:rsidR="002545FE" w:rsidRPr="00332A81">
        <w:rPr>
          <w:rFonts w:asciiTheme="minorHAnsi" w:hAnsiTheme="minorHAnsi" w:cstheme="minorHAnsi"/>
          <w:b/>
        </w:rPr>
        <w:t xml:space="preserve">inanční toky </w:t>
      </w:r>
      <w:r w:rsidR="008F0AEB" w:rsidRPr="00332A81">
        <w:rPr>
          <w:rFonts w:asciiTheme="minorHAnsi" w:hAnsiTheme="minorHAnsi" w:cstheme="minorHAnsi"/>
          <w:b/>
        </w:rPr>
        <w:t xml:space="preserve">NF </w:t>
      </w:r>
      <w:r w:rsidR="002545FE" w:rsidRPr="00332A81">
        <w:rPr>
          <w:rFonts w:asciiTheme="minorHAnsi" w:hAnsiTheme="minorHAnsi" w:cstheme="minorHAnsi"/>
          <w:b/>
        </w:rPr>
        <w:t>v účetnictví MF</w:t>
      </w:r>
      <w:r w:rsidRPr="00332A81">
        <w:rPr>
          <w:rFonts w:asciiTheme="minorHAnsi" w:hAnsiTheme="minorHAnsi" w:cstheme="minorHAnsi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D04329" w:rsidRPr="004D1284" w14:paraId="3C5A1CD9" w14:textId="77777777" w:rsidTr="00720ADC">
        <w:trPr>
          <w:trHeight w:val="461"/>
        </w:trPr>
        <w:tc>
          <w:tcPr>
            <w:tcW w:w="3681" w:type="dxa"/>
            <w:shd w:val="clear" w:color="auto" w:fill="E5F1FF"/>
            <w:vAlign w:val="center"/>
          </w:tcPr>
          <w:p w14:paraId="373319D1" w14:textId="61327154" w:rsidR="00D04329" w:rsidRPr="004D1284" w:rsidRDefault="00D04329" w:rsidP="004D1284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128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MF vzniká</w:t>
            </w:r>
            <w:r w:rsidR="00CC698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379" w:type="dxa"/>
            <w:shd w:val="clear" w:color="auto" w:fill="E5F1FF"/>
            <w:vAlign w:val="center"/>
          </w:tcPr>
          <w:p w14:paraId="3E72274A" w14:textId="3C76CDA6" w:rsidR="00D04329" w:rsidRPr="004D1284" w:rsidRDefault="00CC6986" w:rsidP="004D1284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="0038045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ejména z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D04329" w:rsidRPr="004D128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titulu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4D1284" w:rsidRPr="004D1284" w14:paraId="208C0142" w14:textId="77777777" w:rsidTr="00720ADC">
        <w:tc>
          <w:tcPr>
            <w:tcW w:w="3681" w:type="dxa"/>
            <w:vMerge w:val="restart"/>
            <w:vAlign w:val="center"/>
          </w:tcPr>
          <w:p w14:paraId="681177F0" w14:textId="34BC27AE" w:rsidR="004D1284" w:rsidRPr="0081494C" w:rsidRDefault="00CC6986" w:rsidP="00D0432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="004D1284" w:rsidRPr="0081494C">
              <w:rPr>
                <w:rFonts w:asciiTheme="minorHAnsi" w:hAnsiTheme="minorHAnsi" w:cstheme="minorHAnsi"/>
                <w:sz w:val="20"/>
                <w:szCs w:val="20"/>
              </w:rPr>
              <w:t>ohledávka za Evropskou komisí</w:t>
            </w:r>
          </w:p>
        </w:tc>
        <w:tc>
          <w:tcPr>
            <w:tcW w:w="5379" w:type="dxa"/>
            <w:vAlign w:val="center"/>
          </w:tcPr>
          <w:p w14:paraId="01331A7E" w14:textId="314B17E7" w:rsidR="004D1284" w:rsidRPr="004D1284" w:rsidRDefault="00CC6986" w:rsidP="00720A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n</w:t>
            </w:r>
            <w:r w:rsidR="004D1284" w:rsidRPr="004D1284">
              <w:rPr>
                <w:rFonts w:asciiTheme="minorHAnsi" w:hAnsiTheme="minorHAnsi" w:cstheme="minorHAnsi"/>
                <w:sz w:val="20"/>
                <w:szCs w:val="20"/>
              </w:rPr>
              <w:t>ároku na předběžnou platbu</w:t>
            </w:r>
          </w:p>
        </w:tc>
      </w:tr>
      <w:tr w:rsidR="004D1284" w:rsidRPr="004D1284" w14:paraId="52338BD0" w14:textId="77777777" w:rsidTr="00720ADC">
        <w:tc>
          <w:tcPr>
            <w:tcW w:w="3681" w:type="dxa"/>
            <w:vMerge/>
            <w:vAlign w:val="center"/>
          </w:tcPr>
          <w:p w14:paraId="3618FE45" w14:textId="77777777" w:rsidR="004D1284" w:rsidRPr="0081494C" w:rsidRDefault="004D1284" w:rsidP="00D0432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9" w:type="dxa"/>
            <w:vAlign w:val="center"/>
          </w:tcPr>
          <w:p w14:paraId="77DF725F" w14:textId="28E0BCA8" w:rsidR="004D1284" w:rsidRPr="004D1284" w:rsidRDefault="00FE2F6C" w:rsidP="00720ADC">
            <w:pPr>
              <w:spacing w:after="0"/>
              <w:ind w:left="113" w:hanging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="004D1284" w:rsidRPr="004D1284">
              <w:rPr>
                <w:rFonts w:asciiTheme="minorHAnsi" w:hAnsiTheme="minorHAnsi" w:cstheme="minorHAnsi"/>
                <w:sz w:val="20"/>
                <w:szCs w:val="20"/>
              </w:rPr>
              <w:t>ředložení žádost</w:t>
            </w:r>
            <w:r w:rsidR="00293339">
              <w:rPr>
                <w:rFonts w:asciiTheme="minorHAnsi" w:hAnsiTheme="minorHAnsi" w:cstheme="minorHAnsi"/>
                <w:sz w:val="20"/>
                <w:szCs w:val="20"/>
              </w:rPr>
              <w:t xml:space="preserve">i o průběžnou platbu nebo </w:t>
            </w:r>
            <w:r w:rsidR="004D1284" w:rsidRPr="004D1284">
              <w:rPr>
                <w:rFonts w:asciiTheme="minorHAnsi" w:hAnsiTheme="minorHAnsi" w:cstheme="minorHAnsi"/>
                <w:sz w:val="20"/>
                <w:szCs w:val="20"/>
              </w:rPr>
              <w:t>platbu konečného zůstatku</w:t>
            </w:r>
          </w:p>
        </w:tc>
      </w:tr>
      <w:tr w:rsidR="00D04329" w:rsidRPr="004D1284" w14:paraId="283EFC62" w14:textId="77777777" w:rsidTr="00720ADC">
        <w:tc>
          <w:tcPr>
            <w:tcW w:w="3681" w:type="dxa"/>
            <w:vAlign w:val="center"/>
          </w:tcPr>
          <w:p w14:paraId="1E879A95" w14:textId="50B2344D" w:rsidR="00D04329" w:rsidRPr="0081494C" w:rsidRDefault="00CC6986" w:rsidP="00D04329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z</w:t>
            </w:r>
            <w:r w:rsidR="00EE318E" w:rsidRPr="0081494C">
              <w:rPr>
                <w:rFonts w:asciiTheme="minorHAnsi" w:hAnsiTheme="minorHAnsi" w:cstheme="minorHAnsi"/>
                <w:sz w:val="20"/>
                <w:szCs w:val="20"/>
              </w:rPr>
              <w:t>ávazek vůči Evropské komisi</w:t>
            </w:r>
          </w:p>
        </w:tc>
        <w:tc>
          <w:tcPr>
            <w:tcW w:w="5379" w:type="dxa"/>
            <w:vAlign w:val="center"/>
          </w:tcPr>
          <w:p w14:paraId="53420ECF" w14:textId="5F8D3B72" w:rsidR="00D04329" w:rsidRPr="004D1284" w:rsidRDefault="00FE2F6C" w:rsidP="00720A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ž</w:t>
            </w:r>
            <w:r w:rsidR="00EE318E" w:rsidRPr="004D1284">
              <w:rPr>
                <w:rFonts w:asciiTheme="minorHAnsi" w:hAnsiTheme="minorHAnsi" w:cstheme="minorHAnsi"/>
                <w:sz w:val="20"/>
                <w:szCs w:val="20"/>
              </w:rPr>
              <w:t>ádosti o vrácení nevyužitých prostředků z rozpočtu EU</w:t>
            </w:r>
          </w:p>
        </w:tc>
      </w:tr>
      <w:tr w:rsidR="00D04329" w:rsidRPr="004D1284" w14:paraId="014C88AC" w14:textId="77777777" w:rsidTr="00720ADC">
        <w:tc>
          <w:tcPr>
            <w:tcW w:w="3681" w:type="dxa"/>
            <w:vAlign w:val="center"/>
          </w:tcPr>
          <w:p w14:paraId="136505A2" w14:textId="482E7D93" w:rsidR="00D04329" w:rsidRPr="0081494C" w:rsidRDefault="00CC6986" w:rsidP="00CC6986">
            <w:pPr>
              <w:spacing w:after="0"/>
              <w:ind w:right="-1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z</w:t>
            </w:r>
            <w:r w:rsidR="00EE318E" w:rsidRPr="0081494C">
              <w:rPr>
                <w:rFonts w:asciiTheme="minorHAnsi" w:hAnsiTheme="minorHAnsi" w:cstheme="minorHAnsi"/>
                <w:sz w:val="20"/>
                <w:szCs w:val="20"/>
              </w:rPr>
              <w:t>ávazek vůči předfinancujícímu subjektu</w:t>
            </w:r>
          </w:p>
        </w:tc>
        <w:tc>
          <w:tcPr>
            <w:tcW w:w="5379" w:type="dxa"/>
            <w:vAlign w:val="center"/>
          </w:tcPr>
          <w:p w14:paraId="2595DD03" w14:textId="3A943F3A" w:rsidR="00D04329" w:rsidRPr="004D1284" w:rsidRDefault="00FE2F6C" w:rsidP="00720A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</w:t>
            </w:r>
            <w:r w:rsidR="00EE318E" w:rsidRPr="004D1284">
              <w:rPr>
                <w:rFonts w:asciiTheme="minorHAnsi" w:hAnsiTheme="minorHAnsi" w:cstheme="minorHAnsi"/>
                <w:sz w:val="20"/>
                <w:szCs w:val="20"/>
              </w:rPr>
              <w:t>chválení souhrnné žádosti o platbu</w:t>
            </w:r>
            <w:r w:rsidR="00293339">
              <w:rPr>
                <w:rFonts w:asciiTheme="minorHAnsi" w:hAnsiTheme="minorHAnsi" w:cstheme="minorHAnsi"/>
                <w:sz w:val="20"/>
                <w:szCs w:val="20"/>
              </w:rPr>
              <w:t xml:space="preserve"> prostředků z rozpočtu EU</w:t>
            </w:r>
          </w:p>
        </w:tc>
      </w:tr>
      <w:tr w:rsidR="002545FE" w:rsidRPr="004D1284" w14:paraId="2534B0E6" w14:textId="77777777" w:rsidTr="00720ADC">
        <w:trPr>
          <w:trHeight w:val="475"/>
        </w:trPr>
        <w:tc>
          <w:tcPr>
            <w:tcW w:w="3681" w:type="dxa"/>
            <w:shd w:val="clear" w:color="auto" w:fill="E5F1FF"/>
            <w:vAlign w:val="center"/>
          </w:tcPr>
          <w:p w14:paraId="7023D405" w14:textId="24072F28" w:rsidR="002545FE" w:rsidRPr="004D1284" w:rsidRDefault="002545FE" w:rsidP="002545FE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MF za</w:t>
            </w:r>
            <w:r w:rsidRPr="004D1284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niká</w:t>
            </w:r>
            <w:r w:rsidR="00CC698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379" w:type="dxa"/>
            <w:shd w:val="clear" w:color="auto" w:fill="E5F1FF"/>
            <w:vAlign w:val="center"/>
          </w:tcPr>
          <w:p w14:paraId="2989C419" w14:textId="16E5CFA1" w:rsidR="002545FE" w:rsidRPr="004D1284" w:rsidRDefault="00CC6986" w:rsidP="00720A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z</w:t>
            </w:r>
            <w:r w:rsidR="00380459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ejména z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5536F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důvodu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</w:p>
        </w:tc>
      </w:tr>
      <w:tr w:rsidR="002545FE" w:rsidRPr="004D1284" w14:paraId="75547072" w14:textId="77777777" w:rsidTr="00720ADC">
        <w:tc>
          <w:tcPr>
            <w:tcW w:w="3681" w:type="dxa"/>
            <w:vAlign w:val="center"/>
          </w:tcPr>
          <w:p w14:paraId="71733BC5" w14:textId="095B1102" w:rsidR="002545FE" w:rsidRPr="004D1284" w:rsidRDefault="00CC6986" w:rsidP="00CC698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="008F4B34">
              <w:rPr>
                <w:rFonts w:asciiTheme="minorHAnsi" w:hAnsiTheme="minorHAnsi" w:cstheme="minorHAnsi"/>
                <w:sz w:val="20"/>
                <w:szCs w:val="20"/>
              </w:rPr>
              <w:t>ohledávka za Evropskou komisí</w:t>
            </w:r>
          </w:p>
        </w:tc>
        <w:tc>
          <w:tcPr>
            <w:tcW w:w="5379" w:type="dxa"/>
            <w:vAlign w:val="center"/>
          </w:tcPr>
          <w:p w14:paraId="6CC8FB0F" w14:textId="2095CD29" w:rsidR="002545FE" w:rsidRPr="004D1284" w:rsidRDefault="00FE2F6C" w:rsidP="00720AD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="008F4B34">
              <w:rPr>
                <w:rFonts w:asciiTheme="minorHAnsi" w:hAnsiTheme="minorHAnsi" w:cstheme="minorHAnsi"/>
                <w:sz w:val="20"/>
                <w:szCs w:val="20"/>
              </w:rPr>
              <w:t xml:space="preserve">říjmu prostředků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8F4B34">
              <w:rPr>
                <w:rFonts w:asciiTheme="minorHAnsi" w:hAnsiTheme="minorHAnsi" w:cstheme="minorHAnsi"/>
                <w:sz w:val="20"/>
                <w:szCs w:val="20"/>
              </w:rPr>
              <w:t>Evropské komise na účet NF-PCO</w:t>
            </w:r>
          </w:p>
        </w:tc>
      </w:tr>
      <w:tr w:rsidR="002545FE" w:rsidRPr="004D1284" w14:paraId="5C5BAB7D" w14:textId="77777777" w:rsidTr="00720ADC">
        <w:tc>
          <w:tcPr>
            <w:tcW w:w="3681" w:type="dxa"/>
            <w:vAlign w:val="center"/>
          </w:tcPr>
          <w:p w14:paraId="436ACB50" w14:textId="2DEC5199" w:rsidR="002545FE" w:rsidRPr="004D1284" w:rsidRDefault="00CC6986" w:rsidP="00CC698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z</w:t>
            </w:r>
            <w:r w:rsidR="008F4B34">
              <w:rPr>
                <w:rFonts w:asciiTheme="minorHAnsi" w:hAnsiTheme="minorHAnsi" w:cstheme="minorHAnsi"/>
                <w:sz w:val="20"/>
                <w:szCs w:val="20"/>
              </w:rPr>
              <w:t>ávazek vůči Evropské komisi</w:t>
            </w:r>
          </w:p>
        </w:tc>
        <w:tc>
          <w:tcPr>
            <w:tcW w:w="5379" w:type="dxa"/>
            <w:vAlign w:val="center"/>
          </w:tcPr>
          <w:p w14:paraId="73068650" w14:textId="5E031ACB" w:rsidR="002545FE" w:rsidRPr="004D1284" w:rsidRDefault="00FE2F6C" w:rsidP="00720ADC">
            <w:pPr>
              <w:spacing w:after="0"/>
              <w:ind w:left="113" w:hanging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v</w:t>
            </w:r>
            <w:r w:rsidR="008F0AEB">
              <w:rPr>
                <w:rFonts w:asciiTheme="minorHAnsi" w:hAnsiTheme="minorHAnsi" w:cstheme="minorHAnsi"/>
                <w:sz w:val="20"/>
                <w:szCs w:val="20"/>
              </w:rPr>
              <w:t>rácení nevyužitých prostředků z rozpočtu EU z účtu NF-PCO na účet Evropské komise</w:t>
            </w:r>
          </w:p>
        </w:tc>
      </w:tr>
      <w:tr w:rsidR="002545FE" w:rsidRPr="004D1284" w14:paraId="01427852" w14:textId="77777777" w:rsidTr="00720ADC">
        <w:tc>
          <w:tcPr>
            <w:tcW w:w="3681" w:type="dxa"/>
            <w:vAlign w:val="center"/>
          </w:tcPr>
          <w:p w14:paraId="43CEC123" w14:textId="3827D123" w:rsidR="002545FE" w:rsidRPr="004D1284" w:rsidRDefault="00CC6986" w:rsidP="00CC6986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z</w:t>
            </w:r>
            <w:r w:rsidR="008F4B34">
              <w:rPr>
                <w:rFonts w:asciiTheme="minorHAnsi" w:hAnsiTheme="minorHAnsi" w:cstheme="minorHAnsi"/>
                <w:sz w:val="20"/>
                <w:szCs w:val="20"/>
              </w:rPr>
              <w:t>ávazek vůči předfinancujícímu subjektu</w:t>
            </w:r>
          </w:p>
        </w:tc>
        <w:tc>
          <w:tcPr>
            <w:tcW w:w="5379" w:type="dxa"/>
            <w:vAlign w:val="center"/>
          </w:tcPr>
          <w:p w14:paraId="6DD436AD" w14:textId="6A8EFB10" w:rsidR="002545FE" w:rsidRPr="004D1284" w:rsidRDefault="00FE2F6C" w:rsidP="00720ADC">
            <w:pPr>
              <w:spacing w:after="0"/>
              <w:ind w:left="113" w:hanging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="008F4B34">
              <w:rPr>
                <w:rFonts w:asciiTheme="minorHAnsi" w:hAnsiTheme="minorHAnsi" w:cstheme="minorHAnsi"/>
                <w:sz w:val="20"/>
                <w:szCs w:val="20"/>
              </w:rPr>
              <w:t xml:space="preserve">řevodu prostředků z účtu NF-PCO na příjmový účet </w:t>
            </w:r>
            <w:r w:rsidR="008F0AEB">
              <w:rPr>
                <w:rFonts w:asciiTheme="minorHAnsi" w:hAnsiTheme="minorHAnsi" w:cstheme="minorHAnsi"/>
                <w:sz w:val="20"/>
                <w:szCs w:val="20"/>
              </w:rPr>
              <w:t>OSS, která poskytla prostředky na předfinancování prostředků z rozpočtu EU</w:t>
            </w:r>
          </w:p>
        </w:tc>
      </w:tr>
    </w:tbl>
    <w:p w14:paraId="6E0EA3CC" w14:textId="77777777" w:rsidR="004D1284" w:rsidRPr="003125B2" w:rsidRDefault="00380459" w:rsidP="00297FD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97FD1">
        <w:rPr>
          <w:rFonts w:asciiTheme="minorHAnsi" w:hAnsiTheme="minorHAnsi" w:cstheme="minorHAnsi"/>
          <w:b/>
          <w:sz w:val="20"/>
          <w:szCs w:val="20"/>
        </w:rPr>
        <w:t>Zdroj:</w:t>
      </w:r>
      <w:r w:rsidRPr="003125B2">
        <w:rPr>
          <w:rFonts w:asciiTheme="minorHAnsi" w:hAnsiTheme="minorHAnsi" w:cstheme="minorHAnsi"/>
          <w:sz w:val="20"/>
          <w:szCs w:val="20"/>
        </w:rPr>
        <w:t xml:space="preserve"> </w:t>
      </w:r>
      <w:r w:rsidR="004D1284" w:rsidRPr="003125B2">
        <w:rPr>
          <w:rFonts w:asciiTheme="minorHAnsi" w:hAnsiTheme="minorHAnsi" w:cstheme="minorHAnsi"/>
          <w:sz w:val="20"/>
          <w:szCs w:val="20"/>
        </w:rPr>
        <w:t>vlastní zpracování na základě informací zjištěných během kontroly</w:t>
      </w:r>
      <w:r w:rsidR="003125B2">
        <w:rPr>
          <w:rFonts w:asciiTheme="minorHAnsi" w:hAnsiTheme="minorHAnsi" w:cstheme="minorHAnsi"/>
          <w:sz w:val="20"/>
          <w:szCs w:val="20"/>
        </w:rPr>
        <w:t>.</w:t>
      </w:r>
    </w:p>
    <w:p w14:paraId="46933D98" w14:textId="77777777" w:rsidR="00365728" w:rsidRDefault="0036572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9AEB95A" w14:textId="33A9D6AD" w:rsidR="00F13571" w:rsidRDefault="000E2243" w:rsidP="00AF436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Pr="00824BFA">
        <w:rPr>
          <w:rFonts w:asciiTheme="minorHAnsi" w:hAnsiTheme="minorHAnsi" w:cstheme="minorHAnsi"/>
        </w:rPr>
        <w:t>elevantní skutečnosti pro výkaznictví MF vyplýva</w:t>
      </w:r>
      <w:r w:rsidR="007F2D58">
        <w:rPr>
          <w:rFonts w:asciiTheme="minorHAnsi" w:hAnsiTheme="minorHAnsi" w:cstheme="minorHAnsi"/>
        </w:rPr>
        <w:t>jí z příslušných</w:t>
      </w:r>
      <w:r>
        <w:rPr>
          <w:rFonts w:asciiTheme="minorHAnsi" w:hAnsiTheme="minorHAnsi" w:cstheme="minorHAnsi"/>
        </w:rPr>
        <w:t xml:space="preserve"> nařízení Rady Evropského společenství</w:t>
      </w:r>
      <w:r w:rsidRPr="00824BFA">
        <w:rPr>
          <w:rFonts w:asciiTheme="minorHAnsi" w:hAnsiTheme="minorHAnsi" w:cstheme="minorHAnsi"/>
        </w:rPr>
        <w:t>, kter</w:t>
      </w:r>
      <w:r w:rsidR="00332A81">
        <w:rPr>
          <w:rFonts w:asciiTheme="minorHAnsi" w:hAnsiTheme="minorHAnsi" w:cstheme="minorHAnsi"/>
        </w:rPr>
        <w:t>á</w:t>
      </w:r>
      <w:r w:rsidRPr="00824BFA">
        <w:rPr>
          <w:rFonts w:asciiTheme="minorHAnsi" w:hAnsiTheme="minorHAnsi" w:cstheme="minorHAnsi"/>
        </w:rPr>
        <w:t xml:space="preserve"> upravuj</w:t>
      </w:r>
      <w:r w:rsidR="00332A81">
        <w:rPr>
          <w:rFonts w:asciiTheme="minorHAnsi" w:hAnsiTheme="minorHAnsi" w:cstheme="minorHAnsi"/>
        </w:rPr>
        <w:t>í</w:t>
      </w:r>
      <w:r w:rsidR="007F2D58">
        <w:rPr>
          <w:rFonts w:asciiTheme="minorHAnsi" w:hAnsiTheme="minorHAnsi" w:cstheme="minorHAnsi"/>
        </w:rPr>
        <w:t xml:space="preserve"> obecná ustanovení </w:t>
      </w:r>
      <w:r w:rsidRPr="00824BFA">
        <w:rPr>
          <w:rFonts w:asciiTheme="minorHAnsi" w:hAnsiTheme="minorHAnsi" w:cstheme="minorHAnsi"/>
        </w:rPr>
        <w:t>daných fondů</w:t>
      </w:r>
      <w:r w:rsidR="007207A2">
        <w:rPr>
          <w:rStyle w:val="Znakapoznpodarou"/>
          <w:rFonts w:asciiTheme="minorHAnsi" w:hAnsiTheme="minorHAnsi" w:cstheme="minorHAnsi"/>
        </w:rPr>
        <w:footnoteReference w:id="13"/>
      </w:r>
      <w:r w:rsidRPr="00824BFA">
        <w:rPr>
          <w:rFonts w:asciiTheme="minorHAnsi" w:hAnsiTheme="minorHAnsi" w:cstheme="minorHAnsi"/>
        </w:rPr>
        <w:t>.</w:t>
      </w:r>
      <w:r w:rsidR="00A40A9C">
        <w:rPr>
          <w:rFonts w:asciiTheme="minorHAnsi" w:hAnsiTheme="minorHAnsi" w:cstheme="minorHAnsi"/>
        </w:rPr>
        <w:t xml:space="preserve"> </w:t>
      </w:r>
      <w:r w:rsidR="0006454A" w:rsidRPr="00721E56">
        <w:rPr>
          <w:rFonts w:asciiTheme="minorHAnsi" w:hAnsiTheme="minorHAnsi" w:cstheme="minorHAnsi"/>
        </w:rPr>
        <w:t>MF p</w:t>
      </w:r>
      <w:r w:rsidR="007C33F9">
        <w:rPr>
          <w:rFonts w:asciiTheme="minorHAnsi" w:hAnsiTheme="minorHAnsi" w:cstheme="minorHAnsi"/>
        </w:rPr>
        <w:t>ři</w:t>
      </w:r>
      <w:r w:rsidR="0006454A" w:rsidRPr="00721E56">
        <w:rPr>
          <w:rFonts w:asciiTheme="minorHAnsi" w:hAnsiTheme="minorHAnsi" w:cstheme="minorHAnsi"/>
        </w:rPr>
        <w:t xml:space="preserve"> zaúčtování operací </w:t>
      </w:r>
      <w:r w:rsidR="0006454A" w:rsidRPr="00720ADC">
        <w:rPr>
          <w:rFonts w:asciiTheme="minorHAnsi" w:hAnsiTheme="minorHAnsi" w:cstheme="minorHAnsi"/>
          <w:i/>
        </w:rPr>
        <w:t>Národního fond</w:t>
      </w:r>
      <w:r w:rsidR="00A40A9C" w:rsidRPr="00720ADC">
        <w:rPr>
          <w:rFonts w:asciiTheme="minorHAnsi" w:hAnsiTheme="minorHAnsi" w:cstheme="minorHAnsi"/>
          <w:i/>
        </w:rPr>
        <w:t>u</w:t>
      </w:r>
      <w:r w:rsidR="00A40A9C">
        <w:rPr>
          <w:rFonts w:asciiTheme="minorHAnsi" w:hAnsiTheme="minorHAnsi" w:cstheme="minorHAnsi"/>
        </w:rPr>
        <w:t xml:space="preserve"> </w:t>
      </w:r>
      <w:r w:rsidR="0006454A" w:rsidRPr="00721E56">
        <w:rPr>
          <w:rFonts w:asciiTheme="minorHAnsi" w:hAnsiTheme="minorHAnsi" w:cstheme="minorHAnsi"/>
        </w:rPr>
        <w:t xml:space="preserve">vychází z postupů stanovených v ČÚS č. 703 – </w:t>
      </w:r>
      <w:r w:rsidR="0006454A" w:rsidRPr="00721E56">
        <w:rPr>
          <w:rFonts w:asciiTheme="minorHAnsi" w:hAnsiTheme="minorHAnsi" w:cstheme="minorHAnsi"/>
          <w:i/>
        </w:rPr>
        <w:t>Transfery</w:t>
      </w:r>
      <w:r w:rsidR="0006454A" w:rsidRPr="007D08DB">
        <w:rPr>
          <w:rFonts w:asciiTheme="minorHAnsi" w:hAnsiTheme="minorHAnsi" w:cstheme="minorHAnsi"/>
        </w:rPr>
        <w:t xml:space="preserve"> pro zprostře</w:t>
      </w:r>
      <w:r w:rsidR="00824BFA" w:rsidRPr="007D08DB">
        <w:rPr>
          <w:rFonts w:asciiTheme="minorHAnsi" w:hAnsiTheme="minorHAnsi" w:cstheme="minorHAnsi"/>
        </w:rPr>
        <w:t>dkovatele průtokového transferu</w:t>
      </w:r>
      <w:r w:rsidR="00721E56" w:rsidRPr="00363F8A">
        <w:rPr>
          <w:rFonts w:asciiTheme="minorHAnsi" w:hAnsiTheme="minorHAnsi" w:cstheme="minorHAnsi"/>
        </w:rPr>
        <w:t>, který upravuje v případě zprostředkovatele transferu pouze účetní postupy pro převod peněžních prostředků. Tyto postupy nas</w:t>
      </w:r>
      <w:r w:rsidR="007D08DB" w:rsidRPr="007D08DB">
        <w:rPr>
          <w:rFonts w:asciiTheme="minorHAnsi" w:hAnsiTheme="minorHAnsi" w:cstheme="minorHAnsi"/>
        </w:rPr>
        <w:t xml:space="preserve">tavené v bodu 5.1.1. </w:t>
      </w:r>
      <w:r w:rsidR="00721E56" w:rsidRPr="00363F8A">
        <w:rPr>
          <w:rFonts w:asciiTheme="minorHAnsi" w:hAnsiTheme="minorHAnsi" w:cstheme="minorHAnsi"/>
        </w:rPr>
        <w:t xml:space="preserve">ČÚS </w:t>
      </w:r>
      <w:r w:rsidR="007D08DB">
        <w:rPr>
          <w:rFonts w:asciiTheme="minorHAnsi" w:hAnsiTheme="minorHAnsi" w:cstheme="minorHAnsi"/>
        </w:rPr>
        <w:t xml:space="preserve">č. 703 </w:t>
      </w:r>
      <w:r w:rsidR="00721E56" w:rsidRPr="00363F8A">
        <w:rPr>
          <w:rFonts w:asciiTheme="minorHAnsi" w:hAnsiTheme="minorHAnsi" w:cstheme="minorHAnsi"/>
        </w:rPr>
        <w:t>předpokládají, že zprostředkovatel nejprve p</w:t>
      </w:r>
      <w:r w:rsidR="007D08DB">
        <w:rPr>
          <w:rFonts w:asciiTheme="minorHAnsi" w:hAnsiTheme="minorHAnsi" w:cstheme="minorHAnsi"/>
        </w:rPr>
        <w:t xml:space="preserve">řijme průtokový transfer a </w:t>
      </w:r>
      <w:r w:rsidR="00721E56" w:rsidRPr="00363F8A">
        <w:rPr>
          <w:rFonts w:asciiTheme="minorHAnsi" w:hAnsiTheme="minorHAnsi" w:cstheme="minorHAnsi"/>
        </w:rPr>
        <w:t xml:space="preserve">dále </w:t>
      </w:r>
      <w:r w:rsidR="007D08DB">
        <w:rPr>
          <w:rFonts w:asciiTheme="minorHAnsi" w:hAnsiTheme="minorHAnsi" w:cstheme="minorHAnsi"/>
        </w:rPr>
        <w:t xml:space="preserve">jej </w:t>
      </w:r>
      <w:r w:rsidR="00721E56" w:rsidRPr="00363F8A">
        <w:rPr>
          <w:rFonts w:asciiTheme="minorHAnsi" w:hAnsiTheme="minorHAnsi" w:cstheme="minorHAnsi"/>
        </w:rPr>
        <w:t>zprostředkuje příjemci transferu nebo dalšímu zprostředkovateli</w:t>
      </w:r>
      <w:r w:rsidR="007D08DB">
        <w:rPr>
          <w:rFonts w:asciiTheme="minorHAnsi" w:hAnsiTheme="minorHAnsi" w:cstheme="minorHAnsi"/>
        </w:rPr>
        <w:t>,</w:t>
      </w:r>
      <w:r w:rsidR="00721E56" w:rsidRPr="00363F8A">
        <w:rPr>
          <w:rFonts w:asciiTheme="minorHAnsi" w:hAnsiTheme="minorHAnsi" w:cstheme="minorHAnsi"/>
        </w:rPr>
        <w:t xml:space="preserve"> </w:t>
      </w:r>
      <w:r w:rsidR="004A5C6E">
        <w:rPr>
          <w:rFonts w:asciiTheme="minorHAnsi" w:hAnsiTheme="minorHAnsi" w:cstheme="minorHAnsi"/>
        </w:rPr>
        <w:t>přičemž</w:t>
      </w:r>
      <w:r w:rsidR="00721E56" w:rsidRPr="00363F8A">
        <w:rPr>
          <w:rFonts w:asciiTheme="minorHAnsi" w:hAnsiTheme="minorHAnsi" w:cstheme="minorHAnsi"/>
        </w:rPr>
        <w:t xml:space="preserve"> účtuje pouze o</w:t>
      </w:r>
      <w:r w:rsidR="007C33F9">
        <w:rPr>
          <w:rFonts w:asciiTheme="minorHAnsi" w:hAnsiTheme="minorHAnsi" w:cstheme="minorHAnsi"/>
        </w:rPr>
        <w:t xml:space="preserve"> </w:t>
      </w:r>
      <w:r w:rsidR="00721E56" w:rsidRPr="00363F8A">
        <w:rPr>
          <w:rFonts w:asciiTheme="minorHAnsi" w:hAnsiTheme="minorHAnsi" w:cstheme="minorHAnsi"/>
        </w:rPr>
        <w:t>peněžních tocích.</w:t>
      </w:r>
      <w:r w:rsidR="00747445">
        <w:rPr>
          <w:rFonts w:asciiTheme="minorHAnsi" w:hAnsiTheme="minorHAnsi" w:cstheme="minorHAnsi"/>
        </w:rPr>
        <w:t xml:space="preserve"> </w:t>
      </w:r>
    </w:p>
    <w:p w14:paraId="5F096FF6" w14:textId="159D6AFD" w:rsidR="008D29D2" w:rsidRDefault="00747445" w:rsidP="00AF436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363F8A">
        <w:rPr>
          <w:rFonts w:asciiTheme="minorHAnsi" w:hAnsiTheme="minorHAnsi" w:cstheme="minorHAnsi"/>
        </w:rPr>
        <w:t xml:space="preserve">romě převodu peněžních prostředků </w:t>
      </w:r>
      <w:r w:rsidR="00F13571" w:rsidRPr="00F13571">
        <w:rPr>
          <w:rFonts w:asciiTheme="minorHAnsi" w:hAnsiTheme="minorHAnsi" w:cstheme="minorHAnsi"/>
        </w:rPr>
        <w:t>dochází u NF i k jiným</w:t>
      </w:r>
      <w:r w:rsidR="00F13571">
        <w:rPr>
          <w:rFonts w:asciiTheme="minorHAnsi" w:hAnsiTheme="minorHAnsi" w:cstheme="minorHAnsi"/>
        </w:rPr>
        <w:t xml:space="preserve"> skutečnostem</w:t>
      </w:r>
      <w:r w:rsidRPr="00363F8A">
        <w:rPr>
          <w:rFonts w:asciiTheme="minorHAnsi" w:hAnsiTheme="minorHAnsi" w:cstheme="minorHAnsi"/>
        </w:rPr>
        <w:t xml:space="preserve">, které vyplývají z implementace programů, </w:t>
      </w:r>
      <w:r w:rsidR="00F13571" w:rsidRPr="00F13571">
        <w:rPr>
          <w:rFonts w:asciiTheme="minorHAnsi" w:hAnsiTheme="minorHAnsi" w:cstheme="minorHAnsi"/>
        </w:rPr>
        <w:t>a MF o nich účtuje</w:t>
      </w:r>
      <w:r w:rsidR="00631D2E">
        <w:rPr>
          <w:rFonts w:asciiTheme="minorHAnsi" w:hAnsiTheme="minorHAnsi" w:cstheme="minorHAnsi"/>
        </w:rPr>
        <w:t xml:space="preserve"> (např. případy </w:t>
      </w:r>
      <w:r w:rsidR="008D29D2">
        <w:rPr>
          <w:rFonts w:asciiTheme="minorHAnsi" w:hAnsiTheme="minorHAnsi" w:cstheme="minorHAnsi"/>
        </w:rPr>
        <w:t xml:space="preserve">uvedené v </w:t>
      </w:r>
      <w:r w:rsidR="00631D2E">
        <w:rPr>
          <w:rFonts w:asciiTheme="minorHAnsi" w:hAnsiTheme="minorHAnsi" w:cstheme="minorHAnsi"/>
        </w:rPr>
        <w:t>tabul</w:t>
      </w:r>
      <w:r w:rsidR="008D29D2">
        <w:rPr>
          <w:rFonts w:asciiTheme="minorHAnsi" w:hAnsiTheme="minorHAnsi" w:cstheme="minorHAnsi"/>
        </w:rPr>
        <w:t>ce</w:t>
      </w:r>
      <w:r w:rsidR="00631D2E">
        <w:rPr>
          <w:rFonts w:asciiTheme="minorHAnsi" w:hAnsiTheme="minorHAnsi" w:cstheme="minorHAnsi"/>
        </w:rPr>
        <w:t xml:space="preserve"> č. 6)</w:t>
      </w:r>
      <w:r w:rsidR="00F13571" w:rsidRPr="00F13571">
        <w:rPr>
          <w:rFonts w:asciiTheme="minorHAnsi" w:hAnsiTheme="minorHAnsi" w:cstheme="minorHAnsi"/>
        </w:rPr>
        <w:t xml:space="preserve">. Podle NKÚ tento postup odpovídá účetním předpisům, tedy </w:t>
      </w:r>
      <w:r w:rsidR="00F13571" w:rsidRPr="00363F8A">
        <w:rPr>
          <w:rFonts w:asciiTheme="minorHAnsi" w:hAnsiTheme="minorHAnsi" w:cstheme="minorHAnsi"/>
        </w:rPr>
        <w:t xml:space="preserve">účetní jednotka v roli zprostředkovatele transferu může aplikovat i další postupy účtování, než které </w:t>
      </w:r>
      <w:r w:rsidR="00F13571">
        <w:rPr>
          <w:rFonts w:asciiTheme="minorHAnsi" w:hAnsiTheme="minorHAnsi" w:cstheme="minorHAnsi"/>
        </w:rPr>
        <w:t xml:space="preserve">pro zprostředkovatele explicitně </w:t>
      </w:r>
      <w:r w:rsidR="00F13571" w:rsidRPr="00363F8A">
        <w:rPr>
          <w:rFonts w:asciiTheme="minorHAnsi" w:hAnsiTheme="minorHAnsi" w:cstheme="minorHAnsi"/>
        </w:rPr>
        <w:t xml:space="preserve">stanoví ČÚS č. 703 – </w:t>
      </w:r>
      <w:r w:rsidR="00F13571" w:rsidRPr="00363F8A">
        <w:rPr>
          <w:rFonts w:asciiTheme="minorHAnsi" w:hAnsiTheme="minorHAnsi" w:cstheme="minorHAnsi"/>
          <w:i/>
        </w:rPr>
        <w:t>Transfery</w:t>
      </w:r>
      <w:r w:rsidR="007C33F9">
        <w:rPr>
          <w:rFonts w:asciiTheme="minorHAnsi" w:hAnsiTheme="minorHAnsi" w:cstheme="minorHAnsi"/>
        </w:rPr>
        <w:t>,</w:t>
      </w:r>
      <w:r w:rsidR="008D29D2">
        <w:rPr>
          <w:rFonts w:asciiTheme="minorHAnsi" w:hAnsiTheme="minorHAnsi" w:cstheme="minorHAnsi"/>
          <w:i/>
        </w:rPr>
        <w:t xml:space="preserve"> </w:t>
      </w:r>
      <w:r w:rsidR="008D29D2">
        <w:rPr>
          <w:rFonts w:asciiTheme="minorHAnsi" w:hAnsiTheme="minorHAnsi" w:cstheme="minorHAnsi"/>
        </w:rPr>
        <w:t>a</w:t>
      </w:r>
      <w:r w:rsidR="00F13571" w:rsidRPr="00363F8A">
        <w:rPr>
          <w:rFonts w:asciiTheme="minorHAnsi" w:hAnsiTheme="minorHAnsi" w:cstheme="minorHAnsi"/>
          <w:i/>
        </w:rPr>
        <w:t xml:space="preserve"> </w:t>
      </w:r>
      <w:r w:rsidR="00F13571" w:rsidRPr="00363F8A">
        <w:rPr>
          <w:rFonts w:asciiTheme="minorHAnsi" w:hAnsiTheme="minorHAnsi" w:cstheme="minorHAnsi"/>
        </w:rPr>
        <w:t xml:space="preserve">které budou odpovídat uskutečněným </w:t>
      </w:r>
      <w:r w:rsidR="00F13571">
        <w:rPr>
          <w:rFonts w:asciiTheme="minorHAnsi" w:hAnsiTheme="minorHAnsi" w:cstheme="minorHAnsi"/>
        </w:rPr>
        <w:t>případům</w:t>
      </w:r>
      <w:r w:rsidR="00F13571" w:rsidRPr="00363F8A">
        <w:rPr>
          <w:rFonts w:asciiTheme="minorHAnsi" w:hAnsiTheme="minorHAnsi" w:cstheme="minorHAnsi"/>
        </w:rPr>
        <w:t>.</w:t>
      </w:r>
    </w:p>
    <w:p w14:paraId="08190809" w14:textId="531E31F8" w:rsidR="00721E56" w:rsidRPr="00363F8A" w:rsidRDefault="00721E56" w:rsidP="00AF4368">
      <w:pPr>
        <w:spacing w:after="0"/>
        <w:jc w:val="both"/>
        <w:rPr>
          <w:rFonts w:asciiTheme="minorHAnsi" w:hAnsiTheme="minorHAnsi" w:cstheme="minorHAnsi"/>
        </w:rPr>
      </w:pPr>
    </w:p>
    <w:p w14:paraId="435608AD" w14:textId="77777777" w:rsidR="00803A5D" w:rsidRPr="005A4235" w:rsidRDefault="00803A5D" w:rsidP="00AF4368">
      <w:pPr>
        <w:spacing w:after="160"/>
        <w:jc w:val="both"/>
        <w:rPr>
          <w:rFonts w:asciiTheme="minorHAnsi" w:hAnsiTheme="minorHAnsi" w:cstheme="minorHAnsi"/>
          <w:b/>
          <w:u w:val="single"/>
        </w:rPr>
      </w:pPr>
      <w:r w:rsidRPr="005A4235">
        <w:rPr>
          <w:rFonts w:asciiTheme="minorHAnsi" w:hAnsiTheme="minorHAnsi" w:cstheme="minorHAnsi"/>
          <w:b/>
          <w:u w:val="single"/>
        </w:rPr>
        <w:t xml:space="preserve">Programové období 2004–2006 </w:t>
      </w:r>
    </w:p>
    <w:p w14:paraId="5697B2A8" w14:textId="3483684D" w:rsidR="00AC74BA" w:rsidRDefault="001A3444" w:rsidP="00AF4368">
      <w:pPr>
        <w:spacing w:after="160"/>
        <w:jc w:val="both"/>
        <w:rPr>
          <w:rFonts w:asciiTheme="minorHAnsi" w:hAnsiTheme="minorHAnsi" w:cstheme="minorHAnsi"/>
        </w:rPr>
      </w:pPr>
      <w:r w:rsidRPr="007F585E">
        <w:rPr>
          <w:rFonts w:asciiTheme="minorHAnsi" w:hAnsiTheme="minorHAnsi" w:cstheme="minorHAnsi"/>
        </w:rPr>
        <w:t xml:space="preserve">Programy a projekty realizované a spolufinancované z prostředků EU </w:t>
      </w:r>
      <w:r w:rsidRPr="005A4235">
        <w:rPr>
          <w:rFonts w:asciiTheme="minorHAnsi" w:hAnsiTheme="minorHAnsi" w:cstheme="minorHAnsi"/>
        </w:rPr>
        <w:t>v rámci programového období 2004–</w:t>
      </w:r>
      <w:r w:rsidR="007F585E" w:rsidRPr="005A4235">
        <w:rPr>
          <w:rFonts w:asciiTheme="minorHAnsi" w:hAnsiTheme="minorHAnsi" w:cstheme="minorHAnsi"/>
        </w:rPr>
        <w:t>2006</w:t>
      </w:r>
      <w:r w:rsidR="00352166" w:rsidRPr="00720ADC">
        <w:rPr>
          <w:rStyle w:val="Znakapoznpodarou"/>
          <w:rFonts w:asciiTheme="minorHAnsi" w:hAnsiTheme="minorHAnsi" w:cstheme="minorHAnsi"/>
        </w:rPr>
        <w:footnoteReference w:id="14"/>
      </w:r>
      <w:r w:rsidR="007F585E" w:rsidRPr="00E761BB">
        <w:rPr>
          <w:rFonts w:asciiTheme="minorHAnsi" w:hAnsiTheme="minorHAnsi" w:cstheme="minorHAnsi"/>
        </w:rPr>
        <w:t xml:space="preserve"> </w:t>
      </w:r>
      <w:r w:rsidRPr="007F585E">
        <w:rPr>
          <w:rFonts w:asciiTheme="minorHAnsi" w:hAnsiTheme="minorHAnsi" w:cstheme="minorHAnsi"/>
        </w:rPr>
        <w:t>byly k</w:t>
      </w:r>
      <w:r w:rsidR="000E2243">
        <w:rPr>
          <w:rFonts w:asciiTheme="minorHAnsi" w:hAnsiTheme="minorHAnsi" w:cstheme="minorHAnsi"/>
        </w:rPr>
        <w:t xml:space="preserve"> rozvahovému dni </w:t>
      </w:r>
      <w:r w:rsidRPr="007F585E">
        <w:rPr>
          <w:rFonts w:asciiTheme="minorHAnsi" w:hAnsiTheme="minorHAnsi" w:cstheme="minorHAnsi"/>
        </w:rPr>
        <w:t xml:space="preserve">31. </w:t>
      </w:r>
      <w:r w:rsidR="005B3A1D">
        <w:rPr>
          <w:rFonts w:asciiTheme="minorHAnsi" w:hAnsiTheme="minorHAnsi" w:cstheme="minorHAnsi"/>
        </w:rPr>
        <w:t xml:space="preserve">12. 2017 </w:t>
      </w:r>
      <w:r w:rsidR="00FD7F3A">
        <w:rPr>
          <w:rFonts w:asciiTheme="minorHAnsi" w:hAnsiTheme="minorHAnsi" w:cstheme="minorHAnsi"/>
        </w:rPr>
        <w:t>ukončeny</w:t>
      </w:r>
      <w:r w:rsidR="00B4149A">
        <w:rPr>
          <w:rStyle w:val="Znakapoznpodarou"/>
          <w:rFonts w:asciiTheme="minorHAnsi" w:hAnsiTheme="minorHAnsi" w:cstheme="minorHAnsi"/>
        </w:rPr>
        <w:footnoteReference w:id="15"/>
      </w:r>
      <w:r w:rsidR="000E2243">
        <w:rPr>
          <w:rFonts w:asciiTheme="minorHAnsi" w:hAnsiTheme="minorHAnsi" w:cstheme="minorHAnsi"/>
        </w:rPr>
        <w:t>, neboť ještě před tímto datem došlo k</w:t>
      </w:r>
      <w:r w:rsidR="004A5C6E">
        <w:rPr>
          <w:rFonts w:asciiTheme="minorHAnsi" w:hAnsiTheme="minorHAnsi" w:cstheme="minorHAnsi"/>
        </w:rPr>
        <w:t xml:space="preserve"> </w:t>
      </w:r>
      <w:r w:rsidR="001D136C">
        <w:rPr>
          <w:rFonts w:asciiTheme="minorHAnsi" w:hAnsiTheme="minorHAnsi" w:cstheme="minorHAnsi"/>
        </w:rPr>
        <w:t xml:space="preserve">vzájemnému </w:t>
      </w:r>
      <w:r w:rsidR="000E2243">
        <w:rPr>
          <w:rFonts w:asciiTheme="minorHAnsi" w:hAnsiTheme="minorHAnsi" w:cstheme="minorHAnsi"/>
        </w:rPr>
        <w:t>vyrovnání konečných zůstatků</w:t>
      </w:r>
      <w:r w:rsidR="00454541">
        <w:rPr>
          <w:rFonts w:asciiTheme="minorHAnsi" w:hAnsiTheme="minorHAnsi" w:cstheme="minorHAnsi"/>
        </w:rPr>
        <w:t xml:space="preserve"> závazků a pohledávek mezi MF a </w:t>
      </w:r>
      <w:r w:rsidR="000E2243">
        <w:rPr>
          <w:rFonts w:asciiTheme="minorHAnsi" w:hAnsiTheme="minorHAnsi" w:cstheme="minorHAnsi"/>
        </w:rPr>
        <w:t>Evropskou komisí, kromě zůstatků souvisejících s něk</w:t>
      </w:r>
      <w:r w:rsidR="00065266">
        <w:rPr>
          <w:rFonts w:asciiTheme="minorHAnsi" w:hAnsiTheme="minorHAnsi" w:cstheme="minorHAnsi"/>
        </w:rPr>
        <w:t>terými</w:t>
      </w:r>
      <w:r w:rsidR="000E2243">
        <w:rPr>
          <w:rFonts w:asciiTheme="minorHAnsi" w:hAnsiTheme="minorHAnsi" w:cstheme="minorHAnsi"/>
        </w:rPr>
        <w:t xml:space="preserve"> projekty, u nichž nebylo dosud uzavřeno šetření potenciálních nesrovnalostí. K rozvahovému dni tedy </w:t>
      </w:r>
      <w:r w:rsidR="006B015E">
        <w:rPr>
          <w:rFonts w:asciiTheme="minorHAnsi" w:hAnsiTheme="minorHAnsi" w:cstheme="minorHAnsi"/>
        </w:rPr>
        <w:t>v podstatě (až na některé</w:t>
      </w:r>
      <w:r w:rsidR="00065266">
        <w:rPr>
          <w:rFonts w:asciiTheme="minorHAnsi" w:hAnsiTheme="minorHAnsi" w:cstheme="minorHAnsi"/>
        </w:rPr>
        <w:t xml:space="preserve"> případy související s neuzavřeným šetřením potenciálních nesrovnalostí) </w:t>
      </w:r>
      <w:r w:rsidR="000E2243">
        <w:rPr>
          <w:rFonts w:asciiTheme="minorHAnsi" w:hAnsiTheme="minorHAnsi" w:cstheme="minorHAnsi"/>
        </w:rPr>
        <w:t>neexistuje důvod vykazovat v účetní závěrce v souvislosti s programy a projekty programového období 2004</w:t>
      </w:r>
      <w:r w:rsidR="00803A5D">
        <w:rPr>
          <w:rFonts w:asciiTheme="minorHAnsi" w:hAnsiTheme="minorHAnsi" w:cstheme="minorHAnsi"/>
        </w:rPr>
        <w:t>–</w:t>
      </w:r>
      <w:r w:rsidR="000E2243">
        <w:rPr>
          <w:rFonts w:asciiTheme="minorHAnsi" w:hAnsiTheme="minorHAnsi" w:cstheme="minorHAnsi"/>
        </w:rPr>
        <w:t>2006</w:t>
      </w:r>
      <w:r w:rsidR="004A5588">
        <w:rPr>
          <w:rFonts w:asciiTheme="minorHAnsi" w:hAnsiTheme="minorHAnsi" w:cstheme="minorHAnsi"/>
        </w:rPr>
        <w:t xml:space="preserve"> </w:t>
      </w:r>
      <w:r w:rsidR="00FE2692">
        <w:rPr>
          <w:rFonts w:asciiTheme="minorHAnsi" w:hAnsiTheme="minorHAnsi" w:cstheme="minorHAnsi"/>
        </w:rPr>
        <w:t>pohledáv</w:t>
      </w:r>
      <w:r w:rsidR="004A5588">
        <w:rPr>
          <w:rFonts w:asciiTheme="minorHAnsi" w:hAnsiTheme="minorHAnsi" w:cstheme="minorHAnsi"/>
        </w:rPr>
        <w:t>ky</w:t>
      </w:r>
      <w:r w:rsidR="000E2243">
        <w:rPr>
          <w:rFonts w:asciiTheme="minorHAnsi" w:hAnsiTheme="minorHAnsi" w:cstheme="minorHAnsi"/>
        </w:rPr>
        <w:t xml:space="preserve"> za E</w:t>
      </w:r>
      <w:r w:rsidR="00FE2692">
        <w:rPr>
          <w:rFonts w:asciiTheme="minorHAnsi" w:hAnsiTheme="minorHAnsi" w:cstheme="minorHAnsi"/>
        </w:rPr>
        <w:t>vropskou komisí</w:t>
      </w:r>
      <w:r w:rsidR="00D553DE">
        <w:rPr>
          <w:rFonts w:asciiTheme="minorHAnsi" w:hAnsiTheme="minorHAnsi" w:cstheme="minorHAnsi"/>
        </w:rPr>
        <w:t xml:space="preserve">. </w:t>
      </w:r>
    </w:p>
    <w:p w14:paraId="4A7C0D11" w14:textId="4D031962" w:rsidR="00305F5A" w:rsidRDefault="00305F5A" w:rsidP="00AF4368">
      <w:pPr>
        <w:spacing w:after="160"/>
        <w:jc w:val="both"/>
        <w:rPr>
          <w:rFonts w:asciiTheme="minorHAnsi" w:hAnsiTheme="minorHAnsi" w:cstheme="minorHAnsi"/>
        </w:rPr>
      </w:pPr>
    </w:p>
    <w:p w14:paraId="0AF18FD5" w14:textId="16EF62A8" w:rsidR="00305F5A" w:rsidRDefault="00305F5A" w:rsidP="00AF4368">
      <w:pPr>
        <w:spacing w:after="160"/>
        <w:jc w:val="both"/>
        <w:rPr>
          <w:rFonts w:asciiTheme="minorHAnsi" w:hAnsiTheme="minorHAnsi" w:cstheme="minorHAnsi"/>
        </w:rPr>
      </w:pPr>
    </w:p>
    <w:p w14:paraId="78A89807" w14:textId="77777777" w:rsidR="00305F5A" w:rsidRDefault="00305F5A" w:rsidP="00AF4368">
      <w:pPr>
        <w:spacing w:after="160"/>
        <w:jc w:val="both"/>
        <w:rPr>
          <w:rFonts w:asciiTheme="minorHAnsi" w:hAnsiTheme="minorHAnsi" w:cstheme="minorHAnsi"/>
        </w:rPr>
      </w:pPr>
    </w:p>
    <w:p w14:paraId="14ADC0C2" w14:textId="77777777" w:rsidR="00FD082D" w:rsidRPr="006B32A4" w:rsidRDefault="007F585E" w:rsidP="00AF4368">
      <w:pPr>
        <w:spacing w:after="160"/>
        <w:jc w:val="both"/>
        <w:rPr>
          <w:rFonts w:asciiTheme="minorHAnsi" w:hAnsiTheme="minorHAnsi" w:cstheme="minorHAnsi"/>
          <w:b/>
        </w:rPr>
      </w:pPr>
      <w:r w:rsidRPr="006B32A4">
        <w:rPr>
          <w:rFonts w:asciiTheme="minorHAnsi" w:hAnsiTheme="minorHAnsi" w:cstheme="minorHAnsi"/>
          <w:b/>
        </w:rPr>
        <w:lastRenderedPageBreak/>
        <w:t xml:space="preserve">Přesto MF </w:t>
      </w:r>
      <w:r w:rsidR="00990734">
        <w:rPr>
          <w:rFonts w:asciiTheme="minorHAnsi" w:hAnsiTheme="minorHAnsi" w:cstheme="minorHAnsi"/>
          <w:b/>
        </w:rPr>
        <w:t xml:space="preserve">v ÚZ </w:t>
      </w:r>
      <w:r w:rsidR="001A3444" w:rsidRPr="006B32A4">
        <w:rPr>
          <w:rFonts w:asciiTheme="minorHAnsi" w:hAnsiTheme="minorHAnsi" w:cstheme="minorHAnsi"/>
          <w:b/>
        </w:rPr>
        <w:t>k 31. 12. 2</w:t>
      </w:r>
      <w:r w:rsidR="00FD082D" w:rsidRPr="006B32A4">
        <w:rPr>
          <w:rFonts w:asciiTheme="minorHAnsi" w:hAnsiTheme="minorHAnsi" w:cstheme="minorHAnsi"/>
          <w:b/>
        </w:rPr>
        <w:t>017 vykázalo:</w:t>
      </w:r>
    </w:p>
    <w:p w14:paraId="68C89144" w14:textId="03BADD7E" w:rsidR="00364B92" w:rsidRDefault="00592DA2" w:rsidP="001F3D22">
      <w:pPr>
        <w:pStyle w:val="Odstavecseseznamem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pohledávky za Evropskou komisí </w:t>
      </w:r>
      <w:r w:rsidR="006B32A4" w:rsidRPr="006B32A4">
        <w:rPr>
          <w:rFonts w:asciiTheme="minorHAnsi" w:hAnsiTheme="minorHAnsi" w:cstheme="minorHAnsi"/>
          <w:b/>
        </w:rPr>
        <w:t xml:space="preserve">v rámci </w:t>
      </w:r>
      <w:r w:rsidR="005873CF">
        <w:rPr>
          <w:rFonts w:asciiTheme="minorHAnsi" w:hAnsiTheme="minorHAnsi" w:cstheme="minorHAnsi"/>
          <w:b/>
        </w:rPr>
        <w:t xml:space="preserve">rozvahového </w:t>
      </w:r>
      <w:r w:rsidR="006B32A4" w:rsidRPr="006B32A4">
        <w:rPr>
          <w:rFonts w:asciiTheme="minorHAnsi" w:hAnsiTheme="minorHAnsi" w:cstheme="minorHAnsi"/>
          <w:b/>
        </w:rPr>
        <w:t xml:space="preserve">účtu 475 – </w:t>
      </w:r>
      <w:r w:rsidR="006B32A4" w:rsidRPr="006B32A4">
        <w:rPr>
          <w:rFonts w:asciiTheme="minorHAnsi" w:hAnsiTheme="minorHAnsi" w:cstheme="minorHAnsi"/>
          <w:b/>
          <w:i/>
        </w:rPr>
        <w:t>Dlouhodobé zprostředkování transferů</w:t>
      </w:r>
    </w:p>
    <w:p w14:paraId="7179BFC8" w14:textId="432DE284" w:rsidR="003428B2" w:rsidRPr="00364B92" w:rsidRDefault="00364B92" w:rsidP="00AF4368">
      <w:pPr>
        <w:pStyle w:val="Odstavecseseznamem"/>
        <w:spacing w:before="120" w:after="160"/>
        <w:ind w:left="714"/>
        <w:contextualSpacing w:val="0"/>
        <w:jc w:val="both"/>
        <w:rPr>
          <w:rFonts w:asciiTheme="minorHAnsi" w:hAnsiTheme="minorHAnsi" w:cstheme="minorHAnsi"/>
          <w:b/>
        </w:rPr>
      </w:pPr>
      <w:r w:rsidRPr="00364B92">
        <w:rPr>
          <w:rFonts w:asciiTheme="minorHAnsi" w:hAnsiTheme="minorHAnsi" w:cstheme="minorHAnsi"/>
        </w:rPr>
        <w:t>Tyto pohledávky MF vykázalo i přesto, že</w:t>
      </w:r>
      <w:r w:rsidR="006B32A4" w:rsidRPr="00364B92">
        <w:rPr>
          <w:rFonts w:asciiTheme="minorHAnsi" w:hAnsiTheme="minorHAnsi" w:cstheme="minorHAnsi"/>
        </w:rPr>
        <w:t xml:space="preserve"> nelze po 31. 12. 2017 ze strany Evropské komise očekávat žádné platby, neboť závazky rozpočtu EU byly k 31. 12. 2017 vypořádány, a </w:t>
      </w:r>
      <w:r w:rsidR="00305F5A" w:rsidRPr="00364B92">
        <w:rPr>
          <w:rFonts w:asciiTheme="minorHAnsi" w:hAnsiTheme="minorHAnsi" w:cstheme="minorHAnsi"/>
        </w:rPr>
        <w:t xml:space="preserve">tudíž </w:t>
      </w:r>
      <w:r w:rsidR="006B32A4" w:rsidRPr="00364B92">
        <w:rPr>
          <w:rFonts w:asciiTheme="minorHAnsi" w:hAnsiTheme="minorHAnsi" w:cstheme="minorHAnsi"/>
        </w:rPr>
        <w:t xml:space="preserve">nárok ČR na prostředky z rozpočtu EU zanikl. </w:t>
      </w:r>
      <w:r w:rsidR="006B32A4" w:rsidRPr="005A4235">
        <w:rPr>
          <w:rFonts w:asciiTheme="minorHAnsi" w:hAnsiTheme="minorHAnsi" w:cstheme="minorHAnsi"/>
          <w:b/>
        </w:rPr>
        <w:t>Výše</w:t>
      </w:r>
      <w:r w:rsidR="00DC76BC" w:rsidRPr="005A4235">
        <w:rPr>
          <w:rFonts w:asciiTheme="minorHAnsi" w:hAnsiTheme="minorHAnsi" w:cstheme="minorHAnsi"/>
          <w:b/>
        </w:rPr>
        <w:t xml:space="preserve"> neexistujících</w:t>
      </w:r>
      <w:r w:rsidR="006B32A4" w:rsidRPr="005A4235">
        <w:rPr>
          <w:rFonts w:asciiTheme="minorHAnsi" w:hAnsiTheme="minorHAnsi" w:cstheme="minorHAnsi"/>
          <w:b/>
        </w:rPr>
        <w:t xml:space="preserve"> pohledávek činila minimálně 600,5 mil. Kč (</w:t>
      </w:r>
      <w:r w:rsidR="00DC76BC">
        <w:rPr>
          <w:rFonts w:asciiTheme="minorHAnsi" w:hAnsiTheme="minorHAnsi" w:cstheme="minorHAnsi"/>
          <w:b/>
        </w:rPr>
        <w:t>prokázaná výše nesprávně vykázaných rozvahových pohledávek</w:t>
      </w:r>
      <w:r w:rsidR="006B32A4" w:rsidRPr="005A4235">
        <w:rPr>
          <w:rFonts w:asciiTheme="minorHAnsi" w:hAnsiTheme="minorHAnsi" w:cstheme="minorHAnsi"/>
          <w:b/>
        </w:rPr>
        <w:t>).</w:t>
      </w:r>
      <w:r w:rsidR="006B32A4" w:rsidRPr="00364B92">
        <w:rPr>
          <w:rFonts w:asciiTheme="minorHAnsi" w:hAnsiTheme="minorHAnsi" w:cstheme="minorHAnsi"/>
        </w:rPr>
        <w:t xml:space="preserve"> </w:t>
      </w:r>
      <w:r w:rsidR="00670133">
        <w:rPr>
          <w:rFonts w:asciiTheme="minorHAnsi" w:hAnsiTheme="minorHAnsi" w:cstheme="minorHAnsi"/>
        </w:rPr>
        <w:t>Aktivní zůstatek</w:t>
      </w:r>
      <w:r w:rsidR="00B4149A">
        <w:rPr>
          <w:rFonts w:asciiTheme="minorHAnsi" w:hAnsiTheme="minorHAnsi" w:cstheme="minorHAnsi"/>
        </w:rPr>
        <w:t xml:space="preserve"> na účtu 475 i po vzájemném vyrovnání pohledávek a závazků mezi ČR a EU</w:t>
      </w:r>
      <w:r w:rsidR="00670133">
        <w:rPr>
          <w:rFonts w:asciiTheme="minorHAnsi" w:hAnsiTheme="minorHAnsi" w:cstheme="minorHAnsi"/>
        </w:rPr>
        <w:t xml:space="preserve"> souvisí s</w:t>
      </w:r>
      <w:r w:rsidR="00B4149A">
        <w:rPr>
          <w:rFonts w:asciiTheme="minorHAnsi" w:hAnsiTheme="minorHAnsi" w:cstheme="minorHAnsi"/>
        </w:rPr>
        <w:t xml:space="preserve"> účetní</w:t>
      </w:r>
      <w:r w:rsidR="00670133">
        <w:rPr>
          <w:rFonts w:asciiTheme="minorHAnsi" w:hAnsiTheme="minorHAnsi" w:cstheme="minorHAnsi"/>
        </w:rPr>
        <w:t>m</w:t>
      </w:r>
      <w:r w:rsidR="00B4149A">
        <w:rPr>
          <w:rFonts w:asciiTheme="minorHAnsi" w:hAnsiTheme="minorHAnsi" w:cstheme="minorHAnsi"/>
        </w:rPr>
        <w:t xml:space="preserve"> postup</w:t>
      </w:r>
      <w:r w:rsidR="00670133">
        <w:rPr>
          <w:rFonts w:asciiTheme="minorHAnsi" w:hAnsiTheme="minorHAnsi" w:cstheme="minorHAnsi"/>
        </w:rPr>
        <w:t>em</w:t>
      </w:r>
      <w:r w:rsidR="00B4149A">
        <w:rPr>
          <w:rFonts w:asciiTheme="minorHAnsi" w:hAnsiTheme="minorHAnsi" w:cstheme="minorHAnsi"/>
        </w:rPr>
        <w:t xml:space="preserve"> NF-PCO, kdy je o</w:t>
      </w:r>
      <w:r w:rsidR="00483F75">
        <w:rPr>
          <w:rFonts w:asciiTheme="minorHAnsi" w:hAnsiTheme="minorHAnsi" w:cstheme="minorHAnsi"/>
        </w:rPr>
        <w:t> </w:t>
      </w:r>
      <w:r w:rsidR="00B4149A">
        <w:rPr>
          <w:rFonts w:asciiTheme="minorHAnsi" w:hAnsiTheme="minorHAnsi" w:cstheme="minorHAnsi"/>
        </w:rPr>
        <w:t xml:space="preserve">pohledávkách za Evropskou komisí účtováno současně s účtováním o závazcích </w:t>
      </w:r>
      <w:r w:rsidR="00483F75">
        <w:rPr>
          <w:rFonts w:asciiTheme="minorHAnsi" w:hAnsiTheme="minorHAnsi" w:cstheme="minorHAnsi"/>
        </w:rPr>
        <w:br/>
      </w:r>
      <w:r w:rsidR="00B4149A">
        <w:rPr>
          <w:rFonts w:asciiTheme="minorHAnsi" w:hAnsiTheme="minorHAnsi" w:cstheme="minorHAnsi"/>
        </w:rPr>
        <w:t xml:space="preserve">NF-PCO vůči </w:t>
      </w:r>
      <w:r w:rsidR="00B4149A" w:rsidRPr="00916801">
        <w:rPr>
          <w:rFonts w:asciiTheme="minorHAnsi" w:hAnsiTheme="minorHAnsi" w:cstheme="minorHAnsi"/>
        </w:rPr>
        <w:t>předfinancujícím subjekt</w:t>
      </w:r>
      <w:r w:rsidR="00B4149A">
        <w:rPr>
          <w:rFonts w:asciiTheme="minorHAnsi" w:hAnsiTheme="minorHAnsi" w:cstheme="minorHAnsi"/>
        </w:rPr>
        <w:t>ům</w:t>
      </w:r>
      <w:r w:rsidR="00B4149A" w:rsidRPr="00916801">
        <w:rPr>
          <w:rFonts w:asciiTheme="minorHAnsi" w:hAnsiTheme="minorHAnsi" w:cstheme="minorHAnsi"/>
        </w:rPr>
        <w:t xml:space="preserve"> </w:t>
      </w:r>
      <w:r w:rsidR="00B4149A">
        <w:rPr>
          <w:rFonts w:asciiTheme="minorHAnsi" w:hAnsiTheme="minorHAnsi" w:cstheme="minorHAnsi"/>
        </w:rPr>
        <w:t>na</w:t>
      </w:r>
      <w:r w:rsidR="00B4149A" w:rsidRPr="00916801">
        <w:rPr>
          <w:rFonts w:asciiTheme="minorHAnsi" w:hAnsiTheme="minorHAnsi" w:cstheme="minorHAnsi"/>
        </w:rPr>
        <w:t xml:space="preserve"> účtu 375</w:t>
      </w:r>
      <w:r w:rsidR="00B4149A">
        <w:rPr>
          <w:rFonts w:asciiTheme="minorHAnsi" w:hAnsiTheme="minorHAnsi" w:cstheme="minorHAnsi"/>
        </w:rPr>
        <w:t xml:space="preserve">, </w:t>
      </w:r>
      <w:r w:rsidR="008D29D2">
        <w:rPr>
          <w:rFonts w:asciiTheme="minorHAnsi" w:hAnsiTheme="minorHAnsi" w:cstheme="minorHAnsi"/>
        </w:rPr>
        <w:t xml:space="preserve">přičemž </w:t>
      </w:r>
      <w:r w:rsidR="00B4149A">
        <w:rPr>
          <w:rFonts w:asciiTheme="minorHAnsi" w:hAnsiTheme="minorHAnsi" w:cstheme="minorHAnsi"/>
        </w:rPr>
        <w:t>p</w:t>
      </w:r>
      <w:r w:rsidR="00B4149A" w:rsidRPr="00916801">
        <w:rPr>
          <w:rFonts w:asciiTheme="minorHAnsi" w:hAnsiTheme="minorHAnsi" w:cstheme="minorHAnsi"/>
        </w:rPr>
        <w:t xml:space="preserve">odkladem k zaúčtování </w:t>
      </w:r>
      <w:r w:rsidR="008D29D2">
        <w:rPr>
          <w:rFonts w:asciiTheme="minorHAnsi" w:hAnsiTheme="minorHAnsi" w:cstheme="minorHAnsi"/>
        </w:rPr>
        <w:t xml:space="preserve">těchto závazků </w:t>
      </w:r>
      <w:r w:rsidR="00B4149A" w:rsidRPr="00916801">
        <w:rPr>
          <w:rFonts w:asciiTheme="minorHAnsi" w:hAnsiTheme="minorHAnsi" w:cstheme="minorHAnsi"/>
        </w:rPr>
        <w:t>j</w:t>
      </w:r>
      <w:r w:rsidR="00B4149A">
        <w:rPr>
          <w:rFonts w:asciiTheme="minorHAnsi" w:hAnsiTheme="minorHAnsi" w:cstheme="minorHAnsi"/>
        </w:rPr>
        <w:t>sou</w:t>
      </w:r>
      <w:r w:rsidR="00B4149A" w:rsidRPr="00916801">
        <w:rPr>
          <w:rFonts w:asciiTheme="minorHAnsi" w:hAnsiTheme="minorHAnsi" w:cstheme="minorHAnsi"/>
        </w:rPr>
        <w:t xml:space="preserve"> schválen</w:t>
      </w:r>
      <w:r w:rsidR="00B4149A">
        <w:rPr>
          <w:rFonts w:asciiTheme="minorHAnsi" w:hAnsiTheme="minorHAnsi" w:cstheme="minorHAnsi"/>
        </w:rPr>
        <w:t>é</w:t>
      </w:r>
      <w:r w:rsidR="00B4149A" w:rsidRPr="00916801">
        <w:rPr>
          <w:rFonts w:asciiTheme="minorHAnsi" w:hAnsiTheme="minorHAnsi" w:cstheme="minorHAnsi"/>
        </w:rPr>
        <w:t xml:space="preserve"> souhrnn</w:t>
      </w:r>
      <w:r w:rsidR="00B4149A">
        <w:rPr>
          <w:rFonts w:asciiTheme="minorHAnsi" w:hAnsiTheme="minorHAnsi" w:cstheme="minorHAnsi"/>
        </w:rPr>
        <w:t>é</w:t>
      </w:r>
      <w:r w:rsidR="00B4149A" w:rsidRPr="00916801">
        <w:rPr>
          <w:rFonts w:asciiTheme="minorHAnsi" w:hAnsiTheme="minorHAnsi" w:cstheme="minorHAnsi"/>
        </w:rPr>
        <w:t xml:space="preserve"> žádost</w:t>
      </w:r>
      <w:r w:rsidR="00B4149A">
        <w:rPr>
          <w:rFonts w:asciiTheme="minorHAnsi" w:hAnsiTheme="minorHAnsi" w:cstheme="minorHAnsi"/>
        </w:rPr>
        <w:t>i</w:t>
      </w:r>
      <w:r w:rsidR="00B4149A" w:rsidRPr="00916801">
        <w:rPr>
          <w:rFonts w:asciiTheme="minorHAnsi" w:hAnsiTheme="minorHAnsi" w:cstheme="minorHAnsi"/>
        </w:rPr>
        <w:t xml:space="preserve"> předkládan</w:t>
      </w:r>
      <w:r w:rsidR="00B4149A">
        <w:rPr>
          <w:rFonts w:asciiTheme="minorHAnsi" w:hAnsiTheme="minorHAnsi" w:cstheme="minorHAnsi"/>
        </w:rPr>
        <w:t>é</w:t>
      </w:r>
      <w:r w:rsidR="00B4149A" w:rsidRPr="00916801">
        <w:rPr>
          <w:rFonts w:asciiTheme="minorHAnsi" w:hAnsiTheme="minorHAnsi" w:cstheme="minorHAnsi"/>
        </w:rPr>
        <w:t xml:space="preserve"> předfinancujícími</w:t>
      </w:r>
      <w:r w:rsidR="00B4149A">
        <w:rPr>
          <w:rFonts w:asciiTheme="minorHAnsi" w:hAnsiTheme="minorHAnsi" w:cstheme="minorHAnsi"/>
        </w:rPr>
        <w:t xml:space="preserve"> </w:t>
      </w:r>
      <w:r w:rsidR="00B4149A" w:rsidRPr="00916801">
        <w:rPr>
          <w:rFonts w:asciiTheme="minorHAnsi" w:hAnsiTheme="minorHAnsi" w:cstheme="minorHAnsi"/>
        </w:rPr>
        <w:t>subjekty.</w:t>
      </w:r>
      <w:r w:rsidR="00B4149A">
        <w:rPr>
          <w:rFonts w:asciiTheme="minorHAnsi" w:hAnsiTheme="minorHAnsi" w:cstheme="minorHAnsi"/>
        </w:rPr>
        <w:t xml:space="preserve"> </w:t>
      </w:r>
      <w:r w:rsidR="006B32A4" w:rsidRPr="00364B92">
        <w:rPr>
          <w:rFonts w:asciiTheme="minorHAnsi" w:hAnsiTheme="minorHAnsi" w:cstheme="minorHAnsi"/>
          <w:b/>
        </w:rPr>
        <w:t xml:space="preserve">Riziko nesprávného vykázání pohledávek za Evropskou komisí </w:t>
      </w:r>
      <w:r w:rsidR="00592DA2">
        <w:rPr>
          <w:rFonts w:asciiTheme="minorHAnsi" w:hAnsiTheme="minorHAnsi" w:cstheme="minorHAnsi"/>
          <w:b/>
        </w:rPr>
        <w:t>v rámci účtu 475</w:t>
      </w:r>
      <w:r w:rsidR="004A6D2A">
        <w:rPr>
          <w:rFonts w:asciiTheme="minorHAnsi" w:hAnsiTheme="minorHAnsi" w:cstheme="minorHAnsi"/>
          <w:b/>
        </w:rPr>
        <w:t xml:space="preserve"> – </w:t>
      </w:r>
      <w:r w:rsidR="004A6D2A" w:rsidRPr="00AF4368">
        <w:rPr>
          <w:rFonts w:asciiTheme="minorHAnsi" w:hAnsiTheme="minorHAnsi" w:cstheme="minorHAnsi"/>
          <w:b/>
          <w:i/>
        </w:rPr>
        <w:t>Dlouhodobé zprostředkování transferů</w:t>
      </w:r>
      <w:r w:rsidR="004A6D2A">
        <w:rPr>
          <w:rFonts w:asciiTheme="minorHAnsi" w:hAnsiTheme="minorHAnsi" w:cstheme="minorHAnsi"/>
          <w:b/>
        </w:rPr>
        <w:t xml:space="preserve"> </w:t>
      </w:r>
      <w:r w:rsidR="00592DA2">
        <w:rPr>
          <w:rFonts w:asciiTheme="minorHAnsi" w:hAnsiTheme="minorHAnsi" w:cstheme="minorHAnsi"/>
          <w:b/>
        </w:rPr>
        <w:t xml:space="preserve">se však týká </w:t>
      </w:r>
      <w:r w:rsidR="006B32A4" w:rsidRPr="00364B92">
        <w:rPr>
          <w:rFonts w:asciiTheme="minorHAnsi" w:hAnsiTheme="minorHAnsi" w:cstheme="minorHAnsi"/>
          <w:b/>
        </w:rPr>
        <w:t>celého v rozvaze vykázaného nároku ve výši 5,69 mld. Kč.</w:t>
      </w:r>
      <w:r w:rsidR="006B32A4" w:rsidRPr="00364B92">
        <w:rPr>
          <w:rFonts w:asciiTheme="minorHAnsi" w:hAnsiTheme="minorHAnsi" w:cstheme="minorHAnsi"/>
        </w:rPr>
        <w:t xml:space="preserve"> MF by přitom mělo vykázat pouze </w:t>
      </w:r>
      <w:r w:rsidR="00592DA2">
        <w:rPr>
          <w:rFonts w:asciiTheme="minorHAnsi" w:hAnsiTheme="minorHAnsi" w:cstheme="minorHAnsi"/>
        </w:rPr>
        <w:t>takové pohledávky</w:t>
      </w:r>
      <w:r w:rsidR="00F32A10">
        <w:rPr>
          <w:rFonts w:asciiTheme="minorHAnsi" w:hAnsiTheme="minorHAnsi" w:cstheme="minorHAnsi"/>
        </w:rPr>
        <w:t xml:space="preserve"> </w:t>
      </w:r>
      <w:r w:rsidR="006B32A4" w:rsidRPr="00364B92">
        <w:rPr>
          <w:rFonts w:asciiTheme="minorHAnsi" w:hAnsiTheme="minorHAnsi" w:cstheme="minorHAnsi"/>
        </w:rPr>
        <w:t>za Evropskou komisí, které odpovídají skutečnému zůstatku závazku rozpočtu EU vůči ČR, který je deklarován Evropskou komisí v dokumentech o</w:t>
      </w:r>
      <w:r w:rsidR="00F66CD8">
        <w:rPr>
          <w:rFonts w:asciiTheme="minorHAnsi" w:hAnsiTheme="minorHAnsi" w:cstheme="minorHAnsi"/>
        </w:rPr>
        <w:t xml:space="preserve"> </w:t>
      </w:r>
      <w:r w:rsidR="006B32A4" w:rsidRPr="00364B92">
        <w:rPr>
          <w:rFonts w:asciiTheme="minorHAnsi" w:hAnsiTheme="minorHAnsi" w:cstheme="minorHAnsi"/>
        </w:rPr>
        <w:t xml:space="preserve">ukončení pomoci. </w:t>
      </w:r>
      <w:r w:rsidR="006B32A4" w:rsidRPr="00364B92">
        <w:rPr>
          <w:rFonts w:asciiTheme="minorHAnsi" w:hAnsiTheme="minorHAnsi" w:cstheme="minorHAnsi"/>
          <w:b/>
        </w:rPr>
        <w:t>Skutečný stav těchto pohledávek MF při inventarizaci nezjistilo</w:t>
      </w:r>
      <w:r w:rsidR="00454541">
        <w:rPr>
          <w:rFonts w:asciiTheme="minorHAnsi" w:hAnsiTheme="minorHAnsi" w:cstheme="minorHAnsi"/>
          <w:b/>
        </w:rPr>
        <w:t>, a </w:t>
      </w:r>
      <w:r w:rsidR="004A6D2A">
        <w:rPr>
          <w:rFonts w:asciiTheme="minorHAnsi" w:hAnsiTheme="minorHAnsi" w:cstheme="minorHAnsi"/>
          <w:b/>
        </w:rPr>
        <w:t>nepostupovalo tak v souladu s</w:t>
      </w:r>
      <w:r w:rsidR="00454541">
        <w:rPr>
          <w:rFonts w:asciiTheme="minorHAnsi" w:hAnsiTheme="minorHAnsi" w:cstheme="minorHAnsi"/>
          <w:b/>
        </w:rPr>
        <w:t xml:space="preserve"> ustanovením </w:t>
      </w:r>
      <w:r w:rsidR="004A6D2A">
        <w:rPr>
          <w:rFonts w:asciiTheme="minorHAnsi" w:hAnsiTheme="minorHAnsi" w:cstheme="minorHAnsi"/>
          <w:b/>
        </w:rPr>
        <w:t>§ 29 odst. 1 zákona o účetnictví.</w:t>
      </w:r>
    </w:p>
    <w:p w14:paraId="66BF52F1" w14:textId="31CDAF5F" w:rsidR="00364B92" w:rsidRDefault="00592DA2" w:rsidP="00AF4368">
      <w:pPr>
        <w:pStyle w:val="Odstavecseseznamem"/>
        <w:numPr>
          <w:ilvl w:val="0"/>
          <w:numId w:val="12"/>
        </w:numPr>
        <w:spacing w:before="120"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08128A">
        <w:rPr>
          <w:rFonts w:asciiTheme="minorHAnsi" w:hAnsiTheme="minorHAnsi" w:cstheme="minorHAnsi"/>
          <w:b/>
        </w:rPr>
        <w:t>podmíněné pohledávky za Evropskou komisí z titulu</w:t>
      </w:r>
      <w:r w:rsidRPr="0008128A">
        <w:rPr>
          <w:rFonts w:asciiTheme="minorHAnsi" w:hAnsiTheme="minorHAnsi" w:cstheme="minorHAnsi"/>
        </w:rPr>
        <w:t xml:space="preserve"> </w:t>
      </w:r>
      <w:r w:rsidRPr="0008128A">
        <w:rPr>
          <w:rFonts w:asciiTheme="minorHAnsi" w:hAnsiTheme="minorHAnsi" w:cstheme="minorHAnsi"/>
          <w:b/>
        </w:rPr>
        <w:t>alokace ve výši 695,5 mil. Kč</w:t>
      </w:r>
      <w:r>
        <w:rPr>
          <w:rFonts w:asciiTheme="minorHAnsi" w:hAnsiTheme="minorHAnsi" w:cstheme="minorHAnsi"/>
          <w:b/>
        </w:rPr>
        <w:t xml:space="preserve"> </w:t>
      </w:r>
      <w:r w:rsidR="00FD082D" w:rsidRPr="0008128A">
        <w:rPr>
          <w:rFonts w:asciiTheme="minorHAnsi" w:hAnsiTheme="minorHAnsi" w:cstheme="minorHAnsi"/>
          <w:b/>
        </w:rPr>
        <w:t xml:space="preserve">v rámci podrozvahového účtu 953 </w:t>
      </w:r>
      <w:r w:rsidR="00FD7F3A" w:rsidRPr="0008128A">
        <w:rPr>
          <w:rFonts w:asciiTheme="minorHAnsi" w:hAnsiTheme="minorHAnsi" w:cstheme="minorHAnsi"/>
          <w:b/>
        </w:rPr>
        <w:t xml:space="preserve">– </w:t>
      </w:r>
      <w:r w:rsidR="0008128A" w:rsidRPr="0008128A">
        <w:rPr>
          <w:rFonts w:asciiTheme="minorHAnsi" w:hAnsiTheme="minorHAnsi" w:cstheme="minorHAnsi"/>
          <w:b/>
          <w:i/>
        </w:rPr>
        <w:t>Dlouhodobé podmíněné pohledávky ze zahraničních transferů</w:t>
      </w:r>
    </w:p>
    <w:p w14:paraId="54DDC7FC" w14:textId="3ACD9233" w:rsidR="00FD7F3A" w:rsidRDefault="003428B2" w:rsidP="00364B92">
      <w:pPr>
        <w:pStyle w:val="Odstavecseseznamem"/>
        <w:spacing w:before="120" w:after="0"/>
        <w:ind w:left="714"/>
        <w:contextualSpacing w:val="0"/>
        <w:jc w:val="both"/>
        <w:rPr>
          <w:rFonts w:asciiTheme="minorHAnsi" w:hAnsiTheme="minorHAnsi" w:cstheme="minorHAnsi"/>
          <w:b/>
        </w:rPr>
      </w:pPr>
      <w:r w:rsidRPr="00364B92">
        <w:rPr>
          <w:rFonts w:asciiTheme="minorHAnsi" w:hAnsiTheme="minorHAnsi" w:cstheme="minorHAnsi"/>
        </w:rPr>
        <w:t>T</w:t>
      </w:r>
      <w:r w:rsidR="0008128A" w:rsidRPr="00364B92">
        <w:rPr>
          <w:rFonts w:asciiTheme="minorHAnsi" w:hAnsiTheme="minorHAnsi" w:cstheme="minorHAnsi"/>
        </w:rPr>
        <w:t>ento zůstatek</w:t>
      </w:r>
      <w:r w:rsidR="00D04BC1" w:rsidRPr="00364B92">
        <w:rPr>
          <w:rFonts w:asciiTheme="minorHAnsi" w:hAnsiTheme="minorHAnsi" w:cstheme="minorHAnsi"/>
        </w:rPr>
        <w:t xml:space="preserve"> však neodpovídal</w:t>
      </w:r>
      <w:r w:rsidRPr="00364B92">
        <w:rPr>
          <w:rFonts w:asciiTheme="minorHAnsi" w:hAnsiTheme="minorHAnsi" w:cstheme="minorHAnsi"/>
        </w:rPr>
        <w:t xml:space="preserve"> zjištěné sku</w:t>
      </w:r>
      <w:r w:rsidR="0008128A" w:rsidRPr="00364B92">
        <w:rPr>
          <w:rFonts w:asciiTheme="minorHAnsi" w:hAnsiTheme="minorHAnsi" w:cstheme="minorHAnsi"/>
        </w:rPr>
        <w:t xml:space="preserve">tečnosti, neboť </w:t>
      </w:r>
      <w:r w:rsidR="00D04BC1" w:rsidRPr="00364B92">
        <w:rPr>
          <w:rFonts w:asciiTheme="minorHAnsi" w:hAnsiTheme="minorHAnsi" w:cstheme="minorHAnsi"/>
        </w:rPr>
        <w:t>zahrnoval</w:t>
      </w:r>
      <w:r w:rsidR="0008128A" w:rsidRPr="00364B92">
        <w:rPr>
          <w:rFonts w:asciiTheme="minorHAnsi" w:hAnsiTheme="minorHAnsi" w:cstheme="minorHAnsi"/>
        </w:rPr>
        <w:t xml:space="preserve"> </w:t>
      </w:r>
      <w:r w:rsidRPr="00364B92">
        <w:rPr>
          <w:rFonts w:asciiTheme="minorHAnsi" w:hAnsiTheme="minorHAnsi" w:cstheme="minorHAnsi"/>
        </w:rPr>
        <w:t>mj. i</w:t>
      </w:r>
      <w:r w:rsidR="00483F75">
        <w:rPr>
          <w:rFonts w:asciiTheme="minorHAnsi" w:hAnsiTheme="minorHAnsi" w:cstheme="minorHAnsi"/>
        </w:rPr>
        <w:t> </w:t>
      </w:r>
      <w:r w:rsidRPr="00364B92">
        <w:rPr>
          <w:rFonts w:asciiTheme="minorHAnsi" w:hAnsiTheme="minorHAnsi" w:cstheme="minorHAnsi"/>
        </w:rPr>
        <w:t>podmíněné</w:t>
      </w:r>
      <w:r w:rsidR="0008128A" w:rsidRPr="00364B92">
        <w:rPr>
          <w:rFonts w:asciiTheme="minorHAnsi" w:hAnsiTheme="minorHAnsi" w:cstheme="minorHAnsi"/>
        </w:rPr>
        <w:t xml:space="preserve"> pohledávky, které MF zároveň vykázalo jako pohledávky za Evropskou komisí v rámci účtu 475</w:t>
      </w:r>
      <w:r w:rsidR="003114A8">
        <w:rPr>
          <w:rFonts w:asciiTheme="minorHAnsi" w:hAnsiTheme="minorHAnsi" w:cstheme="minorHAnsi"/>
        </w:rPr>
        <w:t xml:space="preserve"> – </w:t>
      </w:r>
      <w:r w:rsidR="003114A8" w:rsidRPr="00AF4368">
        <w:rPr>
          <w:rFonts w:asciiTheme="minorHAnsi" w:hAnsiTheme="minorHAnsi" w:cstheme="minorHAnsi"/>
          <w:i/>
        </w:rPr>
        <w:t>Dlouhodobé zprostředkování transferů</w:t>
      </w:r>
      <w:r w:rsidR="0008128A" w:rsidRPr="00364B92">
        <w:rPr>
          <w:rFonts w:asciiTheme="minorHAnsi" w:hAnsiTheme="minorHAnsi" w:cstheme="minorHAnsi"/>
        </w:rPr>
        <w:t xml:space="preserve">, nebo podmíněné pohledávky </w:t>
      </w:r>
      <w:r w:rsidRPr="00364B92">
        <w:rPr>
          <w:rFonts w:asciiTheme="minorHAnsi" w:hAnsiTheme="minorHAnsi" w:cstheme="minorHAnsi"/>
        </w:rPr>
        <w:t>u projektů, u kt</w:t>
      </w:r>
      <w:r w:rsidR="0008128A" w:rsidRPr="00364B92">
        <w:rPr>
          <w:rFonts w:asciiTheme="minorHAnsi" w:hAnsiTheme="minorHAnsi" w:cstheme="minorHAnsi"/>
        </w:rPr>
        <w:t>erých již neočekává ze strany Evropské komise</w:t>
      </w:r>
      <w:r w:rsidRPr="00364B92">
        <w:rPr>
          <w:rFonts w:asciiTheme="minorHAnsi" w:hAnsiTheme="minorHAnsi" w:cstheme="minorHAnsi"/>
        </w:rPr>
        <w:t xml:space="preserve"> žádné platby. </w:t>
      </w:r>
      <w:r w:rsidR="0008128A" w:rsidRPr="00364B92">
        <w:rPr>
          <w:rFonts w:asciiTheme="minorHAnsi" w:hAnsiTheme="minorHAnsi" w:cstheme="minorHAnsi"/>
          <w:b/>
        </w:rPr>
        <w:t>Pro ÚZ MF sestavenou k</w:t>
      </w:r>
      <w:r w:rsidR="00454541">
        <w:rPr>
          <w:rFonts w:asciiTheme="minorHAnsi" w:hAnsiTheme="minorHAnsi" w:cstheme="minorHAnsi"/>
          <w:b/>
        </w:rPr>
        <w:t xml:space="preserve"> </w:t>
      </w:r>
      <w:r w:rsidR="0008128A" w:rsidRPr="00364B92">
        <w:rPr>
          <w:rFonts w:asciiTheme="minorHAnsi" w:hAnsiTheme="minorHAnsi" w:cstheme="minorHAnsi"/>
          <w:b/>
        </w:rPr>
        <w:t>31.</w:t>
      </w:r>
      <w:r w:rsidR="00483F75">
        <w:rPr>
          <w:rFonts w:asciiTheme="minorHAnsi" w:hAnsiTheme="minorHAnsi" w:cstheme="minorHAnsi"/>
          <w:b/>
        </w:rPr>
        <w:t> </w:t>
      </w:r>
      <w:r w:rsidR="0008128A" w:rsidRPr="00364B92">
        <w:rPr>
          <w:rFonts w:asciiTheme="minorHAnsi" w:hAnsiTheme="minorHAnsi" w:cstheme="minorHAnsi"/>
          <w:b/>
        </w:rPr>
        <w:t>12.</w:t>
      </w:r>
      <w:r w:rsidR="00483F75">
        <w:rPr>
          <w:rFonts w:asciiTheme="minorHAnsi" w:hAnsiTheme="minorHAnsi" w:cstheme="minorHAnsi"/>
          <w:b/>
        </w:rPr>
        <w:t> </w:t>
      </w:r>
      <w:r w:rsidR="0008128A" w:rsidRPr="00364B92">
        <w:rPr>
          <w:rFonts w:asciiTheme="minorHAnsi" w:hAnsiTheme="minorHAnsi" w:cstheme="minorHAnsi"/>
          <w:b/>
        </w:rPr>
        <w:t>2017 tak existuje pro zůstatek účtu</w:t>
      </w:r>
      <w:r w:rsidR="00305F5A">
        <w:rPr>
          <w:rFonts w:asciiTheme="minorHAnsi" w:hAnsiTheme="minorHAnsi" w:cstheme="minorHAnsi"/>
          <w:b/>
        </w:rPr>
        <w:t xml:space="preserve"> </w:t>
      </w:r>
      <w:r w:rsidR="00454541">
        <w:rPr>
          <w:rFonts w:asciiTheme="minorHAnsi" w:hAnsiTheme="minorHAnsi" w:cstheme="minorHAnsi"/>
          <w:b/>
        </w:rPr>
        <w:br/>
      </w:r>
      <w:r w:rsidR="0008128A" w:rsidRPr="00364B92">
        <w:rPr>
          <w:rFonts w:asciiTheme="minorHAnsi" w:hAnsiTheme="minorHAnsi" w:cstheme="minorHAnsi"/>
          <w:b/>
        </w:rPr>
        <w:t>953</w:t>
      </w:r>
      <w:r w:rsidR="004A6D2A">
        <w:rPr>
          <w:rFonts w:asciiTheme="minorHAnsi" w:hAnsiTheme="minorHAnsi" w:cstheme="minorHAnsi"/>
          <w:b/>
        </w:rPr>
        <w:t xml:space="preserve"> </w:t>
      </w:r>
      <w:r w:rsidR="004A6D2A" w:rsidRPr="0008128A">
        <w:rPr>
          <w:rFonts w:asciiTheme="minorHAnsi" w:hAnsiTheme="minorHAnsi" w:cstheme="minorHAnsi"/>
          <w:b/>
        </w:rPr>
        <w:t xml:space="preserve">– </w:t>
      </w:r>
      <w:r w:rsidR="004A6D2A" w:rsidRPr="0008128A">
        <w:rPr>
          <w:rFonts w:asciiTheme="minorHAnsi" w:hAnsiTheme="minorHAnsi" w:cstheme="minorHAnsi"/>
          <w:b/>
          <w:i/>
        </w:rPr>
        <w:t>Dlouhodobé podmíněné pohledávky ze zahraničních transferů</w:t>
      </w:r>
      <w:r w:rsidR="0008128A" w:rsidRPr="00364B92">
        <w:rPr>
          <w:rFonts w:asciiTheme="minorHAnsi" w:hAnsiTheme="minorHAnsi" w:cstheme="minorHAnsi"/>
          <w:b/>
          <w:i/>
        </w:rPr>
        <w:t xml:space="preserve"> </w:t>
      </w:r>
      <w:r w:rsidR="00364B92" w:rsidRPr="00364B92">
        <w:rPr>
          <w:rFonts w:asciiTheme="minorHAnsi" w:hAnsiTheme="minorHAnsi" w:cstheme="minorHAnsi"/>
          <w:b/>
        </w:rPr>
        <w:t xml:space="preserve">riziko </w:t>
      </w:r>
      <w:r w:rsidR="0008128A" w:rsidRPr="00364B92">
        <w:rPr>
          <w:rFonts w:asciiTheme="minorHAnsi" w:hAnsiTheme="minorHAnsi" w:cstheme="minorHAnsi"/>
          <w:b/>
        </w:rPr>
        <w:t>nesprávnosti.</w:t>
      </w:r>
      <w:r w:rsidR="0008128A" w:rsidRPr="00364B92">
        <w:rPr>
          <w:rFonts w:asciiTheme="minorHAnsi" w:hAnsiTheme="minorHAnsi" w:cstheme="minorHAnsi"/>
        </w:rPr>
        <w:t xml:space="preserve"> </w:t>
      </w:r>
      <w:r w:rsidR="0008128A" w:rsidRPr="00364B92">
        <w:rPr>
          <w:rFonts w:asciiTheme="minorHAnsi" w:hAnsiTheme="minorHAnsi" w:cstheme="minorHAnsi"/>
          <w:b/>
        </w:rPr>
        <w:t>Skutečný stav těchto pohledávek MF při inventarizaci nezjistilo</w:t>
      </w:r>
      <w:r w:rsidR="00454541">
        <w:rPr>
          <w:rFonts w:asciiTheme="minorHAnsi" w:hAnsiTheme="minorHAnsi" w:cstheme="minorHAnsi"/>
          <w:b/>
        </w:rPr>
        <w:t>, a </w:t>
      </w:r>
      <w:r w:rsidR="004A6D2A">
        <w:rPr>
          <w:rFonts w:asciiTheme="minorHAnsi" w:hAnsiTheme="minorHAnsi" w:cstheme="minorHAnsi"/>
          <w:b/>
        </w:rPr>
        <w:t>nepostupovalo tak v souladu s § 29 odst. 1 zákona o účetnictví</w:t>
      </w:r>
      <w:r w:rsidR="0008128A" w:rsidRPr="00364B92">
        <w:rPr>
          <w:rFonts w:asciiTheme="minorHAnsi" w:hAnsiTheme="minorHAnsi" w:cstheme="minorHAnsi"/>
          <w:b/>
        </w:rPr>
        <w:t>.</w:t>
      </w:r>
      <w:r w:rsidRPr="00364B92">
        <w:rPr>
          <w:rFonts w:asciiTheme="minorHAnsi" w:hAnsiTheme="minorHAnsi" w:cstheme="minorHAnsi"/>
          <w:b/>
        </w:rPr>
        <w:t xml:space="preserve"> </w:t>
      </w:r>
    </w:p>
    <w:p w14:paraId="5B4DDF9E" w14:textId="77777777" w:rsidR="00364B92" w:rsidRDefault="00364B92" w:rsidP="00364B92">
      <w:pPr>
        <w:spacing w:after="0"/>
        <w:jc w:val="both"/>
        <w:rPr>
          <w:rFonts w:asciiTheme="minorHAnsi" w:hAnsiTheme="minorHAnsi" w:cstheme="minorHAnsi"/>
          <w:b/>
        </w:rPr>
      </w:pPr>
    </w:p>
    <w:p w14:paraId="55889EC4" w14:textId="77777777" w:rsidR="00364B92" w:rsidRPr="006B32A4" w:rsidRDefault="00364B92" w:rsidP="00AF4368">
      <w:pPr>
        <w:spacing w:after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 ÚZ </w:t>
      </w:r>
      <w:r w:rsidRPr="006B32A4">
        <w:rPr>
          <w:rFonts w:asciiTheme="minorHAnsi" w:hAnsiTheme="minorHAnsi" w:cstheme="minorHAnsi"/>
          <w:b/>
        </w:rPr>
        <w:t xml:space="preserve">k 31. 12. 2017 </w:t>
      </w:r>
      <w:r>
        <w:rPr>
          <w:rFonts w:asciiTheme="minorHAnsi" w:hAnsiTheme="minorHAnsi" w:cstheme="minorHAnsi"/>
          <w:b/>
        </w:rPr>
        <w:t xml:space="preserve">MF dále </w:t>
      </w:r>
      <w:r w:rsidRPr="006B32A4">
        <w:rPr>
          <w:rFonts w:asciiTheme="minorHAnsi" w:hAnsiTheme="minorHAnsi" w:cstheme="minorHAnsi"/>
          <w:b/>
        </w:rPr>
        <w:t>vykázalo:</w:t>
      </w:r>
    </w:p>
    <w:p w14:paraId="753FB465" w14:textId="77777777" w:rsidR="00935E3D" w:rsidRPr="00935E3D" w:rsidRDefault="004C15C4" w:rsidP="00935E3D">
      <w:pPr>
        <w:pStyle w:val="Odstavecseseznamem"/>
        <w:numPr>
          <w:ilvl w:val="0"/>
          <w:numId w:val="12"/>
        </w:numPr>
        <w:ind w:left="714" w:hanging="357"/>
        <w:contextualSpacing w:val="0"/>
        <w:jc w:val="both"/>
        <w:rPr>
          <w:rFonts w:asciiTheme="minorHAnsi" w:hAnsiTheme="minorHAnsi" w:cstheme="minorHAnsi"/>
          <w:b/>
        </w:rPr>
      </w:pPr>
      <w:r w:rsidRPr="000B3E8E">
        <w:rPr>
          <w:rFonts w:asciiTheme="minorHAnsi" w:hAnsiTheme="minorHAnsi" w:cstheme="minorHAnsi"/>
          <w:b/>
        </w:rPr>
        <w:t>závazky vůči předfinancujícím subjektům z titulu neproplacených souhrnných žádostí o platbu prostředků z rozpočtu EU ve výši 5,618 mld. Kč</w:t>
      </w:r>
      <w:r>
        <w:rPr>
          <w:rFonts w:asciiTheme="minorHAnsi" w:hAnsiTheme="minorHAnsi" w:cstheme="minorHAnsi"/>
          <w:b/>
        </w:rPr>
        <w:t xml:space="preserve"> </w:t>
      </w:r>
      <w:r w:rsidR="00FD7F3A" w:rsidRPr="000B3E8E">
        <w:rPr>
          <w:rFonts w:asciiTheme="minorHAnsi" w:hAnsiTheme="minorHAnsi" w:cstheme="minorHAnsi"/>
          <w:b/>
        </w:rPr>
        <w:t xml:space="preserve">v rámci rozvahového účtu 375 – </w:t>
      </w:r>
      <w:r w:rsidR="00FD7F3A" w:rsidRPr="000B3E8E">
        <w:rPr>
          <w:rFonts w:asciiTheme="minorHAnsi" w:hAnsiTheme="minorHAnsi" w:cstheme="minorHAnsi"/>
          <w:b/>
          <w:i/>
        </w:rPr>
        <w:t>Krátkodobé zprostředkování transferů</w:t>
      </w:r>
      <w:r>
        <w:rPr>
          <w:rFonts w:asciiTheme="minorHAnsi" w:hAnsiTheme="minorHAnsi" w:cstheme="minorHAnsi"/>
          <w:b/>
          <w:i/>
        </w:rPr>
        <w:t>.</w:t>
      </w:r>
      <w:r w:rsidR="000B3E8E" w:rsidRPr="000B3E8E">
        <w:rPr>
          <w:rFonts w:asciiTheme="minorHAnsi" w:hAnsiTheme="minorHAnsi" w:cstheme="minorHAnsi"/>
          <w:b/>
        </w:rPr>
        <w:t xml:space="preserve"> </w:t>
      </w:r>
    </w:p>
    <w:p w14:paraId="27F875D0" w14:textId="587E2652" w:rsidR="00BA2CA1" w:rsidRPr="00916801" w:rsidRDefault="000B3E8E" w:rsidP="00720ADC">
      <w:pPr>
        <w:autoSpaceDE w:val="0"/>
        <w:autoSpaceDN w:val="0"/>
        <w:adjustRightInd w:val="0"/>
        <w:spacing w:after="160"/>
        <w:ind w:left="709"/>
        <w:jc w:val="both"/>
        <w:rPr>
          <w:rFonts w:asciiTheme="minorHAnsi" w:hAnsiTheme="minorHAnsi" w:cstheme="minorHAnsi"/>
        </w:rPr>
      </w:pPr>
      <w:r w:rsidRPr="00935E3D">
        <w:rPr>
          <w:rFonts w:asciiTheme="minorHAnsi" w:hAnsiTheme="minorHAnsi" w:cstheme="minorHAnsi"/>
        </w:rPr>
        <w:t>Předfinanc</w:t>
      </w:r>
      <w:r w:rsidR="004C15C4">
        <w:rPr>
          <w:rFonts w:asciiTheme="minorHAnsi" w:hAnsiTheme="minorHAnsi" w:cstheme="minorHAnsi"/>
        </w:rPr>
        <w:t xml:space="preserve">ující subjekty poskytly </w:t>
      </w:r>
      <w:r w:rsidRPr="00935E3D">
        <w:rPr>
          <w:rFonts w:asciiTheme="minorHAnsi" w:hAnsiTheme="minorHAnsi" w:cstheme="minorHAnsi"/>
        </w:rPr>
        <w:t>konečným příjemcům</w:t>
      </w:r>
      <w:r w:rsidR="00B4149A">
        <w:rPr>
          <w:rFonts w:asciiTheme="minorHAnsi" w:hAnsiTheme="minorHAnsi" w:cstheme="minorHAnsi"/>
        </w:rPr>
        <w:t xml:space="preserve"> na realizaci jejich projektů </w:t>
      </w:r>
      <w:r w:rsidR="00990734" w:rsidRPr="00935E3D">
        <w:rPr>
          <w:rFonts w:asciiTheme="minorHAnsi" w:hAnsiTheme="minorHAnsi" w:cstheme="minorHAnsi"/>
        </w:rPr>
        <w:t xml:space="preserve">peněžní prostředky </w:t>
      </w:r>
      <w:r w:rsidR="00990734" w:rsidRPr="005A4235">
        <w:rPr>
          <w:rFonts w:asciiTheme="minorHAnsi" w:hAnsiTheme="minorHAnsi" w:cstheme="minorHAnsi"/>
          <w:u w:val="single"/>
        </w:rPr>
        <w:t>ze státního rozpočtu</w:t>
      </w:r>
      <w:r w:rsidR="00B4149A">
        <w:rPr>
          <w:rFonts w:asciiTheme="minorHAnsi" w:hAnsiTheme="minorHAnsi" w:cstheme="minorHAnsi"/>
        </w:rPr>
        <w:t>. Výši již poskytnutých prostředků předfinancující subjekty následně nárokovaly</w:t>
      </w:r>
      <w:r w:rsidR="00BA2CA1">
        <w:rPr>
          <w:rFonts w:asciiTheme="minorHAnsi" w:hAnsiTheme="minorHAnsi" w:cstheme="minorHAnsi"/>
        </w:rPr>
        <w:t xml:space="preserve"> prostřednictvím souhrnných žádostí u</w:t>
      </w:r>
      <w:r w:rsidR="00483F75">
        <w:rPr>
          <w:rFonts w:asciiTheme="minorHAnsi" w:hAnsiTheme="minorHAnsi" w:cstheme="minorHAnsi"/>
        </w:rPr>
        <w:t> </w:t>
      </w:r>
      <w:r w:rsidRPr="00935E3D">
        <w:rPr>
          <w:rFonts w:asciiTheme="minorHAnsi" w:hAnsiTheme="minorHAnsi" w:cstheme="minorHAnsi"/>
        </w:rPr>
        <w:t>NF-PCO</w:t>
      </w:r>
      <w:r w:rsidR="00BA2CA1">
        <w:rPr>
          <w:rFonts w:asciiTheme="minorHAnsi" w:hAnsiTheme="minorHAnsi" w:cstheme="minorHAnsi"/>
        </w:rPr>
        <w:t xml:space="preserve"> k refundaci z prostředků rozpočtu EU</w:t>
      </w:r>
      <w:r w:rsidR="00DA6287">
        <w:rPr>
          <w:rFonts w:asciiTheme="minorHAnsi" w:hAnsiTheme="minorHAnsi" w:cstheme="minorHAnsi"/>
        </w:rPr>
        <w:t>.</w:t>
      </w:r>
      <w:r w:rsidR="00B4149A">
        <w:rPr>
          <w:rFonts w:asciiTheme="minorHAnsi" w:hAnsiTheme="minorHAnsi" w:cstheme="minorHAnsi"/>
        </w:rPr>
        <w:t xml:space="preserve"> </w:t>
      </w:r>
      <w:r w:rsidR="00DA6287">
        <w:rPr>
          <w:rFonts w:asciiTheme="minorHAnsi" w:hAnsiTheme="minorHAnsi" w:cstheme="minorHAnsi"/>
        </w:rPr>
        <w:t>NF-PCO</w:t>
      </w:r>
      <w:r w:rsidR="00BA2CA1">
        <w:rPr>
          <w:rFonts w:asciiTheme="minorHAnsi" w:hAnsiTheme="minorHAnsi" w:cstheme="minorHAnsi"/>
        </w:rPr>
        <w:t xml:space="preserve"> na základě schválených souhrnných žádostí tyto nárokované prostředky vykazuje jako </w:t>
      </w:r>
      <w:r w:rsidR="00990734" w:rsidRPr="00935E3D">
        <w:rPr>
          <w:rFonts w:asciiTheme="minorHAnsi" w:hAnsiTheme="minorHAnsi" w:cstheme="minorHAnsi"/>
        </w:rPr>
        <w:t>krátkodobé závazky</w:t>
      </w:r>
      <w:r w:rsidR="00BA2CA1">
        <w:rPr>
          <w:rFonts w:asciiTheme="minorHAnsi" w:hAnsiTheme="minorHAnsi" w:cstheme="minorHAnsi"/>
        </w:rPr>
        <w:t xml:space="preserve"> vůči předfinancujícím subjektům na účtu 375. </w:t>
      </w:r>
      <w:r w:rsidR="00BA2CA1" w:rsidRPr="00916801">
        <w:rPr>
          <w:rFonts w:asciiTheme="minorHAnsi" w:hAnsiTheme="minorHAnsi" w:cstheme="minorHAnsi"/>
        </w:rPr>
        <w:t xml:space="preserve">Pokud hodnota schválených souhrnných žádostí převýší hodnotu závazku EU vůči ČR </w:t>
      </w:r>
      <w:r w:rsidR="00BA2CA1">
        <w:rPr>
          <w:rFonts w:asciiTheme="minorHAnsi" w:hAnsiTheme="minorHAnsi" w:cstheme="minorHAnsi"/>
        </w:rPr>
        <w:t>u</w:t>
      </w:r>
      <w:r w:rsidR="00BA2CA1" w:rsidRPr="00916801">
        <w:rPr>
          <w:rFonts w:asciiTheme="minorHAnsi" w:hAnsiTheme="minorHAnsi" w:cstheme="minorHAnsi"/>
        </w:rPr>
        <w:t xml:space="preserve"> konkrétního programu/projektu</w:t>
      </w:r>
      <w:r w:rsidR="00305F5A">
        <w:rPr>
          <w:rFonts w:asciiTheme="minorHAnsi" w:hAnsiTheme="minorHAnsi" w:cstheme="minorHAnsi"/>
        </w:rPr>
        <w:t>,</w:t>
      </w:r>
      <w:r w:rsidR="00BA2CA1">
        <w:rPr>
          <w:rStyle w:val="Znakapoznpodarou"/>
          <w:rFonts w:asciiTheme="minorHAnsi" w:hAnsiTheme="minorHAnsi" w:cstheme="minorHAnsi"/>
        </w:rPr>
        <w:footnoteReference w:id="16"/>
      </w:r>
      <w:r w:rsidR="00BA2CA1" w:rsidRPr="00916801">
        <w:rPr>
          <w:rFonts w:asciiTheme="minorHAnsi" w:hAnsiTheme="minorHAnsi" w:cstheme="minorHAnsi"/>
        </w:rPr>
        <w:t xml:space="preserve"> </w:t>
      </w:r>
      <w:r w:rsidR="00BA2CA1" w:rsidRPr="00916801">
        <w:rPr>
          <w:rFonts w:asciiTheme="minorHAnsi" w:hAnsiTheme="minorHAnsi" w:cstheme="minorHAnsi"/>
        </w:rPr>
        <w:lastRenderedPageBreak/>
        <w:t>souhrnné žádosti již</w:t>
      </w:r>
      <w:r w:rsidR="00BA2CA1">
        <w:rPr>
          <w:rFonts w:asciiTheme="minorHAnsi" w:hAnsiTheme="minorHAnsi" w:cstheme="minorHAnsi"/>
        </w:rPr>
        <w:t xml:space="preserve"> </w:t>
      </w:r>
      <w:r w:rsidR="00BA2CA1" w:rsidRPr="00916801">
        <w:rPr>
          <w:rFonts w:asciiTheme="minorHAnsi" w:hAnsiTheme="minorHAnsi" w:cstheme="minorHAnsi"/>
        </w:rPr>
        <w:t>nemohou být z prostředků EU uhrazeny.</w:t>
      </w:r>
      <w:r w:rsidR="00BA2CA1">
        <w:rPr>
          <w:rFonts w:asciiTheme="minorHAnsi" w:hAnsiTheme="minorHAnsi" w:cstheme="minorHAnsi"/>
        </w:rPr>
        <w:t xml:space="preserve"> Dochází k tzv. přezávazkování programu/projektu, kdy jediným zdrojem pro vyrovnání alespoň části těchto závazků, tj. prostředků již vynaložených ze státního rozpočtu, je postupný peněžní tok vratek z vymáhaných nesrovnalostí.</w:t>
      </w:r>
      <w:r w:rsidR="00BA2CA1" w:rsidRPr="00916801">
        <w:rPr>
          <w:rFonts w:asciiTheme="minorHAnsi" w:hAnsiTheme="minorHAnsi" w:cstheme="minorHAnsi"/>
        </w:rPr>
        <w:t xml:space="preserve"> </w:t>
      </w:r>
      <w:r w:rsidR="00BA2CA1">
        <w:rPr>
          <w:rFonts w:asciiTheme="minorHAnsi" w:hAnsiTheme="minorHAnsi" w:cstheme="minorHAnsi"/>
        </w:rPr>
        <w:t xml:space="preserve">U přezávazkovaných programů/projektů však NF-PCO </w:t>
      </w:r>
      <w:r w:rsidR="00BA2CA1" w:rsidRPr="00935E3D">
        <w:rPr>
          <w:rFonts w:asciiTheme="minorHAnsi" w:hAnsiTheme="minorHAnsi" w:cstheme="minorHAnsi"/>
        </w:rPr>
        <w:t xml:space="preserve">nemůže predikovat, kdy a v jaké výši </w:t>
      </w:r>
      <w:r w:rsidR="00BA2CA1">
        <w:rPr>
          <w:rFonts w:asciiTheme="minorHAnsi" w:hAnsiTheme="minorHAnsi" w:cstheme="minorHAnsi"/>
        </w:rPr>
        <w:t>tyto pohledávky</w:t>
      </w:r>
      <w:r w:rsidR="00920752">
        <w:rPr>
          <w:rFonts w:asciiTheme="minorHAnsi" w:hAnsiTheme="minorHAnsi" w:cstheme="minorHAnsi"/>
        </w:rPr>
        <w:t xml:space="preserve"> předfinancujících</w:t>
      </w:r>
      <w:r w:rsidR="00BA2CA1">
        <w:rPr>
          <w:rFonts w:asciiTheme="minorHAnsi" w:hAnsiTheme="minorHAnsi" w:cstheme="minorHAnsi"/>
        </w:rPr>
        <w:t xml:space="preserve"> </w:t>
      </w:r>
      <w:r w:rsidR="00920752">
        <w:rPr>
          <w:rFonts w:asciiTheme="minorHAnsi" w:hAnsiTheme="minorHAnsi" w:cstheme="minorHAnsi"/>
        </w:rPr>
        <w:t xml:space="preserve">subjektů </w:t>
      </w:r>
      <w:r w:rsidR="00BA2CA1">
        <w:rPr>
          <w:rFonts w:asciiTheme="minorHAnsi" w:hAnsiTheme="minorHAnsi" w:cstheme="minorHAnsi"/>
        </w:rPr>
        <w:t>uhradí, neboť tato úhrada je podmíněna nejistými peněžními toky z případných vratek</w:t>
      </w:r>
      <w:r w:rsidR="00352166">
        <w:rPr>
          <w:rStyle w:val="Znakapoznpodarou"/>
          <w:rFonts w:asciiTheme="minorHAnsi" w:hAnsiTheme="minorHAnsi" w:cstheme="minorHAnsi"/>
        </w:rPr>
        <w:footnoteReference w:id="17"/>
      </w:r>
      <w:r w:rsidR="00BA2CA1">
        <w:rPr>
          <w:rFonts w:asciiTheme="minorHAnsi" w:hAnsiTheme="minorHAnsi" w:cstheme="minorHAnsi"/>
        </w:rPr>
        <w:t xml:space="preserve"> v důsledku finančních oprav</w:t>
      </w:r>
      <w:r w:rsidR="00BA2CA1" w:rsidRPr="00935E3D">
        <w:rPr>
          <w:rFonts w:asciiTheme="minorHAnsi" w:hAnsiTheme="minorHAnsi" w:cstheme="minorHAnsi"/>
        </w:rPr>
        <w:t>.</w:t>
      </w:r>
      <w:r w:rsidR="00BA2CA1">
        <w:rPr>
          <w:rFonts w:asciiTheme="minorHAnsi" w:hAnsiTheme="minorHAnsi" w:cstheme="minorHAnsi"/>
        </w:rPr>
        <w:t xml:space="preserve"> </w:t>
      </w:r>
      <w:r w:rsidR="00BA2CA1" w:rsidRPr="00916801">
        <w:rPr>
          <w:rFonts w:asciiTheme="minorHAnsi" w:hAnsiTheme="minorHAnsi" w:cstheme="minorHAnsi"/>
        </w:rPr>
        <w:t xml:space="preserve">MF </w:t>
      </w:r>
      <w:r w:rsidR="00BA2CA1">
        <w:rPr>
          <w:rFonts w:asciiTheme="minorHAnsi" w:hAnsiTheme="minorHAnsi" w:cstheme="minorHAnsi"/>
        </w:rPr>
        <w:t xml:space="preserve">však nadále </w:t>
      </w:r>
      <w:r w:rsidR="00BA2CA1" w:rsidRPr="00916801">
        <w:rPr>
          <w:rFonts w:asciiTheme="minorHAnsi" w:hAnsiTheme="minorHAnsi" w:cstheme="minorHAnsi"/>
        </w:rPr>
        <w:t>vyk</w:t>
      </w:r>
      <w:r w:rsidR="00BA2CA1">
        <w:rPr>
          <w:rFonts w:asciiTheme="minorHAnsi" w:hAnsiTheme="minorHAnsi" w:cstheme="minorHAnsi"/>
        </w:rPr>
        <w:t xml:space="preserve">azuje </w:t>
      </w:r>
      <w:r w:rsidR="00BA2CA1" w:rsidRPr="00916801">
        <w:rPr>
          <w:rFonts w:asciiTheme="minorHAnsi" w:hAnsiTheme="minorHAnsi" w:cstheme="minorHAnsi"/>
        </w:rPr>
        <w:t>v důsledku nastavených postupů</w:t>
      </w:r>
      <w:r w:rsidR="00BA2CA1">
        <w:rPr>
          <w:rFonts w:asciiTheme="minorHAnsi" w:hAnsiTheme="minorHAnsi" w:cstheme="minorHAnsi"/>
        </w:rPr>
        <w:t xml:space="preserve"> </w:t>
      </w:r>
      <w:r w:rsidR="00BA2CA1" w:rsidRPr="00916801">
        <w:rPr>
          <w:rFonts w:asciiTheme="minorHAnsi" w:hAnsiTheme="minorHAnsi" w:cstheme="minorHAnsi"/>
        </w:rPr>
        <w:t>účtování závaz</w:t>
      </w:r>
      <w:r w:rsidR="007F2D58">
        <w:rPr>
          <w:rFonts w:asciiTheme="minorHAnsi" w:hAnsiTheme="minorHAnsi" w:cstheme="minorHAnsi"/>
        </w:rPr>
        <w:t>ky vůči</w:t>
      </w:r>
      <w:r w:rsidR="00BA2CA1" w:rsidRPr="00916801">
        <w:rPr>
          <w:rFonts w:asciiTheme="minorHAnsi" w:hAnsiTheme="minorHAnsi" w:cstheme="minorHAnsi"/>
        </w:rPr>
        <w:t xml:space="preserve"> předfinancujícím subjekt</w:t>
      </w:r>
      <w:r w:rsidR="00BA2CA1">
        <w:rPr>
          <w:rFonts w:asciiTheme="minorHAnsi" w:hAnsiTheme="minorHAnsi" w:cstheme="minorHAnsi"/>
        </w:rPr>
        <w:t>ům</w:t>
      </w:r>
      <w:r w:rsidR="00BA2CA1" w:rsidRPr="00916801">
        <w:rPr>
          <w:rFonts w:asciiTheme="minorHAnsi" w:hAnsiTheme="minorHAnsi" w:cstheme="minorHAnsi"/>
        </w:rPr>
        <w:t xml:space="preserve"> a zároveň</w:t>
      </w:r>
      <w:r w:rsidR="00BA2CA1">
        <w:rPr>
          <w:rFonts w:asciiTheme="minorHAnsi" w:hAnsiTheme="minorHAnsi" w:cstheme="minorHAnsi"/>
        </w:rPr>
        <w:t xml:space="preserve"> </w:t>
      </w:r>
      <w:r w:rsidR="00BA2CA1" w:rsidRPr="00916801">
        <w:rPr>
          <w:rFonts w:asciiTheme="minorHAnsi" w:hAnsiTheme="minorHAnsi" w:cstheme="minorHAnsi"/>
        </w:rPr>
        <w:t>pohledávk</w:t>
      </w:r>
      <w:r w:rsidR="00BA2CA1">
        <w:rPr>
          <w:rFonts w:asciiTheme="minorHAnsi" w:hAnsiTheme="minorHAnsi" w:cstheme="minorHAnsi"/>
        </w:rPr>
        <w:t>y</w:t>
      </w:r>
      <w:r w:rsidR="00BA2CA1" w:rsidRPr="00916801">
        <w:rPr>
          <w:rFonts w:asciiTheme="minorHAnsi" w:hAnsiTheme="minorHAnsi" w:cstheme="minorHAnsi"/>
        </w:rPr>
        <w:t xml:space="preserve"> za</w:t>
      </w:r>
      <w:r w:rsidR="00BA2CA1">
        <w:rPr>
          <w:rFonts w:asciiTheme="minorHAnsi" w:hAnsiTheme="minorHAnsi" w:cstheme="minorHAnsi"/>
        </w:rPr>
        <w:t xml:space="preserve"> Evropskou komisí (viz výše k zůstatku účtu 475).</w:t>
      </w:r>
    </w:p>
    <w:p w14:paraId="01CC6E6E" w14:textId="7A910BB3" w:rsidR="00990734" w:rsidRPr="005A4235" w:rsidRDefault="00164909" w:rsidP="00AF4368">
      <w:pPr>
        <w:spacing w:after="160"/>
        <w:ind w:left="709"/>
        <w:jc w:val="both"/>
        <w:rPr>
          <w:rFonts w:asciiTheme="minorHAnsi" w:hAnsiTheme="minorHAnsi" w:cstheme="minorHAnsi"/>
          <w:b/>
        </w:rPr>
      </w:pPr>
      <w:r w:rsidRPr="005A4235">
        <w:rPr>
          <w:rFonts w:asciiTheme="minorHAnsi" w:hAnsiTheme="minorHAnsi" w:cstheme="minorHAnsi"/>
          <w:b/>
        </w:rPr>
        <w:t xml:space="preserve">V případě uvedených závazků je nejisté, zda budou </w:t>
      </w:r>
      <w:r w:rsidR="000B3E8E" w:rsidRPr="005A4235">
        <w:rPr>
          <w:rFonts w:asciiTheme="minorHAnsi" w:hAnsiTheme="minorHAnsi" w:cstheme="minorHAnsi"/>
          <w:b/>
        </w:rPr>
        <w:t xml:space="preserve">ze strany </w:t>
      </w:r>
      <w:r w:rsidR="00990734" w:rsidRPr="005A4235">
        <w:rPr>
          <w:rFonts w:asciiTheme="minorHAnsi" w:hAnsiTheme="minorHAnsi" w:cstheme="minorHAnsi"/>
          <w:b/>
        </w:rPr>
        <w:t xml:space="preserve">NF-PCO předfinancujícím subjektům v plné výši uhrazeny a </w:t>
      </w:r>
      <w:r w:rsidRPr="005A4235">
        <w:rPr>
          <w:rFonts w:asciiTheme="minorHAnsi" w:hAnsiTheme="minorHAnsi" w:cstheme="minorHAnsi"/>
          <w:b/>
        </w:rPr>
        <w:t xml:space="preserve">zda budou </w:t>
      </w:r>
      <w:r w:rsidR="00990734" w:rsidRPr="005A4235">
        <w:rPr>
          <w:rFonts w:asciiTheme="minorHAnsi" w:hAnsiTheme="minorHAnsi" w:cstheme="minorHAnsi"/>
          <w:b/>
        </w:rPr>
        <w:t>peněžní prostředky vynaložené v rámci předfinancování ze státního rozpočt</w:t>
      </w:r>
      <w:r w:rsidRPr="005A4235">
        <w:rPr>
          <w:rFonts w:asciiTheme="minorHAnsi" w:hAnsiTheme="minorHAnsi" w:cstheme="minorHAnsi"/>
          <w:b/>
        </w:rPr>
        <w:t xml:space="preserve">u </w:t>
      </w:r>
      <w:r w:rsidR="00990734" w:rsidRPr="005A4235">
        <w:rPr>
          <w:rFonts w:asciiTheme="minorHAnsi" w:hAnsiTheme="minorHAnsi" w:cstheme="minorHAnsi"/>
          <w:b/>
        </w:rPr>
        <w:t>refundovány z přijatých vratek</w:t>
      </w:r>
      <w:r w:rsidR="00352166" w:rsidRPr="005A4235">
        <w:rPr>
          <w:rFonts w:asciiTheme="minorHAnsi" w:hAnsiTheme="minorHAnsi" w:cstheme="minorHAnsi"/>
          <w:b/>
        </w:rPr>
        <w:t>.</w:t>
      </w:r>
      <w:r w:rsidRPr="005A4235">
        <w:rPr>
          <w:rFonts w:asciiTheme="minorHAnsi" w:hAnsiTheme="minorHAnsi" w:cstheme="minorHAnsi"/>
          <w:b/>
        </w:rPr>
        <w:t xml:space="preserve"> Tato skutečnost </w:t>
      </w:r>
      <w:r w:rsidR="008D29D2">
        <w:rPr>
          <w:rFonts w:asciiTheme="minorHAnsi" w:hAnsiTheme="minorHAnsi" w:cstheme="minorHAnsi"/>
          <w:b/>
        </w:rPr>
        <w:t xml:space="preserve">však </w:t>
      </w:r>
      <w:r w:rsidRPr="005A4235">
        <w:rPr>
          <w:rFonts w:asciiTheme="minorHAnsi" w:hAnsiTheme="minorHAnsi" w:cstheme="minorHAnsi"/>
          <w:b/>
        </w:rPr>
        <w:t>z ÚZ k 31. 12. 2017 nevyplývá.</w:t>
      </w:r>
      <w:r w:rsidR="00056702" w:rsidRPr="005A4235">
        <w:rPr>
          <w:rFonts w:asciiTheme="minorHAnsi" w:hAnsiTheme="minorHAnsi" w:cstheme="minorHAnsi"/>
          <w:b/>
        </w:rPr>
        <w:t xml:space="preserve"> MF by </w:t>
      </w:r>
      <w:r w:rsidRPr="005A4235">
        <w:rPr>
          <w:rFonts w:asciiTheme="minorHAnsi" w:hAnsiTheme="minorHAnsi" w:cstheme="minorHAnsi"/>
          <w:b/>
        </w:rPr>
        <w:t xml:space="preserve">mělo </w:t>
      </w:r>
      <w:r w:rsidR="0039236D" w:rsidRPr="00AF4368">
        <w:rPr>
          <w:rFonts w:asciiTheme="minorHAnsi" w:hAnsiTheme="minorHAnsi" w:cstheme="minorHAnsi"/>
          <w:b/>
        </w:rPr>
        <w:t xml:space="preserve">dle </w:t>
      </w:r>
      <w:r w:rsidR="006D7827">
        <w:rPr>
          <w:rFonts w:asciiTheme="minorHAnsi" w:hAnsiTheme="minorHAnsi" w:cstheme="minorHAnsi"/>
          <w:b/>
        </w:rPr>
        <w:t xml:space="preserve">ustanovení </w:t>
      </w:r>
      <w:r w:rsidR="0039236D" w:rsidRPr="00AF4368">
        <w:rPr>
          <w:rFonts w:asciiTheme="minorHAnsi" w:hAnsiTheme="minorHAnsi" w:cstheme="minorHAnsi"/>
          <w:b/>
        </w:rPr>
        <w:t>§ 45 odst.</w:t>
      </w:r>
      <w:r w:rsidR="00C03B28">
        <w:rPr>
          <w:rFonts w:asciiTheme="minorHAnsi" w:hAnsiTheme="minorHAnsi" w:cstheme="minorHAnsi"/>
          <w:b/>
        </w:rPr>
        <w:t> </w:t>
      </w:r>
      <w:r w:rsidR="0039236D" w:rsidRPr="00AF4368">
        <w:rPr>
          <w:rFonts w:asciiTheme="minorHAnsi" w:hAnsiTheme="minorHAnsi" w:cstheme="minorHAnsi"/>
          <w:b/>
        </w:rPr>
        <w:t>1 písm. e) vyhlášky č. 410/2009 Sb.</w:t>
      </w:r>
      <w:r w:rsidR="0039236D">
        <w:rPr>
          <w:rFonts w:asciiTheme="minorHAnsi" w:hAnsiTheme="minorHAnsi" w:cstheme="minorHAnsi"/>
          <w:b/>
        </w:rPr>
        <w:t xml:space="preserve"> </w:t>
      </w:r>
      <w:r w:rsidR="00056702" w:rsidRPr="005A4235">
        <w:rPr>
          <w:rFonts w:asciiTheme="minorHAnsi" w:hAnsiTheme="minorHAnsi" w:cstheme="minorHAnsi"/>
          <w:b/>
        </w:rPr>
        <w:t xml:space="preserve">o těchto </w:t>
      </w:r>
      <w:r w:rsidRPr="005A4235">
        <w:rPr>
          <w:rFonts w:asciiTheme="minorHAnsi" w:hAnsiTheme="minorHAnsi" w:cstheme="minorHAnsi"/>
          <w:b/>
        </w:rPr>
        <w:t xml:space="preserve">významných </w:t>
      </w:r>
      <w:r w:rsidR="00056702" w:rsidRPr="005A4235">
        <w:rPr>
          <w:rFonts w:asciiTheme="minorHAnsi" w:hAnsiTheme="minorHAnsi" w:cstheme="minorHAnsi"/>
          <w:b/>
        </w:rPr>
        <w:t>skutečnostech</w:t>
      </w:r>
      <w:r w:rsidRPr="005A4235">
        <w:rPr>
          <w:rFonts w:asciiTheme="minorHAnsi" w:hAnsiTheme="minorHAnsi" w:cstheme="minorHAnsi"/>
          <w:b/>
        </w:rPr>
        <w:t xml:space="preserve"> </w:t>
      </w:r>
      <w:r w:rsidR="00056702" w:rsidRPr="005A4235">
        <w:rPr>
          <w:rFonts w:asciiTheme="minorHAnsi" w:hAnsiTheme="minorHAnsi" w:cstheme="minorHAnsi"/>
          <w:b/>
        </w:rPr>
        <w:t>informovat v příloze účetní závěrky</w:t>
      </w:r>
      <w:r w:rsidR="000B3E8E" w:rsidRPr="005A4235">
        <w:rPr>
          <w:rFonts w:asciiTheme="minorHAnsi" w:hAnsiTheme="minorHAnsi" w:cstheme="minorHAnsi"/>
          <w:b/>
        </w:rPr>
        <w:t>.</w:t>
      </w:r>
    </w:p>
    <w:p w14:paraId="1AB5187A" w14:textId="550776E7" w:rsidR="00AD3F9A" w:rsidRPr="00AF4368" w:rsidRDefault="00626B4D" w:rsidP="00AF4368">
      <w:pPr>
        <w:spacing w:after="0"/>
        <w:ind w:left="709"/>
        <w:jc w:val="both"/>
        <w:rPr>
          <w:rFonts w:asciiTheme="minorHAnsi" w:hAnsiTheme="minorHAnsi" w:cstheme="minorHAnsi"/>
          <w:b/>
          <w:highlight w:val="yellow"/>
        </w:rPr>
      </w:pPr>
      <w:r w:rsidRPr="00626B4D">
        <w:rPr>
          <w:rFonts w:asciiTheme="minorHAnsi" w:hAnsiTheme="minorHAnsi" w:cstheme="minorHAnsi"/>
        </w:rPr>
        <w:t>Na účtu</w:t>
      </w:r>
      <w:r w:rsidR="00AD3F9A" w:rsidRPr="005A4235">
        <w:rPr>
          <w:rFonts w:asciiTheme="minorHAnsi" w:hAnsiTheme="minorHAnsi" w:cstheme="minorHAnsi"/>
        </w:rPr>
        <w:t xml:space="preserve"> 375 </w:t>
      </w:r>
      <w:r w:rsidR="008D29D2">
        <w:rPr>
          <w:rFonts w:asciiTheme="minorHAnsi" w:hAnsiTheme="minorHAnsi" w:cstheme="minorHAnsi"/>
        </w:rPr>
        <w:t xml:space="preserve">MF vykazuje </w:t>
      </w:r>
      <w:r w:rsidR="006B75E7" w:rsidRPr="005A4235">
        <w:rPr>
          <w:rFonts w:asciiTheme="minorHAnsi" w:hAnsiTheme="minorHAnsi" w:cstheme="minorHAnsi"/>
        </w:rPr>
        <w:t xml:space="preserve">také </w:t>
      </w:r>
      <w:r w:rsidR="00AD3F9A" w:rsidRPr="005A4235">
        <w:rPr>
          <w:rFonts w:asciiTheme="minorHAnsi" w:hAnsiTheme="minorHAnsi" w:cstheme="minorHAnsi"/>
        </w:rPr>
        <w:t>vratky</w:t>
      </w:r>
      <w:r w:rsidR="00DD18F1">
        <w:rPr>
          <w:rStyle w:val="Znakapoznpodarou"/>
          <w:rFonts w:asciiTheme="minorHAnsi" w:hAnsiTheme="minorHAnsi" w:cstheme="minorHAnsi"/>
        </w:rPr>
        <w:footnoteReference w:id="18"/>
      </w:r>
      <w:r w:rsidR="00AD3F9A" w:rsidRPr="005A4235">
        <w:rPr>
          <w:rFonts w:asciiTheme="minorHAnsi" w:hAnsiTheme="minorHAnsi" w:cstheme="minorHAnsi"/>
        </w:rPr>
        <w:t>, a to jako krátkodobé závazky za subjekty, kterým mají být tyto prostředky převedeny. Zákon č. 218/2000 Sb. upravuje příjem vratek na bankovní účty NF-PCO. Postup NF-PCO pro nakládání s vratkami a jejich převod do kapitol státního rozpočtu však ne</w:t>
      </w:r>
      <w:r w:rsidR="00305F5A">
        <w:rPr>
          <w:rFonts w:asciiTheme="minorHAnsi" w:hAnsiTheme="minorHAnsi" w:cstheme="minorHAnsi"/>
        </w:rPr>
        <w:t>jsou</w:t>
      </w:r>
      <w:r w:rsidR="00AD3F9A" w:rsidRPr="005A4235">
        <w:rPr>
          <w:rFonts w:asciiTheme="minorHAnsi" w:hAnsiTheme="minorHAnsi" w:cstheme="minorHAnsi"/>
        </w:rPr>
        <w:t xml:space="preserve"> tímto zákonem upraven</w:t>
      </w:r>
      <w:r w:rsidR="00305F5A">
        <w:rPr>
          <w:rFonts w:asciiTheme="minorHAnsi" w:hAnsiTheme="minorHAnsi" w:cstheme="minorHAnsi"/>
        </w:rPr>
        <w:t>y</w:t>
      </w:r>
      <w:r w:rsidR="00AD3F9A" w:rsidRPr="005A4235">
        <w:rPr>
          <w:rFonts w:asciiTheme="minorHAnsi" w:hAnsiTheme="minorHAnsi" w:cstheme="minorHAnsi"/>
        </w:rPr>
        <w:t xml:space="preserve">. </w:t>
      </w:r>
      <w:r w:rsidR="00AD3F9A" w:rsidRPr="00AF4368">
        <w:rPr>
          <w:rFonts w:asciiTheme="minorHAnsi" w:hAnsiTheme="minorHAnsi" w:cstheme="minorHAnsi"/>
          <w:b/>
        </w:rPr>
        <w:t>Kontrolou vyb</w:t>
      </w:r>
      <w:r w:rsidR="00AF5A6D" w:rsidRPr="00AF4368">
        <w:rPr>
          <w:rFonts w:asciiTheme="minorHAnsi" w:hAnsiTheme="minorHAnsi" w:cstheme="minorHAnsi"/>
          <w:b/>
        </w:rPr>
        <w:t>raných případů vratek</w:t>
      </w:r>
      <w:r w:rsidR="00E43E68" w:rsidRPr="00AF4368">
        <w:rPr>
          <w:rStyle w:val="Znakapoznpodarou"/>
          <w:rFonts w:asciiTheme="minorHAnsi" w:hAnsiTheme="minorHAnsi" w:cstheme="minorHAnsi"/>
          <w:b/>
        </w:rPr>
        <w:footnoteReference w:id="19"/>
      </w:r>
      <w:r w:rsidR="00AF5A6D" w:rsidRPr="00AF4368">
        <w:rPr>
          <w:rFonts w:asciiTheme="minorHAnsi" w:hAnsiTheme="minorHAnsi" w:cstheme="minorHAnsi"/>
          <w:b/>
        </w:rPr>
        <w:t xml:space="preserve">, u nichž již bylo šetření nesrovnalostí ukončeno, </w:t>
      </w:r>
      <w:r w:rsidR="00AD3F9A" w:rsidRPr="00AF4368">
        <w:rPr>
          <w:rFonts w:asciiTheme="minorHAnsi" w:hAnsiTheme="minorHAnsi" w:cstheme="minorHAnsi"/>
          <w:b/>
        </w:rPr>
        <w:t>bylo zjištěno</w:t>
      </w:r>
      <w:r w:rsidR="00AF5A6D" w:rsidRPr="00AF4368">
        <w:rPr>
          <w:rFonts w:asciiTheme="minorHAnsi" w:hAnsiTheme="minorHAnsi" w:cstheme="minorHAnsi"/>
          <w:b/>
        </w:rPr>
        <w:t>, že NF-PCO přijal v letech 2011–2015 na univerzální účet vra</w:t>
      </w:r>
      <w:r w:rsidR="006B75E7" w:rsidRPr="00AF4368">
        <w:rPr>
          <w:rFonts w:asciiTheme="minorHAnsi" w:hAnsiTheme="minorHAnsi" w:cstheme="minorHAnsi"/>
          <w:b/>
        </w:rPr>
        <w:t>tky</w:t>
      </w:r>
      <w:r w:rsidR="008B0D4C">
        <w:rPr>
          <w:rFonts w:asciiTheme="minorHAnsi" w:hAnsiTheme="minorHAnsi" w:cstheme="minorHAnsi"/>
          <w:b/>
        </w:rPr>
        <w:t xml:space="preserve"> ve výši 1,3 mld. Kč</w:t>
      </w:r>
      <w:r w:rsidR="009A2127">
        <w:rPr>
          <w:rStyle w:val="Znakapoznpodarou"/>
          <w:rFonts w:asciiTheme="minorHAnsi" w:hAnsiTheme="minorHAnsi" w:cstheme="minorHAnsi"/>
          <w:b/>
        </w:rPr>
        <w:footnoteReference w:id="20"/>
      </w:r>
      <w:r w:rsidR="00AF5A6D" w:rsidRPr="00AF4368">
        <w:rPr>
          <w:rFonts w:asciiTheme="minorHAnsi" w:hAnsiTheme="minorHAnsi" w:cstheme="minorHAnsi"/>
          <w:b/>
        </w:rPr>
        <w:t>, které následně nepřevedl na úhradu neuhrazených souhrnných žádostí</w:t>
      </w:r>
      <w:r w:rsidR="00305F5A">
        <w:rPr>
          <w:rFonts w:asciiTheme="minorHAnsi" w:hAnsiTheme="minorHAnsi" w:cstheme="minorHAnsi"/>
          <w:b/>
        </w:rPr>
        <w:t xml:space="preserve"> ani </w:t>
      </w:r>
      <w:r w:rsidR="00AF5A6D" w:rsidRPr="00AF4368">
        <w:rPr>
          <w:rFonts w:asciiTheme="minorHAnsi" w:hAnsiTheme="minorHAnsi" w:cstheme="minorHAnsi"/>
          <w:b/>
        </w:rPr>
        <w:t xml:space="preserve">neodvedl do rozpočtu EU. </w:t>
      </w:r>
    </w:p>
    <w:p w14:paraId="3078C1BD" w14:textId="77777777" w:rsidR="008D29D2" w:rsidRDefault="008D29D2" w:rsidP="00AF4368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23AD29BB" w14:textId="77777777" w:rsidR="00803A5D" w:rsidRPr="00567446" w:rsidRDefault="00164909" w:rsidP="00AF4368">
      <w:pPr>
        <w:spacing w:after="16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Programové období 2007</w:t>
      </w:r>
      <w:r w:rsidR="00803A5D" w:rsidRPr="00567446">
        <w:rPr>
          <w:rFonts w:asciiTheme="minorHAnsi" w:hAnsiTheme="minorHAnsi" w:cstheme="minorHAnsi"/>
          <w:b/>
          <w:u w:val="single"/>
        </w:rPr>
        <w:t>–</w:t>
      </w:r>
      <w:r>
        <w:rPr>
          <w:rFonts w:asciiTheme="minorHAnsi" w:hAnsiTheme="minorHAnsi" w:cstheme="minorHAnsi"/>
          <w:b/>
          <w:u w:val="single"/>
        </w:rPr>
        <w:t>2013</w:t>
      </w:r>
      <w:r w:rsidR="00803A5D" w:rsidRPr="00567446">
        <w:rPr>
          <w:rFonts w:asciiTheme="minorHAnsi" w:hAnsiTheme="minorHAnsi" w:cstheme="minorHAnsi"/>
          <w:b/>
          <w:u w:val="single"/>
        </w:rPr>
        <w:t xml:space="preserve"> </w:t>
      </w:r>
    </w:p>
    <w:p w14:paraId="7A0760BB" w14:textId="4091029B" w:rsidR="00305511" w:rsidRDefault="004B1CFA" w:rsidP="00720ADC">
      <w:pPr>
        <w:spacing w:after="160"/>
        <w:jc w:val="both"/>
        <w:rPr>
          <w:rFonts w:asciiTheme="minorHAnsi" w:hAnsiTheme="minorHAnsi" w:cstheme="minorHAnsi"/>
          <w:b/>
        </w:rPr>
      </w:pPr>
      <w:r w:rsidRPr="005A4235">
        <w:rPr>
          <w:rFonts w:asciiTheme="minorHAnsi" w:hAnsiTheme="minorHAnsi" w:cstheme="minorHAnsi"/>
        </w:rPr>
        <w:t>V</w:t>
      </w:r>
      <w:r w:rsidR="00FF7BB1" w:rsidRPr="005A4235">
        <w:rPr>
          <w:rFonts w:asciiTheme="minorHAnsi" w:hAnsiTheme="minorHAnsi" w:cstheme="minorHAnsi"/>
        </w:rPr>
        <w:t> rámci program</w:t>
      </w:r>
      <w:r w:rsidRPr="005A4235">
        <w:rPr>
          <w:rFonts w:asciiTheme="minorHAnsi" w:hAnsiTheme="minorHAnsi" w:cstheme="minorHAnsi"/>
        </w:rPr>
        <w:t>ového období 2007–2013</w:t>
      </w:r>
      <w:r w:rsidR="004D3CC2" w:rsidRPr="005A4235">
        <w:rPr>
          <w:rStyle w:val="Znakapoznpodarou"/>
          <w:rFonts w:asciiTheme="minorHAnsi" w:hAnsiTheme="minorHAnsi" w:cstheme="minorHAnsi"/>
        </w:rPr>
        <w:footnoteReference w:id="21"/>
      </w:r>
      <w:r w:rsidRPr="00830868">
        <w:rPr>
          <w:rFonts w:asciiTheme="minorHAnsi" w:hAnsiTheme="minorHAnsi" w:cstheme="minorHAnsi"/>
        </w:rPr>
        <w:t xml:space="preserve"> se k</w:t>
      </w:r>
      <w:r w:rsidR="00FF7BB1" w:rsidRPr="00830868">
        <w:rPr>
          <w:rFonts w:asciiTheme="minorHAnsi" w:hAnsiTheme="minorHAnsi" w:cstheme="minorHAnsi"/>
        </w:rPr>
        <w:t>ontrola zaměřila na</w:t>
      </w:r>
      <w:r w:rsidR="00935E3D">
        <w:rPr>
          <w:rFonts w:asciiTheme="minorHAnsi" w:hAnsiTheme="minorHAnsi" w:cstheme="minorHAnsi"/>
        </w:rPr>
        <w:t xml:space="preserve"> ty operační programy, u</w:t>
      </w:r>
      <w:r w:rsidR="00305F5A">
        <w:rPr>
          <w:rFonts w:asciiTheme="minorHAnsi" w:hAnsiTheme="minorHAnsi" w:cstheme="minorHAnsi"/>
        </w:rPr>
        <w:t> </w:t>
      </w:r>
      <w:r w:rsidR="00935E3D">
        <w:rPr>
          <w:rFonts w:asciiTheme="minorHAnsi" w:hAnsiTheme="minorHAnsi" w:cstheme="minorHAnsi"/>
        </w:rPr>
        <w:t>nichž do</w:t>
      </w:r>
      <w:r w:rsidR="00305F5A">
        <w:rPr>
          <w:rFonts w:asciiTheme="minorHAnsi" w:hAnsiTheme="minorHAnsi" w:cstheme="minorHAnsi"/>
        </w:rPr>
        <w:t xml:space="preserve"> </w:t>
      </w:r>
      <w:r w:rsidR="00FF7BB1" w:rsidRPr="00830868">
        <w:rPr>
          <w:rFonts w:asciiTheme="minorHAnsi" w:hAnsiTheme="minorHAnsi" w:cstheme="minorHAnsi"/>
        </w:rPr>
        <w:t>3</w:t>
      </w:r>
      <w:r w:rsidR="00830868">
        <w:rPr>
          <w:rFonts w:asciiTheme="minorHAnsi" w:hAnsiTheme="minorHAnsi" w:cstheme="minorHAnsi"/>
        </w:rPr>
        <w:t>1. 12. 2017 obdržel NF-PCO od Evropské komise</w:t>
      </w:r>
      <w:r w:rsidR="00FF7BB1" w:rsidRPr="00830868">
        <w:rPr>
          <w:rFonts w:asciiTheme="minorHAnsi" w:hAnsiTheme="minorHAnsi" w:cstheme="minorHAnsi"/>
        </w:rPr>
        <w:t xml:space="preserve"> na zdrojový účet platbu konečného zůstatku</w:t>
      </w:r>
      <w:r w:rsidR="00C5148C">
        <w:rPr>
          <w:rStyle w:val="Znakapoznpodarou"/>
          <w:rFonts w:asciiTheme="minorHAnsi" w:hAnsiTheme="minorHAnsi" w:cstheme="minorHAnsi"/>
        </w:rPr>
        <w:footnoteReference w:id="22"/>
      </w:r>
      <w:r w:rsidR="00FF7BB1" w:rsidRPr="00830868">
        <w:rPr>
          <w:rFonts w:asciiTheme="minorHAnsi" w:hAnsiTheme="minorHAnsi" w:cstheme="minorHAnsi"/>
        </w:rPr>
        <w:t>.</w:t>
      </w:r>
      <w:r w:rsidR="00830868">
        <w:rPr>
          <w:rFonts w:asciiTheme="minorHAnsi" w:hAnsiTheme="minorHAnsi" w:cstheme="minorHAnsi"/>
        </w:rPr>
        <w:t xml:space="preserve"> </w:t>
      </w:r>
      <w:r w:rsidR="00C5148C">
        <w:rPr>
          <w:rFonts w:asciiTheme="minorHAnsi" w:hAnsiTheme="minorHAnsi" w:cstheme="minorHAnsi"/>
        </w:rPr>
        <w:t xml:space="preserve">V důsledku trvání některých procesních lhůt, které uplynuly až </w:t>
      </w:r>
      <w:r w:rsidR="00C5148C">
        <w:rPr>
          <w:rFonts w:asciiTheme="minorHAnsi" w:hAnsiTheme="minorHAnsi" w:cstheme="minorHAnsi"/>
        </w:rPr>
        <w:lastRenderedPageBreak/>
        <w:t>v průběhu roku 2018</w:t>
      </w:r>
      <w:r w:rsidR="00C5148C">
        <w:rPr>
          <w:rStyle w:val="Znakapoznpodarou"/>
          <w:rFonts w:asciiTheme="minorHAnsi" w:hAnsiTheme="minorHAnsi" w:cstheme="minorHAnsi"/>
        </w:rPr>
        <w:footnoteReference w:id="23"/>
      </w:r>
      <w:r w:rsidR="00C5148C">
        <w:rPr>
          <w:rFonts w:asciiTheme="minorHAnsi" w:hAnsiTheme="minorHAnsi" w:cstheme="minorHAnsi"/>
        </w:rPr>
        <w:t>, nelze tyto programy k rozvahovému dni považovat za uzavřené</w:t>
      </w:r>
      <w:r w:rsidR="00C5148C" w:rsidRPr="00830868">
        <w:rPr>
          <w:rFonts w:asciiTheme="minorHAnsi" w:hAnsiTheme="minorHAnsi" w:cstheme="minorHAnsi"/>
        </w:rPr>
        <w:t>.</w:t>
      </w:r>
      <w:r w:rsidR="00C5148C">
        <w:rPr>
          <w:rFonts w:asciiTheme="minorHAnsi" w:hAnsiTheme="minorHAnsi" w:cstheme="minorHAnsi"/>
        </w:rPr>
        <w:t xml:space="preserve"> Vzhledem ke skutečnosti, že MF používá obdobné účetní postupy u programů/projektů jako u</w:t>
      </w:r>
      <w:r w:rsidR="00483F75">
        <w:rPr>
          <w:rFonts w:asciiTheme="minorHAnsi" w:hAnsiTheme="minorHAnsi" w:cstheme="minorHAnsi"/>
        </w:rPr>
        <w:t> </w:t>
      </w:r>
      <w:r w:rsidR="00C5148C">
        <w:rPr>
          <w:rFonts w:asciiTheme="minorHAnsi" w:hAnsiTheme="minorHAnsi" w:cstheme="minorHAnsi"/>
        </w:rPr>
        <w:t>předchozího programového období, hrozí u zůstatků účtů vykazovaných za programové období 2007</w:t>
      </w:r>
      <w:r w:rsidR="00A86734">
        <w:rPr>
          <w:rFonts w:asciiTheme="minorHAnsi" w:hAnsiTheme="minorHAnsi" w:cstheme="minorHAnsi"/>
        </w:rPr>
        <w:t>–</w:t>
      </w:r>
      <w:r w:rsidR="00C5148C">
        <w:rPr>
          <w:rFonts w:asciiTheme="minorHAnsi" w:hAnsiTheme="minorHAnsi" w:cstheme="minorHAnsi"/>
        </w:rPr>
        <w:t xml:space="preserve">2013 obdobné nedostatky. </w:t>
      </w:r>
    </w:p>
    <w:p w14:paraId="0816D522" w14:textId="77777777" w:rsidR="000A21EA" w:rsidRDefault="005873CF" w:rsidP="00AF4368">
      <w:pPr>
        <w:spacing w:after="160"/>
        <w:jc w:val="both"/>
        <w:rPr>
          <w:rFonts w:asciiTheme="minorHAnsi" w:hAnsiTheme="minorHAnsi" w:cstheme="minorHAnsi"/>
          <w:b/>
        </w:rPr>
      </w:pPr>
      <w:r w:rsidRPr="006B32A4">
        <w:rPr>
          <w:rFonts w:asciiTheme="minorHAnsi" w:hAnsiTheme="minorHAnsi" w:cstheme="minorHAnsi"/>
          <w:b/>
        </w:rPr>
        <w:t xml:space="preserve">MF </w:t>
      </w:r>
      <w:r>
        <w:rPr>
          <w:rFonts w:asciiTheme="minorHAnsi" w:hAnsiTheme="minorHAnsi" w:cstheme="minorHAnsi"/>
          <w:b/>
        </w:rPr>
        <w:t xml:space="preserve">v ÚZ </w:t>
      </w:r>
      <w:r w:rsidRPr="006B32A4">
        <w:rPr>
          <w:rFonts w:asciiTheme="minorHAnsi" w:hAnsiTheme="minorHAnsi" w:cstheme="minorHAnsi"/>
          <w:b/>
        </w:rPr>
        <w:t>k 31. 12. 2017</w:t>
      </w:r>
      <w:r>
        <w:rPr>
          <w:rFonts w:asciiTheme="minorHAnsi" w:hAnsiTheme="minorHAnsi" w:cstheme="minorHAnsi"/>
          <w:b/>
        </w:rPr>
        <w:t>, obdobně jako za předchozí programové období, vykázalo</w:t>
      </w:r>
      <w:r w:rsidR="000A21EA">
        <w:rPr>
          <w:rFonts w:asciiTheme="minorHAnsi" w:hAnsiTheme="minorHAnsi" w:cstheme="minorHAnsi"/>
          <w:b/>
        </w:rPr>
        <w:t>:</w:t>
      </w:r>
    </w:p>
    <w:p w14:paraId="6EFB1BBE" w14:textId="161DC5FC" w:rsidR="00D67E22" w:rsidRPr="00D67E22" w:rsidRDefault="00950087" w:rsidP="00AF4368">
      <w:pPr>
        <w:pStyle w:val="Odstavecseseznamem"/>
        <w:numPr>
          <w:ilvl w:val="0"/>
          <w:numId w:val="14"/>
        </w:numPr>
        <w:spacing w:after="160"/>
        <w:ind w:left="714" w:hanging="357"/>
        <w:contextualSpacing w:val="0"/>
        <w:jc w:val="both"/>
        <w:rPr>
          <w:rFonts w:asciiTheme="minorHAnsi" w:eastAsiaTheme="minorHAnsi" w:hAnsiTheme="minorHAnsi" w:cstheme="minorHAnsi"/>
          <w:b/>
        </w:rPr>
      </w:pPr>
      <w:r w:rsidRPr="000A21EA">
        <w:rPr>
          <w:rFonts w:asciiTheme="minorHAnsi" w:hAnsiTheme="minorHAnsi" w:cstheme="minorHAnsi"/>
          <w:b/>
        </w:rPr>
        <w:t xml:space="preserve">pohledávky za Evropskou komisí z titulu nároku na prostředky EU </w:t>
      </w:r>
      <w:r w:rsidR="005873CF" w:rsidRPr="000A21EA">
        <w:rPr>
          <w:rFonts w:asciiTheme="minorHAnsi" w:hAnsiTheme="minorHAnsi" w:cstheme="minorHAnsi"/>
          <w:b/>
        </w:rPr>
        <w:t>v rámci rozvahového účtu 475</w:t>
      </w:r>
      <w:r w:rsidR="00C54F98">
        <w:rPr>
          <w:rFonts w:asciiTheme="minorHAnsi" w:hAnsiTheme="minorHAnsi" w:cstheme="minorHAnsi"/>
          <w:b/>
        </w:rPr>
        <w:t xml:space="preserve"> </w:t>
      </w:r>
      <w:r w:rsidR="00EF3A24">
        <w:rPr>
          <w:rFonts w:asciiTheme="minorHAnsi" w:hAnsiTheme="minorHAnsi" w:cstheme="minorHAnsi"/>
          <w:b/>
        </w:rPr>
        <w:t>–</w:t>
      </w:r>
      <w:r w:rsidR="00C54F98">
        <w:rPr>
          <w:rFonts w:asciiTheme="minorHAnsi" w:hAnsiTheme="minorHAnsi" w:cstheme="minorHAnsi"/>
          <w:b/>
        </w:rPr>
        <w:t xml:space="preserve"> </w:t>
      </w:r>
      <w:r w:rsidR="00EF3A24" w:rsidRPr="00AF4368">
        <w:rPr>
          <w:rFonts w:asciiTheme="minorHAnsi" w:hAnsiTheme="minorHAnsi" w:cstheme="minorHAnsi"/>
          <w:b/>
          <w:i/>
        </w:rPr>
        <w:t>Dlouhodobé zprostředkování transferů</w:t>
      </w:r>
      <w:r w:rsidR="00935E3D">
        <w:rPr>
          <w:rFonts w:asciiTheme="minorHAnsi" w:hAnsiTheme="minorHAnsi" w:cstheme="minorHAnsi"/>
          <w:b/>
        </w:rPr>
        <w:t>, v tomto případě</w:t>
      </w:r>
      <w:r w:rsidR="005873CF" w:rsidRPr="000A21EA">
        <w:rPr>
          <w:rFonts w:asciiTheme="minorHAnsi" w:hAnsiTheme="minorHAnsi" w:cstheme="minorHAnsi"/>
          <w:b/>
        </w:rPr>
        <w:t xml:space="preserve"> </w:t>
      </w:r>
      <w:r w:rsidR="000A21EA" w:rsidRPr="000A21EA">
        <w:rPr>
          <w:rFonts w:asciiTheme="minorHAnsi" w:hAnsiTheme="minorHAnsi" w:cstheme="minorHAnsi"/>
          <w:b/>
        </w:rPr>
        <w:t>ve výši 32,4 mld. Kč</w:t>
      </w:r>
    </w:p>
    <w:p w14:paraId="3264302D" w14:textId="4CCC60A1" w:rsidR="000A21EA" w:rsidRPr="00A86734" w:rsidRDefault="00D67E22" w:rsidP="00D67E22">
      <w:pPr>
        <w:pStyle w:val="Odstavecseseznamem"/>
        <w:ind w:left="714"/>
        <w:contextualSpacing w:val="0"/>
        <w:jc w:val="both"/>
        <w:rPr>
          <w:rFonts w:asciiTheme="minorHAnsi" w:eastAsiaTheme="minorHAnsi" w:hAnsiTheme="minorHAnsi" w:cstheme="minorHAnsi"/>
        </w:rPr>
      </w:pPr>
      <w:r w:rsidRPr="005A4235">
        <w:rPr>
          <w:rFonts w:asciiTheme="minorHAnsi" w:hAnsiTheme="minorHAnsi" w:cstheme="minorHAnsi"/>
        </w:rPr>
        <w:t>P</w:t>
      </w:r>
      <w:r w:rsidR="000A21EA" w:rsidRPr="005A4235">
        <w:rPr>
          <w:rFonts w:asciiTheme="minorHAnsi" w:eastAsiaTheme="minorHAnsi" w:hAnsiTheme="minorHAnsi" w:cstheme="minorHAnsi"/>
        </w:rPr>
        <w:t xml:space="preserve">okud </w:t>
      </w:r>
      <w:r w:rsidRPr="005A4235">
        <w:rPr>
          <w:rFonts w:asciiTheme="minorHAnsi" w:eastAsiaTheme="minorHAnsi" w:hAnsiTheme="minorHAnsi" w:cstheme="minorHAnsi"/>
        </w:rPr>
        <w:t xml:space="preserve">MF </w:t>
      </w:r>
      <w:r w:rsidR="000A21EA" w:rsidRPr="005A4235">
        <w:rPr>
          <w:rFonts w:asciiTheme="minorHAnsi" w:eastAsiaTheme="minorHAnsi" w:hAnsiTheme="minorHAnsi" w:cstheme="minorHAnsi"/>
        </w:rPr>
        <w:t>stávají</w:t>
      </w:r>
      <w:r w:rsidR="00432B1F">
        <w:rPr>
          <w:rFonts w:asciiTheme="minorHAnsi" w:eastAsiaTheme="minorHAnsi" w:hAnsiTheme="minorHAnsi" w:cstheme="minorHAnsi"/>
        </w:rPr>
        <w:t>cí</w:t>
      </w:r>
      <w:r w:rsidR="000A21EA" w:rsidRPr="005A4235">
        <w:rPr>
          <w:rFonts w:asciiTheme="minorHAnsi" w:eastAsiaTheme="minorHAnsi" w:hAnsiTheme="minorHAnsi" w:cstheme="minorHAnsi"/>
        </w:rPr>
        <w:t xml:space="preserve"> postupy účtování a vykazování nezmění,</w:t>
      </w:r>
      <w:r w:rsidR="009B0B9B" w:rsidRPr="005A4235">
        <w:rPr>
          <w:rFonts w:asciiTheme="minorHAnsi" w:eastAsiaTheme="minorHAnsi" w:hAnsiTheme="minorHAnsi" w:cstheme="minorHAnsi"/>
        </w:rPr>
        <w:t xml:space="preserve"> tj. bude aplikovat stejné postupy účtování a vykazování jako v programovém období 2004–2006, </w:t>
      </w:r>
      <w:r w:rsidRPr="005A4235">
        <w:rPr>
          <w:rFonts w:asciiTheme="minorHAnsi" w:eastAsiaTheme="minorHAnsi" w:hAnsiTheme="minorHAnsi" w:cstheme="minorHAnsi"/>
        </w:rPr>
        <w:t>upozorňuje NKÚ, že by</w:t>
      </w:r>
      <w:r w:rsidR="009B0B9B" w:rsidRPr="005A4235">
        <w:rPr>
          <w:rFonts w:asciiTheme="minorHAnsi" w:eastAsiaTheme="minorHAnsi" w:hAnsiTheme="minorHAnsi" w:cstheme="minorHAnsi"/>
        </w:rPr>
        <w:t xml:space="preserve"> i za účetní období 2018</w:t>
      </w:r>
      <w:r w:rsidRPr="005A4235">
        <w:rPr>
          <w:rFonts w:asciiTheme="minorHAnsi" w:eastAsiaTheme="minorHAnsi" w:hAnsiTheme="minorHAnsi" w:cstheme="minorHAnsi"/>
        </w:rPr>
        <w:t xml:space="preserve"> mohlo dojít </w:t>
      </w:r>
      <w:r w:rsidR="000A21EA" w:rsidRPr="005A4235">
        <w:rPr>
          <w:rFonts w:asciiTheme="minorHAnsi" w:eastAsiaTheme="minorHAnsi" w:hAnsiTheme="minorHAnsi" w:cstheme="minorHAnsi"/>
        </w:rPr>
        <w:t xml:space="preserve">k vykázání </w:t>
      </w:r>
      <w:r w:rsidR="00975E47" w:rsidRPr="005A4235">
        <w:rPr>
          <w:rFonts w:asciiTheme="minorHAnsi" w:eastAsiaTheme="minorHAnsi" w:hAnsiTheme="minorHAnsi" w:cstheme="minorHAnsi"/>
        </w:rPr>
        <w:t>neexistující</w:t>
      </w:r>
      <w:r w:rsidR="00A86734" w:rsidRPr="005A4235">
        <w:rPr>
          <w:rFonts w:asciiTheme="minorHAnsi" w:eastAsiaTheme="minorHAnsi" w:hAnsiTheme="minorHAnsi" w:cstheme="minorHAnsi"/>
        </w:rPr>
        <w:t>ch</w:t>
      </w:r>
      <w:r w:rsidR="00975E47" w:rsidRPr="005A4235">
        <w:rPr>
          <w:rFonts w:asciiTheme="minorHAnsi" w:eastAsiaTheme="minorHAnsi" w:hAnsiTheme="minorHAnsi" w:cstheme="minorHAnsi"/>
        </w:rPr>
        <w:t xml:space="preserve"> </w:t>
      </w:r>
      <w:r w:rsidR="000A21EA" w:rsidRPr="005A4235">
        <w:rPr>
          <w:rFonts w:asciiTheme="minorHAnsi" w:eastAsiaTheme="minorHAnsi" w:hAnsiTheme="minorHAnsi" w:cstheme="minorHAnsi"/>
        </w:rPr>
        <w:t>pohledáv</w:t>
      </w:r>
      <w:r w:rsidR="00A86734" w:rsidRPr="005A4235">
        <w:rPr>
          <w:rFonts w:asciiTheme="minorHAnsi" w:eastAsiaTheme="minorHAnsi" w:hAnsiTheme="minorHAnsi" w:cstheme="minorHAnsi"/>
        </w:rPr>
        <w:t>ek</w:t>
      </w:r>
      <w:r w:rsidR="000A21EA" w:rsidRPr="005A4235">
        <w:rPr>
          <w:rFonts w:asciiTheme="minorHAnsi" w:eastAsiaTheme="minorHAnsi" w:hAnsiTheme="minorHAnsi" w:cstheme="minorHAnsi"/>
        </w:rPr>
        <w:t xml:space="preserve"> za Evropskou komisí, tak jako </w:t>
      </w:r>
      <w:r w:rsidRPr="005A4235">
        <w:rPr>
          <w:rFonts w:asciiTheme="minorHAnsi" w:eastAsiaTheme="minorHAnsi" w:hAnsiTheme="minorHAnsi" w:cstheme="minorHAnsi"/>
        </w:rPr>
        <w:t xml:space="preserve">se to stalo </w:t>
      </w:r>
      <w:r w:rsidR="000A21EA" w:rsidRPr="005A4235">
        <w:rPr>
          <w:rFonts w:asciiTheme="minorHAnsi" w:eastAsiaTheme="minorHAnsi" w:hAnsiTheme="minorHAnsi" w:cstheme="minorHAnsi"/>
        </w:rPr>
        <w:t>v</w:t>
      </w:r>
      <w:r w:rsidR="009B0B9B" w:rsidRPr="005A4235">
        <w:rPr>
          <w:rFonts w:asciiTheme="minorHAnsi" w:eastAsiaTheme="minorHAnsi" w:hAnsiTheme="minorHAnsi" w:cstheme="minorHAnsi"/>
        </w:rPr>
        <w:t> </w:t>
      </w:r>
      <w:r w:rsidR="000A21EA" w:rsidRPr="005A4235">
        <w:rPr>
          <w:rFonts w:asciiTheme="minorHAnsi" w:eastAsiaTheme="minorHAnsi" w:hAnsiTheme="minorHAnsi" w:cstheme="minorHAnsi"/>
        </w:rPr>
        <w:t>případě</w:t>
      </w:r>
      <w:r w:rsidR="009B0B9B" w:rsidRPr="005A4235">
        <w:rPr>
          <w:rFonts w:asciiTheme="minorHAnsi" w:eastAsiaTheme="minorHAnsi" w:hAnsiTheme="minorHAnsi" w:cstheme="minorHAnsi"/>
        </w:rPr>
        <w:t xml:space="preserve"> </w:t>
      </w:r>
      <w:r w:rsidR="000A21EA" w:rsidRPr="005A4235">
        <w:rPr>
          <w:rFonts w:asciiTheme="minorHAnsi" w:eastAsiaTheme="minorHAnsi" w:hAnsiTheme="minorHAnsi" w:cstheme="minorHAnsi"/>
        </w:rPr>
        <w:t>programového obdo</w:t>
      </w:r>
      <w:r w:rsidRPr="005A4235">
        <w:rPr>
          <w:rFonts w:asciiTheme="minorHAnsi" w:eastAsiaTheme="minorHAnsi" w:hAnsiTheme="minorHAnsi" w:cstheme="minorHAnsi"/>
        </w:rPr>
        <w:t>bí</w:t>
      </w:r>
      <w:r w:rsidR="009B0B9B" w:rsidRPr="005A4235">
        <w:rPr>
          <w:rFonts w:asciiTheme="minorHAnsi" w:eastAsiaTheme="minorHAnsi" w:hAnsiTheme="minorHAnsi" w:cstheme="minorHAnsi"/>
        </w:rPr>
        <w:t xml:space="preserve"> 2004–2006</w:t>
      </w:r>
      <w:r w:rsidR="00950087" w:rsidRPr="005A4235">
        <w:rPr>
          <w:rFonts w:asciiTheme="minorHAnsi" w:eastAsiaTheme="minorHAnsi" w:hAnsiTheme="minorHAnsi" w:cstheme="minorHAnsi"/>
        </w:rPr>
        <w:t>.</w:t>
      </w:r>
      <w:r w:rsidR="000A21EA" w:rsidRPr="00A86734">
        <w:rPr>
          <w:rFonts w:asciiTheme="minorHAnsi" w:hAnsiTheme="minorHAnsi" w:cstheme="minorHAnsi"/>
        </w:rPr>
        <w:t xml:space="preserve"> </w:t>
      </w:r>
    </w:p>
    <w:p w14:paraId="4898F468" w14:textId="41DF3280" w:rsidR="00D67E22" w:rsidRPr="00D67E22" w:rsidRDefault="00950087" w:rsidP="00AF4368">
      <w:pPr>
        <w:pStyle w:val="Odstavecseseznamem"/>
        <w:numPr>
          <w:ilvl w:val="0"/>
          <w:numId w:val="13"/>
        </w:numPr>
        <w:spacing w:after="160"/>
        <w:ind w:left="709" w:hanging="295"/>
        <w:contextualSpacing w:val="0"/>
        <w:jc w:val="both"/>
        <w:rPr>
          <w:rFonts w:asciiTheme="minorHAnsi" w:hAnsiTheme="minorHAnsi" w:cstheme="minorHAnsi"/>
        </w:rPr>
      </w:pPr>
      <w:r w:rsidRPr="000A21EA">
        <w:rPr>
          <w:rFonts w:asciiTheme="minorHAnsi" w:hAnsiTheme="minorHAnsi" w:cstheme="minorHAnsi"/>
          <w:b/>
        </w:rPr>
        <w:t>podmíněné pohledávky za Evropskou komisí z titulu</w:t>
      </w:r>
      <w:r w:rsidRPr="000A21EA">
        <w:rPr>
          <w:rFonts w:asciiTheme="minorHAnsi" w:hAnsiTheme="minorHAnsi" w:cstheme="minorHAnsi"/>
        </w:rPr>
        <w:t xml:space="preserve"> </w:t>
      </w:r>
      <w:r w:rsidRPr="000A21EA">
        <w:rPr>
          <w:rFonts w:asciiTheme="minorHAnsi" w:hAnsiTheme="minorHAnsi" w:cstheme="minorHAnsi"/>
          <w:b/>
        </w:rPr>
        <w:t>alokace ve výši</w:t>
      </w:r>
      <w:r>
        <w:rPr>
          <w:rFonts w:asciiTheme="minorHAnsi" w:hAnsiTheme="minorHAnsi" w:cstheme="minorHAnsi"/>
          <w:b/>
        </w:rPr>
        <w:t xml:space="preserve"> 17,4 mld. Kč </w:t>
      </w:r>
      <w:r w:rsidR="005873CF" w:rsidRPr="000A21EA">
        <w:rPr>
          <w:rFonts w:asciiTheme="minorHAnsi" w:hAnsiTheme="minorHAnsi" w:cstheme="minorHAnsi"/>
          <w:b/>
        </w:rPr>
        <w:t>v rámci podrozvahového účtu 953</w:t>
      </w:r>
      <w:r w:rsidR="00EF3A24">
        <w:rPr>
          <w:rFonts w:asciiTheme="minorHAnsi" w:hAnsiTheme="minorHAnsi" w:cstheme="minorHAnsi"/>
          <w:b/>
        </w:rPr>
        <w:t xml:space="preserve"> </w:t>
      </w:r>
      <w:r w:rsidR="00EF3A24" w:rsidRPr="0008128A">
        <w:rPr>
          <w:rFonts w:asciiTheme="minorHAnsi" w:hAnsiTheme="minorHAnsi" w:cstheme="minorHAnsi"/>
          <w:b/>
        </w:rPr>
        <w:t xml:space="preserve">– </w:t>
      </w:r>
      <w:r w:rsidR="00EF3A24" w:rsidRPr="0008128A">
        <w:rPr>
          <w:rFonts w:asciiTheme="minorHAnsi" w:hAnsiTheme="minorHAnsi" w:cstheme="minorHAnsi"/>
          <w:b/>
          <w:i/>
        </w:rPr>
        <w:t>Dlouhodobé podmíněné pohledávky ze zahraničních transferů</w:t>
      </w:r>
    </w:p>
    <w:p w14:paraId="2EE50D41" w14:textId="2AA13962" w:rsidR="00FF7BB1" w:rsidRPr="005A4235" w:rsidRDefault="00286CF2" w:rsidP="00AF4368">
      <w:pPr>
        <w:pStyle w:val="Odstavecseseznamem"/>
        <w:spacing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5A4235">
        <w:rPr>
          <w:rFonts w:asciiTheme="minorHAnsi" w:hAnsiTheme="minorHAnsi" w:cstheme="minorHAnsi"/>
        </w:rPr>
        <w:t>Podobně jako v předchozím programovém období</w:t>
      </w:r>
      <w:r w:rsidRPr="00A86734">
        <w:rPr>
          <w:rFonts w:asciiTheme="minorHAnsi" w:hAnsiTheme="minorHAnsi" w:cstheme="minorHAnsi"/>
        </w:rPr>
        <w:t xml:space="preserve"> nemusí tento zůstatek zobrazovat</w:t>
      </w:r>
      <w:r w:rsidRPr="005A4235">
        <w:rPr>
          <w:rFonts w:asciiTheme="minorHAnsi" w:hAnsiTheme="minorHAnsi" w:cstheme="minorHAnsi"/>
        </w:rPr>
        <w:t xml:space="preserve"> skutečné podmíněné nároky na prostředky z rozpočtu EU z alokace stanovené Evropskou komisí na jednotlivé operační programy, u kterých byly k 31. 12. 2017 vypořádány vzájemné pohledávky a závazky mezi ČR a EU.</w:t>
      </w:r>
      <w:r w:rsidR="00FF7BB1" w:rsidRPr="005A4235">
        <w:rPr>
          <w:rFonts w:asciiTheme="minorHAnsi" w:hAnsiTheme="minorHAnsi" w:cstheme="minorHAnsi"/>
        </w:rPr>
        <w:t xml:space="preserve"> </w:t>
      </w:r>
    </w:p>
    <w:p w14:paraId="686D2F01" w14:textId="77777777" w:rsidR="0096782F" w:rsidRDefault="0096782F" w:rsidP="00AF4368">
      <w:pPr>
        <w:spacing w:after="0"/>
        <w:jc w:val="both"/>
        <w:rPr>
          <w:rFonts w:asciiTheme="minorHAnsi" w:hAnsiTheme="minorHAnsi" w:cstheme="minorHAnsi"/>
          <w:b/>
        </w:rPr>
      </w:pPr>
    </w:p>
    <w:p w14:paraId="3FB13479" w14:textId="77777777" w:rsidR="00FF7BB1" w:rsidRDefault="00FF7BB1" w:rsidP="007378F9">
      <w:pPr>
        <w:pStyle w:val="Nadpis2"/>
        <w:numPr>
          <w:ilvl w:val="0"/>
          <w:numId w:val="2"/>
        </w:numPr>
        <w:spacing w:after="160" w:line="240" w:lineRule="auto"/>
        <w:ind w:left="284" w:hanging="295"/>
        <w:contextualSpacing w:val="0"/>
        <w:rPr>
          <w:u w:val="single"/>
          <w:lang w:eastAsia="cs-CZ"/>
        </w:rPr>
      </w:pPr>
      <w:r w:rsidRPr="00102D34">
        <w:rPr>
          <w:u w:val="single"/>
          <w:lang w:eastAsia="cs-CZ"/>
        </w:rPr>
        <w:t>Přehled o</w:t>
      </w:r>
      <w:r>
        <w:rPr>
          <w:u w:val="single"/>
          <w:lang w:eastAsia="cs-CZ"/>
        </w:rPr>
        <w:t xml:space="preserve"> peněžních tocích</w:t>
      </w:r>
    </w:p>
    <w:p w14:paraId="0C36CA25" w14:textId="568CF2C0" w:rsidR="000C6B44" w:rsidRDefault="00FF7BB1" w:rsidP="00AF436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MF vykázalo v</w:t>
      </w:r>
      <w:r w:rsidRPr="00742690">
        <w:rPr>
          <w:rFonts w:asciiTheme="minorHAnsi" w:hAnsiTheme="minorHAnsi" w:cstheme="minorHAnsi"/>
        </w:rPr>
        <w:t> přehledu o peněžních t</w:t>
      </w:r>
      <w:r>
        <w:rPr>
          <w:rFonts w:asciiTheme="minorHAnsi" w:hAnsiTheme="minorHAnsi" w:cstheme="minorHAnsi"/>
        </w:rPr>
        <w:t xml:space="preserve">ocích </w:t>
      </w:r>
      <w:r w:rsidR="00FA582A">
        <w:rPr>
          <w:rFonts w:asciiTheme="minorHAnsi" w:hAnsiTheme="minorHAnsi" w:cstheme="minorHAnsi"/>
        </w:rPr>
        <w:t xml:space="preserve">sestaveném k 31. 12. 2017 </w:t>
      </w:r>
      <w:r>
        <w:rPr>
          <w:rFonts w:asciiTheme="minorHAnsi" w:hAnsiTheme="minorHAnsi" w:cstheme="minorHAnsi"/>
        </w:rPr>
        <w:t>na položkách</w:t>
      </w:r>
      <w:r w:rsidR="00E6771E">
        <w:rPr>
          <w:rFonts w:asciiTheme="minorHAnsi" w:hAnsiTheme="minorHAnsi" w:cstheme="minorHAnsi"/>
        </w:rPr>
        <w:t xml:space="preserve"> </w:t>
      </w:r>
      <w:r w:rsidR="00305F5A">
        <w:rPr>
          <w:rFonts w:asciiTheme="minorHAnsi" w:hAnsiTheme="minorHAnsi" w:cstheme="minorHAnsi"/>
        </w:rPr>
        <w:br/>
      </w:r>
      <w:r w:rsidRPr="00E6771E">
        <w:rPr>
          <w:rFonts w:asciiTheme="minorHAnsi" w:hAnsiTheme="minorHAnsi" w:cstheme="minorHAnsi"/>
        </w:rPr>
        <w:t>A.I.6.</w:t>
      </w:r>
      <w:r w:rsidRPr="00742690">
        <w:rPr>
          <w:rFonts w:asciiTheme="minorHAnsi" w:hAnsiTheme="minorHAnsi" w:cstheme="minorHAnsi"/>
          <w:i/>
        </w:rPr>
        <w:t xml:space="preserve"> Ostatní úpravy o nepeněžní operace</w:t>
      </w:r>
      <w:r>
        <w:rPr>
          <w:rFonts w:asciiTheme="minorHAnsi" w:hAnsiTheme="minorHAnsi" w:cstheme="minorHAnsi"/>
        </w:rPr>
        <w:t xml:space="preserve"> a </w:t>
      </w:r>
      <w:r w:rsidRPr="00E6771E">
        <w:rPr>
          <w:rFonts w:asciiTheme="minorHAnsi" w:hAnsiTheme="minorHAnsi" w:cstheme="minorHAnsi"/>
        </w:rPr>
        <w:t>C.II.</w:t>
      </w:r>
      <w:r w:rsidRPr="00742690">
        <w:rPr>
          <w:rFonts w:asciiTheme="minorHAnsi" w:hAnsiTheme="minorHAnsi" w:cstheme="minorHAnsi"/>
          <w:i/>
        </w:rPr>
        <w:t xml:space="preserve"> Změna stavu dlouhodobých závazků</w:t>
      </w:r>
      <w:r>
        <w:rPr>
          <w:rFonts w:asciiTheme="minorHAnsi" w:hAnsiTheme="minorHAnsi" w:cstheme="minorHAnsi"/>
        </w:rPr>
        <w:t xml:space="preserve"> </w:t>
      </w:r>
      <w:r w:rsidR="00305F5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účetní transakci, </w:t>
      </w:r>
      <w:r w:rsidR="000C6B44">
        <w:rPr>
          <w:rFonts w:asciiTheme="minorHAnsi" w:hAnsiTheme="minorHAnsi" w:cstheme="minorHAnsi"/>
        </w:rPr>
        <w:t xml:space="preserve">kterou odúčtovalo </w:t>
      </w:r>
      <w:r w:rsidRPr="00E6771E">
        <w:rPr>
          <w:rFonts w:asciiTheme="minorHAnsi" w:hAnsiTheme="minorHAnsi" w:cstheme="minorHAnsi"/>
        </w:rPr>
        <w:t>nesplacenou část upsaného základního kapitálu</w:t>
      </w:r>
      <w:r>
        <w:rPr>
          <w:rFonts w:asciiTheme="minorHAnsi" w:hAnsiTheme="minorHAnsi" w:cstheme="minorHAnsi"/>
        </w:rPr>
        <w:t xml:space="preserve"> </w:t>
      </w:r>
      <w:r w:rsidR="00305F5A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 částce 71</w:t>
      </w:r>
      <w:r w:rsidR="00305F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635</w:t>
      </w:r>
      <w:r w:rsidR="00305F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023</w:t>
      </w:r>
      <w:r w:rsidR="00305F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520,81 Kč (účetním zápisem </w:t>
      </w:r>
      <w:r w:rsidR="007652BD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Má </w:t>
      </w:r>
      <w:r w:rsidR="007652B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áti</w:t>
      </w:r>
      <w:r w:rsidR="007652BD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  <w:r w:rsidRPr="00A541F9">
        <w:rPr>
          <w:rFonts w:asciiTheme="minorHAnsi" w:hAnsiTheme="minorHAnsi" w:cstheme="minorHAnsi"/>
        </w:rPr>
        <w:t xml:space="preserve">459 – </w:t>
      </w:r>
      <w:r w:rsidRPr="00A541F9">
        <w:rPr>
          <w:rFonts w:asciiTheme="minorHAnsi" w:hAnsiTheme="minorHAnsi" w:cstheme="minorHAnsi"/>
          <w:i/>
        </w:rPr>
        <w:t xml:space="preserve">Ostatní dlouhodobé </w:t>
      </w:r>
      <w:r w:rsidR="00305F5A">
        <w:rPr>
          <w:rFonts w:asciiTheme="minorHAnsi" w:hAnsiTheme="minorHAnsi" w:cstheme="minorHAnsi"/>
          <w:i/>
        </w:rPr>
        <w:br/>
      </w:r>
      <w:r w:rsidRPr="00A541F9">
        <w:rPr>
          <w:rFonts w:asciiTheme="minorHAnsi" w:hAnsiTheme="minorHAnsi" w:cstheme="minorHAnsi"/>
          <w:i/>
        </w:rPr>
        <w:t>závazky</w:t>
      </w:r>
      <w:r w:rsidR="00305F5A">
        <w:rPr>
          <w:rFonts w:asciiTheme="minorHAnsi" w:hAnsiTheme="minorHAnsi" w:cstheme="minorHAnsi"/>
          <w:i/>
        </w:rPr>
        <w:t xml:space="preserve"> </w:t>
      </w:r>
      <w:r w:rsidR="00E6771E">
        <w:rPr>
          <w:rFonts w:asciiTheme="minorHAnsi" w:hAnsiTheme="minorHAnsi" w:cstheme="minorHAnsi"/>
        </w:rPr>
        <w:t>/</w:t>
      </w:r>
      <w:r w:rsidR="00305F5A">
        <w:rPr>
          <w:rFonts w:asciiTheme="minorHAnsi" w:hAnsiTheme="minorHAnsi" w:cstheme="minorHAnsi"/>
        </w:rPr>
        <w:t xml:space="preserve"> </w:t>
      </w:r>
      <w:r w:rsidR="007652BD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Dal</w:t>
      </w:r>
      <w:r w:rsidR="007652BD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 </w:t>
      </w:r>
      <w:r w:rsidRPr="00A541F9">
        <w:rPr>
          <w:rFonts w:asciiTheme="minorHAnsi" w:hAnsiTheme="minorHAnsi" w:cstheme="minorHAnsi"/>
        </w:rPr>
        <w:t xml:space="preserve">069 – </w:t>
      </w:r>
      <w:r w:rsidRPr="00A541F9">
        <w:rPr>
          <w:rFonts w:asciiTheme="minorHAnsi" w:hAnsiTheme="minorHAnsi" w:cstheme="minorHAnsi"/>
          <w:i/>
        </w:rPr>
        <w:t>Ostatní dlouhodobý finanční majetek</w:t>
      </w:r>
      <w:r>
        <w:rPr>
          <w:rFonts w:asciiTheme="minorHAnsi" w:hAnsiTheme="minorHAnsi" w:cstheme="minorHAnsi"/>
        </w:rPr>
        <w:t xml:space="preserve">). </w:t>
      </w:r>
    </w:p>
    <w:p w14:paraId="2CF5AC28" w14:textId="207E5E5E" w:rsidR="00E6771E" w:rsidRPr="00A541F9" w:rsidRDefault="000C6B44" w:rsidP="00AF4368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Přestože </w:t>
      </w:r>
      <w:r w:rsidRPr="000840E3">
        <w:rPr>
          <w:rFonts w:asciiTheme="minorHAnsi" w:hAnsiTheme="minorHAnsi" w:cstheme="minorHAnsi"/>
        </w:rPr>
        <w:t>v</w:t>
      </w:r>
      <w:r w:rsidR="007652BD">
        <w:rPr>
          <w:rFonts w:asciiTheme="minorHAnsi" w:hAnsiTheme="minorHAnsi" w:cstheme="minorHAnsi"/>
        </w:rPr>
        <w:t xml:space="preserve"> </w:t>
      </w:r>
      <w:r w:rsidRPr="000840E3">
        <w:rPr>
          <w:rFonts w:asciiTheme="minorHAnsi" w:hAnsiTheme="minorHAnsi" w:cstheme="minorHAnsi"/>
        </w:rPr>
        <w:t>souvislosti s</w:t>
      </w:r>
      <w:r w:rsidR="007652BD">
        <w:rPr>
          <w:rFonts w:asciiTheme="minorHAnsi" w:hAnsiTheme="minorHAnsi" w:cstheme="minorHAnsi"/>
        </w:rPr>
        <w:t xml:space="preserve"> </w:t>
      </w:r>
      <w:r w:rsidRPr="000840E3">
        <w:rPr>
          <w:rFonts w:asciiTheme="minorHAnsi" w:hAnsiTheme="minorHAnsi" w:cstheme="minorHAnsi"/>
        </w:rPr>
        <w:t>uvedenou účetní transakcí nedošlo k</w:t>
      </w:r>
      <w:r w:rsidR="007652BD">
        <w:rPr>
          <w:rFonts w:asciiTheme="minorHAnsi" w:hAnsiTheme="minorHAnsi" w:cstheme="minorHAnsi"/>
        </w:rPr>
        <w:t xml:space="preserve"> </w:t>
      </w:r>
      <w:r w:rsidRPr="000840E3">
        <w:rPr>
          <w:rFonts w:asciiTheme="minorHAnsi" w:hAnsiTheme="minorHAnsi" w:cstheme="minorHAnsi"/>
        </w:rPr>
        <w:t>žádnému peněžnímu toku a</w:t>
      </w:r>
      <w:r w:rsidR="007001D6">
        <w:rPr>
          <w:rFonts w:asciiTheme="minorHAnsi" w:hAnsiTheme="minorHAnsi" w:cstheme="minorHAnsi"/>
        </w:rPr>
        <w:t> </w:t>
      </w:r>
      <w:r w:rsidR="007652BD">
        <w:rPr>
          <w:rFonts w:asciiTheme="minorHAnsi" w:hAnsiTheme="minorHAnsi" w:cstheme="minorHAnsi"/>
        </w:rPr>
        <w:t>přestože</w:t>
      </w:r>
      <w:r w:rsidRPr="000840E3">
        <w:rPr>
          <w:rFonts w:asciiTheme="minorHAnsi" w:hAnsiTheme="minorHAnsi" w:cstheme="minorHAnsi"/>
        </w:rPr>
        <w:t xml:space="preserve"> tato účetní transakce neovlivnila výši výsledku hospodaření</w:t>
      </w:r>
      <w:r>
        <w:rPr>
          <w:rFonts w:asciiTheme="minorHAnsi" w:hAnsiTheme="minorHAnsi" w:cstheme="minorHAnsi"/>
        </w:rPr>
        <w:t>,</w:t>
      </w:r>
      <w:r w:rsidRPr="00A541F9">
        <w:rPr>
          <w:rFonts w:asciiTheme="minorHAnsi" w:hAnsiTheme="minorHAnsi" w:cstheme="minorHAnsi"/>
        </w:rPr>
        <w:t xml:space="preserve"> MF podalo uživatelům tohoto účetního výkazu</w:t>
      </w:r>
      <w:r>
        <w:rPr>
          <w:rFonts w:asciiTheme="minorHAnsi" w:hAnsiTheme="minorHAnsi" w:cstheme="minorHAnsi"/>
        </w:rPr>
        <w:t xml:space="preserve"> informaci, že uvedená účetní transakce</w:t>
      </w:r>
      <w:r w:rsidR="00E6771E" w:rsidRPr="00A541F9">
        <w:rPr>
          <w:rFonts w:asciiTheme="minorHAnsi" w:hAnsiTheme="minorHAnsi" w:cstheme="minorHAnsi"/>
        </w:rPr>
        <w:t>:</w:t>
      </w:r>
    </w:p>
    <w:p w14:paraId="67DA55A4" w14:textId="77777777" w:rsidR="00E6771E" w:rsidRPr="00A541F9" w:rsidRDefault="00E6771E" w:rsidP="00720ADC">
      <w:pPr>
        <w:pStyle w:val="Odstavecseseznamem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1F9">
        <w:rPr>
          <w:rFonts w:asciiTheme="minorHAnsi" w:hAnsiTheme="minorHAnsi" w:cstheme="minorHAnsi"/>
        </w:rPr>
        <w:t xml:space="preserve">ovlivnila výši výsledku hospodaření bez vlivu na výši krátkodobého finančního majetku o 71,6 mld. Kč (viz </w:t>
      </w:r>
      <w:r w:rsidRPr="001E1B99">
        <w:rPr>
          <w:rFonts w:asciiTheme="minorHAnsi" w:hAnsiTheme="minorHAnsi" w:cstheme="minorHAnsi"/>
        </w:rPr>
        <w:t xml:space="preserve">položka </w:t>
      </w:r>
      <w:r w:rsidRPr="00363F8A">
        <w:rPr>
          <w:rFonts w:asciiTheme="minorHAnsi" w:hAnsiTheme="minorHAnsi" w:cstheme="minorHAnsi"/>
        </w:rPr>
        <w:t>A.I.</w:t>
      </w:r>
      <w:r w:rsidR="001E1B99">
        <w:rPr>
          <w:rFonts w:asciiTheme="minorHAnsi" w:hAnsiTheme="minorHAnsi" w:cstheme="minorHAnsi"/>
        </w:rPr>
        <w:t xml:space="preserve"> </w:t>
      </w:r>
      <w:r w:rsidR="001E1B99">
        <w:rPr>
          <w:rFonts w:asciiTheme="minorHAnsi" w:hAnsiTheme="minorHAnsi" w:cstheme="minorHAnsi"/>
          <w:i/>
        </w:rPr>
        <w:t>Úpravy o nepeněžní operace</w:t>
      </w:r>
      <w:r w:rsidRPr="001E1B99">
        <w:rPr>
          <w:rFonts w:asciiTheme="minorHAnsi" w:hAnsiTheme="minorHAnsi" w:cstheme="minorHAnsi"/>
        </w:rPr>
        <w:t>),</w:t>
      </w:r>
    </w:p>
    <w:p w14:paraId="3E146FFC" w14:textId="06233920" w:rsidR="00E6771E" w:rsidRPr="00A541F9" w:rsidRDefault="00E6771E" w:rsidP="00720ADC">
      <w:pPr>
        <w:pStyle w:val="Odstavecseseznamem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1F9">
        <w:rPr>
          <w:rFonts w:asciiTheme="minorHAnsi" w:hAnsiTheme="minorHAnsi" w:cstheme="minorHAnsi"/>
        </w:rPr>
        <w:t xml:space="preserve">vyvolala peněžní toky z provozní činnosti v podobě zvýšení stavu peněžních prostředků o 71,6 mld. Kč (viz položka </w:t>
      </w:r>
      <w:r w:rsidRPr="00363F8A">
        <w:rPr>
          <w:rFonts w:asciiTheme="minorHAnsi" w:hAnsiTheme="minorHAnsi" w:cstheme="minorHAnsi"/>
        </w:rPr>
        <w:t>A.</w:t>
      </w:r>
      <w:r w:rsidR="001E1B99">
        <w:rPr>
          <w:rFonts w:asciiTheme="minorHAnsi" w:hAnsiTheme="minorHAnsi" w:cstheme="minorHAnsi"/>
        </w:rPr>
        <w:t xml:space="preserve"> </w:t>
      </w:r>
      <w:r w:rsidR="00B27409">
        <w:rPr>
          <w:rFonts w:asciiTheme="minorHAnsi" w:hAnsiTheme="minorHAnsi" w:cstheme="minorHAnsi"/>
          <w:i/>
        </w:rPr>
        <w:t>Peně</w:t>
      </w:r>
      <w:r w:rsidR="001E1B99">
        <w:rPr>
          <w:rFonts w:asciiTheme="minorHAnsi" w:hAnsiTheme="minorHAnsi" w:cstheme="minorHAnsi"/>
          <w:i/>
        </w:rPr>
        <w:t>žní toky z provozní činnosti</w:t>
      </w:r>
      <w:r w:rsidRPr="00A541F9">
        <w:rPr>
          <w:rFonts w:asciiTheme="minorHAnsi" w:hAnsiTheme="minorHAnsi" w:cstheme="minorHAnsi"/>
        </w:rPr>
        <w:t>) a zároveň</w:t>
      </w:r>
    </w:p>
    <w:p w14:paraId="3118F69B" w14:textId="77777777" w:rsidR="00E6771E" w:rsidRDefault="00E6771E" w:rsidP="00A27ECF">
      <w:pPr>
        <w:pStyle w:val="Odstavecseseznamem"/>
        <w:numPr>
          <w:ilvl w:val="0"/>
          <w:numId w:val="9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A541F9">
        <w:rPr>
          <w:rFonts w:asciiTheme="minorHAnsi" w:hAnsiTheme="minorHAnsi" w:cstheme="minorHAnsi"/>
        </w:rPr>
        <w:t xml:space="preserve">vyvolala peněžní toky z vlastního kapitálu, dlouhodobých závazků a dlouhodobých pohledávek v podobě snížení stavu peněžních prostředků o 71,6 mld. Kč (viz položka </w:t>
      </w:r>
      <w:r w:rsidRPr="00363F8A">
        <w:rPr>
          <w:rFonts w:asciiTheme="minorHAnsi" w:hAnsiTheme="minorHAnsi" w:cstheme="minorHAnsi"/>
        </w:rPr>
        <w:t>C.</w:t>
      </w:r>
      <w:r w:rsidR="001E1B99">
        <w:rPr>
          <w:rFonts w:asciiTheme="minorHAnsi" w:hAnsiTheme="minorHAnsi" w:cstheme="minorHAnsi"/>
        </w:rPr>
        <w:t xml:space="preserve"> </w:t>
      </w:r>
      <w:r w:rsidR="00B27409">
        <w:rPr>
          <w:rFonts w:asciiTheme="minorHAnsi" w:hAnsiTheme="minorHAnsi" w:cstheme="minorHAnsi"/>
          <w:i/>
        </w:rPr>
        <w:t>Peně</w:t>
      </w:r>
      <w:r w:rsidR="001E1B99">
        <w:rPr>
          <w:rFonts w:asciiTheme="minorHAnsi" w:hAnsiTheme="minorHAnsi" w:cstheme="minorHAnsi"/>
          <w:i/>
        </w:rPr>
        <w:t>žní toky z vlastního kapitálu, dlouhodobých závazků a dlouhodobých pohledávek</w:t>
      </w:r>
      <w:r w:rsidRPr="00A541F9">
        <w:rPr>
          <w:rFonts w:asciiTheme="minorHAnsi" w:hAnsiTheme="minorHAnsi" w:cstheme="minorHAnsi"/>
        </w:rPr>
        <w:t>).</w:t>
      </w:r>
    </w:p>
    <w:p w14:paraId="25B96CE8" w14:textId="77777777" w:rsidR="000B3391" w:rsidRDefault="000B3391" w:rsidP="00AF4368">
      <w:pPr>
        <w:tabs>
          <w:tab w:val="left" w:pos="1276"/>
        </w:tabs>
        <w:spacing w:after="160"/>
        <w:jc w:val="both"/>
        <w:rPr>
          <w:rFonts w:asciiTheme="minorHAnsi" w:hAnsiTheme="minorHAnsi" w:cstheme="minorHAnsi"/>
        </w:rPr>
      </w:pPr>
      <w:r w:rsidRPr="006310EE">
        <w:rPr>
          <w:rFonts w:asciiTheme="minorHAnsi" w:hAnsiTheme="minorHAnsi" w:cstheme="minorHAnsi"/>
        </w:rPr>
        <w:t>Pokud vybraná účetní jednotka vykáže na položce C.I</w:t>
      </w:r>
      <w:r w:rsidR="000C6B44">
        <w:rPr>
          <w:rFonts w:asciiTheme="minorHAnsi" w:hAnsiTheme="minorHAnsi" w:cstheme="minorHAnsi"/>
        </w:rPr>
        <w:t>I. takovou operaci, která nemá</w:t>
      </w:r>
      <w:r w:rsidRPr="006310EE">
        <w:rPr>
          <w:rFonts w:asciiTheme="minorHAnsi" w:hAnsiTheme="minorHAnsi" w:cstheme="minorHAnsi"/>
        </w:rPr>
        <w:t xml:space="preserve"> vliv na změnu stavu peněžních prostředků, aniž by jí souvztažně vykázala na jiné položce, nebude stav </w:t>
      </w:r>
      <w:r w:rsidRPr="006310EE">
        <w:rPr>
          <w:rFonts w:asciiTheme="minorHAnsi" w:hAnsiTheme="minorHAnsi" w:cstheme="minorHAnsi"/>
        </w:rPr>
        <w:lastRenderedPageBreak/>
        <w:t>peněžních prostředků vykázaný v přehledu o peněžních tocích k rozvahovému dni (položka R.) odpovídat stavu krátkodobého finančního majetku dle rozvahy</w:t>
      </w:r>
      <w:r>
        <w:rPr>
          <w:rStyle w:val="Znakapoznpodarou"/>
          <w:rFonts w:asciiTheme="minorHAnsi" w:hAnsiTheme="minorHAnsi" w:cstheme="minorHAnsi"/>
        </w:rPr>
        <w:footnoteReference w:id="24"/>
      </w:r>
      <w:r w:rsidRPr="006310EE">
        <w:rPr>
          <w:rFonts w:asciiTheme="minorHAnsi" w:hAnsiTheme="minorHAnsi" w:cstheme="minorHAnsi"/>
        </w:rPr>
        <w:t>.</w:t>
      </w:r>
    </w:p>
    <w:p w14:paraId="5593B687" w14:textId="10532FE8" w:rsidR="00FF7BB1" w:rsidRPr="00DC294F" w:rsidRDefault="000B3391" w:rsidP="00AF4368">
      <w:pPr>
        <w:spacing w:after="160"/>
        <w:jc w:val="both"/>
        <w:rPr>
          <w:rFonts w:asciiTheme="minorHAnsi" w:hAnsiTheme="minorHAnsi" w:cstheme="minorHAnsi"/>
        </w:rPr>
      </w:pPr>
      <w:r w:rsidRPr="006310EE">
        <w:rPr>
          <w:rFonts w:asciiTheme="minorHAnsi" w:hAnsiTheme="minorHAnsi" w:cstheme="minorHAnsi"/>
        </w:rPr>
        <w:t xml:space="preserve">MF </w:t>
      </w:r>
      <w:r w:rsidR="001C2C77">
        <w:rPr>
          <w:rFonts w:asciiTheme="minorHAnsi" w:hAnsiTheme="minorHAnsi" w:cstheme="minorHAnsi"/>
        </w:rPr>
        <w:t xml:space="preserve">proto </w:t>
      </w:r>
      <w:r w:rsidRPr="006310EE">
        <w:rPr>
          <w:rFonts w:asciiTheme="minorHAnsi" w:hAnsiTheme="minorHAnsi" w:cstheme="minorHAnsi"/>
        </w:rPr>
        <w:t>za účelem zajištění souladu stavu peněžních prostředků vykázaných k rozvahovému dni v přehledu o peněžních tocích a v rozva</w:t>
      </w:r>
      <w:r>
        <w:rPr>
          <w:rFonts w:asciiTheme="minorHAnsi" w:hAnsiTheme="minorHAnsi" w:cstheme="minorHAnsi"/>
        </w:rPr>
        <w:t xml:space="preserve">ze provedlo korekci na položce </w:t>
      </w:r>
      <w:r w:rsidRPr="000B3391">
        <w:rPr>
          <w:rFonts w:asciiTheme="minorHAnsi" w:hAnsiTheme="minorHAnsi" w:cstheme="minorHAnsi"/>
        </w:rPr>
        <w:t>A.I.6.</w:t>
      </w:r>
      <w:r w:rsidRPr="006310EE">
        <w:rPr>
          <w:rFonts w:asciiTheme="minorHAnsi" w:hAnsiTheme="minorHAnsi" w:cstheme="minorHAnsi"/>
          <w:i/>
        </w:rPr>
        <w:t xml:space="preserve"> Ost</w:t>
      </w:r>
      <w:r>
        <w:rPr>
          <w:rFonts w:asciiTheme="minorHAnsi" w:hAnsiTheme="minorHAnsi" w:cstheme="minorHAnsi"/>
          <w:i/>
        </w:rPr>
        <w:t>atní úpravy o nepeněžní operace</w:t>
      </w:r>
      <w:r>
        <w:rPr>
          <w:rFonts w:asciiTheme="minorHAnsi" w:hAnsiTheme="minorHAnsi" w:cstheme="minorHAnsi"/>
        </w:rPr>
        <w:t xml:space="preserve">. </w:t>
      </w:r>
      <w:r w:rsidR="00FF7BB1">
        <w:rPr>
          <w:rFonts w:asciiTheme="minorHAnsi" w:hAnsiTheme="minorHAnsi" w:cstheme="minorHAnsi"/>
        </w:rPr>
        <w:t xml:space="preserve">Na položkách A.I.1. až A.I.6. je přitom </w:t>
      </w:r>
      <w:r w:rsidR="00FF7BB1" w:rsidRPr="007601BE">
        <w:rPr>
          <w:rFonts w:asciiTheme="minorHAnsi" w:hAnsiTheme="minorHAnsi" w:cstheme="minorHAnsi"/>
        </w:rPr>
        <w:t>možno vykázat pouze takové úpravy o nepeněžní operace, které měly vliv na výsledek hospodaření</w:t>
      </w:r>
      <w:r w:rsidR="00A849D4">
        <w:rPr>
          <w:rFonts w:asciiTheme="minorHAnsi" w:hAnsiTheme="minorHAnsi" w:cstheme="minorHAnsi"/>
        </w:rPr>
        <w:t>,</w:t>
      </w:r>
      <w:r w:rsidR="001C2C77">
        <w:rPr>
          <w:rFonts w:asciiTheme="minorHAnsi" w:hAnsiTheme="minorHAnsi" w:cstheme="minorHAnsi"/>
        </w:rPr>
        <w:t xml:space="preserve"> a </w:t>
      </w:r>
      <w:r w:rsidR="004E5A61">
        <w:rPr>
          <w:rFonts w:asciiTheme="minorHAnsi" w:hAnsiTheme="minorHAnsi" w:cstheme="minorHAnsi"/>
        </w:rPr>
        <w:t>zároveň na položce A.I.6. jen</w:t>
      </w:r>
      <w:r w:rsidR="004E5A61" w:rsidRPr="007601BE">
        <w:rPr>
          <w:rFonts w:asciiTheme="minorHAnsi" w:hAnsiTheme="minorHAnsi" w:cstheme="minorHAnsi"/>
        </w:rPr>
        <w:t xml:space="preserve"> takové transakce, které neovlivnily mimo jiné výši zůstatku dlouhodobého finančního majetku</w:t>
      </w:r>
      <w:r w:rsidR="00FF7BB1" w:rsidRPr="007601BE">
        <w:rPr>
          <w:rFonts w:asciiTheme="minorHAnsi" w:hAnsiTheme="minorHAnsi" w:cstheme="minorHAnsi"/>
        </w:rPr>
        <w:t xml:space="preserve">. MF </w:t>
      </w:r>
      <w:r w:rsidR="004E5A61">
        <w:rPr>
          <w:rFonts w:asciiTheme="minorHAnsi" w:hAnsiTheme="minorHAnsi" w:cstheme="minorHAnsi"/>
        </w:rPr>
        <w:t>tímto postupem nedodržel</w:t>
      </w:r>
      <w:r w:rsidR="00873857">
        <w:rPr>
          <w:rFonts w:asciiTheme="minorHAnsi" w:hAnsiTheme="minorHAnsi" w:cstheme="minorHAnsi"/>
        </w:rPr>
        <w:t>o</w:t>
      </w:r>
      <w:r w:rsidR="004E5A61">
        <w:rPr>
          <w:rFonts w:asciiTheme="minorHAnsi" w:hAnsiTheme="minorHAnsi" w:cstheme="minorHAnsi"/>
        </w:rPr>
        <w:t xml:space="preserve"> obsahové vymezení </w:t>
      </w:r>
      <w:r w:rsidR="004F3B0F">
        <w:rPr>
          <w:rFonts w:asciiTheme="minorHAnsi" w:hAnsiTheme="minorHAnsi" w:cstheme="minorHAnsi"/>
        </w:rPr>
        <w:t>položky A.I.6.</w:t>
      </w:r>
    </w:p>
    <w:p w14:paraId="1ECE465E" w14:textId="77777777" w:rsidR="00FF7BB1" w:rsidRPr="0030257E" w:rsidRDefault="00FF7BB1" w:rsidP="00AF4368">
      <w:pPr>
        <w:tabs>
          <w:tab w:val="left" w:pos="1276"/>
        </w:tabs>
        <w:spacing w:after="160"/>
        <w:jc w:val="both"/>
        <w:rPr>
          <w:rFonts w:asciiTheme="minorHAnsi" w:hAnsiTheme="minorHAnsi" w:cstheme="minorHAnsi"/>
          <w:b/>
        </w:rPr>
      </w:pPr>
      <w:r w:rsidRPr="0030257E">
        <w:rPr>
          <w:rFonts w:asciiTheme="minorHAnsi" w:hAnsiTheme="minorHAnsi" w:cstheme="minorHAnsi"/>
          <w:b/>
        </w:rPr>
        <w:t xml:space="preserve">MF </w:t>
      </w:r>
      <w:r>
        <w:rPr>
          <w:rFonts w:asciiTheme="minorHAnsi" w:hAnsiTheme="minorHAnsi" w:cstheme="minorHAnsi"/>
          <w:b/>
        </w:rPr>
        <w:t>ne</w:t>
      </w:r>
      <w:r w:rsidRPr="0030257E">
        <w:rPr>
          <w:rFonts w:asciiTheme="minorHAnsi" w:hAnsiTheme="minorHAnsi" w:cstheme="minorHAnsi"/>
          <w:b/>
        </w:rPr>
        <w:t xml:space="preserve">postupovalo v </w:t>
      </w:r>
      <w:r>
        <w:rPr>
          <w:rFonts w:asciiTheme="minorHAnsi" w:hAnsiTheme="minorHAnsi" w:cstheme="minorHAnsi"/>
          <w:b/>
        </w:rPr>
        <w:t>souladu s vyhláškou</w:t>
      </w:r>
      <w:r w:rsidRPr="0030257E">
        <w:rPr>
          <w:rFonts w:asciiTheme="minorHAnsi" w:hAnsiTheme="minorHAnsi" w:cstheme="minorHAnsi"/>
          <w:b/>
        </w:rPr>
        <w:t xml:space="preserve"> č. 410/2009 Sb., když uvedenou nepeněžní </w:t>
      </w:r>
      <w:r w:rsidRPr="00593CE4">
        <w:rPr>
          <w:rFonts w:asciiTheme="minorHAnsi" w:hAnsiTheme="minorHAnsi" w:cstheme="minorHAnsi"/>
          <w:b/>
        </w:rPr>
        <w:t>transakci</w:t>
      </w:r>
      <w:r w:rsidR="00593CE4" w:rsidRPr="00593CE4">
        <w:rPr>
          <w:rFonts w:asciiTheme="minorHAnsi" w:hAnsiTheme="minorHAnsi" w:cstheme="minorHAnsi"/>
          <w:b/>
        </w:rPr>
        <w:t xml:space="preserve"> ve výši 71 635 023 520,81 Kč</w:t>
      </w:r>
      <w:r w:rsidRPr="00593CE4">
        <w:rPr>
          <w:rFonts w:asciiTheme="minorHAnsi" w:hAnsiTheme="minorHAnsi" w:cstheme="minorHAnsi"/>
          <w:b/>
        </w:rPr>
        <w:t>, která neovlivnila výši výsledku hospodaření a</w:t>
      </w:r>
      <w:r w:rsidR="007001D6">
        <w:rPr>
          <w:rFonts w:asciiTheme="minorHAnsi" w:hAnsiTheme="minorHAnsi" w:cstheme="minorHAnsi"/>
          <w:b/>
        </w:rPr>
        <w:t> </w:t>
      </w:r>
      <w:r w:rsidRPr="0030257E">
        <w:rPr>
          <w:rFonts w:asciiTheme="minorHAnsi" w:hAnsiTheme="minorHAnsi" w:cstheme="minorHAnsi"/>
          <w:b/>
        </w:rPr>
        <w:t>zároveň ovlivnila výši zůstatku dlouhodobého finančního majetku, vykázalo v přehledu o</w:t>
      </w:r>
      <w:r w:rsidR="007001D6">
        <w:rPr>
          <w:rFonts w:asciiTheme="minorHAnsi" w:hAnsiTheme="minorHAnsi" w:cstheme="minorHAnsi"/>
          <w:b/>
        </w:rPr>
        <w:t> </w:t>
      </w:r>
      <w:r w:rsidRPr="0030257E">
        <w:rPr>
          <w:rFonts w:asciiTheme="minorHAnsi" w:hAnsiTheme="minorHAnsi" w:cstheme="minorHAnsi"/>
          <w:b/>
        </w:rPr>
        <w:t xml:space="preserve">peněžních tocích na položce </w:t>
      </w:r>
      <w:r w:rsidRPr="00AF4368">
        <w:rPr>
          <w:rFonts w:asciiTheme="minorHAnsi" w:hAnsiTheme="minorHAnsi" w:cstheme="minorHAnsi"/>
          <w:b/>
        </w:rPr>
        <w:t>A.I.6.</w:t>
      </w:r>
      <w:r w:rsidRPr="0030257E">
        <w:rPr>
          <w:rFonts w:asciiTheme="minorHAnsi" w:hAnsiTheme="minorHAnsi" w:cstheme="minorHAnsi"/>
          <w:b/>
          <w:i/>
        </w:rPr>
        <w:t xml:space="preserve"> Ostatní úpravy o nepeněžní operace</w:t>
      </w:r>
      <w:r w:rsidRPr="0030257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Tento postup </w:t>
      </w:r>
      <w:r w:rsidR="0095775B">
        <w:rPr>
          <w:rFonts w:asciiTheme="minorHAnsi" w:hAnsiTheme="minorHAnsi" w:cstheme="minorHAnsi"/>
          <w:b/>
        </w:rPr>
        <w:t xml:space="preserve">MF </w:t>
      </w:r>
      <w:r w:rsidR="00C03B28">
        <w:rPr>
          <w:rFonts w:asciiTheme="minorHAnsi" w:hAnsiTheme="minorHAnsi" w:cstheme="minorHAnsi"/>
          <w:b/>
        </w:rPr>
        <w:t>byl</w:t>
      </w:r>
      <w:r w:rsidR="0095775B">
        <w:rPr>
          <w:rFonts w:asciiTheme="minorHAnsi" w:hAnsiTheme="minorHAnsi" w:cstheme="minorHAnsi"/>
          <w:b/>
        </w:rPr>
        <w:t xml:space="preserve"> nedostatkem </w:t>
      </w:r>
      <w:r>
        <w:rPr>
          <w:rFonts w:asciiTheme="minorHAnsi" w:hAnsiTheme="minorHAnsi" w:cstheme="minorHAnsi"/>
          <w:b/>
        </w:rPr>
        <w:t>v</w:t>
      </w:r>
      <w:r w:rsidR="000C6B44">
        <w:rPr>
          <w:rFonts w:asciiTheme="minorHAnsi" w:hAnsiTheme="minorHAnsi" w:cstheme="minorHAnsi"/>
          <w:b/>
        </w:rPr>
        <w:t> nastaven</w:t>
      </w:r>
      <w:r w:rsidR="007D1CEF">
        <w:rPr>
          <w:rFonts w:asciiTheme="minorHAnsi" w:hAnsiTheme="minorHAnsi" w:cstheme="minorHAnsi"/>
          <w:b/>
        </w:rPr>
        <w:t>í</w:t>
      </w:r>
      <w:r w:rsidR="000C6B4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algoritmu sestavení přehledu o peněžních tocích.</w:t>
      </w:r>
    </w:p>
    <w:p w14:paraId="6A6E3825" w14:textId="6261A25C" w:rsidR="00FF7BB1" w:rsidRDefault="00FA582A" w:rsidP="00AF4368">
      <w:pPr>
        <w:tabs>
          <w:tab w:val="left" w:pos="1276"/>
        </w:tabs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NKÚ v této souvislosti</w:t>
      </w:r>
      <w:r w:rsidR="00FF7BB1">
        <w:rPr>
          <w:rFonts w:asciiTheme="minorHAnsi" w:hAnsiTheme="minorHAnsi" w:cstheme="minorHAnsi"/>
          <w:b/>
        </w:rPr>
        <w:t xml:space="preserve"> doporučuje v právním předpisu </w:t>
      </w:r>
      <w:r w:rsidR="00FF7BB1" w:rsidRPr="0075670F">
        <w:rPr>
          <w:rFonts w:asciiTheme="minorHAnsi" w:hAnsiTheme="minorHAnsi" w:cstheme="minorHAnsi"/>
          <w:b/>
        </w:rPr>
        <w:t>jasněji</w:t>
      </w:r>
      <w:r w:rsidR="00FF7BB1">
        <w:rPr>
          <w:rFonts w:asciiTheme="minorHAnsi" w:hAnsiTheme="minorHAnsi" w:cstheme="minorHAnsi"/>
          <w:b/>
        </w:rPr>
        <w:t xml:space="preserve"> upravit vykazování </w:t>
      </w:r>
      <w:r w:rsidR="007652BD">
        <w:rPr>
          <w:rFonts w:asciiTheme="minorHAnsi" w:hAnsiTheme="minorHAnsi" w:cstheme="minorHAnsi"/>
          <w:b/>
        </w:rPr>
        <w:t>tohoto</w:t>
      </w:r>
      <w:r w:rsidR="00FF7BB1">
        <w:rPr>
          <w:rFonts w:asciiTheme="minorHAnsi" w:hAnsiTheme="minorHAnsi" w:cstheme="minorHAnsi"/>
          <w:b/>
        </w:rPr>
        <w:t xml:space="preserve"> druhu případů. </w:t>
      </w:r>
    </w:p>
    <w:p w14:paraId="216CE5E5" w14:textId="77777777" w:rsidR="0096782F" w:rsidRDefault="0096782F">
      <w:pPr>
        <w:spacing w:after="0"/>
        <w:rPr>
          <w:lang w:eastAsia="cs-CZ"/>
        </w:rPr>
      </w:pPr>
    </w:p>
    <w:p w14:paraId="69BC3EBB" w14:textId="77777777" w:rsidR="00FF7BB1" w:rsidRDefault="00FF7BB1" w:rsidP="007378F9">
      <w:pPr>
        <w:pStyle w:val="Nadpis2"/>
        <w:numPr>
          <w:ilvl w:val="0"/>
          <w:numId w:val="2"/>
        </w:numPr>
        <w:spacing w:after="160" w:line="240" w:lineRule="auto"/>
        <w:ind w:left="284" w:hanging="284"/>
        <w:contextualSpacing w:val="0"/>
        <w:rPr>
          <w:u w:val="single"/>
          <w:lang w:eastAsia="cs-CZ"/>
        </w:rPr>
      </w:pPr>
      <w:r w:rsidRPr="00FF7BB1">
        <w:rPr>
          <w:u w:val="single"/>
          <w:lang w:eastAsia="cs-CZ"/>
        </w:rPr>
        <w:t>Přehled o změnách vlastního kapitálu</w:t>
      </w:r>
    </w:p>
    <w:p w14:paraId="75BF8324" w14:textId="77777777" w:rsidR="00FF7BB1" w:rsidRPr="006228D4" w:rsidRDefault="00FF7BB1" w:rsidP="00FF7BB1">
      <w:pPr>
        <w:spacing w:after="160"/>
        <w:jc w:val="both"/>
        <w:rPr>
          <w:rFonts w:cs="Calibri"/>
        </w:rPr>
      </w:pPr>
      <w:r w:rsidRPr="006228D4">
        <w:rPr>
          <w:rFonts w:cs="Calibri"/>
          <w:bCs/>
          <w:iCs/>
        </w:rPr>
        <w:t xml:space="preserve">MF na položce </w:t>
      </w:r>
      <w:r w:rsidRPr="003F33F6">
        <w:rPr>
          <w:rFonts w:cs="Calibri"/>
          <w:bCs/>
          <w:iCs/>
        </w:rPr>
        <w:t>A.</w:t>
      </w:r>
      <w:r w:rsidR="003F33F6" w:rsidRPr="003F33F6">
        <w:rPr>
          <w:rFonts w:cs="Calibri"/>
          <w:bCs/>
          <w:iCs/>
        </w:rPr>
        <w:t xml:space="preserve">I.3. </w:t>
      </w:r>
      <w:r w:rsidR="003F33F6">
        <w:rPr>
          <w:rFonts w:cs="Calibri"/>
          <w:bCs/>
          <w:i/>
          <w:iCs/>
        </w:rPr>
        <w:t>Bezúplatné převody</w:t>
      </w:r>
      <w:r w:rsidRPr="006228D4">
        <w:rPr>
          <w:rFonts w:cs="Calibri"/>
          <w:bCs/>
          <w:i/>
          <w:iCs/>
        </w:rPr>
        <w:t xml:space="preserve"> </w:t>
      </w:r>
      <w:r w:rsidRPr="006228D4">
        <w:rPr>
          <w:rFonts w:cs="Calibri"/>
        </w:rPr>
        <w:t>přehledu o změnách vlastního kapitálu vykáz</w:t>
      </w:r>
      <w:r>
        <w:rPr>
          <w:rFonts w:cs="Calibri"/>
        </w:rPr>
        <w:t>alo i</w:t>
      </w:r>
      <w:r w:rsidR="00F07A62">
        <w:rPr>
          <w:rFonts w:cs="Calibri"/>
        </w:rPr>
        <w:t> </w:t>
      </w:r>
      <w:r>
        <w:rPr>
          <w:rFonts w:cs="Calibri"/>
        </w:rPr>
        <w:t>účetní případ</w:t>
      </w:r>
      <w:r>
        <w:rPr>
          <w:rFonts w:cs="Calibri"/>
          <w:bCs/>
          <w:iCs/>
        </w:rPr>
        <w:t xml:space="preserve">, kterým </w:t>
      </w:r>
      <w:r w:rsidRPr="006228D4">
        <w:rPr>
          <w:rFonts w:cs="Calibri"/>
          <w:bCs/>
          <w:iCs/>
        </w:rPr>
        <w:t>účtovalo o vzniku příslušnosti hospodařit s m</w:t>
      </w:r>
      <w:r>
        <w:rPr>
          <w:rFonts w:cs="Calibri"/>
          <w:bCs/>
          <w:iCs/>
        </w:rPr>
        <w:t xml:space="preserve">ajetkem státu v celkové výši 119 540 563 </w:t>
      </w:r>
      <w:r w:rsidRPr="003F33F6">
        <w:rPr>
          <w:rFonts w:cs="Calibri"/>
          <w:bCs/>
          <w:iCs/>
        </w:rPr>
        <w:t>Kč</w:t>
      </w:r>
      <w:r w:rsidRPr="003F33F6">
        <w:rPr>
          <w:rFonts w:cs="Calibri"/>
        </w:rPr>
        <w:t>.</w:t>
      </w:r>
      <w:r w:rsidR="003F33F6">
        <w:rPr>
          <w:rFonts w:cs="Calibri"/>
        </w:rPr>
        <w:t xml:space="preserve"> MF nabylo </w:t>
      </w:r>
      <w:r w:rsidR="003F33F6" w:rsidRPr="003F33F6">
        <w:rPr>
          <w:rFonts w:cs="Calibri"/>
        </w:rPr>
        <w:t>tento majetek</w:t>
      </w:r>
      <w:r w:rsidR="003F33F6" w:rsidRPr="003F33F6">
        <w:rPr>
          <w:rFonts w:cs="Calibri"/>
          <w:bCs/>
          <w:iCs/>
        </w:rPr>
        <w:t xml:space="preserve"> v roce 2017 na základě zápisu o změně příslušnosti hospodařit s majetkem státu od Úřadu pro zastupování státu ve věcech majetkových</w:t>
      </w:r>
      <w:r w:rsidR="003F33F6">
        <w:rPr>
          <w:rFonts w:cs="Calibri"/>
          <w:bCs/>
          <w:iCs/>
        </w:rPr>
        <w:t>.</w:t>
      </w:r>
      <w:r>
        <w:rPr>
          <w:rFonts w:cs="Calibri"/>
        </w:rPr>
        <w:t xml:space="preserve"> </w:t>
      </w:r>
    </w:p>
    <w:p w14:paraId="4F16FBE8" w14:textId="193E04C1" w:rsidR="00FF7BB1" w:rsidRPr="006228D4" w:rsidRDefault="00FF7BB1" w:rsidP="00FF7BB1">
      <w:pPr>
        <w:tabs>
          <w:tab w:val="left" w:pos="1276"/>
        </w:tabs>
        <w:spacing w:after="160"/>
        <w:jc w:val="both"/>
        <w:rPr>
          <w:rFonts w:asciiTheme="minorHAnsi" w:hAnsiTheme="minorHAnsi" w:cstheme="minorHAnsi"/>
          <w:b/>
        </w:rPr>
      </w:pPr>
      <w:r w:rsidRPr="006228D4">
        <w:rPr>
          <w:rFonts w:asciiTheme="minorHAnsi" w:hAnsiTheme="minorHAnsi" w:cstheme="minorHAnsi"/>
          <w:b/>
        </w:rPr>
        <w:t>MF p</w:t>
      </w:r>
      <w:r>
        <w:rPr>
          <w:rFonts w:asciiTheme="minorHAnsi" w:hAnsiTheme="minorHAnsi" w:cstheme="minorHAnsi"/>
          <w:b/>
        </w:rPr>
        <w:t>ostupovalo v rozporu s vyhláškou</w:t>
      </w:r>
      <w:r w:rsidRPr="006228D4">
        <w:rPr>
          <w:rFonts w:asciiTheme="minorHAnsi" w:hAnsiTheme="minorHAnsi" w:cstheme="minorHAnsi"/>
          <w:b/>
        </w:rPr>
        <w:t xml:space="preserve"> č. 410/2009 Sb., když uvedenou operaci</w:t>
      </w:r>
      <w:r w:rsidR="00593CE4">
        <w:rPr>
          <w:rFonts w:asciiTheme="minorHAnsi" w:hAnsiTheme="minorHAnsi" w:cstheme="minorHAnsi"/>
          <w:b/>
        </w:rPr>
        <w:t xml:space="preserve"> ve výši </w:t>
      </w:r>
      <w:r w:rsidR="00593CE4" w:rsidRPr="00593CE4">
        <w:rPr>
          <w:rFonts w:cs="Calibri"/>
          <w:b/>
          <w:bCs/>
          <w:iCs/>
        </w:rPr>
        <w:t>119 540 563 Kč</w:t>
      </w:r>
      <w:r w:rsidRPr="00593CE4">
        <w:rPr>
          <w:rFonts w:asciiTheme="minorHAnsi" w:hAnsiTheme="minorHAnsi" w:cstheme="minorHAnsi"/>
          <w:b/>
        </w:rPr>
        <w:t xml:space="preserve"> vykázalo v přehledu o změnách</w:t>
      </w:r>
      <w:r>
        <w:rPr>
          <w:rFonts w:asciiTheme="minorHAnsi" w:hAnsiTheme="minorHAnsi" w:cstheme="minorHAnsi"/>
          <w:b/>
        </w:rPr>
        <w:t xml:space="preserve"> vlastního kapitálu</w:t>
      </w:r>
      <w:r w:rsidR="003F33F6">
        <w:rPr>
          <w:rFonts w:asciiTheme="minorHAnsi" w:hAnsiTheme="minorHAnsi" w:cstheme="minorHAnsi"/>
          <w:b/>
        </w:rPr>
        <w:t xml:space="preserve"> na položce </w:t>
      </w:r>
      <w:r w:rsidRPr="003F33F6">
        <w:rPr>
          <w:rFonts w:asciiTheme="minorHAnsi" w:hAnsiTheme="minorHAnsi" w:cstheme="minorHAnsi"/>
          <w:b/>
        </w:rPr>
        <w:t>A.I.3.</w:t>
      </w:r>
      <w:r w:rsidRPr="006228D4">
        <w:rPr>
          <w:rFonts w:asciiTheme="minorHAnsi" w:hAnsiTheme="minorHAnsi" w:cstheme="minorHAnsi"/>
          <w:b/>
          <w:i/>
        </w:rPr>
        <w:t xml:space="preserve"> Bezúplatné převody</w:t>
      </w:r>
      <w:r w:rsidR="003F33F6">
        <w:rPr>
          <w:rFonts w:asciiTheme="minorHAnsi" w:hAnsiTheme="minorHAnsi" w:cstheme="minorHAnsi"/>
          <w:b/>
        </w:rPr>
        <w:t xml:space="preserve">, a nikoliv na položce </w:t>
      </w:r>
      <w:r w:rsidRPr="006228D4">
        <w:rPr>
          <w:rFonts w:asciiTheme="minorHAnsi" w:hAnsiTheme="minorHAnsi" w:cstheme="minorHAnsi"/>
          <w:b/>
        </w:rPr>
        <w:t xml:space="preserve">A.I.1. </w:t>
      </w:r>
      <w:r w:rsidRPr="006228D4">
        <w:rPr>
          <w:rFonts w:cs="Calibri"/>
          <w:b/>
          <w:i/>
        </w:rPr>
        <w:t>Změna, vznik nebo zánik příslušnosti hospodařit s majetkem stá</w:t>
      </w:r>
      <w:r w:rsidR="003F33F6">
        <w:rPr>
          <w:rFonts w:cs="Calibri"/>
          <w:b/>
          <w:i/>
        </w:rPr>
        <w:t>tu</w:t>
      </w:r>
      <w:r w:rsidRPr="006228D4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Tento postup</w:t>
      </w:r>
      <w:r w:rsidR="0095775B">
        <w:rPr>
          <w:rFonts w:asciiTheme="minorHAnsi" w:hAnsiTheme="minorHAnsi" w:cstheme="minorHAnsi"/>
          <w:b/>
        </w:rPr>
        <w:t xml:space="preserve"> byl </w:t>
      </w:r>
      <w:r>
        <w:rPr>
          <w:rFonts w:asciiTheme="minorHAnsi" w:hAnsiTheme="minorHAnsi" w:cstheme="minorHAnsi"/>
          <w:b/>
        </w:rPr>
        <w:t>chyb</w:t>
      </w:r>
      <w:r w:rsidR="0095775B">
        <w:rPr>
          <w:rFonts w:asciiTheme="minorHAnsi" w:hAnsiTheme="minorHAnsi" w:cstheme="minorHAnsi"/>
          <w:b/>
        </w:rPr>
        <w:t>ou</w:t>
      </w:r>
      <w:r w:rsidRPr="006228D4">
        <w:rPr>
          <w:rFonts w:asciiTheme="minorHAnsi" w:hAnsiTheme="minorHAnsi" w:cstheme="minorHAnsi"/>
          <w:b/>
        </w:rPr>
        <w:t xml:space="preserve"> </w:t>
      </w:r>
      <w:r w:rsidR="00BB2AC7">
        <w:rPr>
          <w:rFonts w:asciiTheme="minorHAnsi" w:hAnsiTheme="minorHAnsi" w:cstheme="minorHAnsi"/>
          <w:b/>
        </w:rPr>
        <w:t xml:space="preserve">MF </w:t>
      </w:r>
      <w:r w:rsidRPr="006228D4">
        <w:rPr>
          <w:rFonts w:asciiTheme="minorHAnsi" w:hAnsiTheme="minorHAnsi" w:cstheme="minorHAnsi"/>
          <w:b/>
        </w:rPr>
        <w:t>v</w:t>
      </w:r>
      <w:r w:rsidR="00BB2AC7">
        <w:rPr>
          <w:rFonts w:asciiTheme="minorHAnsi" w:hAnsiTheme="minorHAnsi" w:cstheme="minorHAnsi"/>
          <w:b/>
        </w:rPr>
        <w:t> nastaven</w:t>
      </w:r>
      <w:r w:rsidR="007D1CEF">
        <w:rPr>
          <w:rFonts w:asciiTheme="minorHAnsi" w:hAnsiTheme="minorHAnsi" w:cstheme="minorHAnsi"/>
          <w:b/>
        </w:rPr>
        <w:t>í</w:t>
      </w:r>
      <w:r w:rsidR="00BB2AC7">
        <w:rPr>
          <w:rFonts w:asciiTheme="minorHAnsi" w:hAnsiTheme="minorHAnsi" w:cstheme="minorHAnsi"/>
          <w:b/>
        </w:rPr>
        <w:t xml:space="preserve"> </w:t>
      </w:r>
      <w:r w:rsidRPr="006228D4">
        <w:rPr>
          <w:rFonts w:asciiTheme="minorHAnsi" w:hAnsiTheme="minorHAnsi" w:cstheme="minorHAnsi"/>
          <w:b/>
        </w:rPr>
        <w:t xml:space="preserve">algoritmu sestavení přehledu o změnách vlastního kapitálu, neboť analytické členění účtu 401 – </w:t>
      </w:r>
      <w:r w:rsidRPr="006228D4">
        <w:rPr>
          <w:rFonts w:asciiTheme="minorHAnsi" w:hAnsiTheme="minorHAnsi" w:cstheme="minorHAnsi"/>
          <w:b/>
          <w:i/>
        </w:rPr>
        <w:t>Jmění účetní jednotky</w:t>
      </w:r>
      <w:r w:rsidRPr="006228D4">
        <w:rPr>
          <w:rFonts w:asciiTheme="minorHAnsi" w:hAnsiTheme="minorHAnsi" w:cstheme="minorHAnsi"/>
          <w:b/>
        </w:rPr>
        <w:t xml:space="preserve"> nebylo navrženo tak, aby </w:t>
      </w:r>
      <w:r w:rsidR="007652BD" w:rsidRPr="006228D4">
        <w:rPr>
          <w:rFonts w:asciiTheme="minorHAnsi" w:hAnsiTheme="minorHAnsi" w:cstheme="minorHAnsi"/>
          <w:b/>
        </w:rPr>
        <w:t xml:space="preserve">v přehledu o změnách vlastního kapitálu </w:t>
      </w:r>
      <w:r w:rsidRPr="006228D4">
        <w:rPr>
          <w:rFonts w:asciiTheme="minorHAnsi" w:hAnsiTheme="minorHAnsi" w:cstheme="minorHAnsi"/>
          <w:b/>
        </w:rPr>
        <w:t>vedlo ke správnému vykázání operace spočívající ve změně příslušnosti hospodařit s majetkem státu.</w:t>
      </w:r>
    </w:p>
    <w:p w14:paraId="3FCAC8A0" w14:textId="77777777" w:rsidR="00FF7BB1" w:rsidRPr="00BB2AC7" w:rsidRDefault="00FF7BB1" w:rsidP="00AF4368">
      <w:pPr>
        <w:tabs>
          <w:tab w:val="left" w:pos="1276"/>
        </w:tabs>
        <w:spacing w:after="0"/>
        <w:jc w:val="both"/>
        <w:rPr>
          <w:rFonts w:asciiTheme="minorHAnsi" w:hAnsiTheme="minorHAnsi" w:cstheme="minorHAnsi"/>
        </w:rPr>
      </w:pPr>
      <w:r w:rsidRPr="00BB2AC7">
        <w:rPr>
          <w:rFonts w:asciiTheme="minorHAnsi" w:hAnsiTheme="minorHAnsi" w:cstheme="minorHAnsi"/>
        </w:rPr>
        <w:t>V průběhu účetního období 2018 zavedlo MF do účtového ro</w:t>
      </w:r>
      <w:r w:rsidR="003F33F6" w:rsidRPr="00BB2AC7">
        <w:rPr>
          <w:rFonts w:asciiTheme="minorHAnsi" w:hAnsiTheme="minorHAnsi" w:cstheme="minorHAnsi"/>
        </w:rPr>
        <w:t>zvrhu nový</w:t>
      </w:r>
      <w:r w:rsidRPr="00BB2AC7">
        <w:rPr>
          <w:rFonts w:asciiTheme="minorHAnsi" w:hAnsiTheme="minorHAnsi" w:cstheme="minorHAnsi"/>
        </w:rPr>
        <w:t xml:space="preserve"> analytický účet v rámci účtu 401, čímž provedlo výchozí krok k tomu, aby k výše uvedené nesprávnosti v naplnění položek přehledu o změnách vlastního kapitálu již nedocházelo.</w:t>
      </w:r>
    </w:p>
    <w:p w14:paraId="617F77B1" w14:textId="77777777" w:rsidR="00A27ECF" w:rsidRDefault="00A27ECF">
      <w:pPr>
        <w:spacing w:after="0"/>
        <w:rPr>
          <w:lang w:eastAsia="cs-CZ"/>
        </w:rPr>
      </w:pPr>
    </w:p>
    <w:p w14:paraId="721FABC5" w14:textId="7B493142" w:rsidR="00FF7BB1" w:rsidRPr="00FF7BB1" w:rsidRDefault="00FF7BB1" w:rsidP="007378F9">
      <w:pPr>
        <w:pStyle w:val="Nadpis2"/>
        <w:numPr>
          <w:ilvl w:val="0"/>
          <w:numId w:val="2"/>
        </w:numPr>
        <w:spacing w:after="160" w:line="240" w:lineRule="auto"/>
        <w:ind w:left="284" w:hanging="284"/>
        <w:contextualSpacing w:val="0"/>
        <w:rPr>
          <w:u w:val="single"/>
          <w:lang w:eastAsia="cs-CZ"/>
        </w:rPr>
      </w:pPr>
      <w:r w:rsidRPr="00FF7BB1">
        <w:rPr>
          <w:u w:val="single"/>
          <w:lang w:eastAsia="cs-CZ"/>
        </w:rPr>
        <w:t xml:space="preserve">Opatření přijatá k nápravě </w:t>
      </w:r>
      <w:r w:rsidR="007652BD" w:rsidRPr="00FF7BB1">
        <w:rPr>
          <w:u w:val="single"/>
          <w:lang w:eastAsia="cs-CZ"/>
        </w:rPr>
        <w:t xml:space="preserve">nedostatků </w:t>
      </w:r>
      <w:r w:rsidRPr="00FF7BB1">
        <w:rPr>
          <w:u w:val="single"/>
          <w:lang w:eastAsia="cs-CZ"/>
        </w:rPr>
        <w:t xml:space="preserve">zjištěných </w:t>
      </w:r>
      <w:r w:rsidR="007652BD">
        <w:rPr>
          <w:u w:val="single"/>
          <w:lang w:eastAsia="cs-CZ"/>
        </w:rPr>
        <w:t>kontrolní akcí NKÚ</w:t>
      </w:r>
      <w:r w:rsidRPr="00FF7BB1">
        <w:rPr>
          <w:u w:val="single"/>
          <w:lang w:eastAsia="cs-CZ"/>
        </w:rPr>
        <w:t xml:space="preserve"> č. 16/03 v oblasti účetnictví</w:t>
      </w:r>
    </w:p>
    <w:p w14:paraId="440DA90A" w14:textId="7FAB0940" w:rsidR="00FF7BB1" w:rsidRPr="005307A5" w:rsidRDefault="00BB2AC7" w:rsidP="00FF7BB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FF7BB1" w:rsidRPr="004720A0">
        <w:rPr>
          <w:rFonts w:asciiTheme="minorHAnsi" w:hAnsiTheme="minorHAnsi" w:cstheme="minorHAnsi"/>
        </w:rPr>
        <w:t xml:space="preserve"> průběhu kontroly </w:t>
      </w:r>
      <w:r>
        <w:rPr>
          <w:rFonts w:asciiTheme="minorHAnsi" w:hAnsiTheme="minorHAnsi" w:cstheme="minorHAnsi"/>
        </w:rPr>
        <w:t xml:space="preserve">byla </w:t>
      </w:r>
      <w:r w:rsidR="00FF7BB1" w:rsidRPr="004720A0">
        <w:rPr>
          <w:rFonts w:asciiTheme="minorHAnsi" w:hAnsiTheme="minorHAnsi" w:cstheme="minorHAnsi"/>
        </w:rPr>
        <w:t xml:space="preserve">prověřována </w:t>
      </w:r>
      <w:r w:rsidR="00FF7BB1" w:rsidRPr="00C40098">
        <w:rPr>
          <w:rFonts w:asciiTheme="minorHAnsi" w:hAnsiTheme="minorHAnsi" w:cstheme="minorHAnsi"/>
        </w:rPr>
        <w:t xml:space="preserve">opatření </w:t>
      </w:r>
      <w:r w:rsidR="00FC2114">
        <w:rPr>
          <w:rFonts w:asciiTheme="minorHAnsi" w:hAnsiTheme="minorHAnsi" w:cstheme="minorHAnsi"/>
        </w:rPr>
        <w:t>stanovená</w:t>
      </w:r>
      <w:r w:rsidR="00A27ECF">
        <w:rPr>
          <w:rFonts w:asciiTheme="minorHAnsi" w:hAnsiTheme="minorHAnsi" w:cstheme="minorHAnsi"/>
        </w:rPr>
        <w:t xml:space="preserve"> </w:t>
      </w:r>
      <w:r w:rsidR="00FC2114">
        <w:rPr>
          <w:rFonts w:asciiTheme="minorHAnsi" w:hAnsiTheme="minorHAnsi" w:cstheme="minorHAnsi"/>
        </w:rPr>
        <w:t>usnesením vlády ze dne</w:t>
      </w:r>
      <w:r w:rsidR="00A27ECF">
        <w:rPr>
          <w:rFonts w:asciiTheme="minorHAnsi" w:hAnsiTheme="minorHAnsi" w:cstheme="minorHAnsi"/>
        </w:rPr>
        <w:t xml:space="preserve"> </w:t>
      </w:r>
      <w:r w:rsidR="00FC2114">
        <w:rPr>
          <w:rFonts w:asciiTheme="minorHAnsi" w:hAnsiTheme="minorHAnsi" w:cstheme="minorHAnsi"/>
        </w:rPr>
        <w:t>6.</w:t>
      </w:r>
      <w:r w:rsidR="00E54A1F">
        <w:rPr>
          <w:rFonts w:asciiTheme="minorHAnsi" w:hAnsiTheme="minorHAnsi" w:cstheme="minorHAnsi"/>
        </w:rPr>
        <w:t> listopadu</w:t>
      </w:r>
      <w:r w:rsidR="00FC2114">
        <w:rPr>
          <w:rFonts w:asciiTheme="minorHAnsi" w:hAnsiTheme="minorHAnsi" w:cstheme="minorHAnsi"/>
        </w:rPr>
        <w:t xml:space="preserve"> 2017 č.</w:t>
      </w:r>
      <w:r w:rsidR="00D80BD1">
        <w:rPr>
          <w:rFonts w:asciiTheme="minorHAnsi" w:hAnsiTheme="minorHAnsi" w:cstheme="minorHAnsi"/>
        </w:rPr>
        <w:t xml:space="preserve"> </w:t>
      </w:r>
      <w:r w:rsidR="00FC2114" w:rsidRPr="000F63BB">
        <w:rPr>
          <w:rFonts w:asciiTheme="minorHAnsi" w:hAnsiTheme="minorHAnsi" w:cstheme="minorHAnsi"/>
        </w:rPr>
        <w:t>783</w:t>
      </w:r>
      <w:r w:rsidR="00FC2114">
        <w:rPr>
          <w:rFonts w:asciiTheme="minorHAnsi" w:hAnsiTheme="minorHAnsi" w:cstheme="minorHAnsi"/>
        </w:rPr>
        <w:t xml:space="preserve"> </w:t>
      </w:r>
      <w:r w:rsidR="00FF7BB1" w:rsidRPr="00C40098">
        <w:rPr>
          <w:rFonts w:asciiTheme="minorHAnsi" w:hAnsiTheme="minorHAnsi" w:cstheme="minorHAnsi"/>
        </w:rPr>
        <w:t>k</w:t>
      </w:r>
      <w:r w:rsidR="00D80BD1">
        <w:rPr>
          <w:rFonts w:asciiTheme="minorHAnsi" w:hAnsiTheme="minorHAnsi" w:cstheme="minorHAnsi"/>
        </w:rPr>
        <w:t xml:space="preserve"> </w:t>
      </w:r>
      <w:r w:rsidR="00FF7BB1" w:rsidRPr="00C40098">
        <w:rPr>
          <w:rFonts w:asciiTheme="minorHAnsi" w:hAnsiTheme="minorHAnsi" w:cstheme="minorHAnsi"/>
        </w:rPr>
        <w:t>nápravě nedostatků zjištěných v</w:t>
      </w:r>
      <w:r w:rsidR="00D80BD1">
        <w:rPr>
          <w:rFonts w:asciiTheme="minorHAnsi" w:hAnsiTheme="minorHAnsi" w:cstheme="minorHAnsi"/>
        </w:rPr>
        <w:t xml:space="preserve"> </w:t>
      </w:r>
      <w:r w:rsidR="00FF7BB1" w:rsidRPr="00C40098">
        <w:rPr>
          <w:rFonts w:asciiTheme="minorHAnsi" w:hAnsiTheme="minorHAnsi" w:cstheme="minorHAnsi"/>
        </w:rPr>
        <w:t xml:space="preserve">rámci </w:t>
      </w:r>
      <w:r w:rsidR="001E1B99">
        <w:rPr>
          <w:rFonts w:asciiTheme="minorHAnsi" w:hAnsiTheme="minorHAnsi" w:cstheme="minorHAnsi"/>
        </w:rPr>
        <w:t>kontrolní akce</w:t>
      </w:r>
      <w:r w:rsidR="00FF7BB1" w:rsidRPr="00C40098">
        <w:rPr>
          <w:rFonts w:asciiTheme="minorHAnsi" w:hAnsiTheme="minorHAnsi" w:cstheme="minorHAnsi"/>
        </w:rPr>
        <w:t xml:space="preserve"> č. 16/03 v</w:t>
      </w:r>
      <w:r w:rsidR="00D80BD1">
        <w:rPr>
          <w:rFonts w:asciiTheme="minorHAnsi" w:hAnsiTheme="minorHAnsi" w:cstheme="minorHAnsi"/>
        </w:rPr>
        <w:t xml:space="preserve"> </w:t>
      </w:r>
      <w:r w:rsidR="00FF7BB1" w:rsidRPr="00C40098">
        <w:rPr>
          <w:rFonts w:asciiTheme="minorHAnsi" w:hAnsiTheme="minorHAnsi" w:cstheme="minorHAnsi"/>
        </w:rPr>
        <w:t>oblasti účetnictví</w:t>
      </w:r>
      <w:r w:rsidR="00FF7BB1">
        <w:rPr>
          <w:rFonts w:asciiTheme="minorHAnsi" w:hAnsiTheme="minorHAnsi" w:cstheme="minorHAnsi"/>
        </w:rPr>
        <w:t xml:space="preserve">, </w:t>
      </w:r>
      <w:r w:rsidR="00FF7BB1" w:rsidRPr="000F63BB">
        <w:rPr>
          <w:rFonts w:asciiTheme="minorHAnsi" w:hAnsiTheme="minorHAnsi" w:cstheme="minorHAnsi"/>
        </w:rPr>
        <w:t>a</w:t>
      </w:r>
      <w:r w:rsidR="00D80BD1">
        <w:rPr>
          <w:rFonts w:asciiTheme="minorHAnsi" w:hAnsiTheme="minorHAnsi" w:cstheme="minorHAnsi"/>
        </w:rPr>
        <w:t xml:space="preserve"> </w:t>
      </w:r>
      <w:r w:rsidR="00FF7BB1" w:rsidRPr="000F63BB">
        <w:rPr>
          <w:rFonts w:asciiTheme="minorHAnsi" w:hAnsiTheme="minorHAnsi" w:cstheme="minorHAnsi"/>
        </w:rPr>
        <w:t>to z hlediska jejich úplnosti, správnosti a účinnosti.</w:t>
      </w:r>
      <w:r w:rsidR="00FF7BB1">
        <w:rPr>
          <w:rFonts w:asciiTheme="minorHAnsi" w:hAnsiTheme="minorHAnsi" w:cstheme="minorHAnsi"/>
        </w:rPr>
        <w:t xml:space="preserve"> </w:t>
      </w:r>
    </w:p>
    <w:p w14:paraId="5B1AC3DE" w14:textId="2B866528" w:rsidR="00FF7BB1" w:rsidRPr="008B199E" w:rsidRDefault="00FF7BB1" w:rsidP="00FF7BB1">
      <w:pPr>
        <w:spacing w:after="160"/>
        <w:jc w:val="both"/>
        <w:rPr>
          <w:rFonts w:cstheme="minorHAnsi"/>
        </w:rPr>
      </w:pPr>
      <w:r w:rsidRPr="008272F5">
        <w:rPr>
          <w:rFonts w:cstheme="minorHAnsi"/>
          <w:b/>
        </w:rPr>
        <w:lastRenderedPageBreak/>
        <w:t xml:space="preserve">Kontrolou bylo zjištěno, </w:t>
      </w:r>
      <w:r w:rsidR="008C741D">
        <w:rPr>
          <w:rFonts w:cstheme="minorHAnsi"/>
          <w:b/>
        </w:rPr>
        <w:t xml:space="preserve">že MF opatření </w:t>
      </w:r>
      <w:r w:rsidR="00E54A1F">
        <w:rPr>
          <w:rFonts w:cstheme="minorHAnsi"/>
          <w:b/>
        </w:rPr>
        <w:t xml:space="preserve">k nápravě zjištěných nedostatků </w:t>
      </w:r>
      <w:r w:rsidR="00E33FC1">
        <w:rPr>
          <w:rFonts w:cstheme="minorHAnsi"/>
          <w:b/>
        </w:rPr>
        <w:t xml:space="preserve">týkající se vedení účetnictví </w:t>
      </w:r>
      <w:r w:rsidR="00E54A1F">
        <w:rPr>
          <w:rFonts w:cstheme="minorHAnsi"/>
          <w:b/>
        </w:rPr>
        <w:t>realizovalo</w:t>
      </w:r>
      <w:r w:rsidR="008C741D" w:rsidRPr="00720ADC">
        <w:rPr>
          <w:rFonts w:cstheme="minorHAnsi"/>
          <w:b/>
        </w:rPr>
        <w:t>,</w:t>
      </w:r>
      <w:r w:rsidR="00E33FC1">
        <w:rPr>
          <w:rFonts w:cstheme="minorHAnsi"/>
        </w:rPr>
        <w:t xml:space="preserve"> výjimku </w:t>
      </w:r>
      <w:r w:rsidR="007652BD">
        <w:rPr>
          <w:rFonts w:cstheme="minorHAnsi"/>
        </w:rPr>
        <w:t xml:space="preserve">tvoří </w:t>
      </w:r>
      <w:r w:rsidR="00E33FC1">
        <w:rPr>
          <w:rFonts w:asciiTheme="minorHAnsi" w:hAnsiTheme="minorHAnsi" w:cs="Arial"/>
          <w:bCs/>
          <w:iCs/>
        </w:rPr>
        <w:t>jed</w:t>
      </w:r>
      <w:r w:rsidR="007652BD">
        <w:rPr>
          <w:rFonts w:asciiTheme="minorHAnsi" w:hAnsiTheme="minorHAnsi" w:cs="Arial"/>
          <w:bCs/>
          <w:iCs/>
        </w:rPr>
        <w:t>e</w:t>
      </w:r>
      <w:r w:rsidR="00E33FC1">
        <w:rPr>
          <w:rFonts w:asciiTheme="minorHAnsi" w:hAnsiTheme="minorHAnsi" w:cs="Arial"/>
          <w:bCs/>
          <w:iCs/>
        </w:rPr>
        <w:t>n případ</w:t>
      </w:r>
      <w:r w:rsidR="00FC2114">
        <w:rPr>
          <w:rFonts w:asciiTheme="minorHAnsi" w:hAnsiTheme="minorHAnsi" w:cs="Arial"/>
          <w:bCs/>
          <w:iCs/>
        </w:rPr>
        <w:t xml:space="preserve"> </w:t>
      </w:r>
      <w:r w:rsidR="001547EF">
        <w:rPr>
          <w:rFonts w:asciiTheme="minorHAnsi" w:hAnsiTheme="minorHAnsi" w:cs="Arial"/>
          <w:bCs/>
          <w:iCs/>
        </w:rPr>
        <w:t xml:space="preserve">v oblasti </w:t>
      </w:r>
      <w:r w:rsidR="00FC2114">
        <w:rPr>
          <w:rFonts w:asciiTheme="minorHAnsi" w:hAnsiTheme="minorHAnsi" w:cs="Arial"/>
          <w:bCs/>
          <w:iCs/>
        </w:rPr>
        <w:t>prostředků poskytova</w:t>
      </w:r>
      <w:r w:rsidR="007759C2">
        <w:rPr>
          <w:rFonts w:asciiTheme="minorHAnsi" w:hAnsiTheme="minorHAnsi" w:cs="Arial"/>
          <w:bCs/>
          <w:iCs/>
        </w:rPr>
        <w:t>n</w:t>
      </w:r>
      <w:r w:rsidR="00FC2114">
        <w:rPr>
          <w:rFonts w:asciiTheme="minorHAnsi" w:hAnsiTheme="minorHAnsi" w:cs="Arial"/>
          <w:bCs/>
          <w:iCs/>
        </w:rPr>
        <w:t>ých tuzemské bance</w:t>
      </w:r>
      <w:r w:rsidR="00E33FC1">
        <w:rPr>
          <w:rFonts w:asciiTheme="minorHAnsi" w:hAnsiTheme="minorHAnsi" w:cs="Arial"/>
          <w:bCs/>
          <w:iCs/>
        </w:rPr>
        <w:t xml:space="preserve">, kdy </w:t>
      </w:r>
      <w:r w:rsidR="00E33FC1" w:rsidRPr="00375452">
        <w:rPr>
          <w:rFonts w:asciiTheme="minorHAnsi" w:hAnsiTheme="minorHAnsi" w:cs="Arial"/>
          <w:bCs/>
          <w:iCs/>
        </w:rPr>
        <w:t>nepostupovalo v plném ro</w:t>
      </w:r>
      <w:r w:rsidR="00E33FC1">
        <w:rPr>
          <w:rFonts w:asciiTheme="minorHAnsi" w:hAnsiTheme="minorHAnsi" w:cs="Arial"/>
          <w:bCs/>
          <w:iCs/>
        </w:rPr>
        <w:t>zsahu doporučení plynoucích z kontrolní akce č. 16/03 (</w:t>
      </w:r>
      <w:r w:rsidR="00E33FC1">
        <w:rPr>
          <w:rFonts w:cstheme="minorHAnsi"/>
        </w:rPr>
        <w:t>viz</w:t>
      </w:r>
      <w:r w:rsidR="00640639">
        <w:rPr>
          <w:rFonts w:cstheme="minorHAnsi"/>
        </w:rPr>
        <w:t xml:space="preserve"> část IV.</w:t>
      </w:r>
      <w:r w:rsidR="00E33FC1">
        <w:rPr>
          <w:rFonts w:cstheme="minorHAnsi"/>
        </w:rPr>
        <w:t>4.2)</w:t>
      </w:r>
      <w:r w:rsidR="00E33FC1">
        <w:rPr>
          <w:rFonts w:asciiTheme="minorHAnsi" w:hAnsiTheme="minorHAnsi" w:cs="Arial"/>
          <w:bCs/>
          <w:iCs/>
        </w:rPr>
        <w:t>.</w:t>
      </w:r>
      <w:r w:rsidR="008C741D" w:rsidRPr="00BB2AC7">
        <w:rPr>
          <w:rFonts w:cstheme="minorHAnsi"/>
        </w:rPr>
        <w:t xml:space="preserve"> </w:t>
      </w:r>
      <w:r w:rsidR="00FC2114">
        <w:rPr>
          <w:rFonts w:cstheme="minorHAnsi"/>
        </w:rPr>
        <w:t>N</w:t>
      </w:r>
      <w:r w:rsidR="008C741D" w:rsidRPr="00BB2AC7">
        <w:rPr>
          <w:rFonts w:cstheme="minorHAnsi"/>
        </w:rPr>
        <w:t xml:space="preserve">ejvýznamnější </w:t>
      </w:r>
      <w:r w:rsidR="00FC2114">
        <w:rPr>
          <w:rFonts w:cstheme="minorHAnsi"/>
        </w:rPr>
        <w:t xml:space="preserve">přijaté </w:t>
      </w:r>
      <w:r w:rsidR="008C741D" w:rsidRPr="00BB2AC7">
        <w:rPr>
          <w:rFonts w:cstheme="minorHAnsi"/>
        </w:rPr>
        <w:t>nápravné opatření se týkalo oblasti rezerv na sanace ekologických zátěží</w:t>
      </w:r>
      <w:r w:rsidR="001E4E45" w:rsidRPr="00BB2AC7">
        <w:rPr>
          <w:rFonts w:cstheme="minorHAnsi"/>
        </w:rPr>
        <w:t xml:space="preserve"> (viz</w:t>
      </w:r>
      <w:r w:rsidR="00FA582A" w:rsidRPr="00BB2AC7">
        <w:rPr>
          <w:rFonts w:cstheme="minorHAnsi"/>
        </w:rPr>
        <w:t xml:space="preserve"> část</w:t>
      </w:r>
      <w:r w:rsidR="00562C0D" w:rsidRPr="00BB2AC7">
        <w:rPr>
          <w:rFonts w:cstheme="minorHAnsi"/>
        </w:rPr>
        <w:t xml:space="preserve"> </w:t>
      </w:r>
      <w:r w:rsidR="00626B4D">
        <w:rPr>
          <w:rFonts w:cstheme="minorHAnsi"/>
        </w:rPr>
        <w:t>IV.</w:t>
      </w:r>
      <w:r w:rsidR="00562C0D" w:rsidRPr="00BB2AC7">
        <w:rPr>
          <w:rFonts w:cstheme="minorHAnsi"/>
        </w:rPr>
        <w:t>4.1</w:t>
      </w:r>
      <w:r w:rsidR="00626B4D">
        <w:rPr>
          <w:rFonts w:cstheme="minorHAnsi"/>
        </w:rPr>
        <w:t>).</w:t>
      </w:r>
      <w:r w:rsidRPr="008B199E">
        <w:rPr>
          <w:rFonts w:cstheme="minorHAnsi"/>
        </w:rPr>
        <w:t xml:space="preserve"> </w:t>
      </w:r>
    </w:p>
    <w:p w14:paraId="2CD8F052" w14:textId="5DE376A3" w:rsidR="00FF7BB1" w:rsidRPr="008C741D" w:rsidRDefault="00FF7BB1" w:rsidP="00FF7BB1">
      <w:pPr>
        <w:spacing w:after="160"/>
        <w:jc w:val="both"/>
        <w:rPr>
          <w:rFonts w:asciiTheme="minorHAnsi" w:hAnsiTheme="minorHAnsi" w:cstheme="minorHAnsi"/>
          <w:bCs/>
          <w:lang w:eastAsia="cs-CZ"/>
        </w:rPr>
      </w:pPr>
      <w:r w:rsidRPr="00080936">
        <w:rPr>
          <w:rFonts w:cstheme="minorHAnsi"/>
          <w:b/>
        </w:rPr>
        <w:t xml:space="preserve">Dále ale zůstávají </w:t>
      </w:r>
      <w:r w:rsidR="007759C2">
        <w:rPr>
          <w:rFonts w:cstheme="minorHAnsi"/>
          <w:b/>
        </w:rPr>
        <w:t>z pohledu NKÚ</w:t>
      </w:r>
      <w:r w:rsidR="000B45ED">
        <w:rPr>
          <w:rFonts w:cstheme="minorHAnsi"/>
          <w:b/>
        </w:rPr>
        <w:t xml:space="preserve"> </w:t>
      </w:r>
      <w:r w:rsidRPr="00080936">
        <w:rPr>
          <w:rFonts w:cstheme="minorHAnsi"/>
          <w:b/>
        </w:rPr>
        <w:t xml:space="preserve">nedořešena zejména </w:t>
      </w:r>
      <w:r w:rsidRPr="00080936">
        <w:rPr>
          <w:rFonts w:cstheme="minorHAnsi"/>
          <w:b/>
          <w:bCs/>
          <w:lang w:eastAsia="cs-CZ"/>
        </w:rPr>
        <w:t>opatření</w:t>
      </w:r>
      <w:r w:rsidR="005D3272">
        <w:rPr>
          <w:rFonts w:cstheme="minorHAnsi"/>
          <w:b/>
          <w:bCs/>
          <w:lang w:eastAsia="cs-CZ"/>
        </w:rPr>
        <w:t xml:space="preserve"> vyplývající z doporučení NKÚ k</w:t>
      </w:r>
      <w:r w:rsidRPr="00080936">
        <w:rPr>
          <w:rFonts w:cstheme="minorHAnsi"/>
          <w:b/>
          <w:bCs/>
          <w:lang w:eastAsia="cs-CZ"/>
        </w:rPr>
        <w:t xml:space="preserve"> úpravě právních předpisů</w:t>
      </w:r>
      <w:r w:rsidRPr="008C741D">
        <w:rPr>
          <w:rFonts w:cstheme="minorHAnsi"/>
          <w:bCs/>
          <w:lang w:eastAsia="cs-CZ"/>
        </w:rPr>
        <w:t xml:space="preserve">; ta však nelze dávat k tíži MF jako </w:t>
      </w:r>
      <w:r w:rsidR="00BC66AB">
        <w:rPr>
          <w:rFonts w:cstheme="minorHAnsi"/>
          <w:bCs/>
          <w:lang w:eastAsia="cs-CZ"/>
        </w:rPr>
        <w:t xml:space="preserve">účetní jednotce </w:t>
      </w:r>
      <w:r w:rsidRPr="008C741D">
        <w:rPr>
          <w:rFonts w:cstheme="minorHAnsi"/>
          <w:bCs/>
          <w:lang w:eastAsia="cs-CZ"/>
        </w:rPr>
        <w:t xml:space="preserve">odpovědné za účetnictví MF, neboť mají povahu systémových doporučení vyžadujících </w:t>
      </w:r>
      <w:r w:rsidR="00113E5B">
        <w:rPr>
          <w:rFonts w:cstheme="minorHAnsi"/>
          <w:bCs/>
          <w:lang w:eastAsia="cs-CZ"/>
        </w:rPr>
        <w:t>úpravu právních předpisů</w:t>
      </w:r>
      <w:r w:rsidRPr="008C741D">
        <w:rPr>
          <w:rFonts w:cstheme="minorHAnsi"/>
          <w:bCs/>
          <w:lang w:eastAsia="cs-CZ"/>
        </w:rPr>
        <w:t>.</w:t>
      </w:r>
      <w:r w:rsidRPr="008C741D">
        <w:rPr>
          <w:rFonts w:asciiTheme="minorHAnsi" w:hAnsiTheme="minorHAnsi" w:cstheme="minorHAnsi"/>
          <w:bCs/>
          <w:lang w:eastAsia="cs-CZ"/>
        </w:rPr>
        <w:t xml:space="preserve"> Jedná se o následující případy</w:t>
      </w:r>
      <w:r w:rsidR="000B45ED">
        <w:rPr>
          <w:rFonts w:asciiTheme="minorHAnsi" w:hAnsiTheme="minorHAnsi" w:cstheme="minorHAnsi"/>
          <w:bCs/>
          <w:lang w:eastAsia="cs-CZ"/>
        </w:rPr>
        <w:t xml:space="preserve">, ke kterým NKÚ i nadále dává </w:t>
      </w:r>
      <w:r w:rsidR="000B45ED">
        <w:rPr>
          <w:rFonts w:asciiTheme="minorHAnsi" w:hAnsiTheme="minorHAnsi" w:cstheme="minorHAnsi"/>
        </w:rPr>
        <w:t>MF, jako ústřednímu orgánu státní správy pro účetnictví</w:t>
      </w:r>
      <w:r w:rsidR="000B45ED">
        <w:rPr>
          <w:rStyle w:val="Znakapoznpodarou"/>
          <w:rFonts w:asciiTheme="minorHAnsi" w:hAnsiTheme="minorHAnsi" w:cstheme="minorHAnsi"/>
        </w:rPr>
        <w:footnoteReference w:id="25"/>
      </w:r>
      <w:r w:rsidR="000B45ED" w:rsidRPr="0096529F">
        <w:rPr>
          <w:rFonts w:asciiTheme="minorHAnsi" w:hAnsiTheme="minorHAnsi" w:cstheme="minorHAnsi"/>
        </w:rPr>
        <w:t>,</w:t>
      </w:r>
      <w:r w:rsidR="000B45ED">
        <w:rPr>
          <w:rFonts w:asciiTheme="minorHAnsi" w:hAnsiTheme="minorHAnsi" w:cstheme="minorHAnsi"/>
        </w:rPr>
        <w:t xml:space="preserve"> doporučení k úpravě účetních předpisů</w:t>
      </w:r>
      <w:r w:rsidRPr="008C741D">
        <w:rPr>
          <w:rFonts w:asciiTheme="minorHAnsi" w:hAnsiTheme="minorHAnsi" w:cstheme="minorHAnsi"/>
          <w:bCs/>
          <w:lang w:eastAsia="cs-CZ"/>
        </w:rPr>
        <w:t>:</w:t>
      </w:r>
    </w:p>
    <w:p w14:paraId="19883702" w14:textId="7A4B3383" w:rsidR="00FF7BB1" w:rsidRPr="00562C0D" w:rsidRDefault="00FF7BB1" w:rsidP="001F3D22">
      <w:pPr>
        <w:pStyle w:val="Odstavecseseznamem"/>
        <w:numPr>
          <w:ilvl w:val="0"/>
          <w:numId w:val="5"/>
        </w:numPr>
        <w:spacing w:after="160" w:line="259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lang w:eastAsia="cs-CZ"/>
        </w:rPr>
      </w:pPr>
      <w:r w:rsidRPr="00562C0D">
        <w:rPr>
          <w:rFonts w:asciiTheme="minorHAnsi" w:hAnsiTheme="minorHAnsi" w:cstheme="minorHAnsi"/>
          <w:b/>
          <w:bCs/>
          <w:lang w:eastAsia="cs-CZ"/>
        </w:rPr>
        <w:t>komentování údajů o podmíněných aktivech a pasivech v příloze účetní závěrky</w:t>
      </w:r>
    </w:p>
    <w:p w14:paraId="19B30A91" w14:textId="77777777" w:rsidR="00FF7BB1" w:rsidRPr="008C741D" w:rsidRDefault="00FF7BB1" w:rsidP="00FF7BB1">
      <w:pPr>
        <w:pStyle w:val="Odstavecseseznamem"/>
        <w:spacing w:after="160"/>
        <w:contextualSpacing w:val="0"/>
        <w:jc w:val="both"/>
        <w:rPr>
          <w:rFonts w:asciiTheme="minorHAnsi" w:hAnsiTheme="minorHAnsi" w:cstheme="minorHAnsi"/>
          <w:bCs/>
          <w:lang w:eastAsia="cs-CZ"/>
        </w:rPr>
      </w:pPr>
      <w:r w:rsidRPr="008C741D">
        <w:rPr>
          <w:rFonts w:asciiTheme="minorHAnsi" w:hAnsiTheme="minorHAnsi" w:cstheme="minorHAnsi"/>
          <w:bCs/>
          <w:lang w:eastAsia="cs-CZ"/>
        </w:rPr>
        <w:t>V reakci na kontrolu NKÚ byla provedena úprava právních předpisů z hlediska oceňování, ale nikoliv z hlediska komentování údajů o podmíněných aktivech a</w:t>
      </w:r>
      <w:r w:rsidR="007001D6">
        <w:rPr>
          <w:rFonts w:asciiTheme="minorHAnsi" w:hAnsiTheme="minorHAnsi" w:cstheme="minorHAnsi"/>
          <w:bCs/>
          <w:lang w:eastAsia="cs-CZ"/>
        </w:rPr>
        <w:t> </w:t>
      </w:r>
      <w:r w:rsidRPr="008C741D">
        <w:rPr>
          <w:rFonts w:asciiTheme="minorHAnsi" w:hAnsiTheme="minorHAnsi" w:cstheme="minorHAnsi"/>
          <w:bCs/>
          <w:lang w:eastAsia="cs-CZ"/>
        </w:rPr>
        <w:t>pasivech. NKÚ však systémově doporučuje i další krok, který MF v opatřeních nezmiňuje, a to aby byla v</w:t>
      </w:r>
      <w:r w:rsidR="00AF6E8A">
        <w:rPr>
          <w:rFonts w:asciiTheme="minorHAnsi" w:hAnsiTheme="minorHAnsi" w:cstheme="minorHAnsi"/>
          <w:bCs/>
          <w:lang w:eastAsia="cs-CZ"/>
        </w:rPr>
        <w:t xml:space="preserve"> právních </w:t>
      </w:r>
      <w:r w:rsidRPr="008C741D">
        <w:rPr>
          <w:rFonts w:asciiTheme="minorHAnsi" w:hAnsiTheme="minorHAnsi" w:cstheme="minorHAnsi"/>
          <w:bCs/>
          <w:lang w:eastAsia="cs-CZ"/>
        </w:rPr>
        <w:t>předpisech jasně řešena i povinnost komentovat významné údaje vykázané na podrozvahových účtech, což by vedlo ke srozumitelné interpretaci a vyšší informační hodnotě pro externí uživatele.</w:t>
      </w:r>
    </w:p>
    <w:p w14:paraId="04A9110E" w14:textId="320422CD" w:rsidR="00FF7BB1" w:rsidRPr="00562C0D" w:rsidRDefault="00FF7BB1" w:rsidP="001F3D22">
      <w:pPr>
        <w:pStyle w:val="Odstavecseseznamem"/>
        <w:numPr>
          <w:ilvl w:val="0"/>
          <w:numId w:val="5"/>
        </w:numPr>
        <w:spacing w:after="160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lang w:eastAsia="cs-CZ"/>
        </w:rPr>
      </w:pPr>
      <w:r w:rsidRPr="00562C0D">
        <w:rPr>
          <w:rFonts w:asciiTheme="minorHAnsi" w:hAnsiTheme="minorHAnsi" w:cstheme="minorHAnsi"/>
          <w:b/>
          <w:bCs/>
          <w:lang w:eastAsia="cs-CZ"/>
        </w:rPr>
        <w:t>řešení nejasnosti účetního zachycení a vykazování majetkových účastí v účetní závěrce OSS</w:t>
      </w:r>
    </w:p>
    <w:p w14:paraId="64FFF849" w14:textId="77777777" w:rsidR="00FF7BB1" w:rsidRDefault="00FF7BB1" w:rsidP="00FF7BB1">
      <w:pPr>
        <w:pStyle w:val="Odstavecseseznamem"/>
        <w:jc w:val="both"/>
        <w:rPr>
          <w:rFonts w:asciiTheme="minorHAnsi" w:hAnsiTheme="minorHAnsi" w:cstheme="minorHAnsi"/>
          <w:bCs/>
          <w:lang w:eastAsia="cs-CZ"/>
        </w:rPr>
      </w:pPr>
      <w:r w:rsidRPr="008C741D">
        <w:rPr>
          <w:rFonts w:asciiTheme="minorHAnsi" w:hAnsiTheme="minorHAnsi" w:cstheme="minorHAnsi"/>
          <w:bCs/>
          <w:lang w:eastAsia="cs-CZ"/>
        </w:rPr>
        <w:t>NKÚ doporučuje řešit nejasnosti prostřednictvím úpravy předpisů regulujících účetnictví, MF však s tímto nesouhlasí a navrhuje pouze zvýšení metodické podpory.</w:t>
      </w:r>
      <w:r w:rsidR="000B45ED">
        <w:rPr>
          <w:rFonts w:asciiTheme="minorHAnsi" w:hAnsiTheme="minorHAnsi" w:cstheme="minorHAnsi"/>
          <w:bCs/>
          <w:lang w:eastAsia="cs-CZ"/>
        </w:rPr>
        <w:t xml:space="preserve"> To však dle NKÚ systémově problém neřeší.</w:t>
      </w:r>
    </w:p>
    <w:p w14:paraId="4AE4FD2F" w14:textId="77777777" w:rsidR="001E4E45" w:rsidRDefault="001E4E45" w:rsidP="001E4E45">
      <w:pPr>
        <w:pStyle w:val="Odstavecseseznamem"/>
        <w:ind w:left="426"/>
        <w:jc w:val="both"/>
        <w:rPr>
          <w:b/>
          <w:u w:val="single"/>
          <w:lang w:eastAsia="cs-CZ"/>
        </w:rPr>
      </w:pPr>
    </w:p>
    <w:p w14:paraId="4DD1C6CB" w14:textId="77777777" w:rsidR="00AD0B55" w:rsidRPr="00562C0D" w:rsidRDefault="00AD0B55" w:rsidP="00AF4368">
      <w:pPr>
        <w:pStyle w:val="Odstavecseseznamem"/>
        <w:numPr>
          <w:ilvl w:val="1"/>
          <w:numId w:val="11"/>
        </w:numPr>
        <w:spacing w:after="160"/>
        <w:ind w:left="425" w:hanging="425"/>
        <w:contextualSpacing w:val="0"/>
        <w:jc w:val="both"/>
        <w:rPr>
          <w:b/>
          <w:u w:val="single"/>
          <w:lang w:eastAsia="cs-CZ"/>
        </w:rPr>
      </w:pPr>
      <w:r w:rsidRPr="00562C0D">
        <w:rPr>
          <w:b/>
          <w:u w:val="single"/>
          <w:lang w:eastAsia="cs-CZ"/>
        </w:rPr>
        <w:t>Re</w:t>
      </w:r>
      <w:r w:rsidR="00072BA8" w:rsidRPr="00562C0D">
        <w:rPr>
          <w:b/>
          <w:u w:val="single"/>
          <w:lang w:eastAsia="cs-CZ"/>
        </w:rPr>
        <w:t>zervy na sanace ekologických zátěží</w:t>
      </w:r>
    </w:p>
    <w:p w14:paraId="03C447F8" w14:textId="1DAD3BE1" w:rsidR="005A2CEC" w:rsidRDefault="00C9560B" w:rsidP="00AF4368">
      <w:pPr>
        <w:spacing w:after="160"/>
        <w:jc w:val="both"/>
        <w:rPr>
          <w:rFonts w:asciiTheme="minorHAnsi" w:hAnsiTheme="minorHAnsi"/>
        </w:rPr>
      </w:pPr>
      <w:r w:rsidRPr="00C9560B">
        <w:rPr>
          <w:rFonts w:asciiTheme="minorHAnsi" w:hAnsiTheme="minorHAnsi" w:cstheme="minorHAnsi"/>
        </w:rPr>
        <w:t xml:space="preserve">O rezervách na sanace ekologických zátěží </w:t>
      </w:r>
      <w:r w:rsidRPr="00496CA0">
        <w:rPr>
          <w:rFonts w:asciiTheme="minorHAnsi" w:hAnsiTheme="minorHAnsi" w:cstheme="minorHAnsi"/>
        </w:rPr>
        <w:t>začalo MF účtovat</w:t>
      </w:r>
      <w:r w:rsidRPr="00C9560B">
        <w:rPr>
          <w:rFonts w:asciiTheme="minorHAnsi" w:hAnsiTheme="minorHAnsi" w:cstheme="minorHAnsi"/>
        </w:rPr>
        <w:t xml:space="preserve"> v roce 2017 </w:t>
      </w:r>
      <w:r w:rsidR="00AF6E8A">
        <w:rPr>
          <w:rFonts w:asciiTheme="minorHAnsi" w:hAnsiTheme="minorHAnsi" w:cstheme="minorHAnsi"/>
        </w:rPr>
        <w:t xml:space="preserve">po přijetí opatření k nápravě nedostatků zjištěných kontrolní akcí </w:t>
      </w:r>
      <w:r w:rsidRPr="00C9560B">
        <w:rPr>
          <w:rFonts w:asciiTheme="minorHAnsi" w:hAnsiTheme="minorHAnsi" w:cstheme="minorHAnsi"/>
        </w:rPr>
        <w:t>č. 16/03</w:t>
      </w:r>
      <w:r w:rsidR="005B0D92">
        <w:rPr>
          <w:rFonts w:asciiTheme="minorHAnsi" w:hAnsiTheme="minorHAnsi" w:cstheme="minorHAnsi"/>
        </w:rPr>
        <w:t>, do roku 2016 byly informace o </w:t>
      </w:r>
      <w:r w:rsidRPr="00C9560B">
        <w:rPr>
          <w:rFonts w:asciiTheme="minorHAnsi" w:hAnsiTheme="minorHAnsi" w:cstheme="minorHAnsi"/>
        </w:rPr>
        <w:t>předpokládaných budoucích plnění</w:t>
      </w:r>
      <w:r w:rsidR="00AA13AF">
        <w:rPr>
          <w:rFonts w:asciiTheme="minorHAnsi" w:hAnsiTheme="minorHAnsi" w:cstheme="minorHAnsi"/>
        </w:rPr>
        <w:t>ch</w:t>
      </w:r>
      <w:r w:rsidR="00C4258E">
        <w:rPr>
          <w:rFonts w:asciiTheme="minorHAnsi" w:hAnsiTheme="minorHAnsi" w:cstheme="minorHAnsi"/>
        </w:rPr>
        <w:t xml:space="preserve"> </w:t>
      </w:r>
      <w:r w:rsidRPr="00C9560B">
        <w:rPr>
          <w:rFonts w:asciiTheme="minorHAnsi" w:hAnsiTheme="minorHAnsi" w:cstheme="minorHAnsi"/>
        </w:rPr>
        <w:t xml:space="preserve">plynoucích z ekologických škod součástí podrozvahy (účet 994 – </w:t>
      </w:r>
      <w:r w:rsidRPr="00C9560B">
        <w:rPr>
          <w:rFonts w:asciiTheme="minorHAnsi" w:hAnsiTheme="minorHAnsi" w:cstheme="minorHAnsi"/>
          <w:i/>
        </w:rPr>
        <w:t>Ostatní dlouhodobá podmíněná pasiva</w:t>
      </w:r>
      <w:r w:rsidRPr="00C9560B">
        <w:rPr>
          <w:rFonts w:asciiTheme="minorHAnsi" w:hAnsiTheme="minorHAnsi" w:cstheme="minorHAnsi"/>
        </w:rPr>
        <w:t xml:space="preserve">). </w:t>
      </w:r>
      <w:r w:rsidR="005A2CEC" w:rsidRPr="00F05BE1">
        <w:rPr>
          <w:rFonts w:asciiTheme="minorHAnsi" w:hAnsiTheme="minorHAnsi"/>
        </w:rPr>
        <w:t xml:space="preserve">Výši rezervy k rozvahovému dni stanovuje MF na základě odborného odhadu spravujícího útvaru dle hodnoty pravděpodobných nákladů, které </w:t>
      </w:r>
      <w:r w:rsidR="005A2CEC">
        <w:rPr>
          <w:rFonts w:asciiTheme="minorHAnsi" w:hAnsiTheme="minorHAnsi"/>
        </w:rPr>
        <w:t>nastanou při plnění závazku plynou</w:t>
      </w:r>
      <w:r w:rsidR="003A4BA4">
        <w:rPr>
          <w:rFonts w:asciiTheme="minorHAnsi" w:hAnsiTheme="minorHAnsi"/>
        </w:rPr>
        <w:t>cího z uzavřené smlouvy nebo z příslušného usnesení vlády</w:t>
      </w:r>
      <w:r w:rsidR="005A2CEC" w:rsidRPr="00F05BE1">
        <w:rPr>
          <w:rFonts w:asciiTheme="minorHAnsi" w:hAnsiTheme="minorHAnsi"/>
        </w:rPr>
        <w:t>.</w:t>
      </w:r>
      <w:r w:rsidR="00FA582A">
        <w:rPr>
          <w:rFonts w:asciiTheme="minorHAnsi" w:hAnsiTheme="minorHAnsi"/>
        </w:rPr>
        <w:t xml:space="preserve"> K 31. 12. 2017 vykázalo MF rezervy poprvé, a to ve významné výši</w:t>
      </w:r>
      <w:r w:rsidR="00C54F98">
        <w:rPr>
          <w:rFonts w:asciiTheme="minorHAnsi" w:hAnsiTheme="minorHAnsi"/>
        </w:rPr>
        <w:t xml:space="preserve"> 82 781 437 912,26</w:t>
      </w:r>
      <w:r w:rsidR="00FA582A">
        <w:rPr>
          <w:rFonts w:asciiTheme="minorHAnsi" w:hAnsiTheme="minorHAnsi"/>
        </w:rPr>
        <w:t xml:space="preserve"> Kč.</w:t>
      </w:r>
    </w:p>
    <w:p w14:paraId="1C09AFFD" w14:textId="2CA4DDAE" w:rsidR="00AD0B55" w:rsidRPr="00AD0B55" w:rsidRDefault="00C9560B" w:rsidP="00AF4368">
      <w:pPr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Jedním z typů rezerv na sanace ekologických zátěží jsou </w:t>
      </w:r>
      <w:r w:rsidRPr="00C40098">
        <w:rPr>
          <w:rFonts w:asciiTheme="minorHAnsi" w:hAnsiTheme="minorHAnsi"/>
          <w:b/>
        </w:rPr>
        <w:t>rezervy na revitalizaci</w:t>
      </w:r>
      <w:r>
        <w:rPr>
          <w:rFonts w:asciiTheme="minorHAnsi" w:hAnsiTheme="minorHAnsi"/>
        </w:rPr>
        <w:t xml:space="preserve">. </w:t>
      </w:r>
      <w:r w:rsidR="00AD0B55">
        <w:rPr>
          <w:rFonts w:asciiTheme="minorHAnsi" w:hAnsiTheme="minorHAnsi"/>
        </w:rPr>
        <w:t xml:space="preserve">MF </w:t>
      </w:r>
      <w:r w:rsidR="00AD0B55" w:rsidRPr="00AD0B55">
        <w:rPr>
          <w:rFonts w:asciiTheme="minorHAnsi" w:hAnsiTheme="minorHAnsi"/>
        </w:rPr>
        <w:t xml:space="preserve">realizuje zakázky na odstraňování starých ekologických škod </w:t>
      </w:r>
      <w:r w:rsidR="00AD0B55">
        <w:rPr>
          <w:rFonts w:asciiTheme="minorHAnsi" w:hAnsiTheme="minorHAnsi"/>
        </w:rPr>
        <w:t>na základě usnesení vlády</w:t>
      </w:r>
      <w:r w:rsidR="00AD0B55" w:rsidRPr="00AD0B55">
        <w:rPr>
          <w:rFonts w:asciiTheme="minorHAnsi" w:hAnsiTheme="minorHAnsi"/>
        </w:rPr>
        <w:t xml:space="preserve"> </w:t>
      </w:r>
      <w:r w:rsidR="00AF6E8A">
        <w:rPr>
          <w:rFonts w:asciiTheme="minorHAnsi" w:hAnsiTheme="minorHAnsi"/>
        </w:rPr>
        <w:t>ze dne</w:t>
      </w:r>
      <w:r w:rsidR="007652BD">
        <w:rPr>
          <w:rFonts w:asciiTheme="minorHAnsi" w:hAnsiTheme="minorHAnsi"/>
        </w:rPr>
        <w:t xml:space="preserve"> </w:t>
      </w:r>
      <w:r w:rsidR="005B0D92">
        <w:rPr>
          <w:rFonts w:asciiTheme="minorHAnsi" w:hAnsiTheme="minorHAnsi"/>
        </w:rPr>
        <w:br/>
      </w:r>
      <w:r w:rsidR="00AF6E8A">
        <w:rPr>
          <w:rFonts w:asciiTheme="minorHAnsi" w:hAnsiTheme="minorHAnsi"/>
        </w:rPr>
        <w:t xml:space="preserve">16. ledna 2002 </w:t>
      </w:r>
      <w:r w:rsidR="00AD0B55" w:rsidRPr="00AD0B55">
        <w:rPr>
          <w:rFonts w:asciiTheme="minorHAnsi" w:hAnsiTheme="minorHAnsi"/>
        </w:rPr>
        <w:t>č.</w:t>
      </w:r>
      <w:r w:rsidR="003A4BA4">
        <w:rPr>
          <w:rFonts w:asciiTheme="minorHAnsi" w:hAnsiTheme="minorHAnsi"/>
        </w:rPr>
        <w:t> </w:t>
      </w:r>
      <w:r w:rsidR="00A22D79">
        <w:rPr>
          <w:rFonts w:asciiTheme="minorHAnsi" w:hAnsiTheme="minorHAnsi"/>
        </w:rPr>
        <w:t xml:space="preserve">50 </w:t>
      </w:r>
      <w:r w:rsidR="00AD0B55">
        <w:rPr>
          <w:rFonts w:asciiTheme="minorHAnsi" w:hAnsiTheme="minorHAnsi"/>
        </w:rPr>
        <w:t>a usnesení vlády</w:t>
      </w:r>
      <w:r w:rsidR="00AD0B55" w:rsidRPr="00AD0B55">
        <w:rPr>
          <w:rFonts w:asciiTheme="minorHAnsi" w:hAnsiTheme="minorHAnsi"/>
        </w:rPr>
        <w:t xml:space="preserve"> </w:t>
      </w:r>
      <w:r w:rsidR="00AF6E8A">
        <w:rPr>
          <w:rFonts w:asciiTheme="minorHAnsi" w:hAnsiTheme="minorHAnsi"/>
        </w:rPr>
        <w:t xml:space="preserve">ze dne 12. června 2002 </w:t>
      </w:r>
      <w:r w:rsidR="00AD0B55" w:rsidRPr="00AD0B55">
        <w:rPr>
          <w:rFonts w:asciiTheme="minorHAnsi" w:hAnsiTheme="minorHAnsi"/>
        </w:rPr>
        <w:t>č. 592</w:t>
      </w:r>
      <w:r w:rsidR="00A22D79">
        <w:rPr>
          <w:rFonts w:asciiTheme="minorHAnsi" w:hAnsiTheme="minorHAnsi"/>
        </w:rPr>
        <w:t xml:space="preserve"> </w:t>
      </w:r>
      <w:r w:rsidR="00AD0B55" w:rsidRPr="00AD0B55">
        <w:rPr>
          <w:rFonts w:asciiTheme="minorHAnsi" w:hAnsiTheme="minorHAnsi"/>
        </w:rPr>
        <w:t xml:space="preserve">při řešení hospodářské situace a revitalizace krajů postižených následky </w:t>
      </w:r>
      <w:r w:rsidR="004E6CB0">
        <w:rPr>
          <w:rFonts w:asciiTheme="minorHAnsi" w:hAnsiTheme="minorHAnsi"/>
        </w:rPr>
        <w:t xml:space="preserve">těžební </w:t>
      </w:r>
      <w:r w:rsidR="00AD0B55" w:rsidRPr="00AD0B55">
        <w:rPr>
          <w:rFonts w:asciiTheme="minorHAnsi" w:hAnsiTheme="minorHAnsi"/>
        </w:rPr>
        <w:t xml:space="preserve">činnosti. </w:t>
      </w:r>
    </w:p>
    <w:p w14:paraId="3AB14DE9" w14:textId="19DEF93D" w:rsidR="00AF1A5E" w:rsidRDefault="00FA582A" w:rsidP="00AF4368">
      <w:pPr>
        <w:spacing w:after="160"/>
        <w:jc w:val="both"/>
        <w:rPr>
          <w:rFonts w:asciiTheme="minorHAnsi" w:hAnsiTheme="minorHAnsi" w:cstheme="minorHAnsi"/>
          <w:b/>
          <w:color w:val="000000"/>
          <w:lang w:eastAsia="cs-CZ"/>
        </w:rPr>
      </w:pPr>
      <w:r>
        <w:rPr>
          <w:rFonts w:asciiTheme="minorHAnsi" w:hAnsiTheme="minorHAnsi"/>
        </w:rPr>
        <w:t xml:space="preserve">O </w:t>
      </w:r>
      <w:r w:rsidR="00AD0B55" w:rsidRPr="003572C4">
        <w:rPr>
          <w:rFonts w:asciiTheme="minorHAnsi" w:hAnsiTheme="minorHAnsi"/>
        </w:rPr>
        <w:t>rezerv</w:t>
      </w:r>
      <w:r>
        <w:rPr>
          <w:rFonts w:asciiTheme="minorHAnsi" w:hAnsiTheme="minorHAnsi"/>
        </w:rPr>
        <w:t>ách na revitalizaci</w:t>
      </w:r>
      <w:r w:rsidR="00AD0B55" w:rsidRPr="003572C4">
        <w:rPr>
          <w:rFonts w:asciiTheme="minorHAnsi" w:hAnsiTheme="minorHAnsi"/>
        </w:rPr>
        <w:t xml:space="preserve"> MF v minulosti neúčtovalo vůbec</w:t>
      </w:r>
      <w:r w:rsidR="00DA0552">
        <w:rPr>
          <w:rFonts w:asciiTheme="minorHAnsi" w:hAnsiTheme="minorHAnsi"/>
        </w:rPr>
        <w:t xml:space="preserve"> </w:t>
      </w:r>
      <w:r w:rsidR="00DA0552" w:rsidRPr="003A4BA4">
        <w:rPr>
          <w:rFonts w:asciiTheme="minorHAnsi" w:hAnsiTheme="minorHAnsi"/>
        </w:rPr>
        <w:t>(</w:t>
      </w:r>
      <w:r w:rsidR="003A4BA4">
        <w:rPr>
          <w:rFonts w:asciiTheme="minorHAnsi" w:hAnsiTheme="minorHAnsi"/>
        </w:rPr>
        <w:t xml:space="preserve">tedy </w:t>
      </w:r>
      <w:r>
        <w:rPr>
          <w:rFonts w:asciiTheme="minorHAnsi" w:hAnsiTheme="minorHAnsi"/>
        </w:rPr>
        <w:t>ani na podrozvahových účtech</w:t>
      </w:r>
      <w:r w:rsidR="00DA0552" w:rsidRPr="003A4BA4">
        <w:rPr>
          <w:rFonts w:asciiTheme="minorHAnsi" w:hAnsiTheme="minorHAnsi"/>
        </w:rPr>
        <w:t>)</w:t>
      </w:r>
      <w:r w:rsidR="00AD0B55" w:rsidRPr="003572C4">
        <w:rPr>
          <w:rFonts w:asciiTheme="minorHAnsi" w:hAnsiTheme="minorHAnsi"/>
        </w:rPr>
        <w:t xml:space="preserve">; rezervy na revitalizaci byly do účetnictví MF nově zavedeny až v roce 2017 v souvislosti s přijetím nápravného opatření ke </w:t>
      </w:r>
      <w:r w:rsidR="0059314E">
        <w:rPr>
          <w:rFonts w:asciiTheme="minorHAnsi" w:hAnsiTheme="minorHAnsi"/>
        </w:rPr>
        <w:t>kontrolní akci</w:t>
      </w:r>
      <w:r w:rsidR="00AD0B55" w:rsidRPr="003572C4">
        <w:rPr>
          <w:rFonts w:asciiTheme="minorHAnsi" w:hAnsiTheme="minorHAnsi"/>
        </w:rPr>
        <w:t xml:space="preserve"> </w:t>
      </w:r>
      <w:r w:rsidR="007652BD">
        <w:rPr>
          <w:rFonts w:asciiTheme="minorHAnsi" w:hAnsiTheme="minorHAnsi"/>
        </w:rPr>
        <w:t xml:space="preserve">NKÚ </w:t>
      </w:r>
      <w:r w:rsidR="00AD0B55" w:rsidRPr="003572C4">
        <w:rPr>
          <w:rFonts w:asciiTheme="minorHAnsi" w:hAnsiTheme="minorHAnsi"/>
        </w:rPr>
        <w:t>č. 16/03 v oblasti rezerv na sanace ekologických zátěží.</w:t>
      </w:r>
      <w:r w:rsidR="00982DD9" w:rsidRPr="003572C4">
        <w:rPr>
          <w:rFonts w:asciiTheme="minorHAnsi" w:hAnsiTheme="minorHAnsi"/>
        </w:rPr>
        <w:t xml:space="preserve"> </w:t>
      </w:r>
      <w:r w:rsidR="00982DD9" w:rsidRPr="003572C4">
        <w:rPr>
          <w:rFonts w:asciiTheme="minorHAnsi" w:hAnsiTheme="minorHAnsi" w:cstheme="minorHAnsi"/>
          <w:color w:val="000000"/>
          <w:lang w:eastAsia="cs-CZ"/>
        </w:rPr>
        <w:t>Rezervy na revitalizaci se od ostatních typů rezerv na sanace ekologických zátěží</w:t>
      </w:r>
      <w:r w:rsidR="003572C4" w:rsidRPr="003572C4">
        <w:rPr>
          <w:rFonts w:asciiTheme="minorHAnsi" w:hAnsiTheme="minorHAnsi" w:cstheme="minorHAnsi"/>
          <w:color w:val="000000"/>
          <w:lang w:eastAsia="cs-CZ"/>
        </w:rPr>
        <w:t xml:space="preserve"> </w:t>
      </w:r>
      <w:r w:rsidR="00982DD9" w:rsidRPr="003572C4">
        <w:rPr>
          <w:rFonts w:asciiTheme="minorHAnsi" w:hAnsiTheme="minorHAnsi" w:cstheme="minorHAnsi"/>
          <w:color w:val="000000"/>
          <w:lang w:eastAsia="cs-CZ"/>
        </w:rPr>
        <w:t>liší tím, že jsou tvořeny</w:t>
      </w:r>
      <w:r w:rsidR="00EC3DD7">
        <w:rPr>
          <w:rFonts w:asciiTheme="minorHAnsi" w:hAnsiTheme="minorHAnsi" w:cstheme="minorHAnsi"/>
          <w:color w:val="000000"/>
          <w:lang w:eastAsia="cs-CZ"/>
        </w:rPr>
        <w:t xml:space="preserve"> již v podstatě </w:t>
      </w:r>
      <w:r w:rsidR="00982DD9" w:rsidRPr="003572C4">
        <w:rPr>
          <w:rFonts w:asciiTheme="minorHAnsi" w:hAnsiTheme="minorHAnsi" w:cstheme="minorHAnsi"/>
          <w:color w:val="000000"/>
          <w:lang w:eastAsia="cs-CZ"/>
        </w:rPr>
        <w:t xml:space="preserve">na základě </w:t>
      </w:r>
      <w:r w:rsidR="00EC3DD7">
        <w:rPr>
          <w:rFonts w:asciiTheme="minorHAnsi" w:hAnsiTheme="minorHAnsi" w:cstheme="minorHAnsi"/>
          <w:color w:val="000000"/>
          <w:lang w:eastAsia="cs-CZ"/>
        </w:rPr>
        <w:t xml:space="preserve">obecného </w:t>
      </w:r>
      <w:r w:rsidR="00982DD9" w:rsidRPr="003572C4">
        <w:rPr>
          <w:rFonts w:asciiTheme="minorHAnsi" w:hAnsiTheme="minorHAnsi" w:cstheme="minorHAnsi"/>
          <w:color w:val="000000"/>
          <w:lang w:eastAsia="cs-CZ"/>
        </w:rPr>
        <w:t>veřej</w:t>
      </w:r>
      <w:r w:rsidR="003A4BA4">
        <w:rPr>
          <w:rFonts w:asciiTheme="minorHAnsi" w:hAnsiTheme="minorHAnsi" w:cstheme="minorHAnsi"/>
          <w:color w:val="000000"/>
          <w:lang w:eastAsia="cs-CZ"/>
        </w:rPr>
        <w:t xml:space="preserve">ného </w:t>
      </w:r>
      <w:r w:rsidR="003A4BA4">
        <w:rPr>
          <w:rFonts w:asciiTheme="minorHAnsi" w:hAnsiTheme="minorHAnsi" w:cstheme="minorHAnsi"/>
          <w:color w:val="000000"/>
          <w:lang w:eastAsia="cs-CZ"/>
        </w:rPr>
        <w:lastRenderedPageBreak/>
        <w:t>příslibu dle usnesení vlády</w:t>
      </w:r>
      <w:r w:rsidR="003572C4" w:rsidRPr="003572C4">
        <w:rPr>
          <w:rFonts w:asciiTheme="minorHAnsi" w:hAnsiTheme="minorHAnsi" w:cstheme="minorHAnsi"/>
          <w:color w:val="000000"/>
          <w:lang w:eastAsia="cs-CZ"/>
        </w:rPr>
        <w:t>,</w:t>
      </w:r>
      <w:r w:rsidR="00C9560B" w:rsidRPr="003572C4">
        <w:rPr>
          <w:rFonts w:asciiTheme="minorHAnsi" w:hAnsiTheme="minorHAnsi" w:cstheme="minorHAnsi"/>
          <w:color w:val="000000"/>
          <w:lang w:eastAsia="cs-CZ"/>
        </w:rPr>
        <w:t xml:space="preserve"> a</w:t>
      </w:r>
      <w:r w:rsidR="007001D6">
        <w:rPr>
          <w:rFonts w:asciiTheme="minorHAnsi" w:hAnsiTheme="minorHAnsi" w:cstheme="minorHAnsi"/>
          <w:color w:val="000000"/>
          <w:lang w:eastAsia="cs-CZ"/>
        </w:rPr>
        <w:t> </w:t>
      </w:r>
      <w:r w:rsidR="00C9560B" w:rsidRPr="003572C4">
        <w:rPr>
          <w:rFonts w:asciiTheme="minorHAnsi" w:hAnsiTheme="minorHAnsi" w:cstheme="minorHAnsi"/>
          <w:color w:val="000000"/>
          <w:lang w:eastAsia="cs-CZ"/>
        </w:rPr>
        <w:t xml:space="preserve">nikoliv na základě </w:t>
      </w:r>
      <w:r w:rsidR="00EC3DD7">
        <w:rPr>
          <w:rFonts w:asciiTheme="minorHAnsi" w:hAnsiTheme="minorHAnsi" w:cstheme="minorHAnsi"/>
          <w:color w:val="000000"/>
          <w:lang w:eastAsia="cs-CZ"/>
        </w:rPr>
        <w:t xml:space="preserve">právně závazné povinnosti, tj. </w:t>
      </w:r>
      <w:r w:rsidR="00C9560B" w:rsidRPr="003572C4">
        <w:rPr>
          <w:rFonts w:asciiTheme="minorHAnsi" w:hAnsiTheme="minorHAnsi" w:cstheme="minorHAnsi"/>
          <w:color w:val="000000"/>
          <w:lang w:eastAsia="cs-CZ"/>
        </w:rPr>
        <w:t>uzavřené smlouvy</w:t>
      </w:r>
      <w:r w:rsidR="003572C4" w:rsidRPr="003572C4">
        <w:rPr>
          <w:rFonts w:asciiTheme="minorHAnsi" w:hAnsiTheme="minorHAnsi" w:cstheme="minorHAnsi"/>
          <w:color w:val="000000"/>
          <w:lang w:eastAsia="cs-CZ"/>
        </w:rPr>
        <w:t xml:space="preserve">. </w:t>
      </w:r>
      <w:r w:rsidR="00982DD9" w:rsidRPr="008272F5">
        <w:rPr>
          <w:rFonts w:asciiTheme="minorHAnsi" w:hAnsiTheme="minorHAnsi" w:cstheme="minorHAnsi"/>
          <w:b/>
          <w:color w:val="000000"/>
          <w:lang w:eastAsia="cs-CZ"/>
        </w:rPr>
        <w:t>NKÚ shledává zavedení rezerv na revitalizaci do účetnictví MF jako opodstatněné</w:t>
      </w:r>
      <w:r w:rsidR="00982DD9" w:rsidRPr="008272F5">
        <w:rPr>
          <w:rStyle w:val="Znakapoznpodarou"/>
          <w:rFonts w:asciiTheme="minorHAnsi" w:hAnsiTheme="minorHAnsi"/>
          <w:b/>
        </w:rPr>
        <w:footnoteReference w:id="26"/>
      </w:r>
      <w:r w:rsidR="00982DD9" w:rsidRPr="008272F5">
        <w:rPr>
          <w:rFonts w:asciiTheme="minorHAnsi" w:hAnsiTheme="minorHAnsi" w:cstheme="minorHAnsi"/>
          <w:b/>
          <w:color w:val="000000"/>
          <w:lang w:eastAsia="cs-CZ"/>
        </w:rPr>
        <w:t xml:space="preserve"> a </w:t>
      </w:r>
      <w:r w:rsidR="003572C4" w:rsidRPr="008272F5">
        <w:rPr>
          <w:rFonts w:asciiTheme="minorHAnsi" w:hAnsiTheme="minorHAnsi" w:cstheme="minorHAnsi"/>
          <w:b/>
          <w:color w:val="000000"/>
          <w:lang w:eastAsia="cs-CZ"/>
        </w:rPr>
        <w:t xml:space="preserve">v této souvislosti </w:t>
      </w:r>
      <w:r w:rsidR="00982DD9" w:rsidRPr="008272F5">
        <w:rPr>
          <w:rFonts w:asciiTheme="minorHAnsi" w:hAnsiTheme="minorHAnsi" w:cstheme="minorHAnsi"/>
          <w:b/>
          <w:color w:val="000000"/>
          <w:lang w:eastAsia="cs-CZ"/>
        </w:rPr>
        <w:t>doporučuje výše uvedenou rozdílnost v kategoriích rezerv na ekologické škody u MF ozřejmit uživatelům ÚZ MF prostřednictvím přílohy ÚZ.</w:t>
      </w:r>
    </w:p>
    <w:p w14:paraId="3F06A4AF" w14:textId="77777777" w:rsidR="00982DD9" w:rsidRPr="003D7FC6" w:rsidRDefault="00AF1A5E" w:rsidP="00982DD9">
      <w:pPr>
        <w:spacing w:after="160"/>
        <w:jc w:val="both"/>
        <w:rPr>
          <w:rFonts w:asciiTheme="minorHAnsi" w:hAnsiTheme="minorHAnsi"/>
          <w:u w:val="single"/>
        </w:rPr>
      </w:pPr>
      <w:r w:rsidRPr="003D7FC6">
        <w:rPr>
          <w:rFonts w:asciiTheme="minorHAnsi" w:hAnsiTheme="minorHAnsi" w:cstheme="minorHAnsi"/>
          <w:color w:val="000000"/>
          <w:u w:val="single"/>
          <w:lang w:eastAsia="cs-CZ"/>
        </w:rPr>
        <w:t xml:space="preserve">Kontrolou </w:t>
      </w:r>
      <w:r w:rsidR="003D7FC6" w:rsidRPr="003D7FC6">
        <w:rPr>
          <w:rFonts w:asciiTheme="minorHAnsi" w:hAnsiTheme="minorHAnsi" w:cstheme="minorHAnsi"/>
          <w:color w:val="000000"/>
          <w:u w:val="single"/>
          <w:lang w:eastAsia="cs-CZ"/>
        </w:rPr>
        <w:t>nápravného opatření byly zjištěny</w:t>
      </w:r>
      <w:r w:rsidR="00C03B28">
        <w:rPr>
          <w:rFonts w:cstheme="minorHAnsi"/>
          <w:u w:val="single"/>
        </w:rPr>
        <w:t xml:space="preserve"> nedostatky</w:t>
      </w:r>
      <w:r w:rsidRPr="003D7FC6">
        <w:rPr>
          <w:rFonts w:cstheme="minorHAnsi"/>
          <w:u w:val="single"/>
        </w:rPr>
        <w:t xml:space="preserve">, které </w:t>
      </w:r>
      <w:r w:rsidR="003D7FC6" w:rsidRPr="003D7FC6">
        <w:rPr>
          <w:rFonts w:cstheme="minorHAnsi"/>
          <w:u w:val="single"/>
        </w:rPr>
        <w:t xml:space="preserve">však </w:t>
      </w:r>
      <w:r w:rsidRPr="003D7FC6">
        <w:rPr>
          <w:rFonts w:cstheme="minorHAnsi"/>
          <w:u w:val="single"/>
        </w:rPr>
        <w:t>nezpochybňují přijetí nápravného opatření:</w:t>
      </w:r>
      <w:r w:rsidR="00DA0552" w:rsidRPr="003D7FC6">
        <w:rPr>
          <w:rFonts w:asciiTheme="minorHAnsi" w:hAnsiTheme="minorHAnsi" w:cstheme="minorHAnsi"/>
          <w:color w:val="000000"/>
          <w:u w:val="single"/>
          <w:lang w:eastAsia="cs-CZ"/>
        </w:rPr>
        <w:t xml:space="preserve"> </w:t>
      </w:r>
    </w:p>
    <w:p w14:paraId="7CE89A86" w14:textId="1D5FD9AA" w:rsidR="008C741D" w:rsidRPr="00F93FA8" w:rsidRDefault="00BF124B" w:rsidP="001F3D22">
      <w:pPr>
        <w:pStyle w:val="Odstavecseseznamem"/>
        <w:numPr>
          <w:ilvl w:val="0"/>
          <w:numId w:val="10"/>
        </w:numPr>
        <w:ind w:left="425" w:hanging="425"/>
        <w:contextualSpacing w:val="0"/>
        <w:jc w:val="both"/>
        <w:rPr>
          <w:rFonts w:cstheme="minorHAnsi"/>
          <w:b/>
        </w:rPr>
      </w:pPr>
      <w:r w:rsidRPr="00F93FA8">
        <w:rPr>
          <w:rFonts w:asciiTheme="minorHAnsi" w:hAnsiTheme="minorHAnsi" w:cstheme="minorHAnsi"/>
          <w:b/>
        </w:rPr>
        <w:t>Během roku 2017</w:t>
      </w:r>
      <w:r w:rsidR="003777F5" w:rsidRPr="00F93FA8">
        <w:rPr>
          <w:rFonts w:asciiTheme="minorHAnsi" w:hAnsiTheme="minorHAnsi" w:cstheme="minorHAnsi"/>
          <w:b/>
        </w:rPr>
        <w:t xml:space="preserve"> došlo </w:t>
      </w:r>
      <w:r w:rsidR="00AF1A5E" w:rsidRPr="00F93FA8">
        <w:rPr>
          <w:rFonts w:asciiTheme="minorHAnsi" w:hAnsiTheme="minorHAnsi" w:cstheme="minorHAnsi"/>
          <w:b/>
        </w:rPr>
        <w:t>na základě usnesení vlády</w:t>
      </w:r>
      <w:r w:rsidRPr="00F93FA8">
        <w:rPr>
          <w:rFonts w:asciiTheme="minorHAnsi" w:hAnsiTheme="minorHAnsi" w:cstheme="minorHAnsi"/>
          <w:b/>
        </w:rPr>
        <w:t xml:space="preserve"> </w:t>
      </w:r>
      <w:r w:rsidR="003777F5" w:rsidRPr="00F93FA8">
        <w:rPr>
          <w:rFonts w:asciiTheme="minorHAnsi" w:hAnsiTheme="minorHAnsi" w:cstheme="minorHAnsi"/>
          <w:b/>
        </w:rPr>
        <w:t>ke zvýšení maximálně možné částky připadající na revitalizaci</w:t>
      </w:r>
      <w:r w:rsidR="00BB2AC7">
        <w:rPr>
          <w:rFonts w:asciiTheme="minorHAnsi" w:hAnsiTheme="minorHAnsi" w:cstheme="minorHAnsi"/>
          <w:b/>
        </w:rPr>
        <w:t xml:space="preserve"> krajiny v případě dvou krajů</w:t>
      </w:r>
      <w:r w:rsidR="003777F5" w:rsidRPr="00F93FA8">
        <w:rPr>
          <w:rFonts w:asciiTheme="minorHAnsi" w:hAnsiTheme="minorHAnsi" w:cstheme="minorHAnsi"/>
          <w:b/>
        </w:rPr>
        <w:t>, a to o částku 3 mld. Kč oproti předchozímu stavu. MF o této skutečnosti k datu účetní závěrky 31.</w:t>
      </w:r>
      <w:r w:rsidR="007652BD">
        <w:rPr>
          <w:rFonts w:asciiTheme="minorHAnsi" w:hAnsiTheme="minorHAnsi" w:cstheme="minorHAnsi"/>
          <w:b/>
        </w:rPr>
        <w:t xml:space="preserve"> </w:t>
      </w:r>
      <w:r w:rsidR="003777F5" w:rsidRPr="00F93FA8">
        <w:rPr>
          <w:rFonts w:asciiTheme="minorHAnsi" w:hAnsiTheme="minorHAnsi" w:cstheme="minorHAnsi"/>
          <w:b/>
        </w:rPr>
        <w:t xml:space="preserve">12. 2017 neúčtovalo. </w:t>
      </w:r>
      <w:r w:rsidR="00AA6CFD">
        <w:rPr>
          <w:rFonts w:asciiTheme="minorHAnsi" w:hAnsiTheme="minorHAnsi" w:cstheme="minorHAnsi"/>
          <w:b/>
        </w:rPr>
        <w:t>Nezaúčtování změny v ocenění rezerv</w:t>
      </w:r>
      <w:r w:rsidR="0053654E" w:rsidRPr="00F93FA8">
        <w:rPr>
          <w:rFonts w:asciiTheme="minorHAnsi" w:hAnsiTheme="minorHAnsi" w:cstheme="minorHAnsi"/>
          <w:b/>
        </w:rPr>
        <w:t xml:space="preserve"> </w:t>
      </w:r>
      <w:r w:rsidR="00A57E63" w:rsidRPr="00F93FA8">
        <w:rPr>
          <w:rFonts w:asciiTheme="minorHAnsi" w:hAnsiTheme="minorHAnsi" w:cstheme="minorHAnsi"/>
          <w:b/>
        </w:rPr>
        <w:t>ve výši 3 mld.</w:t>
      </w:r>
      <w:r w:rsidR="003777F5" w:rsidRPr="00F93FA8">
        <w:rPr>
          <w:rFonts w:asciiTheme="minorHAnsi" w:hAnsiTheme="minorHAnsi" w:cstheme="minorHAnsi"/>
          <w:b/>
        </w:rPr>
        <w:t xml:space="preserve"> Kč mělo</w:t>
      </w:r>
      <w:r w:rsidR="007D7609" w:rsidRPr="00F93FA8">
        <w:rPr>
          <w:rFonts w:asciiTheme="minorHAnsi" w:hAnsiTheme="minorHAnsi" w:cstheme="minorHAnsi"/>
          <w:b/>
        </w:rPr>
        <w:t xml:space="preserve"> vliv na zůstatky </w:t>
      </w:r>
      <w:r w:rsidR="003777F5" w:rsidRPr="00F93FA8">
        <w:rPr>
          <w:rFonts w:asciiTheme="minorHAnsi" w:hAnsiTheme="minorHAnsi" w:cstheme="minorHAnsi"/>
          <w:b/>
        </w:rPr>
        <w:t>účtů</w:t>
      </w:r>
      <w:r w:rsidR="007D7609" w:rsidRPr="00F93FA8">
        <w:rPr>
          <w:rFonts w:asciiTheme="minorHAnsi" w:hAnsiTheme="minorHAnsi" w:cstheme="minorHAnsi"/>
          <w:b/>
        </w:rPr>
        <w:t xml:space="preserve"> 441 – </w:t>
      </w:r>
      <w:r w:rsidR="007D7609" w:rsidRPr="00F93FA8">
        <w:rPr>
          <w:rFonts w:asciiTheme="minorHAnsi" w:hAnsiTheme="minorHAnsi" w:cstheme="minorHAnsi"/>
          <w:b/>
          <w:i/>
        </w:rPr>
        <w:t>Rezervy</w:t>
      </w:r>
      <w:r w:rsidR="007D7609" w:rsidRPr="00F93FA8">
        <w:rPr>
          <w:rFonts w:asciiTheme="minorHAnsi" w:hAnsiTheme="minorHAnsi" w:cstheme="minorHAnsi"/>
          <w:b/>
        </w:rPr>
        <w:t xml:space="preserve"> a 555 – </w:t>
      </w:r>
      <w:r w:rsidR="007D7609" w:rsidRPr="00F93FA8">
        <w:rPr>
          <w:rFonts w:asciiTheme="minorHAnsi" w:hAnsiTheme="minorHAnsi" w:cstheme="minorHAnsi"/>
          <w:b/>
          <w:i/>
        </w:rPr>
        <w:t>Tvorba a zúčtování rezerv</w:t>
      </w:r>
      <w:r w:rsidR="007D7609" w:rsidRPr="00F93FA8">
        <w:rPr>
          <w:rFonts w:asciiTheme="minorHAnsi" w:hAnsiTheme="minorHAnsi" w:cstheme="minorHAnsi"/>
          <w:b/>
        </w:rPr>
        <w:t xml:space="preserve">, vykázané v ÚZ </w:t>
      </w:r>
      <w:r w:rsidR="00AF1A5E" w:rsidRPr="00F93FA8">
        <w:rPr>
          <w:rFonts w:asciiTheme="minorHAnsi" w:hAnsiTheme="minorHAnsi" w:cstheme="minorHAnsi"/>
          <w:b/>
        </w:rPr>
        <w:t xml:space="preserve">MF </w:t>
      </w:r>
      <w:r w:rsidR="007D7609" w:rsidRPr="00F93FA8">
        <w:rPr>
          <w:rFonts w:asciiTheme="minorHAnsi" w:hAnsiTheme="minorHAnsi" w:cstheme="minorHAnsi"/>
          <w:b/>
        </w:rPr>
        <w:t>k 31. 12. 2017</w:t>
      </w:r>
      <w:r w:rsidR="00490691">
        <w:rPr>
          <w:rFonts w:asciiTheme="minorHAnsi" w:hAnsiTheme="minorHAnsi" w:cstheme="minorHAnsi"/>
          <w:b/>
        </w:rPr>
        <w:t>,</w:t>
      </w:r>
      <w:r w:rsidR="007D7609" w:rsidRPr="00F93FA8">
        <w:rPr>
          <w:rFonts w:asciiTheme="minorHAnsi" w:hAnsiTheme="minorHAnsi" w:cstheme="minorHAnsi"/>
          <w:b/>
        </w:rPr>
        <w:t xml:space="preserve"> a dále na výsledek hospodaření běžného účetního období.</w:t>
      </w:r>
      <w:r w:rsidRPr="00F93FA8">
        <w:rPr>
          <w:rFonts w:asciiTheme="minorHAnsi" w:hAnsiTheme="minorHAnsi" w:cstheme="minorHAnsi"/>
          <w:b/>
        </w:rPr>
        <w:t xml:space="preserve"> </w:t>
      </w:r>
      <w:r w:rsidR="003777F5" w:rsidRPr="00F93FA8">
        <w:rPr>
          <w:rFonts w:asciiTheme="minorHAnsi" w:hAnsiTheme="minorHAnsi" w:cstheme="minorHAnsi"/>
          <w:b/>
        </w:rPr>
        <w:t>V</w:t>
      </w:r>
      <w:r w:rsidR="00A22D79" w:rsidRPr="00F93FA8">
        <w:rPr>
          <w:rFonts w:asciiTheme="minorHAnsi" w:hAnsiTheme="minorHAnsi" w:cstheme="minorHAnsi"/>
          <w:b/>
        </w:rPr>
        <w:t> roce</w:t>
      </w:r>
      <w:r w:rsidR="003777F5" w:rsidRPr="00F93FA8">
        <w:rPr>
          <w:rFonts w:asciiTheme="minorHAnsi" w:hAnsiTheme="minorHAnsi" w:cstheme="minorHAnsi"/>
          <w:b/>
        </w:rPr>
        <w:t xml:space="preserve"> 2018</w:t>
      </w:r>
      <w:r w:rsidRPr="00F93FA8">
        <w:rPr>
          <w:rFonts w:asciiTheme="minorHAnsi" w:hAnsiTheme="minorHAnsi" w:cstheme="minorHAnsi"/>
          <w:b/>
        </w:rPr>
        <w:t xml:space="preserve"> MF </w:t>
      </w:r>
      <w:r w:rsidR="00AF1A5E" w:rsidRPr="00F93FA8">
        <w:rPr>
          <w:rFonts w:asciiTheme="minorHAnsi" w:hAnsiTheme="minorHAnsi" w:cstheme="minorHAnsi"/>
          <w:b/>
        </w:rPr>
        <w:t xml:space="preserve">tento </w:t>
      </w:r>
      <w:r w:rsidR="00A22D79" w:rsidRPr="00F93FA8">
        <w:rPr>
          <w:rFonts w:asciiTheme="minorHAnsi" w:hAnsiTheme="minorHAnsi" w:cstheme="minorHAnsi"/>
          <w:b/>
        </w:rPr>
        <w:t>nedostatek opravilo</w:t>
      </w:r>
      <w:r w:rsidR="003777F5" w:rsidRPr="00F93FA8">
        <w:rPr>
          <w:rFonts w:asciiTheme="minorHAnsi" w:hAnsiTheme="minorHAnsi" w:cstheme="minorHAnsi"/>
          <w:b/>
        </w:rPr>
        <w:t>.</w:t>
      </w:r>
    </w:p>
    <w:p w14:paraId="027CF56E" w14:textId="77777777" w:rsidR="006A4701" w:rsidRPr="00720ADC" w:rsidRDefault="00C40098" w:rsidP="004E6CB0">
      <w:pPr>
        <w:pStyle w:val="Odstavecseseznamem"/>
        <w:widowControl w:val="0"/>
        <w:numPr>
          <w:ilvl w:val="0"/>
          <w:numId w:val="10"/>
        </w:numPr>
        <w:spacing w:after="0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F93FA8">
        <w:rPr>
          <w:rFonts w:cs="Calibri"/>
          <w:b/>
          <w:lang w:eastAsia="cs-CZ"/>
        </w:rPr>
        <w:t xml:space="preserve">MF při inventarizaci </w:t>
      </w:r>
      <w:r w:rsidR="00AF1A5E" w:rsidRPr="00F93FA8">
        <w:rPr>
          <w:rFonts w:cs="Calibri"/>
          <w:b/>
          <w:lang w:eastAsia="cs-CZ"/>
        </w:rPr>
        <w:t xml:space="preserve">za rok 2017 </w:t>
      </w:r>
      <w:r w:rsidRPr="00F93FA8">
        <w:rPr>
          <w:rFonts w:cs="Calibri"/>
          <w:b/>
          <w:lang w:eastAsia="cs-CZ"/>
        </w:rPr>
        <w:t>nepost</w:t>
      </w:r>
      <w:r w:rsidR="0053654E" w:rsidRPr="00F93FA8">
        <w:rPr>
          <w:rFonts w:cs="Calibri"/>
          <w:b/>
          <w:lang w:eastAsia="cs-CZ"/>
        </w:rPr>
        <w:t xml:space="preserve">upovalo v souladu </w:t>
      </w:r>
      <w:r w:rsidR="004E6CB0">
        <w:rPr>
          <w:rFonts w:cs="Calibri"/>
          <w:b/>
          <w:lang w:eastAsia="cs-CZ"/>
        </w:rPr>
        <w:t>s právními předpisy</w:t>
      </w:r>
      <w:r w:rsidRPr="00F93FA8">
        <w:rPr>
          <w:rFonts w:cs="Calibri"/>
          <w:b/>
          <w:lang w:eastAsia="cs-CZ"/>
        </w:rPr>
        <w:t xml:space="preserve">, neboť nezjistilo skutečný stav </w:t>
      </w:r>
      <w:r w:rsidRPr="00F93FA8">
        <w:rPr>
          <w:rFonts w:asciiTheme="minorHAnsi" w:hAnsiTheme="minorHAnsi" w:cs="Calibri"/>
          <w:b/>
        </w:rPr>
        <w:t>rezerv</w:t>
      </w:r>
      <w:r w:rsidR="00DA0552" w:rsidRPr="00F93FA8">
        <w:rPr>
          <w:rFonts w:asciiTheme="minorHAnsi" w:hAnsiTheme="minorHAnsi" w:cs="Calibri"/>
          <w:b/>
        </w:rPr>
        <w:t xml:space="preserve"> na revitalizace k 31. 12. 2017</w:t>
      </w:r>
      <w:r w:rsidR="00AA2A57" w:rsidRPr="00F93FA8">
        <w:rPr>
          <w:rFonts w:asciiTheme="minorHAnsi" w:hAnsiTheme="minorHAnsi" w:cs="Calibri"/>
          <w:b/>
        </w:rPr>
        <w:t xml:space="preserve">. </w:t>
      </w:r>
    </w:p>
    <w:p w14:paraId="0EE01C0F" w14:textId="77777777" w:rsidR="006A4701" w:rsidRDefault="006A4701" w:rsidP="004E6CB0">
      <w:pPr>
        <w:spacing w:after="0"/>
        <w:jc w:val="both"/>
        <w:rPr>
          <w:rFonts w:cs="Calibri"/>
          <w:lang w:eastAsia="cs-CZ"/>
        </w:rPr>
      </w:pPr>
    </w:p>
    <w:p w14:paraId="46A12D8A" w14:textId="77777777" w:rsidR="00D15913" w:rsidRPr="00562C0D" w:rsidRDefault="00BF124B" w:rsidP="00AF4368">
      <w:pPr>
        <w:pStyle w:val="Odstavecseseznamem"/>
        <w:numPr>
          <w:ilvl w:val="1"/>
          <w:numId w:val="11"/>
        </w:numPr>
        <w:spacing w:after="160"/>
        <w:ind w:left="425" w:hanging="425"/>
        <w:contextualSpacing w:val="0"/>
        <w:jc w:val="both"/>
        <w:rPr>
          <w:b/>
          <w:u w:val="single"/>
          <w:lang w:eastAsia="cs-CZ"/>
        </w:rPr>
      </w:pPr>
      <w:r w:rsidRPr="00562C0D">
        <w:rPr>
          <w:b/>
          <w:u w:val="single"/>
          <w:lang w:eastAsia="cs-CZ"/>
        </w:rPr>
        <w:t>Závazek MF vůči tuzemské bance</w:t>
      </w:r>
      <w:r w:rsidR="00F93FA8" w:rsidRPr="00562C0D">
        <w:rPr>
          <w:b/>
          <w:u w:val="single"/>
          <w:lang w:eastAsia="cs-CZ"/>
        </w:rPr>
        <w:t xml:space="preserve"> z titulu poskytnutých záruk</w:t>
      </w:r>
    </w:p>
    <w:p w14:paraId="305CD98E" w14:textId="34A89453" w:rsidR="000B5CCB" w:rsidRDefault="00F93FA8" w:rsidP="004C291D">
      <w:pPr>
        <w:spacing w:after="1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MF v minulosti uzavřelo se zahraniční bankovní institucí smlouvy o záruce, kterými ručilo za úvěry poskytnuté jedné z tuzemských bank. Na </w:t>
      </w:r>
      <w:r w:rsidR="00BB2AC7">
        <w:rPr>
          <w:rFonts w:asciiTheme="minorHAnsi" w:hAnsiTheme="minorHAnsi"/>
        </w:rPr>
        <w:t xml:space="preserve">základě </w:t>
      </w:r>
      <w:r>
        <w:rPr>
          <w:rFonts w:asciiTheme="minorHAnsi" w:hAnsiTheme="minorHAnsi"/>
        </w:rPr>
        <w:t>tohoto</w:t>
      </w:r>
      <w:r w:rsidR="00EB5E0F">
        <w:rPr>
          <w:rFonts w:asciiTheme="minorHAnsi" w:hAnsiTheme="minorHAnsi"/>
        </w:rPr>
        <w:t xml:space="preserve"> smluvního vztahu vznikl MF </w:t>
      </w:r>
      <w:r w:rsidR="009B7FCA" w:rsidRPr="00277464">
        <w:rPr>
          <w:rFonts w:asciiTheme="minorHAnsi" w:hAnsiTheme="minorHAnsi"/>
        </w:rPr>
        <w:t>kromě povinnosti</w:t>
      </w:r>
      <w:r w:rsidR="00EB5E0F">
        <w:rPr>
          <w:rFonts w:asciiTheme="minorHAnsi" w:hAnsiTheme="minorHAnsi"/>
        </w:rPr>
        <w:t xml:space="preserve"> ručení také závazek poskytnout </w:t>
      </w:r>
      <w:r>
        <w:rPr>
          <w:rFonts w:asciiTheme="minorHAnsi" w:hAnsiTheme="minorHAnsi"/>
        </w:rPr>
        <w:t xml:space="preserve">dané </w:t>
      </w:r>
      <w:r w:rsidR="00EB5E0F">
        <w:rPr>
          <w:rFonts w:asciiTheme="minorHAnsi" w:hAnsiTheme="minorHAnsi"/>
        </w:rPr>
        <w:t xml:space="preserve">tuzemské bance </w:t>
      </w:r>
      <w:r w:rsidR="009B7FCA" w:rsidRPr="00277464">
        <w:rPr>
          <w:rFonts w:asciiTheme="minorHAnsi" w:hAnsiTheme="minorHAnsi"/>
        </w:rPr>
        <w:t>prostředky na splácení úvěr</w:t>
      </w:r>
      <w:r w:rsidR="00BB2AC7">
        <w:rPr>
          <w:rFonts w:asciiTheme="minorHAnsi" w:hAnsiTheme="minorHAnsi"/>
        </w:rPr>
        <w:t xml:space="preserve">u </w:t>
      </w:r>
      <w:r w:rsidR="00EB5E0F">
        <w:rPr>
          <w:rFonts w:asciiTheme="minorHAnsi" w:hAnsiTheme="minorHAnsi"/>
        </w:rPr>
        <w:t>zahraniční bankovní instituci</w:t>
      </w:r>
      <w:r w:rsidR="009B7FCA" w:rsidRPr="00277464">
        <w:rPr>
          <w:rFonts w:asciiTheme="minorHAnsi" w:hAnsiTheme="minorHAnsi"/>
        </w:rPr>
        <w:t xml:space="preserve">, tedy poskytnout </w:t>
      </w:r>
      <w:r w:rsidR="00A773EA">
        <w:rPr>
          <w:rFonts w:asciiTheme="minorHAnsi" w:hAnsiTheme="minorHAnsi"/>
        </w:rPr>
        <w:t xml:space="preserve">nevratný </w:t>
      </w:r>
      <w:r w:rsidR="00EB5E0F">
        <w:rPr>
          <w:rFonts w:asciiTheme="minorHAnsi" w:hAnsiTheme="minorHAnsi"/>
        </w:rPr>
        <w:t>transfer</w:t>
      </w:r>
      <w:r w:rsidR="00A773EA">
        <w:rPr>
          <w:rFonts w:asciiTheme="minorHAnsi" w:hAnsiTheme="minorHAnsi"/>
        </w:rPr>
        <w:t xml:space="preserve"> ve smyslu bodu 3.1. písm. a) ČÚS č. 703 – </w:t>
      </w:r>
      <w:r w:rsidR="00A773EA" w:rsidRPr="00A773EA">
        <w:rPr>
          <w:rFonts w:asciiTheme="minorHAnsi" w:hAnsiTheme="minorHAnsi"/>
          <w:i/>
        </w:rPr>
        <w:t>Transfery</w:t>
      </w:r>
      <w:r w:rsidR="00EB5E0F">
        <w:rPr>
          <w:rFonts w:asciiTheme="minorHAnsi" w:hAnsiTheme="minorHAnsi"/>
        </w:rPr>
        <w:t xml:space="preserve">. Tento svůj závazek </w:t>
      </w:r>
      <w:r w:rsidR="009B7FCA" w:rsidRPr="00277464">
        <w:rPr>
          <w:rFonts w:asciiTheme="minorHAnsi" w:hAnsiTheme="minorHAnsi"/>
        </w:rPr>
        <w:t>mě</w:t>
      </w:r>
      <w:r w:rsidR="009B7FCA">
        <w:rPr>
          <w:rFonts w:asciiTheme="minorHAnsi" w:hAnsiTheme="minorHAnsi"/>
        </w:rPr>
        <w:t xml:space="preserve">lo MF </w:t>
      </w:r>
      <w:r w:rsidR="00EB5E0F">
        <w:rPr>
          <w:rFonts w:asciiTheme="minorHAnsi" w:hAnsiTheme="minorHAnsi"/>
        </w:rPr>
        <w:t>dle zjištění z</w:t>
      </w:r>
      <w:r w:rsidR="0059314E">
        <w:rPr>
          <w:rFonts w:asciiTheme="minorHAnsi" w:hAnsiTheme="minorHAnsi"/>
        </w:rPr>
        <w:t> kontrolní akce</w:t>
      </w:r>
      <w:r w:rsidR="00EB5E0F">
        <w:rPr>
          <w:rFonts w:asciiTheme="minorHAnsi" w:hAnsiTheme="minorHAnsi"/>
        </w:rPr>
        <w:t xml:space="preserve"> </w:t>
      </w:r>
      <w:r w:rsidR="00756467">
        <w:rPr>
          <w:rFonts w:asciiTheme="minorHAnsi" w:hAnsiTheme="minorHAnsi"/>
        </w:rPr>
        <w:t xml:space="preserve">NKÚ </w:t>
      </w:r>
      <w:r w:rsidR="00EB5E0F">
        <w:rPr>
          <w:rFonts w:asciiTheme="minorHAnsi" w:hAnsiTheme="minorHAnsi"/>
        </w:rPr>
        <w:t xml:space="preserve">č. 16/03 </w:t>
      </w:r>
      <w:r w:rsidR="009B7FCA">
        <w:rPr>
          <w:rFonts w:asciiTheme="minorHAnsi" w:hAnsiTheme="minorHAnsi"/>
        </w:rPr>
        <w:t xml:space="preserve">identifikovat, ocenit a následně </w:t>
      </w:r>
      <w:r w:rsidR="009B7FCA" w:rsidRPr="00277464">
        <w:rPr>
          <w:rFonts w:asciiTheme="minorHAnsi" w:hAnsiTheme="minorHAnsi"/>
        </w:rPr>
        <w:t>vykázat</w:t>
      </w:r>
      <w:r w:rsidR="009B7FCA">
        <w:rPr>
          <w:rFonts w:asciiTheme="minorHAnsi" w:hAnsiTheme="minorHAnsi"/>
        </w:rPr>
        <w:t xml:space="preserve"> v rozvaze</w:t>
      </w:r>
      <w:r w:rsidR="009B7FCA" w:rsidRPr="00277464">
        <w:rPr>
          <w:rFonts w:asciiTheme="minorHAnsi" w:hAnsiTheme="minorHAnsi"/>
        </w:rPr>
        <w:t xml:space="preserve"> </w:t>
      </w:r>
      <w:r w:rsidR="009B7FCA">
        <w:rPr>
          <w:rFonts w:asciiTheme="minorHAnsi" w:hAnsiTheme="minorHAnsi"/>
        </w:rPr>
        <w:t xml:space="preserve">v návaznosti na nevyhnutelnou </w:t>
      </w:r>
      <w:r>
        <w:rPr>
          <w:rFonts w:asciiTheme="minorHAnsi" w:hAnsiTheme="minorHAnsi"/>
        </w:rPr>
        <w:t>povinnost vyplývající ze smluvního vztahu</w:t>
      </w:r>
      <w:r w:rsidR="009B7FCA">
        <w:rPr>
          <w:rFonts w:asciiTheme="minorHAnsi" w:hAnsiTheme="minorHAnsi"/>
        </w:rPr>
        <w:t>.</w:t>
      </w:r>
      <w:r w:rsidR="003039AD">
        <w:rPr>
          <w:rFonts w:asciiTheme="minorHAnsi" w:hAnsiTheme="minorHAnsi"/>
        </w:rPr>
        <w:t xml:space="preserve"> </w:t>
      </w:r>
      <w:r w:rsidR="004B1EEA">
        <w:rPr>
          <w:rFonts w:asciiTheme="minorHAnsi" w:hAnsiTheme="minorHAnsi" w:cstheme="minorHAnsi"/>
        </w:rPr>
        <w:t>MF svůj závazek</w:t>
      </w:r>
      <w:r w:rsidR="003039AD" w:rsidRPr="003039AD">
        <w:rPr>
          <w:rFonts w:asciiTheme="minorHAnsi" w:hAnsiTheme="minorHAnsi" w:cstheme="minorHAnsi"/>
        </w:rPr>
        <w:t xml:space="preserve"> vůči tuzemské bance vykazuje na účtu podrozvahových závazků</w:t>
      </w:r>
      <w:r w:rsidR="004B1EEA">
        <w:rPr>
          <w:rFonts w:asciiTheme="minorHAnsi" w:hAnsiTheme="minorHAnsi" w:cstheme="minorHAnsi"/>
        </w:rPr>
        <w:t xml:space="preserve"> ve výši 2,7 mld. Kč</w:t>
      </w:r>
      <w:r w:rsidR="003039AD" w:rsidRPr="003039AD">
        <w:rPr>
          <w:rFonts w:asciiTheme="minorHAnsi" w:hAnsiTheme="minorHAnsi" w:cstheme="minorHAnsi"/>
        </w:rPr>
        <w:t xml:space="preserve">. </w:t>
      </w:r>
    </w:p>
    <w:p w14:paraId="7512EEEE" w14:textId="5202A73D" w:rsidR="009B7FCA" w:rsidRDefault="000B5CCB" w:rsidP="004C291D">
      <w:pPr>
        <w:spacing w:after="160"/>
        <w:jc w:val="both"/>
        <w:rPr>
          <w:rFonts w:asciiTheme="minorHAnsi" w:hAnsiTheme="minorHAnsi"/>
        </w:rPr>
      </w:pPr>
      <w:r w:rsidRPr="00363F8A">
        <w:rPr>
          <w:rFonts w:asciiTheme="minorHAnsi" w:hAnsiTheme="minorHAnsi" w:cstheme="minorHAnsi"/>
        </w:rPr>
        <w:t xml:space="preserve">Ve výroční zprávě za rok 2017 vyčíslila předmětná tuzemská banka </w:t>
      </w:r>
      <w:r w:rsidR="0075670F" w:rsidRPr="00363F8A">
        <w:rPr>
          <w:rFonts w:asciiTheme="minorHAnsi" w:hAnsiTheme="minorHAnsi" w:cstheme="minorHAnsi"/>
        </w:rPr>
        <w:t xml:space="preserve">pohledávky z infrastrukturních programů </w:t>
      </w:r>
      <w:r w:rsidR="00C83B26">
        <w:rPr>
          <w:rFonts w:asciiTheme="minorHAnsi" w:hAnsiTheme="minorHAnsi" w:cstheme="minorHAnsi"/>
        </w:rPr>
        <w:t xml:space="preserve">(v nichž jsou dle doplňující informace uvedené v předmětné výroční zprávě zahrnuty především úvěry poskytnuté MF) </w:t>
      </w:r>
      <w:r w:rsidR="0075670F" w:rsidRPr="00363F8A">
        <w:rPr>
          <w:rFonts w:asciiTheme="minorHAnsi" w:hAnsiTheme="minorHAnsi" w:cstheme="minorHAnsi"/>
        </w:rPr>
        <w:t>k</w:t>
      </w:r>
      <w:r w:rsidR="00490691">
        <w:rPr>
          <w:rFonts w:asciiTheme="minorHAnsi" w:hAnsiTheme="minorHAnsi" w:cstheme="minorHAnsi"/>
        </w:rPr>
        <w:t xml:space="preserve"> </w:t>
      </w:r>
      <w:r w:rsidR="0075670F" w:rsidRPr="00363F8A">
        <w:rPr>
          <w:rFonts w:asciiTheme="minorHAnsi" w:hAnsiTheme="minorHAnsi" w:cstheme="minorHAnsi"/>
        </w:rPr>
        <w:t>31. 12. 2017 ve výši 2 540</w:t>
      </w:r>
      <w:r w:rsidR="006976E1">
        <w:rPr>
          <w:rFonts w:asciiTheme="minorHAnsi" w:hAnsiTheme="minorHAnsi" w:cstheme="minorHAnsi"/>
        </w:rPr>
        <w:t> </w:t>
      </w:r>
      <w:r w:rsidR="0075670F" w:rsidRPr="00363F8A">
        <w:rPr>
          <w:rFonts w:asciiTheme="minorHAnsi" w:hAnsiTheme="minorHAnsi" w:cstheme="minorHAnsi"/>
        </w:rPr>
        <w:t>540</w:t>
      </w:r>
      <w:r w:rsidR="006976E1">
        <w:rPr>
          <w:rFonts w:asciiTheme="minorHAnsi" w:hAnsiTheme="minorHAnsi" w:cstheme="minorHAnsi"/>
        </w:rPr>
        <w:t> </w:t>
      </w:r>
      <w:r w:rsidR="0075670F" w:rsidRPr="00363F8A">
        <w:rPr>
          <w:rFonts w:asciiTheme="minorHAnsi" w:hAnsiTheme="minorHAnsi" w:cstheme="minorHAnsi"/>
        </w:rPr>
        <w:t>tis.</w:t>
      </w:r>
      <w:r w:rsidR="006976E1">
        <w:rPr>
          <w:rFonts w:asciiTheme="minorHAnsi" w:hAnsiTheme="minorHAnsi" w:cstheme="minorHAnsi"/>
        </w:rPr>
        <w:t> </w:t>
      </w:r>
      <w:r w:rsidR="0075670F" w:rsidRPr="00363F8A">
        <w:rPr>
          <w:rFonts w:asciiTheme="minorHAnsi" w:hAnsiTheme="minorHAnsi" w:cstheme="minorHAnsi"/>
        </w:rPr>
        <w:t>Kč</w:t>
      </w:r>
      <w:r w:rsidR="00C83B26" w:rsidRPr="00363F8A">
        <w:rPr>
          <w:rFonts w:asciiTheme="minorHAnsi" w:hAnsiTheme="minorHAnsi" w:cstheme="minorHAnsi"/>
        </w:rPr>
        <w:t xml:space="preserve">. </w:t>
      </w:r>
      <w:r w:rsidR="001E4290" w:rsidRPr="00C83B26">
        <w:rPr>
          <w:rFonts w:asciiTheme="minorHAnsi" w:hAnsiTheme="minorHAnsi" w:cstheme="minorHAnsi"/>
        </w:rPr>
        <w:t>Závazek</w:t>
      </w:r>
      <w:r w:rsidRPr="00C83B26">
        <w:rPr>
          <w:rFonts w:asciiTheme="minorHAnsi" w:hAnsiTheme="minorHAnsi" w:cstheme="minorHAnsi"/>
        </w:rPr>
        <w:t xml:space="preserve"> MF vůči tuzemské bance</w:t>
      </w:r>
      <w:r w:rsidR="00756467">
        <w:rPr>
          <w:rFonts w:asciiTheme="minorHAnsi" w:hAnsiTheme="minorHAnsi" w:cstheme="minorHAnsi"/>
        </w:rPr>
        <w:t xml:space="preserve"> na základě výše popsaného</w:t>
      </w:r>
      <w:r w:rsidRPr="00C83B26">
        <w:rPr>
          <w:rFonts w:asciiTheme="minorHAnsi" w:hAnsiTheme="minorHAnsi" w:cstheme="minorHAnsi"/>
        </w:rPr>
        <w:t xml:space="preserve"> smluvního</w:t>
      </w:r>
      <w:r w:rsidRPr="00BB2AC7">
        <w:rPr>
          <w:rFonts w:asciiTheme="minorHAnsi" w:hAnsiTheme="minorHAnsi" w:cstheme="minorHAnsi"/>
        </w:rPr>
        <w:t xml:space="preserve"> vztahu</w:t>
      </w:r>
      <w:r w:rsidR="00756467">
        <w:rPr>
          <w:rFonts w:asciiTheme="minorHAnsi" w:hAnsiTheme="minorHAnsi" w:cstheme="minorHAnsi"/>
        </w:rPr>
        <w:t xml:space="preserve"> </w:t>
      </w:r>
      <w:r w:rsidRPr="00BB2AC7">
        <w:rPr>
          <w:rFonts w:asciiTheme="minorHAnsi" w:hAnsiTheme="minorHAnsi" w:cstheme="minorHAnsi"/>
        </w:rPr>
        <w:t xml:space="preserve">by tudíž mohl </w:t>
      </w:r>
      <w:r w:rsidR="00480F1B" w:rsidRPr="00BB2AC7">
        <w:rPr>
          <w:rFonts w:asciiTheme="minorHAnsi" w:hAnsiTheme="minorHAnsi" w:cstheme="minorHAnsi"/>
        </w:rPr>
        <w:t xml:space="preserve">k 31. 12. 2017 </w:t>
      </w:r>
      <w:r w:rsidRPr="00BB2AC7">
        <w:rPr>
          <w:rFonts w:asciiTheme="minorHAnsi" w:hAnsiTheme="minorHAnsi" w:cstheme="minorHAnsi"/>
        </w:rPr>
        <w:t>dosahovat této výše.</w:t>
      </w:r>
    </w:p>
    <w:p w14:paraId="72651233" w14:textId="38425FB6" w:rsidR="00A773EA" w:rsidRPr="00D37B62" w:rsidRDefault="00A775BE" w:rsidP="00A773EA">
      <w:pPr>
        <w:jc w:val="both"/>
        <w:rPr>
          <w:rFonts w:cs="Calibri"/>
          <w:b/>
          <w:lang w:eastAsia="cs-CZ"/>
        </w:rPr>
      </w:pPr>
      <w:r>
        <w:rPr>
          <w:b/>
        </w:rPr>
        <w:t xml:space="preserve">MF v případě </w:t>
      </w:r>
      <w:r w:rsidR="0099042B">
        <w:rPr>
          <w:b/>
        </w:rPr>
        <w:t xml:space="preserve">zaúčtování </w:t>
      </w:r>
      <w:r w:rsidR="0028542B" w:rsidRPr="00D37B62">
        <w:rPr>
          <w:b/>
        </w:rPr>
        <w:t xml:space="preserve">závazku </w:t>
      </w:r>
      <w:r w:rsidR="00E8249C">
        <w:rPr>
          <w:b/>
        </w:rPr>
        <w:t xml:space="preserve">plynoucího z úhrady jistiny a souvisejících úroků </w:t>
      </w:r>
      <w:r>
        <w:rPr>
          <w:b/>
        </w:rPr>
        <w:t>tuzemské bance z titulu poskytnutých záruk</w:t>
      </w:r>
      <w:r w:rsidR="0028542B">
        <w:rPr>
          <w:b/>
        </w:rPr>
        <w:t xml:space="preserve"> </w:t>
      </w:r>
      <w:r w:rsidR="0028542B" w:rsidRPr="00D37B62">
        <w:rPr>
          <w:b/>
        </w:rPr>
        <w:t>nepostupovalo v plném rozsahu dopo</w:t>
      </w:r>
      <w:r w:rsidR="0028542B">
        <w:rPr>
          <w:b/>
        </w:rPr>
        <w:t>ručení plynoucích z</w:t>
      </w:r>
      <w:r w:rsidR="0059314E">
        <w:rPr>
          <w:b/>
        </w:rPr>
        <w:t> kontrolní akce</w:t>
      </w:r>
      <w:r w:rsidR="00756467">
        <w:rPr>
          <w:b/>
        </w:rPr>
        <w:t xml:space="preserve"> NKÚ</w:t>
      </w:r>
      <w:r w:rsidR="0028542B">
        <w:rPr>
          <w:b/>
        </w:rPr>
        <w:t xml:space="preserve"> č. 16/03, neboť nepřistoupilo k vzájemnému odsouhlasení pohledávek a</w:t>
      </w:r>
      <w:r w:rsidR="006976E1">
        <w:rPr>
          <w:b/>
        </w:rPr>
        <w:t> </w:t>
      </w:r>
      <w:r w:rsidR="0028542B">
        <w:rPr>
          <w:b/>
        </w:rPr>
        <w:t>závazků vyplývajících z</w:t>
      </w:r>
      <w:r w:rsidR="00CC1489">
        <w:rPr>
          <w:b/>
        </w:rPr>
        <w:t xml:space="preserve"> </w:t>
      </w:r>
      <w:r w:rsidR="00756467">
        <w:rPr>
          <w:b/>
        </w:rPr>
        <w:t>výše popsaného</w:t>
      </w:r>
      <w:r w:rsidR="0028542B">
        <w:rPr>
          <w:b/>
        </w:rPr>
        <w:t xml:space="preserve"> smluvního vztahu. </w:t>
      </w:r>
      <w:r w:rsidR="00A773EA" w:rsidRPr="00D37B62">
        <w:rPr>
          <w:rFonts w:cstheme="minorHAnsi"/>
          <w:b/>
        </w:rPr>
        <w:t>NKÚ tento postup přitom považuje za potřebný, aby MF mohlo identifikovat, ocenit a ve svém účetnictví zachytit celou výši rozvahového závazku nebo rezervy</w:t>
      </w:r>
      <w:r w:rsidR="00AA2A57">
        <w:rPr>
          <w:rFonts w:cstheme="minorHAnsi"/>
          <w:b/>
        </w:rPr>
        <w:t xml:space="preserve"> z titulu povinnosti poskytnout tuzemské bance </w:t>
      </w:r>
      <w:r w:rsidR="00480F1B">
        <w:rPr>
          <w:rFonts w:cstheme="minorHAnsi"/>
          <w:b/>
        </w:rPr>
        <w:t>transfer.</w:t>
      </w:r>
      <w:r w:rsidR="00E8249C">
        <w:rPr>
          <w:rFonts w:cstheme="minorHAnsi"/>
          <w:b/>
        </w:rPr>
        <w:t xml:space="preserve"> </w:t>
      </w:r>
    </w:p>
    <w:p w14:paraId="2A78248B" w14:textId="77777777" w:rsidR="008B0421" w:rsidRDefault="008B0421" w:rsidP="00FB5254">
      <w:pPr>
        <w:spacing w:after="0"/>
        <w:jc w:val="both"/>
        <w:rPr>
          <w:rFonts w:asciiTheme="minorHAnsi" w:hAnsiTheme="minorHAnsi" w:cstheme="minorHAnsi"/>
        </w:rPr>
      </w:pPr>
    </w:p>
    <w:p w14:paraId="5E1E9F44" w14:textId="77777777" w:rsidR="00A27ECF" w:rsidRDefault="00A27ECF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57D838" w14:textId="16531C80" w:rsidR="00112642" w:rsidRDefault="004C3D87" w:rsidP="00720ADC">
      <w:pPr>
        <w:spacing w:after="160" w:line="259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Seznam</w:t>
      </w:r>
      <w:r w:rsidR="00112642" w:rsidRPr="0051310E">
        <w:rPr>
          <w:rFonts w:asciiTheme="minorHAnsi" w:eastAsiaTheme="minorHAnsi" w:hAnsiTheme="minorHAnsi" w:cstheme="minorHAnsi"/>
          <w:b/>
        </w:rPr>
        <w:t xml:space="preserve"> zkrat</w:t>
      </w:r>
      <w:r>
        <w:rPr>
          <w:rFonts w:asciiTheme="minorHAnsi" w:eastAsiaTheme="minorHAnsi" w:hAnsiTheme="minorHAnsi" w:cstheme="minorHAnsi"/>
          <w:b/>
        </w:rPr>
        <w:t>e</w:t>
      </w:r>
      <w:r w:rsidR="00112642" w:rsidRPr="0051310E">
        <w:rPr>
          <w:rFonts w:asciiTheme="minorHAnsi" w:eastAsiaTheme="minorHAnsi" w:hAnsiTheme="minorHAnsi" w:cstheme="minorHAnsi"/>
          <w:b/>
        </w:rPr>
        <w:t>k</w:t>
      </w:r>
      <w:r>
        <w:rPr>
          <w:rFonts w:asciiTheme="minorHAnsi" w:eastAsiaTheme="minorHAnsi" w:hAnsiTheme="minorHAnsi" w:cstheme="minorHAnsi"/>
          <w:b/>
        </w:rPr>
        <w:t>:</w:t>
      </w:r>
    </w:p>
    <w:p w14:paraId="280EB669" w14:textId="5C768EDE" w:rsidR="00E43E68" w:rsidRDefault="00E43E68" w:rsidP="00720ADC">
      <w:pPr>
        <w:shd w:val="clear" w:color="auto" w:fill="FFFFFF"/>
        <w:tabs>
          <w:tab w:val="left" w:pos="1276"/>
          <w:tab w:val="left" w:pos="1560"/>
        </w:tabs>
        <w:outlineLvl w:val="0"/>
        <w:rPr>
          <w:rFonts w:asciiTheme="minorHAnsi" w:hAnsiTheme="minorHAnsi" w:cstheme="minorHAnsi"/>
          <w:bCs/>
          <w:color w:val="1C222F"/>
          <w:kern w:val="36"/>
          <w:lang w:eastAsia="cs-CZ"/>
        </w:rPr>
      </w:pPr>
      <w:r w:rsidRPr="00A222CB">
        <w:rPr>
          <w:rFonts w:asciiTheme="minorHAnsi" w:hAnsiTheme="minorHAnsi" w:cstheme="minorHAnsi"/>
        </w:rPr>
        <w:t>CF</w:t>
      </w:r>
      <w:r w:rsidR="006976E1"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720ADC">
        <w:rPr>
          <w:rFonts w:asciiTheme="minorHAnsi" w:hAnsiTheme="minorHAnsi" w:cstheme="minorHAnsi"/>
          <w:i/>
        </w:rPr>
        <w:t>Fond soudržnosti</w:t>
      </w:r>
      <w:r w:rsidR="007E6790">
        <w:rPr>
          <w:rFonts w:asciiTheme="minorHAnsi" w:hAnsiTheme="minorHAnsi" w:cstheme="minorHAnsi"/>
        </w:rPr>
        <w:t xml:space="preserve"> (z angl. </w:t>
      </w:r>
      <w:r w:rsidR="007E6790" w:rsidRPr="00720ADC">
        <w:rPr>
          <w:rFonts w:cstheme="minorHAnsi"/>
          <w:bCs/>
          <w:i/>
          <w:color w:val="1C222F"/>
          <w:kern w:val="36"/>
          <w:lang w:eastAsia="cs-CZ"/>
        </w:rPr>
        <w:t>Cohesion Fund</w:t>
      </w:r>
      <w:r w:rsidR="007E6790">
        <w:rPr>
          <w:rFonts w:asciiTheme="minorHAnsi" w:hAnsiTheme="minorHAnsi" w:cstheme="minorHAnsi"/>
          <w:bCs/>
          <w:color w:val="1C222F"/>
          <w:kern w:val="36"/>
          <w:lang w:eastAsia="cs-CZ"/>
        </w:rPr>
        <w:t>)</w:t>
      </w:r>
    </w:p>
    <w:p w14:paraId="57789A5B" w14:textId="77777777" w:rsidR="008820BB" w:rsidRPr="00720ADC" w:rsidRDefault="008820BB" w:rsidP="00720ADC">
      <w:pPr>
        <w:shd w:val="clear" w:color="auto" w:fill="FFFFFF"/>
        <w:tabs>
          <w:tab w:val="left" w:pos="1276"/>
          <w:tab w:val="left" w:pos="1560"/>
        </w:tabs>
        <w:outlineLvl w:val="0"/>
        <w:rPr>
          <w:rFonts w:asciiTheme="minorHAnsi" w:hAnsiTheme="minorHAnsi" w:cstheme="minorHAnsi"/>
          <w:bCs/>
          <w:color w:val="1C222F"/>
          <w:kern w:val="36"/>
          <w:lang w:eastAsia="cs-CZ"/>
        </w:rPr>
      </w:pPr>
      <w:r>
        <w:rPr>
          <w:rFonts w:asciiTheme="minorHAnsi" w:hAnsiTheme="minorHAnsi" w:cstheme="minorHAnsi"/>
          <w:bCs/>
          <w:color w:val="1C222F"/>
          <w:kern w:val="36"/>
          <w:lang w:eastAsia="cs-CZ"/>
        </w:rPr>
        <w:t>ČR</w:t>
      </w:r>
      <w:r>
        <w:rPr>
          <w:rFonts w:asciiTheme="minorHAnsi" w:hAnsiTheme="minorHAnsi" w:cstheme="minorHAnsi"/>
          <w:bCs/>
          <w:color w:val="1C222F"/>
          <w:kern w:val="36"/>
          <w:lang w:eastAsia="cs-CZ"/>
        </w:rPr>
        <w:tab/>
        <w:t xml:space="preserve">– </w:t>
      </w:r>
      <w:r>
        <w:rPr>
          <w:rFonts w:asciiTheme="minorHAnsi" w:hAnsiTheme="minorHAnsi" w:cstheme="minorHAnsi"/>
          <w:bCs/>
          <w:color w:val="1C222F"/>
          <w:kern w:val="36"/>
          <w:lang w:eastAsia="cs-CZ"/>
        </w:rPr>
        <w:tab/>
        <w:t>Česká republika</w:t>
      </w:r>
    </w:p>
    <w:p w14:paraId="55A1DAB0" w14:textId="0E4466C6" w:rsidR="0069229A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5A1D9B">
        <w:rPr>
          <w:rFonts w:asciiTheme="minorHAnsi" w:hAnsiTheme="minorHAnsi" w:cstheme="minorHAnsi"/>
        </w:rPr>
        <w:t>ČÚS</w:t>
      </w:r>
      <w:r w:rsidRPr="005A1D9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C31E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="007E6790">
        <w:rPr>
          <w:rFonts w:asciiTheme="minorHAnsi" w:hAnsiTheme="minorHAnsi" w:cstheme="minorHAnsi"/>
        </w:rPr>
        <w:t>č</w:t>
      </w:r>
      <w:r w:rsidRPr="00AC31EB">
        <w:rPr>
          <w:rFonts w:asciiTheme="minorHAnsi" w:hAnsiTheme="minorHAnsi" w:cstheme="minorHAnsi"/>
        </w:rPr>
        <w:t xml:space="preserve">eský účetní standard </w:t>
      </w:r>
    </w:p>
    <w:p w14:paraId="036D7321" w14:textId="7646FE2D" w:rsidR="008820BB" w:rsidRPr="00AC31EB" w:rsidRDefault="008820BB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</w:t>
      </w:r>
      <w:r>
        <w:rPr>
          <w:rFonts w:asciiTheme="minorHAnsi" w:hAnsiTheme="minorHAnsi" w:cstheme="minorHAnsi"/>
        </w:rPr>
        <w:tab/>
        <w:t>–</w:t>
      </w:r>
      <w:r w:rsidR="00CC14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daň z přidané hodnoty</w:t>
      </w:r>
    </w:p>
    <w:p w14:paraId="18E67A2E" w14:textId="712773C6" w:rsidR="00E43E68" w:rsidRPr="00A222CB" w:rsidRDefault="00E43E68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C31EB">
        <w:rPr>
          <w:rFonts w:asciiTheme="minorHAnsi" w:hAnsiTheme="minorHAnsi" w:cstheme="minorHAnsi"/>
        </w:rPr>
        <w:t>EFRR</w:t>
      </w:r>
      <w:r w:rsidR="006976E1"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720ADC">
        <w:rPr>
          <w:rFonts w:asciiTheme="minorHAnsi" w:hAnsiTheme="minorHAnsi" w:cstheme="minorHAnsi"/>
          <w:i/>
        </w:rPr>
        <w:t>Evropský fond pro regionální rozvoj</w:t>
      </w:r>
    </w:p>
    <w:p w14:paraId="14F2434D" w14:textId="7E7D1FBC" w:rsidR="00E43E68" w:rsidRPr="00A222CB" w:rsidRDefault="00E43E68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ESF</w:t>
      </w:r>
      <w:r w:rsidR="006976E1"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720ADC">
        <w:rPr>
          <w:rFonts w:asciiTheme="minorHAnsi" w:hAnsiTheme="minorHAnsi" w:cstheme="minorHAnsi"/>
          <w:i/>
        </w:rPr>
        <w:t>Evropský sociální fond</w:t>
      </w:r>
    </w:p>
    <w:p w14:paraId="5970B160" w14:textId="5D20BBC5" w:rsidR="006228D4" w:rsidRPr="00A222CB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EU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Evropská unie</w:t>
      </w:r>
    </w:p>
    <w:p w14:paraId="5351970D" w14:textId="4BD05633" w:rsidR="0059314E" w:rsidRDefault="0059314E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KA</w:t>
      </w:r>
      <w:r w:rsidR="006976E1"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kontrolní akce</w:t>
      </w:r>
      <w:r w:rsidR="003B3FFC">
        <w:rPr>
          <w:rFonts w:asciiTheme="minorHAnsi" w:hAnsiTheme="minorHAnsi" w:cstheme="minorHAnsi"/>
        </w:rPr>
        <w:t xml:space="preserve"> Nejvyššího kontrolního úřadu</w:t>
      </w:r>
    </w:p>
    <w:p w14:paraId="7C1CAC21" w14:textId="77777777" w:rsidR="008820BB" w:rsidRPr="00A222CB" w:rsidRDefault="008820BB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Komise</w:t>
      </w:r>
      <w:r>
        <w:rPr>
          <w:rFonts w:asciiTheme="minorHAnsi" w:hAnsiTheme="minorHAnsi" w:cstheme="minorHAnsi"/>
        </w:rPr>
        <w:tab/>
        <w:t xml:space="preserve">– </w:t>
      </w:r>
      <w:r>
        <w:rPr>
          <w:rFonts w:asciiTheme="minorHAnsi" w:hAnsiTheme="minorHAnsi" w:cstheme="minorHAnsi"/>
        </w:rPr>
        <w:tab/>
        <w:t>Evropská komise</w:t>
      </w:r>
    </w:p>
    <w:p w14:paraId="73046918" w14:textId="1287B002" w:rsidR="006228D4" w:rsidRPr="00A222CB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 xml:space="preserve">MF 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Ministerstvo financí</w:t>
      </w:r>
    </w:p>
    <w:p w14:paraId="0B40A858" w14:textId="7A77E928" w:rsidR="006228D4" w:rsidRPr="00A222CB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NF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720ADC">
        <w:rPr>
          <w:rFonts w:asciiTheme="minorHAnsi" w:hAnsiTheme="minorHAnsi" w:cstheme="minorHAnsi"/>
          <w:i/>
        </w:rPr>
        <w:t>Národní fond</w:t>
      </w:r>
    </w:p>
    <w:p w14:paraId="4A86FDBA" w14:textId="45CF96F5" w:rsidR="0051310E" w:rsidRPr="00A222CB" w:rsidRDefault="0051310E" w:rsidP="008820BB">
      <w:pPr>
        <w:tabs>
          <w:tab w:val="left" w:pos="1276"/>
          <w:tab w:val="left" w:pos="1560"/>
        </w:tabs>
        <w:ind w:left="1560" w:hanging="1560"/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NF-PCO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63025F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Národní fond</w:t>
      </w:r>
      <w:r w:rsidR="008820BB">
        <w:rPr>
          <w:rFonts w:asciiTheme="minorHAnsi" w:hAnsiTheme="minorHAnsi" w:cstheme="minorHAnsi"/>
        </w:rPr>
        <w:t>,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>vykonává funkci p</w:t>
      </w:r>
      <w:r w:rsidRPr="00A222CB">
        <w:rPr>
          <w:rFonts w:asciiTheme="minorHAnsi" w:hAnsiTheme="minorHAnsi" w:cstheme="minorHAnsi"/>
        </w:rPr>
        <w:t>latební</w:t>
      </w:r>
      <w:r w:rsidR="008820BB">
        <w:rPr>
          <w:rFonts w:asciiTheme="minorHAnsi" w:hAnsiTheme="minorHAnsi" w:cstheme="minorHAnsi"/>
        </w:rPr>
        <w:t>ho</w:t>
      </w:r>
      <w:r w:rsidRPr="00A222CB">
        <w:rPr>
          <w:rFonts w:asciiTheme="minorHAnsi" w:hAnsiTheme="minorHAnsi" w:cstheme="minorHAnsi"/>
        </w:rPr>
        <w:t xml:space="preserve"> a</w:t>
      </w:r>
      <w:r w:rsidR="008820BB">
        <w:rPr>
          <w:rFonts w:asciiTheme="minorHAnsi" w:hAnsiTheme="minorHAnsi" w:cstheme="minorHAnsi"/>
        </w:rPr>
        <w:t> </w:t>
      </w:r>
      <w:r w:rsidRPr="00A222CB">
        <w:rPr>
          <w:rFonts w:asciiTheme="minorHAnsi" w:hAnsiTheme="minorHAnsi" w:cstheme="minorHAnsi"/>
        </w:rPr>
        <w:t>certifikační</w:t>
      </w:r>
      <w:r w:rsidR="008820BB">
        <w:rPr>
          <w:rFonts w:asciiTheme="minorHAnsi" w:hAnsiTheme="minorHAnsi" w:cstheme="minorHAnsi"/>
        </w:rPr>
        <w:t>ho</w:t>
      </w:r>
      <w:r w:rsidRPr="00A222CB">
        <w:rPr>
          <w:rFonts w:asciiTheme="minorHAnsi" w:hAnsiTheme="minorHAnsi" w:cstheme="minorHAnsi"/>
        </w:rPr>
        <w:t xml:space="preserve"> orgán</w:t>
      </w:r>
      <w:r w:rsidR="008820BB">
        <w:rPr>
          <w:rFonts w:asciiTheme="minorHAnsi" w:hAnsiTheme="minorHAnsi" w:cstheme="minorHAnsi"/>
        </w:rPr>
        <w:t>u</w:t>
      </w:r>
    </w:p>
    <w:p w14:paraId="37C0A688" w14:textId="1E192ECF" w:rsidR="006228D4" w:rsidRPr="00A222CB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NKÚ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Nejvyšší kontrolní úřad</w:t>
      </w:r>
    </w:p>
    <w:p w14:paraId="74C180B3" w14:textId="47256EE6" w:rsidR="006228D4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OSS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organizační složka státu</w:t>
      </w:r>
    </w:p>
    <w:p w14:paraId="447309EB" w14:textId="2527559A" w:rsidR="00BA003F" w:rsidRPr="00A222CB" w:rsidRDefault="00BA003F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SÚ</w:t>
      </w:r>
      <w:r>
        <w:rPr>
          <w:rFonts w:asciiTheme="minorHAnsi" w:hAnsiTheme="minorHAnsi" w:cstheme="minorHAnsi"/>
        </w:rPr>
        <w:tab/>
        <w:t xml:space="preserve">– </w:t>
      </w:r>
      <w:r>
        <w:rPr>
          <w:rFonts w:asciiTheme="minorHAnsi" w:hAnsiTheme="minorHAnsi" w:cstheme="minorHAnsi"/>
        </w:rPr>
        <w:tab/>
        <w:t>syntetický účet</w:t>
      </w:r>
    </w:p>
    <w:p w14:paraId="69C2AACD" w14:textId="3D6DE20C" w:rsidR="006228D4" w:rsidRPr="00A222CB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ÚZ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účetní závěrka</w:t>
      </w:r>
    </w:p>
    <w:p w14:paraId="6C1F6AB6" w14:textId="3B85B82F" w:rsidR="006228D4" w:rsidRPr="00A222CB" w:rsidRDefault="006228D4" w:rsidP="008820BB">
      <w:pPr>
        <w:tabs>
          <w:tab w:val="left" w:pos="1276"/>
          <w:tab w:val="left" w:pos="1560"/>
        </w:tabs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>VPS</w:t>
      </w:r>
      <w:r w:rsidRPr="00A222CB">
        <w:rPr>
          <w:rFonts w:asciiTheme="minorHAnsi" w:hAnsiTheme="minorHAnsi" w:cstheme="minorHAnsi"/>
        </w:rPr>
        <w:tab/>
      </w:r>
      <w:r w:rsidR="008820BB">
        <w:rPr>
          <w:rFonts w:asciiTheme="minorHAnsi" w:hAnsiTheme="minorHAnsi" w:cstheme="minorHAnsi"/>
        </w:rPr>
        <w:t>–</w:t>
      </w:r>
      <w:r w:rsidR="009D1356" w:rsidRPr="00A222CB">
        <w:rPr>
          <w:rFonts w:asciiTheme="minorHAnsi" w:hAnsiTheme="minorHAnsi" w:cstheme="minorHAnsi"/>
        </w:rPr>
        <w:t xml:space="preserve"> </w:t>
      </w:r>
      <w:r w:rsidR="008820BB">
        <w:rPr>
          <w:rFonts w:asciiTheme="minorHAnsi" w:hAnsiTheme="minorHAnsi" w:cstheme="minorHAnsi"/>
        </w:rPr>
        <w:tab/>
      </w:r>
      <w:r w:rsidR="00BA003F">
        <w:rPr>
          <w:rFonts w:asciiTheme="minorHAnsi" w:hAnsiTheme="minorHAnsi" w:cstheme="minorHAnsi"/>
        </w:rPr>
        <w:t xml:space="preserve">kapitola státního rozpočtu 398 – </w:t>
      </w:r>
      <w:r w:rsidR="009D1356" w:rsidRPr="00720ADC">
        <w:rPr>
          <w:rFonts w:asciiTheme="minorHAnsi" w:hAnsiTheme="minorHAnsi" w:cstheme="minorHAnsi"/>
          <w:i/>
        </w:rPr>
        <w:t>V</w:t>
      </w:r>
      <w:r w:rsidRPr="00720ADC">
        <w:rPr>
          <w:rFonts w:asciiTheme="minorHAnsi" w:hAnsiTheme="minorHAnsi" w:cstheme="minorHAnsi"/>
          <w:i/>
        </w:rPr>
        <w:t>šeobecná pokladní správa</w:t>
      </w:r>
    </w:p>
    <w:p w14:paraId="0C4DCC12" w14:textId="77777777" w:rsidR="006459B7" w:rsidRDefault="006459B7" w:rsidP="00E43E68">
      <w:pPr>
        <w:rPr>
          <w:rFonts w:asciiTheme="minorHAnsi" w:hAnsiTheme="minorHAnsi" w:cstheme="minorHAnsi"/>
        </w:rPr>
      </w:pPr>
    </w:p>
    <w:p w14:paraId="1F9A7D12" w14:textId="77777777" w:rsidR="00950CF7" w:rsidRDefault="00950CF7" w:rsidP="00E43E68">
      <w:pPr>
        <w:rPr>
          <w:rFonts w:asciiTheme="minorHAnsi" w:hAnsiTheme="minorHAnsi" w:cstheme="minorHAnsi"/>
        </w:rPr>
      </w:pPr>
    </w:p>
    <w:p w14:paraId="04BCEDAA" w14:textId="133E975C" w:rsidR="00950CF7" w:rsidRDefault="00950CF7" w:rsidP="00E43E68">
      <w:pPr>
        <w:rPr>
          <w:rFonts w:asciiTheme="minorHAnsi" w:hAnsiTheme="minorHAnsi" w:cstheme="minorHAnsi"/>
        </w:rPr>
      </w:pPr>
    </w:p>
    <w:p w14:paraId="634161B6" w14:textId="77777777" w:rsidR="00D80BD1" w:rsidRDefault="00D80BD1" w:rsidP="00E43E68">
      <w:pPr>
        <w:rPr>
          <w:rFonts w:asciiTheme="minorHAnsi" w:hAnsiTheme="minorHAnsi" w:cstheme="minorHAnsi"/>
        </w:rPr>
      </w:pPr>
    </w:p>
    <w:p w14:paraId="5EF6493B" w14:textId="77777777" w:rsidR="00950CF7" w:rsidRDefault="00950CF7" w:rsidP="00720ADC">
      <w:pPr>
        <w:spacing w:after="160"/>
        <w:rPr>
          <w:rFonts w:asciiTheme="minorHAnsi" w:hAnsiTheme="minorHAnsi" w:cstheme="minorHAnsi"/>
          <w:b/>
        </w:rPr>
      </w:pPr>
      <w:r w:rsidRPr="00720ADC">
        <w:rPr>
          <w:rFonts w:asciiTheme="minorHAnsi" w:hAnsiTheme="minorHAnsi" w:cstheme="minorHAnsi"/>
          <w:b/>
        </w:rPr>
        <w:t>Zkrácené názvy právních předpisů:</w:t>
      </w:r>
    </w:p>
    <w:p w14:paraId="2964384C" w14:textId="77777777" w:rsidR="00950CF7" w:rsidRDefault="00950CF7" w:rsidP="00950CF7">
      <w:pPr>
        <w:tabs>
          <w:tab w:val="left" w:pos="1985"/>
          <w:tab w:val="left" w:pos="2268"/>
        </w:tabs>
        <w:rPr>
          <w:rFonts w:asciiTheme="minorHAnsi" w:hAnsiTheme="minorHAnsi" w:cstheme="minorHAnsi"/>
        </w:rPr>
      </w:pPr>
      <w:r w:rsidRPr="00720ADC">
        <w:rPr>
          <w:rFonts w:asciiTheme="minorHAnsi" w:hAnsiTheme="minorHAnsi" w:cstheme="minorHAnsi"/>
          <w:b/>
        </w:rPr>
        <w:t>zákon o účetnictví</w:t>
      </w:r>
      <w:r w:rsidRPr="00720A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zákon č. 563/1991 Sb., o účetnictví</w:t>
      </w:r>
    </w:p>
    <w:p w14:paraId="04D0899D" w14:textId="4AB8FF3C" w:rsidR="00950CF7" w:rsidRDefault="00950CF7" w:rsidP="0063025F">
      <w:pPr>
        <w:jc w:val="both"/>
        <w:rPr>
          <w:rFonts w:asciiTheme="minorHAnsi" w:hAnsiTheme="minorHAnsi" w:cstheme="minorHAnsi"/>
        </w:rPr>
      </w:pPr>
      <w:r w:rsidRPr="00720ADC">
        <w:rPr>
          <w:rFonts w:asciiTheme="minorHAnsi" w:hAnsiTheme="minorHAnsi" w:cstheme="minorHAnsi"/>
          <w:b/>
        </w:rPr>
        <w:t>Obecné nařízení 2014+</w:t>
      </w:r>
      <w:r w:rsidRPr="00720A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5A1D9B">
        <w:rPr>
          <w:rFonts w:asciiTheme="minorHAnsi" w:hAnsiTheme="minorHAnsi" w:cstheme="minorHAnsi"/>
        </w:rPr>
        <w:t>nařízení E</w:t>
      </w:r>
      <w:r w:rsidRPr="00AC31EB">
        <w:rPr>
          <w:rFonts w:asciiTheme="minorHAnsi" w:hAnsiTheme="minorHAnsi" w:cstheme="minorHAnsi"/>
        </w:rPr>
        <w:t>vropského parlamentu a Rady (EU) č. 1303/2013 ze dne 17.</w:t>
      </w:r>
      <w:r w:rsidR="0063025F">
        <w:rPr>
          <w:rFonts w:asciiTheme="minorHAnsi" w:hAnsiTheme="minorHAnsi" w:cstheme="minorHAnsi"/>
        </w:rPr>
        <w:t> </w:t>
      </w:r>
      <w:r w:rsidRPr="00AC31EB">
        <w:rPr>
          <w:rFonts w:asciiTheme="minorHAnsi" w:hAnsiTheme="minorHAnsi" w:cstheme="minorHAnsi"/>
        </w:rPr>
        <w:t>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</w:t>
      </w:r>
      <w:r w:rsidRPr="00A222CB">
        <w:rPr>
          <w:rFonts w:asciiTheme="minorHAnsi" w:hAnsiTheme="minorHAnsi" w:cstheme="minorHAnsi"/>
        </w:rPr>
        <w:t>zení Rady (ES) č. 1083/2006</w:t>
      </w:r>
    </w:p>
    <w:p w14:paraId="1C81D093" w14:textId="12D09523" w:rsidR="00950CF7" w:rsidRPr="006B1D9C" w:rsidRDefault="00950CF7" w:rsidP="004C3D87">
      <w:pPr>
        <w:spacing w:before="120"/>
        <w:jc w:val="both"/>
        <w:rPr>
          <w:rFonts w:asciiTheme="minorHAnsi" w:hAnsiTheme="minorHAnsi" w:cstheme="minorHAnsi"/>
        </w:rPr>
      </w:pPr>
      <w:r w:rsidRPr="00720ADC">
        <w:rPr>
          <w:rFonts w:asciiTheme="minorHAnsi" w:hAnsiTheme="minorHAnsi" w:cstheme="minorHAnsi"/>
          <w:b/>
        </w:rPr>
        <w:t>Obecné nařízení 2007+</w:t>
      </w:r>
      <w:r w:rsidRPr="00720A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>nařízení Rady (ES) č. 1083/2006 ze dne 11.</w:t>
      </w:r>
      <w:r w:rsidR="00D80BD1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>července</w:t>
      </w:r>
      <w:r w:rsidR="00D80BD1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>2006</w:t>
      </w:r>
      <w:r>
        <w:rPr>
          <w:rFonts w:asciiTheme="minorHAnsi" w:hAnsiTheme="minorHAnsi" w:cstheme="minorHAnsi"/>
        </w:rPr>
        <w:t>,</w:t>
      </w:r>
      <w:r w:rsidRPr="00A222CB">
        <w:rPr>
          <w:rFonts w:asciiTheme="minorHAnsi" w:hAnsiTheme="minorHAnsi" w:cstheme="minorHAnsi"/>
        </w:rPr>
        <w:t xml:space="preserve"> o</w:t>
      </w:r>
      <w:r w:rsidR="00D80BD1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>obecných ustanoveních o Evropském fondu pro regionální rozvoj, Evropském sociálním</w:t>
      </w:r>
      <w:r w:rsidRPr="00567446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>fondu a Fondu soudržnosti a o zrušení nařízení (ES) č. 1260/1999</w:t>
      </w:r>
    </w:p>
    <w:sectPr w:rsidR="00950CF7" w:rsidRPr="006B1D9C" w:rsidSect="00C96C88">
      <w:footerReference w:type="default" r:id="rId13"/>
      <w:footnotePr>
        <w:numStart w:val="5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508F" w14:textId="77777777" w:rsidR="005A2E7A" w:rsidRDefault="005A2E7A" w:rsidP="002B7978">
      <w:pPr>
        <w:spacing w:after="0"/>
      </w:pPr>
      <w:r>
        <w:separator/>
      </w:r>
    </w:p>
  </w:endnote>
  <w:endnote w:type="continuationSeparator" w:id="0">
    <w:p w14:paraId="3BFA69B5" w14:textId="77777777" w:rsidR="005A2E7A" w:rsidRDefault="005A2E7A" w:rsidP="002B7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35D77DDB" w14:textId="34F15EBC" w:rsidR="005A2E7A" w:rsidRDefault="005A2E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A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4ABF" w14:textId="77777777" w:rsidR="005A2E7A" w:rsidRDefault="005A2E7A" w:rsidP="002B7978">
      <w:pPr>
        <w:spacing w:after="0"/>
      </w:pPr>
      <w:r>
        <w:separator/>
      </w:r>
    </w:p>
  </w:footnote>
  <w:footnote w:type="continuationSeparator" w:id="0">
    <w:p w14:paraId="0ECFEAF3" w14:textId="77777777" w:rsidR="005A2E7A" w:rsidRDefault="005A2E7A" w:rsidP="002B7978">
      <w:pPr>
        <w:spacing w:after="0"/>
      </w:pPr>
      <w:r>
        <w:continuationSeparator/>
      </w:r>
    </w:p>
  </w:footnote>
  <w:footnote w:id="1">
    <w:p w14:paraId="68237066" w14:textId="2B80B8DB" w:rsidR="005A2E7A" w:rsidRPr="00720ADC" w:rsidRDefault="005A2E7A" w:rsidP="004B1EE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20ADC">
        <w:rPr>
          <w:rStyle w:val="Znakapoznpodarou"/>
          <w:rFonts w:asciiTheme="minorHAnsi" w:hAnsiTheme="minorHAnsi" w:cstheme="minorHAnsi"/>
        </w:rPr>
        <w:footnoteRef/>
      </w:r>
      <w:r w:rsidRPr="00720ADC">
        <w:rPr>
          <w:rFonts w:asciiTheme="minorHAnsi" w:hAnsiTheme="minorHAnsi" w:cstheme="minorHAnsi"/>
        </w:rPr>
        <w:tab/>
      </w:r>
      <w:r w:rsidRPr="00A222CB">
        <w:rPr>
          <w:rFonts w:asciiTheme="minorHAnsi" w:hAnsiTheme="minorHAnsi" w:cstheme="minorHAnsi"/>
        </w:rPr>
        <w:t>Kontrolní akce č. 16/03</w:t>
      </w:r>
      <w:r>
        <w:rPr>
          <w:rFonts w:asciiTheme="minorHAnsi" w:hAnsiTheme="minorHAnsi" w:cstheme="minorHAnsi"/>
        </w:rPr>
        <w:t xml:space="preserve"> –</w:t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  <w:i/>
        </w:rPr>
        <w:t>Závěrečné účty kapitol státního rozpočtu Ministerstvo financí, Státní dluh, Operace státních finančních aktiv a Všeobecná pokladní správa za rok 2015, údaje pro hodnocení plnění rozpočtu za rok 2015 předkládané Ministerstvem financí za tyto kapitoly a účetnictví Ministerstva fina</w:t>
      </w:r>
      <w:r w:rsidRPr="008E7AD7">
        <w:rPr>
          <w:rFonts w:asciiTheme="minorHAnsi" w:hAnsiTheme="minorHAnsi" w:cstheme="minorHAnsi"/>
          <w:i/>
        </w:rPr>
        <w:t>ncí za rok 2015</w:t>
      </w:r>
      <w:r w:rsidRPr="005A1D9B">
        <w:rPr>
          <w:rFonts w:asciiTheme="minorHAnsi" w:hAnsiTheme="minorHAnsi" w:cstheme="minorHAnsi"/>
          <w:i/>
        </w:rPr>
        <w:t>.</w:t>
      </w:r>
      <w:r w:rsidRPr="00720ADC">
        <w:rPr>
          <w:rFonts w:asciiTheme="minorHAnsi" w:hAnsiTheme="minorHAnsi" w:cstheme="minorHAnsi"/>
        </w:rPr>
        <w:t xml:space="preserve"> </w:t>
      </w:r>
    </w:p>
  </w:footnote>
  <w:footnote w:id="2">
    <w:p w14:paraId="329BE8B3" w14:textId="77777777" w:rsidR="005A2E7A" w:rsidRPr="00A222CB" w:rsidRDefault="005A2E7A" w:rsidP="009173D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 xml:space="preserve">Dle </w:t>
      </w:r>
      <w:r w:rsidRPr="00A222CB">
        <w:rPr>
          <w:rFonts w:asciiTheme="minorHAnsi" w:hAnsiTheme="minorHAnsi" w:cstheme="minorHAnsi"/>
          <w:bCs/>
          <w:iCs/>
        </w:rPr>
        <w:t>zákona č. 2/1969 Sb., o zřízení ministerstev a jiných ústředních orgánů státní správy České republiky</w:t>
      </w:r>
      <w:r w:rsidRPr="00A222CB">
        <w:rPr>
          <w:rFonts w:asciiTheme="minorHAnsi" w:hAnsiTheme="minorHAnsi" w:cstheme="minorHAnsi"/>
          <w:bCs/>
          <w:i/>
          <w:iCs/>
        </w:rPr>
        <w:t>.</w:t>
      </w:r>
    </w:p>
  </w:footnote>
  <w:footnote w:id="3">
    <w:p w14:paraId="223AE73B" w14:textId="0440613C" w:rsidR="005A2E7A" w:rsidRPr="00A222CB" w:rsidRDefault="005A2E7A" w:rsidP="004B1EE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ab/>
        <w:t>Vyhláška č. 410/2009 Sb., kterou se provádějí některá ustanovení zákona č. 563/1991 Sb., o účetnictví, ve znění pozdějších předpisů, pro některé vybrané účetní jednotky.</w:t>
      </w:r>
    </w:p>
  </w:footnote>
  <w:footnote w:id="4">
    <w:p w14:paraId="48C591DB" w14:textId="672B67D1" w:rsidR="005A2E7A" w:rsidRPr="00A222CB" w:rsidRDefault="005A2E7A" w:rsidP="00AF436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ab/>
        <w:t xml:space="preserve">Dle </w:t>
      </w:r>
      <w:r>
        <w:rPr>
          <w:rFonts w:asciiTheme="minorHAnsi" w:hAnsiTheme="minorHAnsi" w:cstheme="minorHAnsi"/>
        </w:rPr>
        <w:t>m</w:t>
      </w:r>
      <w:r w:rsidRPr="00A222CB">
        <w:rPr>
          <w:rFonts w:asciiTheme="minorHAnsi" w:hAnsiTheme="minorHAnsi" w:cstheme="minorHAnsi"/>
        </w:rPr>
        <w:t xml:space="preserve">ezinárodního účetního standardu pro veřejný sektor IPSAS 2 – </w:t>
      </w:r>
      <w:r w:rsidRPr="00A222CB">
        <w:rPr>
          <w:rFonts w:asciiTheme="minorHAnsi" w:hAnsiTheme="minorHAnsi" w:cstheme="minorHAnsi"/>
          <w:i/>
        </w:rPr>
        <w:t>Výkaz peněžních toků</w:t>
      </w:r>
      <w:r w:rsidRPr="00A222CB">
        <w:rPr>
          <w:rFonts w:asciiTheme="minorHAnsi" w:hAnsiTheme="minorHAnsi" w:cstheme="minorHAnsi"/>
        </w:rPr>
        <w:t xml:space="preserve"> se transakce, které nejsou spojeny s peněžním tokem, vyžadují z přehledu o peněžních tocích vylučovat, a to ze všech hlavních druhů peněžních toků (provozní činnosti, investiční činnosti i financování). Navržená úprava by tak byla v souladu s dobrou účetní praxí a smyslem vypovídací hodnoty účetního výkazu přehled o peněžních tocích.</w:t>
      </w:r>
    </w:p>
  </w:footnote>
  <w:footnote w:id="5">
    <w:p w14:paraId="5E796D14" w14:textId="37F98108" w:rsidR="005A2E7A" w:rsidRPr="005A1D9B" w:rsidRDefault="005A2E7A" w:rsidP="00BB33C1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eastAsia="Calibr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>Kontrolní akce č. 16/03</w:t>
      </w:r>
      <w:r>
        <w:rPr>
          <w:rFonts w:asciiTheme="minorHAnsi" w:hAnsiTheme="minorHAnsi" w:cstheme="minorHAnsi"/>
        </w:rPr>
        <w:t xml:space="preserve"> –</w:t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  <w:i/>
        </w:rPr>
        <w:t>Závěrečné</w:t>
      </w:r>
      <w:r w:rsidRPr="008E7AD7">
        <w:rPr>
          <w:rFonts w:asciiTheme="minorHAnsi" w:hAnsiTheme="minorHAnsi" w:cstheme="minorHAnsi"/>
          <w:i/>
        </w:rPr>
        <w:t xml:space="preserve"> účty kapitol státního rozpočtu Ministerstvo financí, Státní dluh, Operace státních finančních aktiv a Všeobecná pokladní správa za rok 2015, údaje pro hodnocení plnění rozpočtu za rok 2015 předkládané Ministerstvem financí za tyto kapitoly a účetnictví Mi</w:t>
      </w:r>
      <w:r w:rsidRPr="005A1D9B">
        <w:rPr>
          <w:rFonts w:asciiTheme="minorHAnsi" w:hAnsiTheme="minorHAnsi" w:cstheme="minorHAnsi"/>
          <w:i/>
        </w:rPr>
        <w:t>nisterstva financí za rok 2015.</w:t>
      </w:r>
    </w:p>
  </w:footnote>
  <w:footnote w:id="6">
    <w:p w14:paraId="735A6F08" w14:textId="073AA022" w:rsidR="005A2E7A" w:rsidRPr="00720ADC" w:rsidRDefault="005A2E7A" w:rsidP="004B1EE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20ADC">
        <w:rPr>
          <w:rStyle w:val="Znakapoznpodarou"/>
          <w:rFonts w:asciiTheme="minorHAnsi" w:eastAsia="Calibri" w:hAnsiTheme="minorHAnsi" w:cstheme="minorHAnsi"/>
        </w:rPr>
        <w:footnoteRef/>
      </w:r>
      <w:r w:rsidRPr="00720ADC">
        <w:rPr>
          <w:rFonts w:asciiTheme="minorHAnsi" w:hAnsiTheme="minorHAnsi" w:cstheme="minorHAnsi"/>
        </w:rPr>
        <w:t xml:space="preserve"> </w:t>
      </w:r>
      <w:r w:rsidRPr="00720ADC">
        <w:rPr>
          <w:rFonts w:asciiTheme="minorHAnsi" w:hAnsiTheme="minorHAnsi" w:cstheme="minorHAnsi"/>
        </w:rPr>
        <w:tab/>
        <w:t xml:space="preserve">V souladu s ustanovením § 1 odst. 3 zákona č. 563/1991 Sb., o účetnictví, jsou vybranými účetními jednotkami organizační složky státu, státní fondy podle rozpočtových pravidel, územní samosprávné celky, dobrovolné svazky obcí, </w:t>
      </w:r>
      <w:r>
        <w:rPr>
          <w:rFonts w:asciiTheme="minorHAnsi" w:hAnsiTheme="minorHAnsi" w:cstheme="minorHAnsi"/>
        </w:rPr>
        <w:t>r</w:t>
      </w:r>
      <w:r w:rsidRPr="00720ADC">
        <w:rPr>
          <w:rFonts w:asciiTheme="minorHAnsi" w:hAnsiTheme="minorHAnsi" w:cstheme="minorHAnsi"/>
        </w:rPr>
        <w:t>egionální rady regionů soudržnosti, příspěvkové organizace a zdravotní pojišťovny.</w:t>
      </w:r>
    </w:p>
  </w:footnote>
  <w:footnote w:id="7">
    <w:p w14:paraId="6F626CC8" w14:textId="77777777" w:rsidR="005A2E7A" w:rsidRPr="00720ADC" w:rsidRDefault="005A2E7A" w:rsidP="004661A6">
      <w:pPr>
        <w:pStyle w:val="Textpoznpodarou"/>
        <w:ind w:left="284" w:hanging="284"/>
        <w:rPr>
          <w:rFonts w:asciiTheme="minorHAnsi" w:hAnsiTheme="minorHAnsi" w:cstheme="minorHAnsi"/>
        </w:rPr>
      </w:pPr>
      <w:r w:rsidRPr="00720ADC">
        <w:rPr>
          <w:rStyle w:val="Znakapoznpodarou"/>
          <w:rFonts w:asciiTheme="minorHAnsi" w:eastAsia="Calibri" w:hAnsiTheme="minorHAnsi" w:cstheme="minorHAnsi"/>
        </w:rPr>
        <w:footnoteRef/>
      </w:r>
      <w:r w:rsidRPr="00720ADC">
        <w:rPr>
          <w:rFonts w:asciiTheme="minorHAnsi" w:hAnsiTheme="minorHAnsi" w:cstheme="minorHAnsi"/>
        </w:rPr>
        <w:t xml:space="preserve"> </w:t>
      </w:r>
      <w:r w:rsidRPr="00720ADC">
        <w:rPr>
          <w:rFonts w:asciiTheme="minorHAnsi" w:hAnsiTheme="minorHAnsi" w:cstheme="minorHAnsi"/>
        </w:rPr>
        <w:tab/>
        <w:t xml:space="preserve">Položka D.I.1 </w:t>
      </w:r>
      <w:r w:rsidRPr="00720ADC">
        <w:rPr>
          <w:rFonts w:asciiTheme="minorHAnsi" w:hAnsiTheme="minorHAnsi" w:cstheme="minorHAnsi"/>
          <w:i/>
        </w:rPr>
        <w:t>Rezervy vybraných účetních jednotek</w:t>
      </w:r>
      <w:r w:rsidRPr="00720ADC">
        <w:rPr>
          <w:rFonts w:asciiTheme="minorHAnsi" w:hAnsiTheme="minorHAnsi" w:cstheme="minorHAnsi"/>
        </w:rPr>
        <w:t xml:space="preserve">. </w:t>
      </w:r>
    </w:p>
  </w:footnote>
  <w:footnote w:id="8">
    <w:p w14:paraId="2DF41DA2" w14:textId="6F1DFEB5" w:rsidR="005A2E7A" w:rsidRPr="00A222CB" w:rsidRDefault="005A2E7A" w:rsidP="00FE00F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 xml:space="preserve">ÚZ MF obsahuje údaje, o kterých je účtováno v rámci rozpočtových kapitol 312 </w:t>
      </w:r>
      <w:r>
        <w:rPr>
          <w:rFonts w:asciiTheme="minorHAnsi" w:hAnsiTheme="minorHAnsi" w:cstheme="minorHAnsi"/>
        </w:rPr>
        <w:t xml:space="preserve">– </w:t>
      </w:r>
      <w:r w:rsidRPr="00A222CB">
        <w:rPr>
          <w:rFonts w:asciiTheme="minorHAnsi" w:hAnsiTheme="minorHAnsi" w:cstheme="minorHAnsi"/>
          <w:i/>
        </w:rPr>
        <w:t>Ministerstvo financí</w:t>
      </w:r>
      <w:r w:rsidRPr="00A222CB">
        <w:rPr>
          <w:rFonts w:asciiTheme="minorHAnsi" w:hAnsiTheme="minorHAnsi" w:cstheme="minorHAnsi"/>
        </w:rPr>
        <w:t xml:space="preserve">, </w:t>
      </w:r>
      <w:r w:rsidRPr="00A222CB">
        <w:rPr>
          <w:rFonts w:asciiTheme="minorHAnsi" w:hAnsiTheme="minorHAnsi" w:cstheme="minorHAnsi"/>
        </w:rPr>
        <w:br/>
        <w:t xml:space="preserve">396 </w:t>
      </w:r>
      <w:r>
        <w:rPr>
          <w:rFonts w:asciiTheme="minorHAnsi" w:hAnsiTheme="minorHAnsi" w:cstheme="minorHAnsi"/>
        </w:rPr>
        <w:t xml:space="preserve">– </w:t>
      </w:r>
      <w:r w:rsidRPr="00A222CB">
        <w:rPr>
          <w:rFonts w:asciiTheme="minorHAnsi" w:hAnsiTheme="minorHAnsi" w:cstheme="minorHAnsi"/>
          <w:i/>
        </w:rPr>
        <w:t>Státní dluh</w:t>
      </w:r>
      <w:r w:rsidRPr="00A222CB">
        <w:rPr>
          <w:rFonts w:asciiTheme="minorHAnsi" w:hAnsiTheme="minorHAnsi" w:cstheme="minorHAnsi"/>
        </w:rPr>
        <w:t>, 397</w:t>
      </w:r>
      <w:r>
        <w:rPr>
          <w:rFonts w:asciiTheme="minorHAnsi" w:hAnsiTheme="minorHAnsi" w:cstheme="minorHAnsi"/>
        </w:rPr>
        <w:t xml:space="preserve"> –</w:t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  <w:i/>
        </w:rPr>
        <w:t>Operace státních finančních aktiv</w:t>
      </w:r>
      <w:r w:rsidRPr="00A222CB">
        <w:rPr>
          <w:rFonts w:asciiTheme="minorHAnsi" w:hAnsiTheme="minorHAnsi" w:cstheme="minorHAnsi"/>
        </w:rPr>
        <w:t xml:space="preserve">, 398 </w:t>
      </w:r>
      <w:r>
        <w:rPr>
          <w:rFonts w:asciiTheme="minorHAnsi" w:hAnsiTheme="minorHAnsi" w:cstheme="minorHAnsi"/>
        </w:rPr>
        <w:t xml:space="preserve">– </w:t>
      </w:r>
      <w:r w:rsidRPr="00A222CB">
        <w:rPr>
          <w:rFonts w:asciiTheme="minorHAnsi" w:hAnsiTheme="minorHAnsi" w:cstheme="minorHAnsi"/>
          <w:i/>
        </w:rPr>
        <w:t>Všeobecná pokladní správa</w:t>
      </w:r>
      <w:r w:rsidRPr="00A222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v rámci </w:t>
      </w:r>
      <w:r w:rsidRPr="00720ADC">
        <w:rPr>
          <w:rFonts w:asciiTheme="minorHAnsi" w:hAnsiTheme="minorHAnsi" w:cstheme="minorHAnsi"/>
          <w:i/>
        </w:rPr>
        <w:t>Národního fondu</w:t>
      </w:r>
      <w:r w:rsidRPr="00A222CB">
        <w:rPr>
          <w:rFonts w:asciiTheme="minorHAnsi" w:hAnsiTheme="minorHAnsi" w:cstheme="minorHAnsi"/>
        </w:rPr>
        <w:t xml:space="preserve"> a </w:t>
      </w:r>
      <w:r w:rsidRPr="00720ADC">
        <w:rPr>
          <w:rFonts w:asciiTheme="minorHAnsi" w:hAnsiTheme="minorHAnsi" w:cstheme="minorHAnsi"/>
          <w:i/>
        </w:rPr>
        <w:t>Fondu privatizace</w:t>
      </w:r>
      <w:r w:rsidRPr="00A222CB">
        <w:rPr>
          <w:rFonts w:asciiTheme="minorHAnsi" w:hAnsiTheme="minorHAnsi" w:cstheme="minorHAnsi"/>
        </w:rPr>
        <w:t>.</w:t>
      </w:r>
    </w:p>
  </w:footnote>
  <w:footnote w:id="9">
    <w:p w14:paraId="092195C3" w14:textId="77777777" w:rsidR="005A2E7A" w:rsidRPr="00A222CB" w:rsidRDefault="005A2E7A" w:rsidP="00136E1C">
      <w:pPr>
        <w:pStyle w:val="Textpoznpodarou"/>
        <w:ind w:left="284" w:hanging="284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>Jedná se o programová období 2004–2006, 2007–2013 a 2014–2020.</w:t>
      </w:r>
    </w:p>
  </w:footnote>
  <w:footnote w:id="10">
    <w:p w14:paraId="687B1F5F" w14:textId="77777777" w:rsidR="005A2E7A" w:rsidRPr="005A1D9B" w:rsidRDefault="005A2E7A" w:rsidP="00136E1C">
      <w:pPr>
        <w:pStyle w:val="Textpoznpodarou"/>
        <w:ind w:left="284" w:hanging="284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 xml:space="preserve">Zůstatek účtu 571 – </w:t>
      </w:r>
      <w:r w:rsidRPr="00A222CB">
        <w:rPr>
          <w:rFonts w:asciiTheme="minorHAnsi" w:hAnsiTheme="minorHAnsi" w:cstheme="minorHAnsi"/>
          <w:i/>
        </w:rPr>
        <w:t xml:space="preserve">Náklady vybraných ústředních vládních institucí na </w:t>
      </w:r>
      <w:r w:rsidRPr="008E7AD7">
        <w:rPr>
          <w:rFonts w:asciiTheme="minorHAnsi" w:hAnsiTheme="minorHAnsi" w:cstheme="minorHAnsi"/>
          <w:i/>
        </w:rPr>
        <w:t>transfery</w:t>
      </w:r>
      <w:r w:rsidRPr="005A1D9B">
        <w:rPr>
          <w:rFonts w:asciiTheme="minorHAnsi" w:hAnsiTheme="minorHAnsi" w:cstheme="minorHAnsi"/>
        </w:rPr>
        <w:t xml:space="preserve"> k 31. 12. 2017.</w:t>
      </w:r>
    </w:p>
  </w:footnote>
  <w:footnote w:id="11">
    <w:p w14:paraId="566F6EEE" w14:textId="549E1FB9" w:rsidR="005A2E7A" w:rsidRPr="00DF3B38" w:rsidRDefault="005A2E7A" w:rsidP="00A222CB">
      <w:pPr>
        <w:pStyle w:val="Textpoznpodarou"/>
        <w:ind w:left="284" w:hanging="284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ab/>
        <w:t>Jedná se o prostředky, které jsou poskytovány na základě příslušných nařízení Evropského parlamentu a Rady – viz část IV.1</w:t>
      </w:r>
      <w:r>
        <w:rPr>
          <w:rFonts w:asciiTheme="minorHAnsi" w:hAnsiTheme="minorHAnsi" w:cstheme="minorHAnsi"/>
        </w:rPr>
        <w:t>. kontrolního závěru.</w:t>
      </w:r>
    </w:p>
  </w:footnote>
  <w:footnote w:id="12">
    <w:p w14:paraId="0BFF7E20" w14:textId="3DCAA703" w:rsidR="005A2E7A" w:rsidRPr="00A222CB" w:rsidRDefault="005A2E7A" w:rsidP="003125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>Relevantní pro programové období 2014–2020: Nejedná se o účetní závěrku MF</w:t>
      </w:r>
      <w:r w:rsidRPr="005A1D9B">
        <w:rPr>
          <w:rFonts w:asciiTheme="minorHAnsi" w:hAnsiTheme="minorHAnsi" w:cstheme="minorHAnsi"/>
        </w:rPr>
        <w:t xml:space="preserve"> ve smyslu zákona o účetnictví, ale o účetní závěrku sestavenou dle nařízení E</w:t>
      </w:r>
      <w:r w:rsidRPr="00AC31EB">
        <w:rPr>
          <w:rFonts w:asciiTheme="minorHAnsi" w:hAnsiTheme="minorHAnsi" w:cstheme="minorHAnsi"/>
        </w:rPr>
        <w:t>vropského parlamentu a Rady (EU) č. 1303/2013 ze dne 17. prosince 2013</w:t>
      </w:r>
      <w:r>
        <w:rPr>
          <w:rFonts w:asciiTheme="minorHAnsi" w:hAnsiTheme="minorHAnsi" w:cstheme="minorHAnsi"/>
        </w:rPr>
        <w:t>,</w:t>
      </w:r>
      <w:r w:rsidRPr="00AC31EB">
        <w:rPr>
          <w:rFonts w:asciiTheme="minorHAnsi" w:hAnsiTheme="minorHAnsi" w:cstheme="minorHAnsi"/>
        </w:rPr>
        <w:t xml:space="preserve">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</w:t>
      </w:r>
      <w:r w:rsidRPr="00A222CB">
        <w:rPr>
          <w:rFonts w:asciiTheme="minorHAnsi" w:hAnsiTheme="minorHAnsi" w:cstheme="minorHAnsi"/>
        </w:rPr>
        <w:t>zení Rady (ES) č. 1083/2006 (dále také „Obecné nařízení 2014+“).</w:t>
      </w:r>
    </w:p>
  </w:footnote>
  <w:footnote w:id="13">
    <w:p w14:paraId="6396470C" w14:textId="70E129A7" w:rsidR="005A2E7A" w:rsidRPr="00A222CB" w:rsidRDefault="005A2E7A" w:rsidP="003125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</w:rPr>
        <w:footnoteRef/>
      </w:r>
      <w:r w:rsidRPr="00A222CB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ab/>
        <w:t xml:space="preserve">Obecná pravidla použitelná na </w:t>
      </w:r>
      <w:r w:rsidRPr="00720ADC">
        <w:rPr>
          <w:rFonts w:asciiTheme="minorHAnsi" w:hAnsiTheme="minorHAnsi" w:cstheme="minorHAnsi"/>
          <w:i/>
        </w:rPr>
        <w:t>Evropský fond pro regionální rozvoj</w:t>
      </w:r>
      <w:r w:rsidRPr="00A222CB">
        <w:rPr>
          <w:rFonts w:asciiTheme="minorHAnsi" w:hAnsiTheme="minorHAnsi" w:cstheme="minorHAnsi"/>
        </w:rPr>
        <w:t xml:space="preserve"> (dále také „EFRR“), </w:t>
      </w:r>
      <w:r w:rsidRPr="00720ADC">
        <w:rPr>
          <w:rFonts w:asciiTheme="minorHAnsi" w:hAnsiTheme="minorHAnsi" w:cstheme="minorHAnsi"/>
          <w:i/>
        </w:rPr>
        <w:t>Evropský sociální fond</w:t>
      </w:r>
      <w:r w:rsidRPr="00A222CB">
        <w:rPr>
          <w:rFonts w:asciiTheme="minorHAnsi" w:hAnsiTheme="minorHAnsi" w:cstheme="minorHAnsi"/>
        </w:rPr>
        <w:t xml:space="preserve"> (dále také „ESF“), </w:t>
      </w:r>
      <w:r w:rsidRPr="00720ADC">
        <w:rPr>
          <w:rFonts w:asciiTheme="minorHAnsi" w:hAnsiTheme="minorHAnsi" w:cstheme="minorHAnsi"/>
          <w:i/>
        </w:rPr>
        <w:t>Fond soudržnosti</w:t>
      </w:r>
      <w:r w:rsidRPr="00A222CB">
        <w:rPr>
          <w:rFonts w:asciiTheme="minorHAnsi" w:hAnsiTheme="minorHAnsi" w:cstheme="minorHAnsi"/>
        </w:rPr>
        <w:t xml:space="preserve"> (dále také „CF“), </w:t>
      </w:r>
      <w:r w:rsidRPr="00720ADC">
        <w:rPr>
          <w:rFonts w:asciiTheme="minorHAnsi" w:hAnsiTheme="minorHAnsi" w:cstheme="minorHAnsi"/>
          <w:i/>
        </w:rPr>
        <w:t>Evropský zemědělský fond pro rozvoj venkova</w:t>
      </w:r>
      <w:r w:rsidRPr="00A222CB">
        <w:rPr>
          <w:rFonts w:asciiTheme="minorHAnsi" w:hAnsiTheme="minorHAnsi" w:cstheme="minorHAnsi"/>
        </w:rPr>
        <w:t xml:space="preserve"> a </w:t>
      </w:r>
      <w:r w:rsidRPr="00720ADC">
        <w:rPr>
          <w:rFonts w:asciiTheme="minorHAnsi" w:hAnsiTheme="minorHAnsi" w:cstheme="minorHAnsi"/>
          <w:i/>
        </w:rPr>
        <w:t>Evropský námořní a rybářský fond</w:t>
      </w:r>
      <w:r w:rsidRPr="00A222CB">
        <w:rPr>
          <w:rFonts w:asciiTheme="minorHAnsi" w:hAnsiTheme="minorHAnsi" w:cstheme="minorHAnsi"/>
        </w:rPr>
        <w:t xml:space="preserve"> stanoví Obecné nařízení 2014+.</w:t>
      </w:r>
    </w:p>
    <w:p w14:paraId="173084C2" w14:textId="1CCC9946" w:rsidR="005A2E7A" w:rsidRPr="005A1D9B" w:rsidRDefault="005A2E7A" w:rsidP="003125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ab/>
        <w:t>Obecná pravidla použitelná pro EFRR, ESF a CF stanoví nařízení Rady (ES) č. 1083/2006 ze dne 11. července 2006</w:t>
      </w:r>
      <w:r>
        <w:rPr>
          <w:rFonts w:asciiTheme="minorHAnsi" w:hAnsiTheme="minorHAnsi" w:cstheme="minorHAnsi"/>
        </w:rPr>
        <w:t>,</w:t>
      </w:r>
      <w:r w:rsidRPr="00A222CB">
        <w:rPr>
          <w:rFonts w:asciiTheme="minorHAnsi" w:hAnsiTheme="minorHAnsi" w:cstheme="minorHAnsi"/>
        </w:rPr>
        <w:t xml:space="preserve"> o obecných ustanoveních o Evropském fondu pro regionální rozvoj, Evropském sociálním</w:t>
      </w:r>
      <w:r w:rsidRPr="00567446">
        <w:rPr>
          <w:rFonts w:asciiTheme="minorHAnsi" w:hAnsiTheme="minorHAnsi" w:cstheme="minorHAnsi"/>
        </w:rPr>
        <w:t xml:space="preserve"> </w:t>
      </w:r>
      <w:r w:rsidRPr="00A222CB">
        <w:rPr>
          <w:rFonts w:asciiTheme="minorHAnsi" w:hAnsiTheme="minorHAnsi" w:cstheme="minorHAnsi"/>
        </w:rPr>
        <w:t>fondu a Fondu soudržnosti a o zrušení nařízení (ES) č. 1260/1999 (v konsolidovaném znění), (dále také „Obecné nařízení 2007+“)</w:t>
      </w:r>
      <w:r w:rsidRPr="005A1D9B">
        <w:rPr>
          <w:rFonts w:asciiTheme="minorHAnsi" w:hAnsiTheme="minorHAnsi" w:cstheme="minorHAnsi"/>
        </w:rPr>
        <w:t>.</w:t>
      </w:r>
    </w:p>
    <w:p w14:paraId="3B61C172" w14:textId="5DB26F8F" w:rsidR="005A2E7A" w:rsidRPr="00A222CB" w:rsidRDefault="005A2E7A" w:rsidP="003125B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ab/>
        <w:t>Obecná pravidla použitelná pro strukturální fondy stanoví nařízení Rady (ES) č. 1260/1999 ze dne 21. června 1999</w:t>
      </w:r>
      <w:r>
        <w:rPr>
          <w:rFonts w:asciiTheme="minorHAnsi" w:hAnsiTheme="minorHAnsi" w:cstheme="minorHAnsi"/>
        </w:rPr>
        <w:t>,</w:t>
      </w:r>
      <w:r w:rsidRPr="00A222CB">
        <w:rPr>
          <w:rFonts w:asciiTheme="minorHAnsi" w:hAnsiTheme="minorHAnsi" w:cstheme="minorHAnsi"/>
        </w:rPr>
        <w:t xml:space="preserve"> o obecných ustanoveních o strukturálních fondech (v konsolidovaném znění).</w:t>
      </w:r>
    </w:p>
    <w:p w14:paraId="30470A62" w14:textId="12D41D07" w:rsidR="005A2E7A" w:rsidRPr="00A222CB" w:rsidRDefault="005A2E7A" w:rsidP="00483F7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Fonts w:asciiTheme="minorHAnsi" w:hAnsiTheme="minorHAnsi" w:cstheme="minorHAnsi"/>
        </w:rPr>
        <w:tab/>
        <w:t xml:space="preserve">Pravidla použitelná pro </w:t>
      </w:r>
      <w:r w:rsidRPr="00720ADC">
        <w:rPr>
          <w:rFonts w:asciiTheme="minorHAnsi" w:hAnsiTheme="minorHAnsi" w:cstheme="minorHAnsi"/>
          <w:i/>
        </w:rPr>
        <w:t>Fond soudržnosti</w:t>
      </w:r>
      <w:r w:rsidRPr="00A222CB">
        <w:rPr>
          <w:rFonts w:asciiTheme="minorHAnsi" w:hAnsiTheme="minorHAnsi" w:cstheme="minorHAnsi"/>
        </w:rPr>
        <w:t xml:space="preserve"> stanoví nařízení Rady (ES) č. 1164/94 ze dne 16. května 1994</w:t>
      </w:r>
      <w:r>
        <w:rPr>
          <w:rFonts w:asciiTheme="minorHAnsi" w:hAnsiTheme="minorHAnsi" w:cstheme="minorHAnsi"/>
        </w:rPr>
        <w:t>,</w:t>
      </w:r>
      <w:r w:rsidRPr="00A222CB">
        <w:rPr>
          <w:rFonts w:asciiTheme="minorHAnsi" w:hAnsiTheme="minorHAnsi" w:cstheme="minorHAnsi"/>
        </w:rPr>
        <w:t xml:space="preserve"> o zřízení Fondu soudržnosti (v konsolidovaném znění).</w:t>
      </w:r>
    </w:p>
  </w:footnote>
  <w:footnote w:id="14">
    <w:p w14:paraId="30660E85" w14:textId="0907D76B" w:rsidR="005A2E7A" w:rsidRPr="00720ADC" w:rsidRDefault="005A2E7A" w:rsidP="00483F75">
      <w:p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20AD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720ADC">
        <w:rPr>
          <w:rFonts w:asciiTheme="minorHAnsi" w:hAnsiTheme="minorHAnsi" w:cstheme="minorHAnsi"/>
          <w:sz w:val="20"/>
          <w:szCs w:val="20"/>
        </w:rPr>
        <w:t xml:space="preserve"> </w:t>
      </w:r>
      <w:r w:rsidRPr="00720ADC">
        <w:rPr>
          <w:rFonts w:asciiTheme="minorHAnsi" w:hAnsiTheme="minorHAnsi" w:cstheme="minorHAnsi"/>
          <w:sz w:val="20"/>
          <w:szCs w:val="20"/>
        </w:rPr>
        <w:tab/>
        <w:t xml:space="preserve">Kontrola se zaměřila na zmapování procesu ukončení pomoci ze strukturálních fondů, </w:t>
      </w:r>
      <w:r w:rsidRPr="00D553DE">
        <w:rPr>
          <w:rFonts w:asciiTheme="minorHAnsi" w:hAnsiTheme="minorHAnsi" w:cstheme="minorHAnsi"/>
          <w:i/>
          <w:sz w:val="20"/>
          <w:szCs w:val="20"/>
        </w:rPr>
        <w:t>Fondu soudržnosti</w:t>
      </w:r>
      <w:r w:rsidRPr="00720ADC">
        <w:rPr>
          <w:rFonts w:asciiTheme="minorHAnsi" w:hAnsiTheme="minorHAnsi" w:cstheme="minorHAnsi"/>
          <w:sz w:val="20"/>
          <w:szCs w:val="20"/>
        </w:rPr>
        <w:t xml:space="preserve"> a </w:t>
      </w:r>
      <w:r w:rsidRPr="00D553DE">
        <w:rPr>
          <w:rFonts w:asciiTheme="minorHAnsi" w:hAnsiTheme="minorHAnsi" w:cstheme="minorHAnsi"/>
          <w:i/>
          <w:sz w:val="20"/>
          <w:szCs w:val="20"/>
        </w:rPr>
        <w:t>Evropského rybářského fondu</w:t>
      </w:r>
      <w:r w:rsidRPr="00720ADC">
        <w:rPr>
          <w:rFonts w:asciiTheme="minorHAnsi" w:hAnsiTheme="minorHAnsi" w:cstheme="minorHAnsi"/>
          <w:sz w:val="20"/>
          <w:szCs w:val="20"/>
        </w:rPr>
        <w:t xml:space="preserve"> a ve vazbě na zjištěné skutečnosti na zůstatky vykázané k 31. 12. 2017 na relevantních analytických účtech k účtům 375, 475 a 953. </w:t>
      </w:r>
    </w:p>
  </w:footnote>
  <w:footnote w:id="15">
    <w:p w14:paraId="1C426BCE" w14:textId="0380358F" w:rsidR="005A2E7A" w:rsidRPr="00EE4DFC" w:rsidRDefault="005A2E7A" w:rsidP="00720AD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222CB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222CB">
        <w:rPr>
          <w:rFonts w:asciiTheme="minorHAnsi" w:hAnsiTheme="minorHAnsi" w:cstheme="minorHAnsi"/>
          <w:sz w:val="20"/>
          <w:szCs w:val="20"/>
        </w:rPr>
        <w:t xml:space="preserve"> </w:t>
      </w:r>
      <w:r w:rsidRPr="00A222CB">
        <w:rPr>
          <w:rFonts w:asciiTheme="minorHAnsi" w:hAnsiTheme="minorHAnsi" w:cstheme="minorHAnsi"/>
          <w:sz w:val="20"/>
          <w:szCs w:val="20"/>
        </w:rPr>
        <w:tab/>
        <w:t xml:space="preserve">Ukončení pomoci ze strukturálních fondů je upraveno rozhodnutím </w:t>
      </w:r>
      <w:r w:rsidRPr="005A1D9B">
        <w:rPr>
          <w:rFonts w:asciiTheme="minorHAnsi" w:hAnsiTheme="minorHAnsi" w:cstheme="minorHAnsi"/>
          <w:sz w:val="20"/>
          <w:szCs w:val="20"/>
        </w:rPr>
        <w:t xml:space="preserve">Komise ze dne 1. </w:t>
      </w:r>
      <w:r w:rsidRPr="00AC31EB">
        <w:rPr>
          <w:rFonts w:asciiTheme="minorHAnsi" w:hAnsiTheme="minorHAnsi" w:cstheme="minorHAnsi"/>
          <w:sz w:val="20"/>
          <w:szCs w:val="20"/>
        </w:rPr>
        <w:t xml:space="preserve">srpna 2006 </w:t>
      </w:r>
      <w:r w:rsidRPr="00720ADC">
        <w:rPr>
          <w:rFonts w:asciiTheme="minorHAnsi" w:hAnsiTheme="minorHAnsi" w:cstheme="minorHAnsi"/>
          <w:i/>
          <w:sz w:val="20"/>
          <w:szCs w:val="20"/>
        </w:rPr>
        <w:t>Pokyny k ukončení pomoci (2000-2006) ze strukturálních fondů</w:t>
      </w:r>
      <w:r w:rsidRPr="00AC31EB">
        <w:rPr>
          <w:rFonts w:asciiTheme="minorHAnsi" w:hAnsiTheme="minorHAnsi" w:cstheme="minorHAnsi"/>
          <w:sz w:val="20"/>
          <w:szCs w:val="20"/>
        </w:rPr>
        <w:t>, KOM(2006) 3424 v konečném znění. V obecných zásadách tohoto rozhodnutí je stanoveno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C31EB">
        <w:rPr>
          <w:rFonts w:asciiTheme="minorHAnsi" w:hAnsiTheme="minorHAnsi" w:cstheme="minorHAnsi"/>
          <w:sz w:val="20"/>
          <w:szCs w:val="20"/>
        </w:rPr>
        <w:t xml:space="preserve"> </w:t>
      </w:r>
      <w:r w:rsidRPr="00720ADC">
        <w:rPr>
          <w:rFonts w:asciiTheme="minorHAnsi" w:hAnsiTheme="minorHAnsi" w:cstheme="minorHAnsi"/>
          <w:sz w:val="20"/>
          <w:szCs w:val="20"/>
        </w:rPr>
        <w:t>„</w:t>
      </w:r>
      <w:r w:rsidRPr="00AC31EB">
        <w:rPr>
          <w:rFonts w:asciiTheme="minorHAnsi" w:hAnsiTheme="minorHAnsi" w:cstheme="minorHAnsi"/>
          <w:i/>
          <w:sz w:val="20"/>
          <w:szCs w:val="20"/>
        </w:rPr>
        <w:t>Ukončení pomoci zahrnuje finanční vyrovnání nesplacených závazků Společenství zaplacením zůstatku závazku určenému orgánu nebo vydáním vrubopisu a zrušením konečného zůstatku, jakož i lhůtu, ve které bud</w:t>
      </w:r>
      <w:r w:rsidRPr="00A222CB">
        <w:rPr>
          <w:rFonts w:asciiTheme="minorHAnsi" w:hAnsiTheme="minorHAnsi" w:cstheme="minorHAnsi"/>
          <w:i/>
          <w:sz w:val="20"/>
          <w:szCs w:val="20"/>
        </w:rPr>
        <w:t>ou práva a povinnosti Komise a členských států týkající se pomoci nebo operací ukončeny. Konečné vyrovnání se nedotýká práva Komise na přijetí finančních oprav.</w:t>
      </w:r>
      <w:r w:rsidRPr="00720ADC">
        <w:rPr>
          <w:rFonts w:asciiTheme="minorHAnsi" w:hAnsiTheme="minorHAnsi" w:cstheme="minorHAnsi"/>
          <w:sz w:val="20"/>
          <w:szCs w:val="20"/>
        </w:rPr>
        <w:t>“</w:t>
      </w:r>
    </w:p>
  </w:footnote>
  <w:footnote w:id="16">
    <w:p w14:paraId="3B2E6E8A" w14:textId="77777777" w:rsidR="005A2E7A" w:rsidRPr="005A4235" w:rsidRDefault="005A2E7A" w:rsidP="00483F75">
      <w:pPr>
        <w:pStyle w:val="Textpoznpodarou"/>
        <w:ind w:left="284" w:hanging="284"/>
        <w:rPr>
          <w:rFonts w:asciiTheme="minorHAnsi" w:hAnsiTheme="minorHAnsi" w:cstheme="minorHAnsi"/>
        </w:rPr>
      </w:pPr>
      <w:r w:rsidRPr="005A4235">
        <w:rPr>
          <w:rStyle w:val="Znakapoznpodarou"/>
          <w:rFonts w:asciiTheme="minorHAnsi" w:hAnsiTheme="minorHAnsi" w:cstheme="minorHAnsi"/>
        </w:rPr>
        <w:footnoteRef/>
      </w:r>
      <w:r w:rsidRPr="005A42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A4235">
        <w:rPr>
          <w:rFonts w:asciiTheme="minorHAnsi" w:hAnsiTheme="minorHAnsi" w:cstheme="minorHAnsi"/>
        </w:rPr>
        <w:t>Zejména z titulu existence nezpůsobilých výdajů a jiných nesrovnalostí a souvisejících finančních oprav.</w:t>
      </w:r>
    </w:p>
  </w:footnote>
  <w:footnote w:id="17">
    <w:p w14:paraId="7F538084" w14:textId="78258D6C" w:rsidR="005A2E7A" w:rsidRPr="005A4235" w:rsidRDefault="005A2E7A" w:rsidP="00483F7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4235">
        <w:rPr>
          <w:rStyle w:val="Znakapoznpodarou"/>
          <w:sz w:val="20"/>
          <w:szCs w:val="20"/>
        </w:rPr>
        <w:footnoteRef/>
      </w:r>
      <w:r w:rsidRPr="005A42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A4235">
        <w:rPr>
          <w:rFonts w:asciiTheme="minorHAnsi" w:hAnsiTheme="minorHAnsi" w:cstheme="minorHAnsi"/>
          <w:sz w:val="20"/>
          <w:szCs w:val="20"/>
        </w:rPr>
        <w:t>V rámci čerpání finančních prostředků z EU může docházet k situacím, kdy NF-PCO na sv</w:t>
      </w:r>
      <w:r>
        <w:rPr>
          <w:rFonts w:asciiTheme="minorHAnsi" w:hAnsiTheme="minorHAnsi" w:cstheme="minorHAnsi"/>
          <w:sz w:val="20"/>
          <w:szCs w:val="20"/>
        </w:rPr>
        <w:t>ůj</w:t>
      </w:r>
      <w:r w:rsidRPr="005A4235">
        <w:rPr>
          <w:rFonts w:asciiTheme="minorHAnsi" w:hAnsiTheme="minorHAnsi" w:cstheme="minorHAnsi"/>
          <w:sz w:val="20"/>
          <w:szCs w:val="20"/>
        </w:rPr>
        <w:t xml:space="preserve"> bankovní úč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5A4235">
        <w:rPr>
          <w:rFonts w:asciiTheme="minorHAnsi" w:hAnsiTheme="minorHAnsi" w:cstheme="minorHAnsi"/>
          <w:sz w:val="20"/>
          <w:szCs w:val="20"/>
        </w:rPr>
        <w:t xml:space="preserve">t přijímá zpět finanční prostředky (vratky). </w:t>
      </w:r>
      <w:r w:rsidRPr="005A4235">
        <w:rPr>
          <w:rFonts w:cs="Calibri"/>
          <w:sz w:val="20"/>
          <w:szCs w:val="20"/>
        </w:rPr>
        <w:t xml:space="preserve">Prostředky na tomto účtu nejsou považovány za prostředky státního rozpočtu a </w:t>
      </w:r>
      <w:r w:rsidRPr="004D3CC2">
        <w:rPr>
          <w:rFonts w:cs="Calibri"/>
          <w:sz w:val="20"/>
          <w:szCs w:val="20"/>
        </w:rPr>
        <w:t>zůstatek</w:t>
      </w:r>
      <w:r>
        <w:rPr>
          <w:rFonts w:cs="Calibri"/>
          <w:sz w:val="20"/>
          <w:szCs w:val="20"/>
        </w:rPr>
        <w:t xml:space="preserve"> tohoto účtu</w:t>
      </w:r>
      <w:r w:rsidRPr="004D3CC2">
        <w:rPr>
          <w:rFonts w:cs="Calibri"/>
          <w:sz w:val="20"/>
          <w:szCs w:val="20"/>
        </w:rPr>
        <w:t xml:space="preserve"> je převáděn</w:t>
      </w:r>
      <w:r w:rsidRPr="005A4235">
        <w:rPr>
          <w:rFonts w:cs="Calibri"/>
          <w:sz w:val="20"/>
          <w:szCs w:val="20"/>
        </w:rPr>
        <w:t xml:space="preserve"> do dalšího kalendářního roku.</w:t>
      </w:r>
    </w:p>
  </w:footnote>
  <w:footnote w:id="18">
    <w:p w14:paraId="417646BB" w14:textId="77777777" w:rsidR="005A2E7A" w:rsidRPr="005A4235" w:rsidRDefault="005A2E7A" w:rsidP="00483F75">
      <w:pPr>
        <w:pStyle w:val="Textpoznpodarou"/>
        <w:ind w:left="284" w:hanging="284"/>
        <w:rPr>
          <w:rFonts w:asciiTheme="minorHAnsi" w:hAnsiTheme="minorHAnsi" w:cstheme="minorHAnsi"/>
        </w:rPr>
      </w:pPr>
      <w:r w:rsidRPr="005A4235">
        <w:rPr>
          <w:rStyle w:val="Znakapoznpodarou"/>
          <w:rFonts w:asciiTheme="minorHAnsi" w:hAnsiTheme="minorHAnsi" w:cstheme="minorHAnsi"/>
        </w:rPr>
        <w:footnoteRef/>
      </w:r>
      <w:r w:rsidRPr="005A42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A4235">
        <w:rPr>
          <w:rFonts w:asciiTheme="minorHAnsi" w:hAnsiTheme="minorHAnsi" w:cstheme="minorHAnsi"/>
        </w:rPr>
        <w:t>Týká se programového období 2004–2006 a 2007–2013.</w:t>
      </w:r>
    </w:p>
  </w:footnote>
  <w:footnote w:id="19">
    <w:p w14:paraId="71845AA8" w14:textId="77777777" w:rsidR="005A2E7A" w:rsidRPr="005A4235" w:rsidRDefault="005A2E7A" w:rsidP="00AF436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A4235">
        <w:rPr>
          <w:rStyle w:val="Znakapoznpodarou"/>
          <w:rFonts w:asciiTheme="minorHAnsi" w:hAnsiTheme="minorHAnsi" w:cstheme="minorHAnsi"/>
        </w:rPr>
        <w:footnoteRef/>
      </w:r>
      <w:r w:rsidRPr="005A42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A4235">
        <w:rPr>
          <w:rFonts w:asciiTheme="minorHAnsi" w:hAnsiTheme="minorHAnsi" w:cstheme="minorHAnsi"/>
        </w:rPr>
        <w:t>Jedná se o vratky s certifikací, tj. nesprávně využité prostředky, které byly vráceny NF-PCO a které již byly či budou certifikovány.</w:t>
      </w:r>
    </w:p>
  </w:footnote>
  <w:footnote w:id="20">
    <w:p w14:paraId="7D96E05B" w14:textId="53AF6BBC" w:rsidR="005A2E7A" w:rsidRPr="00AF4368" w:rsidRDefault="005A2E7A" w:rsidP="00720ADC">
      <w:pPr>
        <w:pStyle w:val="Textpoznpodarou"/>
        <w:ind w:left="284" w:hanging="284"/>
        <w:rPr>
          <w:rFonts w:asciiTheme="minorHAnsi" w:hAnsiTheme="minorHAnsi" w:cstheme="minorHAnsi"/>
        </w:rPr>
      </w:pPr>
      <w:r w:rsidRPr="00AF436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F4368">
        <w:rPr>
          <w:rFonts w:asciiTheme="minorHAnsi" w:hAnsiTheme="minorHAnsi" w:cstheme="minorHAnsi"/>
        </w:rPr>
        <w:t>Ve výši 70,3 mil. Kč za programové období 2004</w:t>
      </w:r>
      <w:r>
        <w:rPr>
          <w:rFonts w:asciiTheme="minorHAnsi" w:hAnsiTheme="minorHAnsi" w:cstheme="minorHAnsi"/>
        </w:rPr>
        <w:t>–</w:t>
      </w:r>
      <w:r w:rsidRPr="00AF4368">
        <w:rPr>
          <w:rFonts w:asciiTheme="minorHAnsi" w:hAnsiTheme="minorHAnsi" w:cstheme="minorHAnsi"/>
        </w:rPr>
        <w:t>2006 a 1,2 ml</w:t>
      </w:r>
      <w:r>
        <w:rPr>
          <w:rFonts w:asciiTheme="minorHAnsi" w:hAnsiTheme="minorHAnsi" w:cstheme="minorHAnsi"/>
        </w:rPr>
        <w:t>d. Kč za programové období 2007–</w:t>
      </w:r>
      <w:r w:rsidRPr="00AF4368">
        <w:rPr>
          <w:rFonts w:asciiTheme="minorHAnsi" w:hAnsiTheme="minorHAnsi" w:cstheme="minorHAnsi"/>
        </w:rPr>
        <w:t>2013.</w:t>
      </w:r>
    </w:p>
  </w:footnote>
  <w:footnote w:id="21">
    <w:p w14:paraId="2029F0AE" w14:textId="77777777" w:rsidR="005A2E7A" w:rsidRPr="00C2163D" w:rsidRDefault="005A2E7A" w:rsidP="00483F75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4235">
        <w:rPr>
          <w:rStyle w:val="Znakapoznpodarou"/>
          <w:sz w:val="20"/>
          <w:szCs w:val="20"/>
        </w:rPr>
        <w:footnoteRef/>
      </w:r>
      <w:r w:rsidRPr="005A42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F4368">
        <w:rPr>
          <w:rFonts w:asciiTheme="minorHAnsi" w:hAnsiTheme="minorHAnsi" w:cstheme="minorHAnsi"/>
          <w:sz w:val="20"/>
          <w:szCs w:val="20"/>
        </w:rPr>
        <w:t xml:space="preserve">Kontrola se zaměřila na zůstatky účtů 475 a 953, které MF vykázalo k 31. 12. 2017 v rámci těchto operačních programů z titulu </w:t>
      </w:r>
      <w:r w:rsidRPr="00C2163D">
        <w:rPr>
          <w:rFonts w:asciiTheme="minorHAnsi" w:hAnsiTheme="minorHAnsi" w:cstheme="minorHAnsi"/>
          <w:sz w:val="20"/>
          <w:szCs w:val="20"/>
        </w:rPr>
        <w:t>příjmu prostředků z rozpočtu EU a z titulu alokace prostředků z rozpočtu EU schválené na daný operační program programovými dokumenty.</w:t>
      </w:r>
    </w:p>
  </w:footnote>
  <w:footnote w:id="22">
    <w:p w14:paraId="0403132A" w14:textId="0BC4DCBF" w:rsidR="005A2E7A" w:rsidRPr="00C2163D" w:rsidRDefault="005A2E7A" w:rsidP="00483F75">
      <w:pPr>
        <w:spacing w:after="0"/>
        <w:ind w:left="284" w:hanging="284"/>
        <w:jc w:val="both"/>
        <w:rPr>
          <w:rFonts w:asciiTheme="minorHAnsi" w:eastAsiaTheme="majorEastAsia" w:hAnsiTheme="minorHAnsi" w:cstheme="minorHAnsi"/>
        </w:rPr>
      </w:pPr>
      <w:r w:rsidRPr="005A4235">
        <w:rPr>
          <w:rStyle w:val="Znakapoznpodarou"/>
          <w:sz w:val="20"/>
          <w:szCs w:val="20"/>
        </w:rPr>
        <w:footnoteRef/>
      </w:r>
      <w:r w:rsidRPr="005A42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F4368">
        <w:rPr>
          <w:rFonts w:asciiTheme="minorHAnsi" w:eastAsiaTheme="majorEastAsia" w:hAnsiTheme="minorHAnsi" w:cstheme="minorHAnsi"/>
          <w:sz w:val="20"/>
          <w:szCs w:val="20"/>
        </w:rPr>
        <w:t xml:space="preserve">Pokyny k uzavření operačních programů v rámci strukturálních fondů a </w:t>
      </w:r>
      <w:r w:rsidRPr="00720ADC">
        <w:rPr>
          <w:rFonts w:asciiTheme="minorHAnsi" w:eastAsiaTheme="majorEastAsia" w:hAnsiTheme="minorHAnsi" w:cstheme="minorHAnsi"/>
          <w:i/>
          <w:sz w:val="20"/>
          <w:szCs w:val="20"/>
        </w:rPr>
        <w:t>Fondu soudržnosti</w:t>
      </w:r>
      <w:r w:rsidRPr="00AF4368">
        <w:rPr>
          <w:rFonts w:asciiTheme="minorHAnsi" w:eastAsiaTheme="majorEastAsia" w:hAnsiTheme="minorHAnsi" w:cstheme="minorHAnsi"/>
          <w:sz w:val="20"/>
          <w:szCs w:val="20"/>
        </w:rPr>
        <w:t xml:space="preserve"> stanovila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 K</w:t>
      </w:r>
      <w:r w:rsidRPr="00AF4368">
        <w:rPr>
          <w:rFonts w:asciiTheme="minorHAnsi" w:eastAsiaTheme="majorEastAsia" w:hAnsiTheme="minorHAnsi" w:cstheme="minorHAnsi"/>
          <w:sz w:val="20"/>
          <w:szCs w:val="20"/>
        </w:rPr>
        <w:t>omise v</w:t>
      </w:r>
      <w:r>
        <w:rPr>
          <w:rFonts w:asciiTheme="minorHAnsi" w:eastAsiaTheme="majorEastAsia" w:hAnsiTheme="minorHAnsi" w:cstheme="minorHAnsi"/>
          <w:sz w:val="20"/>
          <w:szCs w:val="20"/>
        </w:rPr>
        <w:t> p</w:t>
      </w:r>
      <w:r w:rsidRPr="00AF4368">
        <w:rPr>
          <w:rFonts w:asciiTheme="minorHAnsi" w:eastAsiaTheme="majorEastAsia" w:hAnsiTheme="minorHAnsi" w:cstheme="minorHAnsi"/>
          <w:sz w:val="20"/>
          <w:szCs w:val="20"/>
        </w:rPr>
        <w:t xml:space="preserve">říloze 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svého </w:t>
      </w:r>
      <w:r w:rsidRPr="00AF4368">
        <w:rPr>
          <w:rFonts w:asciiTheme="minorHAnsi" w:eastAsiaTheme="majorEastAsia" w:hAnsiTheme="minorHAnsi" w:cstheme="minorHAnsi"/>
          <w:sz w:val="20"/>
          <w:szCs w:val="20"/>
        </w:rPr>
        <w:t xml:space="preserve">rozhodnutí, kterým se mění rozhodnutí C(2013) 1573 o schválení pokynů k uzavření operačních programů určených k čerpání pomoci z Evropského fondu pro regionální rozvoj, Evropského sociálního fondu a Fondu soudržnosti (2007–2013), C(2015) 2771 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v konečném znění </w:t>
      </w:r>
      <w:r w:rsidRPr="00AF4368">
        <w:rPr>
          <w:rFonts w:asciiTheme="minorHAnsi" w:eastAsiaTheme="majorEastAsia" w:hAnsiTheme="minorHAnsi" w:cstheme="minorHAnsi"/>
          <w:sz w:val="20"/>
          <w:szCs w:val="20"/>
        </w:rPr>
        <w:t>ze dne 30. 4. 2015.</w:t>
      </w:r>
      <w:r w:rsidRPr="00C2163D">
        <w:rPr>
          <w:rFonts w:asciiTheme="minorHAnsi" w:eastAsiaTheme="majorEastAsia" w:hAnsiTheme="minorHAnsi" w:cstheme="minorHAnsi"/>
          <w:sz w:val="20"/>
          <w:szCs w:val="20"/>
        </w:rPr>
        <w:t xml:space="preserve"> V </w:t>
      </w:r>
      <w:r w:rsidRPr="00720ADC">
        <w:rPr>
          <w:rFonts w:asciiTheme="minorHAnsi" w:eastAsiaTheme="majorEastAsia" w:hAnsiTheme="minorHAnsi" w:cstheme="minorHAnsi"/>
          <w:i/>
          <w:sz w:val="20"/>
          <w:szCs w:val="20"/>
        </w:rPr>
        <w:t>Obecných zásadách</w:t>
      </w:r>
      <w:r w:rsidRPr="00C2163D">
        <w:rPr>
          <w:rFonts w:asciiTheme="minorHAnsi" w:eastAsiaTheme="majorEastAsia" w:hAnsiTheme="minorHAnsi" w:cstheme="minorHAnsi"/>
          <w:sz w:val="20"/>
          <w:szCs w:val="20"/>
        </w:rPr>
        <w:t xml:space="preserve"> tohoto rozhodnutí je stanoveno, </w:t>
      </w:r>
      <w:r w:rsidRPr="00C2163D">
        <w:rPr>
          <w:rFonts w:asciiTheme="minorHAnsi" w:hAnsiTheme="minorHAnsi" w:cstheme="minorHAnsi"/>
          <w:sz w:val="20"/>
          <w:szCs w:val="20"/>
        </w:rPr>
        <w:t xml:space="preserve">že </w:t>
      </w:r>
      <w:r w:rsidRPr="00AF4368">
        <w:rPr>
          <w:rFonts w:asciiTheme="minorHAnsi" w:hAnsiTheme="minorHAnsi" w:cstheme="minorHAnsi"/>
          <w:sz w:val="20"/>
          <w:szCs w:val="20"/>
        </w:rPr>
        <w:t>uzavření programu je spojeno s finančním narovnáním nezaplacených rozpočtových závazků EU, a to v podobě</w:t>
      </w:r>
      <w:r w:rsidRPr="00C2163D">
        <w:rPr>
          <w:rFonts w:asciiTheme="minorHAnsi" w:hAnsiTheme="minorHAnsi" w:cstheme="minorHAnsi"/>
          <w:sz w:val="20"/>
          <w:szCs w:val="20"/>
        </w:rPr>
        <w:t xml:space="preserve"> proplacení konečného zůstatku příslušnému </w:t>
      </w:r>
      <w:r>
        <w:rPr>
          <w:rFonts w:asciiTheme="minorHAnsi" w:hAnsiTheme="minorHAnsi" w:cstheme="minorHAnsi"/>
          <w:sz w:val="20"/>
          <w:szCs w:val="20"/>
        </w:rPr>
        <w:t xml:space="preserve">řídicímu </w:t>
      </w:r>
      <w:r w:rsidRPr="00C2163D">
        <w:rPr>
          <w:rFonts w:asciiTheme="minorHAnsi" w:hAnsiTheme="minorHAnsi" w:cstheme="minorHAnsi"/>
          <w:sz w:val="20"/>
          <w:szCs w:val="20"/>
        </w:rPr>
        <w:t>orgánu každého programu nebo</w:t>
      </w:r>
      <w:r w:rsidRPr="00C2163D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C2163D">
        <w:rPr>
          <w:rFonts w:asciiTheme="minorHAnsi" w:hAnsiTheme="minorHAnsi" w:cstheme="minorHAnsi"/>
          <w:sz w:val="20"/>
          <w:szCs w:val="20"/>
        </w:rPr>
        <w:t>zpětného získání prostředků, které Komise neoprávněně vyplatila členskému státu, a/nebo zrušení závazku jakéhokoli konečného zůstatku.</w:t>
      </w:r>
    </w:p>
  </w:footnote>
  <w:footnote w:id="23">
    <w:p w14:paraId="0502DE78" w14:textId="77777777" w:rsidR="005A2E7A" w:rsidRPr="005A4235" w:rsidRDefault="005A2E7A" w:rsidP="00483F7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2163D">
        <w:rPr>
          <w:rStyle w:val="Znakapoznpodarou"/>
          <w:rFonts w:asciiTheme="minorHAnsi" w:hAnsiTheme="minorHAnsi" w:cstheme="minorHAnsi"/>
        </w:rPr>
        <w:footnoteRef/>
      </w:r>
      <w:r w:rsidRPr="00C2163D">
        <w:rPr>
          <w:rFonts w:asciiTheme="minorHAnsi" w:hAnsiTheme="minorHAnsi" w:cstheme="minorHAnsi"/>
        </w:rPr>
        <w:t xml:space="preserve"> </w:t>
      </w:r>
      <w:r w:rsidRPr="00C2163D">
        <w:rPr>
          <w:rFonts w:asciiTheme="minorHAnsi" w:hAnsiTheme="minorHAnsi" w:cstheme="minorHAnsi"/>
        </w:rPr>
        <w:tab/>
        <w:t>Dle ustanovení čl. 89 odst. 5 Obecného nařízení</w:t>
      </w:r>
      <w:r w:rsidRPr="005A4235">
        <w:rPr>
          <w:rFonts w:asciiTheme="minorHAnsi" w:hAnsiTheme="minorHAnsi" w:cstheme="minorHAnsi"/>
        </w:rPr>
        <w:t xml:space="preserve"> 2007+ se zůstatek rozpočtového závazku EU nezrušuje platbou konečného zůstatku, ale až 12 měsíců po provedení této platby.</w:t>
      </w:r>
    </w:p>
  </w:footnote>
  <w:footnote w:id="24">
    <w:p w14:paraId="5A1D5B83" w14:textId="55E5F899" w:rsidR="005A2E7A" w:rsidRPr="00701920" w:rsidRDefault="005A2E7A" w:rsidP="007001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701920">
        <w:rPr>
          <w:rStyle w:val="Znakapoznpodarou"/>
          <w:rFonts w:asciiTheme="minorHAnsi" w:hAnsiTheme="minorHAnsi" w:cstheme="minorHAnsi"/>
        </w:rPr>
        <w:footnoteRef/>
      </w:r>
      <w:r w:rsidRPr="007019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Dle mezinárodního účetního standardu pro veřejný sektor IPSAS 2 – </w:t>
      </w:r>
      <w:r w:rsidRPr="0040181A">
        <w:rPr>
          <w:rFonts w:asciiTheme="minorHAnsi" w:hAnsiTheme="minorHAnsi" w:cstheme="minorHAnsi"/>
          <w:i/>
        </w:rPr>
        <w:t>Výkaz peněžních toků</w:t>
      </w:r>
      <w:r>
        <w:rPr>
          <w:rFonts w:asciiTheme="minorHAnsi" w:hAnsiTheme="minorHAnsi" w:cstheme="minorHAnsi"/>
        </w:rPr>
        <w:t xml:space="preserve"> se vyžaduje transakce z dlouhodobých aktiv (tedy transakce blízké investičním transakcím dle IPSAS) a transakce z vlastního kapitálu, dlouhodobých závazků a dlouhodobých pohledávek (tedy transakce blízké transakcím financování dle IPSAS), které nejsou spojeny s peněžním tokem, z přehledu o peněžních tocích vylučovat (odst. 54).</w:t>
      </w:r>
    </w:p>
  </w:footnote>
  <w:footnote w:id="25">
    <w:p w14:paraId="334C9A17" w14:textId="77777777" w:rsidR="005A2E7A" w:rsidRPr="00D80554" w:rsidRDefault="005A2E7A" w:rsidP="007001D6">
      <w:pPr>
        <w:pStyle w:val="Textpoznpodarou"/>
        <w:ind w:left="284" w:hanging="284"/>
        <w:rPr>
          <w:rFonts w:asciiTheme="minorHAnsi" w:hAnsiTheme="minorHAnsi" w:cstheme="minorHAnsi"/>
        </w:rPr>
      </w:pPr>
      <w:r w:rsidRPr="00D8055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D80554">
        <w:rPr>
          <w:rFonts w:asciiTheme="minorHAnsi" w:hAnsiTheme="minorHAnsi" w:cstheme="minorHAnsi"/>
        </w:rPr>
        <w:t xml:space="preserve">Dle </w:t>
      </w:r>
      <w:r w:rsidRPr="00D953B8">
        <w:rPr>
          <w:rFonts w:asciiTheme="minorHAnsi" w:hAnsiTheme="minorHAnsi" w:cstheme="minorHAnsi"/>
          <w:bCs/>
          <w:iCs/>
        </w:rPr>
        <w:t>zákona č. 2/1969 Sb</w:t>
      </w:r>
      <w:r>
        <w:rPr>
          <w:rFonts w:asciiTheme="minorHAnsi" w:hAnsiTheme="minorHAnsi" w:cstheme="minorHAnsi"/>
          <w:bCs/>
          <w:i/>
          <w:iCs/>
        </w:rPr>
        <w:t>.</w:t>
      </w:r>
    </w:p>
  </w:footnote>
  <w:footnote w:id="26">
    <w:p w14:paraId="1CC0349B" w14:textId="727EF692" w:rsidR="005A2E7A" w:rsidRPr="000B7D0E" w:rsidRDefault="005A2E7A" w:rsidP="007001D6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B7D0E">
        <w:rPr>
          <w:rStyle w:val="Znakapoznpodarou"/>
          <w:rFonts w:asciiTheme="minorHAnsi" w:hAnsiTheme="minorHAnsi" w:cstheme="minorHAnsi"/>
        </w:rPr>
        <w:footnoteRef/>
      </w:r>
      <w:r w:rsidRPr="000B7D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České účetní předpisy nevylučují v takovém případě tvorbu rezervy a dle mezinárodního účetního standardu pro veřejný sektor IPSAS 19 – </w:t>
      </w:r>
      <w:r w:rsidRPr="00870D9E">
        <w:rPr>
          <w:rFonts w:asciiTheme="minorHAnsi" w:hAnsiTheme="minorHAnsi" w:cstheme="minorHAnsi"/>
          <w:i/>
        </w:rPr>
        <w:t>Rezervy, podmíněné závazky a podmíněná aktiva</w:t>
      </w:r>
      <w:r>
        <w:rPr>
          <w:rFonts w:asciiTheme="minorHAnsi" w:hAnsiTheme="minorHAnsi" w:cstheme="minorHAnsi"/>
          <w:i/>
        </w:rPr>
        <w:t xml:space="preserve"> </w:t>
      </w:r>
      <w:r w:rsidRPr="00AF4368">
        <w:rPr>
          <w:rFonts w:asciiTheme="minorHAnsi" w:hAnsiTheme="minorHAnsi" w:cstheme="minorHAnsi"/>
        </w:rPr>
        <w:t>je i jinak než právně závazná povinnost (odst. 18) relevantním důvodem pro tvorbu rezervy</w:t>
      </w:r>
      <w:r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99D"/>
    <w:multiLevelType w:val="hybridMultilevel"/>
    <w:tmpl w:val="42BA5274"/>
    <w:lvl w:ilvl="0" w:tplc="85243B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6FF0"/>
    <w:multiLevelType w:val="hybridMultilevel"/>
    <w:tmpl w:val="48901832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6FA2FD4"/>
    <w:multiLevelType w:val="hybridMultilevel"/>
    <w:tmpl w:val="191CB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7172"/>
    <w:multiLevelType w:val="hybridMultilevel"/>
    <w:tmpl w:val="2D625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787"/>
    <w:multiLevelType w:val="hybridMultilevel"/>
    <w:tmpl w:val="2C90E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1DB5"/>
    <w:multiLevelType w:val="hybridMultilevel"/>
    <w:tmpl w:val="A3660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0F24"/>
    <w:multiLevelType w:val="hybridMultilevel"/>
    <w:tmpl w:val="59C68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EDC"/>
    <w:multiLevelType w:val="hybridMultilevel"/>
    <w:tmpl w:val="C90A07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6169"/>
    <w:multiLevelType w:val="multilevel"/>
    <w:tmpl w:val="682A6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3D9A6F2F"/>
    <w:multiLevelType w:val="hybridMultilevel"/>
    <w:tmpl w:val="4ECE846A"/>
    <w:lvl w:ilvl="0" w:tplc="41BAD02E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27EF"/>
    <w:multiLevelType w:val="hybridMultilevel"/>
    <w:tmpl w:val="9C6423C4"/>
    <w:lvl w:ilvl="0" w:tplc="D64E06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713FC"/>
    <w:multiLevelType w:val="hybridMultilevel"/>
    <w:tmpl w:val="9D904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1789"/>
    <w:multiLevelType w:val="hybridMultilevel"/>
    <w:tmpl w:val="4C98F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50D72"/>
    <w:multiLevelType w:val="hybridMultilevel"/>
    <w:tmpl w:val="B8FEA096"/>
    <w:lvl w:ilvl="0" w:tplc="04050013">
      <w:start w:val="1"/>
      <w:numFmt w:val="upperRoman"/>
      <w:lvlText w:val="%1."/>
      <w:lvlJc w:val="righ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2895D10"/>
    <w:multiLevelType w:val="hybridMultilevel"/>
    <w:tmpl w:val="16622B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63910"/>
    <w:multiLevelType w:val="multilevel"/>
    <w:tmpl w:val="AE14D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2C1BED"/>
    <w:multiLevelType w:val="hybridMultilevel"/>
    <w:tmpl w:val="26120660"/>
    <w:lvl w:ilvl="0" w:tplc="D812A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8254E"/>
    <w:multiLevelType w:val="hybridMultilevel"/>
    <w:tmpl w:val="66507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E0963"/>
    <w:multiLevelType w:val="multilevel"/>
    <w:tmpl w:val="96A6C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AF741D"/>
    <w:multiLevelType w:val="hybridMultilevel"/>
    <w:tmpl w:val="9788BD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5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19"/>
  </w:num>
  <w:num w:numId="9">
    <w:abstractNumId w:val="2"/>
  </w:num>
  <w:num w:numId="10">
    <w:abstractNumId w:val="16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18"/>
  </w:num>
  <w:num w:numId="16">
    <w:abstractNumId w:val="0"/>
  </w:num>
  <w:num w:numId="17">
    <w:abstractNumId w:val="8"/>
  </w:num>
  <w:num w:numId="18">
    <w:abstractNumId w:val="10"/>
  </w:num>
  <w:num w:numId="19">
    <w:abstractNumId w:val="17"/>
  </w:num>
  <w:num w:numId="20">
    <w:abstractNumId w:val="4"/>
  </w:num>
  <w:num w:numId="2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TrackMoves/>
  <w:defaultTabStop w:val="708"/>
  <w:hyphenationZone w:val="425"/>
  <w:characterSpacingControl w:val="doNotCompress"/>
  <w:hdrShapeDefaults>
    <o:shapedefaults v:ext="edit" spidmax="59393"/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FC9"/>
    <w:rsid w:val="0000143F"/>
    <w:rsid w:val="00004384"/>
    <w:rsid w:val="000102DC"/>
    <w:rsid w:val="00010565"/>
    <w:rsid w:val="00012047"/>
    <w:rsid w:val="00012334"/>
    <w:rsid w:val="00012D69"/>
    <w:rsid w:val="00013D01"/>
    <w:rsid w:val="00013F4A"/>
    <w:rsid w:val="00015703"/>
    <w:rsid w:val="00015F91"/>
    <w:rsid w:val="00016BF1"/>
    <w:rsid w:val="00017CCE"/>
    <w:rsid w:val="000205FD"/>
    <w:rsid w:val="0002090C"/>
    <w:rsid w:val="000209B1"/>
    <w:rsid w:val="00021226"/>
    <w:rsid w:val="00022153"/>
    <w:rsid w:val="000221DC"/>
    <w:rsid w:val="000226D2"/>
    <w:rsid w:val="00026B84"/>
    <w:rsid w:val="000272EC"/>
    <w:rsid w:val="00027C18"/>
    <w:rsid w:val="0003047F"/>
    <w:rsid w:val="000305CE"/>
    <w:rsid w:val="000342EB"/>
    <w:rsid w:val="0003469E"/>
    <w:rsid w:val="00034D5B"/>
    <w:rsid w:val="0003552A"/>
    <w:rsid w:val="00035C52"/>
    <w:rsid w:val="000365ED"/>
    <w:rsid w:val="0004411F"/>
    <w:rsid w:val="000444C9"/>
    <w:rsid w:val="00045D1D"/>
    <w:rsid w:val="00045D4B"/>
    <w:rsid w:val="00050275"/>
    <w:rsid w:val="00050D50"/>
    <w:rsid w:val="00052DC7"/>
    <w:rsid w:val="00054FB6"/>
    <w:rsid w:val="0005536F"/>
    <w:rsid w:val="000562E0"/>
    <w:rsid w:val="0005669C"/>
    <w:rsid w:val="00056702"/>
    <w:rsid w:val="00056E58"/>
    <w:rsid w:val="000579DE"/>
    <w:rsid w:val="00057AF2"/>
    <w:rsid w:val="00062474"/>
    <w:rsid w:val="00063109"/>
    <w:rsid w:val="0006454A"/>
    <w:rsid w:val="00065266"/>
    <w:rsid w:val="00066AC4"/>
    <w:rsid w:val="000675B0"/>
    <w:rsid w:val="000728F2"/>
    <w:rsid w:val="00072BA8"/>
    <w:rsid w:val="00073218"/>
    <w:rsid w:val="0007340F"/>
    <w:rsid w:val="00075A94"/>
    <w:rsid w:val="00077BE2"/>
    <w:rsid w:val="00080832"/>
    <w:rsid w:val="00080936"/>
    <w:rsid w:val="00080C55"/>
    <w:rsid w:val="0008128A"/>
    <w:rsid w:val="00081853"/>
    <w:rsid w:val="00081A5C"/>
    <w:rsid w:val="00081AAC"/>
    <w:rsid w:val="00081C0A"/>
    <w:rsid w:val="000822BF"/>
    <w:rsid w:val="00082C74"/>
    <w:rsid w:val="00082CEB"/>
    <w:rsid w:val="0008403C"/>
    <w:rsid w:val="000840E3"/>
    <w:rsid w:val="00084557"/>
    <w:rsid w:val="000859D7"/>
    <w:rsid w:val="000867C9"/>
    <w:rsid w:val="00087485"/>
    <w:rsid w:val="0009232A"/>
    <w:rsid w:val="00094908"/>
    <w:rsid w:val="0009689F"/>
    <w:rsid w:val="000A21EA"/>
    <w:rsid w:val="000A36E9"/>
    <w:rsid w:val="000A4A13"/>
    <w:rsid w:val="000A5267"/>
    <w:rsid w:val="000A5714"/>
    <w:rsid w:val="000A598B"/>
    <w:rsid w:val="000A5A79"/>
    <w:rsid w:val="000A5BDF"/>
    <w:rsid w:val="000A5D44"/>
    <w:rsid w:val="000A5ECA"/>
    <w:rsid w:val="000A7032"/>
    <w:rsid w:val="000A75DF"/>
    <w:rsid w:val="000B0686"/>
    <w:rsid w:val="000B0C14"/>
    <w:rsid w:val="000B169C"/>
    <w:rsid w:val="000B2255"/>
    <w:rsid w:val="000B3391"/>
    <w:rsid w:val="000B3825"/>
    <w:rsid w:val="000B3E8E"/>
    <w:rsid w:val="000B45ED"/>
    <w:rsid w:val="000B4ABD"/>
    <w:rsid w:val="000B4B91"/>
    <w:rsid w:val="000B59DC"/>
    <w:rsid w:val="000B5CCB"/>
    <w:rsid w:val="000B7ED0"/>
    <w:rsid w:val="000C04E6"/>
    <w:rsid w:val="000C4DE7"/>
    <w:rsid w:val="000C6B44"/>
    <w:rsid w:val="000D1BFE"/>
    <w:rsid w:val="000D72DE"/>
    <w:rsid w:val="000D7361"/>
    <w:rsid w:val="000D7EB0"/>
    <w:rsid w:val="000E04F4"/>
    <w:rsid w:val="000E2243"/>
    <w:rsid w:val="000E25B5"/>
    <w:rsid w:val="000E2836"/>
    <w:rsid w:val="000E33B8"/>
    <w:rsid w:val="000E3621"/>
    <w:rsid w:val="000E4ED7"/>
    <w:rsid w:val="000E4F78"/>
    <w:rsid w:val="000E5056"/>
    <w:rsid w:val="000E7694"/>
    <w:rsid w:val="000F0802"/>
    <w:rsid w:val="000F209F"/>
    <w:rsid w:val="000F256A"/>
    <w:rsid w:val="000F2A6B"/>
    <w:rsid w:val="000F2B19"/>
    <w:rsid w:val="000F33A9"/>
    <w:rsid w:val="000F3E30"/>
    <w:rsid w:val="000F417B"/>
    <w:rsid w:val="000F42EF"/>
    <w:rsid w:val="000F6461"/>
    <w:rsid w:val="00102A25"/>
    <w:rsid w:val="00102D34"/>
    <w:rsid w:val="0010383A"/>
    <w:rsid w:val="001055C3"/>
    <w:rsid w:val="00106409"/>
    <w:rsid w:val="00107771"/>
    <w:rsid w:val="00112642"/>
    <w:rsid w:val="00113E5B"/>
    <w:rsid w:val="001144F2"/>
    <w:rsid w:val="00116A85"/>
    <w:rsid w:val="0011741A"/>
    <w:rsid w:val="00120064"/>
    <w:rsid w:val="00122E3A"/>
    <w:rsid w:val="001231C4"/>
    <w:rsid w:val="00124CA1"/>
    <w:rsid w:val="00124FA7"/>
    <w:rsid w:val="00126597"/>
    <w:rsid w:val="001267DC"/>
    <w:rsid w:val="001268C7"/>
    <w:rsid w:val="00127BC6"/>
    <w:rsid w:val="00133DD7"/>
    <w:rsid w:val="001344EE"/>
    <w:rsid w:val="00136E1C"/>
    <w:rsid w:val="00137C89"/>
    <w:rsid w:val="001441BA"/>
    <w:rsid w:val="001472C3"/>
    <w:rsid w:val="00147308"/>
    <w:rsid w:val="001478C8"/>
    <w:rsid w:val="00147E83"/>
    <w:rsid w:val="00151F0E"/>
    <w:rsid w:val="00153444"/>
    <w:rsid w:val="001547EF"/>
    <w:rsid w:val="001555EB"/>
    <w:rsid w:val="0015589D"/>
    <w:rsid w:val="001569F8"/>
    <w:rsid w:val="001579AE"/>
    <w:rsid w:val="00157F5E"/>
    <w:rsid w:val="00160F7E"/>
    <w:rsid w:val="001645E7"/>
    <w:rsid w:val="00164909"/>
    <w:rsid w:val="00164D18"/>
    <w:rsid w:val="00167779"/>
    <w:rsid w:val="0017187B"/>
    <w:rsid w:val="0017231D"/>
    <w:rsid w:val="0017472E"/>
    <w:rsid w:val="00174F1F"/>
    <w:rsid w:val="00175C4F"/>
    <w:rsid w:val="00176D6E"/>
    <w:rsid w:val="00177389"/>
    <w:rsid w:val="00180B90"/>
    <w:rsid w:val="00181402"/>
    <w:rsid w:val="0018212D"/>
    <w:rsid w:val="00182D64"/>
    <w:rsid w:val="00184205"/>
    <w:rsid w:val="001866A7"/>
    <w:rsid w:val="001877B1"/>
    <w:rsid w:val="00187A2F"/>
    <w:rsid w:val="001A164B"/>
    <w:rsid w:val="001A3444"/>
    <w:rsid w:val="001A3920"/>
    <w:rsid w:val="001A482C"/>
    <w:rsid w:val="001A601C"/>
    <w:rsid w:val="001B1165"/>
    <w:rsid w:val="001B19A8"/>
    <w:rsid w:val="001B2E9E"/>
    <w:rsid w:val="001B5272"/>
    <w:rsid w:val="001B571E"/>
    <w:rsid w:val="001B702E"/>
    <w:rsid w:val="001B76BE"/>
    <w:rsid w:val="001C1977"/>
    <w:rsid w:val="001C2A11"/>
    <w:rsid w:val="001C2C77"/>
    <w:rsid w:val="001C48E3"/>
    <w:rsid w:val="001C48EB"/>
    <w:rsid w:val="001C507F"/>
    <w:rsid w:val="001C596A"/>
    <w:rsid w:val="001C649A"/>
    <w:rsid w:val="001D0067"/>
    <w:rsid w:val="001D0439"/>
    <w:rsid w:val="001D136C"/>
    <w:rsid w:val="001D1BBC"/>
    <w:rsid w:val="001D24A7"/>
    <w:rsid w:val="001D24FB"/>
    <w:rsid w:val="001D2A6F"/>
    <w:rsid w:val="001D383E"/>
    <w:rsid w:val="001D4C2D"/>
    <w:rsid w:val="001D57E4"/>
    <w:rsid w:val="001D5AA3"/>
    <w:rsid w:val="001E0315"/>
    <w:rsid w:val="001E1607"/>
    <w:rsid w:val="001E1B99"/>
    <w:rsid w:val="001E274A"/>
    <w:rsid w:val="001E416B"/>
    <w:rsid w:val="001E4290"/>
    <w:rsid w:val="001E4E45"/>
    <w:rsid w:val="001E6D4C"/>
    <w:rsid w:val="001E79D0"/>
    <w:rsid w:val="001F0066"/>
    <w:rsid w:val="001F1FEA"/>
    <w:rsid w:val="001F24A6"/>
    <w:rsid w:val="001F2AF2"/>
    <w:rsid w:val="001F3D22"/>
    <w:rsid w:val="001F3DD9"/>
    <w:rsid w:val="001F68CD"/>
    <w:rsid w:val="001F740C"/>
    <w:rsid w:val="002008C3"/>
    <w:rsid w:val="00203F77"/>
    <w:rsid w:val="0020473E"/>
    <w:rsid w:val="00204FF3"/>
    <w:rsid w:val="0020520F"/>
    <w:rsid w:val="002053EE"/>
    <w:rsid w:val="002065FA"/>
    <w:rsid w:val="0020705B"/>
    <w:rsid w:val="002073AE"/>
    <w:rsid w:val="00207AE7"/>
    <w:rsid w:val="00207F2A"/>
    <w:rsid w:val="0021095E"/>
    <w:rsid w:val="002112A1"/>
    <w:rsid w:val="00211C04"/>
    <w:rsid w:val="00211E0B"/>
    <w:rsid w:val="00213595"/>
    <w:rsid w:val="002143EF"/>
    <w:rsid w:val="00216017"/>
    <w:rsid w:val="002202D3"/>
    <w:rsid w:val="0022055C"/>
    <w:rsid w:val="00220FB8"/>
    <w:rsid w:val="002215F3"/>
    <w:rsid w:val="00221D7C"/>
    <w:rsid w:val="00221ED8"/>
    <w:rsid w:val="00222628"/>
    <w:rsid w:val="00224417"/>
    <w:rsid w:val="002256BA"/>
    <w:rsid w:val="00225BBF"/>
    <w:rsid w:val="002272FC"/>
    <w:rsid w:val="00227A36"/>
    <w:rsid w:val="002322BF"/>
    <w:rsid w:val="00232B3F"/>
    <w:rsid w:val="00233035"/>
    <w:rsid w:val="00233606"/>
    <w:rsid w:val="002338F2"/>
    <w:rsid w:val="0023597E"/>
    <w:rsid w:val="00243613"/>
    <w:rsid w:val="00243D16"/>
    <w:rsid w:val="00245288"/>
    <w:rsid w:val="00247441"/>
    <w:rsid w:val="0025037A"/>
    <w:rsid w:val="00252999"/>
    <w:rsid w:val="00253F74"/>
    <w:rsid w:val="002545FE"/>
    <w:rsid w:val="00260C47"/>
    <w:rsid w:val="00260DF9"/>
    <w:rsid w:val="00261A10"/>
    <w:rsid w:val="00261E6F"/>
    <w:rsid w:val="00261EB6"/>
    <w:rsid w:val="00263025"/>
    <w:rsid w:val="00263E20"/>
    <w:rsid w:val="002640B7"/>
    <w:rsid w:val="002658C5"/>
    <w:rsid w:val="002668D3"/>
    <w:rsid w:val="002677A0"/>
    <w:rsid w:val="0027012B"/>
    <w:rsid w:val="002705EA"/>
    <w:rsid w:val="002706A7"/>
    <w:rsid w:val="00270FB6"/>
    <w:rsid w:val="00271251"/>
    <w:rsid w:val="00271674"/>
    <w:rsid w:val="002731E3"/>
    <w:rsid w:val="00273830"/>
    <w:rsid w:val="002752BA"/>
    <w:rsid w:val="00280CE6"/>
    <w:rsid w:val="0028239D"/>
    <w:rsid w:val="00282B62"/>
    <w:rsid w:val="0028508F"/>
    <w:rsid w:val="0028542B"/>
    <w:rsid w:val="00285731"/>
    <w:rsid w:val="00286CF2"/>
    <w:rsid w:val="002900B8"/>
    <w:rsid w:val="00290BF9"/>
    <w:rsid w:val="0029287A"/>
    <w:rsid w:val="00293339"/>
    <w:rsid w:val="00293EFB"/>
    <w:rsid w:val="002940F9"/>
    <w:rsid w:val="00294394"/>
    <w:rsid w:val="00295B5D"/>
    <w:rsid w:val="00297FD1"/>
    <w:rsid w:val="002A2937"/>
    <w:rsid w:val="002A3072"/>
    <w:rsid w:val="002A3A62"/>
    <w:rsid w:val="002A4731"/>
    <w:rsid w:val="002A4B22"/>
    <w:rsid w:val="002A5276"/>
    <w:rsid w:val="002B25DC"/>
    <w:rsid w:val="002B2D52"/>
    <w:rsid w:val="002B33D1"/>
    <w:rsid w:val="002B4FE0"/>
    <w:rsid w:val="002B520E"/>
    <w:rsid w:val="002B593E"/>
    <w:rsid w:val="002B5BE9"/>
    <w:rsid w:val="002B738A"/>
    <w:rsid w:val="002B7978"/>
    <w:rsid w:val="002B7E11"/>
    <w:rsid w:val="002B7F6F"/>
    <w:rsid w:val="002C1566"/>
    <w:rsid w:val="002C1F2D"/>
    <w:rsid w:val="002C1FF8"/>
    <w:rsid w:val="002C5B3F"/>
    <w:rsid w:val="002C616D"/>
    <w:rsid w:val="002C6339"/>
    <w:rsid w:val="002C66A8"/>
    <w:rsid w:val="002C7334"/>
    <w:rsid w:val="002D09FE"/>
    <w:rsid w:val="002D0B15"/>
    <w:rsid w:val="002D0FC1"/>
    <w:rsid w:val="002D2016"/>
    <w:rsid w:val="002D2A4C"/>
    <w:rsid w:val="002E1E39"/>
    <w:rsid w:val="002E26E3"/>
    <w:rsid w:val="002E2B4E"/>
    <w:rsid w:val="002E46CB"/>
    <w:rsid w:val="002E4D79"/>
    <w:rsid w:val="002E74EE"/>
    <w:rsid w:val="002F196C"/>
    <w:rsid w:val="002F49DE"/>
    <w:rsid w:val="002F4AE8"/>
    <w:rsid w:val="002F5F97"/>
    <w:rsid w:val="002F61F6"/>
    <w:rsid w:val="00301789"/>
    <w:rsid w:val="0030369E"/>
    <w:rsid w:val="003039AD"/>
    <w:rsid w:val="00304A16"/>
    <w:rsid w:val="00305511"/>
    <w:rsid w:val="00305F5A"/>
    <w:rsid w:val="00307089"/>
    <w:rsid w:val="00310273"/>
    <w:rsid w:val="003114A8"/>
    <w:rsid w:val="003125B2"/>
    <w:rsid w:val="0031446D"/>
    <w:rsid w:val="00320DD3"/>
    <w:rsid w:val="00321595"/>
    <w:rsid w:val="003233F3"/>
    <w:rsid w:val="00323475"/>
    <w:rsid w:val="00324A6B"/>
    <w:rsid w:val="00324C9E"/>
    <w:rsid w:val="00325B9D"/>
    <w:rsid w:val="00326284"/>
    <w:rsid w:val="003275F1"/>
    <w:rsid w:val="00330549"/>
    <w:rsid w:val="00332A81"/>
    <w:rsid w:val="0033466E"/>
    <w:rsid w:val="00335540"/>
    <w:rsid w:val="00336C97"/>
    <w:rsid w:val="00337885"/>
    <w:rsid w:val="00340C84"/>
    <w:rsid w:val="003411FB"/>
    <w:rsid w:val="003428B2"/>
    <w:rsid w:val="00343B3A"/>
    <w:rsid w:val="00344EB9"/>
    <w:rsid w:val="003454EB"/>
    <w:rsid w:val="003465C7"/>
    <w:rsid w:val="00346ADF"/>
    <w:rsid w:val="00346E29"/>
    <w:rsid w:val="00350CE5"/>
    <w:rsid w:val="00352166"/>
    <w:rsid w:val="00352670"/>
    <w:rsid w:val="00353AE9"/>
    <w:rsid w:val="00354510"/>
    <w:rsid w:val="003564AD"/>
    <w:rsid w:val="003572C4"/>
    <w:rsid w:val="00361DDF"/>
    <w:rsid w:val="00362548"/>
    <w:rsid w:val="003634E8"/>
    <w:rsid w:val="003637BB"/>
    <w:rsid w:val="00363F8A"/>
    <w:rsid w:val="003640D1"/>
    <w:rsid w:val="00364B92"/>
    <w:rsid w:val="00365728"/>
    <w:rsid w:val="0036604E"/>
    <w:rsid w:val="00367CD1"/>
    <w:rsid w:val="00367E2A"/>
    <w:rsid w:val="003715A0"/>
    <w:rsid w:val="0037168E"/>
    <w:rsid w:val="00371D47"/>
    <w:rsid w:val="00373044"/>
    <w:rsid w:val="003738A8"/>
    <w:rsid w:val="003777F5"/>
    <w:rsid w:val="00377EC8"/>
    <w:rsid w:val="00380459"/>
    <w:rsid w:val="003808DA"/>
    <w:rsid w:val="0038314C"/>
    <w:rsid w:val="00383F1A"/>
    <w:rsid w:val="00384810"/>
    <w:rsid w:val="00385757"/>
    <w:rsid w:val="003862F0"/>
    <w:rsid w:val="00387118"/>
    <w:rsid w:val="00387654"/>
    <w:rsid w:val="00390EFE"/>
    <w:rsid w:val="00391B34"/>
    <w:rsid w:val="0039236D"/>
    <w:rsid w:val="00393398"/>
    <w:rsid w:val="00395940"/>
    <w:rsid w:val="00395C15"/>
    <w:rsid w:val="003964D2"/>
    <w:rsid w:val="003A1E97"/>
    <w:rsid w:val="003A21C5"/>
    <w:rsid w:val="003A4602"/>
    <w:rsid w:val="003A4B77"/>
    <w:rsid w:val="003A4BA4"/>
    <w:rsid w:val="003A4C79"/>
    <w:rsid w:val="003A5F72"/>
    <w:rsid w:val="003A6939"/>
    <w:rsid w:val="003A6E50"/>
    <w:rsid w:val="003B1447"/>
    <w:rsid w:val="003B3FFC"/>
    <w:rsid w:val="003B4DB3"/>
    <w:rsid w:val="003B4E0F"/>
    <w:rsid w:val="003B5B51"/>
    <w:rsid w:val="003B605D"/>
    <w:rsid w:val="003B63D7"/>
    <w:rsid w:val="003C21D3"/>
    <w:rsid w:val="003C247E"/>
    <w:rsid w:val="003C3550"/>
    <w:rsid w:val="003C3812"/>
    <w:rsid w:val="003C5836"/>
    <w:rsid w:val="003C6B59"/>
    <w:rsid w:val="003C6E4B"/>
    <w:rsid w:val="003D2874"/>
    <w:rsid w:val="003D43EB"/>
    <w:rsid w:val="003D4CF9"/>
    <w:rsid w:val="003D5C34"/>
    <w:rsid w:val="003D5C35"/>
    <w:rsid w:val="003D7FC6"/>
    <w:rsid w:val="003E298D"/>
    <w:rsid w:val="003E466F"/>
    <w:rsid w:val="003E4AEB"/>
    <w:rsid w:val="003E5AA7"/>
    <w:rsid w:val="003E7636"/>
    <w:rsid w:val="003F06E2"/>
    <w:rsid w:val="003F0EB8"/>
    <w:rsid w:val="003F1D5E"/>
    <w:rsid w:val="003F1D85"/>
    <w:rsid w:val="003F31C8"/>
    <w:rsid w:val="003F33F6"/>
    <w:rsid w:val="003F3B54"/>
    <w:rsid w:val="003F4736"/>
    <w:rsid w:val="003F6051"/>
    <w:rsid w:val="004004E6"/>
    <w:rsid w:val="00401DFC"/>
    <w:rsid w:val="00402B73"/>
    <w:rsid w:val="00403262"/>
    <w:rsid w:val="00403FB0"/>
    <w:rsid w:val="00404F7D"/>
    <w:rsid w:val="00405668"/>
    <w:rsid w:val="00405F08"/>
    <w:rsid w:val="00406FE3"/>
    <w:rsid w:val="00410963"/>
    <w:rsid w:val="00411630"/>
    <w:rsid w:val="004123A2"/>
    <w:rsid w:val="00412FC0"/>
    <w:rsid w:val="0041317B"/>
    <w:rsid w:val="004139C8"/>
    <w:rsid w:val="004145B5"/>
    <w:rsid w:val="00415471"/>
    <w:rsid w:val="00417569"/>
    <w:rsid w:val="00417D42"/>
    <w:rsid w:val="004209BD"/>
    <w:rsid w:val="00422CFF"/>
    <w:rsid w:val="0042309E"/>
    <w:rsid w:val="004232AD"/>
    <w:rsid w:val="004240B5"/>
    <w:rsid w:val="00425ED1"/>
    <w:rsid w:val="00426C29"/>
    <w:rsid w:val="00426C9B"/>
    <w:rsid w:val="004270B8"/>
    <w:rsid w:val="00430D48"/>
    <w:rsid w:val="0043145D"/>
    <w:rsid w:val="004316B3"/>
    <w:rsid w:val="00432B1F"/>
    <w:rsid w:val="00432E66"/>
    <w:rsid w:val="0043303A"/>
    <w:rsid w:val="00433FFC"/>
    <w:rsid w:val="004378C7"/>
    <w:rsid w:val="004412F2"/>
    <w:rsid w:val="0044584E"/>
    <w:rsid w:val="00445900"/>
    <w:rsid w:val="00445B64"/>
    <w:rsid w:val="00446240"/>
    <w:rsid w:val="004462B8"/>
    <w:rsid w:val="00446B25"/>
    <w:rsid w:val="0044736D"/>
    <w:rsid w:val="00447580"/>
    <w:rsid w:val="00447728"/>
    <w:rsid w:val="004512E1"/>
    <w:rsid w:val="00452ACB"/>
    <w:rsid w:val="00454541"/>
    <w:rsid w:val="004549DA"/>
    <w:rsid w:val="00454A54"/>
    <w:rsid w:val="004550FC"/>
    <w:rsid w:val="00456329"/>
    <w:rsid w:val="00456348"/>
    <w:rsid w:val="00456AEA"/>
    <w:rsid w:val="00462094"/>
    <w:rsid w:val="00462BD6"/>
    <w:rsid w:val="00462DE8"/>
    <w:rsid w:val="00462E1E"/>
    <w:rsid w:val="00464329"/>
    <w:rsid w:val="00465BD3"/>
    <w:rsid w:val="00465EAD"/>
    <w:rsid w:val="004661A6"/>
    <w:rsid w:val="00467C0B"/>
    <w:rsid w:val="004719EF"/>
    <w:rsid w:val="00471A12"/>
    <w:rsid w:val="004720A0"/>
    <w:rsid w:val="00472BC5"/>
    <w:rsid w:val="004751E9"/>
    <w:rsid w:val="0047658F"/>
    <w:rsid w:val="00477F42"/>
    <w:rsid w:val="00480446"/>
    <w:rsid w:val="00480BF6"/>
    <w:rsid w:val="00480F1B"/>
    <w:rsid w:val="00481133"/>
    <w:rsid w:val="004830A7"/>
    <w:rsid w:val="00483F75"/>
    <w:rsid w:val="00484687"/>
    <w:rsid w:val="0048495F"/>
    <w:rsid w:val="004854FB"/>
    <w:rsid w:val="00490691"/>
    <w:rsid w:val="00491140"/>
    <w:rsid w:val="00492940"/>
    <w:rsid w:val="00493351"/>
    <w:rsid w:val="00493A7D"/>
    <w:rsid w:val="00493FDA"/>
    <w:rsid w:val="004944B6"/>
    <w:rsid w:val="004947AD"/>
    <w:rsid w:val="00494B0F"/>
    <w:rsid w:val="00494D7D"/>
    <w:rsid w:val="00496CA0"/>
    <w:rsid w:val="004A2E8F"/>
    <w:rsid w:val="004A37D6"/>
    <w:rsid w:val="004A4AEB"/>
    <w:rsid w:val="004A5588"/>
    <w:rsid w:val="004A5A3E"/>
    <w:rsid w:val="004A5C6E"/>
    <w:rsid w:val="004A6D2A"/>
    <w:rsid w:val="004A6DE2"/>
    <w:rsid w:val="004A6ED0"/>
    <w:rsid w:val="004A7344"/>
    <w:rsid w:val="004B04D2"/>
    <w:rsid w:val="004B1CFA"/>
    <w:rsid w:val="004B1EE5"/>
    <w:rsid w:val="004B1EEA"/>
    <w:rsid w:val="004B2C69"/>
    <w:rsid w:val="004B5AF7"/>
    <w:rsid w:val="004B6D0F"/>
    <w:rsid w:val="004C15A4"/>
    <w:rsid w:val="004C15C4"/>
    <w:rsid w:val="004C2616"/>
    <w:rsid w:val="004C2684"/>
    <w:rsid w:val="004C287D"/>
    <w:rsid w:val="004C291D"/>
    <w:rsid w:val="004C3BD3"/>
    <w:rsid w:val="004C3D87"/>
    <w:rsid w:val="004C5793"/>
    <w:rsid w:val="004C76A5"/>
    <w:rsid w:val="004D05B3"/>
    <w:rsid w:val="004D07A3"/>
    <w:rsid w:val="004D1096"/>
    <w:rsid w:val="004D11F4"/>
    <w:rsid w:val="004D1284"/>
    <w:rsid w:val="004D1438"/>
    <w:rsid w:val="004D2387"/>
    <w:rsid w:val="004D2745"/>
    <w:rsid w:val="004D2E27"/>
    <w:rsid w:val="004D3BC8"/>
    <w:rsid w:val="004D3CC2"/>
    <w:rsid w:val="004D6D6E"/>
    <w:rsid w:val="004E0354"/>
    <w:rsid w:val="004E1DEA"/>
    <w:rsid w:val="004E2CEF"/>
    <w:rsid w:val="004E2DFE"/>
    <w:rsid w:val="004E3929"/>
    <w:rsid w:val="004E51D8"/>
    <w:rsid w:val="004E5717"/>
    <w:rsid w:val="004E5A61"/>
    <w:rsid w:val="004E5CB5"/>
    <w:rsid w:val="004E62D1"/>
    <w:rsid w:val="004E681A"/>
    <w:rsid w:val="004E6CB0"/>
    <w:rsid w:val="004E79E9"/>
    <w:rsid w:val="004F2707"/>
    <w:rsid w:val="004F3B0F"/>
    <w:rsid w:val="004F454E"/>
    <w:rsid w:val="004F5467"/>
    <w:rsid w:val="004F5F87"/>
    <w:rsid w:val="004F6213"/>
    <w:rsid w:val="004F6901"/>
    <w:rsid w:val="004F7C67"/>
    <w:rsid w:val="00500031"/>
    <w:rsid w:val="00501308"/>
    <w:rsid w:val="0050225B"/>
    <w:rsid w:val="005022D7"/>
    <w:rsid w:val="00503A4A"/>
    <w:rsid w:val="00505E75"/>
    <w:rsid w:val="00511295"/>
    <w:rsid w:val="005124CC"/>
    <w:rsid w:val="00512647"/>
    <w:rsid w:val="0051310E"/>
    <w:rsid w:val="0051353E"/>
    <w:rsid w:val="005138A0"/>
    <w:rsid w:val="00515564"/>
    <w:rsid w:val="005167CF"/>
    <w:rsid w:val="005202EB"/>
    <w:rsid w:val="00521611"/>
    <w:rsid w:val="005229EA"/>
    <w:rsid w:val="00524918"/>
    <w:rsid w:val="005258E5"/>
    <w:rsid w:val="00530067"/>
    <w:rsid w:val="005307A5"/>
    <w:rsid w:val="00531553"/>
    <w:rsid w:val="005317DA"/>
    <w:rsid w:val="00531867"/>
    <w:rsid w:val="00533871"/>
    <w:rsid w:val="00535FCD"/>
    <w:rsid w:val="0053654E"/>
    <w:rsid w:val="00537268"/>
    <w:rsid w:val="00537359"/>
    <w:rsid w:val="005422BD"/>
    <w:rsid w:val="0054571C"/>
    <w:rsid w:val="00547A3E"/>
    <w:rsid w:val="00547CC6"/>
    <w:rsid w:val="00550879"/>
    <w:rsid w:val="00550F2D"/>
    <w:rsid w:val="005517FD"/>
    <w:rsid w:val="005529DF"/>
    <w:rsid w:val="00553060"/>
    <w:rsid w:val="00554E3B"/>
    <w:rsid w:val="00555589"/>
    <w:rsid w:val="0055653C"/>
    <w:rsid w:val="00556D1E"/>
    <w:rsid w:val="00561D7A"/>
    <w:rsid w:val="00562690"/>
    <w:rsid w:val="00562C0D"/>
    <w:rsid w:val="00565512"/>
    <w:rsid w:val="005721CF"/>
    <w:rsid w:val="0057256E"/>
    <w:rsid w:val="00573F71"/>
    <w:rsid w:val="00576E3F"/>
    <w:rsid w:val="0058089B"/>
    <w:rsid w:val="00580947"/>
    <w:rsid w:val="00580F41"/>
    <w:rsid w:val="00581CB6"/>
    <w:rsid w:val="00581CE8"/>
    <w:rsid w:val="00581D6B"/>
    <w:rsid w:val="005821E4"/>
    <w:rsid w:val="00582484"/>
    <w:rsid w:val="00582BB8"/>
    <w:rsid w:val="005850FD"/>
    <w:rsid w:val="005873CF"/>
    <w:rsid w:val="00591708"/>
    <w:rsid w:val="00592268"/>
    <w:rsid w:val="00592DA2"/>
    <w:rsid w:val="0059314E"/>
    <w:rsid w:val="00593273"/>
    <w:rsid w:val="00593CE4"/>
    <w:rsid w:val="00596B90"/>
    <w:rsid w:val="00596BDB"/>
    <w:rsid w:val="0059781D"/>
    <w:rsid w:val="005A194D"/>
    <w:rsid w:val="005A1D9B"/>
    <w:rsid w:val="005A2CEC"/>
    <w:rsid w:val="005A2E7A"/>
    <w:rsid w:val="005A3F1A"/>
    <w:rsid w:val="005A4235"/>
    <w:rsid w:val="005A4DBA"/>
    <w:rsid w:val="005A689C"/>
    <w:rsid w:val="005A7E93"/>
    <w:rsid w:val="005B0D92"/>
    <w:rsid w:val="005B2A02"/>
    <w:rsid w:val="005B2F36"/>
    <w:rsid w:val="005B3249"/>
    <w:rsid w:val="005B379B"/>
    <w:rsid w:val="005B385D"/>
    <w:rsid w:val="005B3A1D"/>
    <w:rsid w:val="005B4815"/>
    <w:rsid w:val="005B4C77"/>
    <w:rsid w:val="005B5DCB"/>
    <w:rsid w:val="005B73E0"/>
    <w:rsid w:val="005C25B2"/>
    <w:rsid w:val="005C304C"/>
    <w:rsid w:val="005C3BF4"/>
    <w:rsid w:val="005C3C2B"/>
    <w:rsid w:val="005C4963"/>
    <w:rsid w:val="005C5B58"/>
    <w:rsid w:val="005C66C2"/>
    <w:rsid w:val="005C70C8"/>
    <w:rsid w:val="005C7C31"/>
    <w:rsid w:val="005D090D"/>
    <w:rsid w:val="005D16E4"/>
    <w:rsid w:val="005D3033"/>
    <w:rsid w:val="005D3272"/>
    <w:rsid w:val="005D6067"/>
    <w:rsid w:val="005E0877"/>
    <w:rsid w:val="005E1998"/>
    <w:rsid w:val="005E1FF7"/>
    <w:rsid w:val="005E231D"/>
    <w:rsid w:val="005E273E"/>
    <w:rsid w:val="005F0A0B"/>
    <w:rsid w:val="005F2754"/>
    <w:rsid w:val="005F3719"/>
    <w:rsid w:val="005F3BC0"/>
    <w:rsid w:val="005F3DD6"/>
    <w:rsid w:val="005F480D"/>
    <w:rsid w:val="005F58C3"/>
    <w:rsid w:val="005F59BC"/>
    <w:rsid w:val="005F7187"/>
    <w:rsid w:val="005F7727"/>
    <w:rsid w:val="006005A6"/>
    <w:rsid w:val="006027A3"/>
    <w:rsid w:val="006043BA"/>
    <w:rsid w:val="00605746"/>
    <w:rsid w:val="006067CE"/>
    <w:rsid w:val="006070FB"/>
    <w:rsid w:val="00607F2A"/>
    <w:rsid w:val="00614D03"/>
    <w:rsid w:val="00615E4C"/>
    <w:rsid w:val="00615F42"/>
    <w:rsid w:val="00616144"/>
    <w:rsid w:val="00617271"/>
    <w:rsid w:val="0061735F"/>
    <w:rsid w:val="0062025F"/>
    <w:rsid w:val="00620293"/>
    <w:rsid w:val="006228D4"/>
    <w:rsid w:val="00623DAA"/>
    <w:rsid w:val="00625ABC"/>
    <w:rsid w:val="0062642D"/>
    <w:rsid w:val="0062674F"/>
    <w:rsid w:val="00626A13"/>
    <w:rsid w:val="00626B4D"/>
    <w:rsid w:val="00627021"/>
    <w:rsid w:val="0063025F"/>
    <w:rsid w:val="00631093"/>
    <w:rsid w:val="00631D2E"/>
    <w:rsid w:val="006325DF"/>
    <w:rsid w:val="00633504"/>
    <w:rsid w:val="006353AF"/>
    <w:rsid w:val="00635CD5"/>
    <w:rsid w:val="00637617"/>
    <w:rsid w:val="00640639"/>
    <w:rsid w:val="00640C7F"/>
    <w:rsid w:val="00641456"/>
    <w:rsid w:val="0064287A"/>
    <w:rsid w:val="0064510C"/>
    <w:rsid w:val="006459B7"/>
    <w:rsid w:val="00646D22"/>
    <w:rsid w:val="00647219"/>
    <w:rsid w:val="00647B6E"/>
    <w:rsid w:val="00647D0B"/>
    <w:rsid w:val="00650738"/>
    <w:rsid w:val="00652E21"/>
    <w:rsid w:val="00653D4B"/>
    <w:rsid w:val="00656961"/>
    <w:rsid w:val="00656B7E"/>
    <w:rsid w:val="006621E5"/>
    <w:rsid w:val="00662BC9"/>
    <w:rsid w:val="00663442"/>
    <w:rsid w:val="006635E5"/>
    <w:rsid w:val="00664A0E"/>
    <w:rsid w:val="00664DC0"/>
    <w:rsid w:val="00664E72"/>
    <w:rsid w:val="00666FB3"/>
    <w:rsid w:val="00670133"/>
    <w:rsid w:val="00670C28"/>
    <w:rsid w:val="006713B3"/>
    <w:rsid w:val="006744B0"/>
    <w:rsid w:val="00676B98"/>
    <w:rsid w:val="00681D82"/>
    <w:rsid w:val="0068373F"/>
    <w:rsid w:val="0068404C"/>
    <w:rsid w:val="006840FC"/>
    <w:rsid w:val="006847C5"/>
    <w:rsid w:val="006855EE"/>
    <w:rsid w:val="00686898"/>
    <w:rsid w:val="00686A98"/>
    <w:rsid w:val="00686C41"/>
    <w:rsid w:val="00687D48"/>
    <w:rsid w:val="00690CC4"/>
    <w:rsid w:val="00690EA6"/>
    <w:rsid w:val="0069206B"/>
    <w:rsid w:val="0069229A"/>
    <w:rsid w:val="00692D27"/>
    <w:rsid w:val="006957FD"/>
    <w:rsid w:val="006960EB"/>
    <w:rsid w:val="0069730B"/>
    <w:rsid w:val="0069760A"/>
    <w:rsid w:val="006976BB"/>
    <w:rsid w:val="006976E1"/>
    <w:rsid w:val="006A1154"/>
    <w:rsid w:val="006A4701"/>
    <w:rsid w:val="006A4E53"/>
    <w:rsid w:val="006A5F7C"/>
    <w:rsid w:val="006A7E85"/>
    <w:rsid w:val="006B015E"/>
    <w:rsid w:val="006B1BCA"/>
    <w:rsid w:val="006B1D9C"/>
    <w:rsid w:val="006B32A4"/>
    <w:rsid w:val="006B3885"/>
    <w:rsid w:val="006B4171"/>
    <w:rsid w:val="006B4DEB"/>
    <w:rsid w:val="006B5C49"/>
    <w:rsid w:val="006B685D"/>
    <w:rsid w:val="006B6AD1"/>
    <w:rsid w:val="006B75E7"/>
    <w:rsid w:val="006C0537"/>
    <w:rsid w:val="006C0608"/>
    <w:rsid w:val="006C0E9F"/>
    <w:rsid w:val="006C216F"/>
    <w:rsid w:val="006C2664"/>
    <w:rsid w:val="006C4114"/>
    <w:rsid w:val="006C468D"/>
    <w:rsid w:val="006C4B34"/>
    <w:rsid w:val="006C5D57"/>
    <w:rsid w:val="006C60CB"/>
    <w:rsid w:val="006C64B8"/>
    <w:rsid w:val="006C650B"/>
    <w:rsid w:val="006C6819"/>
    <w:rsid w:val="006C6938"/>
    <w:rsid w:val="006C6A42"/>
    <w:rsid w:val="006C6B19"/>
    <w:rsid w:val="006C7725"/>
    <w:rsid w:val="006C7984"/>
    <w:rsid w:val="006D1134"/>
    <w:rsid w:val="006D35D1"/>
    <w:rsid w:val="006D37D2"/>
    <w:rsid w:val="006D5259"/>
    <w:rsid w:val="006D6CC9"/>
    <w:rsid w:val="006D7827"/>
    <w:rsid w:val="006D78B2"/>
    <w:rsid w:val="006D7F68"/>
    <w:rsid w:val="006E0BA4"/>
    <w:rsid w:val="006E1090"/>
    <w:rsid w:val="006E397B"/>
    <w:rsid w:val="006E42AC"/>
    <w:rsid w:val="006F151D"/>
    <w:rsid w:val="006F3417"/>
    <w:rsid w:val="006F3F69"/>
    <w:rsid w:val="006F5B9A"/>
    <w:rsid w:val="006F69CE"/>
    <w:rsid w:val="007001D6"/>
    <w:rsid w:val="00702396"/>
    <w:rsid w:val="00702D4B"/>
    <w:rsid w:val="007050C7"/>
    <w:rsid w:val="00705499"/>
    <w:rsid w:val="00706A27"/>
    <w:rsid w:val="00706F07"/>
    <w:rsid w:val="00707E4A"/>
    <w:rsid w:val="007109D7"/>
    <w:rsid w:val="00711621"/>
    <w:rsid w:val="0071400D"/>
    <w:rsid w:val="00714A28"/>
    <w:rsid w:val="00714F84"/>
    <w:rsid w:val="00715624"/>
    <w:rsid w:val="007161EF"/>
    <w:rsid w:val="007207A2"/>
    <w:rsid w:val="00720ADC"/>
    <w:rsid w:val="00721E56"/>
    <w:rsid w:val="007222F8"/>
    <w:rsid w:val="0072283D"/>
    <w:rsid w:val="00723ED3"/>
    <w:rsid w:val="007254E8"/>
    <w:rsid w:val="00725FF3"/>
    <w:rsid w:val="007266D1"/>
    <w:rsid w:val="00727173"/>
    <w:rsid w:val="00731036"/>
    <w:rsid w:val="00731A73"/>
    <w:rsid w:val="007320C8"/>
    <w:rsid w:val="007340FF"/>
    <w:rsid w:val="00737849"/>
    <w:rsid w:val="007378F9"/>
    <w:rsid w:val="0074161D"/>
    <w:rsid w:val="00742278"/>
    <w:rsid w:val="0074231D"/>
    <w:rsid w:val="00742690"/>
    <w:rsid w:val="0074292C"/>
    <w:rsid w:val="00742AD2"/>
    <w:rsid w:val="00742E3A"/>
    <w:rsid w:val="007440F8"/>
    <w:rsid w:val="00745675"/>
    <w:rsid w:val="00745A04"/>
    <w:rsid w:val="00746500"/>
    <w:rsid w:val="00747445"/>
    <w:rsid w:val="00747FFC"/>
    <w:rsid w:val="00751179"/>
    <w:rsid w:val="00751A84"/>
    <w:rsid w:val="00752AD1"/>
    <w:rsid w:val="00753E93"/>
    <w:rsid w:val="00756467"/>
    <w:rsid w:val="0075670F"/>
    <w:rsid w:val="00756A7A"/>
    <w:rsid w:val="0076032B"/>
    <w:rsid w:val="00760A39"/>
    <w:rsid w:val="00760ABF"/>
    <w:rsid w:val="00760C66"/>
    <w:rsid w:val="007626B8"/>
    <w:rsid w:val="00763197"/>
    <w:rsid w:val="007640A8"/>
    <w:rsid w:val="007652BD"/>
    <w:rsid w:val="00765366"/>
    <w:rsid w:val="007660CF"/>
    <w:rsid w:val="00767712"/>
    <w:rsid w:val="00767827"/>
    <w:rsid w:val="00770322"/>
    <w:rsid w:val="00772A28"/>
    <w:rsid w:val="007745F6"/>
    <w:rsid w:val="007759C2"/>
    <w:rsid w:val="00776F88"/>
    <w:rsid w:val="0077709F"/>
    <w:rsid w:val="007771C2"/>
    <w:rsid w:val="007771FA"/>
    <w:rsid w:val="007777A7"/>
    <w:rsid w:val="00780108"/>
    <w:rsid w:val="00782503"/>
    <w:rsid w:val="00783A76"/>
    <w:rsid w:val="00784650"/>
    <w:rsid w:val="00784D20"/>
    <w:rsid w:val="00787F69"/>
    <w:rsid w:val="0079078A"/>
    <w:rsid w:val="00792DCD"/>
    <w:rsid w:val="007932B5"/>
    <w:rsid w:val="00794491"/>
    <w:rsid w:val="00795E71"/>
    <w:rsid w:val="0079712A"/>
    <w:rsid w:val="0079722E"/>
    <w:rsid w:val="007A1349"/>
    <w:rsid w:val="007A159C"/>
    <w:rsid w:val="007A2400"/>
    <w:rsid w:val="007A312B"/>
    <w:rsid w:val="007A3559"/>
    <w:rsid w:val="007A3C4B"/>
    <w:rsid w:val="007A55EB"/>
    <w:rsid w:val="007A748F"/>
    <w:rsid w:val="007B46B9"/>
    <w:rsid w:val="007B498C"/>
    <w:rsid w:val="007B4CF6"/>
    <w:rsid w:val="007B658F"/>
    <w:rsid w:val="007C049A"/>
    <w:rsid w:val="007C1D16"/>
    <w:rsid w:val="007C2EE5"/>
    <w:rsid w:val="007C3042"/>
    <w:rsid w:val="007C33F9"/>
    <w:rsid w:val="007C49AC"/>
    <w:rsid w:val="007C515A"/>
    <w:rsid w:val="007C655C"/>
    <w:rsid w:val="007C74F1"/>
    <w:rsid w:val="007D08DB"/>
    <w:rsid w:val="007D17AA"/>
    <w:rsid w:val="007D18DF"/>
    <w:rsid w:val="007D1BDA"/>
    <w:rsid w:val="007D1CEF"/>
    <w:rsid w:val="007D2832"/>
    <w:rsid w:val="007D3B20"/>
    <w:rsid w:val="007D4404"/>
    <w:rsid w:val="007D7609"/>
    <w:rsid w:val="007E3F8F"/>
    <w:rsid w:val="007E48AB"/>
    <w:rsid w:val="007E4F1C"/>
    <w:rsid w:val="007E5640"/>
    <w:rsid w:val="007E6790"/>
    <w:rsid w:val="007E6F1A"/>
    <w:rsid w:val="007E7613"/>
    <w:rsid w:val="007F0FE0"/>
    <w:rsid w:val="007F120A"/>
    <w:rsid w:val="007F2456"/>
    <w:rsid w:val="007F2B6B"/>
    <w:rsid w:val="007F2CCA"/>
    <w:rsid w:val="007F2D58"/>
    <w:rsid w:val="007F2E81"/>
    <w:rsid w:val="007F4B00"/>
    <w:rsid w:val="007F55F5"/>
    <w:rsid w:val="007F585E"/>
    <w:rsid w:val="007F75E3"/>
    <w:rsid w:val="007F77AC"/>
    <w:rsid w:val="008016AE"/>
    <w:rsid w:val="00802128"/>
    <w:rsid w:val="00803A5D"/>
    <w:rsid w:val="00803C74"/>
    <w:rsid w:val="00805B7A"/>
    <w:rsid w:val="0080675A"/>
    <w:rsid w:val="00806981"/>
    <w:rsid w:val="00811613"/>
    <w:rsid w:val="00811CF0"/>
    <w:rsid w:val="00811CF7"/>
    <w:rsid w:val="00811ED2"/>
    <w:rsid w:val="00812390"/>
    <w:rsid w:val="008126B8"/>
    <w:rsid w:val="00812CBE"/>
    <w:rsid w:val="0081324E"/>
    <w:rsid w:val="0081347E"/>
    <w:rsid w:val="00813EF6"/>
    <w:rsid w:val="0081494C"/>
    <w:rsid w:val="00814CF6"/>
    <w:rsid w:val="00814E79"/>
    <w:rsid w:val="008150EB"/>
    <w:rsid w:val="00816CBD"/>
    <w:rsid w:val="00820829"/>
    <w:rsid w:val="00820E5C"/>
    <w:rsid w:val="008222AC"/>
    <w:rsid w:val="00822739"/>
    <w:rsid w:val="008246E4"/>
    <w:rsid w:val="00824BFA"/>
    <w:rsid w:val="00825A8D"/>
    <w:rsid w:val="0082603F"/>
    <w:rsid w:val="008272F5"/>
    <w:rsid w:val="00827855"/>
    <w:rsid w:val="00830868"/>
    <w:rsid w:val="00830CB9"/>
    <w:rsid w:val="00832DBA"/>
    <w:rsid w:val="0083314C"/>
    <w:rsid w:val="00833A3E"/>
    <w:rsid w:val="008341ED"/>
    <w:rsid w:val="00834976"/>
    <w:rsid w:val="008379F2"/>
    <w:rsid w:val="00837EDF"/>
    <w:rsid w:val="0084031C"/>
    <w:rsid w:val="008405A5"/>
    <w:rsid w:val="00841FBE"/>
    <w:rsid w:val="008421EC"/>
    <w:rsid w:val="0084279E"/>
    <w:rsid w:val="00843DF1"/>
    <w:rsid w:val="008465AF"/>
    <w:rsid w:val="008467AB"/>
    <w:rsid w:val="00847326"/>
    <w:rsid w:val="00847737"/>
    <w:rsid w:val="008501CE"/>
    <w:rsid w:val="008507B7"/>
    <w:rsid w:val="00851238"/>
    <w:rsid w:val="00851DC3"/>
    <w:rsid w:val="008525BE"/>
    <w:rsid w:val="00853140"/>
    <w:rsid w:val="008551B0"/>
    <w:rsid w:val="008605FD"/>
    <w:rsid w:val="008621B6"/>
    <w:rsid w:val="00864D9F"/>
    <w:rsid w:val="00866402"/>
    <w:rsid w:val="00873857"/>
    <w:rsid w:val="00876B67"/>
    <w:rsid w:val="008770EC"/>
    <w:rsid w:val="008814BA"/>
    <w:rsid w:val="008820BB"/>
    <w:rsid w:val="00885E71"/>
    <w:rsid w:val="008879FA"/>
    <w:rsid w:val="00890040"/>
    <w:rsid w:val="00890063"/>
    <w:rsid w:val="00890662"/>
    <w:rsid w:val="00890925"/>
    <w:rsid w:val="00892063"/>
    <w:rsid w:val="00893A64"/>
    <w:rsid w:val="008954AA"/>
    <w:rsid w:val="00896409"/>
    <w:rsid w:val="00896E6E"/>
    <w:rsid w:val="00897B3B"/>
    <w:rsid w:val="008A0BD1"/>
    <w:rsid w:val="008A160F"/>
    <w:rsid w:val="008A26DF"/>
    <w:rsid w:val="008A3863"/>
    <w:rsid w:val="008A49CA"/>
    <w:rsid w:val="008A7641"/>
    <w:rsid w:val="008A7E7C"/>
    <w:rsid w:val="008B03EA"/>
    <w:rsid w:val="008B0421"/>
    <w:rsid w:val="008B0A27"/>
    <w:rsid w:val="008B0D4C"/>
    <w:rsid w:val="008B38AF"/>
    <w:rsid w:val="008B42DB"/>
    <w:rsid w:val="008B48D4"/>
    <w:rsid w:val="008B560D"/>
    <w:rsid w:val="008B5E4F"/>
    <w:rsid w:val="008B6763"/>
    <w:rsid w:val="008B7A99"/>
    <w:rsid w:val="008B7B0C"/>
    <w:rsid w:val="008C0614"/>
    <w:rsid w:val="008C1CDF"/>
    <w:rsid w:val="008C3BEF"/>
    <w:rsid w:val="008C3C42"/>
    <w:rsid w:val="008C6C35"/>
    <w:rsid w:val="008C741D"/>
    <w:rsid w:val="008C7E9C"/>
    <w:rsid w:val="008D027C"/>
    <w:rsid w:val="008D04B9"/>
    <w:rsid w:val="008D0A0E"/>
    <w:rsid w:val="008D29D2"/>
    <w:rsid w:val="008D341A"/>
    <w:rsid w:val="008D381A"/>
    <w:rsid w:val="008D562A"/>
    <w:rsid w:val="008D6124"/>
    <w:rsid w:val="008D655F"/>
    <w:rsid w:val="008D7339"/>
    <w:rsid w:val="008D7A23"/>
    <w:rsid w:val="008D7FE9"/>
    <w:rsid w:val="008E18AD"/>
    <w:rsid w:val="008E4E1E"/>
    <w:rsid w:val="008E56BF"/>
    <w:rsid w:val="008E5DA3"/>
    <w:rsid w:val="008E6938"/>
    <w:rsid w:val="008E7AD7"/>
    <w:rsid w:val="008F01CC"/>
    <w:rsid w:val="008F0AEB"/>
    <w:rsid w:val="008F2934"/>
    <w:rsid w:val="008F44BC"/>
    <w:rsid w:val="008F46EE"/>
    <w:rsid w:val="008F4798"/>
    <w:rsid w:val="008F4B34"/>
    <w:rsid w:val="008F5859"/>
    <w:rsid w:val="008F5AB1"/>
    <w:rsid w:val="008F7F32"/>
    <w:rsid w:val="009013CF"/>
    <w:rsid w:val="0090153E"/>
    <w:rsid w:val="00901A38"/>
    <w:rsid w:val="00901C93"/>
    <w:rsid w:val="00902E90"/>
    <w:rsid w:val="00903359"/>
    <w:rsid w:val="00904871"/>
    <w:rsid w:val="00904ED8"/>
    <w:rsid w:val="00906654"/>
    <w:rsid w:val="00906808"/>
    <w:rsid w:val="009127B0"/>
    <w:rsid w:val="00913200"/>
    <w:rsid w:val="00913834"/>
    <w:rsid w:val="00915F3D"/>
    <w:rsid w:val="009173DD"/>
    <w:rsid w:val="00917F81"/>
    <w:rsid w:val="00920135"/>
    <w:rsid w:val="00920752"/>
    <w:rsid w:val="00920BDB"/>
    <w:rsid w:val="00920DC3"/>
    <w:rsid w:val="00923725"/>
    <w:rsid w:val="00924D4E"/>
    <w:rsid w:val="0092527D"/>
    <w:rsid w:val="00926311"/>
    <w:rsid w:val="00926363"/>
    <w:rsid w:val="0092707C"/>
    <w:rsid w:val="009276CE"/>
    <w:rsid w:val="009317ED"/>
    <w:rsid w:val="00931D82"/>
    <w:rsid w:val="009332B1"/>
    <w:rsid w:val="00933ADF"/>
    <w:rsid w:val="00934502"/>
    <w:rsid w:val="009350B6"/>
    <w:rsid w:val="00935DF3"/>
    <w:rsid w:val="00935E3D"/>
    <w:rsid w:val="009374F1"/>
    <w:rsid w:val="00937E92"/>
    <w:rsid w:val="00941984"/>
    <w:rsid w:val="00941E2F"/>
    <w:rsid w:val="00942492"/>
    <w:rsid w:val="009426B3"/>
    <w:rsid w:val="00943CBE"/>
    <w:rsid w:val="00946E00"/>
    <w:rsid w:val="00950087"/>
    <w:rsid w:val="00950CF7"/>
    <w:rsid w:val="00951168"/>
    <w:rsid w:val="00951261"/>
    <w:rsid w:val="00953AA7"/>
    <w:rsid w:val="00954AFD"/>
    <w:rsid w:val="00955325"/>
    <w:rsid w:val="0095775B"/>
    <w:rsid w:val="00957889"/>
    <w:rsid w:val="009603A1"/>
    <w:rsid w:val="0096488A"/>
    <w:rsid w:val="0096529F"/>
    <w:rsid w:val="00965EBB"/>
    <w:rsid w:val="00966D8B"/>
    <w:rsid w:val="009674A3"/>
    <w:rsid w:val="009675BF"/>
    <w:rsid w:val="0096782F"/>
    <w:rsid w:val="009710D3"/>
    <w:rsid w:val="009715B1"/>
    <w:rsid w:val="00975E47"/>
    <w:rsid w:val="009762F6"/>
    <w:rsid w:val="00976CD9"/>
    <w:rsid w:val="0097756E"/>
    <w:rsid w:val="00980C28"/>
    <w:rsid w:val="00981B3C"/>
    <w:rsid w:val="00982DD9"/>
    <w:rsid w:val="0098311D"/>
    <w:rsid w:val="009845A6"/>
    <w:rsid w:val="00985587"/>
    <w:rsid w:val="0098569D"/>
    <w:rsid w:val="0098626D"/>
    <w:rsid w:val="00986748"/>
    <w:rsid w:val="009870AA"/>
    <w:rsid w:val="0099042B"/>
    <w:rsid w:val="00990734"/>
    <w:rsid w:val="00991368"/>
    <w:rsid w:val="00992A5D"/>
    <w:rsid w:val="009930FE"/>
    <w:rsid w:val="00993907"/>
    <w:rsid w:val="00993CB4"/>
    <w:rsid w:val="00995543"/>
    <w:rsid w:val="00996495"/>
    <w:rsid w:val="009A0786"/>
    <w:rsid w:val="009A2127"/>
    <w:rsid w:val="009A4237"/>
    <w:rsid w:val="009A50E5"/>
    <w:rsid w:val="009A5ED2"/>
    <w:rsid w:val="009A6A9B"/>
    <w:rsid w:val="009B0B9B"/>
    <w:rsid w:val="009B57B3"/>
    <w:rsid w:val="009B6778"/>
    <w:rsid w:val="009B6D98"/>
    <w:rsid w:val="009B7FCA"/>
    <w:rsid w:val="009C3736"/>
    <w:rsid w:val="009C3A50"/>
    <w:rsid w:val="009C4862"/>
    <w:rsid w:val="009C5484"/>
    <w:rsid w:val="009C6098"/>
    <w:rsid w:val="009C6BE5"/>
    <w:rsid w:val="009D0EC1"/>
    <w:rsid w:val="009D10CF"/>
    <w:rsid w:val="009D1356"/>
    <w:rsid w:val="009D3CEA"/>
    <w:rsid w:val="009D7C97"/>
    <w:rsid w:val="009E0CA9"/>
    <w:rsid w:val="009E1123"/>
    <w:rsid w:val="009E1FFE"/>
    <w:rsid w:val="009E2E0A"/>
    <w:rsid w:val="009E3C0E"/>
    <w:rsid w:val="009E712F"/>
    <w:rsid w:val="009E775D"/>
    <w:rsid w:val="009F2E65"/>
    <w:rsid w:val="009F3BD4"/>
    <w:rsid w:val="009F4CEB"/>
    <w:rsid w:val="009F53DB"/>
    <w:rsid w:val="009F56ED"/>
    <w:rsid w:val="009F57CC"/>
    <w:rsid w:val="00A0179B"/>
    <w:rsid w:val="00A02511"/>
    <w:rsid w:val="00A068E7"/>
    <w:rsid w:val="00A06DD1"/>
    <w:rsid w:val="00A06EE9"/>
    <w:rsid w:val="00A07DE6"/>
    <w:rsid w:val="00A07ED8"/>
    <w:rsid w:val="00A07F75"/>
    <w:rsid w:val="00A10162"/>
    <w:rsid w:val="00A10C33"/>
    <w:rsid w:val="00A11FF6"/>
    <w:rsid w:val="00A12882"/>
    <w:rsid w:val="00A12CDE"/>
    <w:rsid w:val="00A17978"/>
    <w:rsid w:val="00A204D4"/>
    <w:rsid w:val="00A21459"/>
    <w:rsid w:val="00A222CB"/>
    <w:rsid w:val="00A22952"/>
    <w:rsid w:val="00A22D79"/>
    <w:rsid w:val="00A25186"/>
    <w:rsid w:val="00A25BE9"/>
    <w:rsid w:val="00A27ECF"/>
    <w:rsid w:val="00A31DA0"/>
    <w:rsid w:val="00A322CB"/>
    <w:rsid w:val="00A33C31"/>
    <w:rsid w:val="00A34311"/>
    <w:rsid w:val="00A35DE5"/>
    <w:rsid w:val="00A3686F"/>
    <w:rsid w:val="00A3736C"/>
    <w:rsid w:val="00A3756B"/>
    <w:rsid w:val="00A40261"/>
    <w:rsid w:val="00A407F2"/>
    <w:rsid w:val="00A40A9C"/>
    <w:rsid w:val="00A41790"/>
    <w:rsid w:val="00A428DD"/>
    <w:rsid w:val="00A444CE"/>
    <w:rsid w:val="00A45819"/>
    <w:rsid w:val="00A46FBF"/>
    <w:rsid w:val="00A47937"/>
    <w:rsid w:val="00A500B4"/>
    <w:rsid w:val="00A50B68"/>
    <w:rsid w:val="00A51301"/>
    <w:rsid w:val="00A5208D"/>
    <w:rsid w:val="00A53111"/>
    <w:rsid w:val="00A5506D"/>
    <w:rsid w:val="00A56AEA"/>
    <w:rsid w:val="00A57E63"/>
    <w:rsid w:val="00A61652"/>
    <w:rsid w:val="00A62CD9"/>
    <w:rsid w:val="00A637FA"/>
    <w:rsid w:val="00A647F4"/>
    <w:rsid w:val="00A67BCD"/>
    <w:rsid w:val="00A70D4E"/>
    <w:rsid w:val="00A72717"/>
    <w:rsid w:val="00A74C08"/>
    <w:rsid w:val="00A758F5"/>
    <w:rsid w:val="00A7644C"/>
    <w:rsid w:val="00A772B2"/>
    <w:rsid w:val="00A773EA"/>
    <w:rsid w:val="00A7759D"/>
    <w:rsid w:val="00A775BE"/>
    <w:rsid w:val="00A80924"/>
    <w:rsid w:val="00A81E52"/>
    <w:rsid w:val="00A83CB6"/>
    <w:rsid w:val="00A849D4"/>
    <w:rsid w:val="00A84AC8"/>
    <w:rsid w:val="00A86734"/>
    <w:rsid w:val="00A871BA"/>
    <w:rsid w:val="00A87573"/>
    <w:rsid w:val="00A877B4"/>
    <w:rsid w:val="00A92AEF"/>
    <w:rsid w:val="00AA13AF"/>
    <w:rsid w:val="00AA197B"/>
    <w:rsid w:val="00AA2A57"/>
    <w:rsid w:val="00AA3707"/>
    <w:rsid w:val="00AA594F"/>
    <w:rsid w:val="00AA6CFD"/>
    <w:rsid w:val="00AB0298"/>
    <w:rsid w:val="00AB0B60"/>
    <w:rsid w:val="00AB0D84"/>
    <w:rsid w:val="00AB0FF4"/>
    <w:rsid w:val="00AB10C6"/>
    <w:rsid w:val="00AB4DE9"/>
    <w:rsid w:val="00AB5A6D"/>
    <w:rsid w:val="00AB61E3"/>
    <w:rsid w:val="00AC0ACE"/>
    <w:rsid w:val="00AC112F"/>
    <w:rsid w:val="00AC31EB"/>
    <w:rsid w:val="00AC383A"/>
    <w:rsid w:val="00AC4259"/>
    <w:rsid w:val="00AC6F2A"/>
    <w:rsid w:val="00AC74BA"/>
    <w:rsid w:val="00AC7CAF"/>
    <w:rsid w:val="00AD0B55"/>
    <w:rsid w:val="00AD2396"/>
    <w:rsid w:val="00AD3F9A"/>
    <w:rsid w:val="00AD47E1"/>
    <w:rsid w:val="00AE224A"/>
    <w:rsid w:val="00AE26FF"/>
    <w:rsid w:val="00AE489F"/>
    <w:rsid w:val="00AE5970"/>
    <w:rsid w:val="00AE5B52"/>
    <w:rsid w:val="00AE727E"/>
    <w:rsid w:val="00AF004C"/>
    <w:rsid w:val="00AF0AB0"/>
    <w:rsid w:val="00AF0C4B"/>
    <w:rsid w:val="00AF1471"/>
    <w:rsid w:val="00AF1A5E"/>
    <w:rsid w:val="00AF2C74"/>
    <w:rsid w:val="00AF3204"/>
    <w:rsid w:val="00AF379A"/>
    <w:rsid w:val="00AF4059"/>
    <w:rsid w:val="00AF4368"/>
    <w:rsid w:val="00AF4A6C"/>
    <w:rsid w:val="00AF5183"/>
    <w:rsid w:val="00AF5A6D"/>
    <w:rsid w:val="00AF6E8A"/>
    <w:rsid w:val="00AF794C"/>
    <w:rsid w:val="00B0051F"/>
    <w:rsid w:val="00B01525"/>
    <w:rsid w:val="00B01E55"/>
    <w:rsid w:val="00B035D1"/>
    <w:rsid w:val="00B03FEA"/>
    <w:rsid w:val="00B057B3"/>
    <w:rsid w:val="00B05A27"/>
    <w:rsid w:val="00B07002"/>
    <w:rsid w:val="00B07170"/>
    <w:rsid w:val="00B073BA"/>
    <w:rsid w:val="00B077A9"/>
    <w:rsid w:val="00B13EB2"/>
    <w:rsid w:val="00B143AD"/>
    <w:rsid w:val="00B15EA8"/>
    <w:rsid w:val="00B171F6"/>
    <w:rsid w:val="00B209EE"/>
    <w:rsid w:val="00B264F4"/>
    <w:rsid w:val="00B27409"/>
    <w:rsid w:val="00B31259"/>
    <w:rsid w:val="00B339DE"/>
    <w:rsid w:val="00B33CC7"/>
    <w:rsid w:val="00B351C5"/>
    <w:rsid w:val="00B35C4A"/>
    <w:rsid w:val="00B370E8"/>
    <w:rsid w:val="00B37E6B"/>
    <w:rsid w:val="00B406C8"/>
    <w:rsid w:val="00B40BB1"/>
    <w:rsid w:val="00B4149A"/>
    <w:rsid w:val="00B42AE8"/>
    <w:rsid w:val="00B43657"/>
    <w:rsid w:val="00B44033"/>
    <w:rsid w:val="00B447CB"/>
    <w:rsid w:val="00B44CC5"/>
    <w:rsid w:val="00B4532D"/>
    <w:rsid w:val="00B45446"/>
    <w:rsid w:val="00B45498"/>
    <w:rsid w:val="00B461B8"/>
    <w:rsid w:val="00B47640"/>
    <w:rsid w:val="00B6044A"/>
    <w:rsid w:val="00B61757"/>
    <w:rsid w:val="00B61B71"/>
    <w:rsid w:val="00B630BC"/>
    <w:rsid w:val="00B647D9"/>
    <w:rsid w:val="00B64FF6"/>
    <w:rsid w:val="00B660AB"/>
    <w:rsid w:val="00B67285"/>
    <w:rsid w:val="00B6741C"/>
    <w:rsid w:val="00B7018D"/>
    <w:rsid w:val="00B71402"/>
    <w:rsid w:val="00B7238F"/>
    <w:rsid w:val="00B73817"/>
    <w:rsid w:val="00B7495C"/>
    <w:rsid w:val="00B754DD"/>
    <w:rsid w:val="00B77ECB"/>
    <w:rsid w:val="00B83057"/>
    <w:rsid w:val="00B8437D"/>
    <w:rsid w:val="00B85827"/>
    <w:rsid w:val="00B8607C"/>
    <w:rsid w:val="00B90272"/>
    <w:rsid w:val="00B91B17"/>
    <w:rsid w:val="00B9236E"/>
    <w:rsid w:val="00B92BDD"/>
    <w:rsid w:val="00B936B2"/>
    <w:rsid w:val="00B941BA"/>
    <w:rsid w:val="00B94944"/>
    <w:rsid w:val="00B94DE6"/>
    <w:rsid w:val="00B94EA4"/>
    <w:rsid w:val="00B950BD"/>
    <w:rsid w:val="00B9754B"/>
    <w:rsid w:val="00B97A1D"/>
    <w:rsid w:val="00BA001C"/>
    <w:rsid w:val="00BA003F"/>
    <w:rsid w:val="00BA1342"/>
    <w:rsid w:val="00BA1AAE"/>
    <w:rsid w:val="00BA23B9"/>
    <w:rsid w:val="00BA2CA1"/>
    <w:rsid w:val="00BA4A08"/>
    <w:rsid w:val="00BB1C10"/>
    <w:rsid w:val="00BB2AC7"/>
    <w:rsid w:val="00BB2B8B"/>
    <w:rsid w:val="00BB33C1"/>
    <w:rsid w:val="00BB74DD"/>
    <w:rsid w:val="00BC13E3"/>
    <w:rsid w:val="00BC1BDC"/>
    <w:rsid w:val="00BC2BBB"/>
    <w:rsid w:val="00BC4EEF"/>
    <w:rsid w:val="00BC60EA"/>
    <w:rsid w:val="00BC66AB"/>
    <w:rsid w:val="00BC6C9B"/>
    <w:rsid w:val="00BC71F2"/>
    <w:rsid w:val="00BD0976"/>
    <w:rsid w:val="00BD23A2"/>
    <w:rsid w:val="00BD4838"/>
    <w:rsid w:val="00BD489D"/>
    <w:rsid w:val="00BD4E31"/>
    <w:rsid w:val="00BD5488"/>
    <w:rsid w:val="00BD6244"/>
    <w:rsid w:val="00BD6285"/>
    <w:rsid w:val="00BD6F99"/>
    <w:rsid w:val="00BD70FA"/>
    <w:rsid w:val="00BE08D3"/>
    <w:rsid w:val="00BE11AA"/>
    <w:rsid w:val="00BE28C6"/>
    <w:rsid w:val="00BE35FE"/>
    <w:rsid w:val="00BE420A"/>
    <w:rsid w:val="00BE5A22"/>
    <w:rsid w:val="00BE5F9D"/>
    <w:rsid w:val="00BE667A"/>
    <w:rsid w:val="00BE6F64"/>
    <w:rsid w:val="00BF124B"/>
    <w:rsid w:val="00BF5F53"/>
    <w:rsid w:val="00BF749F"/>
    <w:rsid w:val="00C0030F"/>
    <w:rsid w:val="00C00B71"/>
    <w:rsid w:val="00C00D7D"/>
    <w:rsid w:val="00C0114E"/>
    <w:rsid w:val="00C02BD7"/>
    <w:rsid w:val="00C03B28"/>
    <w:rsid w:val="00C03B78"/>
    <w:rsid w:val="00C04489"/>
    <w:rsid w:val="00C05582"/>
    <w:rsid w:val="00C05A88"/>
    <w:rsid w:val="00C064A8"/>
    <w:rsid w:val="00C06E9C"/>
    <w:rsid w:val="00C119AA"/>
    <w:rsid w:val="00C13CB8"/>
    <w:rsid w:val="00C145F6"/>
    <w:rsid w:val="00C14926"/>
    <w:rsid w:val="00C14D2E"/>
    <w:rsid w:val="00C16899"/>
    <w:rsid w:val="00C172CD"/>
    <w:rsid w:val="00C2018D"/>
    <w:rsid w:val="00C212D0"/>
    <w:rsid w:val="00C2163D"/>
    <w:rsid w:val="00C279FA"/>
    <w:rsid w:val="00C30899"/>
    <w:rsid w:val="00C317B0"/>
    <w:rsid w:val="00C32C07"/>
    <w:rsid w:val="00C341C2"/>
    <w:rsid w:val="00C35F27"/>
    <w:rsid w:val="00C3605D"/>
    <w:rsid w:val="00C3702E"/>
    <w:rsid w:val="00C40098"/>
    <w:rsid w:val="00C40841"/>
    <w:rsid w:val="00C409E7"/>
    <w:rsid w:val="00C41B44"/>
    <w:rsid w:val="00C41F4A"/>
    <w:rsid w:val="00C4258E"/>
    <w:rsid w:val="00C45B56"/>
    <w:rsid w:val="00C46F08"/>
    <w:rsid w:val="00C4719F"/>
    <w:rsid w:val="00C47251"/>
    <w:rsid w:val="00C506B4"/>
    <w:rsid w:val="00C5131D"/>
    <w:rsid w:val="00C5148C"/>
    <w:rsid w:val="00C51914"/>
    <w:rsid w:val="00C52A59"/>
    <w:rsid w:val="00C52B39"/>
    <w:rsid w:val="00C52E1A"/>
    <w:rsid w:val="00C533E4"/>
    <w:rsid w:val="00C54F98"/>
    <w:rsid w:val="00C6003A"/>
    <w:rsid w:val="00C617AE"/>
    <w:rsid w:val="00C64978"/>
    <w:rsid w:val="00C67961"/>
    <w:rsid w:val="00C7040E"/>
    <w:rsid w:val="00C705F6"/>
    <w:rsid w:val="00C75604"/>
    <w:rsid w:val="00C76B39"/>
    <w:rsid w:val="00C80B0F"/>
    <w:rsid w:val="00C8105C"/>
    <w:rsid w:val="00C8163C"/>
    <w:rsid w:val="00C817FB"/>
    <w:rsid w:val="00C81AD9"/>
    <w:rsid w:val="00C83265"/>
    <w:rsid w:val="00C83327"/>
    <w:rsid w:val="00C83B26"/>
    <w:rsid w:val="00C84949"/>
    <w:rsid w:val="00C84E25"/>
    <w:rsid w:val="00C853A1"/>
    <w:rsid w:val="00C854EE"/>
    <w:rsid w:val="00C874A2"/>
    <w:rsid w:val="00C91484"/>
    <w:rsid w:val="00C91A48"/>
    <w:rsid w:val="00C9250D"/>
    <w:rsid w:val="00C936AD"/>
    <w:rsid w:val="00C9430F"/>
    <w:rsid w:val="00C952E0"/>
    <w:rsid w:val="00C9560B"/>
    <w:rsid w:val="00C96C88"/>
    <w:rsid w:val="00C97ED8"/>
    <w:rsid w:val="00CA221F"/>
    <w:rsid w:val="00CA2D2A"/>
    <w:rsid w:val="00CA3561"/>
    <w:rsid w:val="00CA50F5"/>
    <w:rsid w:val="00CA519E"/>
    <w:rsid w:val="00CA5330"/>
    <w:rsid w:val="00CA5D4D"/>
    <w:rsid w:val="00CB100C"/>
    <w:rsid w:val="00CB46DC"/>
    <w:rsid w:val="00CB51CE"/>
    <w:rsid w:val="00CB6633"/>
    <w:rsid w:val="00CB71CA"/>
    <w:rsid w:val="00CB7F39"/>
    <w:rsid w:val="00CC07F8"/>
    <w:rsid w:val="00CC0ED9"/>
    <w:rsid w:val="00CC1489"/>
    <w:rsid w:val="00CC207A"/>
    <w:rsid w:val="00CC21FD"/>
    <w:rsid w:val="00CC272D"/>
    <w:rsid w:val="00CC2ADF"/>
    <w:rsid w:val="00CC2E14"/>
    <w:rsid w:val="00CC6986"/>
    <w:rsid w:val="00CD0BF3"/>
    <w:rsid w:val="00CD2142"/>
    <w:rsid w:val="00CD41AB"/>
    <w:rsid w:val="00CD469F"/>
    <w:rsid w:val="00CD4AE2"/>
    <w:rsid w:val="00CD75D0"/>
    <w:rsid w:val="00CE0DC1"/>
    <w:rsid w:val="00CE1A8A"/>
    <w:rsid w:val="00CE1D2B"/>
    <w:rsid w:val="00CE3276"/>
    <w:rsid w:val="00CE37A1"/>
    <w:rsid w:val="00CE3980"/>
    <w:rsid w:val="00CE5E4F"/>
    <w:rsid w:val="00CE748B"/>
    <w:rsid w:val="00CF16A3"/>
    <w:rsid w:val="00CF2C55"/>
    <w:rsid w:val="00CF2F57"/>
    <w:rsid w:val="00CF35ED"/>
    <w:rsid w:val="00CF3DC6"/>
    <w:rsid w:val="00CF4288"/>
    <w:rsid w:val="00CF46DA"/>
    <w:rsid w:val="00CF48DC"/>
    <w:rsid w:val="00CF5E14"/>
    <w:rsid w:val="00CF6E45"/>
    <w:rsid w:val="00CF7492"/>
    <w:rsid w:val="00D00DE1"/>
    <w:rsid w:val="00D0172F"/>
    <w:rsid w:val="00D029FF"/>
    <w:rsid w:val="00D04329"/>
    <w:rsid w:val="00D04BC1"/>
    <w:rsid w:val="00D04F88"/>
    <w:rsid w:val="00D07124"/>
    <w:rsid w:val="00D07A83"/>
    <w:rsid w:val="00D113F2"/>
    <w:rsid w:val="00D118FD"/>
    <w:rsid w:val="00D11DF2"/>
    <w:rsid w:val="00D1235C"/>
    <w:rsid w:val="00D129A7"/>
    <w:rsid w:val="00D12A57"/>
    <w:rsid w:val="00D1414C"/>
    <w:rsid w:val="00D15913"/>
    <w:rsid w:val="00D16D62"/>
    <w:rsid w:val="00D213E8"/>
    <w:rsid w:val="00D215BC"/>
    <w:rsid w:val="00D223F2"/>
    <w:rsid w:val="00D24C3A"/>
    <w:rsid w:val="00D258F4"/>
    <w:rsid w:val="00D25BD9"/>
    <w:rsid w:val="00D2616D"/>
    <w:rsid w:val="00D26BAC"/>
    <w:rsid w:val="00D26C5C"/>
    <w:rsid w:val="00D30EF2"/>
    <w:rsid w:val="00D31E6E"/>
    <w:rsid w:val="00D32BC9"/>
    <w:rsid w:val="00D33C70"/>
    <w:rsid w:val="00D36A9F"/>
    <w:rsid w:val="00D370D4"/>
    <w:rsid w:val="00D37B62"/>
    <w:rsid w:val="00D4126E"/>
    <w:rsid w:val="00D426A9"/>
    <w:rsid w:val="00D43444"/>
    <w:rsid w:val="00D43AE9"/>
    <w:rsid w:val="00D44055"/>
    <w:rsid w:val="00D44352"/>
    <w:rsid w:val="00D52D76"/>
    <w:rsid w:val="00D53232"/>
    <w:rsid w:val="00D53403"/>
    <w:rsid w:val="00D5389A"/>
    <w:rsid w:val="00D553DE"/>
    <w:rsid w:val="00D6078C"/>
    <w:rsid w:val="00D61A7A"/>
    <w:rsid w:val="00D61B1C"/>
    <w:rsid w:val="00D6307D"/>
    <w:rsid w:val="00D65274"/>
    <w:rsid w:val="00D6552A"/>
    <w:rsid w:val="00D65E93"/>
    <w:rsid w:val="00D67E22"/>
    <w:rsid w:val="00D7331F"/>
    <w:rsid w:val="00D73AA4"/>
    <w:rsid w:val="00D74282"/>
    <w:rsid w:val="00D75277"/>
    <w:rsid w:val="00D75415"/>
    <w:rsid w:val="00D75EAE"/>
    <w:rsid w:val="00D75F19"/>
    <w:rsid w:val="00D76A27"/>
    <w:rsid w:val="00D80399"/>
    <w:rsid w:val="00D80BD1"/>
    <w:rsid w:val="00D81912"/>
    <w:rsid w:val="00D8238F"/>
    <w:rsid w:val="00D85514"/>
    <w:rsid w:val="00D85EFD"/>
    <w:rsid w:val="00D8711D"/>
    <w:rsid w:val="00D90A66"/>
    <w:rsid w:val="00D90B09"/>
    <w:rsid w:val="00D931D6"/>
    <w:rsid w:val="00D953B8"/>
    <w:rsid w:val="00D95C64"/>
    <w:rsid w:val="00D95F53"/>
    <w:rsid w:val="00D97243"/>
    <w:rsid w:val="00DA0552"/>
    <w:rsid w:val="00DA2FE9"/>
    <w:rsid w:val="00DA4FAC"/>
    <w:rsid w:val="00DA549D"/>
    <w:rsid w:val="00DA5F54"/>
    <w:rsid w:val="00DA6287"/>
    <w:rsid w:val="00DA75E8"/>
    <w:rsid w:val="00DB2AC1"/>
    <w:rsid w:val="00DB2AFE"/>
    <w:rsid w:val="00DB44A2"/>
    <w:rsid w:val="00DB58C0"/>
    <w:rsid w:val="00DB5B92"/>
    <w:rsid w:val="00DC0A33"/>
    <w:rsid w:val="00DC0BC7"/>
    <w:rsid w:val="00DC0C21"/>
    <w:rsid w:val="00DC0F11"/>
    <w:rsid w:val="00DC1B02"/>
    <w:rsid w:val="00DC2519"/>
    <w:rsid w:val="00DC294F"/>
    <w:rsid w:val="00DC3512"/>
    <w:rsid w:val="00DC4129"/>
    <w:rsid w:val="00DC76BC"/>
    <w:rsid w:val="00DD18F1"/>
    <w:rsid w:val="00DD5F2D"/>
    <w:rsid w:val="00DD6C78"/>
    <w:rsid w:val="00DE0B3E"/>
    <w:rsid w:val="00DE11C2"/>
    <w:rsid w:val="00DE2160"/>
    <w:rsid w:val="00DE3F53"/>
    <w:rsid w:val="00DE42E3"/>
    <w:rsid w:val="00DE5203"/>
    <w:rsid w:val="00DF2873"/>
    <w:rsid w:val="00DF373B"/>
    <w:rsid w:val="00DF37D3"/>
    <w:rsid w:val="00DF3B38"/>
    <w:rsid w:val="00DF5EC8"/>
    <w:rsid w:val="00E024A6"/>
    <w:rsid w:val="00E02D50"/>
    <w:rsid w:val="00E0626F"/>
    <w:rsid w:val="00E0671D"/>
    <w:rsid w:val="00E073A2"/>
    <w:rsid w:val="00E10CE1"/>
    <w:rsid w:val="00E112A5"/>
    <w:rsid w:val="00E11F44"/>
    <w:rsid w:val="00E1206A"/>
    <w:rsid w:val="00E14DF3"/>
    <w:rsid w:val="00E15B38"/>
    <w:rsid w:val="00E15DA1"/>
    <w:rsid w:val="00E1609A"/>
    <w:rsid w:val="00E20979"/>
    <w:rsid w:val="00E20CDB"/>
    <w:rsid w:val="00E20D3B"/>
    <w:rsid w:val="00E21FE5"/>
    <w:rsid w:val="00E23194"/>
    <w:rsid w:val="00E235CA"/>
    <w:rsid w:val="00E23807"/>
    <w:rsid w:val="00E26021"/>
    <w:rsid w:val="00E2659A"/>
    <w:rsid w:val="00E26E8A"/>
    <w:rsid w:val="00E301D2"/>
    <w:rsid w:val="00E304C3"/>
    <w:rsid w:val="00E31B61"/>
    <w:rsid w:val="00E32AFC"/>
    <w:rsid w:val="00E3337E"/>
    <w:rsid w:val="00E33FC1"/>
    <w:rsid w:val="00E35B36"/>
    <w:rsid w:val="00E360E3"/>
    <w:rsid w:val="00E368D8"/>
    <w:rsid w:val="00E37232"/>
    <w:rsid w:val="00E4114E"/>
    <w:rsid w:val="00E418A4"/>
    <w:rsid w:val="00E43A79"/>
    <w:rsid w:val="00E43E22"/>
    <w:rsid w:val="00E43E68"/>
    <w:rsid w:val="00E45F7E"/>
    <w:rsid w:val="00E500A1"/>
    <w:rsid w:val="00E500FD"/>
    <w:rsid w:val="00E51FDF"/>
    <w:rsid w:val="00E52177"/>
    <w:rsid w:val="00E5459F"/>
    <w:rsid w:val="00E54A1F"/>
    <w:rsid w:val="00E612A2"/>
    <w:rsid w:val="00E613A1"/>
    <w:rsid w:val="00E6277F"/>
    <w:rsid w:val="00E6291C"/>
    <w:rsid w:val="00E64EBD"/>
    <w:rsid w:val="00E6771E"/>
    <w:rsid w:val="00E706AA"/>
    <w:rsid w:val="00E728DF"/>
    <w:rsid w:val="00E74CF9"/>
    <w:rsid w:val="00E75224"/>
    <w:rsid w:val="00E7535E"/>
    <w:rsid w:val="00E75C95"/>
    <w:rsid w:val="00E75CF2"/>
    <w:rsid w:val="00E761BB"/>
    <w:rsid w:val="00E77BBF"/>
    <w:rsid w:val="00E8042A"/>
    <w:rsid w:val="00E8249C"/>
    <w:rsid w:val="00E8359F"/>
    <w:rsid w:val="00E84A53"/>
    <w:rsid w:val="00E84C9A"/>
    <w:rsid w:val="00E84CC4"/>
    <w:rsid w:val="00E84EA4"/>
    <w:rsid w:val="00E851D5"/>
    <w:rsid w:val="00E87CCE"/>
    <w:rsid w:val="00E917E1"/>
    <w:rsid w:val="00E919A1"/>
    <w:rsid w:val="00E91FF5"/>
    <w:rsid w:val="00E9262F"/>
    <w:rsid w:val="00E951F4"/>
    <w:rsid w:val="00E9563C"/>
    <w:rsid w:val="00E97AA9"/>
    <w:rsid w:val="00EA0637"/>
    <w:rsid w:val="00EA29CC"/>
    <w:rsid w:val="00EA44A3"/>
    <w:rsid w:val="00EA4CF3"/>
    <w:rsid w:val="00EA563D"/>
    <w:rsid w:val="00EA66CC"/>
    <w:rsid w:val="00EA71EB"/>
    <w:rsid w:val="00EA736C"/>
    <w:rsid w:val="00EB3C7F"/>
    <w:rsid w:val="00EB50B6"/>
    <w:rsid w:val="00EB5838"/>
    <w:rsid w:val="00EB5E0F"/>
    <w:rsid w:val="00EB6045"/>
    <w:rsid w:val="00EC3A0D"/>
    <w:rsid w:val="00EC3DD7"/>
    <w:rsid w:val="00EC4E38"/>
    <w:rsid w:val="00EC6B2A"/>
    <w:rsid w:val="00ED2790"/>
    <w:rsid w:val="00ED347C"/>
    <w:rsid w:val="00ED5143"/>
    <w:rsid w:val="00ED6174"/>
    <w:rsid w:val="00EE018D"/>
    <w:rsid w:val="00EE1578"/>
    <w:rsid w:val="00EE1666"/>
    <w:rsid w:val="00EE2B72"/>
    <w:rsid w:val="00EE318E"/>
    <w:rsid w:val="00EE492B"/>
    <w:rsid w:val="00EE4DFC"/>
    <w:rsid w:val="00EE52C4"/>
    <w:rsid w:val="00EE6E80"/>
    <w:rsid w:val="00EE6F0D"/>
    <w:rsid w:val="00EE7930"/>
    <w:rsid w:val="00EF1A5D"/>
    <w:rsid w:val="00EF3A24"/>
    <w:rsid w:val="00EF5A90"/>
    <w:rsid w:val="00EF5D04"/>
    <w:rsid w:val="00F00C1B"/>
    <w:rsid w:val="00F01279"/>
    <w:rsid w:val="00F02134"/>
    <w:rsid w:val="00F0275F"/>
    <w:rsid w:val="00F03BD1"/>
    <w:rsid w:val="00F054EE"/>
    <w:rsid w:val="00F0746C"/>
    <w:rsid w:val="00F07A62"/>
    <w:rsid w:val="00F07D07"/>
    <w:rsid w:val="00F1147F"/>
    <w:rsid w:val="00F1158D"/>
    <w:rsid w:val="00F127DF"/>
    <w:rsid w:val="00F12EDD"/>
    <w:rsid w:val="00F13571"/>
    <w:rsid w:val="00F13653"/>
    <w:rsid w:val="00F142FA"/>
    <w:rsid w:val="00F15E93"/>
    <w:rsid w:val="00F15F28"/>
    <w:rsid w:val="00F163F1"/>
    <w:rsid w:val="00F16CC4"/>
    <w:rsid w:val="00F1719F"/>
    <w:rsid w:val="00F21C42"/>
    <w:rsid w:val="00F21E06"/>
    <w:rsid w:val="00F21FAB"/>
    <w:rsid w:val="00F2233D"/>
    <w:rsid w:val="00F2295D"/>
    <w:rsid w:val="00F2298B"/>
    <w:rsid w:val="00F230DA"/>
    <w:rsid w:val="00F25612"/>
    <w:rsid w:val="00F261F4"/>
    <w:rsid w:val="00F26C4F"/>
    <w:rsid w:val="00F2785F"/>
    <w:rsid w:val="00F30112"/>
    <w:rsid w:val="00F3079C"/>
    <w:rsid w:val="00F31657"/>
    <w:rsid w:val="00F32A10"/>
    <w:rsid w:val="00F32C40"/>
    <w:rsid w:val="00F33359"/>
    <w:rsid w:val="00F3395E"/>
    <w:rsid w:val="00F35B94"/>
    <w:rsid w:val="00F37279"/>
    <w:rsid w:val="00F37799"/>
    <w:rsid w:val="00F37D8D"/>
    <w:rsid w:val="00F40713"/>
    <w:rsid w:val="00F40CE2"/>
    <w:rsid w:val="00F42496"/>
    <w:rsid w:val="00F42BEB"/>
    <w:rsid w:val="00F4673F"/>
    <w:rsid w:val="00F52215"/>
    <w:rsid w:val="00F56FFF"/>
    <w:rsid w:val="00F57829"/>
    <w:rsid w:val="00F57B2D"/>
    <w:rsid w:val="00F60142"/>
    <w:rsid w:val="00F6225B"/>
    <w:rsid w:val="00F63923"/>
    <w:rsid w:val="00F647F8"/>
    <w:rsid w:val="00F65158"/>
    <w:rsid w:val="00F667EA"/>
    <w:rsid w:val="00F66CD8"/>
    <w:rsid w:val="00F70932"/>
    <w:rsid w:val="00F73C4A"/>
    <w:rsid w:val="00F73E57"/>
    <w:rsid w:val="00F74AD4"/>
    <w:rsid w:val="00F762BF"/>
    <w:rsid w:val="00F76B70"/>
    <w:rsid w:val="00F77490"/>
    <w:rsid w:val="00F804CE"/>
    <w:rsid w:val="00F81307"/>
    <w:rsid w:val="00F8293C"/>
    <w:rsid w:val="00F84DF6"/>
    <w:rsid w:val="00F856EE"/>
    <w:rsid w:val="00F92B8C"/>
    <w:rsid w:val="00F9319E"/>
    <w:rsid w:val="00F93FA8"/>
    <w:rsid w:val="00F94D0C"/>
    <w:rsid w:val="00F96549"/>
    <w:rsid w:val="00F96F26"/>
    <w:rsid w:val="00FA1FEB"/>
    <w:rsid w:val="00FA2354"/>
    <w:rsid w:val="00FA3A2E"/>
    <w:rsid w:val="00FA3AB5"/>
    <w:rsid w:val="00FA5181"/>
    <w:rsid w:val="00FA582A"/>
    <w:rsid w:val="00FA765D"/>
    <w:rsid w:val="00FB12CD"/>
    <w:rsid w:val="00FB13CA"/>
    <w:rsid w:val="00FB2152"/>
    <w:rsid w:val="00FB2260"/>
    <w:rsid w:val="00FB2B4C"/>
    <w:rsid w:val="00FB31A8"/>
    <w:rsid w:val="00FB4E08"/>
    <w:rsid w:val="00FB5254"/>
    <w:rsid w:val="00FB54E6"/>
    <w:rsid w:val="00FB7387"/>
    <w:rsid w:val="00FC0886"/>
    <w:rsid w:val="00FC18FB"/>
    <w:rsid w:val="00FC2114"/>
    <w:rsid w:val="00FC289A"/>
    <w:rsid w:val="00FC3AF6"/>
    <w:rsid w:val="00FC4D38"/>
    <w:rsid w:val="00FC517B"/>
    <w:rsid w:val="00FD082D"/>
    <w:rsid w:val="00FD0B57"/>
    <w:rsid w:val="00FD17E3"/>
    <w:rsid w:val="00FD20D1"/>
    <w:rsid w:val="00FD364D"/>
    <w:rsid w:val="00FD5E03"/>
    <w:rsid w:val="00FD6183"/>
    <w:rsid w:val="00FD713B"/>
    <w:rsid w:val="00FD7CB7"/>
    <w:rsid w:val="00FD7DA7"/>
    <w:rsid w:val="00FD7F3A"/>
    <w:rsid w:val="00FE00F3"/>
    <w:rsid w:val="00FE2692"/>
    <w:rsid w:val="00FE2C6E"/>
    <w:rsid w:val="00FE2F6C"/>
    <w:rsid w:val="00FE32A2"/>
    <w:rsid w:val="00FE3CA3"/>
    <w:rsid w:val="00FE78BA"/>
    <w:rsid w:val="00FF23C6"/>
    <w:rsid w:val="00FF2B3D"/>
    <w:rsid w:val="00FF3229"/>
    <w:rsid w:val="00FF480A"/>
    <w:rsid w:val="00FF5260"/>
    <w:rsid w:val="00FF56AB"/>
    <w:rsid w:val="00FF705F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B9368A0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DBA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5260"/>
    <w:pPr>
      <w:spacing w:before="240" w:after="0" w:line="259" w:lineRule="auto"/>
      <w:outlineLvl w:val="2"/>
    </w:pPr>
    <w:rPr>
      <w:rFonts w:asciiTheme="minorHAnsi" w:eastAsiaTheme="minorHAnsi" w:hAnsiTheme="minorHAnsi" w:cstheme="minorHAnsi"/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18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pis pro KZ,Odstavec_muj,Nad,odrážky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pis pro KZ Char,Odstavec_muj Char,Nad Char,odrážky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22055C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semiHidden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rsid w:val="00FF5260"/>
    <w:rPr>
      <w:rFonts w:eastAsiaTheme="minorHAnsi" w:cstheme="minorHAnsi"/>
      <w:b/>
      <w:sz w:val="24"/>
      <w:szCs w:val="24"/>
    </w:rPr>
  </w:style>
  <w:style w:type="character" w:customStyle="1" w:styleId="Nadpis5Char">
    <w:name w:val="Nadpis 5 Char"/>
    <w:basedOn w:val="Standardnpsmoodstavce"/>
    <w:uiPriority w:val="9"/>
    <w:rsid w:val="00C52E1A"/>
    <w:rPr>
      <w:rFonts w:ascii="Arial" w:eastAsia="Times New Roman" w:hAnsi="Arial" w:cs="Times New Roman"/>
      <w:b/>
      <w:bCs/>
      <w:szCs w:val="26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rsid w:val="005318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4" ma:contentTypeDescription="Nový dokument" ma:contentTypeScope="" ma:versionID="d89e704d5da6f95c6d8ec76e9aef2c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3682635821b83fa383227db51b23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8510-E121-4BAF-B550-C82E337C5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F923-7150-41FF-A829-D5640C567F8E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D15179-F6BA-4D53-AB65-5771D34E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6894DD00.dotm</Template>
  <TotalTime>1</TotalTime>
  <Pages>19</Pages>
  <Words>6090</Words>
  <Characters>35931</Characters>
  <Application>Microsoft Office Word</Application>
  <DocSecurity>4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17/31 - Závěrečný účet kapitoly státního rozpočtu Ministerstvo zemědělství za rok 2017, účetní závěrka Ministerstva zemědělství za rok 2017 a údaje předkládané Ministerstvem zemědělství pro h</vt:lpstr>
    </vt:vector>
  </TitlesOfParts>
  <Company>NKU</Company>
  <LinksUpToDate>false</LinksUpToDate>
  <CharactersWithSpaces>41938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18/05 - Účetnictví Ministerstva financí za rok 2017</dc:title>
  <dc:subject/>
  <dc:creator>Nejvyšší kontrolní úřad</dc:creator>
  <cp:keywords>kontrolní závěr; účetnictví; Ministerstvo financí; MF</cp:keywords>
  <dc:description/>
  <cp:lastModifiedBy>KOKRDA Daniel</cp:lastModifiedBy>
  <cp:revision>2</cp:revision>
  <cp:lastPrinted>2019-02-04T14:27:00Z</cp:lastPrinted>
  <dcterms:created xsi:type="dcterms:W3CDTF">2019-02-15T06:55:00Z</dcterms:created>
  <dcterms:modified xsi:type="dcterms:W3CDTF">2019-02-15T06:55:00Z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0x0101008A8194ABDB559E4EA6DCF74D90837326</vt:lpwstr>
  </property>
</Properties>
</file>