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200EFC" w14:textId="07807763" w:rsidR="00B81EEC" w:rsidRDefault="00B81EEC" w:rsidP="00B81EEC">
      <w:pPr>
        <w:spacing w:after="0" w:line="240" w:lineRule="auto"/>
        <w:jc w:val="center"/>
        <w:rPr>
          <w:rFonts w:cs="Calibri"/>
        </w:rPr>
      </w:pPr>
      <w:bookmarkStart w:id="0" w:name="_GoBack"/>
      <w:bookmarkEnd w:id="0"/>
      <w:r w:rsidRPr="005E477C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959165E" wp14:editId="5D9B7F45">
            <wp:simplePos x="0" y="0"/>
            <wp:positionH relativeFrom="margin">
              <wp:posOffset>2504440</wp:posOffset>
            </wp:positionH>
            <wp:positionV relativeFrom="paragraph">
              <wp:posOffset>248</wp:posOffset>
            </wp:positionV>
            <wp:extent cx="751205" cy="53975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212C9" w14:textId="290F7195" w:rsidR="009E0500" w:rsidRDefault="009E0500" w:rsidP="00B81EEC">
      <w:pPr>
        <w:spacing w:after="0" w:line="240" w:lineRule="auto"/>
        <w:jc w:val="center"/>
        <w:rPr>
          <w:rFonts w:cs="Calibri"/>
        </w:rPr>
      </w:pPr>
    </w:p>
    <w:p w14:paraId="50852A55" w14:textId="77777777" w:rsidR="00B81EEC" w:rsidRPr="005E477C" w:rsidRDefault="00B81EEC" w:rsidP="00B81EEC">
      <w:pPr>
        <w:spacing w:after="0" w:line="240" w:lineRule="auto"/>
        <w:jc w:val="center"/>
        <w:rPr>
          <w:rFonts w:cs="Calibri"/>
        </w:rPr>
      </w:pPr>
    </w:p>
    <w:p w14:paraId="5B276A48" w14:textId="77777777" w:rsidR="009E0500" w:rsidRPr="0058377D" w:rsidRDefault="009E0500" w:rsidP="00B81EEC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58377D">
        <w:rPr>
          <w:rFonts w:cstheme="minorHAnsi"/>
          <w:b/>
          <w:sz w:val="28"/>
          <w:szCs w:val="28"/>
        </w:rPr>
        <w:t>Kontrolní závěr z kontrolní akce</w:t>
      </w:r>
    </w:p>
    <w:p w14:paraId="734A000F" w14:textId="77777777" w:rsidR="00B81EEC" w:rsidRPr="005E477C" w:rsidRDefault="00B81EEC" w:rsidP="00B81EEC">
      <w:pPr>
        <w:spacing w:after="0" w:line="240" w:lineRule="auto"/>
        <w:jc w:val="center"/>
        <w:rPr>
          <w:rFonts w:cs="Calibri"/>
        </w:rPr>
      </w:pPr>
    </w:p>
    <w:p w14:paraId="12252E04" w14:textId="77777777" w:rsidR="009E0500" w:rsidRPr="005E477C" w:rsidRDefault="009E0500" w:rsidP="00B81EEC">
      <w:pPr>
        <w:spacing w:after="0" w:line="240" w:lineRule="auto"/>
        <w:jc w:val="center"/>
        <w:rPr>
          <w:rFonts w:cs="Calibri"/>
          <w:b/>
          <w:bCs/>
          <w:sz w:val="28"/>
        </w:rPr>
      </w:pPr>
      <w:r w:rsidRPr="005E477C">
        <w:rPr>
          <w:rFonts w:cs="Calibri"/>
          <w:b/>
          <w:bCs/>
          <w:sz w:val="28"/>
        </w:rPr>
        <w:t>1</w:t>
      </w:r>
      <w:r>
        <w:rPr>
          <w:rFonts w:cs="Calibri"/>
          <w:b/>
          <w:bCs/>
          <w:sz w:val="28"/>
        </w:rPr>
        <w:t>8</w:t>
      </w:r>
      <w:r w:rsidRPr="005E477C">
        <w:rPr>
          <w:rFonts w:cs="Calibri"/>
          <w:b/>
          <w:bCs/>
          <w:sz w:val="28"/>
        </w:rPr>
        <w:t>/2</w:t>
      </w:r>
      <w:r>
        <w:rPr>
          <w:rFonts w:cs="Calibri"/>
          <w:b/>
          <w:bCs/>
          <w:sz w:val="28"/>
        </w:rPr>
        <w:t>4</w:t>
      </w:r>
    </w:p>
    <w:p w14:paraId="403443B2" w14:textId="77777777" w:rsidR="00B81EEC" w:rsidRPr="005E477C" w:rsidRDefault="00B81EEC" w:rsidP="00B81EEC">
      <w:pPr>
        <w:spacing w:after="0" w:line="240" w:lineRule="auto"/>
        <w:jc w:val="center"/>
        <w:rPr>
          <w:rFonts w:cs="Calibri"/>
        </w:rPr>
      </w:pPr>
    </w:p>
    <w:p w14:paraId="37630B79" w14:textId="77777777" w:rsidR="009E0500" w:rsidRPr="005E477C" w:rsidRDefault="009E0500" w:rsidP="00B81EEC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Podpora veřejné městské a regionální dopravy financovaná v rámci</w:t>
      </w:r>
      <w:r w:rsidRPr="005E477C">
        <w:rPr>
          <w:rFonts w:asciiTheme="minorHAnsi" w:hAnsiTheme="minorHAnsi" w:cstheme="minorHAnsi"/>
          <w:b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Integrovaného regionálního operačního programu</w:t>
      </w:r>
    </w:p>
    <w:p w14:paraId="6AA48035" w14:textId="77777777" w:rsidR="00B81EEC" w:rsidRPr="005E477C" w:rsidRDefault="00B81EEC" w:rsidP="00B81EEC">
      <w:pPr>
        <w:spacing w:after="0" w:line="240" w:lineRule="auto"/>
        <w:rPr>
          <w:rFonts w:cs="Calibri"/>
        </w:rPr>
      </w:pPr>
    </w:p>
    <w:p w14:paraId="6DBBE763" w14:textId="77777777" w:rsidR="009E0500" w:rsidRPr="005E477C" w:rsidRDefault="009E0500" w:rsidP="00B81EEC">
      <w:pPr>
        <w:spacing w:after="0" w:line="240" w:lineRule="auto"/>
        <w:rPr>
          <w:rFonts w:cs="Calibri"/>
        </w:rPr>
      </w:pPr>
    </w:p>
    <w:p w14:paraId="5CA8B746" w14:textId="20EDB335" w:rsidR="009E0500" w:rsidRPr="005E477C" w:rsidRDefault="009E0500" w:rsidP="00D84D5D">
      <w:pPr>
        <w:pStyle w:val="Zkladn"/>
      </w:pPr>
      <w:r w:rsidRPr="005E477C">
        <w:t>Kontrolní akce byla zařazena do plánu kontrolní činnosti Nejvyššího kontrolního úřadu (dále</w:t>
      </w:r>
      <w:r w:rsidR="00E51BFC">
        <w:t xml:space="preserve"> </w:t>
      </w:r>
      <w:r w:rsidRPr="005E477C">
        <w:t>jen „NKÚ“) na rok 201</w:t>
      </w:r>
      <w:r>
        <w:t>8</w:t>
      </w:r>
      <w:r w:rsidRPr="005E477C">
        <w:t xml:space="preserve"> pod číslem 1</w:t>
      </w:r>
      <w:r>
        <w:t>8</w:t>
      </w:r>
      <w:r w:rsidRPr="005E477C">
        <w:t>/</w:t>
      </w:r>
      <w:r>
        <w:t>24</w:t>
      </w:r>
      <w:r w:rsidRPr="005E477C">
        <w:t>. Kontrolní akci řídil a kontrolní závěr vypracoval člen</w:t>
      </w:r>
      <w:r w:rsidR="00ED7547">
        <w:t> </w:t>
      </w:r>
      <w:r w:rsidRPr="005E477C">
        <w:t xml:space="preserve">NKÚ </w:t>
      </w:r>
      <w:r>
        <w:t>Ing. Jan Málek</w:t>
      </w:r>
      <w:r w:rsidRPr="005E477C">
        <w:t xml:space="preserve">. </w:t>
      </w:r>
    </w:p>
    <w:p w14:paraId="4F8BF170" w14:textId="77777777" w:rsidR="00D84D5D" w:rsidRDefault="00D84D5D" w:rsidP="00D84D5D">
      <w:pPr>
        <w:pStyle w:val="Zkladn"/>
      </w:pPr>
    </w:p>
    <w:p w14:paraId="46BA3CF0" w14:textId="1E869BFC" w:rsidR="009E0500" w:rsidRPr="006E3519" w:rsidRDefault="009E0500" w:rsidP="00D84D5D">
      <w:pPr>
        <w:pStyle w:val="Zkladn"/>
        <w:rPr>
          <w:noProof/>
        </w:rPr>
      </w:pPr>
      <w:r w:rsidRPr="0031577D">
        <w:rPr>
          <w:b/>
        </w:rPr>
        <w:t>Cílem kontroly</w:t>
      </w:r>
      <w:r w:rsidRPr="005E477C">
        <w:t xml:space="preserve"> bylo p</w:t>
      </w:r>
      <w:r w:rsidRPr="005E477C">
        <w:rPr>
          <w:noProof/>
        </w:rPr>
        <w:t xml:space="preserve">rověřit, zda kontrolované osoby poskytují </w:t>
      </w:r>
      <w:r w:rsidR="00942708">
        <w:rPr>
          <w:noProof/>
        </w:rPr>
        <w:t>a čerpají peněžní prostředky na</w:t>
      </w:r>
      <w:r w:rsidR="00E51BFC">
        <w:rPr>
          <w:noProof/>
        </w:rPr>
        <w:t xml:space="preserve"> </w:t>
      </w:r>
      <w:r w:rsidRPr="005E477C">
        <w:rPr>
          <w:noProof/>
        </w:rPr>
        <w:t xml:space="preserve">realizaci vybraných opatření v souladu s právními předpisy, účelně a hospodárně, </w:t>
      </w:r>
      <w:r>
        <w:rPr>
          <w:noProof/>
        </w:rPr>
        <w:t xml:space="preserve">a </w:t>
      </w:r>
      <w:r w:rsidRPr="005E477C">
        <w:rPr>
          <w:noProof/>
        </w:rPr>
        <w:t xml:space="preserve">zda je </w:t>
      </w:r>
      <w:r>
        <w:rPr>
          <w:noProof/>
        </w:rPr>
        <w:t xml:space="preserve">nastavením řídicího a kontrolního systému </w:t>
      </w:r>
      <w:r>
        <w:rPr>
          <w:i/>
          <w:noProof/>
        </w:rPr>
        <w:t xml:space="preserve">Integrovaného regionálního operačního programu </w:t>
      </w:r>
      <w:r>
        <w:rPr>
          <w:noProof/>
        </w:rPr>
        <w:t>vytvořen předpoklad pro naplnění cílů osy I, zejména v oblasti veřejné městské a reg</w:t>
      </w:r>
      <w:r w:rsidR="00A30FE1">
        <w:rPr>
          <w:noProof/>
        </w:rPr>
        <w:t>i</w:t>
      </w:r>
      <w:r>
        <w:rPr>
          <w:noProof/>
        </w:rPr>
        <w:t>onální dopravy</w:t>
      </w:r>
      <w:r w:rsidRPr="00D175B5">
        <w:rPr>
          <w:i/>
          <w:noProof/>
        </w:rPr>
        <w:t xml:space="preserve">. </w:t>
      </w:r>
    </w:p>
    <w:p w14:paraId="71C0A890" w14:textId="77777777" w:rsidR="00745240" w:rsidRDefault="00745240" w:rsidP="00D84D5D">
      <w:pPr>
        <w:pStyle w:val="Zkladn"/>
      </w:pPr>
    </w:p>
    <w:p w14:paraId="070F934D" w14:textId="77777777" w:rsidR="00745240" w:rsidRDefault="00745240" w:rsidP="00745240">
      <w:pPr>
        <w:pStyle w:val="Zkladn"/>
      </w:pPr>
      <w:r w:rsidRPr="00745240">
        <w:t>Kontrolováno bylo období</w:t>
      </w:r>
      <w:r>
        <w:t xml:space="preserve"> let </w:t>
      </w:r>
      <w:r w:rsidRPr="005E477C">
        <w:t xml:space="preserve">2014 </w:t>
      </w:r>
      <w:r>
        <w:t xml:space="preserve">až </w:t>
      </w:r>
      <w:r w:rsidRPr="005E477C">
        <w:t>201</w:t>
      </w:r>
      <w:r>
        <w:t>8</w:t>
      </w:r>
      <w:r w:rsidRPr="005E477C">
        <w:t xml:space="preserve">, v případě věcných souvislostí i období předcházející a následující. Kontrola byla prováděna u kontrolovaných osob od </w:t>
      </w:r>
      <w:r>
        <w:t>listopadu</w:t>
      </w:r>
      <w:r w:rsidRPr="005E477C">
        <w:t xml:space="preserve"> 201</w:t>
      </w:r>
      <w:r>
        <w:t>8</w:t>
      </w:r>
      <w:r w:rsidRPr="005E477C">
        <w:t xml:space="preserve"> do </w:t>
      </w:r>
      <w:r>
        <w:t>června</w:t>
      </w:r>
      <w:r w:rsidRPr="005E477C">
        <w:t xml:space="preserve"> 201</w:t>
      </w:r>
      <w:r>
        <w:t>9</w:t>
      </w:r>
      <w:r w:rsidRPr="005E477C">
        <w:t>.</w:t>
      </w:r>
    </w:p>
    <w:p w14:paraId="7B92B587" w14:textId="77777777" w:rsidR="00745240" w:rsidRDefault="00745240" w:rsidP="00745240">
      <w:pPr>
        <w:pStyle w:val="Zkladn"/>
      </w:pPr>
    </w:p>
    <w:p w14:paraId="46E3E163" w14:textId="77777777" w:rsidR="009E0500" w:rsidRPr="00745240" w:rsidRDefault="009E0500" w:rsidP="00745240">
      <w:pPr>
        <w:pStyle w:val="Zkladn"/>
      </w:pPr>
      <w:r w:rsidRPr="00745240">
        <w:t>Kontrolované osoby:</w:t>
      </w:r>
    </w:p>
    <w:p w14:paraId="2F4A77D2" w14:textId="40BC1A79" w:rsidR="009E0500" w:rsidRDefault="009E0500" w:rsidP="00F13B03">
      <w:pPr>
        <w:pStyle w:val="Zkladn"/>
      </w:pPr>
      <w:r w:rsidRPr="005E477C">
        <w:t xml:space="preserve">Ministerstvo </w:t>
      </w:r>
      <w:r>
        <w:t>pro místní rozvoj (dále též „MMR</w:t>
      </w:r>
      <w:r w:rsidRPr="005E477C">
        <w:t xml:space="preserve">“); </w:t>
      </w:r>
    </w:p>
    <w:p w14:paraId="56E3797F" w14:textId="77777777" w:rsidR="009E0500" w:rsidRDefault="009E0500" w:rsidP="00F13B03">
      <w:pPr>
        <w:pStyle w:val="Zkladn"/>
      </w:pPr>
      <w:r w:rsidRPr="00134D74">
        <w:t>Centrum pro regionální rozvoj České republiky (dále též „CRR“)</w:t>
      </w:r>
      <w:r w:rsidRPr="005E477C">
        <w:t xml:space="preserve">; </w:t>
      </w:r>
    </w:p>
    <w:p w14:paraId="6FB8DE8A" w14:textId="77777777" w:rsidR="009E0500" w:rsidRDefault="009E0500" w:rsidP="00F13B03">
      <w:pPr>
        <w:pStyle w:val="Zkladn"/>
      </w:pPr>
      <w:r>
        <w:t>s</w:t>
      </w:r>
      <w:r w:rsidRPr="00134D74">
        <w:t>tatutární město Brno</w:t>
      </w:r>
      <w:r>
        <w:t>;</w:t>
      </w:r>
    </w:p>
    <w:p w14:paraId="223E596F" w14:textId="77777777" w:rsidR="009E0500" w:rsidRDefault="009E0500" w:rsidP="00F13B03">
      <w:pPr>
        <w:pStyle w:val="Zkladn"/>
      </w:pPr>
      <w:r>
        <w:t>statutární město Olomouc;</w:t>
      </w:r>
    </w:p>
    <w:p w14:paraId="4CF9B032" w14:textId="77777777" w:rsidR="009E0500" w:rsidRDefault="009E0500" w:rsidP="00F13B03">
      <w:pPr>
        <w:pStyle w:val="Zkladn"/>
      </w:pPr>
      <w:r>
        <w:t>statutární město Ostrava;</w:t>
      </w:r>
    </w:p>
    <w:p w14:paraId="21E942D6" w14:textId="77777777" w:rsidR="009E0500" w:rsidRDefault="009E0500" w:rsidP="00F13B03">
      <w:pPr>
        <w:pStyle w:val="Zkladn"/>
      </w:pPr>
      <w:r>
        <w:t>statutární město Pardubice;</w:t>
      </w:r>
    </w:p>
    <w:p w14:paraId="0CB5C8F6" w14:textId="77777777" w:rsidR="009E0500" w:rsidRDefault="009E0500" w:rsidP="00F13B03">
      <w:pPr>
        <w:pStyle w:val="Zkladn"/>
      </w:pPr>
      <w:r>
        <w:t>statutární město Plzeň;</w:t>
      </w:r>
    </w:p>
    <w:p w14:paraId="34EB4834" w14:textId="77777777" w:rsidR="009E0500" w:rsidRDefault="009E0500" w:rsidP="00F13B03">
      <w:pPr>
        <w:pStyle w:val="Zkladn"/>
      </w:pPr>
      <w:r>
        <w:t>statutární město Ústí nad Labem;</w:t>
      </w:r>
    </w:p>
    <w:p w14:paraId="413DCDA1" w14:textId="77777777" w:rsidR="009E0500" w:rsidRPr="005E477C" w:rsidRDefault="009E0500" w:rsidP="00F13B03">
      <w:pPr>
        <w:pStyle w:val="Zkladn"/>
      </w:pPr>
      <w:r w:rsidRPr="00134D74">
        <w:t>ČSAD Havířov a.s.</w:t>
      </w:r>
      <w:r w:rsidRPr="005E477C">
        <w:t xml:space="preserve">; </w:t>
      </w:r>
      <w:r w:rsidRPr="00134D74">
        <w:t>ČSAD STTRANS a.s., Strakonice</w:t>
      </w:r>
      <w:r w:rsidRPr="005E477C">
        <w:t xml:space="preserve">; </w:t>
      </w:r>
      <w:r w:rsidRPr="00134D74">
        <w:t>Dopravní podnik měst Chomutova a Jirkova a.s., Chomutov</w:t>
      </w:r>
      <w:r w:rsidRPr="005E477C">
        <w:t xml:space="preserve">; </w:t>
      </w:r>
      <w:r w:rsidRPr="008A6DBF">
        <w:t>Dopravní podnik města Brna, a.s.</w:t>
      </w:r>
      <w:r w:rsidRPr="005E477C">
        <w:t xml:space="preserve">; </w:t>
      </w:r>
      <w:r w:rsidRPr="008A6DBF">
        <w:t>Dopravní podnik města České Budějovice, a.s.</w:t>
      </w:r>
      <w:r w:rsidRPr="005E477C">
        <w:t xml:space="preserve">; </w:t>
      </w:r>
      <w:r w:rsidRPr="008A6DBF">
        <w:t>Dopravní podnik města Děčína, a.s.</w:t>
      </w:r>
      <w:r w:rsidRPr="005E477C">
        <w:t xml:space="preserve">; </w:t>
      </w:r>
      <w:r w:rsidRPr="008A6DBF">
        <w:t>Dopravní podnik města Hradce Králové, a.s.</w:t>
      </w:r>
      <w:r w:rsidRPr="005E477C">
        <w:t xml:space="preserve">; </w:t>
      </w:r>
      <w:r w:rsidRPr="008A6DBF">
        <w:t>Dopravní podnik města Olomouce, a.s.</w:t>
      </w:r>
      <w:r w:rsidRPr="005E477C">
        <w:t xml:space="preserve">; </w:t>
      </w:r>
      <w:r w:rsidRPr="008A6DBF">
        <w:t>Dopravní podnik Ostrava a.s.</w:t>
      </w:r>
      <w:r w:rsidRPr="005E477C">
        <w:t xml:space="preserve">; </w:t>
      </w:r>
      <w:r w:rsidRPr="008A6DBF">
        <w:t>město Kolín</w:t>
      </w:r>
      <w:r w:rsidRPr="005E477C">
        <w:t xml:space="preserve">; </w:t>
      </w:r>
      <w:r w:rsidRPr="008A6DBF">
        <w:t>město Mohelnice</w:t>
      </w:r>
      <w:r w:rsidRPr="005E477C">
        <w:t xml:space="preserve">; </w:t>
      </w:r>
      <w:r w:rsidRPr="008A6DBF">
        <w:t>Plzeňské městské dopravní podniky, a.s., Plzeň</w:t>
      </w:r>
      <w:r w:rsidRPr="005E477C">
        <w:t xml:space="preserve">; </w:t>
      </w:r>
      <w:r w:rsidRPr="008A6DBF">
        <w:t>Plzeňský kraj, Plzeň</w:t>
      </w:r>
      <w:r>
        <w:t>.</w:t>
      </w:r>
    </w:p>
    <w:p w14:paraId="7B06720D" w14:textId="77777777" w:rsidR="009E0500" w:rsidRDefault="009E0500" w:rsidP="00D84D5D">
      <w:pPr>
        <w:pStyle w:val="Zkladn"/>
      </w:pPr>
    </w:p>
    <w:p w14:paraId="0E0915C4" w14:textId="77777777" w:rsidR="0031577D" w:rsidRPr="005E477C" w:rsidRDefault="0031577D" w:rsidP="00D84D5D">
      <w:pPr>
        <w:pStyle w:val="Zkladn"/>
      </w:pPr>
    </w:p>
    <w:p w14:paraId="0D94A8AB" w14:textId="345B7B0B" w:rsidR="009E0500" w:rsidRPr="005E477C" w:rsidRDefault="009E0500" w:rsidP="00D84D5D">
      <w:pPr>
        <w:pStyle w:val="Zkladn"/>
      </w:pPr>
      <w:r w:rsidRPr="005E477C">
        <w:rPr>
          <w:b/>
          <w:bCs/>
          <w:i/>
          <w:iCs/>
        </w:rPr>
        <w:t>K o l e g i u m</w:t>
      </w:r>
      <w:r w:rsidRPr="005E477C">
        <w:t xml:space="preserve">   </w:t>
      </w:r>
      <w:r w:rsidRPr="005E477C">
        <w:rPr>
          <w:b/>
          <w:bCs/>
          <w:i/>
          <w:iCs/>
        </w:rPr>
        <w:t xml:space="preserve">N K Ú  </w:t>
      </w:r>
      <w:r w:rsidRPr="005E477C">
        <w:rPr>
          <w:b/>
          <w:bCs/>
          <w:iCs/>
        </w:rPr>
        <w:t xml:space="preserve"> </w:t>
      </w:r>
      <w:r w:rsidRPr="005E477C">
        <w:t>na svém</w:t>
      </w:r>
      <w:r w:rsidR="00DA49D1">
        <w:t xml:space="preserve"> XIV.</w:t>
      </w:r>
      <w:r w:rsidRPr="005E477C">
        <w:t xml:space="preserve"> jednání, které se konalo dne </w:t>
      </w:r>
      <w:r w:rsidR="00DA49D1">
        <w:t>30. září</w:t>
      </w:r>
      <w:r>
        <w:t xml:space="preserve"> </w:t>
      </w:r>
      <w:r w:rsidRPr="005E477C">
        <w:t>201</w:t>
      </w:r>
      <w:r>
        <w:t>9</w:t>
      </w:r>
      <w:r w:rsidRPr="005E477C">
        <w:t xml:space="preserve">, </w:t>
      </w:r>
    </w:p>
    <w:p w14:paraId="1B175EE5" w14:textId="72076AAC" w:rsidR="009E0500" w:rsidRPr="005E477C" w:rsidRDefault="009E0500" w:rsidP="00D84D5D">
      <w:pPr>
        <w:pStyle w:val="Zkladn"/>
      </w:pPr>
      <w:proofErr w:type="gramStart"/>
      <w:r w:rsidRPr="005E477C">
        <w:rPr>
          <w:b/>
          <w:bCs/>
          <w:i/>
          <w:iCs/>
        </w:rPr>
        <w:t>s c h v á l i l o</w:t>
      </w:r>
      <w:r w:rsidRPr="005E477C">
        <w:t xml:space="preserve">   usnesením č.</w:t>
      </w:r>
      <w:proofErr w:type="gramEnd"/>
      <w:r w:rsidR="009D568A">
        <w:t xml:space="preserve"> 9</w:t>
      </w:r>
      <w:r w:rsidRPr="005E477C">
        <w:t>/</w:t>
      </w:r>
      <w:r w:rsidR="00DA49D1">
        <w:t>XIV</w:t>
      </w:r>
      <w:r w:rsidRPr="005E477C">
        <w:t>/201</w:t>
      </w:r>
      <w:r>
        <w:t>9</w:t>
      </w:r>
      <w:r w:rsidRPr="005E477C">
        <w:t xml:space="preserve"> </w:t>
      </w:r>
    </w:p>
    <w:p w14:paraId="00E89641" w14:textId="77777777" w:rsidR="00337FE4" w:rsidRDefault="009E0500" w:rsidP="00337FE4">
      <w:pPr>
        <w:spacing w:after="0" w:line="240" w:lineRule="auto"/>
      </w:pPr>
      <w:r w:rsidRPr="00D84D5D">
        <w:rPr>
          <w:b/>
          <w:i/>
        </w:rPr>
        <w:t>k o n t r o l n í   z á v ě r</w:t>
      </w:r>
      <w:r w:rsidRPr="005E477C">
        <w:t xml:space="preserve">   v tomto znění:</w:t>
      </w:r>
      <w:r w:rsidRPr="005E477C">
        <w:br w:type="page"/>
      </w:r>
    </w:p>
    <w:p w14:paraId="21D69255" w14:textId="6360A014" w:rsidR="00B81EEC" w:rsidRDefault="009E0500" w:rsidP="004220AA">
      <w:pPr>
        <w:spacing w:after="0" w:line="240" w:lineRule="auto"/>
        <w:jc w:val="center"/>
        <w:rPr>
          <w:caps/>
          <w:color w:val="004095"/>
          <w:sz w:val="32"/>
          <w:szCs w:val="32"/>
        </w:rPr>
      </w:pPr>
      <w:r w:rsidRPr="001F2E25">
        <w:rPr>
          <w:caps/>
          <w:color w:val="004095"/>
          <w:sz w:val="32"/>
          <w:szCs w:val="32"/>
        </w:rPr>
        <w:lastRenderedPageBreak/>
        <w:t>Klíčová fakta</w:t>
      </w:r>
    </w:p>
    <w:p w14:paraId="0CEA138F" w14:textId="77777777" w:rsidR="004220AA" w:rsidRPr="005E477C" w:rsidRDefault="004220AA" w:rsidP="004220AA">
      <w:pPr>
        <w:spacing w:after="0" w:line="240" w:lineRule="auto"/>
        <w:jc w:val="center"/>
        <w:rPr>
          <w:rFonts w:cs="Calibri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1"/>
        <w:gridCol w:w="170"/>
        <w:gridCol w:w="2551"/>
        <w:gridCol w:w="170"/>
        <w:gridCol w:w="2041"/>
        <w:gridCol w:w="170"/>
        <w:gridCol w:w="2098"/>
      </w:tblGrid>
      <w:tr w:rsidR="00497334" w14:paraId="23D843BC" w14:textId="77777777" w:rsidTr="00497334">
        <w:trPr>
          <w:trHeight w:val="615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000000" w:fill="004595"/>
            <w:vAlign w:val="center"/>
            <w:hideMark/>
          </w:tcPr>
          <w:p w14:paraId="596A5682" w14:textId="77777777" w:rsidR="00800E57" w:rsidRDefault="00800E57" w:rsidP="00B81EE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 xml:space="preserve">3 983 mil. Kč 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5A9D8" w14:textId="77777777" w:rsidR="00800E57" w:rsidRDefault="00800E57" w:rsidP="00B81EE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000000" w:fill="004595"/>
            <w:vAlign w:val="center"/>
            <w:hideMark/>
          </w:tcPr>
          <w:p w14:paraId="25D19D89" w14:textId="224E9398" w:rsidR="00800E57" w:rsidRDefault="00800E57" w:rsidP="00B81EE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>674 mil. Kč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550FB" w14:textId="77777777" w:rsidR="00800E57" w:rsidRDefault="00800E57" w:rsidP="00B81EE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000000" w:fill="004595"/>
            <w:vAlign w:val="center"/>
            <w:hideMark/>
          </w:tcPr>
          <w:p w14:paraId="7C50A092" w14:textId="3CB01D90" w:rsidR="00800E57" w:rsidRDefault="00800E57" w:rsidP="00497334">
            <w:pPr>
              <w:spacing w:after="0" w:line="240" w:lineRule="auto"/>
              <w:ind w:left="57" w:right="57"/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 xml:space="preserve">12 588 mil. Kč 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CF6C1" w14:textId="77777777" w:rsidR="00800E57" w:rsidRDefault="00800E57" w:rsidP="00B81EE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000000" w:fill="004595"/>
            <w:vAlign w:val="center"/>
            <w:hideMark/>
          </w:tcPr>
          <w:p w14:paraId="24030B61" w14:textId="17867C55" w:rsidR="00800E57" w:rsidRDefault="00800E57" w:rsidP="00B81EE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8"/>
                <w:szCs w:val="28"/>
              </w:rPr>
              <w:t xml:space="preserve">1 551 mil. Kč </w:t>
            </w:r>
          </w:p>
        </w:tc>
      </w:tr>
      <w:tr w:rsidR="00497334" w14:paraId="28239BE7" w14:textId="77777777" w:rsidTr="0031166D">
        <w:trPr>
          <w:trHeight w:val="1417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000000" w:fill="004595"/>
            <w:vAlign w:val="center"/>
            <w:hideMark/>
          </w:tcPr>
          <w:p w14:paraId="56A8CCDB" w14:textId="0D7490BB" w:rsidR="00800E57" w:rsidRDefault="00800E57" w:rsidP="00497334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Dotace na náku</w:t>
            </w:r>
            <w:r w:rsidR="00033543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p</w:t>
            </w:r>
            <w:r w:rsidR="00614786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 w:rsidR="00497334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511 dopravních prostředků 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7E3DF" w14:textId="77777777" w:rsidR="00800E57" w:rsidRDefault="00800E57" w:rsidP="00B81EE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000000" w:fill="004595"/>
            <w:hideMark/>
          </w:tcPr>
          <w:p w14:paraId="237DB496" w14:textId="32BEDCA2" w:rsidR="00800E57" w:rsidRDefault="00800E57" w:rsidP="0031166D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Dotace na vytvoření</w:t>
            </w:r>
            <w:r w:rsidR="00614786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 xml:space="preserve">1 802 parkovacích míst 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 xml:space="preserve">pro auta 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</w:r>
            <w:r w:rsidR="0031166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a </w:t>
            </w: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1</w:t>
            </w:r>
            <w:r w:rsidR="0031166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 xml:space="preserve"> 520 parkovacích míst </w:t>
            </w:r>
            <w:r w:rsidR="0031166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br/>
              <w:t>pro kola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5986A" w14:textId="77777777" w:rsidR="00800E57" w:rsidRDefault="00800E57" w:rsidP="00B81EE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shd w:val="clear" w:color="000000" w:fill="004595"/>
            <w:vAlign w:val="center"/>
            <w:hideMark/>
          </w:tcPr>
          <w:p w14:paraId="2834DDA5" w14:textId="473C3539" w:rsidR="00800E57" w:rsidRDefault="00800E57" w:rsidP="0031166D">
            <w:pPr>
              <w:spacing w:after="0" w:line="240" w:lineRule="auto"/>
              <w:ind w:left="57" w:right="57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Kontrolovaný objem pr</w:t>
            </w:r>
            <w:r w:rsidR="0031166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ostředků na úrovni systému IROP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7D331" w14:textId="77777777" w:rsidR="00800E57" w:rsidRDefault="00800E57" w:rsidP="00B81EE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</w:p>
        </w:tc>
        <w:tc>
          <w:tcPr>
            <w:tcW w:w="2098" w:type="dxa"/>
            <w:tcBorders>
              <w:top w:val="nil"/>
              <w:left w:val="nil"/>
              <w:bottom w:val="nil"/>
              <w:right w:val="nil"/>
            </w:tcBorders>
            <w:shd w:val="clear" w:color="000000" w:fill="004595"/>
            <w:vAlign w:val="center"/>
            <w:hideMark/>
          </w:tcPr>
          <w:p w14:paraId="05DDC6E3" w14:textId="37CF6875" w:rsidR="00800E57" w:rsidRDefault="00800E57" w:rsidP="00B81EE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Kontrolovaný obje</w:t>
            </w:r>
            <w:r w:rsidR="0031166D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m prostředků na vzorku projektů</w:t>
            </w:r>
          </w:p>
        </w:tc>
      </w:tr>
    </w:tbl>
    <w:p w14:paraId="7920B18D" w14:textId="1606D5EC" w:rsidR="00800E57" w:rsidRDefault="00800E57" w:rsidP="00614786">
      <w:pPr>
        <w:pStyle w:val="PoznmkavtextuProgramu"/>
        <w:tabs>
          <w:tab w:val="clear" w:pos="1276"/>
          <w:tab w:val="left" w:pos="567"/>
        </w:tabs>
        <w:spacing w:before="40" w:after="0" w:line="240" w:lineRule="auto"/>
        <w:ind w:left="567" w:hanging="567"/>
        <w:rPr>
          <w:rFonts w:eastAsiaTheme="majorEastAsia"/>
          <w:i w:val="0"/>
          <w:color w:val="000000" w:themeColor="text1"/>
        </w:rPr>
      </w:pPr>
      <w:r w:rsidRPr="00522C5E">
        <w:rPr>
          <w:b/>
          <w:i w:val="0"/>
          <w:color w:val="000000" w:themeColor="text1"/>
          <w:sz w:val="20"/>
          <w:szCs w:val="20"/>
        </w:rPr>
        <w:t>Pozn.:</w:t>
      </w:r>
      <w:r w:rsidRPr="00522C5E">
        <w:rPr>
          <w:i w:val="0"/>
          <w:color w:val="000000" w:themeColor="text1"/>
          <w:sz w:val="20"/>
          <w:szCs w:val="20"/>
        </w:rPr>
        <w:t xml:space="preserve"> </w:t>
      </w:r>
      <w:r w:rsidRPr="00522C5E">
        <w:rPr>
          <w:i w:val="0"/>
          <w:color w:val="000000" w:themeColor="text1"/>
          <w:sz w:val="20"/>
          <w:szCs w:val="20"/>
        </w:rPr>
        <w:tab/>
        <w:t>Pořízené dopravní prostředky a vytvořená parkovací místa v projektech, na něž byla příjemcům k datu 30. 5. 2019 proplacena dotace.</w:t>
      </w:r>
      <w:r w:rsidRPr="00522C5E">
        <w:rPr>
          <w:rFonts w:eastAsiaTheme="majorEastAsia"/>
          <w:i w:val="0"/>
          <w:color w:val="000000" w:themeColor="text1"/>
        </w:rPr>
        <w:t xml:space="preserve"> </w:t>
      </w:r>
    </w:p>
    <w:p w14:paraId="037DD0A1" w14:textId="700F66D6" w:rsidR="004220AA" w:rsidRPr="00522C5E" w:rsidRDefault="004220AA" w:rsidP="004220AA">
      <w:pPr>
        <w:pStyle w:val="PoznmkavtextuProgramu"/>
        <w:tabs>
          <w:tab w:val="clear" w:pos="1276"/>
          <w:tab w:val="left" w:pos="709"/>
        </w:tabs>
        <w:spacing w:after="0" w:line="240" w:lineRule="auto"/>
        <w:ind w:left="709" w:hanging="709"/>
        <w:rPr>
          <w:rFonts w:eastAsiaTheme="majorEastAsia"/>
          <w:i w:val="0"/>
          <w:color w:val="000000" w:themeColor="text1"/>
        </w:rPr>
      </w:pPr>
    </w:p>
    <w:p w14:paraId="5034C636" w14:textId="73CD80F4" w:rsidR="00FA2A7B" w:rsidRPr="00A92D78" w:rsidRDefault="00764BAF" w:rsidP="004220AA">
      <w:pPr>
        <w:pStyle w:val="KZnormln"/>
        <w:spacing w:after="0"/>
        <w:rPr>
          <w:color w:val="004095"/>
          <w:sz w:val="28"/>
          <w:szCs w:val="28"/>
        </w:rPr>
      </w:pPr>
      <w:r>
        <w:rPr>
          <w:rFonts w:cs="Calibri"/>
          <w:noProof/>
          <w:lang w:eastAsia="cs-CZ"/>
        </w:rPr>
        <w:drawing>
          <wp:anchor distT="0" distB="0" distL="114300" distR="114300" simplePos="0" relativeHeight="251660297" behindDoc="0" locked="0" layoutInCell="1" allowOverlap="1" wp14:anchorId="0D6E9B1F" wp14:editId="2E72266C">
            <wp:simplePos x="0" y="0"/>
            <wp:positionH relativeFrom="column">
              <wp:posOffset>-17780</wp:posOffset>
            </wp:positionH>
            <wp:positionV relativeFrom="paragraph">
              <wp:posOffset>307975</wp:posOffset>
            </wp:positionV>
            <wp:extent cx="5842000" cy="989330"/>
            <wp:effectExtent l="0" t="0" r="6350" b="1270"/>
            <wp:wrapTopAndBottom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09" b="35212"/>
                    <a:stretch/>
                  </pic:blipFill>
                  <pic:spPr bwMode="auto">
                    <a:xfrm>
                      <a:off x="0" y="0"/>
                      <a:ext cx="584200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A7B" w:rsidRPr="00A92D78">
        <w:rPr>
          <w:color w:val="004095"/>
          <w:sz w:val="28"/>
          <w:szCs w:val="28"/>
        </w:rPr>
        <w:t>Průměrná cena pořízených dopravních prostředků v kontrolovaných projektech</w:t>
      </w:r>
    </w:p>
    <w:p w14:paraId="6C4CE127" w14:textId="4D8784AE" w:rsidR="00764BAF" w:rsidRDefault="00764BAF" w:rsidP="004220AA">
      <w:pPr>
        <w:spacing w:after="0" w:line="240" w:lineRule="auto"/>
        <w:rPr>
          <w:rFonts w:cs="Calibri"/>
        </w:rPr>
      </w:pPr>
    </w:p>
    <w:p w14:paraId="62F9EB3D" w14:textId="77777777" w:rsidR="00933009" w:rsidRPr="00522C5E" w:rsidRDefault="00933009" w:rsidP="004220AA">
      <w:pPr>
        <w:spacing w:after="0" w:line="240" w:lineRule="auto"/>
        <w:rPr>
          <w:rFonts w:cs="Calibri"/>
        </w:rPr>
      </w:pPr>
    </w:p>
    <w:tbl>
      <w:tblPr>
        <w:tblW w:w="9071" w:type="dxa"/>
        <w:shd w:val="clear" w:color="auto" w:fill="E5F1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6236"/>
      </w:tblGrid>
      <w:tr w:rsidR="00632475" w:rsidRPr="00522C5E" w14:paraId="2EA94A5C" w14:textId="77777777" w:rsidTr="004220AA">
        <w:trPr>
          <w:trHeight w:val="283"/>
        </w:trPr>
        <w:tc>
          <w:tcPr>
            <w:tcW w:w="2835" w:type="dxa"/>
            <w:shd w:val="clear" w:color="auto" w:fill="C00000"/>
            <w:vAlign w:val="center"/>
          </w:tcPr>
          <w:p w14:paraId="550D322D" w14:textId="074CF119" w:rsidR="00632475" w:rsidRPr="00522C5E" w:rsidRDefault="005158C8" w:rsidP="004220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522C5E">
              <w:rPr>
                <w:b/>
                <w:color w:val="FFFFFF" w:themeColor="background1"/>
              </w:rPr>
              <w:t>3</w:t>
            </w:r>
            <w:r w:rsidR="00670B78" w:rsidRPr="00522C5E">
              <w:rPr>
                <w:b/>
                <w:color w:val="FFFFFF" w:themeColor="background1"/>
              </w:rPr>
              <w:t>0,</w:t>
            </w:r>
            <w:r w:rsidRPr="00522C5E">
              <w:rPr>
                <w:b/>
                <w:color w:val="FFFFFF" w:themeColor="background1"/>
              </w:rPr>
              <w:t xml:space="preserve">1 % </w:t>
            </w:r>
            <w:r w:rsidR="00497334" w:rsidRPr="00522C5E">
              <w:rPr>
                <w:b/>
                <w:color w:val="FFFFFF" w:themeColor="background1"/>
              </w:rPr>
              <w:t>–</w:t>
            </w:r>
            <w:r w:rsidR="00670B78" w:rsidRPr="00522C5E">
              <w:rPr>
                <w:b/>
                <w:color w:val="FFFFFF" w:themeColor="background1"/>
              </w:rPr>
              <w:t xml:space="preserve"> 31,0 %</w:t>
            </w:r>
          </w:p>
        </w:tc>
        <w:tc>
          <w:tcPr>
            <w:tcW w:w="6236" w:type="dxa"/>
            <w:shd w:val="clear" w:color="auto" w:fill="FFFFFF" w:themeFill="background1"/>
            <w:vAlign w:val="center"/>
          </w:tcPr>
          <w:p w14:paraId="764ACD0C" w14:textId="0F8F6056" w:rsidR="00632475" w:rsidRPr="00522C5E" w:rsidRDefault="00670B78" w:rsidP="004220AA">
            <w:pPr>
              <w:autoSpaceDE w:val="0"/>
              <w:autoSpaceDN w:val="0"/>
              <w:adjustRightInd w:val="0"/>
              <w:spacing w:after="0" w:line="240" w:lineRule="auto"/>
              <w:ind w:right="72"/>
              <w:rPr>
                <w:rFonts w:cs="Calibri"/>
                <w:b/>
                <w:color w:val="000000" w:themeColor="text1"/>
              </w:rPr>
            </w:pPr>
            <w:r w:rsidRPr="00522C5E">
              <w:rPr>
                <w:rFonts w:cs="Calibri"/>
                <w:b/>
                <w:color w:val="000000" w:themeColor="text1"/>
              </w:rPr>
              <w:t>H</w:t>
            </w:r>
            <w:r w:rsidR="007D3FB6" w:rsidRPr="00522C5E">
              <w:rPr>
                <w:rFonts w:cs="Calibri"/>
                <w:b/>
                <w:color w:val="000000" w:themeColor="text1"/>
              </w:rPr>
              <w:t>odnot</w:t>
            </w:r>
            <w:r w:rsidRPr="00522C5E">
              <w:rPr>
                <w:rFonts w:cs="Calibri"/>
                <w:b/>
                <w:color w:val="000000" w:themeColor="text1"/>
              </w:rPr>
              <w:t>y</w:t>
            </w:r>
            <w:r w:rsidR="007D3FB6" w:rsidRPr="00522C5E">
              <w:rPr>
                <w:rFonts w:cs="Calibri"/>
                <w:b/>
                <w:color w:val="000000" w:themeColor="text1"/>
              </w:rPr>
              <w:t xml:space="preserve"> p</w:t>
            </w:r>
            <w:r w:rsidR="008748F2" w:rsidRPr="00522C5E">
              <w:rPr>
                <w:rFonts w:cs="Calibri"/>
                <w:b/>
                <w:color w:val="000000" w:themeColor="text1"/>
              </w:rPr>
              <w:t>odíl</w:t>
            </w:r>
            <w:r w:rsidR="007D3FB6" w:rsidRPr="00522C5E">
              <w:rPr>
                <w:rFonts w:cs="Calibri"/>
                <w:b/>
                <w:color w:val="000000" w:themeColor="text1"/>
              </w:rPr>
              <w:t>u</w:t>
            </w:r>
            <w:r w:rsidR="008748F2" w:rsidRPr="00522C5E">
              <w:rPr>
                <w:rFonts w:cs="Calibri"/>
                <w:b/>
                <w:color w:val="000000" w:themeColor="text1"/>
              </w:rPr>
              <w:t xml:space="preserve"> veřejné osobní dopravy na celkov</w:t>
            </w:r>
            <w:r w:rsidR="007D3FB6" w:rsidRPr="00522C5E">
              <w:rPr>
                <w:rFonts w:cs="Calibri"/>
                <w:b/>
                <w:color w:val="000000" w:themeColor="text1"/>
              </w:rPr>
              <w:t>ém</w:t>
            </w:r>
            <w:r w:rsidR="008748F2" w:rsidRPr="00522C5E">
              <w:rPr>
                <w:rFonts w:cs="Calibri"/>
                <w:b/>
                <w:color w:val="000000" w:themeColor="text1"/>
              </w:rPr>
              <w:t xml:space="preserve"> </w:t>
            </w:r>
            <w:r w:rsidR="007D3FB6" w:rsidRPr="00522C5E">
              <w:rPr>
                <w:rFonts w:cs="Calibri"/>
                <w:b/>
                <w:color w:val="000000" w:themeColor="text1"/>
              </w:rPr>
              <w:t>přepravním</w:t>
            </w:r>
            <w:r w:rsidR="008748F2" w:rsidRPr="00522C5E">
              <w:rPr>
                <w:rFonts w:cs="Calibri"/>
                <w:b/>
                <w:color w:val="000000" w:themeColor="text1"/>
              </w:rPr>
              <w:t xml:space="preserve"> výkon</w:t>
            </w:r>
            <w:r w:rsidR="007D3FB6" w:rsidRPr="00522C5E">
              <w:rPr>
                <w:rFonts w:cs="Calibri"/>
                <w:b/>
                <w:color w:val="000000" w:themeColor="text1"/>
              </w:rPr>
              <w:t>u</w:t>
            </w:r>
            <w:r w:rsidR="008748F2" w:rsidRPr="00522C5E">
              <w:rPr>
                <w:rFonts w:cs="Calibri"/>
                <w:b/>
                <w:color w:val="000000" w:themeColor="text1"/>
              </w:rPr>
              <w:t xml:space="preserve"> </w:t>
            </w:r>
            <w:r w:rsidR="007D3FB6" w:rsidRPr="00522C5E">
              <w:rPr>
                <w:rFonts w:cs="Calibri"/>
                <w:b/>
                <w:color w:val="000000" w:themeColor="text1"/>
              </w:rPr>
              <w:t>v</w:t>
            </w:r>
            <w:r w:rsidRPr="00522C5E">
              <w:rPr>
                <w:rFonts w:cs="Calibri"/>
                <w:b/>
                <w:color w:val="000000" w:themeColor="text1"/>
              </w:rPr>
              <w:t xml:space="preserve"> ČR za </w:t>
            </w:r>
            <w:r w:rsidR="007D3FB6" w:rsidRPr="00522C5E">
              <w:rPr>
                <w:rFonts w:cs="Calibri"/>
                <w:b/>
                <w:color w:val="000000" w:themeColor="text1"/>
              </w:rPr>
              <w:t>období</w:t>
            </w:r>
            <w:r w:rsidR="002D1FE6" w:rsidRPr="00522C5E">
              <w:rPr>
                <w:rFonts w:cs="Calibri"/>
                <w:b/>
                <w:color w:val="000000" w:themeColor="text1"/>
              </w:rPr>
              <w:t xml:space="preserve"> realizace </w:t>
            </w:r>
            <w:r w:rsidR="00A51A67" w:rsidRPr="002415AD">
              <w:rPr>
                <w:rFonts w:cs="Calibri"/>
                <w:b/>
                <w:i/>
                <w:color w:val="004095"/>
              </w:rPr>
              <w:t>Integrovaného regionálního operačního programu</w:t>
            </w:r>
            <w:r w:rsidR="00A51A67" w:rsidRPr="00522C5E">
              <w:rPr>
                <w:rFonts w:cs="Calibri"/>
                <w:b/>
                <w:color w:val="000000" w:themeColor="text1"/>
              </w:rPr>
              <w:t xml:space="preserve"> /</w:t>
            </w:r>
            <w:r w:rsidR="002D1FE6" w:rsidRPr="00522C5E">
              <w:rPr>
                <w:rFonts w:cs="Calibri"/>
                <w:b/>
                <w:color w:val="000000" w:themeColor="text1"/>
              </w:rPr>
              <w:t>IROP</w:t>
            </w:r>
            <w:r w:rsidR="00A51A67" w:rsidRPr="00522C5E">
              <w:rPr>
                <w:rFonts w:cs="Calibri"/>
                <w:b/>
                <w:color w:val="000000" w:themeColor="text1"/>
              </w:rPr>
              <w:t>/</w:t>
            </w:r>
            <w:r w:rsidR="002D1FE6" w:rsidRPr="00522C5E">
              <w:rPr>
                <w:rFonts w:cs="Calibri"/>
                <w:b/>
                <w:color w:val="000000" w:themeColor="text1"/>
              </w:rPr>
              <w:t xml:space="preserve"> v</w:t>
            </w:r>
            <w:r w:rsidR="002023D3">
              <w:rPr>
                <w:rFonts w:cs="Calibri"/>
                <w:b/>
                <w:color w:val="000000" w:themeColor="text1"/>
              </w:rPr>
              <w:t> </w:t>
            </w:r>
            <w:r w:rsidRPr="00522C5E">
              <w:rPr>
                <w:rFonts w:cs="Calibri"/>
                <w:b/>
                <w:color w:val="000000" w:themeColor="text1"/>
              </w:rPr>
              <w:t>let</w:t>
            </w:r>
            <w:r w:rsidR="002D1FE6" w:rsidRPr="00522C5E">
              <w:rPr>
                <w:rFonts w:cs="Calibri"/>
                <w:b/>
                <w:color w:val="000000" w:themeColor="text1"/>
              </w:rPr>
              <w:t>ech</w:t>
            </w:r>
            <w:r w:rsidR="002023D3">
              <w:rPr>
                <w:rFonts w:cs="Calibri"/>
                <w:b/>
                <w:color w:val="000000" w:themeColor="text1"/>
              </w:rPr>
              <w:br/>
            </w:r>
            <w:r w:rsidRPr="00522C5E">
              <w:rPr>
                <w:rFonts w:cs="Calibri"/>
                <w:b/>
                <w:color w:val="000000" w:themeColor="text1"/>
              </w:rPr>
              <w:t>2014</w:t>
            </w:r>
            <w:r w:rsidR="006349C6" w:rsidRPr="00522C5E">
              <w:rPr>
                <w:rFonts w:cs="Calibri"/>
                <w:b/>
                <w:color w:val="000000" w:themeColor="text1"/>
              </w:rPr>
              <w:t>–</w:t>
            </w:r>
            <w:r w:rsidRPr="00522C5E">
              <w:rPr>
                <w:rFonts w:cs="Calibri"/>
                <w:b/>
                <w:color w:val="000000" w:themeColor="text1"/>
              </w:rPr>
              <w:t>2018</w:t>
            </w:r>
          </w:p>
        </w:tc>
      </w:tr>
    </w:tbl>
    <w:p w14:paraId="2F966EC9" w14:textId="00B78683" w:rsidR="00632475" w:rsidRPr="00522C5E" w:rsidRDefault="00632475" w:rsidP="004220AA">
      <w:pPr>
        <w:spacing w:after="0" w:line="240" w:lineRule="auto"/>
        <w:jc w:val="left"/>
        <w:rPr>
          <w:lang w:eastAsia="cs-CZ"/>
        </w:rPr>
      </w:pPr>
    </w:p>
    <w:tbl>
      <w:tblPr>
        <w:tblW w:w="9071" w:type="dxa"/>
        <w:shd w:val="clear" w:color="auto" w:fill="E5F1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6236"/>
      </w:tblGrid>
      <w:tr w:rsidR="00632475" w:rsidRPr="00522C5E" w14:paraId="79053113" w14:textId="77777777" w:rsidTr="004220AA">
        <w:trPr>
          <w:trHeight w:val="393"/>
        </w:trPr>
        <w:tc>
          <w:tcPr>
            <w:tcW w:w="2835" w:type="dxa"/>
            <w:shd w:val="clear" w:color="auto" w:fill="C00000"/>
            <w:vAlign w:val="center"/>
            <w:hideMark/>
          </w:tcPr>
          <w:p w14:paraId="3924D3CF" w14:textId="77777777" w:rsidR="00632475" w:rsidRPr="00522C5E" w:rsidRDefault="001C080D" w:rsidP="004220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522C5E">
              <w:rPr>
                <w:rFonts w:cstheme="minorHAnsi"/>
                <w:b/>
                <w:bCs/>
              </w:rPr>
              <w:t>21 %</w:t>
            </w:r>
          </w:p>
        </w:tc>
        <w:tc>
          <w:tcPr>
            <w:tcW w:w="6236" w:type="dxa"/>
            <w:shd w:val="clear" w:color="auto" w:fill="FFFFFF" w:themeFill="background1"/>
            <w:vAlign w:val="center"/>
            <w:hideMark/>
          </w:tcPr>
          <w:p w14:paraId="54DE8E48" w14:textId="7CA46FC6" w:rsidR="00632475" w:rsidRPr="00522C5E" w:rsidRDefault="00670B78" w:rsidP="004220AA">
            <w:pPr>
              <w:autoSpaceDE w:val="0"/>
              <w:autoSpaceDN w:val="0"/>
              <w:adjustRightInd w:val="0"/>
              <w:spacing w:after="0" w:line="240" w:lineRule="auto"/>
              <w:ind w:right="72"/>
              <w:rPr>
                <w:rFonts w:cstheme="minorHAnsi"/>
                <w:b/>
                <w:color w:val="2E74B5" w:themeColor="accent1" w:themeShade="BF"/>
              </w:rPr>
            </w:pPr>
            <w:r w:rsidRPr="00522C5E">
              <w:rPr>
                <w:rFonts w:cs="Calibri"/>
                <w:b/>
                <w:color w:val="000000" w:themeColor="text1"/>
              </w:rPr>
              <w:t>Nízký p</w:t>
            </w:r>
            <w:r w:rsidR="001C080D" w:rsidRPr="00522C5E">
              <w:rPr>
                <w:rFonts w:cs="Calibri"/>
                <w:b/>
                <w:color w:val="000000" w:themeColor="text1"/>
              </w:rPr>
              <w:t>odíl vozidel pořízených v kontrolovaných</w:t>
            </w:r>
            <w:r w:rsidR="001C4D76" w:rsidRPr="00522C5E">
              <w:rPr>
                <w:rFonts w:cs="Calibri"/>
                <w:b/>
                <w:color w:val="000000" w:themeColor="text1"/>
              </w:rPr>
              <w:t xml:space="preserve"> </w:t>
            </w:r>
            <w:r w:rsidR="001C080D" w:rsidRPr="00522C5E">
              <w:rPr>
                <w:rFonts w:cs="Calibri"/>
                <w:b/>
                <w:color w:val="000000" w:themeColor="text1"/>
              </w:rPr>
              <w:t>projektech s cílem rozšířit vozový park</w:t>
            </w:r>
          </w:p>
        </w:tc>
      </w:tr>
    </w:tbl>
    <w:p w14:paraId="5738ACB2" w14:textId="47CF25F5" w:rsidR="001C080D" w:rsidRPr="00522C5E" w:rsidRDefault="001C080D" w:rsidP="004220AA">
      <w:pPr>
        <w:spacing w:after="0" w:line="240" w:lineRule="auto"/>
        <w:jc w:val="left"/>
        <w:rPr>
          <w:lang w:eastAsia="cs-CZ"/>
        </w:rPr>
      </w:pPr>
    </w:p>
    <w:tbl>
      <w:tblPr>
        <w:tblW w:w="9071" w:type="dxa"/>
        <w:shd w:val="clear" w:color="auto" w:fill="E5F1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6236"/>
      </w:tblGrid>
      <w:tr w:rsidR="007D3FB6" w:rsidRPr="00522C5E" w14:paraId="08D08DDE" w14:textId="77777777" w:rsidTr="004220AA">
        <w:trPr>
          <w:trHeight w:val="393"/>
        </w:trPr>
        <w:tc>
          <w:tcPr>
            <w:tcW w:w="2835" w:type="dxa"/>
            <w:shd w:val="clear" w:color="auto" w:fill="C00000"/>
            <w:vAlign w:val="center"/>
            <w:hideMark/>
          </w:tcPr>
          <w:p w14:paraId="3446202D" w14:textId="77777777" w:rsidR="007D3FB6" w:rsidRPr="00522C5E" w:rsidRDefault="00670B78" w:rsidP="004220AA">
            <w:pPr>
              <w:spacing w:after="0" w:line="240" w:lineRule="auto"/>
              <w:jc w:val="center"/>
              <w:rPr>
                <w:b/>
                <w:lang w:eastAsia="cs-CZ"/>
              </w:rPr>
            </w:pPr>
            <w:r w:rsidRPr="00522C5E">
              <w:rPr>
                <w:b/>
                <w:lang w:eastAsia="cs-CZ"/>
              </w:rPr>
              <w:t>Přínos z podpory</w:t>
            </w:r>
            <w:r w:rsidR="001C080D" w:rsidRPr="00522C5E">
              <w:rPr>
                <w:b/>
                <w:lang w:eastAsia="cs-CZ"/>
              </w:rPr>
              <w:t xml:space="preserve"> </w:t>
            </w:r>
          </w:p>
        </w:tc>
        <w:tc>
          <w:tcPr>
            <w:tcW w:w="6236" w:type="dxa"/>
            <w:shd w:val="clear" w:color="auto" w:fill="FFFFFF" w:themeFill="background1"/>
            <w:vAlign w:val="center"/>
            <w:hideMark/>
          </w:tcPr>
          <w:p w14:paraId="014D2D54" w14:textId="77777777" w:rsidR="007D3FB6" w:rsidRPr="00522C5E" w:rsidRDefault="001C080D" w:rsidP="004220AA">
            <w:pPr>
              <w:autoSpaceDE w:val="0"/>
              <w:autoSpaceDN w:val="0"/>
              <w:adjustRightInd w:val="0"/>
              <w:spacing w:after="0" w:line="240" w:lineRule="auto"/>
              <w:ind w:right="72"/>
              <w:rPr>
                <w:rFonts w:cs="Calibri"/>
                <w:b/>
                <w:color w:val="000000" w:themeColor="text1"/>
              </w:rPr>
            </w:pPr>
            <w:r w:rsidRPr="00522C5E">
              <w:rPr>
                <w:rFonts w:cs="Calibri"/>
                <w:b/>
                <w:color w:val="000000" w:themeColor="text1"/>
              </w:rPr>
              <w:t>Ne</w:t>
            </w:r>
            <w:r w:rsidR="00670B78" w:rsidRPr="00522C5E">
              <w:rPr>
                <w:rFonts w:cs="Calibri"/>
                <w:b/>
                <w:color w:val="000000" w:themeColor="text1"/>
              </w:rPr>
              <w:t xml:space="preserve">lze </w:t>
            </w:r>
            <w:r w:rsidRPr="00522C5E">
              <w:rPr>
                <w:rFonts w:cs="Calibri"/>
                <w:b/>
                <w:color w:val="000000" w:themeColor="text1"/>
              </w:rPr>
              <w:t>zjistit přínosy z realizovaných intervencí IROP v podobě přírůstku počtu osob přepravených veřejnou dopravou</w:t>
            </w:r>
          </w:p>
        </w:tc>
      </w:tr>
    </w:tbl>
    <w:p w14:paraId="43DF206B" w14:textId="77777777" w:rsidR="007D3FB6" w:rsidRPr="00522C5E" w:rsidRDefault="007D3FB6" w:rsidP="004220AA">
      <w:pPr>
        <w:spacing w:after="0" w:line="240" w:lineRule="auto"/>
        <w:jc w:val="left"/>
        <w:rPr>
          <w:b/>
          <w:lang w:eastAsia="cs-CZ"/>
        </w:rPr>
      </w:pPr>
    </w:p>
    <w:tbl>
      <w:tblPr>
        <w:tblW w:w="9071" w:type="dxa"/>
        <w:shd w:val="clear" w:color="auto" w:fill="E5F1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6236"/>
      </w:tblGrid>
      <w:tr w:rsidR="00CF1845" w:rsidRPr="00522C5E" w14:paraId="450A4229" w14:textId="77777777" w:rsidTr="004220AA">
        <w:trPr>
          <w:trHeight w:val="391"/>
        </w:trPr>
        <w:tc>
          <w:tcPr>
            <w:tcW w:w="2835" w:type="dxa"/>
            <w:shd w:val="clear" w:color="auto" w:fill="C00000"/>
            <w:vAlign w:val="center"/>
            <w:hideMark/>
          </w:tcPr>
          <w:p w14:paraId="61EB72A3" w14:textId="77777777" w:rsidR="00CF1845" w:rsidRPr="00522C5E" w:rsidRDefault="00CF1845" w:rsidP="004220AA">
            <w:pPr>
              <w:spacing w:after="0" w:line="240" w:lineRule="auto"/>
              <w:jc w:val="center"/>
              <w:rPr>
                <w:b/>
                <w:lang w:eastAsia="cs-CZ"/>
              </w:rPr>
            </w:pPr>
            <w:r w:rsidRPr="00522C5E">
              <w:rPr>
                <w:b/>
                <w:lang w:eastAsia="cs-CZ"/>
              </w:rPr>
              <w:t>67 %</w:t>
            </w:r>
          </w:p>
        </w:tc>
        <w:tc>
          <w:tcPr>
            <w:tcW w:w="6236" w:type="dxa"/>
            <w:shd w:val="clear" w:color="auto" w:fill="FFFFFF" w:themeFill="background1"/>
            <w:vAlign w:val="center"/>
            <w:hideMark/>
          </w:tcPr>
          <w:p w14:paraId="2099BD92" w14:textId="05D80F23" w:rsidR="00CF1845" w:rsidRPr="00522C5E" w:rsidRDefault="00CF1845" w:rsidP="004220AA">
            <w:pPr>
              <w:autoSpaceDE w:val="0"/>
              <w:autoSpaceDN w:val="0"/>
              <w:adjustRightInd w:val="0"/>
              <w:spacing w:after="0" w:line="240" w:lineRule="auto"/>
              <w:ind w:right="72"/>
              <w:rPr>
                <w:rFonts w:cs="Calibri"/>
                <w:b/>
                <w:color w:val="2E74B5" w:themeColor="accent1" w:themeShade="BF"/>
              </w:rPr>
            </w:pPr>
            <w:r w:rsidRPr="00522C5E">
              <w:rPr>
                <w:rFonts w:cs="Calibri"/>
                <w:b/>
                <w:color w:val="000000" w:themeColor="text1"/>
              </w:rPr>
              <w:t>Procento zadávacích řízení</w:t>
            </w:r>
            <w:r w:rsidR="00670B78" w:rsidRPr="00522C5E">
              <w:rPr>
                <w:rFonts w:cs="Calibri"/>
                <w:b/>
                <w:color w:val="000000" w:themeColor="text1"/>
              </w:rPr>
              <w:t xml:space="preserve"> na nákup vozidel</w:t>
            </w:r>
            <w:r w:rsidRPr="00522C5E">
              <w:rPr>
                <w:rFonts w:cs="Calibri"/>
                <w:b/>
                <w:color w:val="000000" w:themeColor="text1"/>
              </w:rPr>
              <w:t xml:space="preserve"> s pouze jednou</w:t>
            </w:r>
            <w:r w:rsidR="008C6F0F" w:rsidRPr="00522C5E">
              <w:rPr>
                <w:rFonts w:cs="Calibri"/>
                <w:b/>
                <w:color w:val="000000" w:themeColor="text1"/>
              </w:rPr>
              <w:t xml:space="preserve"> podanou</w:t>
            </w:r>
            <w:r w:rsidRPr="00522C5E">
              <w:rPr>
                <w:rFonts w:cs="Calibri"/>
                <w:b/>
                <w:color w:val="000000" w:themeColor="text1"/>
              </w:rPr>
              <w:t xml:space="preserve"> nabídkou</w:t>
            </w:r>
          </w:p>
        </w:tc>
      </w:tr>
    </w:tbl>
    <w:p w14:paraId="3598FA9C" w14:textId="77777777" w:rsidR="00CF1845" w:rsidRPr="00522C5E" w:rsidRDefault="00CF1845" w:rsidP="004220AA">
      <w:pPr>
        <w:spacing w:after="0" w:line="240" w:lineRule="auto"/>
        <w:jc w:val="left"/>
        <w:rPr>
          <w:b/>
          <w:lang w:eastAsia="cs-CZ"/>
        </w:rPr>
      </w:pPr>
    </w:p>
    <w:tbl>
      <w:tblPr>
        <w:tblW w:w="9071" w:type="dxa"/>
        <w:shd w:val="clear" w:color="auto" w:fill="E5F1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6236"/>
      </w:tblGrid>
      <w:tr w:rsidR="00A92D78" w:rsidRPr="00522C5E" w14:paraId="09E4CC58" w14:textId="77777777" w:rsidTr="004220AA">
        <w:trPr>
          <w:trHeight w:val="393"/>
        </w:trPr>
        <w:tc>
          <w:tcPr>
            <w:tcW w:w="2835" w:type="dxa"/>
            <w:shd w:val="clear" w:color="auto" w:fill="C00000"/>
            <w:vAlign w:val="center"/>
            <w:hideMark/>
          </w:tcPr>
          <w:p w14:paraId="48D2F2BC" w14:textId="3474D4E3" w:rsidR="00A92D78" w:rsidRPr="00522C5E" w:rsidRDefault="00A92D78" w:rsidP="004220AA">
            <w:pPr>
              <w:spacing w:after="0" w:line="240" w:lineRule="auto"/>
              <w:jc w:val="center"/>
              <w:rPr>
                <w:b/>
                <w:lang w:eastAsia="cs-CZ"/>
              </w:rPr>
            </w:pPr>
            <w:r w:rsidRPr="00522C5E">
              <w:rPr>
                <w:b/>
                <w:lang w:eastAsia="cs-CZ"/>
              </w:rPr>
              <w:t>Zpoždění administrace IN</w:t>
            </w:r>
          </w:p>
        </w:tc>
        <w:tc>
          <w:tcPr>
            <w:tcW w:w="6236" w:type="dxa"/>
            <w:shd w:val="clear" w:color="auto" w:fill="FFFFFF" w:themeFill="background1"/>
            <w:vAlign w:val="center"/>
            <w:hideMark/>
          </w:tcPr>
          <w:p w14:paraId="5FB6FBC0" w14:textId="4240188D" w:rsidR="00A92D78" w:rsidRPr="00522C5E" w:rsidRDefault="00A92D78" w:rsidP="004220AA">
            <w:pPr>
              <w:autoSpaceDE w:val="0"/>
              <w:autoSpaceDN w:val="0"/>
              <w:adjustRightInd w:val="0"/>
              <w:spacing w:after="0" w:line="240" w:lineRule="auto"/>
              <w:ind w:right="72"/>
              <w:rPr>
                <w:rFonts w:cs="Calibri"/>
                <w:b/>
                <w:color w:val="000000" w:themeColor="text1"/>
              </w:rPr>
            </w:pPr>
            <w:r w:rsidRPr="00522C5E">
              <w:rPr>
                <w:rFonts w:cs="Calibri"/>
                <w:b/>
                <w:color w:val="000000" w:themeColor="text1"/>
              </w:rPr>
              <w:t xml:space="preserve">Zpoždění poskytování dotací prostřednictvím integrovaných nástrojů </w:t>
            </w:r>
            <w:r w:rsidR="00A51A67" w:rsidRPr="00522C5E">
              <w:rPr>
                <w:rFonts w:cs="Calibri"/>
                <w:b/>
                <w:color w:val="000000" w:themeColor="text1"/>
              </w:rPr>
              <w:t>/</w:t>
            </w:r>
            <w:r w:rsidRPr="00522C5E">
              <w:rPr>
                <w:rFonts w:cs="Calibri"/>
                <w:b/>
                <w:color w:val="000000" w:themeColor="text1"/>
              </w:rPr>
              <w:t>IN</w:t>
            </w:r>
            <w:r w:rsidR="00A51A67" w:rsidRPr="00522C5E">
              <w:rPr>
                <w:rFonts w:cs="Calibri"/>
                <w:b/>
                <w:color w:val="000000" w:themeColor="text1"/>
              </w:rPr>
              <w:t>/</w:t>
            </w:r>
            <w:r w:rsidRPr="00522C5E">
              <w:rPr>
                <w:rFonts w:cs="Calibri"/>
                <w:b/>
                <w:color w:val="000000" w:themeColor="text1"/>
              </w:rPr>
              <w:t xml:space="preserve"> z důvodu složitého systému a problémů s</w:t>
            </w:r>
            <w:r w:rsidR="00522C5E">
              <w:rPr>
                <w:rFonts w:cs="Calibri"/>
                <w:b/>
                <w:color w:val="000000" w:themeColor="text1"/>
              </w:rPr>
              <w:t> </w:t>
            </w:r>
            <w:r w:rsidRPr="00522C5E">
              <w:rPr>
                <w:rFonts w:cs="Calibri"/>
                <w:b/>
                <w:color w:val="000000" w:themeColor="text1"/>
              </w:rPr>
              <w:t>MS2014+</w:t>
            </w:r>
          </w:p>
        </w:tc>
      </w:tr>
    </w:tbl>
    <w:p w14:paraId="29800C69" w14:textId="77777777" w:rsidR="00A92D78" w:rsidRPr="00522C5E" w:rsidRDefault="00A92D78" w:rsidP="004220AA">
      <w:pPr>
        <w:spacing w:after="0" w:line="240" w:lineRule="auto"/>
        <w:jc w:val="left"/>
        <w:rPr>
          <w:b/>
          <w:lang w:eastAsia="cs-CZ"/>
        </w:rPr>
      </w:pPr>
    </w:p>
    <w:tbl>
      <w:tblPr>
        <w:tblW w:w="9071" w:type="dxa"/>
        <w:shd w:val="clear" w:color="auto" w:fill="E5F1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6236"/>
      </w:tblGrid>
      <w:tr w:rsidR="00522C5E" w:rsidRPr="00522C5E" w14:paraId="42C67BE8" w14:textId="77777777" w:rsidTr="004220AA">
        <w:trPr>
          <w:trHeight w:val="782"/>
        </w:trPr>
        <w:tc>
          <w:tcPr>
            <w:tcW w:w="2835" w:type="dxa"/>
            <w:shd w:val="clear" w:color="auto" w:fill="FF9900"/>
            <w:vAlign w:val="center"/>
            <w:hideMark/>
          </w:tcPr>
          <w:p w14:paraId="3068D3B7" w14:textId="77777777" w:rsidR="00632475" w:rsidRPr="00522C5E" w:rsidRDefault="001C4D76" w:rsidP="004220A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</w:rPr>
            </w:pPr>
            <w:r w:rsidRPr="00522C5E">
              <w:rPr>
                <w:rFonts w:cstheme="minorHAnsi"/>
                <w:b/>
                <w:bCs/>
                <w:color w:val="FFFFFF" w:themeColor="background1"/>
              </w:rPr>
              <w:t>Částečně účinný</w:t>
            </w:r>
            <w:r w:rsidR="00670B78" w:rsidRPr="00522C5E">
              <w:rPr>
                <w:rFonts w:cstheme="minorHAnsi"/>
                <w:b/>
                <w:bCs/>
                <w:color w:val="FFFFFF" w:themeColor="background1"/>
              </w:rPr>
              <w:t xml:space="preserve"> systém</w:t>
            </w:r>
          </w:p>
        </w:tc>
        <w:tc>
          <w:tcPr>
            <w:tcW w:w="6236" w:type="dxa"/>
            <w:shd w:val="clear" w:color="auto" w:fill="FFFFFF" w:themeFill="background1"/>
            <w:vAlign w:val="center"/>
            <w:hideMark/>
          </w:tcPr>
          <w:p w14:paraId="408ED677" w14:textId="77777777" w:rsidR="00632475" w:rsidRPr="00522C5E" w:rsidRDefault="00670B78" w:rsidP="004220AA">
            <w:pPr>
              <w:autoSpaceDE w:val="0"/>
              <w:autoSpaceDN w:val="0"/>
              <w:adjustRightInd w:val="0"/>
              <w:spacing w:after="0" w:line="240" w:lineRule="auto"/>
              <w:ind w:right="72"/>
              <w:rPr>
                <w:rFonts w:cstheme="minorHAnsi"/>
                <w:b/>
                <w:color w:val="000000" w:themeColor="text1"/>
              </w:rPr>
            </w:pPr>
            <w:r w:rsidRPr="00522C5E">
              <w:rPr>
                <w:rFonts w:cs="Calibri"/>
                <w:b/>
                <w:color w:val="000000" w:themeColor="text1"/>
              </w:rPr>
              <w:t>H</w:t>
            </w:r>
            <w:r w:rsidR="001C4D76" w:rsidRPr="00522C5E">
              <w:rPr>
                <w:rFonts w:cs="Calibri"/>
                <w:b/>
                <w:color w:val="000000" w:themeColor="text1"/>
              </w:rPr>
              <w:t>odnocení řídicího a kontrolního systému IROP</w:t>
            </w:r>
            <w:r w:rsidRPr="00522C5E">
              <w:rPr>
                <w:rFonts w:cs="Calibri"/>
                <w:b/>
                <w:color w:val="000000" w:themeColor="text1"/>
              </w:rPr>
              <w:t xml:space="preserve"> ze strany NKÚ</w:t>
            </w:r>
          </w:p>
        </w:tc>
      </w:tr>
    </w:tbl>
    <w:p w14:paraId="538C439A" w14:textId="77777777" w:rsidR="00632475" w:rsidRPr="00522C5E" w:rsidRDefault="00632475" w:rsidP="004220AA">
      <w:pPr>
        <w:spacing w:after="0" w:line="240" w:lineRule="auto"/>
        <w:jc w:val="left"/>
        <w:rPr>
          <w:lang w:eastAsia="cs-CZ"/>
        </w:rPr>
      </w:pPr>
    </w:p>
    <w:tbl>
      <w:tblPr>
        <w:tblW w:w="9071" w:type="dxa"/>
        <w:shd w:val="clear" w:color="auto" w:fill="E5F1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6236"/>
      </w:tblGrid>
      <w:tr w:rsidR="00522C5E" w:rsidRPr="00522C5E" w14:paraId="75DC2B74" w14:textId="77777777" w:rsidTr="004220AA">
        <w:trPr>
          <w:trHeight w:val="782"/>
        </w:trPr>
        <w:tc>
          <w:tcPr>
            <w:tcW w:w="2835" w:type="dxa"/>
            <w:shd w:val="clear" w:color="auto" w:fill="538135" w:themeFill="accent6" w:themeFillShade="BF"/>
            <w:vAlign w:val="center"/>
            <w:hideMark/>
          </w:tcPr>
          <w:p w14:paraId="470A605C" w14:textId="77777777" w:rsidR="00B17FEE" w:rsidRPr="00522C5E" w:rsidRDefault="00B17FEE" w:rsidP="004220AA">
            <w:pPr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351"/>
              <w:jc w:val="center"/>
              <w:rPr>
                <w:rFonts w:cstheme="minorHAnsi"/>
                <w:b/>
                <w:bCs/>
                <w:color w:val="000000" w:themeColor="text1"/>
              </w:rPr>
            </w:pPr>
          </w:p>
        </w:tc>
        <w:tc>
          <w:tcPr>
            <w:tcW w:w="6236" w:type="dxa"/>
            <w:shd w:val="clear" w:color="auto" w:fill="FFFFFF" w:themeFill="background1"/>
            <w:vAlign w:val="center"/>
            <w:hideMark/>
          </w:tcPr>
          <w:p w14:paraId="741F7519" w14:textId="0FB6FC4E" w:rsidR="00B17FEE" w:rsidRPr="00522C5E" w:rsidRDefault="00B17FEE" w:rsidP="004220AA">
            <w:pPr>
              <w:autoSpaceDE w:val="0"/>
              <w:autoSpaceDN w:val="0"/>
              <w:adjustRightInd w:val="0"/>
              <w:spacing w:after="0" w:line="240" w:lineRule="auto"/>
              <w:ind w:right="72"/>
              <w:rPr>
                <w:rFonts w:cstheme="minorHAnsi"/>
                <w:b/>
                <w:color w:val="000000" w:themeColor="text1"/>
              </w:rPr>
            </w:pPr>
            <w:r w:rsidRPr="00522C5E">
              <w:rPr>
                <w:rFonts w:cs="Calibri"/>
                <w:b/>
                <w:color w:val="000000" w:themeColor="text1"/>
              </w:rPr>
              <w:t>Podpora prostřednictvím integrovan</w:t>
            </w:r>
            <w:r w:rsidR="00A92D78" w:rsidRPr="00522C5E">
              <w:rPr>
                <w:rFonts w:cs="Calibri"/>
                <w:b/>
                <w:color w:val="000000" w:themeColor="text1"/>
              </w:rPr>
              <w:t xml:space="preserve">ého nástroje ITI </w:t>
            </w:r>
            <w:r w:rsidR="00511D0C" w:rsidRPr="00522C5E">
              <w:rPr>
                <w:rFonts w:cs="Calibri"/>
                <w:b/>
                <w:color w:val="000000" w:themeColor="text1"/>
              </w:rPr>
              <w:t xml:space="preserve">má potenciál </w:t>
            </w:r>
            <w:r w:rsidR="00A92D78" w:rsidRPr="00522C5E">
              <w:rPr>
                <w:rFonts w:cs="Calibri"/>
                <w:b/>
                <w:color w:val="000000" w:themeColor="text1"/>
              </w:rPr>
              <w:t>řeš</w:t>
            </w:r>
            <w:r w:rsidR="00672E07" w:rsidRPr="00522C5E">
              <w:rPr>
                <w:rFonts w:cs="Calibri"/>
                <w:b/>
                <w:color w:val="000000" w:themeColor="text1"/>
              </w:rPr>
              <w:t>it</w:t>
            </w:r>
            <w:r w:rsidR="00A92D78" w:rsidRPr="00522C5E">
              <w:rPr>
                <w:rFonts w:cs="Calibri"/>
                <w:b/>
                <w:color w:val="000000" w:themeColor="text1"/>
              </w:rPr>
              <w:t xml:space="preserve"> problém</w:t>
            </w:r>
            <w:r w:rsidR="00672E07" w:rsidRPr="00522C5E">
              <w:rPr>
                <w:rFonts w:cs="Calibri"/>
                <w:b/>
                <w:color w:val="000000" w:themeColor="text1"/>
              </w:rPr>
              <w:t>y</w:t>
            </w:r>
            <w:r w:rsidR="00A92D78" w:rsidRPr="00522C5E">
              <w:rPr>
                <w:rFonts w:cs="Calibri"/>
                <w:b/>
                <w:color w:val="000000" w:themeColor="text1"/>
              </w:rPr>
              <w:t xml:space="preserve"> v daném území</w:t>
            </w:r>
            <w:r w:rsidR="00672E07" w:rsidRPr="00522C5E">
              <w:rPr>
                <w:rFonts w:cs="Calibri"/>
                <w:b/>
                <w:color w:val="000000" w:themeColor="text1"/>
              </w:rPr>
              <w:t xml:space="preserve"> komplexně</w:t>
            </w:r>
          </w:p>
        </w:tc>
      </w:tr>
    </w:tbl>
    <w:p w14:paraId="1A7BE639" w14:textId="77777777" w:rsidR="006F4457" w:rsidRPr="00522C5E" w:rsidRDefault="006F4457" w:rsidP="004220AA">
      <w:pPr>
        <w:spacing w:after="0" w:line="240" w:lineRule="auto"/>
        <w:jc w:val="left"/>
        <w:rPr>
          <w:color w:val="000000" w:themeColor="text1"/>
          <w:lang w:eastAsia="cs-CZ"/>
        </w:rPr>
      </w:pPr>
      <w:r w:rsidRPr="00522C5E">
        <w:rPr>
          <w:color w:val="000000" w:themeColor="text1"/>
          <w:lang w:eastAsia="cs-CZ"/>
        </w:rPr>
        <w:br w:type="page"/>
      </w:r>
    </w:p>
    <w:p w14:paraId="1E3BCD89" w14:textId="125193B6" w:rsidR="009E0500" w:rsidRPr="003B306D" w:rsidRDefault="0031166D" w:rsidP="004876BF">
      <w:pPr>
        <w:pStyle w:val="Nadpis1"/>
        <w:numPr>
          <w:ilvl w:val="0"/>
          <w:numId w:val="0"/>
        </w:numPr>
        <w:spacing w:before="0" w:line="240" w:lineRule="auto"/>
        <w:rPr>
          <w:rFonts w:cs="Calibri"/>
        </w:rPr>
      </w:pPr>
      <w:r>
        <w:lastRenderedPageBreak/>
        <w:t xml:space="preserve">I. </w:t>
      </w:r>
      <w:r w:rsidR="009E0500" w:rsidRPr="0058377D">
        <w:t>Shrnutí a vyhodnocení</w:t>
      </w:r>
    </w:p>
    <w:p w14:paraId="7748B66A" w14:textId="43B4C62C" w:rsidR="009E0500" w:rsidRPr="00DF7340" w:rsidRDefault="00CB6EE8" w:rsidP="001F55CF">
      <w:pPr>
        <w:pStyle w:val="KZnormln"/>
        <w:rPr>
          <w:noProof/>
        </w:rPr>
      </w:pPr>
      <w:r>
        <w:rPr>
          <w:noProof/>
        </w:rPr>
        <w:t xml:space="preserve">Cílem kontroly bylo ověřit poskytování a čerpání prostředků </w:t>
      </w:r>
      <w:r w:rsidR="00DB02E4" w:rsidRPr="00EA4B92">
        <w:rPr>
          <w:i/>
          <w:noProof/>
        </w:rPr>
        <w:t>Integrovaného regionálního operačního programu</w:t>
      </w:r>
      <w:r>
        <w:rPr>
          <w:noProof/>
        </w:rPr>
        <w:t xml:space="preserve"> na realizaci vybraných opatření</w:t>
      </w:r>
      <w:r w:rsidR="001C080D">
        <w:rPr>
          <w:rStyle w:val="Znakapoznpodarou"/>
          <w:noProof/>
        </w:rPr>
        <w:footnoteReference w:id="2"/>
      </w:r>
      <w:r>
        <w:rPr>
          <w:noProof/>
        </w:rPr>
        <w:t xml:space="preserve"> k podpoře veřejné městské a regionální dopravy z hlediska souladu s právními předpisy, účelnosti a</w:t>
      </w:r>
      <w:r w:rsidR="0031166D">
        <w:rPr>
          <w:noProof/>
        </w:rPr>
        <w:t> </w:t>
      </w:r>
      <w:r>
        <w:rPr>
          <w:noProof/>
        </w:rPr>
        <w:t>hospodárnosti. Dalším cílem provedené kontroly bylo ověření nastavení řídicího a</w:t>
      </w:r>
      <w:r w:rsidR="0031166D">
        <w:rPr>
          <w:noProof/>
        </w:rPr>
        <w:t> </w:t>
      </w:r>
      <w:r>
        <w:rPr>
          <w:noProof/>
        </w:rPr>
        <w:t xml:space="preserve">kontrolního systému IROP </w:t>
      </w:r>
      <w:r w:rsidR="001F55CF">
        <w:rPr>
          <w:noProof/>
        </w:rPr>
        <w:t>vzhledem k předpokladu naplnění stanovených cílů v oblasti veřejné městské a regionální dopravy.</w:t>
      </w:r>
    </w:p>
    <w:p w14:paraId="5AFEEE95" w14:textId="77777777" w:rsidR="009E0500" w:rsidRPr="00A441EE" w:rsidRDefault="00CD37EB" w:rsidP="002E1AFA">
      <w:pPr>
        <w:pStyle w:val="KZnormlntun"/>
        <w:spacing w:after="0"/>
      </w:pPr>
      <w:r>
        <w:t>NKÚ hodnotí skutečnosti zjištěné u kontrolovaných osob takto:</w:t>
      </w:r>
    </w:p>
    <w:p w14:paraId="01139EBA" w14:textId="77777777" w:rsidR="00B86082" w:rsidRPr="00A92D78" w:rsidRDefault="00E47F4D" w:rsidP="00996DA3">
      <w:pPr>
        <w:pStyle w:val="KZnormlntun"/>
        <w:spacing w:after="0"/>
      </w:pPr>
      <w:r w:rsidRPr="00A92D78">
        <w:rPr>
          <w:noProof/>
        </w:rPr>
        <w:t xml:space="preserve">Podpora projektů veřejné městské a regionální </w:t>
      </w:r>
      <w:r w:rsidR="00FA3285" w:rsidRPr="00A92D78">
        <w:t xml:space="preserve">dopravy </w:t>
      </w:r>
      <w:r w:rsidRPr="00A92D78">
        <w:t xml:space="preserve">ve vybraných </w:t>
      </w:r>
      <w:r w:rsidR="0043383F" w:rsidRPr="00A92D78">
        <w:rPr>
          <w:noProof/>
        </w:rPr>
        <w:t>opatřeních</w:t>
      </w:r>
      <w:r w:rsidR="00A92D78" w:rsidRPr="00A92D78">
        <w:rPr>
          <w:noProof/>
        </w:rPr>
        <w:t xml:space="preserve"> </w:t>
      </w:r>
      <w:r w:rsidR="005C7F26">
        <w:t xml:space="preserve">přispívá </w:t>
      </w:r>
      <w:r w:rsidRPr="00A92D78">
        <w:t xml:space="preserve">k naplnění </w:t>
      </w:r>
      <w:r w:rsidR="00CF18D7" w:rsidRPr="00A92D78">
        <w:t>dílčích cílů stanovených ve specifickém cíli 1.2 IROP.</w:t>
      </w:r>
      <w:r w:rsidR="00B86082" w:rsidRPr="00A92D78">
        <w:t xml:space="preserve"> NKÚ ovšem s vazbou na provedenou kontrolu musí konstatovat, že míru naplnění účelu v</w:t>
      </w:r>
      <w:r w:rsidR="00A92D78" w:rsidRPr="00A92D78">
        <w:t>ý</w:t>
      </w:r>
      <w:r w:rsidR="00B86082" w:rsidRPr="00A92D78">
        <w:t>znamně snižují níže uvedené faktory:</w:t>
      </w:r>
    </w:p>
    <w:p w14:paraId="68BCFBD1" w14:textId="25036F84" w:rsidR="00151295" w:rsidRDefault="00541629" w:rsidP="0031166D">
      <w:pPr>
        <w:pStyle w:val="Odstavecseseznamem"/>
        <w:numPr>
          <w:ilvl w:val="0"/>
          <w:numId w:val="15"/>
        </w:numPr>
        <w:ind w:left="284" w:hanging="284"/>
        <w:jc w:val="both"/>
        <w:rPr>
          <w:b/>
          <w:noProof/>
        </w:rPr>
      </w:pPr>
      <w:r>
        <w:rPr>
          <w:b/>
          <w:noProof/>
        </w:rPr>
        <w:t xml:space="preserve">Ve vztahu k plánovanému výsledku, tj. k zvýšení podílu veřejné osobní dopravy na celkových výkonech v osobní dopravě, </w:t>
      </w:r>
      <w:r w:rsidR="00614786">
        <w:rPr>
          <w:b/>
          <w:noProof/>
        </w:rPr>
        <w:t xml:space="preserve">není </w:t>
      </w:r>
      <w:r>
        <w:rPr>
          <w:b/>
          <w:noProof/>
        </w:rPr>
        <w:t>pouhá obnova vozového parku</w:t>
      </w:r>
      <w:r w:rsidR="003F7B25">
        <w:rPr>
          <w:b/>
          <w:noProof/>
        </w:rPr>
        <w:t xml:space="preserve"> v</w:t>
      </w:r>
      <w:r w:rsidR="0031166D">
        <w:rPr>
          <w:b/>
          <w:noProof/>
        </w:rPr>
        <w:t> </w:t>
      </w:r>
      <w:r w:rsidR="003F7B25">
        <w:rPr>
          <w:b/>
          <w:noProof/>
        </w:rPr>
        <w:t>rámci</w:t>
      </w:r>
      <w:r w:rsidR="002415AD">
        <w:rPr>
          <w:b/>
          <w:noProof/>
        </w:rPr>
        <w:t xml:space="preserve"> </w:t>
      </w:r>
      <w:r w:rsidR="003F7B25">
        <w:rPr>
          <w:b/>
          <w:noProof/>
        </w:rPr>
        <w:t xml:space="preserve">opatření </w:t>
      </w:r>
      <w:r w:rsidR="003F7B25" w:rsidRPr="00BD1B2B">
        <w:rPr>
          <w:b/>
          <w:noProof/>
        </w:rPr>
        <w:t>„Nízkoemisní a bezemisní vozidla“</w:t>
      </w:r>
      <w:r w:rsidR="003F7B25">
        <w:rPr>
          <w:b/>
          <w:noProof/>
        </w:rPr>
        <w:t xml:space="preserve"> </w:t>
      </w:r>
      <w:r>
        <w:rPr>
          <w:b/>
          <w:noProof/>
        </w:rPr>
        <w:t>dostatečná.</w:t>
      </w:r>
      <w:r w:rsidR="00D83ECE">
        <w:rPr>
          <w:b/>
          <w:noProof/>
        </w:rPr>
        <w:t xml:space="preserve"> Jen pětina dopravních prostředků byla nakoupena s cílem rozšířit vozový park a posílit přepravní výkony.</w:t>
      </w:r>
      <w:r>
        <w:rPr>
          <w:b/>
          <w:noProof/>
        </w:rPr>
        <w:t xml:space="preserve"> </w:t>
      </w:r>
      <w:r w:rsidR="001C2AF2">
        <w:rPr>
          <w:b/>
          <w:noProof/>
        </w:rPr>
        <w:t xml:space="preserve">V případě projektů realizovaných v rámci integrované územní investice nemá izolovaná prostá obměna vozového parku dopad pro řešená území. </w:t>
      </w:r>
    </w:p>
    <w:p w14:paraId="35156E40" w14:textId="0FD9DB8B" w:rsidR="0075542E" w:rsidRPr="00BD1B2B" w:rsidRDefault="002E1AFA" w:rsidP="0031166D">
      <w:pPr>
        <w:pStyle w:val="Odstavecseseznamem"/>
        <w:numPr>
          <w:ilvl w:val="0"/>
          <w:numId w:val="15"/>
        </w:numPr>
        <w:spacing w:after="120"/>
        <w:ind w:left="284" w:hanging="284"/>
        <w:jc w:val="both"/>
        <w:rPr>
          <w:b/>
          <w:noProof/>
        </w:rPr>
      </w:pPr>
      <w:r>
        <w:rPr>
          <w:b/>
          <w:noProof/>
        </w:rPr>
        <w:t xml:space="preserve">Projekty </w:t>
      </w:r>
      <w:r w:rsidR="009811FD">
        <w:rPr>
          <w:b/>
          <w:noProof/>
        </w:rPr>
        <w:t>zaměřené</w:t>
      </w:r>
      <w:r>
        <w:rPr>
          <w:b/>
          <w:noProof/>
        </w:rPr>
        <w:t xml:space="preserve"> na opatření</w:t>
      </w:r>
      <w:r w:rsidR="00F814CC" w:rsidRPr="00BD1B2B">
        <w:rPr>
          <w:b/>
          <w:noProof/>
        </w:rPr>
        <w:t xml:space="preserve"> „Nízkoemisní a bezemisní vozidla“ byl</w:t>
      </w:r>
      <w:r>
        <w:rPr>
          <w:b/>
          <w:noProof/>
        </w:rPr>
        <w:t xml:space="preserve">y přínosné </w:t>
      </w:r>
      <w:r w:rsidR="00F97F8C">
        <w:rPr>
          <w:b/>
          <w:noProof/>
        </w:rPr>
        <w:t xml:space="preserve">zejména </w:t>
      </w:r>
      <w:r>
        <w:rPr>
          <w:b/>
          <w:noProof/>
        </w:rPr>
        <w:t xml:space="preserve">z </w:t>
      </w:r>
      <w:r w:rsidR="00845A6F">
        <w:rPr>
          <w:b/>
          <w:noProof/>
        </w:rPr>
        <w:t>důvodu</w:t>
      </w:r>
      <w:r w:rsidR="00CE2CF0">
        <w:rPr>
          <w:b/>
          <w:noProof/>
        </w:rPr>
        <w:t xml:space="preserve"> </w:t>
      </w:r>
      <w:r w:rsidR="002E55AF" w:rsidRPr="00BD1B2B">
        <w:rPr>
          <w:b/>
          <w:noProof/>
        </w:rPr>
        <w:t>po</w:t>
      </w:r>
      <w:r>
        <w:rPr>
          <w:b/>
          <w:noProof/>
        </w:rPr>
        <w:t>zitivního</w:t>
      </w:r>
      <w:r w:rsidR="002E55AF" w:rsidRPr="00BD1B2B">
        <w:rPr>
          <w:b/>
          <w:noProof/>
        </w:rPr>
        <w:t xml:space="preserve"> dopadu</w:t>
      </w:r>
      <w:r>
        <w:rPr>
          <w:b/>
          <w:noProof/>
        </w:rPr>
        <w:t xml:space="preserve"> na životní prostředí. </w:t>
      </w:r>
      <w:r w:rsidR="002E55AF" w:rsidRPr="00BD1B2B">
        <w:rPr>
          <w:b/>
          <w:noProof/>
        </w:rPr>
        <w:t xml:space="preserve">V případě </w:t>
      </w:r>
      <w:r>
        <w:rPr>
          <w:b/>
          <w:noProof/>
        </w:rPr>
        <w:t xml:space="preserve">nákupu </w:t>
      </w:r>
      <w:r w:rsidR="002E55AF" w:rsidRPr="00BD1B2B">
        <w:rPr>
          <w:b/>
          <w:noProof/>
        </w:rPr>
        <w:t xml:space="preserve">některých elektrobusů byl přínos snížen používáním nezávislého naftového topení. </w:t>
      </w:r>
    </w:p>
    <w:p w14:paraId="12334CB8" w14:textId="6E2A1CBF" w:rsidR="001B50B3" w:rsidRPr="00A92D78" w:rsidRDefault="00140F07" w:rsidP="00996DA3">
      <w:pPr>
        <w:pStyle w:val="KZnormlntun"/>
      </w:pPr>
      <w:r>
        <w:t>Hospodárnost p</w:t>
      </w:r>
      <w:r w:rsidR="005C7F26">
        <w:t xml:space="preserve">oskytování peněžních prostředků </w:t>
      </w:r>
      <w:r>
        <w:t xml:space="preserve">Ministerstvo zajistilo </w:t>
      </w:r>
      <w:r w:rsidR="005C7F26">
        <w:t xml:space="preserve">v rámci </w:t>
      </w:r>
      <w:r>
        <w:t xml:space="preserve">procesu </w:t>
      </w:r>
      <w:r w:rsidR="005C7F26">
        <w:t>hodnocení</w:t>
      </w:r>
      <w:r>
        <w:t xml:space="preserve"> individuálních</w:t>
      </w:r>
      <w:r w:rsidR="005C7F26">
        <w:t xml:space="preserve"> projektů. V případě projektů realizovaných v rámci integrované územní investice některá statutární města hospodárnost nehodnotila. Hospodárné čerpání podpory je zajištěno </w:t>
      </w:r>
      <w:r w:rsidR="00C05DCC">
        <w:t xml:space="preserve">pouze </w:t>
      </w:r>
      <w:r w:rsidR="005C7F26">
        <w:t xml:space="preserve">zadáváním zakázek na základě soutěže. </w:t>
      </w:r>
      <w:r w:rsidR="007026AB" w:rsidRPr="00A92D78">
        <w:t>Zakázky na realizaci projektů v </w:t>
      </w:r>
      <w:r w:rsidR="0043383F" w:rsidRPr="00A92D78">
        <w:t>opatření</w:t>
      </w:r>
      <w:r w:rsidR="007026AB" w:rsidRPr="00A92D78">
        <w:t xml:space="preserve"> „Terminály“ </w:t>
      </w:r>
      <w:r>
        <w:t>příjemci zadali</w:t>
      </w:r>
      <w:r w:rsidR="007026AB" w:rsidRPr="00A92D78">
        <w:t xml:space="preserve"> </w:t>
      </w:r>
      <w:r w:rsidR="00DA71FC" w:rsidRPr="00A92D78">
        <w:t xml:space="preserve">vždy </w:t>
      </w:r>
      <w:r w:rsidR="007026AB" w:rsidRPr="00A92D78">
        <w:t>na zákl</w:t>
      </w:r>
      <w:r w:rsidR="005738FC" w:rsidRPr="00A92D78">
        <w:t>adě soutěže mezi minimálně dvěma</w:t>
      </w:r>
      <w:r w:rsidR="007026AB" w:rsidRPr="00A92D78">
        <w:t xml:space="preserve"> dodavateli. </w:t>
      </w:r>
      <w:r w:rsidR="005D74D5" w:rsidRPr="00A92D78">
        <w:t>Naopak</w:t>
      </w:r>
      <w:r w:rsidR="009A10B2" w:rsidRPr="00A92D78">
        <w:t xml:space="preserve"> v případě zakázek na dodávku dopravních prostředků byla ve většině případů podána pouze nabídka jednoho dodavatele. </w:t>
      </w:r>
      <w:r w:rsidR="00151295" w:rsidRPr="00A92D78">
        <w:t xml:space="preserve">NKÚ </w:t>
      </w:r>
      <w:r w:rsidR="00845A6F" w:rsidRPr="00A92D78">
        <w:t>nicméně</w:t>
      </w:r>
      <w:r w:rsidR="00151295" w:rsidRPr="00A92D78">
        <w:t xml:space="preserve"> nezjistil nehospodárné zadání </w:t>
      </w:r>
      <w:r w:rsidR="00DC58A6" w:rsidRPr="00A92D78">
        <w:t xml:space="preserve">některé </w:t>
      </w:r>
      <w:r w:rsidR="00151295" w:rsidRPr="00A92D78">
        <w:t>zakázky</w:t>
      </w:r>
      <w:r w:rsidR="00845A6F" w:rsidRPr="00A92D78">
        <w:t xml:space="preserve"> a </w:t>
      </w:r>
      <w:r w:rsidR="00DC58A6" w:rsidRPr="00A92D78">
        <w:t xml:space="preserve">všechna </w:t>
      </w:r>
      <w:r w:rsidR="00845A6F" w:rsidRPr="00A92D78">
        <w:t>vozidla pořízená z dotace příjemci nakoupili za přiměřené ceny.</w:t>
      </w:r>
    </w:p>
    <w:p w14:paraId="5512DC8D" w14:textId="5EA3EF41" w:rsidR="00996DA3" w:rsidRDefault="008E4031" w:rsidP="00996DA3">
      <w:pPr>
        <w:pStyle w:val="KZnormlntun"/>
      </w:pPr>
      <w:r>
        <w:t xml:space="preserve">Při realizaci projektů příjemci ne vždy postupovali v souladu s právními předpisy </w:t>
      </w:r>
      <w:r w:rsidR="00675896">
        <w:t>pro</w:t>
      </w:r>
      <w:r w:rsidR="00CE2CF0">
        <w:t xml:space="preserve"> </w:t>
      </w:r>
      <w:r w:rsidR="00D73AB5">
        <w:t>zadávání veřejných zakázek a s pravidly pro poskytování podpory v oblasti způsobilých výdajů.</w:t>
      </w:r>
      <w:r w:rsidR="00D52AAB">
        <w:t xml:space="preserve"> </w:t>
      </w:r>
      <w:r w:rsidR="001C2AF2">
        <w:rPr>
          <w:noProof/>
        </w:rPr>
        <w:t>Někteří</w:t>
      </w:r>
      <w:r w:rsidR="001C2AF2">
        <w:t xml:space="preserve"> </w:t>
      </w:r>
      <w:r w:rsidR="00D52AAB">
        <w:t>příjemci použili dotaci na výdaje nezpůsobilé k financování</w:t>
      </w:r>
      <w:r w:rsidR="00996DA3">
        <w:t>.</w:t>
      </w:r>
    </w:p>
    <w:p w14:paraId="4FA3DF6B" w14:textId="777BF1EA" w:rsidR="00151295" w:rsidRPr="00A92D78" w:rsidRDefault="001B50B3" w:rsidP="00996DA3">
      <w:pPr>
        <w:pStyle w:val="KZnormlntun"/>
        <w:rPr>
          <w:noProof/>
        </w:rPr>
      </w:pPr>
      <w:r w:rsidRPr="00A92D78">
        <w:rPr>
          <w:noProof/>
        </w:rPr>
        <w:t>Ř</w:t>
      </w:r>
      <w:r w:rsidR="00A92D78" w:rsidRPr="00A92D78">
        <w:rPr>
          <w:noProof/>
        </w:rPr>
        <w:t>í</w:t>
      </w:r>
      <w:r w:rsidR="00E27798">
        <w:rPr>
          <w:noProof/>
        </w:rPr>
        <w:t xml:space="preserve">dící </w:t>
      </w:r>
      <w:r w:rsidRPr="00A92D78">
        <w:rPr>
          <w:noProof/>
        </w:rPr>
        <w:t>a kontrolní systém hod</w:t>
      </w:r>
      <w:r w:rsidR="00151295" w:rsidRPr="00A92D78">
        <w:rPr>
          <w:noProof/>
        </w:rPr>
        <w:t>notí NKÚ jako „částečně účinný“</w:t>
      </w:r>
      <w:r w:rsidR="009B1D64" w:rsidRPr="00A92D78">
        <w:t xml:space="preserve"> z důvodů nedostatků zjištěných v oblasti hodnocení přijatelnosti projektů, nastavení pravidel pro způsobilost výdajů a v oblasti věcného řízení</w:t>
      </w:r>
      <w:r w:rsidR="00DF20F4" w:rsidRPr="00A92D78">
        <w:t>. NKÚ nemůže jednoznačně vyhodnotit, zda systém nastavený Ministerstvem</w:t>
      </w:r>
      <w:r w:rsidR="00CE2CF0">
        <w:t xml:space="preserve"> místního rozvoje</w:t>
      </w:r>
      <w:r w:rsidR="00DF20F4" w:rsidRPr="00A92D78">
        <w:t xml:space="preserve"> vytváří předpoklady pro naplnění cíle měřeného výsledkovým indikátorem „</w:t>
      </w:r>
      <w:r w:rsidR="00CE2CF0">
        <w:t>p</w:t>
      </w:r>
      <w:r w:rsidR="00DF20F4" w:rsidRPr="00A92D78">
        <w:t>odíl veřejné osobní dopravy na celkových výkonech v osobní dopravě“.</w:t>
      </w:r>
    </w:p>
    <w:p w14:paraId="5CBEEFAD" w14:textId="77777777" w:rsidR="0075542E" w:rsidRPr="00DF20F4" w:rsidRDefault="005B4082" w:rsidP="00996DA3">
      <w:pPr>
        <w:pStyle w:val="KZnormlntun"/>
      </w:pPr>
      <w:r w:rsidRPr="00A92D78">
        <w:rPr>
          <w:noProof/>
        </w:rPr>
        <w:t xml:space="preserve">Ministerstvo při řízení IROP nemůže zcela využít možností, které by měl pro účely průběžného monitorování poskytovat monitorovací systém </w:t>
      </w:r>
      <w:r w:rsidRPr="00591269">
        <w:rPr>
          <w:i/>
          <w:noProof/>
        </w:rPr>
        <w:t>MS2014+</w:t>
      </w:r>
      <w:r w:rsidR="0087689E">
        <w:rPr>
          <w:rStyle w:val="Znakapoznpodarou"/>
          <w:b w:val="0"/>
          <w:noProof/>
        </w:rPr>
        <w:footnoteReference w:id="3"/>
      </w:r>
      <w:r w:rsidRPr="00A92D78">
        <w:rPr>
          <w:noProof/>
        </w:rPr>
        <w:t xml:space="preserve">. </w:t>
      </w:r>
      <w:r w:rsidR="009F54B0" w:rsidRPr="00A92D78">
        <w:rPr>
          <w:noProof/>
        </w:rPr>
        <w:t xml:space="preserve">Monitorovací </w:t>
      </w:r>
      <w:r w:rsidR="009F54B0" w:rsidRPr="00A92D78">
        <w:rPr>
          <w:noProof/>
        </w:rPr>
        <w:lastRenderedPageBreak/>
        <w:t>systém nezobrazuje dopady projektů realizovaných v rámci specifického cíle 1.2 IROP z</w:t>
      </w:r>
      <w:r w:rsidR="0022151D" w:rsidRPr="00DF20F4">
        <w:t> </w:t>
      </w:r>
      <w:r w:rsidR="009F54B0" w:rsidRPr="00DF20F4">
        <w:t xml:space="preserve">hlediska vlivu na životní prostředí a z hlediska posílení veřejné dopravy. Oblast sledování pokroku integrovaných nástrojů prostřednictvím ročních zpráv generovaných monitorovacím systémem </w:t>
      </w:r>
      <w:r w:rsidR="009F54B0" w:rsidRPr="009C2C22">
        <w:rPr>
          <w:i/>
        </w:rPr>
        <w:t>MS2014+</w:t>
      </w:r>
      <w:r w:rsidR="009F54B0" w:rsidRPr="00DF20F4">
        <w:t xml:space="preserve"> je pro řízení integrovaných nástrojů obtížně využitelná z důvodu nepřehlednosti.</w:t>
      </w:r>
    </w:p>
    <w:p w14:paraId="5D05931F" w14:textId="77777777" w:rsidR="009E0500" w:rsidRPr="00AE2724" w:rsidRDefault="009E0500" w:rsidP="001B50B3">
      <w:pPr>
        <w:pStyle w:val="KZnormlntun"/>
        <w:keepNext/>
      </w:pPr>
      <w:r>
        <w:t xml:space="preserve">Celkové vyhodnocení vyplývá </w:t>
      </w:r>
      <w:r w:rsidR="002C32D9">
        <w:t xml:space="preserve">z těchto </w:t>
      </w:r>
      <w:r>
        <w:t>zjištěných skutečnos</w:t>
      </w:r>
      <w:r w:rsidR="00EB0209">
        <w:t>tí</w:t>
      </w:r>
      <w:r>
        <w:t>:</w:t>
      </w:r>
      <w:r w:rsidRPr="00AE2724">
        <w:t xml:space="preserve"> </w:t>
      </w:r>
    </w:p>
    <w:p w14:paraId="39E9F65C" w14:textId="77777777" w:rsidR="00F40EC6" w:rsidRDefault="00F40EC6" w:rsidP="00F40EC6">
      <w:pPr>
        <w:pStyle w:val="Nadpis4"/>
      </w:pPr>
      <w:r>
        <w:t>Průřezová zjištění</w:t>
      </w:r>
    </w:p>
    <w:p w14:paraId="5F9D090D" w14:textId="066850A9" w:rsidR="006F0353" w:rsidRPr="0031166D" w:rsidRDefault="0019742B" w:rsidP="00DE38AE">
      <w:pPr>
        <w:pStyle w:val="KZnormln"/>
      </w:pPr>
      <w:r>
        <w:rPr>
          <w:b/>
        </w:rPr>
        <w:t>1</w:t>
      </w:r>
      <w:r w:rsidR="00DE38AE" w:rsidRPr="00DE38AE">
        <w:rPr>
          <w:b/>
        </w:rPr>
        <w:t>.</w:t>
      </w:r>
      <w:r w:rsidR="00DE38AE">
        <w:t xml:space="preserve"> </w:t>
      </w:r>
      <w:r w:rsidR="00E46C62">
        <w:t>Podpora poskytovaná prostřednictvím integrovaného nástroje ITI</w:t>
      </w:r>
      <w:r w:rsidR="00000EAC">
        <w:rPr>
          <w:rStyle w:val="Znakapoznpodarou"/>
        </w:rPr>
        <w:footnoteReference w:id="4"/>
      </w:r>
      <w:r w:rsidR="00E46C62">
        <w:t xml:space="preserve"> i přes složitě nastavený mechanismus a počáteční zpoždění má potenciál k d</w:t>
      </w:r>
      <w:r w:rsidR="00520AC5">
        <w:t>osahování výraznějších efektů a </w:t>
      </w:r>
      <w:r w:rsidR="00E46C62">
        <w:t>komplexnějšího řešení problémů v daném území. (</w:t>
      </w:r>
      <w:r w:rsidR="00CE2CF0">
        <w:t>Viz k</w:t>
      </w:r>
      <w:r w:rsidR="00E46C62">
        <w:t>apitol</w:t>
      </w:r>
      <w:r w:rsidR="00CE2CF0">
        <w:t>u</w:t>
      </w:r>
      <w:r w:rsidR="00E46C62">
        <w:t xml:space="preserve"> </w:t>
      </w:r>
      <w:proofErr w:type="gramStart"/>
      <w:r w:rsidR="00E46C62">
        <w:t xml:space="preserve">IV.5 </w:t>
      </w:r>
      <w:r w:rsidR="00CE2CF0">
        <w:t>tohoto</w:t>
      </w:r>
      <w:proofErr w:type="gramEnd"/>
      <w:r w:rsidR="00CE2CF0">
        <w:t xml:space="preserve"> </w:t>
      </w:r>
      <w:r w:rsidR="00E46C62">
        <w:t>kontrolního závěru</w:t>
      </w:r>
      <w:r w:rsidR="00CE2CF0">
        <w:t>.</w:t>
      </w:r>
      <w:r w:rsidR="00E46C62">
        <w:t>)</w:t>
      </w:r>
    </w:p>
    <w:p w14:paraId="26712B90" w14:textId="0A554331" w:rsidR="00DE38AE" w:rsidRDefault="00140F07" w:rsidP="00DE38AE">
      <w:pPr>
        <w:pStyle w:val="KZnormln"/>
      </w:pPr>
      <w:r>
        <w:rPr>
          <w:b/>
        </w:rPr>
        <w:t>2</w:t>
      </w:r>
      <w:r w:rsidR="00DE38AE">
        <w:rPr>
          <w:b/>
        </w:rPr>
        <w:t>.</w:t>
      </w:r>
      <w:r w:rsidR="00DE38AE">
        <w:t xml:space="preserve"> </w:t>
      </w:r>
      <w:r w:rsidR="006F11F8">
        <w:t>Podpora IROP se neprojevuje na zvýšení přepravy osob veřejnou dopravou. Cílová hodnota indikátoru „</w:t>
      </w:r>
      <w:r w:rsidR="00CE2CF0">
        <w:t>p</w:t>
      </w:r>
      <w:r w:rsidR="006F11F8">
        <w:t>odíl veřejné dopravy na celkových výkonech v osobní dopravě“ se jeví jako těžko dosažitelná</w:t>
      </w:r>
      <w:r w:rsidR="00F85636">
        <w:t>.</w:t>
      </w:r>
      <w:r w:rsidR="006F11F8">
        <w:t xml:space="preserve"> (</w:t>
      </w:r>
      <w:r w:rsidR="00CE2CF0">
        <w:t>Viz k</w:t>
      </w:r>
      <w:r w:rsidR="006F11F8">
        <w:t>apitol</w:t>
      </w:r>
      <w:r w:rsidR="00CE2CF0">
        <w:t>u</w:t>
      </w:r>
      <w:r w:rsidR="006F11F8">
        <w:t xml:space="preserve"> </w:t>
      </w:r>
      <w:proofErr w:type="gramStart"/>
      <w:r w:rsidR="006F11F8">
        <w:t>IV.6.4</w:t>
      </w:r>
      <w:proofErr w:type="gramEnd"/>
      <w:r w:rsidR="00F85636">
        <w:t xml:space="preserve"> </w:t>
      </w:r>
      <w:r w:rsidR="00CE2CF0">
        <w:t xml:space="preserve">tohoto </w:t>
      </w:r>
      <w:r w:rsidR="00F85636">
        <w:t>kontrolního závěru</w:t>
      </w:r>
      <w:r w:rsidR="00CE2CF0">
        <w:t>.</w:t>
      </w:r>
      <w:r w:rsidR="006F11F8">
        <w:t>)</w:t>
      </w:r>
      <w:r w:rsidR="00DE38AE">
        <w:t xml:space="preserve"> </w:t>
      </w:r>
    </w:p>
    <w:p w14:paraId="5EA1061B" w14:textId="76FFB43F" w:rsidR="0019742B" w:rsidRPr="00A0617C" w:rsidRDefault="00140F07" w:rsidP="0019742B">
      <w:pPr>
        <w:pStyle w:val="KZnormln"/>
      </w:pPr>
      <w:r>
        <w:rPr>
          <w:b/>
        </w:rPr>
        <w:t>3</w:t>
      </w:r>
      <w:r w:rsidR="0019742B">
        <w:rPr>
          <w:b/>
        </w:rPr>
        <w:t xml:space="preserve">. </w:t>
      </w:r>
      <w:r w:rsidR="0019742B">
        <w:t>NKÚ nemohl vyhodnotit přínos projektů realizovaných v </w:t>
      </w:r>
      <w:r w:rsidR="0043383F">
        <w:t>opatření</w:t>
      </w:r>
      <w:r w:rsidR="0019742B">
        <w:t xml:space="preserve"> „Telematika“ </w:t>
      </w:r>
      <w:r w:rsidR="00F85636">
        <w:t xml:space="preserve">vyjádřený </w:t>
      </w:r>
      <w:r w:rsidR="0019742B">
        <w:t>prostřednictvím monitorovacích indikátorů ve vztahu k plnění specifického cíle 1.2 IROP. Důvodem byly nedostatečné informace poskytované jediným indikátorem výstupu. (</w:t>
      </w:r>
      <w:r w:rsidR="00CE2CF0">
        <w:t>Viz k</w:t>
      </w:r>
      <w:r w:rsidR="0019742B">
        <w:t>apitol</w:t>
      </w:r>
      <w:r w:rsidR="00CE2CF0">
        <w:t>u</w:t>
      </w:r>
      <w:r w:rsidR="0019742B">
        <w:t xml:space="preserve"> </w:t>
      </w:r>
      <w:proofErr w:type="gramStart"/>
      <w:r w:rsidR="0019742B">
        <w:t>IV.6.4</w:t>
      </w:r>
      <w:proofErr w:type="gramEnd"/>
      <w:r w:rsidR="00F85636">
        <w:t xml:space="preserve"> </w:t>
      </w:r>
      <w:r w:rsidR="00CE2CF0">
        <w:t xml:space="preserve">tohoto </w:t>
      </w:r>
      <w:r w:rsidR="00F85636">
        <w:t>kontrolního závěru</w:t>
      </w:r>
      <w:r w:rsidR="00CE2CF0">
        <w:t>.</w:t>
      </w:r>
      <w:r w:rsidR="0019742B">
        <w:t xml:space="preserve">) </w:t>
      </w:r>
    </w:p>
    <w:p w14:paraId="62742EFF" w14:textId="437EFB03" w:rsidR="00F40EC6" w:rsidRDefault="00140F07" w:rsidP="00F40EC6">
      <w:pPr>
        <w:pStyle w:val="KZnormln"/>
      </w:pPr>
      <w:r>
        <w:rPr>
          <w:b/>
        </w:rPr>
        <w:t>4</w:t>
      </w:r>
      <w:r w:rsidR="00F40EC6" w:rsidRPr="00EB0209">
        <w:rPr>
          <w:b/>
        </w:rPr>
        <w:t>.</w:t>
      </w:r>
      <w:r w:rsidR="00F40EC6">
        <w:t xml:space="preserve"> </w:t>
      </w:r>
      <w:r w:rsidR="00EF4E77">
        <w:t>Hodnoty indikátoru výsledku „</w:t>
      </w:r>
      <w:r w:rsidR="00CE2CF0">
        <w:t>p</w:t>
      </w:r>
      <w:r w:rsidR="00EF4E77">
        <w:t>očet osob přepravených veřejnou dopravou“ neposkytují reálný obraz o přínosu realizovaných projektů.</w:t>
      </w:r>
      <w:r w:rsidR="00E46C62">
        <w:t xml:space="preserve"> Tato skutečnost v důsledku vede k tomu, že nelze vyhodnotit konkrétní přínosy z realizovaných projektů.</w:t>
      </w:r>
      <w:r w:rsidR="00EF4E77">
        <w:t xml:space="preserve"> (</w:t>
      </w:r>
      <w:r w:rsidR="00CE2CF0">
        <w:t>Viz k</w:t>
      </w:r>
      <w:r w:rsidR="00EF4E77">
        <w:t>apitol</w:t>
      </w:r>
      <w:r w:rsidR="00CE2CF0">
        <w:t>u</w:t>
      </w:r>
      <w:r w:rsidR="00EF4E77">
        <w:t xml:space="preserve"> </w:t>
      </w:r>
      <w:proofErr w:type="gramStart"/>
      <w:r w:rsidR="00EF4E77">
        <w:t>IV.6.4</w:t>
      </w:r>
      <w:proofErr w:type="gramEnd"/>
      <w:r w:rsidR="00F85636">
        <w:t xml:space="preserve"> </w:t>
      </w:r>
      <w:r w:rsidR="00CE2CF0">
        <w:t xml:space="preserve">tohoto </w:t>
      </w:r>
      <w:r w:rsidR="00F85636">
        <w:t>kontrolního závěru</w:t>
      </w:r>
      <w:r w:rsidR="00CE2CF0">
        <w:t>.</w:t>
      </w:r>
      <w:r w:rsidR="00EF4E77">
        <w:t>)</w:t>
      </w:r>
    </w:p>
    <w:p w14:paraId="1E3BC9C6" w14:textId="26732814" w:rsidR="00F40EC6" w:rsidRDefault="00140F07">
      <w:pPr>
        <w:pStyle w:val="Zkladn"/>
      </w:pPr>
      <w:r>
        <w:rPr>
          <w:b/>
        </w:rPr>
        <w:t>5</w:t>
      </w:r>
      <w:r w:rsidR="00F40EC6" w:rsidRPr="00136339">
        <w:rPr>
          <w:b/>
        </w:rPr>
        <w:t>.</w:t>
      </w:r>
      <w:r w:rsidR="00F40EC6">
        <w:t xml:space="preserve"> </w:t>
      </w:r>
      <w:r w:rsidR="00145E46">
        <w:t xml:space="preserve">Nedostatky monitorovacího systému </w:t>
      </w:r>
      <w:r w:rsidR="00145E46" w:rsidRPr="009C2C22">
        <w:rPr>
          <w:i/>
        </w:rPr>
        <w:t>MS2014+</w:t>
      </w:r>
      <w:r w:rsidR="00145E46">
        <w:t xml:space="preserve"> způsob</w:t>
      </w:r>
      <w:r w:rsidR="003340BE">
        <w:t>ily</w:t>
      </w:r>
      <w:r w:rsidR="00145E46">
        <w:t xml:space="preserve"> zpoždění </w:t>
      </w:r>
      <w:r w:rsidR="00F85636">
        <w:t>schvalování</w:t>
      </w:r>
      <w:r w:rsidR="00145E46">
        <w:t xml:space="preserve"> </w:t>
      </w:r>
      <w:r w:rsidR="00CE2CF0">
        <w:t>s</w:t>
      </w:r>
      <w:r w:rsidR="00844565">
        <w:t>trategií integrované územní investice (</w:t>
      </w:r>
      <w:r w:rsidR="00CE2CF0">
        <w:t xml:space="preserve">viz </w:t>
      </w:r>
      <w:r w:rsidR="00844565">
        <w:t>kapitol</w:t>
      </w:r>
      <w:r w:rsidR="00CE2CF0">
        <w:t>u</w:t>
      </w:r>
      <w:r w:rsidR="00844565">
        <w:t xml:space="preserve"> </w:t>
      </w:r>
      <w:proofErr w:type="gramStart"/>
      <w:r w:rsidR="00844565">
        <w:t>IV.5.2</w:t>
      </w:r>
      <w:proofErr w:type="gramEnd"/>
      <w:r w:rsidR="00F85636">
        <w:t xml:space="preserve"> </w:t>
      </w:r>
      <w:r w:rsidR="00CE2CF0">
        <w:t xml:space="preserve">tohoto </w:t>
      </w:r>
      <w:r w:rsidR="00F85636">
        <w:t>kontrolního závěru</w:t>
      </w:r>
      <w:r w:rsidR="00844565">
        <w:t>) a snižují efektivnost řízení IROP (</w:t>
      </w:r>
      <w:r w:rsidR="00CE2CF0">
        <w:t xml:space="preserve">viz </w:t>
      </w:r>
      <w:r w:rsidR="002826F9">
        <w:t>k</w:t>
      </w:r>
      <w:r w:rsidR="00844565">
        <w:t>apitol</w:t>
      </w:r>
      <w:r w:rsidR="00CE2CF0">
        <w:t>u</w:t>
      </w:r>
      <w:r w:rsidR="00844565">
        <w:t xml:space="preserve"> IV.6.4</w:t>
      </w:r>
      <w:r w:rsidR="00F85636">
        <w:t xml:space="preserve"> </w:t>
      </w:r>
      <w:r w:rsidR="0081287D">
        <w:t xml:space="preserve">tohoto </w:t>
      </w:r>
      <w:r w:rsidR="00F85636">
        <w:t>kontrolního závěru</w:t>
      </w:r>
      <w:r w:rsidR="00844565">
        <w:t xml:space="preserve">). </w:t>
      </w:r>
      <w:r w:rsidR="00094A69">
        <w:t>Tyto z</w:t>
      </w:r>
      <w:r w:rsidR="00F85636">
        <w:t>jištěné n</w:t>
      </w:r>
      <w:r w:rsidR="00844565">
        <w:t>edostatky potvrzují dílčí závěry NKÚ z kontrolní akce č. 16/12</w:t>
      </w:r>
      <w:r w:rsidR="00844565">
        <w:rPr>
          <w:rStyle w:val="Znakapoznpodarou"/>
        </w:rPr>
        <w:footnoteReference w:id="5"/>
      </w:r>
      <w:r w:rsidR="00844565" w:rsidRPr="00EB0209">
        <w:t>.</w:t>
      </w:r>
    </w:p>
    <w:p w14:paraId="1F6BA7DB" w14:textId="77777777" w:rsidR="00F40EC6" w:rsidRDefault="00F40EC6" w:rsidP="00F40EC6">
      <w:pPr>
        <w:pStyle w:val="Zkladn"/>
      </w:pPr>
    </w:p>
    <w:p w14:paraId="001334FC" w14:textId="12B592A5" w:rsidR="00F40EC6" w:rsidRDefault="00F40EC6" w:rsidP="00F40EC6">
      <w:pPr>
        <w:pStyle w:val="Nadpis4"/>
      </w:pPr>
      <w:r>
        <w:t>Zjištění u M</w:t>
      </w:r>
      <w:r w:rsidR="00CE2CF0">
        <w:t>MR</w:t>
      </w:r>
      <w:r w:rsidR="001179B9">
        <w:t xml:space="preserve"> a CRR</w:t>
      </w:r>
    </w:p>
    <w:p w14:paraId="7BE45267" w14:textId="2E993E8D" w:rsidR="00082F5D" w:rsidRDefault="00140F07" w:rsidP="00082F5D">
      <w:pPr>
        <w:pStyle w:val="KZnormln"/>
        <w:rPr>
          <w:b/>
        </w:rPr>
      </w:pPr>
      <w:r>
        <w:rPr>
          <w:b/>
        </w:rPr>
        <w:t>6</w:t>
      </w:r>
      <w:r w:rsidR="00082F5D" w:rsidRPr="0034781C">
        <w:rPr>
          <w:b/>
        </w:rPr>
        <w:t xml:space="preserve">. </w:t>
      </w:r>
      <w:r w:rsidR="00082F5D" w:rsidRPr="0034781C">
        <w:t>Pro hodnocení přijatelnosti týkající se efektivnosti projektů M</w:t>
      </w:r>
      <w:r w:rsidR="00CE2CF0">
        <w:t>MR</w:t>
      </w:r>
      <w:r w:rsidR="00082F5D" w:rsidRPr="0034781C">
        <w:t xml:space="preserve"> nestanovilo postupy, které by zamezily zadávání chybných vstupních dat pro výpočet přínosů ze strany příjemců. Ministerstvo poskytlo podporu na projekty, u kterých díky neodhaleným chybám není možné bez dalších úprav prokázat splnění nezbytných požadavků na efektivnost projektů. </w:t>
      </w:r>
      <w:r w:rsidR="00082F5D">
        <w:t>(</w:t>
      </w:r>
      <w:r w:rsidR="0081287D">
        <w:t>Viz k</w:t>
      </w:r>
      <w:r w:rsidR="00082F5D">
        <w:t>apitol</w:t>
      </w:r>
      <w:r w:rsidR="0081287D">
        <w:t>u</w:t>
      </w:r>
      <w:r w:rsidR="00082F5D">
        <w:t xml:space="preserve"> </w:t>
      </w:r>
      <w:proofErr w:type="gramStart"/>
      <w:r w:rsidR="00082F5D">
        <w:t>IV.6.1</w:t>
      </w:r>
      <w:proofErr w:type="gramEnd"/>
      <w:r w:rsidR="00082F5D">
        <w:t xml:space="preserve"> </w:t>
      </w:r>
      <w:r w:rsidR="0081287D">
        <w:t xml:space="preserve">tohoto </w:t>
      </w:r>
      <w:r w:rsidR="00082F5D">
        <w:t>kontrolního závěru</w:t>
      </w:r>
      <w:r w:rsidR="0081287D">
        <w:t>.</w:t>
      </w:r>
      <w:r w:rsidR="00082F5D">
        <w:t>)</w:t>
      </w:r>
    </w:p>
    <w:p w14:paraId="013A35BB" w14:textId="53BEB3A9" w:rsidR="00082F5D" w:rsidRDefault="00140F07" w:rsidP="00082F5D">
      <w:pPr>
        <w:pStyle w:val="KZnormln"/>
      </w:pPr>
      <w:r>
        <w:rPr>
          <w:b/>
        </w:rPr>
        <w:t>7</w:t>
      </w:r>
      <w:r w:rsidR="00082F5D">
        <w:rPr>
          <w:b/>
        </w:rPr>
        <w:t xml:space="preserve">. </w:t>
      </w:r>
      <w:r w:rsidR="00082F5D">
        <w:t>Právní akt o poskytnutí podpory jednoznačně nezavazuje příjemce k dodržování žádosti o podporu. Z toho vyplývá riziko, že příjemce nezrealizuje projekt v rozsahu, který v žádosti popsal. Ministerstvo dopad rizika snížilo tím, že podstatné změny nesmí příjemce bez</w:t>
      </w:r>
      <w:r w:rsidR="0081287D">
        <w:t xml:space="preserve"> </w:t>
      </w:r>
      <w:r w:rsidR="00082F5D">
        <w:t>předchozího souhlasu provést. (</w:t>
      </w:r>
      <w:r w:rsidR="0081287D">
        <w:t>Viz k</w:t>
      </w:r>
      <w:r w:rsidR="00082F5D">
        <w:t>apitol</w:t>
      </w:r>
      <w:r w:rsidR="0081287D">
        <w:t>u</w:t>
      </w:r>
      <w:r w:rsidR="00082F5D">
        <w:t xml:space="preserve"> </w:t>
      </w:r>
      <w:proofErr w:type="gramStart"/>
      <w:r w:rsidR="00082F5D">
        <w:t>IV.6.3</w:t>
      </w:r>
      <w:proofErr w:type="gramEnd"/>
      <w:r w:rsidR="00082F5D">
        <w:t xml:space="preserve"> </w:t>
      </w:r>
      <w:r w:rsidR="0081287D">
        <w:t xml:space="preserve">tohoto </w:t>
      </w:r>
      <w:r w:rsidR="00082F5D">
        <w:t>kontrolního závěru</w:t>
      </w:r>
      <w:r w:rsidR="0081287D">
        <w:t>.</w:t>
      </w:r>
      <w:r w:rsidR="00082F5D">
        <w:t>)</w:t>
      </w:r>
    </w:p>
    <w:p w14:paraId="312BEEDF" w14:textId="3C0AA1E2" w:rsidR="00F40EC6" w:rsidRDefault="00140F07" w:rsidP="00F40EC6">
      <w:pPr>
        <w:pStyle w:val="KZnormln"/>
      </w:pPr>
      <w:r>
        <w:rPr>
          <w:b/>
        </w:rPr>
        <w:t>8</w:t>
      </w:r>
      <w:r w:rsidR="00F40EC6" w:rsidRPr="001750DA">
        <w:rPr>
          <w:b/>
        </w:rPr>
        <w:t>.</w:t>
      </w:r>
      <w:r w:rsidR="00F40EC6">
        <w:t xml:space="preserve"> Ministerstvo v dokumentaci určené příjemcům </w:t>
      </w:r>
      <w:r w:rsidR="0004628A">
        <w:t>nestanovilo jednoznačně povinnost</w:t>
      </w:r>
      <w:r w:rsidR="00F40EC6">
        <w:t>, že v případě obnovy vozového parku nesmí být vyřazená vozidla nadále používána k veřejné přepravě osob.</w:t>
      </w:r>
      <w:r w:rsidR="00EF1515">
        <w:t xml:space="preserve"> (</w:t>
      </w:r>
      <w:r w:rsidR="0081287D">
        <w:t>Viz k</w:t>
      </w:r>
      <w:r w:rsidR="00EF1515">
        <w:t>apitol</w:t>
      </w:r>
      <w:r w:rsidR="0081287D">
        <w:t>u</w:t>
      </w:r>
      <w:r w:rsidR="00EF1515">
        <w:t xml:space="preserve"> </w:t>
      </w:r>
      <w:r w:rsidR="0081287D">
        <w:t xml:space="preserve">tohoto </w:t>
      </w:r>
      <w:proofErr w:type="gramStart"/>
      <w:r w:rsidR="00EF1515">
        <w:t>IV.6.4</w:t>
      </w:r>
      <w:proofErr w:type="gramEnd"/>
      <w:r w:rsidR="00082F5D">
        <w:t xml:space="preserve"> kontrolního závěru</w:t>
      </w:r>
      <w:r w:rsidR="0081287D">
        <w:t>.</w:t>
      </w:r>
      <w:r w:rsidR="00EF1515">
        <w:t>)</w:t>
      </w:r>
    </w:p>
    <w:p w14:paraId="7D77B3BB" w14:textId="52E0B3BC" w:rsidR="00082F5D" w:rsidRDefault="00140F07" w:rsidP="00081C28">
      <w:pPr>
        <w:pStyle w:val="KZnormln"/>
      </w:pPr>
      <w:r>
        <w:rPr>
          <w:b/>
        </w:rPr>
        <w:lastRenderedPageBreak/>
        <w:t>9</w:t>
      </w:r>
      <w:r w:rsidR="00082F5D">
        <w:rPr>
          <w:b/>
        </w:rPr>
        <w:t xml:space="preserve">. </w:t>
      </w:r>
      <w:r w:rsidR="00082F5D" w:rsidRPr="001750DA">
        <w:t xml:space="preserve">NKÚ zjistil nesoulad mezi termíny </w:t>
      </w:r>
      <w:r w:rsidR="00082F5D">
        <w:t xml:space="preserve">určenými pro </w:t>
      </w:r>
      <w:r w:rsidR="00082F5D" w:rsidRPr="001750DA">
        <w:t xml:space="preserve">splnění indikátorů </w:t>
      </w:r>
      <w:r w:rsidR="00082F5D">
        <w:t>stanovenými</w:t>
      </w:r>
      <w:r w:rsidR="00082F5D" w:rsidRPr="001750DA">
        <w:t xml:space="preserve"> v právním aktu o poskytnutí </w:t>
      </w:r>
      <w:r w:rsidR="00082F5D">
        <w:t>dotace a v závazných pravidlech. (</w:t>
      </w:r>
      <w:r w:rsidR="0081287D">
        <w:t>Viz k</w:t>
      </w:r>
      <w:r w:rsidR="00082F5D">
        <w:t>apitol</w:t>
      </w:r>
      <w:r w:rsidR="0081287D">
        <w:t>u</w:t>
      </w:r>
      <w:r w:rsidR="00082F5D">
        <w:t xml:space="preserve"> </w:t>
      </w:r>
      <w:proofErr w:type="gramStart"/>
      <w:r w:rsidR="00082F5D">
        <w:t>IV.6.4</w:t>
      </w:r>
      <w:proofErr w:type="gramEnd"/>
      <w:r w:rsidR="00082F5D">
        <w:t xml:space="preserve"> </w:t>
      </w:r>
      <w:r w:rsidR="0081287D">
        <w:t xml:space="preserve">tohoto </w:t>
      </w:r>
      <w:r w:rsidR="00082F5D">
        <w:t>kontrolního závěru</w:t>
      </w:r>
      <w:r w:rsidR="0081287D">
        <w:t>.</w:t>
      </w:r>
      <w:r w:rsidR="00082F5D">
        <w:t>)</w:t>
      </w:r>
    </w:p>
    <w:p w14:paraId="743706A7" w14:textId="12965338" w:rsidR="00082F5D" w:rsidRDefault="00082F5D" w:rsidP="00082F5D">
      <w:pPr>
        <w:pStyle w:val="KZnormln"/>
      </w:pPr>
      <w:r>
        <w:rPr>
          <w:b/>
        </w:rPr>
        <w:t>1</w:t>
      </w:r>
      <w:r w:rsidR="00140F07">
        <w:rPr>
          <w:b/>
        </w:rPr>
        <w:t>0</w:t>
      </w:r>
      <w:r>
        <w:rPr>
          <w:b/>
        </w:rPr>
        <w:t xml:space="preserve">. </w:t>
      </w:r>
      <w:r w:rsidRPr="00EB0209">
        <w:t xml:space="preserve">V případě dalšího zpoždění či vzniku problémů při realizaci integrovaných projektů ITI existuje riziko, že nebudou vyčerpány prostředky EU rezervované pro tato opatření. MMR přijímá opatření k řízení tohoto rizika. </w:t>
      </w:r>
      <w:r>
        <w:t>(</w:t>
      </w:r>
      <w:r w:rsidR="0081287D">
        <w:t>Viz k</w:t>
      </w:r>
      <w:r>
        <w:t>apitol</w:t>
      </w:r>
      <w:r w:rsidR="0081287D">
        <w:t>u</w:t>
      </w:r>
      <w:r>
        <w:t xml:space="preserve"> </w:t>
      </w:r>
      <w:proofErr w:type="gramStart"/>
      <w:r>
        <w:t>IV.6.5</w:t>
      </w:r>
      <w:proofErr w:type="gramEnd"/>
      <w:r>
        <w:t xml:space="preserve"> </w:t>
      </w:r>
      <w:r w:rsidR="0081287D">
        <w:t xml:space="preserve">tohoto </w:t>
      </w:r>
      <w:r>
        <w:t>kontrolního závěru</w:t>
      </w:r>
      <w:r w:rsidR="0081287D">
        <w:t>.</w:t>
      </w:r>
      <w:r>
        <w:t>)</w:t>
      </w:r>
    </w:p>
    <w:p w14:paraId="7E0724AF" w14:textId="46CD69B0" w:rsidR="00F40EC6" w:rsidRDefault="00F40EC6" w:rsidP="00082F5D">
      <w:pPr>
        <w:pStyle w:val="KZnormln"/>
      </w:pPr>
      <w:r w:rsidRPr="00081C28">
        <w:rPr>
          <w:b/>
        </w:rPr>
        <w:t>1</w:t>
      </w:r>
      <w:r w:rsidR="00140F07">
        <w:rPr>
          <w:b/>
        </w:rPr>
        <w:t>1</w:t>
      </w:r>
      <w:r w:rsidRPr="00081C28">
        <w:rPr>
          <w:b/>
        </w:rPr>
        <w:t xml:space="preserve">. </w:t>
      </w:r>
      <w:r w:rsidRPr="00081C28">
        <w:t>Postupy</w:t>
      </w:r>
      <w:r w:rsidR="00731C05">
        <w:t>, procesy</w:t>
      </w:r>
      <w:r w:rsidRPr="00081C28">
        <w:t xml:space="preserve"> a pravidla pro určení a posouzení </w:t>
      </w:r>
      <w:r w:rsidR="0081287D">
        <w:t>tří</w:t>
      </w:r>
      <w:r w:rsidRPr="00081C28">
        <w:t xml:space="preserve"> druhů výdajů</w:t>
      </w:r>
      <w:r w:rsidR="00731C05">
        <w:rPr>
          <w:rStyle w:val="Znakapoznpodarou"/>
        </w:rPr>
        <w:footnoteReference w:id="6"/>
      </w:r>
      <w:r w:rsidRPr="00081C28">
        <w:t xml:space="preserve"> z hlediska způsobilosti stanovilo MMR nedostatečným způsobem.</w:t>
      </w:r>
      <w:r w:rsidR="001179B9">
        <w:t xml:space="preserve"> CRR při kontrole způsobilosti výdajů posuzovalo některé výdaje stejného charakteru rozdílně. </w:t>
      </w:r>
      <w:r w:rsidR="00CC6017">
        <w:t>(</w:t>
      </w:r>
      <w:r w:rsidR="0081287D">
        <w:t>Viz k</w:t>
      </w:r>
      <w:r w:rsidR="00CC6017">
        <w:t>apitol</w:t>
      </w:r>
      <w:r w:rsidR="0081287D">
        <w:t>u</w:t>
      </w:r>
      <w:r w:rsidR="00CC6017">
        <w:t xml:space="preserve"> </w:t>
      </w:r>
      <w:proofErr w:type="gramStart"/>
      <w:r w:rsidR="00CC6017">
        <w:t>IV.6.6</w:t>
      </w:r>
      <w:proofErr w:type="gramEnd"/>
      <w:r w:rsidR="00082F5D">
        <w:t xml:space="preserve"> </w:t>
      </w:r>
      <w:r w:rsidR="0081287D">
        <w:t xml:space="preserve">tohoto </w:t>
      </w:r>
      <w:r w:rsidR="00082F5D">
        <w:t>kontrolního závěru</w:t>
      </w:r>
      <w:r w:rsidR="0081287D">
        <w:t>.</w:t>
      </w:r>
      <w:r w:rsidR="00CC6017">
        <w:t>)</w:t>
      </w:r>
      <w:r w:rsidRPr="00081C28">
        <w:t xml:space="preserve"> </w:t>
      </w:r>
    </w:p>
    <w:p w14:paraId="5D803A86" w14:textId="18352341" w:rsidR="00DE38AE" w:rsidRDefault="009A4D70" w:rsidP="00081C28">
      <w:pPr>
        <w:pStyle w:val="Zkladn"/>
      </w:pPr>
      <w:r>
        <w:rPr>
          <w:b/>
        </w:rPr>
        <w:t>1</w:t>
      </w:r>
      <w:r w:rsidR="00140F07">
        <w:rPr>
          <w:b/>
        </w:rPr>
        <w:t>2</w:t>
      </w:r>
      <w:r w:rsidR="00DE38AE">
        <w:rPr>
          <w:b/>
        </w:rPr>
        <w:t>.</w:t>
      </w:r>
      <w:r w:rsidR="00DE38AE">
        <w:t xml:space="preserve"> Ministerstvo v průběhu realizace projektů změnilo pravidla, která měla dopad na výši způsobilých výdajů a tím i na konečnou výši poskytnuté dotace.</w:t>
      </w:r>
      <w:r w:rsidR="00ED1175">
        <w:t xml:space="preserve"> Tato změna zakládala v rámci jedné výzvy nerovný přístup k příjemcům podpory. </w:t>
      </w:r>
      <w:r w:rsidR="003D7555">
        <w:t>(</w:t>
      </w:r>
      <w:r w:rsidR="0081287D">
        <w:t>Viz k</w:t>
      </w:r>
      <w:r w:rsidR="003D7555">
        <w:t>apitol</w:t>
      </w:r>
      <w:r w:rsidR="0081287D">
        <w:t>u</w:t>
      </w:r>
      <w:r w:rsidR="003D7555">
        <w:t xml:space="preserve"> </w:t>
      </w:r>
      <w:proofErr w:type="gramStart"/>
      <w:r w:rsidR="003D7555">
        <w:t>IV.6.6</w:t>
      </w:r>
      <w:proofErr w:type="gramEnd"/>
      <w:r w:rsidR="00082F5D">
        <w:t xml:space="preserve"> </w:t>
      </w:r>
      <w:r w:rsidR="0081287D">
        <w:t xml:space="preserve">tohoto </w:t>
      </w:r>
      <w:r w:rsidR="00082F5D">
        <w:t>kontrolního závěru</w:t>
      </w:r>
      <w:r w:rsidR="0081287D">
        <w:t>.</w:t>
      </w:r>
      <w:r w:rsidR="003D7555">
        <w:t>)</w:t>
      </w:r>
    </w:p>
    <w:p w14:paraId="1B5219FF" w14:textId="77777777" w:rsidR="00DE38AE" w:rsidRDefault="00DE38AE" w:rsidP="00DE38AE">
      <w:pPr>
        <w:pStyle w:val="Zkladn"/>
      </w:pPr>
    </w:p>
    <w:p w14:paraId="37BC1405" w14:textId="77777777" w:rsidR="00F40EC6" w:rsidRDefault="00F40EC6" w:rsidP="00DE38AE">
      <w:pPr>
        <w:pStyle w:val="Nadpis4"/>
      </w:pPr>
      <w:r>
        <w:t>Zjištění u statutárních měst</w:t>
      </w:r>
    </w:p>
    <w:p w14:paraId="4558C920" w14:textId="20B22A59" w:rsidR="00DE38AE" w:rsidRDefault="009A4D70" w:rsidP="00DE38AE">
      <w:pPr>
        <w:pStyle w:val="Zkladn"/>
      </w:pPr>
      <w:r w:rsidRPr="00081C28">
        <w:rPr>
          <w:b/>
        </w:rPr>
        <w:t>1</w:t>
      </w:r>
      <w:r w:rsidR="00140F07">
        <w:rPr>
          <w:b/>
        </w:rPr>
        <w:t>3</w:t>
      </w:r>
      <w:r w:rsidR="00DE38AE" w:rsidRPr="00081C28">
        <w:rPr>
          <w:b/>
        </w:rPr>
        <w:t xml:space="preserve">. </w:t>
      </w:r>
      <w:r w:rsidR="001345E3">
        <w:t>Některá s</w:t>
      </w:r>
      <w:r w:rsidR="00C80945">
        <w:t>tatutární</w:t>
      </w:r>
      <w:r w:rsidR="0075118D" w:rsidRPr="00081C28">
        <w:t xml:space="preserve"> města nerespektovala povinnosti ohledně zveřejnění povinných informací</w:t>
      </w:r>
      <w:r w:rsidR="00082F5D">
        <w:t xml:space="preserve"> ve vyhlašovaných výzvách</w:t>
      </w:r>
      <w:r w:rsidR="0075118D" w:rsidRPr="00081C28">
        <w:t>, nehodnotila synergické efekty pos</w:t>
      </w:r>
      <w:r w:rsidR="004D0ED3">
        <w:t>uzovaných projektových záměrů a </w:t>
      </w:r>
      <w:r w:rsidR="0075118D" w:rsidRPr="00081C28">
        <w:t xml:space="preserve">stanovila nevhodná kritéria </w:t>
      </w:r>
      <w:r w:rsidR="00082F5D">
        <w:t xml:space="preserve">pro hodnocení </w:t>
      </w:r>
      <w:r w:rsidR="0075118D" w:rsidRPr="00081C28">
        <w:t>z hlediska hospodárnosti a</w:t>
      </w:r>
      <w:r w:rsidR="0031166D">
        <w:t> </w:t>
      </w:r>
      <w:r w:rsidR="0075118D" w:rsidRPr="00081C28">
        <w:t>efektivnosti. (</w:t>
      </w:r>
      <w:r w:rsidR="0081287D">
        <w:t>Viz k</w:t>
      </w:r>
      <w:r w:rsidR="0075118D" w:rsidRPr="00081C28">
        <w:t>apitol</w:t>
      </w:r>
      <w:r w:rsidR="0081287D">
        <w:t>u</w:t>
      </w:r>
      <w:r w:rsidR="0075118D" w:rsidRPr="00081C28">
        <w:t xml:space="preserve"> </w:t>
      </w:r>
      <w:proofErr w:type="gramStart"/>
      <w:r w:rsidR="0075118D" w:rsidRPr="00081C28">
        <w:t>IV.6.2</w:t>
      </w:r>
      <w:proofErr w:type="gramEnd"/>
      <w:r w:rsidR="00082F5D">
        <w:t xml:space="preserve"> </w:t>
      </w:r>
      <w:r w:rsidR="0081287D">
        <w:t xml:space="preserve">tohoto </w:t>
      </w:r>
      <w:r w:rsidR="00082F5D">
        <w:t>kontrolního závěru</w:t>
      </w:r>
      <w:r w:rsidR="0081287D">
        <w:t>.</w:t>
      </w:r>
      <w:r w:rsidR="0075118D" w:rsidRPr="00081C28">
        <w:t>)</w:t>
      </w:r>
      <w:r w:rsidR="00B83536">
        <w:rPr>
          <w:b/>
        </w:rPr>
        <w:t xml:space="preserve"> </w:t>
      </w:r>
    </w:p>
    <w:p w14:paraId="7A28AB23" w14:textId="77777777" w:rsidR="00DE38AE" w:rsidRDefault="00DE38AE" w:rsidP="00DE38AE">
      <w:pPr>
        <w:pStyle w:val="Zkladn"/>
      </w:pPr>
    </w:p>
    <w:p w14:paraId="053A47BE" w14:textId="77777777" w:rsidR="00F40EC6" w:rsidRDefault="00DE38AE" w:rsidP="00DE38AE">
      <w:pPr>
        <w:pStyle w:val="Nadpis4"/>
      </w:pPr>
      <w:r>
        <w:t>Zjištění u příjemců podpory</w:t>
      </w:r>
    </w:p>
    <w:p w14:paraId="27DEF866" w14:textId="5F430EAF" w:rsidR="0019742B" w:rsidRDefault="00EB6D76" w:rsidP="00EB0209">
      <w:pPr>
        <w:pStyle w:val="KZnormln"/>
      </w:pPr>
      <w:r>
        <w:rPr>
          <w:b/>
        </w:rPr>
        <w:t>1</w:t>
      </w:r>
      <w:r w:rsidR="00140F07">
        <w:rPr>
          <w:b/>
        </w:rPr>
        <w:t>4</w:t>
      </w:r>
      <w:r w:rsidR="0019742B">
        <w:rPr>
          <w:b/>
        </w:rPr>
        <w:t xml:space="preserve">. </w:t>
      </w:r>
      <w:r w:rsidR="0019742B" w:rsidRPr="00CF18D7">
        <w:t>Cíle, jichž m</w:t>
      </w:r>
      <w:r w:rsidR="0019742B">
        <w:t>ají</w:t>
      </w:r>
      <w:r w:rsidR="0019742B" w:rsidRPr="00CF18D7">
        <w:t xml:space="preserve"> příjemc</w:t>
      </w:r>
      <w:r w:rsidR="0019742B">
        <w:t>i</w:t>
      </w:r>
      <w:r w:rsidR="0019742B" w:rsidRPr="00CF18D7">
        <w:t xml:space="preserve"> dosáhnout</w:t>
      </w:r>
      <w:r w:rsidR="0019742B">
        <w:t xml:space="preserve"> realizací projektů,</w:t>
      </w:r>
      <w:r w:rsidR="008A5FF5">
        <w:t xml:space="preserve"> korespondují v 74</w:t>
      </w:r>
      <w:r w:rsidR="0019742B" w:rsidRPr="00CF18D7">
        <w:t xml:space="preserve"> </w:t>
      </w:r>
      <w:r w:rsidR="0019742B">
        <w:t xml:space="preserve">% </w:t>
      </w:r>
      <w:r w:rsidR="0019742B" w:rsidRPr="00CF18D7">
        <w:t xml:space="preserve">s dílčími cíli </w:t>
      </w:r>
      <w:r w:rsidR="0019742B">
        <w:t>specifického cíle</w:t>
      </w:r>
      <w:r w:rsidR="0019742B" w:rsidRPr="00CF18D7">
        <w:t xml:space="preserve"> 1.2 IROP. V </w:t>
      </w:r>
      <w:r w:rsidR="0019742B">
        <w:t>některých</w:t>
      </w:r>
      <w:r w:rsidR="0019742B" w:rsidRPr="00CF18D7">
        <w:t xml:space="preserve"> případech nebylo možné plnění projektových cílů vyhodnotit</w:t>
      </w:r>
      <w:r>
        <w:t>.</w:t>
      </w:r>
      <w:r w:rsidR="0019742B">
        <w:rPr>
          <w:b/>
        </w:rPr>
        <w:t xml:space="preserve"> </w:t>
      </w:r>
      <w:r w:rsidR="0019742B">
        <w:t>(</w:t>
      </w:r>
      <w:r w:rsidR="004876BF">
        <w:t>Viz k</w:t>
      </w:r>
      <w:r w:rsidR="0019742B">
        <w:t>apitol</w:t>
      </w:r>
      <w:r w:rsidR="004876BF">
        <w:t>u</w:t>
      </w:r>
      <w:r w:rsidR="0019742B">
        <w:t xml:space="preserve"> </w:t>
      </w:r>
      <w:proofErr w:type="gramStart"/>
      <w:r w:rsidR="0019742B">
        <w:t xml:space="preserve">IV.1 </w:t>
      </w:r>
      <w:r w:rsidR="004876BF">
        <w:t>tohoto</w:t>
      </w:r>
      <w:proofErr w:type="gramEnd"/>
      <w:r w:rsidR="004876BF">
        <w:t xml:space="preserve"> </w:t>
      </w:r>
      <w:r w:rsidR="0019742B">
        <w:t>kontrolního závěru)</w:t>
      </w:r>
    </w:p>
    <w:p w14:paraId="2FEC399F" w14:textId="06A63BF5" w:rsidR="00140F07" w:rsidRDefault="00140F07" w:rsidP="00140F07">
      <w:pPr>
        <w:pStyle w:val="KZnormln"/>
      </w:pPr>
      <w:r>
        <w:rPr>
          <w:b/>
        </w:rPr>
        <w:t xml:space="preserve">15. </w:t>
      </w:r>
      <w:r>
        <w:t>Pořízené dopravní prostředky sloužily převážně k obměně vozového parku. Projekty nepředpokládaly významný nárůst přepravních výkonů v oblasti využívání veřejné dopravy na úkor individuální. (</w:t>
      </w:r>
      <w:r w:rsidR="004876BF">
        <w:t>Viz k</w:t>
      </w:r>
      <w:r>
        <w:t>apitol</w:t>
      </w:r>
      <w:r w:rsidR="004876BF">
        <w:t>u</w:t>
      </w:r>
      <w:r>
        <w:t xml:space="preserve"> </w:t>
      </w:r>
      <w:proofErr w:type="gramStart"/>
      <w:r>
        <w:t xml:space="preserve">IV.2 </w:t>
      </w:r>
      <w:r w:rsidR="004876BF">
        <w:t>tohoto</w:t>
      </w:r>
      <w:proofErr w:type="gramEnd"/>
      <w:r w:rsidR="004876BF">
        <w:t xml:space="preserve"> </w:t>
      </w:r>
      <w:r>
        <w:t xml:space="preserve">kontrolního závěru) </w:t>
      </w:r>
    </w:p>
    <w:p w14:paraId="146B5711" w14:textId="7D348CCF" w:rsidR="00F52D8D" w:rsidRDefault="00EB6D76" w:rsidP="00140F07">
      <w:pPr>
        <w:pStyle w:val="KZnormln"/>
      </w:pPr>
      <w:r>
        <w:rPr>
          <w:b/>
        </w:rPr>
        <w:t>1</w:t>
      </w:r>
      <w:r w:rsidR="00097264">
        <w:rPr>
          <w:b/>
        </w:rPr>
        <w:t>6</w:t>
      </w:r>
      <w:r w:rsidR="00E9321D">
        <w:rPr>
          <w:b/>
        </w:rPr>
        <w:t xml:space="preserve">. </w:t>
      </w:r>
      <w:r w:rsidR="00F52D8D">
        <w:t>Pozitivní vliv na životní prostředí měřen</w:t>
      </w:r>
      <w:r w:rsidR="00F45C0A">
        <w:t>ý</w:t>
      </w:r>
      <w:r w:rsidR="00F52D8D">
        <w:t xml:space="preserve"> indikátorem „</w:t>
      </w:r>
      <w:r w:rsidR="004876BF">
        <w:t>m</w:t>
      </w:r>
      <w:r w:rsidR="00F52D8D" w:rsidRPr="00F814CC">
        <w:t>nožství emisí primárních částic a</w:t>
      </w:r>
      <w:r w:rsidR="00541116">
        <w:t> </w:t>
      </w:r>
      <w:r w:rsidR="00F52D8D" w:rsidRPr="00F814CC">
        <w:t>prekurzorů sekundárních částic v rámci podpořených projektů</w:t>
      </w:r>
      <w:r w:rsidR="00CF53C5">
        <w:t>“</w:t>
      </w:r>
      <w:r w:rsidR="00F52D8D">
        <w:t xml:space="preserve"> </w:t>
      </w:r>
      <w:r w:rsidR="002D1FE6">
        <w:t>snižuje nákup</w:t>
      </w:r>
      <w:r w:rsidR="00F52D8D">
        <w:t xml:space="preserve"> </w:t>
      </w:r>
      <w:proofErr w:type="spellStart"/>
      <w:r w:rsidR="00F52D8D">
        <w:t>elektrobusů</w:t>
      </w:r>
      <w:proofErr w:type="spellEnd"/>
      <w:r w:rsidR="00F52D8D">
        <w:t xml:space="preserve">, které k vytápění používají naftu. </w:t>
      </w:r>
      <w:r w:rsidR="00BE3E87">
        <w:t>(</w:t>
      </w:r>
      <w:r w:rsidR="004876BF">
        <w:t>Viz k</w:t>
      </w:r>
      <w:r w:rsidR="00BE3E87">
        <w:t>apitol</w:t>
      </w:r>
      <w:r w:rsidR="004876BF">
        <w:t>u</w:t>
      </w:r>
      <w:r w:rsidR="00BE3E87">
        <w:t xml:space="preserve"> </w:t>
      </w:r>
      <w:proofErr w:type="gramStart"/>
      <w:r w:rsidR="00BE3E87">
        <w:t>IV.2</w:t>
      </w:r>
      <w:r>
        <w:t xml:space="preserve"> </w:t>
      </w:r>
      <w:r w:rsidR="004876BF">
        <w:t>tohoto</w:t>
      </w:r>
      <w:proofErr w:type="gramEnd"/>
      <w:r w:rsidR="004876BF">
        <w:t xml:space="preserve"> </w:t>
      </w:r>
      <w:r>
        <w:t>kontrolního závěru</w:t>
      </w:r>
      <w:r w:rsidR="00BE3E87">
        <w:t>)</w:t>
      </w:r>
      <w:r w:rsidR="00F52D8D">
        <w:t xml:space="preserve"> </w:t>
      </w:r>
    </w:p>
    <w:p w14:paraId="74F7D388" w14:textId="3B4CF702" w:rsidR="00432489" w:rsidRDefault="00EB6D76" w:rsidP="00EB0209">
      <w:pPr>
        <w:pStyle w:val="KZnormln"/>
        <w:rPr>
          <w:b/>
        </w:rPr>
      </w:pPr>
      <w:r>
        <w:rPr>
          <w:b/>
        </w:rPr>
        <w:t>1</w:t>
      </w:r>
      <w:r w:rsidR="00097264">
        <w:rPr>
          <w:b/>
        </w:rPr>
        <w:t>7</w:t>
      </w:r>
      <w:r w:rsidR="00F52D8D">
        <w:rPr>
          <w:b/>
        </w:rPr>
        <w:t xml:space="preserve">. </w:t>
      </w:r>
      <w:r w:rsidR="00CF53C5" w:rsidRPr="00CF53C5">
        <w:t>Přesto</w:t>
      </w:r>
      <w:r w:rsidR="00CF53C5">
        <w:t>že pro nákup dopravních prostředků existovalo více potenciálních dodavatelů,</w:t>
      </w:r>
      <w:r w:rsidR="00063766">
        <w:t xml:space="preserve"> většinou byla do výběrového říze</w:t>
      </w:r>
      <w:r w:rsidR="00AE1565">
        <w:t>ní předložena jen jedna nabídka</w:t>
      </w:r>
      <w:r w:rsidR="004876BF">
        <w:t>.</w:t>
      </w:r>
      <w:r w:rsidR="00AE1565">
        <w:t xml:space="preserve"> </w:t>
      </w:r>
      <w:r w:rsidR="00BE3E87">
        <w:t>(</w:t>
      </w:r>
      <w:r w:rsidR="004876BF">
        <w:t>Viz k</w:t>
      </w:r>
      <w:r w:rsidR="00BE3E87">
        <w:t>apitol</w:t>
      </w:r>
      <w:r w:rsidR="004876BF">
        <w:t>u</w:t>
      </w:r>
      <w:r w:rsidR="00BE3E87">
        <w:t xml:space="preserve"> </w:t>
      </w:r>
      <w:proofErr w:type="gramStart"/>
      <w:r w:rsidR="00BE3E87">
        <w:t>IV.3</w:t>
      </w:r>
      <w:r>
        <w:t xml:space="preserve"> </w:t>
      </w:r>
      <w:r w:rsidR="004876BF">
        <w:t>tohoto</w:t>
      </w:r>
      <w:proofErr w:type="gramEnd"/>
      <w:r w:rsidR="004876BF">
        <w:t xml:space="preserve"> </w:t>
      </w:r>
      <w:r>
        <w:t>kontrolního závěru</w:t>
      </w:r>
      <w:r w:rsidR="004876BF">
        <w:t>.</w:t>
      </w:r>
      <w:r w:rsidR="00BE3E87">
        <w:t>)</w:t>
      </w:r>
    </w:p>
    <w:p w14:paraId="627AF6A0" w14:textId="32D359FF" w:rsidR="00D73AB5" w:rsidRDefault="00EB6D76" w:rsidP="004876BF">
      <w:pPr>
        <w:pStyle w:val="Zkladn"/>
        <w:keepNext/>
        <w:rPr>
          <w:b/>
        </w:rPr>
      </w:pPr>
      <w:r>
        <w:rPr>
          <w:b/>
        </w:rPr>
        <w:t>1</w:t>
      </w:r>
      <w:r w:rsidR="00097264">
        <w:rPr>
          <w:b/>
        </w:rPr>
        <w:t>8</w:t>
      </w:r>
      <w:r w:rsidR="00D73AB5">
        <w:rPr>
          <w:b/>
        </w:rPr>
        <w:t xml:space="preserve">. </w:t>
      </w:r>
      <w:r w:rsidR="0079513A">
        <w:t>Někteří p</w:t>
      </w:r>
      <w:r w:rsidR="00D73AB5">
        <w:t>říjemci v žádostech o platbu uplatnili nezpůsobilé výdaje</w:t>
      </w:r>
      <w:r>
        <w:t xml:space="preserve"> (</w:t>
      </w:r>
      <w:r w:rsidR="004876BF">
        <w:t xml:space="preserve">viz </w:t>
      </w:r>
      <w:r>
        <w:t>kapitol</w:t>
      </w:r>
      <w:r w:rsidR="004876BF">
        <w:t>u</w:t>
      </w:r>
      <w:r>
        <w:t xml:space="preserve"> </w:t>
      </w:r>
      <w:proofErr w:type="gramStart"/>
      <w:r>
        <w:t xml:space="preserve">IV.4 </w:t>
      </w:r>
      <w:r w:rsidR="004876BF">
        <w:t>tohoto</w:t>
      </w:r>
      <w:proofErr w:type="gramEnd"/>
      <w:r w:rsidR="004876BF">
        <w:t xml:space="preserve"> </w:t>
      </w:r>
      <w:r>
        <w:t>kontrolního závěru)</w:t>
      </w:r>
      <w:r w:rsidR="0033077D">
        <w:t xml:space="preserve">, které </w:t>
      </w:r>
      <w:r w:rsidR="009C7495">
        <w:t xml:space="preserve">Ministerstvo </w:t>
      </w:r>
      <w:r w:rsidR="0033077D">
        <w:t>neměl</w:t>
      </w:r>
      <w:r w:rsidR="009C7495">
        <w:t>o</w:t>
      </w:r>
      <w:r w:rsidR="0033077D">
        <w:t xml:space="preserve"> </w:t>
      </w:r>
      <w:r w:rsidR="009C7495">
        <w:t>proplatit</w:t>
      </w:r>
      <w:r>
        <w:t xml:space="preserve"> (</w:t>
      </w:r>
      <w:r w:rsidR="004876BF">
        <w:t xml:space="preserve">viz </w:t>
      </w:r>
      <w:r>
        <w:t>kapitol</w:t>
      </w:r>
      <w:r w:rsidR="004876BF">
        <w:t>u</w:t>
      </w:r>
      <w:r>
        <w:t xml:space="preserve"> IV.6.6 </w:t>
      </w:r>
      <w:r w:rsidR="004876BF">
        <w:t xml:space="preserve">tohoto </w:t>
      </w:r>
      <w:r>
        <w:t>kontrolního závěru)</w:t>
      </w:r>
      <w:r w:rsidR="00151295">
        <w:t>.</w:t>
      </w:r>
      <w:r w:rsidR="00D73AB5">
        <w:t xml:space="preserve"> NKÚ dále u</w:t>
      </w:r>
      <w:r w:rsidR="00875410">
        <w:t> </w:t>
      </w:r>
      <w:r w:rsidR="00D73AB5">
        <w:t>příjemců zjistil nedostatky v dodržování zákona upravujícího oblast veřejných zakázek</w:t>
      </w:r>
      <w:r w:rsidR="00334A61">
        <w:t xml:space="preserve"> (</w:t>
      </w:r>
      <w:r w:rsidR="004876BF">
        <w:t xml:space="preserve">viz </w:t>
      </w:r>
      <w:r w:rsidR="00334A61">
        <w:t>kapitol</w:t>
      </w:r>
      <w:r w:rsidR="004876BF">
        <w:t>u</w:t>
      </w:r>
      <w:r w:rsidR="00334A61">
        <w:t xml:space="preserve"> </w:t>
      </w:r>
      <w:proofErr w:type="gramStart"/>
      <w:r w:rsidR="00334A61">
        <w:t xml:space="preserve">IV.4 </w:t>
      </w:r>
      <w:r w:rsidR="004876BF">
        <w:t>tohoto</w:t>
      </w:r>
      <w:proofErr w:type="gramEnd"/>
      <w:r w:rsidR="004876BF">
        <w:t xml:space="preserve"> </w:t>
      </w:r>
      <w:r>
        <w:t>kontrolního závěru</w:t>
      </w:r>
      <w:r w:rsidR="004876BF">
        <w:t>.</w:t>
      </w:r>
      <w:r w:rsidR="00334A61">
        <w:t>)</w:t>
      </w:r>
    </w:p>
    <w:p w14:paraId="22543976" w14:textId="225CD04D" w:rsidR="00151295" w:rsidRDefault="00151295" w:rsidP="004876BF">
      <w:pPr>
        <w:pStyle w:val="Zkladn"/>
        <w:keepNext/>
      </w:pPr>
    </w:p>
    <w:p w14:paraId="5DAFE86C" w14:textId="77777777" w:rsidR="0031166D" w:rsidRDefault="0031166D" w:rsidP="004876BF">
      <w:pPr>
        <w:pStyle w:val="Zkladn"/>
        <w:keepNext/>
      </w:pPr>
    </w:p>
    <w:p w14:paraId="142D1579" w14:textId="77777777" w:rsidR="00745240" w:rsidRPr="0031577D" w:rsidRDefault="00745240" w:rsidP="004876BF">
      <w:pPr>
        <w:widowControl w:val="0"/>
        <w:spacing w:after="0" w:line="240" w:lineRule="auto"/>
        <w:ind w:left="567" w:hanging="567"/>
        <w:rPr>
          <w:rFonts w:ascii="Calibri" w:eastAsia="Calibri" w:hAnsi="Calibri" w:cs="Calibri"/>
          <w:sz w:val="20"/>
          <w:szCs w:val="20"/>
        </w:rPr>
      </w:pPr>
      <w:r w:rsidRPr="0031577D">
        <w:rPr>
          <w:rFonts w:ascii="Calibri" w:eastAsia="Calibri" w:hAnsi="Calibri" w:cs="Calibri"/>
          <w:b/>
          <w:sz w:val="20"/>
          <w:szCs w:val="20"/>
        </w:rPr>
        <w:t>Pozn</w:t>
      </w:r>
      <w:r w:rsidRPr="0031577D">
        <w:rPr>
          <w:rFonts w:ascii="Calibri" w:eastAsia="Calibri" w:hAnsi="Calibri" w:cs="Calibri"/>
          <w:sz w:val="20"/>
          <w:szCs w:val="20"/>
        </w:rPr>
        <w:t>.: Právní předpisy uvedené v tomto kontrolním závěru jsou aplikovány ve znění účinném pro kontrolované období.</w:t>
      </w:r>
    </w:p>
    <w:p w14:paraId="553F81B3" w14:textId="63617074" w:rsidR="009E0500" w:rsidRPr="005E477C" w:rsidRDefault="0031166D" w:rsidP="004876BF">
      <w:pPr>
        <w:pStyle w:val="Nadpis1"/>
        <w:numPr>
          <w:ilvl w:val="0"/>
          <w:numId w:val="0"/>
        </w:numPr>
        <w:spacing w:line="240" w:lineRule="auto"/>
      </w:pPr>
      <w:r>
        <w:lastRenderedPageBreak/>
        <w:t>II.</w:t>
      </w:r>
      <w:r w:rsidR="00187006">
        <w:t xml:space="preserve"> </w:t>
      </w:r>
      <w:r w:rsidR="009E0500" w:rsidRPr="0058377D">
        <w:t>Informace o kontrolované oblasti</w:t>
      </w:r>
    </w:p>
    <w:p w14:paraId="005F9B41" w14:textId="3D727E1D" w:rsidR="0006725A" w:rsidRPr="0006725A" w:rsidRDefault="0006725A" w:rsidP="002415AD">
      <w:pPr>
        <w:pStyle w:val="Nadpis4"/>
        <w:spacing w:after="120"/>
        <w:jc w:val="left"/>
      </w:pPr>
      <w:r w:rsidRPr="0006725A">
        <w:t xml:space="preserve">Podpora veřejné městské a regionální dopravy </w:t>
      </w:r>
      <w:r>
        <w:t>z </w:t>
      </w:r>
      <w:r>
        <w:rPr>
          <w:i/>
        </w:rPr>
        <w:t>Integrovaného regionálního operačního programu</w:t>
      </w:r>
      <w:r w:rsidR="009A4D70">
        <w:rPr>
          <w:i/>
        </w:rPr>
        <w:t xml:space="preserve"> </w:t>
      </w:r>
      <w:r w:rsidR="00323B93">
        <w:t>v programovém období 2014–</w:t>
      </w:r>
      <w:r w:rsidR="009A4D70">
        <w:t>2020</w:t>
      </w:r>
    </w:p>
    <w:p w14:paraId="6ED3BD50" w14:textId="5C645E34" w:rsidR="00AA7FFD" w:rsidRDefault="00AA7FFD" w:rsidP="00AA7FFD">
      <w:pPr>
        <w:pStyle w:val="KZnormln"/>
      </w:pPr>
      <w:r w:rsidRPr="00AA7FFD">
        <w:rPr>
          <w:i/>
        </w:rPr>
        <w:t>Integrovaný regionální operační program</w:t>
      </w:r>
      <w:r>
        <w:t xml:space="preserve"> navazuje na sedm r</w:t>
      </w:r>
      <w:r w:rsidRPr="00AA7FFD">
        <w:t>egionálníc</w:t>
      </w:r>
      <w:r w:rsidR="00EF2AFA">
        <w:t>h operačních programů (dále též</w:t>
      </w:r>
      <w:r w:rsidRPr="00AA7FFD">
        <w:t xml:space="preserve"> „ROP“) a částečně na </w:t>
      </w:r>
      <w:r w:rsidRPr="00AA7FFD">
        <w:rPr>
          <w:i/>
        </w:rPr>
        <w:t>Integrovaný operační program</w:t>
      </w:r>
      <w:r w:rsidR="00323B93">
        <w:t xml:space="preserve"> z programového období</w:t>
      </w:r>
      <w:r w:rsidR="0031166D">
        <w:t xml:space="preserve"> </w:t>
      </w:r>
      <w:r w:rsidR="00323B93">
        <w:t>2007–</w:t>
      </w:r>
      <w:r w:rsidRPr="00AA7FFD">
        <w:t>2013.</w:t>
      </w:r>
      <w:r w:rsidR="009A4D70">
        <w:t xml:space="preserve"> </w:t>
      </w:r>
      <w:r w:rsidR="009A4D70" w:rsidRPr="00AA7FFD">
        <w:t xml:space="preserve">V programovém období </w:t>
      </w:r>
      <w:r w:rsidR="00323B93">
        <w:t>2007–</w:t>
      </w:r>
      <w:r w:rsidR="009A4D70">
        <w:t xml:space="preserve">2013 </w:t>
      </w:r>
      <w:r w:rsidR="009A4D70" w:rsidRPr="00AA7FFD">
        <w:t>měly intervence z regionálních operačních programů do oblasti veřejné dopravy podpořit její rozvoj a zejména eliminovat růst individuální automobilové dopravy.</w:t>
      </w:r>
      <w:r w:rsidRPr="00AA7FFD">
        <w:t xml:space="preserve"> </w:t>
      </w:r>
    </w:p>
    <w:p w14:paraId="4C12A8D0" w14:textId="2E4A9D75" w:rsidR="00AA7FFD" w:rsidRDefault="00AA7FFD" w:rsidP="00AA7FFD">
      <w:pPr>
        <w:pStyle w:val="KZnormln"/>
      </w:pPr>
      <w:r w:rsidRPr="00AA7FFD">
        <w:t xml:space="preserve">Veřejná městská a regionální doprava je podporována z prioritní osy 1 IROP v rámci specifického cíle 1.2 </w:t>
      </w:r>
      <w:r w:rsidRPr="00AA7FFD">
        <w:rPr>
          <w:i/>
        </w:rPr>
        <w:t>Zvýšení podílu udržitelných forem dopravy</w:t>
      </w:r>
      <w:r>
        <w:t xml:space="preserve"> (dále </w:t>
      </w:r>
      <w:r w:rsidR="00EF2AFA">
        <w:t>též</w:t>
      </w:r>
      <w:r>
        <w:t xml:space="preserve"> „SC 1.2 IROP“)</w:t>
      </w:r>
      <w:r w:rsidRPr="00AA7FFD">
        <w:t xml:space="preserve">. Na </w:t>
      </w:r>
      <w:r>
        <w:t>tento specifický cíl</w:t>
      </w:r>
      <w:r w:rsidRPr="00AA7FFD">
        <w:t xml:space="preserve"> jsou alokovány zdroje evropských strukturálních</w:t>
      </w:r>
      <w:r w:rsidR="00EF2AFA">
        <w:t xml:space="preserve"> a investičních fondů (dále též</w:t>
      </w:r>
      <w:r w:rsidRPr="00AA7FFD">
        <w:t xml:space="preserve"> „ESIF“), konkrétně z Evropského fondu </w:t>
      </w:r>
      <w:r w:rsidR="00EF2AFA">
        <w:t>pro regionální rozvoj (dále též</w:t>
      </w:r>
      <w:r w:rsidRPr="00AA7FFD">
        <w:t xml:space="preserve"> „ERDF“</w:t>
      </w:r>
      <w:r w:rsidRPr="00AA7FFD">
        <w:rPr>
          <w:rFonts w:ascii="Times New Roman" w:hAnsi="Times New Roman" w:cs="Times New Roman"/>
          <w:color w:val="auto"/>
          <w:szCs w:val="24"/>
          <w:vertAlign w:val="superscript"/>
          <w:lang w:eastAsia="cs-CZ"/>
        </w:rPr>
        <w:footnoteReference w:id="7"/>
      </w:r>
      <w:r w:rsidRPr="00AA7FFD">
        <w:t>) v ce</w:t>
      </w:r>
      <w:r w:rsidR="00323B93">
        <w:t>lkové výši 608,6 mil. € (tj. 13 </w:t>
      </w:r>
      <w:r w:rsidRPr="00AA7FFD">
        <w:t>192,6 mil. Kč). V rámci národního spolufinancování jsou na realizaci opatření SC 1.2 IROP vyčleněny prostředky</w:t>
      </w:r>
      <w:r w:rsidR="00EF2AFA">
        <w:t xml:space="preserve"> státního rozpočtu ČR (dále též</w:t>
      </w:r>
      <w:r w:rsidRPr="00AA7FFD">
        <w:t xml:space="preserve"> „SR“) ve v</w:t>
      </w:r>
      <w:r w:rsidR="00D0144A">
        <w:t>ýši 34,0 </w:t>
      </w:r>
      <w:r w:rsidRPr="00AA7FFD">
        <w:t>mil. € (tj. 737,3 mil. Kč).</w:t>
      </w:r>
      <w:r w:rsidR="009A4D70">
        <w:t xml:space="preserve"> </w:t>
      </w:r>
      <w:r w:rsidR="009A4D70" w:rsidRPr="00AA7FFD">
        <w:t>Významnou složkou IROP jsou v rámci územní dimenze integrované nástroje, které představují 28 % z celkové alokace IROP.</w:t>
      </w:r>
    </w:p>
    <w:p w14:paraId="5D7A2396" w14:textId="0A0F547B" w:rsidR="00AA7FFD" w:rsidRDefault="00AA7FFD" w:rsidP="00AA7FFD">
      <w:pPr>
        <w:pStyle w:val="Zkladn"/>
      </w:pPr>
      <w:r w:rsidRPr="00AA7FFD">
        <w:t xml:space="preserve">Při přípravě operačního programu </w:t>
      </w:r>
      <w:r w:rsidR="00C015BF">
        <w:t xml:space="preserve">MMR analyzovalo </w:t>
      </w:r>
      <w:r w:rsidRPr="00AA7FFD">
        <w:t>situac</w:t>
      </w:r>
      <w:r w:rsidR="00C015BF">
        <w:t>i</w:t>
      </w:r>
      <w:r w:rsidRPr="00AA7FFD">
        <w:t xml:space="preserve"> se závěrem, že </w:t>
      </w:r>
    </w:p>
    <w:p w14:paraId="31B416B9" w14:textId="15FDCB14" w:rsidR="00AA7FFD" w:rsidRDefault="00AA7FFD" w:rsidP="0031166D">
      <w:pPr>
        <w:pStyle w:val="Zkladn"/>
        <w:numPr>
          <w:ilvl w:val="0"/>
          <w:numId w:val="11"/>
        </w:numPr>
        <w:ind w:left="284" w:hanging="284"/>
      </w:pPr>
      <w:r w:rsidRPr="00AA7FFD">
        <w:t xml:space="preserve">integrované dopravní systémy včetně vozového parku jsou </w:t>
      </w:r>
      <w:r>
        <w:t>n</w:t>
      </w:r>
      <w:r w:rsidR="00890850">
        <w:t>edostatečně a </w:t>
      </w:r>
      <w:r w:rsidRPr="00AA7FFD">
        <w:t>nerovnoměrně rozvinuté</w:t>
      </w:r>
      <w:r>
        <w:t>;</w:t>
      </w:r>
      <w:r w:rsidRPr="00AA7FFD">
        <w:t xml:space="preserve"> </w:t>
      </w:r>
    </w:p>
    <w:p w14:paraId="64D890E5" w14:textId="77777777" w:rsidR="00AA7FFD" w:rsidRDefault="00AA7FFD" w:rsidP="0031166D">
      <w:pPr>
        <w:pStyle w:val="Zkladn"/>
        <w:numPr>
          <w:ilvl w:val="0"/>
          <w:numId w:val="11"/>
        </w:numPr>
        <w:ind w:left="284" w:hanging="284"/>
      </w:pPr>
      <w:r>
        <w:t xml:space="preserve">chybí </w:t>
      </w:r>
      <w:r w:rsidRPr="00AA7FFD">
        <w:t>tari</w:t>
      </w:r>
      <w:r>
        <w:t>fní provázanost celého systému;</w:t>
      </w:r>
      <w:r w:rsidRPr="00AA7FFD">
        <w:t xml:space="preserve"> </w:t>
      </w:r>
    </w:p>
    <w:p w14:paraId="633B8B4A" w14:textId="77777777" w:rsidR="00AA7FFD" w:rsidRDefault="00AA7FFD" w:rsidP="0031166D">
      <w:pPr>
        <w:pStyle w:val="Zkladn"/>
        <w:numPr>
          <w:ilvl w:val="0"/>
          <w:numId w:val="11"/>
        </w:numPr>
        <w:ind w:left="284" w:hanging="284"/>
      </w:pPr>
      <w:r>
        <w:t>r</w:t>
      </w:r>
      <w:r w:rsidRPr="00AA7FFD">
        <w:t>ozvoj a provázanost inteligentních dopravních systémů (</w:t>
      </w:r>
      <w:r w:rsidR="00EF2AFA">
        <w:t>dále též</w:t>
      </w:r>
      <w:r>
        <w:t xml:space="preserve"> „</w:t>
      </w:r>
      <w:r w:rsidRPr="00AA7FFD">
        <w:t>ITS</w:t>
      </w:r>
      <w:r>
        <w:t>“</w:t>
      </w:r>
      <w:r w:rsidR="00E3127D">
        <w:rPr>
          <w:rStyle w:val="Znakapoznpodarou"/>
        </w:rPr>
        <w:footnoteReference w:id="8"/>
      </w:r>
      <w:r w:rsidRPr="00AA7FFD">
        <w:t>) v silničním provozu ve městech a aglomeracích</w:t>
      </w:r>
      <w:r>
        <w:t xml:space="preserve"> zaostává;</w:t>
      </w:r>
    </w:p>
    <w:p w14:paraId="1604D06F" w14:textId="77777777" w:rsidR="00AA7FFD" w:rsidRDefault="00AA7FFD" w:rsidP="0031166D">
      <w:pPr>
        <w:pStyle w:val="Zkladn"/>
        <w:numPr>
          <w:ilvl w:val="0"/>
          <w:numId w:val="11"/>
        </w:numPr>
        <w:ind w:left="284" w:hanging="284"/>
      </w:pPr>
      <w:r>
        <w:t>zaostává</w:t>
      </w:r>
      <w:r w:rsidRPr="00AA7FFD">
        <w:t xml:space="preserve"> využití alternativních energií v dopravě včetně možného zapo</w:t>
      </w:r>
      <w:r w:rsidR="00A23FDF">
        <w:t xml:space="preserve">jení dopravy do sítí </w:t>
      </w:r>
      <w:proofErr w:type="spellStart"/>
      <w:r w:rsidR="00A23FDF">
        <w:t>S</w:t>
      </w:r>
      <w:r>
        <w:t>mart</w:t>
      </w:r>
      <w:r w:rsidR="00A23FDF">
        <w:t>G</w:t>
      </w:r>
      <w:r>
        <w:t>rids</w:t>
      </w:r>
      <w:proofErr w:type="spellEnd"/>
      <w:r>
        <w:t>;</w:t>
      </w:r>
    </w:p>
    <w:p w14:paraId="51BCDEE8" w14:textId="77777777" w:rsidR="00AA7FFD" w:rsidRDefault="00AA7FFD" w:rsidP="0031166D">
      <w:pPr>
        <w:pStyle w:val="Zkladn"/>
        <w:numPr>
          <w:ilvl w:val="0"/>
          <w:numId w:val="11"/>
        </w:numPr>
        <w:ind w:left="284" w:hanging="284"/>
      </w:pPr>
      <w:r>
        <w:t>využití</w:t>
      </w:r>
      <w:r w:rsidRPr="00AA7FFD">
        <w:t xml:space="preserve"> potenciál</w:t>
      </w:r>
      <w:r>
        <w:t>u</w:t>
      </w:r>
      <w:r w:rsidRPr="00AA7FFD">
        <w:t xml:space="preserve"> nemotorové (cy</w:t>
      </w:r>
      <w:r>
        <w:t>klistické) dopravy v rámci měst</w:t>
      </w:r>
      <w:r w:rsidR="007E2A2F">
        <w:t xml:space="preserve"> je nízké</w:t>
      </w:r>
      <w:r>
        <w:t>;</w:t>
      </w:r>
    </w:p>
    <w:p w14:paraId="55C0470B" w14:textId="7A2485EA" w:rsidR="00E3127D" w:rsidRDefault="00E3127D" w:rsidP="0031166D">
      <w:pPr>
        <w:pStyle w:val="KZnormln"/>
        <w:numPr>
          <w:ilvl w:val="0"/>
          <w:numId w:val="11"/>
        </w:numPr>
        <w:ind w:left="284" w:hanging="284"/>
      </w:pPr>
      <w:r>
        <w:t>systémy</w:t>
      </w:r>
      <w:r w:rsidR="00AA7FFD" w:rsidRPr="00AA7FFD">
        <w:t xml:space="preserve"> pro dopravu v klidu (P+R, K+R, B+R)</w:t>
      </w:r>
      <w:r w:rsidR="007E2A2F">
        <w:t xml:space="preserve"> jsou vybudov</w:t>
      </w:r>
      <w:r w:rsidR="001B71B1">
        <w:t>ány</w:t>
      </w:r>
      <w:r w:rsidR="001B71B1" w:rsidRPr="001B71B1">
        <w:t xml:space="preserve"> </w:t>
      </w:r>
      <w:r w:rsidR="001B71B1">
        <w:t>nedostatečně</w:t>
      </w:r>
      <w:r w:rsidR="00AA7FFD" w:rsidRPr="00AA7FFD">
        <w:t>.</w:t>
      </w:r>
    </w:p>
    <w:p w14:paraId="4C7245E4" w14:textId="77777777" w:rsidR="00AA7FFD" w:rsidRDefault="00AA7FFD" w:rsidP="009178D5">
      <w:pPr>
        <w:pStyle w:val="KZnormln"/>
      </w:pPr>
      <w:r w:rsidRPr="00AA7FFD">
        <w:t xml:space="preserve">Na základě provedené analýzy byly v rámci programového dokumentu </w:t>
      </w:r>
      <w:r w:rsidR="007B362F">
        <w:t>vymezeny</w:t>
      </w:r>
      <w:r w:rsidR="007B362F" w:rsidRPr="00AA7FFD">
        <w:t xml:space="preserve"> </w:t>
      </w:r>
      <w:r w:rsidRPr="00AA7FFD">
        <w:t xml:space="preserve">k </w:t>
      </w:r>
      <w:r w:rsidR="00E3127D">
        <w:t xml:space="preserve">podpoře ze SC 1.2 IROP aktivity </w:t>
      </w:r>
      <w:r w:rsidR="0034781C">
        <w:t>„</w:t>
      </w:r>
      <w:proofErr w:type="spellStart"/>
      <w:r w:rsidR="0034781C">
        <w:t>Nízkoemisní</w:t>
      </w:r>
      <w:proofErr w:type="spellEnd"/>
      <w:r w:rsidR="0034781C">
        <w:t xml:space="preserve"> a bezemisní vozid</w:t>
      </w:r>
      <w:r w:rsidR="009A01DE">
        <w:t>l</w:t>
      </w:r>
      <w:r w:rsidR="0034781C">
        <w:t>a“</w:t>
      </w:r>
      <w:r w:rsidR="009A01DE">
        <w:rPr>
          <w:rStyle w:val="Znakapoznpodarou"/>
        </w:rPr>
        <w:footnoteReference w:id="9"/>
      </w:r>
      <w:r w:rsidR="009A01DE">
        <w:t xml:space="preserve">, </w:t>
      </w:r>
      <w:r w:rsidR="0034781C">
        <w:t>„Telematika“</w:t>
      </w:r>
      <w:r w:rsidR="009A01DE">
        <w:rPr>
          <w:rStyle w:val="Znakapoznpodarou"/>
        </w:rPr>
        <w:footnoteReference w:id="10"/>
      </w:r>
      <w:r w:rsidR="009A01DE">
        <w:t>,</w:t>
      </w:r>
      <w:r w:rsidR="00E3127D">
        <w:t xml:space="preserve"> </w:t>
      </w:r>
      <w:r w:rsidR="0034781C">
        <w:t>„Terminály“</w:t>
      </w:r>
      <w:r w:rsidR="009A01DE">
        <w:rPr>
          <w:rStyle w:val="Znakapoznpodarou"/>
        </w:rPr>
        <w:footnoteReference w:id="11"/>
      </w:r>
      <w:r w:rsidR="009A01DE">
        <w:t xml:space="preserve">, </w:t>
      </w:r>
      <w:r w:rsidR="0034781C">
        <w:t>„B</w:t>
      </w:r>
      <w:r w:rsidR="00E3127D">
        <w:t>ezpečnost v</w:t>
      </w:r>
      <w:r w:rsidR="0034781C">
        <w:t> </w:t>
      </w:r>
      <w:r w:rsidR="00E3127D">
        <w:t>dopravě</w:t>
      </w:r>
      <w:r w:rsidR="0034781C">
        <w:t>“</w:t>
      </w:r>
      <w:r w:rsidR="00E3127D">
        <w:t xml:space="preserve"> a </w:t>
      </w:r>
      <w:r w:rsidR="0034781C">
        <w:t>„</w:t>
      </w:r>
      <w:proofErr w:type="spellStart"/>
      <w:r w:rsidR="0034781C">
        <w:t>Cyklodoprava</w:t>
      </w:r>
      <w:proofErr w:type="spellEnd"/>
      <w:r w:rsidR="0034781C">
        <w:t>“</w:t>
      </w:r>
      <w:r w:rsidR="00E3127D">
        <w:t>.</w:t>
      </w:r>
    </w:p>
    <w:p w14:paraId="2607FB0F" w14:textId="501A32AA" w:rsidR="00AE5F52" w:rsidRDefault="009178D5" w:rsidP="00AA7FFD">
      <w:pPr>
        <w:pStyle w:val="KZnormln"/>
      </w:pPr>
      <w:r>
        <w:t xml:space="preserve">V rámci </w:t>
      </w:r>
      <w:r w:rsidRPr="00971039">
        <w:t>minulé</w:t>
      </w:r>
      <w:r>
        <w:t>ho</w:t>
      </w:r>
      <w:r w:rsidRPr="00971039">
        <w:t xml:space="preserve"> programové</w:t>
      </w:r>
      <w:r>
        <w:t>ho</w:t>
      </w:r>
      <w:r w:rsidRPr="00971039">
        <w:t xml:space="preserve"> období</w:t>
      </w:r>
      <w:r w:rsidR="0082313E">
        <w:t xml:space="preserve"> 2007–</w:t>
      </w:r>
      <w:r>
        <w:t>2013 měla podpora podobný</w:t>
      </w:r>
      <w:r w:rsidR="002946C1">
        <w:t xml:space="preserve"> charakter</w:t>
      </w:r>
      <w:r w:rsidR="00971039" w:rsidRPr="00971039">
        <w:t>.</w:t>
      </w:r>
      <w:r w:rsidR="00E36D3A">
        <w:t xml:space="preserve"> </w:t>
      </w:r>
      <w:r w:rsidR="00971039" w:rsidRPr="00971039">
        <w:t>Tato skutečnost byla důvodem pro zaměření kontroly NKÚ na takové aktivity SC 1.2 IROP, které navazovaly</w:t>
      </w:r>
      <w:r w:rsidR="00E36D3A">
        <w:t xml:space="preserve"> na</w:t>
      </w:r>
      <w:r w:rsidR="00971039" w:rsidRPr="00971039">
        <w:t xml:space="preserve"> opatření financovaná z jednotlivých ROP. Jedná se o aktivity </w:t>
      </w:r>
      <w:r w:rsidR="0034781C">
        <w:t>„</w:t>
      </w:r>
      <w:proofErr w:type="spellStart"/>
      <w:r w:rsidR="0034781C" w:rsidRPr="00971039">
        <w:t>N</w:t>
      </w:r>
      <w:r w:rsidR="0082313E">
        <w:t>ízkoemisní</w:t>
      </w:r>
      <w:proofErr w:type="spellEnd"/>
      <w:r w:rsidR="0082313E">
        <w:t xml:space="preserve"> </w:t>
      </w:r>
      <w:r w:rsidR="0082313E">
        <w:lastRenderedPageBreak/>
        <w:t>a </w:t>
      </w:r>
      <w:r w:rsidR="0034781C">
        <w:t xml:space="preserve">bezemisní vozidla“, </w:t>
      </w:r>
      <w:r w:rsidR="00971039" w:rsidRPr="00971039">
        <w:t xml:space="preserve">„Telematika“ a </w:t>
      </w:r>
      <w:r w:rsidR="0034781C" w:rsidRPr="00971039">
        <w:t>„Terminály“</w:t>
      </w:r>
      <w:r w:rsidR="00222271">
        <w:t xml:space="preserve"> (dále též „vybrané aktivity“)</w:t>
      </w:r>
      <w:r w:rsidR="0034781C">
        <w:t xml:space="preserve">. </w:t>
      </w:r>
      <w:r w:rsidR="00E36D3A">
        <w:t xml:space="preserve">V tabulce č. </w:t>
      </w:r>
      <w:r w:rsidR="00D84BC4" w:rsidRPr="00140F07">
        <w:t>1</w:t>
      </w:r>
      <w:r w:rsidR="00E36D3A">
        <w:t xml:space="preserve"> je uvedena souhrnná informace o počtu projektů a finančním příspěvku ze zdrojů EU na </w:t>
      </w:r>
      <w:r w:rsidR="00AE5F52">
        <w:t xml:space="preserve">realizaci projektů na vybrané tři aktivity v obou programových obdobích. Celkově již bylo podpořeno 407 projektů, </w:t>
      </w:r>
      <w:r w:rsidR="00F15FDA">
        <w:t>na jejichž realizaci se podílí ESIF částkou přibližně 14,3</w:t>
      </w:r>
      <w:r w:rsidR="00AE5F52">
        <w:t xml:space="preserve"> mld. Kč. </w:t>
      </w:r>
      <w:r w:rsidR="00F15FDA">
        <w:t>Z této částky obdrželi příjemci na realizaci projektů ROP podporu ve výši 6,6 mld. Kč a na realizaci projektů IROP podporu ve výši 4,9 mld. Kč.</w:t>
      </w:r>
    </w:p>
    <w:p w14:paraId="1B372560" w14:textId="383FA60A" w:rsidR="00AE5F52" w:rsidRDefault="00AE5F52" w:rsidP="00FE1BF7">
      <w:pPr>
        <w:pStyle w:val="Nadpistabulky"/>
        <w:tabs>
          <w:tab w:val="clear" w:pos="1418"/>
          <w:tab w:val="clear" w:pos="9213"/>
          <w:tab w:val="right" w:pos="9355"/>
        </w:tabs>
        <w:ind w:left="1361" w:hanging="1361"/>
      </w:pPr>
      <w:r>
        <w:t xml:space="preserve">Tabulka č. </w:t>
      </w:r>
      <w:r w:rsidR="00D205AA" w:rsidRPr="00140F07">
        <w:t>1</w:t>
      </w:r>
      <w:r>
        <w:t>:</w:t>
      </w:r>
      <w:r>
        <w:tab/>
        <w:t>Počet projektů s příspěvkem EU na aktivity týkající se terminálů, telematiky a</w:t>
      </w:r>
      <w:r w:rsidR="00FE1BF7">
        <w:t> </w:t>
      </w:r>
      <w:r w:rsidR="00026379">
        <w:t xml:space="preserve">pořízení </w:t>
      </w:r>
      <w:proofErr w:type="spellStart"/>
      <w:r>
        <w:t>nízkoemisních</w:t>
      </w:r>
      <w:proofErr w:type="spellEnd"/>
      <w:r>
        <w:t xml:space="preserve"> a </w:t>
      </w:r>
      <w:r w:rsidRPr="00AE5F52">
        <w:t>bezemisních</w:t>
      </w:r>
      <w:r>
        <w:t xml:space="preserve"> vozidel</w:t>
      </w:r>
      <w:r>
        <w:tab/>
        <w:t>(v mil. Kč)</w:t>
      </w: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6"/>
        <w:gridCol w:w="1928"/>
        <w:gridCol w:w="2126"/>
      </w:tblGrid>
      <w:tr w:rsidR="00AE5F52" w:rsidRPr="00AE5F52" w14:paraId="24040F29" w14:textId="77777777" w:rsidTr="001B71B1">
        <w:trPr>
          <w:trHeight w:val="283"/>
        </w:trPr>
        <w:tc>
          <w:tcPr>
            <w:tcW w:w="5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F1FF"/>
            <w:vAlign w:val="center"/>
            <w:hideMark/>
          </w:tcPr>
          <w:p w14:paraId="2DA18CD2" w14:textId="77777777" w:rsidR="00AE5F52" w:rsidRPr="00AE5F52" w:rsidRDefault="00AE5F52" w:rsidP="00AE5F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AE5F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Zdroj podpory v programovém období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29A42FEE" w14:textId="77777777" w:rsidR="00AE5F52" w:rsidRPr="00AE5F52" w:rsidRDefault="00AE5F52" w:rsidP="00F15F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AE5F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Počet projektů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1ACF768F" w14:textId="77777777" w:rsidR="00AE5F52" w:rsidRPr="00AE5F52" w:rsidRDefault="007E2A2F" w:rsidP="00F15F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D</w:t>
            </w:r>
            <w:r w:rsidR="00AE5F52" w:rsidRPr="00AE5F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otace ze zdrojů EU</w:t>
            </w:r>
          </w:p>
        </w:tc>
      </w:tr>
      <w:tr w:rsidR="00AE5F52" w:rsidRPr="00AE5F52" w14:paraId="6F6D5D2C" w14:textId="77777777" w:rsidTr="001B71B1">
        <w:trPr>
          <w:trHeight w:val="283"/>
        </w:trPr>
        <w:tc>
          <w:tcPr>
            <w:tcW w:w="5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66F1C" w14:textId="1C9CD9B0" w:rsidR="00AE5F52" w:rsidRPr="00AE5F52" w:rsidRDefault="00AE5F52" w:rsidP="001B71B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E5F5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Regionální operační programy 2007</w:t>
            </w:r>
            <w:r w:rsidR="001B71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–</w:t>
            </w:r>
            <w:r w:rsidRPr="00AE5F5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2013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16F7F" w14:textId="77777777" w:rsidR="00AE5F52" w:rsidRPr="00AE5F52" w:rsidRDefault="00AE5F52" w:rsidP="00AE5F5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E5F5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236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F2B50" w14:textId="77777777" w:rsidR="00AE5F52" w:rsidRPr="00AE5F52" w:rsidRDefault="00AE5F52" w:rsidP="00FE1BF7">
            <w:pPr>
              <w:spacing w:after="0" w:line="240" w:lineRule="auto"/>
              <w:ind w:right="63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E5F5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6 555,85</w:t>
            </w:r>
          </w:p>
        </w:tc>
      </w:tr>
      <w:tr w:rsidR="00F15FDA" w:rsidRPr="00AE5F52" w14:paraId="468794AE" w14:textId="77777777" w:rsidTr="001B71B1">
        <w:trPr>
          <w:trHeight w:val="283"/>
        </w:trPr>
        <w:tc>
          <w:tcPr>
            <w:tcW w:w="5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C5B45" w14:textId="4857FA8C" w:rsidR="00F15FDA" w:rsidRPr="00AE5F52" w:rsidRDefault="00F15FDA" w:rsidP="001B71B1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E5F5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Integrovaný regionální operační program 2014</w:t>
            </w:r>
            <w:r w:rsidR="001B71B1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–</w:t>
            </w:r>
            <w:r w:rsidRPr="00AE5F5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2020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35DD" w14:textId="77777777" w:rsidR="00F15FDA" w:rsidRPr="00AE5F52" w:rsidRDefault="00F15FDA" w:rsidP="00F15F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AE5F52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  <w:t>171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D4A48" w14:textId="77777777" w:rsidR="00F15FDA" w:rsidRPr="00F15FDA" w:rsidRDefault="00F15FDA" w:rsidP="00FE1BF7">
            <w:pPr>
              <w:spacing w:after="0" w:line="240" w:lineRule="auto"/>
              <w:ind w:right="638"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cs-CZ"/>
              </w:rPr>
            </w:pPr>
            <w:r w:rsidRPr="00F15FDA">
              <w:rPr>
                <w:sz w:val="22"/>
                <w:szCs w:val="22"/>
              </w:rPr>
              <w:t>7 739,91</w:t>
            </w:r>
          </w:p>
        </w:tc>
      </w:tr>
      <w:tr w:rsidR="00F15FDA" w:rsidRPr="00AE5F52" w14:paraId="76673134" w14:textId="77777777" w:rsidTr="001B71B1">
        <w:trPr>
          <w:trHeight w:val="283"/>
        </w:trPr>
        <w:tc>
          <w:tcPr>
            <w:tcW w:w="5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C6C9"/>
            <w:noWrap/>
            <w:vAlign w:val="center"/>
            <w:hideMark/>
          </w:tcPr>
          <w:p w14:paraId="5A5FBFF6" w14:textId="77777777" w:rsidR="00F15FDA" w:rsidRPr="00AE5F52" w:rsidRDefault="00F15FDA" w:rsidP="00F15FDA">
            <w:pPr>
              <w:spacing w:after="0" w:line="240" w:lineRule="auto"/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Celkem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noWrap/>
            <w:vAlign w:val="center"/>
            <w:hideMark/>
          </w:tcPr>
          <w:p w14:paraId="265417A9" w14:textId="77777777" w:rsidR="00F15FDA" w:rsidRPr="00AE5F52" w:rsidRDefault="00F15FDA" w:rsidP="00F15FD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AE5F52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  <w:t>407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noWrap/>
            <w:hideMark/>
          </w:tcPr>
          <w:p w14:paraId="031C7954" w14:textId="77777777" w:rsidR="00F15FDA" w:rsidRPr="00F15FDA" w:rsidRDefault="00F15FDA" w:rsidP="00FE1BF7">
            <w:pPr>
              <w:spacing w:after="0" w:line="240" w:lineRule="auto"/>
              <w:ind w:right="638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cs-CZ"/>
              </w:rPr>
            </w:pPr>
            <w:r w:rsidRPr="00F15FDA">
              <w:rPr>
                <w:b/>
                <w:sz w:val="22"/>
                <w:szCs w:val="22"/>
              </w:rPr>
              <w:t>14 295,77</w:t>
            </w:r>
          </w:p>
        </w:tc>
      </w:tr>
    </w:tbl>
    <w:p w14:paraId="6FD77FBE" w14:textId="72339CE1" w:rsidR="00AE5F52" w:rsidRPr="002566FC" w:rsidRDefault="002566FC" w:rsidP="00FE1BF7">
      <w:pPr>
        <w:pStyle w:val="KZnormln"/>
        <w:keepNext/>
        <w:spacing w:before="40" w:after="0"/>
        <w:ind w:left="567" w:hanging="567"/>
        <w:rPr>
          <w:sz w:val="20"/>
          <w:szCs w:val="20"/>
        </w:rPr>
      </w:pPr>
      <w:r w:rsidRPr="002566FC">
        <w:rPr>
          <w:b/>
          <w:sz w:val="20"/>
          <w:szCs w:val="20"/>
        </w:rPr>
        <w:t>Zdroj:</w:t>
      </w:r>
      <w:r w:rsidRPr="002566FC">
        <w:rPr>
          <w:sz w:val="20"/>
          <w:szCs w:val="20"/>
        </w:rPr>
        <w:t xml:space="preserve"> </w:t>
      </w:r>
      <w:r w:rsidRPr="002566FC">
        <w:rPr>
          <w:sz w:val="20"/>
          <w:szCs w:val="20"/>
        </w:rPr>
        <w:tab/>
        <w:t>Data za ROP jsou převzata ze systému </w:t>
      </w:r>
      <w:r w:rsidRPr="007A64F6">
        <w:rPr>
          <w:i/>
          <w:sz w:val="20"/>
          <w:szCs w:val="20"/>
        </w:rPr>
        <w:t>MSC2007</w:t>
      </w:r>
      <w:r w:rsidRPr="002566FC">
        <w:rPr>
          <w:sz w:val="20"/>
          <w:szCs w:val="20"/>
        </w:rPr>
        <w:t xml:space="preserve"> a validována </w:t>
      </w:r>
      <w:r w:rsidR="001B71B1">
        <w:rPr>
          <w:sz w:val="20"/>
          <w:szCs w:val="20"/>
        </w:rPr>
        <w:t>r</w:t>
      </w:r>
      <w:r w:rsidRPr="002566FC">
        <w:rPr>
          <w:sz w:val="20"/>
          <w:szCs w:val="20"/>
        </w:rPr>
        <w:t>egionálními radami jednotlivých regionů soudržnosti</w:t>
      </w:r>
      <w:r w:rsidR="007E2A2F">
        <w:rPr>
          <w:sz w:val="20"/>
          <w:szCs w:val="20"/>
        </w:rPr>
        <w:t xml:space="preserve"> k 30. 11. 2018</w:t>
      </w:r>
      <w:r w:rsidRPr="002566FC">
        <w:rPr>
          <w:sz w:val="20"/>
          <w:szCs w:val="20"/>
        </w:rPr>
        <w:t>. Data za IROP j</w:t>
      </w:r>
      <w:r w:rsidR="00C0671F">
        <w:rPr>
          <w:sz w:val="20"/>
          <w:szCs w:val="20"/>
        </w:rPr>
        <w:t xml:space="preserve">sou ze systému </w:t>
      </w:r>
      <w:r w:rsidR="00C0671F" w:rsidRPr="007A64F6">
        <w:rPr>
          <w:i/>
          <w:sz w:val="20"/>
          <w:szCs w:val="20"/>
        </w:rPr>
        <w:t>MS2014+</w:t>
      </w:r>
      <w:r w:rsidR="00C0671F">
        <w:rPr>
          <w:sz w:val="20"/>
          <w:szCs w:val="20"/>
        </w:rPr>
        <w:t xml:space="preserve"> ke dni 30</w:t>
      </w:r>
      <w:r w:rsidRPr="002566FC">
        <w:rPr>
          <w:sz w:val="20"/>
          <w:szCs w:val="20"/>
        </w:rPr>
        <w:t>. 5. 2019.</w:t>
      </w:r>
    </w:p>
    <w:p w14:paraId="475D997F" w14:textId="77777777" w:rsidR="00AE5F52" w:rsidRDefault="006A29FD" w:rsidP="00FE1BF7">
      <w:pPr>
        <w:pStyle w:val="Zkladn"/>
        <w:spacing w:before="120" w:after="120"/>
      </w:pPr>
      <w:r>
        <w:t>V</w:t>
      </w:r>
      <w:r w:rsidRPr="00857005">
        <w:t> </w:t>
      </w:r>
      <w:hyperlink r:id="rId13" w:history="1">
        <w:r w:rsidRPr="00857005">
          <w:rPr>
            <w:rStyle w:val="Hypertextovodkaz"/>
            <w:color w:val="auto"/>
            <w:u w:val="none"/>
          </w:rPr>
          <w:t>příloze č. 1</w:t>
        </w:r>
      </w:hyperlink>
      <w:r>
        <w:t xml:space="preserve"> jsou zpracovány podrobné </w:t>
      </w:r>
      <w:r w:rsidR="00AE5F52">
        <w:t>informace o všech projektech</w:t>
      </w:r>
      <w:r w:rsidR="002F3FD3">
        <w:t xml:space="preserve"> na vybrané aktivity</w:t>
      </w:r>
      <w:r w:rsidR="00AE5F52">
        <w:t xml:space="preserve"> </w:t>
      </w:r>
      <w:r w:rsidR="007E2A2F">
        <w:t>realizovaných v obou programových obdobích</w:t>
      </w:r>
      <w:r>
        <w:t xml:space="preserve">, tj. </w:t>
      </w:r>
      <w:r w:rsidR="00361CBC">
        <w:t xml:space="preserve">o </w:t>
      </w:r>
      <w:r>
        <w:t>projekt</w:t>
      </w:r>
      <w:r w:rsidR="00361CBC">
        <w:t>ech</w:t>
      </w:r>
      <w:r>
        <w:t xml:space="preserve"> </w:t>
      </w:r>
      <w:r w:rsidR="00361CBC">
        <w:t xml:space="preserve">realizovaných </w:t>
      </w:r>
      <w:r>
        <w:t xml:space="preserve">v rámci sedmi regionálních operačních programů a </w:t>
      </w:r>
      <w:r w:rsidR="00361CBC">
        <w:t xml:space="preserve">o </w:t>
      </w:r>
      <w:r>
        <w:t>projekt</w:t>
      </w:r>
      <w:r w:rsidR="00361CBC">
        <w:t>ech</w:t>
      </w:r>
      <w:r>
        <w:t xml:space="preserve"> </w:t>
      </w:r>
      <w:r w:rsidR="00361CBC">
        <w:t xml:space="preserve">realizovaných </w:t>
      </w:r>
      <w:r>
        <w:t xml:space="preserve">v rámci SC 1.2 IROP. </w:t>
      </w:r>
    </w:p>
    <w:p w14:paraId="786E9FB5" w14:textId="77777777" w:rsidR="0006725A" w:rsidRPr="004D3F4D" w:rsidRDefault="0006725A" w:rsidP="001B71B1">
      <w:pPr>
        <w:pStyle w:val="Nadpis4"/>
        <w:spacing w:after="120"/>
        <w:jc w:val="left"/>
      </w:pPr>
      <w:r w:rsidRPr="004D3F4D">
        <w:t xml:space="preserve">Finanční příspěvek </w:t>
      </w:r>
      <w:r w:rsidR="004D3F4D" w:rsidRPr="004D3F4D">
        <w:t>z </w:t>
      </w:r>
      <w:r w:rsidR="004D3F4D" w:rsidRPr="004D3F4D">
        <w:rPr>
          <w:i/>
        </w:rPr>
        <w:t>Integrovaného regionálního operačního programu</w:t>
      </w:r>
      <w:r w:rsidR="004D3F4D" w:rsidRPr="004D3F4D">
        <w:t xml:space="preserve"> </w:t>
      </w:r>
      <w:r w:rsidRPr="004D3F4D">
        <w:t xml:space="preserve">na realizaci </w:t>
      </w:r>
      <w:r w:rsidR="008452E1">
        <w:t>vybraných aktivit</w:t>
      </w:r>
    </w:p>
    <w:p w14:paraId="46F1E08F" w14:textId="6FA47A06" w:rsidR="00064644" w:rsidRPr="00140F07" w:rsidRDefault="002566FC" w:rsidP="00FE1BF7">
      <w:pPr>
        <w:pStyle w:val="KZnormln"/>
      </w:pPr>
      <w:r>
        <w:t>Na</w:t>
      </w:r>
      <w:r w:rsidR="0053032A">
        <w:t xml:space="preserve"> realizaci projektů v rámci</w:t>
      </w:r>
      <w:r>
        <w:t xml:space="preserve"> SC 1.2 IROP bylo</w:t>
      </w:r>
      <w:r w:rsidR="00ED384C">
        <w:t xml:space="preserve"> ke konci května </w:t>
      </w:r>
      <w:r w:rsidR="00D4778E">
        <w:t xml:space="preserve">2019 </w:t>
      </w:r>
      <w:r w:rsidR="00ED384C">
        <w:t>poskytnuto téměř 6</w:t>
      </w:r>
      <w:r w:rsidR="002415AD">
        <w:t> </w:t>
      </w:r>
      <w:r w:rsidR="00ED384C">
        <w:t>mld.</w:t>
      </w:r>
      <w:r w:rsidR="002415AD">
        <w:t> </w:t>
      </w:r>
      <w:r w:rsidR="00ED384C">
        <w:t xml:space="preserve">Kč ze zdrojů EU, </w:t>
      </w:r>
      <w:r w:rsidR="0053032A">
        <w:t xml:space="preserve">z toho na vybrané aktivity </w:t>
      </w:r>
      <w:r w:rsidR="00064644">
        <w:t>4,9 mld. Kč</w:t>
      </w:r>
      <w:r w:rsidR="0053032A">
        <w:t xml:space="preserve">, tj. </w:t>
      </w:r>
      <w:r w:rsidR="00064644">
        <w:t>81,3 % podpory v rámci SC 1.2 IROP poskytnuté ze zdrojů EU příjemcům (viz graf č</w:t>
      </w:r>
      <w:r w:rsidR="00064644" w:rsidRPr="00140F07">
        <w:t xml:space="preserve">. </w:t>
      </w:r>
      <w:r w:rsidR="00D84BC4" w:rsidRPr="00140F07">
        <w:t>1</w:t>
      </w:r>
      <w:r w:rsidR="00064644" w:rsidRPr="00140F07">
        <w:t>).</w:t>
      </w:r>
      <w:r w:rsidR="00BF3946" w:rsidRPr="00140F07">
        <w:t xml:space="preserve"> Státní rozpočet se podílel na spolufinancování </w:t>
      </w:r>
      <w:r w:rsidR="0023549D" w:rsidRPr="00140F07">
        <w:t xml:space="preserve">všech </w:t>
      </w:r>
      <w:r w:rsidR="00BF3946" w:rsidRPr="00140F07">
        <w:t>projektů SC 1.2 IROP částkou 105 mil. Kč</w:t>
      </w:r>
      <w:r w:rsidR="0023549D" w:rsidRPr="00140F07">
        <w:t>, z toho na vybrané aktivity bylo určeno 39 mil. Kč</w:t>
      </w:r>
      <w:r w:rsidR="00BF3946" w:rsidRPr="00140F07">
        <w:t>.</w:t>
      </w:r>
    </w:p>
    <w:p w14:paraId="4840A6E4" w14:textId="77777777" w:rsidR="007E0C4A" w:rsidRDefault="00064644" w:rsidP="000253C0">
      <w:pPr>
        <w:pStyle w:val="Nadpistabulky"/>
        <w:tabs>
          <w:tab w:val="clear" w:pos="1418"/>
        </w:tabs>
        <w:ind w:left="993" w:hanging="993"/>
      </w:pPr>
      <w:r w:rsidRPr="00140F07">
        <w:t xml:space="preserve">Graf č. </w:t>
      </w:r>
      <w:r w:rsidR="00D84BC4" w:rsidRPr="00140F07">
        <w:t>1</w:t>
      </w:r>
      <w:r w:rsidRPr="00140F07">
        <w:t>:</w:t>
      </w:r>
      <w:r>
        <w:tab/>
      </w:r>
      <w:r w:rsidRPr="00064644">
        <w:t xml:space="preserve">Financování </w:t>
      </w:r>
      <w:r>
        <w:t>vybraných</w:t>
      </w:r>
      <w:r w:rsidRPr="00064644">
        <w:t xml:space="preserve"> aktivit v</w:t>
      </w:r>
      <w:r w:rsidR="00D4778E">
        <w:t xml:space="preserve"> rámci SC 1.2 IROP ze zdrojů EU</w:t>
      </w:r>
    </w:p>
    <w:p w14:paraId="42E175CA" w14:textId="2EEC850A" w:rsidR="00064644" w:rsidRPr="00D4778E" w:rsidRDefault="008D35D5" w:rsidP="00856CD6">
      <w:pPr>
        <w:pStyle w:val="KZnormln"/>
        <w:spacing w:after="0"/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A544DAB" wp14:editId="7FBCD3FB">
            <wp:extent cx="5632450" cy="3597215"/>
            <wp:effectExtent l="0" t="0" r="6350" b="3810"/>
            <wp:docPr id="21" name="Graf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D4778E">
        <w:rPr>
          <w:b/>
          <w:sz w:val="20"/>
          <w:szCs w:val="20"/>
        </w:rPr>
        <w:t xml:space="preserve"> </w:t>
      </w:r>
      <w:r w:rsidR="00D4778E" w:rsidRPr="00D4778E">
        <w:rPr>
          <w:b/>
          <w:sz w:val="20"/>
          <w:szCs w:val="20"/>
        </w:rPr>
        <w:t>Zdroj:</w:t>
      </w:r>
      <w:r w:rsidR="00D4778E" w:rsidRPr="00D4778E">
        <w:rPr>
          <w:sz w:val="20"/>
          <w:szCs w:val="20"/>
        </w:rPr>
        <w:t xml:space="preserve"> </w:t>
      </w:r>
      <w:r w:rsidR="00C0671F">
        <w:rPr>
          <w:sz w:val="20"/>
          <w:szCs w:val="20"/>
        </w:rPr>
        <w:t xml:space="preserve">data ze systému </w:t>
      </w:r>
      <w:r w:rsidR="00C0671F" w:rsidRPr="00963C4E">
        <w:rPr>
          <w:i/>
          <w:sz w:val="20"/>
          <w:szCs w:val="20"/>
        </w:rPr>
        <w:t>MS2014+</w:t>
      </w:r>
      <w:r w:rsidR="00C0671F">
        <w:rPr>
          <w:sz w:val="20"/>
          <w:szCs w:val="20"/>
        </w:rPr>
        <w:t xml:space="preserve"> k 30</w:t>
      </w:r>
      <w:r w:rsidR="00D4778E">
        <w:rPr>
          <w:sz w:val="20"/>
          <w:szCs w:val="20"/>
        </w:rPr>
        <w:t>. 5. 2019.</w:t>
      </w:r>
    </w:p>
    <w:p w14:paraId="1F58580F" w14:textId="66745E17" w:rsidR="00971039" w:rsidRPr="008D5332" w:rsidRDefault="00971039" w:rsidP="00FE1BF7">
      <w:pPr>
        <w:pStyle w:val="KZnormln"/>
        <w:spacing w:before="120"/>
        <w:rPr>
          <w:i/>
        </w:rPr>
      </w:pPr>
      <w:r w:rsidRPr="00971039">
        <w:lastRenderedPageBreak/>
        <w:t xml:space="preserve">Dotační prostředky </w:t>
      </w:r>
      <w:proofErr w:type="spellStart"/>
      <w:r w:rsidRPr="00971039">
        <w:t>zazávazkované</w:t>
      </w:r>
      <w:proofErr w:type="spellEnd"/>
      <w:r w:rsidRPr="00971039">
        <w:t xml:space="preserve"> v právních aktech o poskytnutí podpory a podíly čerpání </w:t>
      </w:r>
      <w:r w:rsidR="00D4778E">
        <w:t>na vybrané aktivity jsou uvedeny v grafu č</w:t>
      </w:r>
      <w:r w:rsidR="00D4778E" w:rsidRPr="00140F07">
        <w:t xml:space="preserve">. </w:t>
      </w:r>
      <w:r w:rsidR="00D84BC4" w:rsidRPr="00140F07">
        <w:t>2</w:t>
      </w:r>
      <w:r w:rsidRPr="00140F07">
        <w:t>.</w:t>
      </w:r>
      <w:r w:rsidR="001F55CF">
        <w:t xml:space="preserve"> </w:t>
      </w:r>
      <w:r w:rsidR="00230931">
        <w:t>N</w:t>
      </w:r>
      <w:r w:rsidR="001F55CF">
        <w:t>ejvětší podíl prostředků tvoří investice na pořízení dopravních prostředků, kde bylo podpořeno celkem 58 projektů.</w:t>
      </w:r>
      <w:r w:rsidR="00230931">
        <w:t xml:space="preserve"> V rámci těchto projektů s dotací ve výši 3 983 mil. Kč bylo pořízeno celkem 511 dopravních prostředků.</w:t>
      </w:r>
      <w:r w:rsidR="001F55CF">
        <w:t xml:space="preserve"> </w:t>
      </w:r>
      <w:r w:rsidR="00DD60F9">
        <w:t>Na</w:t>
      </w:r>
      <w:r w:rsidR="001F55CF">
        <w:t xml:space="preserve"> realizaci opatření týkající</w:t>
      </w:r>
      <w:r w:rsidR="00B97F41">
        <w:t>ch</w:t>
      </w:r>
      <w:r w:rsidR="001F55CF">
        <w:t xml:space="preserve"> se </w:t>
      </w:r>
      <w:r w:rsidR="00222271">
        <w:t>„T</w:t>
      </w:r>
      <w:r w:rsidR="001F55CF">
        <w:t>elematiky</w:t>
      </w:r>
      <w:r w:rsidR="00222271">
        <w:t>“</w:t>
      </w:r>
      <w:r w:rsidR="001F55CF">
        <w:t xml:space="preserve"> bylo podpořeno pouhých 25 projektů.</w:t>
      </w:r>
      <w:r w:rsidR="0006106D">
        <w:t xml:space="preserve"> </w:t>
      </w:r>
      <w:r w:rsidR="004C14C3">
        <w:t xml:space="preserve">V aktivitě „Terminály“ bylo poskytnuta dotace ve výši 674 mil. Kč v 39 projektech na vybudování 1 802 parkovacích míst pro auta a 1 520 stání pro jízdní kola. </w:t>
      </w:r>
      <w:r w:rsidR="0006106D">
        <w:t>Taktéž poskytování dotací příjemcům je nejrychlejší v případě pořizování dopravních prostředků, neboť se jedná o projekty s jednoduchou realizací formou dodávky</w:t>
      </w:r>
      <w:r w:rsidR="002247F5">
        <w:t>, a to</w:t>
      </w:r>
      <w:r w:rsidR="0006106D">
        <w:t xml:space="preserve"> obvykle s jednou žádostí o platbu. V případě projektů na podporu </w:t>
      </w:r>
      <w:r w:rsidR="00222271">
        <w:t>„T</w:t>
      </w:r>
      <w:r w:rsidR="0006106D">
        <w:t>elematiky</w:t>
      </w:r>
      <w:r w:rsidR="00222271">
        <w:t>“</w:t>
      </w:r>
      <w:r w:rsidR="004804BF">
        <w:t xml:space="preserve"> a </w:t>
      </w:r>
      <w:r w:rsidR="0006106D">
        <w:t xml:space="preserve">zejména </w:t>
      </w:r>
      <w:r w:rsidR="00222271">
        <w:t>„T</w:t>
      </w:r>
      <w:r w:rsidR="0006106D">
        <w:t>erminálů</w:t>
      </w:r>
      <w:r w:rsidR="00222271">
        <w:t>“</w:t>
      </w:r>
      <w:r w:rsidR="0006106D">
        <w:t xml:space="preserve"> jsou veřejné zakázky rozsáhlejší, </w:t>
      </w:r>
      <w:r w:rsidR="002247F5">
        <w:t xml:space="preserve">neboť </w:t>
      </w:r>
      <w:r w:rsidR="0006106D">
        <w:t>se obvykle jedná o stavební činnosti</w:t>
      </w:r>
      <w:r w:rsidR="002247F5">
        <w:t>,</w:t>
      </w:r>
      <w:r w:rsidR="0006106D">
        <w:t xml:space="preserve"> a proto je </w:t>
      </w:r>
      <w:r w:rsidR="002247F5">
        <w:t xml:space="preserve">i </w:t>
      </w:r>
      <w:r w:rsidR="0006106D">
        <w:t>tem</w:t>
      </w:r>
      <w:r w:rsidR="001356C4">
        <w:t>po realizace projektů pomalejší.</w:t>
      </w:r>
      <w:r w:rsidR="008D5332">
        <w:t xml:space="preserve"> Tento stav potvrzuje také </w:t>
      </w:r>
      <w:r w:rsidR="004804BF">
        <w:rPr>
          <w:i/>
        </w:rPr>
        <w:t>Zpráva o </w:t>
      </w:r>
      <w:r w:rsidR="008D5332" w:rsidRPr="008D5332">
        <w:rPr>
          <w:i/>
        </w:rPr>
        <w:t>pokroku provádění Dohody o partnerství k </w:t>
      </w:r>
      <w:r w:rsidR="003B76A5">
        <w:rPr>
          <w:i/>
        </w:rPr>
        <w:t>3</w:t>
      </w:r>
      <w:r w:rsidR="008D5332" w:rsidRPr="008D5332">
        <w:rPr>
          <w:i/>
        </w:rPr>
        <w:t>1. 12. 2018</w:t>
      </w:r>
      <w:r w:rsidR="008D5332">
        <w:rPr>
          <w:rStyle w:val="Znakapoznpodarou"/>
        </w:rPr>
        <w:footnoteReference w:id="12"/>
      </w:r>
      <w:r w:rsidR="008D5332">
        <w:t xml:space="preserve">. </w:t>
      </w:r>
    </w:p>
    <w:p w14:paraId="24BCD953" w14:textId="77777777" w:rsidR="00D4778E" w:rsidRDefault="004813F0" w:rsidP="00632FA0">
      <w:pPr>
        <w:pStyle w:val="Nadpistabulky"/>
        <w:tabs>
          <w:tab w:val="clear" w:pos="1418"/>
          <w:tab w:val="clear" w:pos="9213"/>
          <w:tab w:val="left" w:pos="993"/>
          <w:tab w:val="right" w:pos="9355"/>
        </w:tabs>
        <w:ind w:left="993" w:hanging="993"/>
      </w:pPr>
      <w:r>
        <w:rPr>
          <w:noProof/>
          <w:lang w:eastAsia="cs-CZ"/>
        </w:rPr>
        <w:drawing>
          <wp:anchor distT="0" distB="0" distL="114300" distR="114300" simplePos="0" relativeHeight="251658248" behindDoc="0" locked="0" layoutInCell="1" allowOverlap="1" wp14:anchorId="73753C3C" wp14:editId="042A3E43">
            <wp:simplePos x="0" y="0"/>
            <wp:positionH relativeFrom="column">
              <wp:posOffset>-3810</wp:posOffset>
            </wp:positionH>
            <wp:positionV relativeFrom="paragraph">
              <wp:posOffset>397881</wp:posOffset>
            </wp:positionV>
            <wp:extent cx="6004560" cy="3579495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037" b="-1950"/>
                    <a:stretch/>
                  </pic:blipFill>
                  <pic:spPr bwMode="auto">
                    <a:xfrm>
                      <a:off x="0" y="0"/>
                      <a:ext cx="6004560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78E">
        <w:t>Graf č</w:t>
      </w:r>
      <w:r w:rsidR="00D4778E" w:rsidRPr="00140F07">
        <w:t xml:space="preserve">. </w:t>
      </w:r>
      <w:r w:rsidR="00D84BC4" w:rsidRPr="00140F07">
        <w:t>2</w:t>
      </w:r>
      <w:r w:rsidR="00D4778E" w:rsidRPr="00140F07">
        <w:t>:</w:t>
      </w:r>
      <w:r w:rsidR="00D4778E">
        <w:tab/>
        <w:t>Čerpání podpory ze zdrojů EU a SR v rámci schválených projektů na</w:t>
      </w:r>
      <w:r w:rsidR="00D4778E" w:rsidRPr="00064644">
        <w:t xml:space="preserve"> </w:t>
      </w:r>
      <w:r w:rsidR="00D4778E">
        <w:t>vybrané</w:t>
      </w:r>
      <w:r w:rsidR="00D4778E" w:rsidRPr="00064644">
        <w:t xml:space="preserve"> aktivit</w:t>
      </w:r>
      <w:r w:rsidR="00D4778E">
        <w:t>y SC 1.2 IROP</w:t>
      </w:r>
      <w:r>
        <w:tab/>
        <w:t>(v mil</w:t>
      </w:r>
      <w:r w:rsidR="00AE37BD">
        <w:t>. Kč)</w:t>
      </w:r>
    </w:p>
    <w:p w14:paraId="7BEA0344" w14:textId="77777777" w:rsidR="007E0C4A" w:rsidRDefault="007E0C4A" w:rsidP="00FE1BF7">
      <w:pPr>
        <w:pStyle w:val="KZnormln"/>
        <w:keepNext/>
        <w:spacing w:before="40" w:after="0"/>
        <w:ind w:left="567" w:hanging="567"/>
        <w:rPr>
          <w:sz w:val="20"/>
          <w:szCs w:val="20"/>
        </w:rPr>
      </w:pPr>
      <w:r w:rsidRPr="00D4778E">
        <w:rPr>
          <w:b/>
          <w:sz w:val="20"/>
          <w:szCs w:val="20"/>
        </w:rPr>
        <w:t>Zdroj:</w:t>
      </w:r>
      <w:r w:rsidRPr="00D4778E">
        <w:rPr>
          <w:sz w:val="20"/>
          <w:szCs w:val="20"/>
        </w:rPr>
        <w:t xml:space="preserve"> </w:t>
      </w:r>
      <w:r w:rsidR="00654520">
        <w:rPr>
          <w:sz w:val="20"/>
          <w:szCs w:val="20"/>
        </w:rPr>
        <w:tab/>
      </w:r>
      <w:r w:rsidR="00C0671F">
        <w:rPr>
          <w:sz w:val="20"/>
          <w:szCs w:val="20"/>
        </w:rPr>
        <w:t xml:space="preserve">data ze systému </w:t>
      </w:r>
      <w:r w:rsidR="00C0671F" w:rsidRPr="00524358">
        <w:rPr>
          <w:i/>
          <w:sz w:val="20"/>
          <w:szCs w:val="20"/>
        </w:rPr>
        <w:t>MS2014+</w:t>
      </w:r>
      <w:r w:rsidR="00C0671F">
        <w:rPr>
          <w:sz w:val="20"/>
          <w:szCs w:val="20"/>
        </w:rPr>
        <w:t xml:space="preserve"> k 30</w:t>
      </w:r>
      <w:r>
        <w:rPr>
          <w:sz w:val="20"/>
          <w:szCs w:val="20"/>
        </w:rPr>
        <w:t>. 5. 2019.</w:t>
      </w:r>
    </w:p>
    <w:p w14:paraId="5B8C37CB" w14:textId="77777777" w:rsidR="00654520" w:rsidRPr="00D4778E" w:rsidRDefault="00654520" w:rsidP="00654520">
      <w:pPr>
        <w:pStyle w:val="KZnormln"/>
        <w:keepNext/>
        <w:spacing w:after="0"/>
        <w:ind w:left="567" w:hanging="567"/>
        <w:rPr>
          <w:sz w:val="20"/>
          <w:szCs w:val="20"/>
        </w:rPr>
      </w:pPr>
      <w:r w:rsidRPr="00654520">
        <w:rPr>
          <w:b/>
          <w:sz w:val="20"/>
          <w:szCs w:val="20"/>
        </w:rPr>
        <w:t>Pozn.: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Schválené projekty jsou projekty evidované v systému </w:t>
      </w:r>
      <w:r w:rsidRPr="00524358">
        <w:rPr>
          <w:i/>
          <w:sz w:val="20"/>
          <w:szCs w:val="20"/>
        </w:rPr>
        <w:t>MS2014+</w:t>
      </w:r>
      <w:r>
        <w:rPr>
          <w:sz w:val="20"/>
          <w:szCs w:val="20"/>
        </w:rPr>
        <w:t xml:space="preserve"> minimálně ve stavu „PP30 – projekty s vydaným rozhodnutím o poskytnutí dotace“.</w:t>
      </w:r>
    </w:p>
    <w:p w14:paraId="59045B89" w14:textId="4FC4CC42" w:rsidR="004D3F4D" w:rsidRDefault="00C015BF" w:rsidP="00FE1BF7">
      <w:pPr>
        <w:pStyle w:val="Nadpis4"/>
        <w:spacing w:before="120" w:after="120"/>
      </w:pPr>
      <w:r>
        <w:t xml:space="preserve">Podpora prostřednictvím </w:t>
      </w:r>
      <w:r w:rsidR="001C0172">
        <w:t>i</w:t>
      </w:r>
      <w:r w:rsidR="004D3F4D">
        <w:t>ntegrované územní investice (ITI)</w:t>
      </w:r>
    </w:p>
    <w:p w14:paraId="1738878A" w14:textId="4CD28678" w:rsidR="00DA2129" w:rsidRDefault="00C015BF" w:rsidP="00FE1BF7">
      <w:pPr>
        <w:pStyle w:val="KZnormln"/>
        <w:spacing w:before="120"/>
      </w:pPr>
      <w:r>
        <w:t>Novým přístupem ke strukturální politi</w:t>
      </w:r>
      <w:r w:rsidR="00A95A88">
        <w:t>ce EU v programovém období 2014–</w:t>
      </w:r>
      <w:r>
        <w:t>2020 je uplatňování principů územní dimenze</w:t>
      </w:r>
      <w:r w:rsidR="00E90025">
        <w:t xml:space="preserve"> </w:t>
      </w:r>
      <w:r w:rsidR="004E5683">
        <w:t xml:space="preserve">s využitím </w:t>
      </w:r>
      <w:r w:rsidR="00E90025">
        <w:t xml:space="preserve">integrovaných nástrojů (podrobněji viz příloha č. 2 </w:t>
      </w:r>
      <w:r w:rsidR="001C0172">
        <w:t xml:space="preserve">tohoto </w:t>
      </w:r>
      <w:r w:rsidR="00E90025">
        <w:t>kontrolního závěru)</w:t>
      </w:r>
      <w:r>
        <w:t xml:space="preserve">. </w:t>
      </w:r>
    </w:p>
    <w:p w14:paraId="6EB47AC4" w14:textId="22BA0B3D" w:rsidR="00D447AE" w:rsidRDefault="00DA2129" w:rsidP="00FE1BF7">
      <w:pPr>
        <w:pStyle w:val="KZnormln"/>
        <w:spacing w:before="120"/>
      </w:pPr>
      <w:r w:rsidRPr="00DA2129">
        <w:t xml:space="preserve">V rámci SC 1.2 IROP je prostřednictvím integrované územní investice (dále též „ITI“) poskytována podpora veřejné městské a regionální dopravy do území vymezeného </w:t>
      </w:r>
      <w:r w:rsidR="001C0172">
        <w:lastRenderedPageBreak/>
        <w:t>s</w:t>
      </w:r>
      <w:r w:rsidRPr="00DA2129">
        <w:t xml:space="preserve">trategiemi ITI. Za </w:t>
      </w:r>
      <w:r w:rsidR="001C0172">
        <w:t>s</w:t>
      </w:r>
      <w:r w:rsidRPr="00DA2129">
        <w:t xml:space="preserve">trategie ITI jsou odpovědná statutární města v roli </w:t>
      </w:r>
      <w:r w:rsidR="001C0172">
        <w:t>n</w:t>
      </w:r>
      <w:r w:rsidRPr="00DA2129">
        <w:t>ositele integrované strategie ITI (dále též „</w:t>
      </w:r>
      <w:r w:rsidR="005242AB">
        <w:t>n</w:t>
      </w:r>
      <w:r w:rsidRPr="00DA2129">
        <w:t xml:space="preserve">ositel ITI“). Tato města dále vykonávají roli </w:t>
      </w:r>
      <w:r w:rsidR="001C0172">
        <w:t>z</w:t>
      </w:r>
      <w:r w:rsidRPr="00DA2129">
        <w:t xml:space="preserve">prostředkujícího subjektu a podílejí se na hodnocení žádostí o podporu. Dotace jsou přidělovány na základě výzev pro integrované projekty (podrobněji viz schéma č. 2 v kapitole </w:t>
      </w:r>
      <w:proofErr w:type="gramStart"/>
      <w:r w:rsidRPr="00DA2129">
        <w:t xml:space="preserve">IV.6 </w:t>
      </w:r>
      <w:r w:rsidR="001C0172">
        <w:t>tohoto</w:t>
      </w:r>
      <w:proofErr w:type="gramEnd"/>
      <w:r w:rsidR="001C0172">
        <w:t xml:space="preserve"> </w:t>
      </w:r>
      <w:r w:rsidRPr="00DA2129">
        <w:t>kontrolního závěru).</w:t>
      </w:r>
    </w:p>
    <w:p w14:paraId="1CD6B5E7" w14:textId="036F7A59" w:rsidR="009E0500" w:rsidRPr="0058377D" w:rsidRDefault="00FE1BF7" w:rsidP="00FE1BF7">
      <w:pPr>
        <w:pStyle w:val="Nadpis1"/>
        <w:numPr>
          <w:ilvl w:val="0"/>
          <w:numId w:val="0"/>
        </w:numPr>
      </w:pPr>
      <w:r>
        <w:t xml:space="preserve">III. </w:t>
      </w:r>
      <w:r w:rsidR="009E0500" w:rsidRPr="0058377D">
        <w:t>Rozsah kontroly</w:t>
      </w:r>
    </w:p>
    <w:p w14:paraId="740D2CC4" w14:textId="77777777" w:rsidR="009E0500" w:rsidRDefault="009E0500" w:rsidP="00FE1BF7">
      <w:pPr>
        <w:pStyle w:val="KZnormln"/>
        <w:rPr>
          <w:noProof/>
        </w:rPr>
      </w:pPr>
      <w:r>
        <w:rPr>
          <w:rFonts w:cs="Arial"/>
        </w:rPr>
        <w:t>K</w:t>
      </w:r>
      <w:r w:rsidRPr="005E477C">
        <w:rPr>
          <w:rFonts w:cs="Arial"/>
        </w:rPr>
        <w:t xml:space="preserve">ontrolní akce </w:t>
      </w:r>
      <w:r>
        <w:rPr>
          <w:rFonts w:cs="Arial"/>
        </w:rPr>
        <w:t xml:space="preserve">měla prověřit, zda </w:t>
      </w:r>
      <w:r w:rsidRPr="005E477C">
        <w:rPr>
          <w:rFonts w:cs="Arial"/>
        </w:rPr>
        <w:t xml:space="preserve">kontrolované osoby poskytují </w:t>
      </w:r>
      <w:r>
        <w:rPr>
          <w:rFonts w:cs="Arial"/>
        </w:rPr>
        <w:t xml:space="preserve">a čerpají </w:t>
      </w:r>
      <w:r w:rsidRPr="005E477C">
        <w:rPr>
          <w:rFonts w:cs="Arial"/>
        </w:rPr>
        <w:t xml:space="preserve">peněžní prostředky </w:t>
      </w:r>
      <w:r>
        <w:rPr>
          <w:rFonts w:cs="Arial"/>
        </w:rPr>
        <w:t xml:space="preserve">v rámci prioritní osy 1 </w:t>
      </w:r>
      <w:r w:rsidRPr="00E22806">
        <w:rPr>
          <w:i/>
          <w:noProof/>
        </w:rPr>
        <w:t>Integrovaného regionálního operačního programu</w:t>
      </w:r>
      <w:r>
        <w:rPr>
          <w:noProof/>
        </w:rPr>
        <w:t xml:space="preserve"> </w:t>
      </w:r>
      <w:r w:rsidR="00126E04">
        <w:rPr>
          <w:noProof/>
        </w:rPr>
        <w:t>v </w:t>
      </w:r>
      <w:r w:rsidRPr="002A2D3A">
        <w:rPr>
          <w:noProof/>
        </w:rPr>
        <w:t>souladu s právními předpisy, účelně a hospodárně</w:t>
      </w:r>
      <w:r>
        <w:rPr>
          <w:noProof/>
        </w:rPr>
        <w:t xml:space="preserve">. Poskytování prostředků bylo prověřeno v rámci </w:t>
      </w:r>
      <w:r w:rsidR="003A6AA7">
        <w:rPr>
          <w:noProof/>
        </w:rPr>
        <w:t>řídicího a</w:t>
      </w:r>
      <w:r w:rsidR="004427E9">
        <w:rPr>
          <w:noProof/>
        </w:rPr>
        <w:t> </w:t>
      </w:r>
      <w:r w:rsidR="003A6AA7">
        <w:rPr>
          <w:noProof/>
        </w:rPr>
        <w:t>kontrolního systému</w:t>
      </w:r>
      <w:r>
        <w:rPr>
          <w:noProof/>
        </w:rPr>
        <w:t xml:space="preserve">, </w:t>
      </w:r>
      <w:r w:rsidR="003A6AA7">
        <w:rPr>
          <w:noProof/>
        </w:rPr>
        <w:t>který zahrnuje</w:t>
      </w:r>
      <w:r>
        <w:rPr>
          <w:noProof/>
        </w:rPr>
        <w:t xml:space="preserve"> systém podpory individuálních projektů a systém podpory projektů realizovaných prostřednictvím ITI.</w:t>
      </w:r>
      <w:r w:rsidR="00665626">
        <w:rPr>
          <w:noProof/>
        </w:rPr>
        <w:t xml:space="preserve"> </w:t>
      </w:r>
    </w:p>
    <w:p w14:paraId="387B50D7" w14:textId="77777777" w:rsidR="009E0500" w:rsidRPr="005E477C" w:rsidRDefault="009E0500" w:rsidP="00FE1BF7">
      <w:pPr>
        <w:pStyle w:val="Zkladn"/>
        <w:keepNext/>
        <w:spacing w:before="120"/>
      </w:pPr>
      <w:r>
        <w:t>NKÚ především prověřil</w:t>
      </w:r>
      <w:r w:rsidRPr="005E477C">
        <w:t>:</w:t>
      </w:r>
    </w:p>
    <w:p w14:paraId="6DD928D6" w14:textId="77777777" w:rsidR="00C6678F" w:rsidRPr="005E477C" w:rsidRDefault="00C6678F" w:rsidP="00FE1BF7">
      <w:pPr>
        <w:pStyle w:val="Odstavecseseznamem"/>
        <w:numPr>
          <w:ilvl w:val="0"/>
          <w:numId w:val="2"/>
        </w:numPr>
        <w:ind w:left="284" w:hanging="284"/>
      </w:pPr>
      <w:r>
        <w:t xml:space="preserve">zda </w:t>
      </w:r>
      <w:r w:rsidRPr="00C6678F">
        <w:t>pro</w:t>
      </w:r>
      <w:r>
        <w:t>jekty přispívají ke zvýšení podílu udržitelné formy dopravy</w:t>
      </w:r>
      <w:r>
        <w:rPr>
          <w:rStyle w:val="Znakapoznpodarou"/>
          <w:rFonts w:cs="Arial"/>
        </w:rPr>
        <w:footnoteReference w:id="13"/>
      </w:r>
      <w:r>
        <w:t>;</w:t>
      </w:r>
    </w:p>
    <w:p w14:paraId="123BEBFA" w14:textId="77777777" w:rsidR="000058A5" w:rsidRPr="00643F3D" w:rsidRDefault="000058A5" w:rsidP="00FE1BF7">
      <w:pPr>
        <w:pStyle w:val="Odstavecseseznamem"/>
        <w:numPr>
          <w:ilvl w:val="0"/>
          <w:numId w:val="2"/>
        </w:numPr>
        <w:ind w:left="284" w:hanging="284"/>
        <w:rPr>
          <w:rFonts w:cs="Arial"/>
        </w:rPr>
      </w:pPr>
      <w:r w:rsidRPr="005E477C">
        <w:rPr>
          <w:rFonts w:cs="Arial"/>
        </w:rPr>
        <w:t xml:space="preserve">zda </w:t>
      </w:r>
      <w:r w:rsidRPr="005E477C">
        <w:rPr>
          <w:noProof/>
        </w:rPr>
        <w:t>kontrolované osoby čerpají peněžní prostředky na realizaci vybraných opatřen</w:t>
      </w:r>
      <w:r>
        <w:rPr>
          <w:noProof/>
        </w:rPr>
        <w:t>í v </w:t>
      </w:r>
      <w:r w:rsidRPr="005E477C">
        <w:rPr>
          <w:noProof/>
        </w:rPr>
        <w:t xml:space="preserve">souladu s právními předpisy, účelně a hospodárně; </w:t>
      </w:r>
    </w:p>
    <w:p w14:paraId="1FD887BA" w14:textId="77777777" w:rsidR="00643F3D" w:rsidRPr="00C6678F" w:rsidRDefault="00643F3D" w:rsidP="00FE1BF7">
      <w:pPr>
        <w:pStyle w:val="Odstavecseseznamem"/>
        <w:numPr>
          <w:ilvl w:val="0"/>
          <w:numId w:val="2"/>
        </w:numPr>
        <w:ind w:left="284" w:hanging="284"/>
      </w:pPr>
      <w:r>
        <w:t>zda je v rámci řízení územní dimenze nastaven účinný systém administrace integrovaného nástroje ITI;</w:t>
      </w:r>
    </w:p>
    <w:p w14:paraId="50DB9CFF" w14:textId="77777777" w:rsidR="009E0500" w:rsidRPr="00643F3D" w:rsidRDefault="009E0500" w:rsidP="00FE1BF7">
      <w:pPr>
        <w:pStyle w:val="Odstavecseseznamem"/>
        <w:numPr>
          <w:ilvl w:val="0"/>
          <w:numId w:val="2"/>
        </w:numPr>
        <w:ind w:left="284" w:hanging="284"/>
        <w:rPr>
          <w:rFonts w:cs="Arial"/>
        </w:rPr>
      </w:pPr>
      <w:r w:rsidRPr="000058A5">
        <w:rPr>
          <w:rFonts w:cs="Arial"/>
        </w:rPr>
        <w:t xml:space="preserve">zda </w:t>
      </w:r>
      <w:r w:rsidR="00C6678F" w:rsidRPr="000058A5">
        <w:rPr>
          <w:rFonts w:cs="Arial"/>
        </w:rPr>
        <w:t xml:space="preserve">je pro </w:t>
      </w:r>
      <w:r w:rsidR="00C6678F" w:rsidRPr="000058A5">
        <w:rPr>
          <w:noProof/>
        </w:rPr>
        <w:t>poskytování prostředků</w:t>
      </w:r>
      <w:r w:rsidRPr="000058A5">
        <w:rPr>
          <w:noProof/>
        </w:rPr>
        <w:t xml:space="preserve"> </w:t>
      </w:r>
      <w:r w:rsidR="00C6678F" w:rsidRPr="000058A5">
        <w:rPr>
          <w:noProof/>
        </w:rPr>
        <w:t>nastaven účinný řídicí a kontrolní systém</w:t>
      </w:r>
      <w:r w:rsidR="000058A5" w:rsidRPr="00643F3D">
        <w:rPr>
          <w:noProof/>
        </w:rPr>
        <w:t>.</w:t>
      </w:r>
    </w:p>
    <w:p w14:paraId="150CB5D4" w14:textId="77777777" w:rsidR="009E0500" w:rsidRDefault="009E0500" w:rsidP="00FE1BF7">
      <w:pPr>
        <w:pStyle w:val="KZnormln"/>
        <w:spacing w:before="120"/>
      </w:pPr>
      <w:r>
        <w:t>Kontrolovanými osobami bylo Ministerstvo pro místní rozvoj, Centrum pro regionální rozvoj České republiky, statutární města a vybraní příjemci dotační podpory, kterými jsou</w:t>
      </w:r>
      <w:r w:rsidR="0023549D">
        <w:t xml:space="preserve"> dopravci ve veřejné dopravě</w:t>
      </w:r>
      <w:r>
        <w:t xml:space="preserve">, města a kraj. </w:t>
      </w:r>
      <w:r w:rsidRPr="005E477C">
        <w:t>Předmětem kontroly byly činnosti</w:t>
      </w:r>
      <w:r>
        <w:t>, j</w:t>
      </w:r>
      <w:r w:rsidRPr="005E477C">
        <w:t xml:space="preserve">ejichž výkonem je </w:t>
      </w:r>
      <w:r>
        <w:t xml:space="preserve">MMR </w:t>
      </w:r>
      <w:r w:rsidRPr="005E477C">
        <w:t xml:space="preserve">pověřeno </w:t>
      </w:r>
      <w:r>
        <w:t xml:space="preserve">při plnění </w:t>
      </w:r>
      <w:r w:rsidRPr="005E477C">
        <w:t>rol</w:t>
      </w:r>
      <w:r>
        <w:t>e</w:t>
      </w:r>
      <w:r w:rsidRPr="005E477C">
        <w:t xml:space="preserve"> </w:t>
      </w:r>
      <w:r>
        <w:t>ř</w:t>
      </w:r>
      <w:r w:rsidRPr="005E477C">
        <w:t xml:space="preserve">ídicího orgánu </w:t>
      </w:r>
      <w:r>
        <w:t>IROP</w:t>
      </w:r>
      <w:r>
        <w:rPr>
          <w:rStyle w:val="Znakapoznpodarou"/>
        </w:rPr>
        <w:footnoteReference w:id="14"/>
      </w:r>
      <w:r w:rsidR="00144189">
        <w:t xml:space="preserve"> (dále též</w:t>
      </w:r>
      <w:r>
        <w:t xml:space="preserve"> „ŘO IROP“), a rovněž činnosti, </w:t>
      </w:r>
      <w:r w:rsidR="00437DFE">
        <w:t>jež</w:t>
      </w:r>
      <w:r>
        <w:t xml:space="preserve"> MMR delegovalo na CRR a statutární města, která tyto činnosti vykonávají</w:t>
      </w:r>
      <w:r w:rsidRPr="005E477C">
        <w:t xml:space="preserve"> v roli </w:t>
      </w:r>
      <w:r>
        <w:t>z</w:t>
      </w:r>
      <w:r w:rsidRPr="005E477C">
        <w:t>prostře</w:t>
      </w:r>
      <w:r>
        <w:t>dkujících</w:t>
      </w:r>
      <w:r w:rsidRPr="005E477C">
        <w:t xml:space="preserve"> subjekt</w:t>
      </w:r>
      <w:r>
        <w:t>ů</w:t>
      </w:r>
      <w:r w:rsidRPr="005E477C">
        <w:t xml:space="preserve"> </w:t>
      </w:r>
      <w:r>
        <w:t>IROP.</w:t>
      </w:r>
      <w:r w:rsidR="003A6AA7">
        <w:t xml:space="preserve"> Na úrovni statutárních měst, </w:t>
      </w:r>
      <w:r w:rsidR="00026032">
        <w:t xml:space="preserve">která </w:t>
      </w:r>
      <w:r w:rsidR="003A6AA7">
        <w:t>jsou jádrovými městy území ITI, prověřil NKÚ činnosti související se strategiemi ITI a vykonávané na základě akceptace strategií ITI řídicím orgánem IROP. U příjemců dotace byly prověřeny činnosti související s přípravou a realizací projektu.</w:t>
      </w:r>
    </w:p>
    <w:p w14:paraId="0AEB6355" w14:textId="77777777" w:rsidR="009E0500" w:rsidRPr="000058A5" w:rsidRDefault="009E0500" w:rsidP="00FE1BF7">
      <w:pPr>
        <w:pStyle w:val="Zkladn"/>
        <w:keepNext/>
        <w:spacing w:before="120"/>
      </w:pPr>
      <w:r w:rsidRPr="000058A5">
        <w:t>NKÚ prověřil tyto činnosti</w:t>
      </w:r>
      <w:r w:rsidR="00D447AE">
        <w:t xml:space="preserve"> zajišťované kontrolovanými osobami</w:t>
      </w:r>
      <w:r w:rsidRPr="000058A5">
        <w:t>:</w:t>
      </w:r>
    </w:p>
    <w:p w14:paraId="034E6D6E" w14:textId="168F4A23" w:rsidR="00126E04" w:rsidRPr="00126E04" w:rsidRDefault="00126E04" w:rsidP="00FE1BF7">
      <w:pPr>
        <w:pStyle w:val="Odstavecseseznamem"/>
        <w:numPr>
          <w:ilvl w:val="0"/>
          <w:numId w:val="6"/>
        </w:numPr>
        <w:ind w:left="284" w:hanging="284"/>
      </w:pPr>
      <w:r w:rsidRPr="00126E04">
        <w:t xml:space="preserve">řízení výzvy na podporu </w:t>
      </w:r>
      <w:r w:rsidR="005242AB">
        <w:t>s</w:t>
      </w:r>
      <w:r w:rsidRPr="00126E04">
        <w:t>trategií ITI a jejich hodnocení;</w:t>
      </w:r>
    </w:p>
    <w:p w14:paraId="72C8B541" w14:textId="121BD04C" w:rsidR="00126E04" w:rsidRPr="00126E04" w:rsidRDefault="00126E04" w:rsidP="00FE1BF7">
      <w:pPr>
        <w:pStyle w:val="Odstavecseseznamem"/>
        <w:numPr>
          <w:ilvl w:val="0"/>
          <w:numId w:val="6"/>
        </w:numPr>
        <w:ind w:left="284" w:hanging="284"/>
      </w:pPr>
      <w:r w:rsidRPr="00126E04">
        <w:t xml:space="preserve">realizování </w:t>
      </w:r>
      <w:r w:rsidR="005242AB">
        <w:t>s</w:t>
      </w:r>
      <w:r w:rsidRPr="00126E04">
        <w:t>trategií ITI;</w:t>
      </w:r>
    </w:p>
    <w:p w14:paraId="18DE6379" w14:textId="77777777" w:rsidR="009E0500" w:rsidRPr="00126E04" w:rsidRDefault="009E0500" w:rsidP="00FE1BF7">
      <w:pPr>
        <w:pStyle w:val="Odstavecseseznamem"/>
        <w:numPr>
          <w:ilvl w:val="0"/>
          <w:numId w:val="6"/>
        </w:numPr>
        <w:ind w:left="284" w:hanging="284"/>
      </w:pPr>
      <w:r w:rsidRPr="00126E04">
        <w:t>řízení výzev</w:t>
      </w:r>
      <w:r w:rsidR="00126E04" w:rsidRPr="00126E04">
        <w:t xml:space="preserve"> na podporu projektů</w:t>
      </w:r>
      <w:r w:rsidRPr="00126E04">
        <w:t xml:space="preserve">; </w:t>
      </w:r>
    </w:p>
    <w:p w14:paraId="269ACFE2" w14:textId="77777777" w:rsidR="009E0500" w:rsidRPr="00126E04" w:rsidRDefault="009E0500" w:rsidP="00FE1BF7">
      <w:pPr>
        <w:pStyle w:val="Odstavecseseznamem"/>
        <w:numPr>
          <w:ilvl w:val="0"/>
          <w:numId w:val="6"/>
        </w:numPr>
        <w:ind w:left="284" w:hanging="284"/>
      </w:pPr>
      <w:r w:rsidRPr="00126E04">
        <w:t>hodnocení, výběr a schvalování žádostí o podporu;</w:t>
      </w:r>
    </w:p>
    <w:p w14:paraId="1C25CA0D" w14:textId="77777777" w:rsidR="009E0500" w:rsidRPr="00126E04" w:rsidRDefault="009E0500" w:rsidP="00FE1BF7">
      <w:pPr>
        <w:pStyle w:val="Odstavecseseznamem"/>
        <w:numPr>
          <w:ilvl w:val="0"/>
          <w:numId w:val="6"/>
        </w:numPr>
        <w:ind w:left="284" w:hanging="284"/>
      </w:pPr>
      <w:r w:rsidRPr="00126E04">
        <w:t>věcné a finanční řízení operačního programu, včetně evidence nesrovnalostí;</w:t>
      </w:r>
    </w:p>
    <w:p w14:paraId="70C509FE" w14:textId="77777777" w:rsidR="00126E04" w:rsidRPr="00126E04" w:rsidRDefault="00126E04" w:rsidP="00FE1BF7">
      <w:pPr>
        <w:pStyle w:val="Odstavecseseznamem"/>
        <w:numPr>
          <w:ilvl w:val="0"/>
          <w:numId w:val="6"/>
        </w:numPr>
        <w:ind w:left="284" w:hanging="284"/>
      </w:pPr>
      <w:r w:rsidRPr="00126E04">
        <w:t>monitorovací činnost na úrovni projektů a na úrovni operačního programu;</w:t>
      </w:r>
    </w:p>
    <w:p w14:paraId="521D5B18" w14:textId="7897D207" w:rsidR="009E0500" w:rsidRDefault="009E0500" w:rsidP="00FE1BF7">
      <w:pPr>
        <w:pStyle w:val="Odstavecseseznamem"/>
        <w:numPr>
          <w:ilvl w:val="0"/>
          <w:numId w:val="6"/>
        </w:numPr>
        <w:ind w:left="284" w:hanging="284"/>
      </w:pPr>
      <w:r w:rsidRPr="00126E04">
        <w:t>kontrolní a</w:t>
      </w:r>
      <w:r w:rsidR="00026379">
        <w:t xml:space="preserve"> dohledovou činnost MMR v roli </w:t>
      </w:r>
      <w:r w:rsidR="005242AB">
        <w:t>ř</w:t>
      </w:r>
      <w:r w:rsidRPr="00126E04">
        <w:t>ídicího orgánu a kontrolní činnost CRR v </w:t>
      </w:r>
      <w:r w:rsidR="00026379">
        <w:t xml:space="preserve">roli </w:t>
      </w:r>
      <w:r w:rsidR="005242AB">
        <w:t>z</w:t>
      </w:r>
      <w:r w:rsidR="003A6AA7">
        <w:t>prostředkujícího subjektu;</w:t>
      </w:r>
    </w:p>
    <w:p w14:paraId="4B3C9171" w14:textId="77777777" w:rsidR="003A6AA7" w:rsidRDefault="003A6AA7" w:rsidP="00FE1BF7">
      <w:pPr>
        <w:pStyle w:val="Odstavecseseznamem"/>
        <w:numPr>
          <w:ilvl w:val="0"/>
          <w:numId w:val="6"/>
        </w:numPr>
        <w:ind w:left="284" w:hanging="284"/>
      </w:pPr>
      <w:r>
        <w:t>zadávání veřejných zakázek příjemci dotace;</w:t>
      </w:r>
    </w:p>
    <w:p w14:paraId="6DA48134" w14:textId="77777777" w:rsidR="003A6AA7" w:rsidRPr="00126E04" w:rsidRDefault="003A6AA7" w:rsidP="00FE1BF7">
      <w:pPr>
        <w:pStyle w:val="Odstavecseseznamem"/>
        <w:numPr>
          <w:ilvl w:val="0"/>
          <w:numId w:val="6"/>
        </w:numPr>
        <w:ind w:left="284" w:hanging="284"/>
      </w:pPr>
      <w:r>
        <w:t xml:space="preserve">hospodárné a účelné </w:t>
      </w:r>
      <w:r w:rsidR="00486361">
        <w:t>čerpání</w:t>
      </w:r>
      <w:r>
        <w:t xml:space="preserve"> prostředků příjemci na realizaci projektů.</w:t>
      </w:r>
    </w:p>
    <w:p w14:paraId="4BA2E674" w14:textId="007685F6" w:rsidR="009E0500" w:rsidRPr="00DA3875" w:rsidRDefault="009E0500" w:rsidP="00FE1BF7">
      <w:pPr>
        <w:pStyle w:val="KZnormln"/>
        <w:spacing w:before="120"/>
        <w:rPr>
          <w:b/>
        </w:rPr>
      </w:pPr>
      <w:r>
        <w:rPr>
          <w:b/>
        </w:rPr>
        <w:lastRenderedPageBreak/>
        <w:t>K</w:t>
      </w:r>
      <w:r w:rsidRPr="00A16F65">
        <w:rPr>
          <w:b/>
        </w:rPr>
        <w:t>ontrolní akc</w:t>
      </w:r>
      <w:r>
        <w:rPr>
          <w:b/>
        </w:rPr>
        <w:t>í</w:t>
      </w:r>
      <w:r w:rsidRPr="00A16F65">
        <w:rPr>
          <w:b/>
        </w:rPr>
        <w:t xml:space="preserve"> </w:t>
      </w:r>
      <w:r>
        <w:rPr>
          <w:b/>
        </w:rPr>
        <w:t>č. 18/24 NKÚ prověřil</w:t>
      </w:r>
      <w:r w:rsidRPr="00A16F65">
        <w:rPr>
          <w:b/>
        </w:rPr>
        <w:t xml:space="preserve"> vzor</w:t>
      </w:r>
      <w:r>
        <w:rPr>
          <w:b/>
        </w:rPr>
        <w:t>e</w:t>
      </w:r>
      <w:r w:rsidRPr="00A16F65">
        <w:rPr>
          <w:b/>
        </w:rPr>
        <w:t xml:space="preserve">k </w:t>
      </w:r>
      <w:r>
        <w:rPr>
          <w:b/>
        </w:rPr>
        <w:t xml:space="preserve">19 </w:t>
      </w:r>
      <w:r w:rsidRPr="00A16F65">
        <w:rPr>
          <w:b/>
        </w:rPr>
        <w:t xml:space="preserve">projektů </w:t>
      </w:r>
      <w:r w:rsidR="00026379">
        <w:t>(viz příloh</w:t>
      </w:r>
      <w:r w:rsidR="005242AB">
        <w:t>u</w:t>
      </w:r>
      <w:r w:rsidR="00026379">
        <w:t xml:space="preserve"> č. </w:t>
      </w:r>
      <w:r w:rsidR="00D447AE">
        <w:t>3</w:t>
      </w:r>
      <w:r>
        <w:t xml:space="preserve">) </w:t>
      </w:r>
      <w:r w:rsidRPr="00A16F65">
        <w:rPr>
          <w:b/>
        </w:rPr>
        <w:t>podpořených dotací</w:t>
      </w:r>
      <w:r w:rsidRPr="005E477C">
        <w:t xml:space="preserve"> </w:t>
      </w:r>
      <w:r>
        <w:t xml:space="preserve">v rámci </w:t>
      </w:r>
      <w:r w:rsidRPr="005E477C">
        <w:t xml:space="preserve">prioritní osy </w:t>
      </w:r>
      <w:r>
        <w:t>1</w:t>
      </w:r>
      <w:r w:rsidRPr="005E477C">
        <w:t xml:space="preserve"> </w:t>
      </w:r>
      <w:r>
        <w:t>IR</w:t>
      </w:r>
      <w:r w:rsidRPr="005E477C">
        <w:t xml:space="preserve">OP, </w:t>
      </w:r>
      <w:r>
        <w:t xml:space="preserve">a to </w:t>
      </w:r>
      <w:r w:rsidRPr="005E477C">
        <w:t xml:space="preserve">zejména z pohledu legality, účelnosti </w:t>
      </w:r>
      <w:r>
        <w:t xml:space="preserve">a hospodárnosti </w:t>
      </w:r>
      <w:r w:rsidRPr="005E477C">
        <w:t>vynaložených peněžních prostředků a</w:t>
      </w:r>
      <w:r>
        <w:t xml:space="preserve"> </w:t>
      </w:r>
      <w:r w:rsidRPr="005E477C">
        <w:t>dosažení stanoven</w:t>
      </w:r>
      <w:r>
        <w:t>ých c</w:t>
      </w:r>
      <w:r w:rsidRPr="005E477C">
        <w:t>íl</w:t>
      </w:r>
      <w:r>
        <w:t>ů</w:t>
      </w:r>
      <w:r w:rsidRPr="005E477C">
        <w:t xml:space="preserve"> projektů. Výběr </w:t>
      </w:r>
      <w:r>
        <w:t xml:space="preserve">vzorku </w:t>
      </w:r>
      <w:r w:rsidRPr="005E477C">
        <w:t xml:space="preserve">kontrolovaných příjemců podpory z PO </w:t>
      </w:r>
      <w:r>
        <w:t>1</w:t>
      </w:r>
      <w:r w:rsidRPr="005E477C">
        <w:t xml:space="preserve"> </w:t>
      </w:r>
      <w:r>
        <w:t>IR</w:t>
      </w:r>
      <w:r w:rsidRPr="005E477C">
        <w:t>OP</w:t>
      </w:r>
      <w:r>
        <w:t>, respektive specifického cíle 1.2,</w:t>
      </w:r>
      <w:r w:rsidRPr="005E477C">
        <w:t xml:space="preserve"> se odvíjel od míry pokroku fyzické realizace projektů a</w:t>
      </w:r>
      <w:r>
        <w:t xml:space="preserve"> </w:t>
      </w:r>
      <w:r w:rsidRPr="005E477C">
        <w:t>výše peněžních prostředků proplacených příjemcům na základě žádostí o platbu k rozhodnému datu z</w:t>
      </w:r>
      <w:r>
        <w:t>ahájení kontrolní akce, tj. k 30</w:t>
      </w:r>
      <w:r w:rsidRPr="005E477C">
        <w:t xml:space="preserve">. </w:t>
      </w:r>
      <w:r>
        <w:t>11. 2018</w:t>
      </w:r>
      <w:r w:rsidRPr="005E477C">
        <w:t xml:space="preserve">. </w:t>
      </w:r>
      <w:r w:rsidRPr="00DA3875">
        <w:rPr>
          <w:b/>
        </w:rPr>
        <w:t>Kon</w:t>
      </w:r>
      <w:r>
        <w:rPr>
          <w:b/>
        </w:rPr>
        <w:t>trolovaný objem u těchto 19</w:t>
      </w:r>
      <w:r w:rsidRPr="00DA3875">
        <w:rPr>
          <w:b/>
        </w:rPr>
        <w:t xml:space="preserve"> projektů činil </w:t>
      </w:r>
      <w:r>
        <w:rPr>
          <w:b/>
        </w:rPr>
        <w:t>1 550,7</w:t>
      </w:r>
      <w:r w:rsidRPr="00DA3875">
        <w:rPr>
          <w:b/>
        </w:rPr>
        <w:t xml:space="preserve"> mil. Kč.</w:t>
      </w:r>
      <w:r>
        <w:rPr>
          <w:b/>
        </w:rPr>
        <w:t xml:space="preserve"> </w:t>
      </w:r>
    </w:p>
    <w:p w14:paraId="436FD78B" w14:textId="51BD1CB2" w:rsidR="009E0500" w:rsidRDefault="009E0500" w:rsidP="00FE1BF7">
      <w:pPr>
        <w:spacing w:before="120" w:after="12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Celkově byly na úrovni systému u MMR </w:t>
      </w:r>
      <w:r w:rsidRPr="00A16F65">
        <w:rPr>
          <w:rFonts w:cstheme="minorHAnsi"/>
          <w:b/>
        </w:rPr>
        <w:t xml:space="preserve">zkontrolovány </w:t>
      </w:r>
      <w:r>
        <w:rPr>
          <w:rFonts w:cstheme="minorHAnsi"/>
          <w:b/>
        </w:rPr>
        <w:t xml:space="preserve">prostředky ve výši 12 587,8 mil. Kč, z toho na úrovni </w:t>
      </w:r>
      <w:r w:rsidR="001356C4">
        <w:rPr>
          <w:rFonts w:cstheme="minorHAnsi"/>
          <w:b/>
        </w:rPr>
        <w:t xml:space="preserve">dílčího </w:t>
      </w:r>
      <w:r>
        <w:rPr>
          <w:rFonts w:cstheme="minorHAnsi"/>
          <w:b/>
        </w:rPr>
        <w:t xml:space="preserve">systému ITI byly zkontrolovány prostředky ve výši 2 694,4 mil Kč. </w:t>
      </w:r>
      <w:r w:rsidR="00E45E80">
        <w:rPr>
          <w:rFonts w:cstheme="minorHAnsi"/>
          <w:b/>
        </w:rPr>
        <w:t>Z těchto částek činily z</w:t>
      </w:r>
      <w:r>
        <w:rPr>
          <w:rFonts w:cstheme="minorHAnsi"/>
          <w:b/>
        </w:rPr>
        <w:t xml:space="preserve">kontrolované prostředky převedené na účty příjemců </w:t>
      </w:r>
      <w:r w:rsidR="00407EC4">
        <w:rPr>
          <w:rFonts w:cstheme="minorHAnsi"/>
          <w:b/>
        </w:rPr>
        <w:t>celkem</w:t>
      </w:r>
      <w:r w:rsidR="00E45E80">
        <w:rPr>
          <w:rFonts w:cstheme="minorHAnsi"/>
          <w:b/>
        </w:rPr>
        <w:t xml:space="preserve"> </w:t>
      </w:r>
      <w:r>
        <w:rPr>
          <w:rFonts w:cstheme="minorHAnsi"/>
          <w:b/>
        </w:rPr>
        <w:t>1 </w:t>
      </w:r>
      <w:r w:rsidR="00674C28">
        <w:rPr>
          <w:rFonts w:cstheme="minorHAnsi"/>
          <w:b/>
        </w:rPr>
        <w:t>550</w:t>
      </w:r>
      <w:r>
        <w:rPr>
          <w:rFonts w:cstheme="minorHAnsi"/>
          <w:b/>
        </w:rPr>
        <w:t>,</w:t>
      </w:r>
      <w:r w:rsidR="00674C28">
        <w:rPr>
          <w:rFonts w:cstheme="minorHAnsi"/>
          <w:b/>
        </w:rPr>
        <w:t>7</w:t>
      </w:r>
      <w:r w:rsidR="00AB25F4">
        <w:rPr>
          <w:rFonts w:cstheme="minorHAnsi"/>
          <w:b/>
        </w:rPr>
        <w:t> </w:t>
      </w:r>
      <w:r w:rsidRPr="00A16F65">
        <w:rPr>
          <w:rFonts w:cstheme="minorHAnsi"/>
          <w:b/>
        </w:rPr>
        <w:t>mil. Kč</w:t>
      </w:r>
      <w:r>
        <w:rPr>
          <w:rFonts w:cstheme="minorHAnsi"/>
          <w:b/>
        </w:rPr>
        <w:t xml:space="preserve">, z toho 761,1 mil. Kč </w:t>
      </w:r>
      <w:r w:rsidR="00E45E80">
        <w:rPr>
          <w:rFonts w:cstheme="minorHAnsi"/>
          <w:b/>
        </w:rPr>
        <w:t xml:space="preserve">bylo převedeno </w:t>
      </w:r>
      <w:r>
        <w:rPr>
          <w:rFonts w:cstheme="minorHAnsi"/>
          <w:b/>
        </w:rPr>
        <w:t xml:space="preserve">na účty příjemců realizujících </w:t>
      </w:r>
      <w:r w:rsidR="003D0FE9">
        <w:rPr>
          <w:rFonts w:cstheme="minorHAnsi"/>
          <w:b/>
        </w:rPr>
        <w:t xml:space="preserve">integrované projekty </w:t>
      </w:r>
      <w:r w:rsidR="003D0FE9">
        <w:rPr>
          <w:rFonts w:cstheme="minorHAnsi"/>
        </w:rPr>
        <w:t>(dále též „</w:t>
      </w:r>
      <w:r>
        <w:rPr>
          <w:rFonts w:cstheme="minorHAnsi"/>
        </w:rPr>
        <w:t>projekty ITI</w:t>
      </w:r>
      <w:r w:rsidR="003D0FE9">
        <w:rPr>
          <w:rFonts w:cstheme="minorHAnsi"/>
        </w:rPr>
        <w:t xml:space="preserve">“). </w:t>
      </w:r>
      <w:r w:rsidR="00D7482B">
        <w:rPr>
          <w:rFonts w:cstheme="minorHAnsi"/>
          <w:b/>
        </w:rPr>
        <w:t xml:space="preserve">V rámci dílčího systému ITI prověřil NKÚ celkem 19 výzev </w:t>
      </w:r>
      <w:r w:rsidR="005242AB">
        <w:rPr>
          <w:rFonts w:cstheme="minorHAnsi"/>
          <w:b/>
        </w:rPr>
        <w:t>n</w:t>
      </w:r>
      <w:r w:rsidR="00D7482B">
        <w:rPr>
          <w:rFonts w:cstheme="minorHAnsi"/>
          <w:b/>
        </w:rPr>
        <w:t xml:space="preserve">ositelů ITI, na ně navázaných 19 výzev </w:t>
      </w:r>
      <w:r w:rsidR="005242AB">
        <w:rPr>
          <w:rFonts w:cstheme="minorHAnsi"/>
          <w:b/>
        </w:rPr>
        <w:t>z</w:t>
      </w:r>
      <w:r w:rsidR="00D7482B">
        <w:rPr>
          <w:rFonts w:cstheme="minorHAnsi"/>
          <w:b/>
        </w:rPr>
        <w:t>prostředkujících subjektů ITI, 3</w:t>
      </w:r>
      <w:r w:rsidR="00EC2DB8">
        <w:rPr>
          <w:rFonts w:cstheme="minorHAnsi"/>
          <w:b/>
        </w:rPr>
        <w:t>5</w:t>
      </w:r>
      <w:r w:rsidR="009A0D60">
        <w:rPr>
          <w:rFonts w:cstheme="minorHAnsi"/>
          <w:b/>
        </w:rPr>
        <w:t> </w:t>
      </w:r>
      <w:r w:rsidR="00D7482B">
        <w:rPr>
          <w:rFonts w:cstheme="minorHAnsi"/>
          <w:b/>
        </w:rPr>
        <w:t xml:space="preserve">projektových záměrů předložených do výzev </w:t>
      </w:r>
      <w:r w:rsidR="005242AB">
        <w:rPr>
          <w:rFonts w:cstheme="minorHAnsi"/>
          <w:b/>
        </w:rPr>
        <w:t>n</w:t>
      </w:r>
      <w:r w:rsidR="00D7482B">
        <w:rPr>
          <w:rFonts w:cstheme="minorHAnsi"/>
          <w:b/>
        </w:rPr>
        <w:t xml:space="preserve">ositelů ITI </w:t>
      </w:r>
      <w:r w:rsidR="00C015BF">
        <w:rPr>
          <w:rFonts w:cstheme="minorHAnsi"/>
          <w:b/>
        </w:rPr>
        <w:t xml:space="preserve">a </w:t>
      </w:r>
      <w:r w:rsidR="00EC2DB8">
        <w:rPr>
          <w:rFonts w:cstheme="minorHAnsi"/>
          <w:b/>
        </w:rPr>
        <w:t>33</w:t>
      </w:r>
      <w:r w:rsidR="00D7482B">
        <w:rPr>
          <w:rFonts w:cstheme="minorHAnsi"/>
          <w:b/>
        </w:rPr>
        <w:t xml:space="preserve"> žádostí o podporu z vý</w:t>
      </w:r>
      <w:r w:rsidR="008A199A">
        <w:rPr>
          <w:rFonts w:cstheme="minorHAnsi"/>
          <w:b/>
        </w:rPr>
        <w:t xml:space="preserve">zev </w:t>
      </w:r>
      <w:r w:rsidR="005242AB">
        <w:rPr>
          <w:rFonts w:cstheme="minorHAnsi"/>
          <w:b/>
        </w:rPr>
        <w:t>z</w:t>
      </w:r>
      <w:r w:rsidR="008A199A">
        <w:rPr>
          <w:rFonts w:cstheme="minorHAnsi"/>
          <w:b/>
        </w:rPr>
        <w:t>prostředkujících subjektů </w:t>
      </w:r>
      <w:r w:rsidR="00D7482B">
        <w:rPr>
          <w:rFonts w:cstheme="minorHAnsi"/>
          <w:b/>
        </w:rPr>
        <w:t>ITI.</w:t>
      </w:r>
    </w:p>
    <w:p w14:paraId="34ACBC73" w14:textId="77777777" w:rsidR="009E0500" w:rsidRPr="00D447AE" w:rsidRDefault="009E0500" w:rsidP="00FE1BF7">
      <w:pPr>
        <w:spacing w:before="120" w:after="120" w:line="240" w:lineRule="auto"/>
        <w:rPr>
          <w:rFonts w:cstheme="minorHAnsi"/>
          <w:snapToGrid w:val="0"/>
        </w:rPr>
      </w:pPr>
      <w:r>
        <w:rPr>
          <w:rFonts w:cstheme="minorHAnsi"/>
        </w:rPr>
        <w:t>Podrobnosti ke kontrolo</w:t>
      </w:r>
      <w:r w:rsidR="00C845B0">
        <w:rPr>
          <w:rFonts w:cstheme="minorHAnsi"/>
        </w:rPr>
        <w:t xml:space="preserve">vanému objemu uvádí tabulka č. </w:t>
      </w:r>
      <w:r w:rsidR="00D84BC4" w:rsidRPr="00D447AE">
        <w:rPr>
          <w:rFonts w:cstheme="minorHAnsi"/>
        </w:rPr>
        <w:t>2</w:t>
      </w:r>
      <w:r w:rsidRPr="00D447AE">
        <w:rPr>
          <w:rFonts w:cstheme="minorHAnsi"/>
        </w:rPr>
        <w:t xml:space="preserve">. </w:t>
      </w:r>
    </w:p>
    <w:p w14:paraId="61C65028" w14:textId="3C47A2C2" w:rsidR="009E0500" w:rsidRDefault="00C845B0" w:rsidP="005242AB">
      <w:pPr>
        <w:pStyle w:val="Nadpistabulky"/>
        <w:tabs>
          <w:tab w:val="clear" w:pos="1418"/>
        </w:tabs>
        <w:spacing w:after="40"/>
        <w:ind w:left="1361" w:hanging="1361"/>
      </w:pPr>
      <w:r w:rsidRPr="00D447AE">
        <w:t xml:space="preserve">Tabulka č. </w:t>
      </w:r>
      <w:r w:rsidR="00D84BC4" w:rsidRPr="00D447AE">
        <w:t>2</w:t>
      </w:r>
      <w:r w:rsidR="009E0500" w:rsidRPr="00D447AE">
        <w:t>:</w:t>
      </w:r>
      <w:r w:rsidR="009E0500" w:rsidRPr="00D447AE">
        <w:tab/>
        <w:t>Přeh</w:t>
      </w:r>
      <w:r w:rsidR="009E0500">
        <w:t>led k</w:t>
      </w:r>
      <w:r w:rsidR="009E0500" w:rsidRPr="00BC4A52">
        <w:t>ontrolovaný</w:t>
      </w:r>
      <w:r w:rsidR="009E0500">
        <w:t xml:space="preserve">ch prostředků SC 1.2 </w:t>
      </w:r>
      <w:r w:rsidR="00EF2AFA">
        <w:t xml:space="preserve">IROP </w:t>
      </w:r>
      <w:r w:rsidR="009E0500">
        <w:t>pocházejících ze zdrojů</w:t>
      </w:r>
      <w:r w:rsidR="009E0500" w:rsidRPr="00BC4A52">
        <w:t xml:space="preserve"> EU</w:t>
      </w:r>
      <w:r w:rsidR="00A95A88">
        <w:t xml:space="preserve"> a </w:t>
      </w:r>
      <w:r w:rsidR="009E0500">
        <w:t>státního rozpočtu</w:t>
      </w:r>
      <w:r w:rsidR="009E0500" w:rsidRPr="00BC4A52">
        <w:t xml:space="preserve"> </w:t>
      </w:r>
      <w:r w:rsidR="009E0500">
        <w:tab/>
      </w:r>
    </w:p>
    <w:tbl>
      <w:tblPr>
        <w:tblW w:w="9157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1"/>
        <w:gridCol w:w="1418"/>
        <w:gridCol w:w="1559"/>
        <w:gridCol w:w="1418"/>
        <w:gridCol w:w="645"/>
        <w:gridCol w:w="1197"/>
        <w:gridCol w:w="709"/>
      </w:tblGrid>
      <w:tr w:rsidR="009E0500" w:rsidRPr="00790EAA" w14:paraId="0EEC8DB8" w14:textId="77777777" w:rsidTr="00790EAA">
        <w:trPr>
          <w:trHeight w:val="283"/>
          <w:jc w:val="center"/>
        </w:trPr>
        <w:tc>
          <w:tcPr>
            <w:tcW w:w="2211" w:type="dxa"/>
            <w:vMerge w:val="restart"/>
            <w:shd w:val="clear" w:color="000000" w:fill="E5F1FF"/>
            <w:vAlign w:val="center"/>
            <w:hideMark/>
          </w:tcPr>
          <w:p w14:paraId="0FFDFA35" w14:textId="77777777" w:rsidR="009E0500" w:rsidRPr="00790EAA" w:rsidRDefault="009E0500" w:rsidP="00794ED1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Kontrolovaný objem</w:t>
            </w:r>
          </w:p>
        </w:tc>
        <w:tc>
          <w:tcPr>
            <w:tcW w:w="2977" w:type="dxa"/>
            <w:gridSpan w:val="2"/>
            <w:shd w:val="clear" w:color="000000" w:fill="E5F1FF"/>
            <w:vAlign w:val="center"/>
            <w:hideMark/>
          </w:tcPr>
          <w:p w14:paraId="1D747768" w14:textId="77777777" w:rsidR="009E0500" w:rsidRPr="00790EAA" w:rsidRDefault="009E0500" w:rsidP="00794ED1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Na úrovni celého systému</w:t>
            </w:r>
          </w:p>
        </w:tc>
        <w:tc>
          <w:tcPr>
            <w:tcW w:w="3969" w:type="dxa"/>
            <w:gridSpan w:val="4"/>
            <w:shd w:val="clear" w:color="000000" w:fill="E5F1FF"/>
            <w:vAlign w:val="center"/>
            <w:hideMark/>
          </w:tcPr>
          <w:p w14:paraId="18159472" w14:textId="77777777" w:rsidR="009E0500" w:rsidRPr="00790EAA" w:rsidRDefault="009E0500" w:rsidP="00794ED1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 xml:space="preserve">Z toho na úrovni </w:t>
            </w:r>
            <w:r w:rsidR="001356C4"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 xml:space="preserve">dílčího </w:t>
            </w: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systému ITI</w:t>
            </w:r>
          </w:p>
        </w:tc>
      </w:tr>
      <w:tr w:rsidR="009E0500" w:rsidRPr="00790EAA" w14:paraId="0176186D" w14:textId="77777777" w:rsidTr="00790EAA">
        <w:trPr>
          <w:trHeight w:val="283"/>
          <w:jc w:val="center"/>
        </w:trPr>
        <w:tc>
          <w:tcPr>
            <w:tcW w:w="2211" w:type="dxa"/>
            <w:vMerge/>
            <w:vAlign w:val="center"/>
            <w:hideMark/>
          </w:tcPr>
          <w:p w14:paraId="24057714" w14:textId="77777777" w:rsidR="009E0500" w:rsidRPr="00790EAA" w:rsidRDefault="009E0500" w:rsidP="00794ED1">
            <w:pPr>
              <w:keepNext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Merge w:val="restart"/>
            <w:shd w:val="clear" w:color="000000" w:fill="E5F1FF"/>
            <w:vAlign w:val="center"/>
            <w:hideMark/>
          </w:tcPr>
          <w:p w14:paraId="00B60CB1" w14:textId="52A99E7F" w:rsidR="009E0500" w:rsidRPr="00790EAA" w:rsidRDefault="009E0500" w:rsidP="00794ED1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 xml:space="preserve">Celkem na výzvách </w:t>
            </w:r>
            <w:r w:rsid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br/>
            </w: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 xml:space="preserve">ŘO IROP </w:t>
            </w:r>
            <w:r w:rsid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br/>
            </w: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(Kč)</w:t>
            </w:r>
          </w:p>
        </w:tc>
        <w:tc>
          <w:tcPr>
            <w:tcW w:w="1559" w:type="dxa"/>
            <w:vMerge w:val="restart"/>
            <w:shd w:val="clear" w:color="000000" w:fill="E5F1FF"/>
            <w:vAlign w:val="center"/>
            <w:hideMark/>
          </w:tcPr>
          <w:p w14:paraId="63118E48" w14:textId="77777777" w:rsidR="009E0500" w:rsidRPr="00790EAA" w:rsidRDefault="00126E04" w:rsidP="00794ED1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 xml:space="preserve">- z </w:t>
            </w:r>
            <w:r w:rsidR="009E0500"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toho kontrolované prostředky převedené na účty příjemců (Kč)</w:t>
            </w:r>
          </w:p>
        </w:tc>
        <w:tc>
          <w:tcPr>
            <w:tcW w:w="2063" w:type="dxa"/>
            <w:gridSpan w:val="2"/>
            <w:shd w:val="clear" w:color="000000" w:fill="E5F1FF"/>
            <w:vAlign w:val="center"/>
            <w:hideMark/>
          </w:tcPr>
          <w:p w14:paraId="338C51E6" w14:textId="77777777" w:rsidR="009E0500" w:rsidRPr="00790EAA" w:rsidRDefault="009E0500" w:rsidP="00794ED1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Celkem na výzvách ZS ITI</w:t>
            </w:r>
          </w:p>
        </w:tc>
        <w:tc>
          <w:tcPr>
            <w:tcW w:w="1906" w:type="dxa"/>
            <w:gridSpan w:val="2"/>
            <w:shd w:val="clear" w:color="000000" w:fill="E5F1FF"/>
            <w:vAlign w:val="center"/>
            <w:hideMark/>
          </w:tcPr>
          <w:p w14:paraId="292EBF85" w14:textId="77777777" w:rsidR="009E0500" w:rsidRPr="00790EAA" w:rsidRDefault="00126E04" w:rsidP="00794ED1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 xml:space="preserve">- z </w:t>
            </w:r>
            <w:r w:rsidR="009E0500"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 xml:space="preserve">toho kontrolované prostředky převedené na účty příjemců </w:t>
            </w:r>
          </w:p>
        </w:tc>
      </w:tr>
      <w:tr w:rsidR="009E0500" w:rsidRPr="00790EAA" w14:paraId="46EC855D" w14:textId="77777777" w:rsidTr="00790EAA">
        <w:trPr>
          <w:trHeight w:val="283"/>
          <w:jc w:val="center"/>
        </w:trPr>
        <w:tc>
          <w:tcPr>
            <w:tcW w:w="2211" w:type="dxa"/>
            <w:vMerge/>
            <w:vAlign w:val="center"/>
            <w:hideMark/>
          </w:tcPr>
          <w:p w14:paraId="2A93CF89" w14:textId="77777777" w:rsidR="009E0500" w:rsidRPr="00790EAA" w:rsidRDefault="009E0500" w:rsidP="00794ED1">
            <w:pPr>
              <w:keepNext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038D8E9F" w14:textId="77777777" w:rsidR="009E0500" w:rsidRPr="00790EAA" w:rsidRDefault="009E0500" w:rsidP="00794ED1">
            <w:pPr>
              <w:keepNext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14:paraId="68A50C30" w14:textId="77777777" w:rsidR="009E0500" w:rsidRPr="00790EAA" w:rsidRDefault="009E0500" w:rsidP="00794ED1">
            <w:pPr>
              <w:keepNext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</w:p>
        </w:tc>
        <w:tc>
          <w:tcPr>
            <w:tcW w:w="1418" w:type="dxa"/>
            <w:shd w:val="clear" w:color="000000" w:fill="E5F1FF"/>
            <w:vAlign w:val="center"/>
            <w:hideMark/>
          </w:tcPr>
          <w:p w14:paraId="1ED18C42" w14:textId="77777777" w:rsidR="009E0500" w:rsidRPr="00790EAA" w:rsidRDefault="009E0500" w:rsidP="00794ED1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v Kč</w:t>
            </w:r>
          </w:p>
        </w:tc>
        <w:tc>
          <w:tcPr>
            <w:tcW w:w="645" w:type="dxa"/>
            <w:shd w:val="clear" w:color="000000" w:fill="E5F1FF"/>
            <w:vAlign w:val="center"/>
            <w:hideMark/>
          </w:tcPr>
          <w:p w14:paraId="67FE70AE" w14:textId="77777777" w:rsidR="009E0500" w:rsidRPr="00790EAA" w:rsidRDefault="009E0500" w:rsidP="00794ED1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v %</w:t>
            </w:r>
          </w:p>
        </w:tc>
        <w:tc>
          <w:tcPr>
            <w:tcW w:w="1197" w:type="dxa"/>
            <w:shd w:val="clear" w:color="000000" w:fill="E5F1FF"/>
            <w:vAlign w:val="center"/>
            <w:hideMark/>
          </w:tcPr>
          <w:p w14:paraId="27359F99" w14:textId="77777777" w:rsidR="009E0500" w:rsidRPr="00790EAA" w:rsidRDefault="009E0500" w:rsidP="00794ED1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v Kč</w:t>
            </w:r>
          </w:p>
        </w:tc>
        <w:tc>
          <w:tcPr>
            <w:tcW w:w="709" w:type="dxa"/>
            <w:shd w:val="clear" w:color="000000" w:fill="E5F1FF"/>
            <w:vAlign w:val="center"/>
            <w:hideMark/>
          </w:tcPr>
          <w:p w14:paraId="4F3888FF" w14:textId="77777777" w:rsidR="009E0500" w:rsidRPr="00790EAA" w:rsidRDefault="009E0500" w:rsidP="00794ED1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v %</w:t>
            </w:r>
          </w:p>
        </w:tc>
      </w:tr>
      <w:tr w:rsidR="009E0500" w:rsidRPr="00790EAA" w14:paraId="6444F8A7" w14:textId="77777777" w:rsidTr="00790EAA">
        <w:trPr>
          <w:trHeight w:val="283"/>
          <w:jc w:val="center"/>
        </w:trPr>
        <w:tc>
          <w:tcPr>
            <w:tcW w:w="2211" w:type="dxa"/>
            <w:shd w:val="clear" w:color="auto" w:fill="auto"/>
            <w:noWrap/>
            <w:vAlign w:val="bottom"/>
            <w:hideMark/>
          </w:tcPr>
          <w:p w14:paraId="7AC51BBF" w14:textId="77777777" w:rsidR="009E0500" w:rsidRPr="00790EAA" w:rsidRDefault="009E0500" w:rsidP="00794ED1">
            <w:pPr>
              <w:keepNext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>Zdroje EU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6C65BDB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>11 206 713 655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2BEC8EF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 xml:space="preserve">1 545 639 986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2F53B6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 xml:space="preserve">2 560 272 260 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14:paraId="1EAB539F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>22,8</w:t>
            </w:r>
            <w:r w:rsidR="00D7482B" w:rsidRPr="00790EAA">
              <w:rPr>
                <w:rFonts w:ascii="Calibri" w:hAnsi="Calibri" w:cs="Calibri"/>
                <w:color w:val="000000"/>
                <w:sz w:val="20"/>
                <w:szCs w:val="22"/>
              </w:rPr>
              <w:t>5</w:t>
            </w: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14:paraId="2DB3C0D2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 xml:space="preserve">758 409 894 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F90BC2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 xml:space="preserve">49,07 </w:t>
            </w:r>
          </w:p>
        </w:tc>
      </w:tr>
      <w:tr w:rsidR="009E0500" w:rsidRPr="00790EAA" w14:paraId="32AFE261" w14:textId="77777777" w:rsidTr="00790EAA">
        <w:trPr>
          <w:trHeight w:val="283"/>
          <w:jc w:val="center"/>
        </w:trPr>
        <w:tc>
          <w:tcPr>
            <w:tcW w:w="2211" w:type="dxa"/>
            <w:shd w:val="clear" w:color="auto" w:fill="auto"/>
            <w:noWrap/>
            <w:vAlign w:val="bottom"/>
            <w:hideMark/>
          </w:tcPr>
          <w:p w14:paraId="4503FD14" w14:textId="77777777" w:rsidR="009E0500" w:rsidRPr="00790EAA" w:rsidRDefault="009E0500" w:rsidP="00794ED1">
            <w:pPr>
              <w:keepNext/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>Zdroje státního rozpočtu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510BD02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>1 381 063 841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E2FE047" w14:textId="77777777" w:rsidR="009E0500" w:rsidRPr="00790EAA" w:rsidRDefault="00187D35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>5 053 932</w:t>
            </w:r>
            <w:r w:rsidR="009E0500" w:rsidRPr="00790EAA">
              <w:rPr>
                <w:rFonts w:ascii="Calibri" w:hAnsi="Calibri" w:cs="Calibri"/>
                <w:color w:val="000000"/>
                <w:sz w:val="20"/>
                <w:szCs w:val="22"/>
              </w:rPr>
              <w:t xml:space="preserve"> 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7DBBC281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 xml:space="preserve">134 132 717 </w:t>
            </w:r>
          </w:p>
        </w:tc>
        <w:tc>
          <w:tcPr>
            <w:tcW w:w="645" w:type="dxa"/>
            <w:shd w:val="clear" w:color="auto" w:fill="auto"/>
            <w:noWrap/>
            <w:vAlign w:val="center"/>
            <w:hideMark/>
          </w:tcPr>
          <w:p w14:paraId="2721D057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 xml:space="preserve">9,71 </w:t>
            </w:r>
          </w:p>
        </w:tc>
        <w:tc>
          <w:tcPr>
            <w:tcW w:w="1197" w:type="dxa"/>
            <w:shd w:val="clear" w:color="auto" w:fill="auto"/>
            <w:noWrap/>
            <w:vAlign w:val="center"/>
            <w:hideMark/>
          </w:tcPr>
          <w:p w14:paraId="57426EA6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 xml:space="preserve">2 713 088 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9BB65D" w14:textId="77777777" w:rsidR="009E0500" w:rsidRPr="00790EAA" w:rsidRDefault="00187D35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color w:val="000000"/>
                <w:sz w:val="20"/>
                <w:szCs w:val="22"/>
              </w:rPr>
              <w:t>53,68</w:t>
            </w:r>
            <w:r w:rsidR="009E0500" w:rsidRPr="00790EAA">
              <w:rPr>
                <w:rFonts w:ascii="Calibri" w:hAnsi="Calibri" w:cs="Calibri"/>
                <w:color w:val="000000"/>
                <w:sz w:val="20"/>
                <w:szCs w:val="22"/>
              </w:rPr>
              <w:t xml:space="preserve"> </w:t>
            </w:r>
          </w:p>
        </w:tc>
      </w:tr>
      <w:tr w:rsidR="009E0500" w:rsidRPr="00790EAA" w14:paraId="77539A33" w14:textId="77777777" w:rsidTr="00790EAA">
        <w:trPr>
          <w:trHeight w:val="283"/>
          <w:jc w:val="center"/>
        </w:trPr>
        <w:tc>
          <w:tcPr>
            <w:tcW w:w="2211" w:type="dxa"/>
            <w:shd w:val="clear" w:color="000000" w:fill="F2C6C9"/>
            <w:noWrap/>
            <w:vAlign w:val="bottom"/>
            <w:hideMark/>
          </w:tcPr>
          <w:p w14:paraId="208C7FDA" w14:textId="77777777" w:rsidR="009E0500" w:rsidRPr="00790EAA" w:rsidRDefault="009E0500" w:rsidP="00794ED1">
            <w:pPr>
              <w:keepNext/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Cekem</w:t>
            </w:r>
          </w:p>
        </w:tc>
        <w:tc>
          <w:tcPr>
            <w:tcW w:w="1418" w:type="dxa"/>
            <w:shd w:val="clear" w:color="000000" w:fill="F2C6C9"/>
            <w:noWrap/>
            <w:vAlign w:val="center"/>
            <w:hideMark/>
          </w:tcPr>
          <w:p w14:paraId="49119527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12 587 777 496</w:t>
            </w:r>
          </w:p>
        </w:tc>
        <w:tc>
          <w:tcPr>
            <w:tcW w:w="1559" w:type="dxa"/>
            <w:shd w:val="clear" w:color="000000" w:fill="F2C6C9"/>
            <w:noWrap/>
            <w:vAlign w:val="center"/>
            <w:hideMark/>
          </w:tcPr>
          <w:p w14:paraId="4293D388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 xml:space="preserve">1 </w:t>
            </w:r>
            <w:r w:rsidR="00187D35"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550</w:t>
            </w: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 xml:space="preserve"> </w:t>
            </w:r>
            <w:r w:rsidR="00187D35"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693</w:t>
            </w: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 xml:space="preserve"> </w:t>
            </w:r>
            <w:r w:rsidR="00187D35"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918</w:t>
            </w:r>
          </w:p>
        </w:tc>
        <w:tc>
          <w:tcPr>
            <w:tcW w:w="1418" w:type="dxa"/>
            <w:shd w:val="clear" w:color="000000" w:fill="F2C6C9"/>
            <w:noWrap/>
            <w:vAlign w:val="center"/>
            <w:hideMark/>
          </w:tcPr>
          <w:p w14:paraId="3C26E47E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2 694 404 977</w:t>
            </w:r>
          </w:p>
        </w:tc>
        <w:tc>
          <w:tcPr>
            <w:tcW w:w="645" w:type="dxa"/>
            <w:shd w:val="clear" w:color="000000" w:fill="F2C6C9"/>
            <w:noWrap/>
            <w:vAlign w:val="center"/>
            <w:hideMark/>
          </w:tcPr>
          <w:p w14:paraId="3B1898AE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21,40</w:t>
            </w:r>
          </w:p>
        </w:tc>
        <w:tc>
          <w:tcPr>
            <w:tcW w:w="1197" w:type="dxa"/>
            <w:shd w:val="clear" w:color="000000" w:fill="F2C6C9"/>
            <w:noWrap/>
            <w:vAlign w:val="center"/>
            <w:hideMark/>
          </w:tcPr>
          <w:p w14:paraId="39A61C0F" w14:textId="77777777" w:rsidR="009E0500" w:rsidRPr="00790EAA" w:rsidRDefault="009E0500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761 122 982</w:t>
            </w:r>
          </w:p>
        </w:tc>
        <w:tc>
          <w:tcPr>
            <w:tcW w:w="709" w:type="dxa"/>
            <w:shd w:val="clear" w:color="000000" w:fill="F2C6C9"/>
            <w:noWrap/>
            <w:vAlign w:val="center"/>
            <w:hideMark/>
          </w:tcPr>
          <w:p w14:paraId="348F44EA" w14:textId="77777777" w:rsidR="009E0500" w:rsidRPr="00790EAA" w:rsidRDefault="00187D35" w:rsidP="00790EAA">
            <w:pPr>
              <w:keepNext/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49</w:t>
            </w:r>
            <w:r w:rsidR="009E0500"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,</w:t>
            </w:r>
            <w:r w:rsidRPr="00790EAA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  <w:t>08</w:t>
            </w:r>
          </w:p>
        </w:tc>
      </w:tr>
    </w:tbl>
    <w:p w14:paraId="5D4F8485" w14:textId="77777777" w:rsidR="009E0500" w:rsidRDefault="00434119" w:rsidP="00790EAA">
      <w:pPr>
        <w:pStyle w:val="KZnormln"/>
        <w:keepNext/>
        <w:spacing w:before="40" w:after="0"/>
        <w:ind w:left="567" w:hanging="567"/>
        <w:rPr>
          <w:sz w:val="20"/>
          <w:szCs w:val="20"/>
        </w:rPr>
      </w:pPr>
      <w:r w:rsidRPr="00222271">
        <w:rPr>
          <w:b/>
          <w:sz w:val="20"/>
          <w:szCs w:val="20"/>
        </w:rPr>
        <w:t xml:space="preserve">Zdroj: </w:t>
      </w:r>
      <w:r w:rsidR="00222271">
        <w:rPr>
          <w:sz w:val="20"/>
          <w:szCs w:val="20"/>
        </w:rPr>
        <w:tab/>
      </w:r>
      <w:r>
        <w:rPr>
          <w:sz w:val="20"/>
          <w:szCs w:val="20"/>
        </w:rPr>
        <w:t xml:space="preserve">data ze systému </w:t>
      </w:r>
      <w:r w:rsidRPr="00DB7062">
        <w:rPr>
          <w:i/>
          <w:sz w:val="20"/>
          <w:szCs w:val="20"/>
        </w:rPr>
        <w:t>MS2014+</w:t>
      </w:r>
      <w:r w:rsidR="000A7C68">
        <w:rPr>
          <w:sz w:val="20"/>
          <w:szCs w:val="20"/>
        </w:rPr>
        <w:t>.</w:t>
      </w:r>
    </w:p>
    <w:p w14:paraId="4B487144" w14:textId="77777777" w:rsidR="009E0500" w:rsidRPr="004A0CEE" w:rsidRDefault="009E0500" w:rsidP="00790EAA">
      <w:pPr>
        <w:pStyle w:val="KP-normlntext"/>
        <w:spacing w:before="120" w:after="0"/>
        <w:rPr>
          <w:color w:val="auto"/>
        </w:rPr>
      </w:pPr>
      <w:r w:rsidRPr="004A0CEE">
        <w:rPr>
          <w:rFonts w:eastAsiaTheme="minorHAnsi"/>
          <w:color w:val="auto"/>
          <w:lang w:eastAsia="cs-CZ"/>
        </w:rPr>
        <w:t xml:space="preserve">NKÚ v kontrolní akci využil </w:t>
      </w:r>
      <w:r>
        <w:rPr>
          <w:rFonts w:eastAsiaTheme="minorHAnsi"/>
          <w:color w:val="auto"/>
          <w:lang w:eastAsia="cs-CZ"/>
        </w:rPr>
        <w:t xml:space="preserve">mimo jiné </w:t>
      </w:r>
      <w:r w:rsidRPr="004A0CEE">
        <w:rPr>
          <w:rFonts w:eastAsiaTheme="minorHAnsi"/>
          <w:color w:val="auto"/>
          <w:lang w:eastAsia="cs-CZ"/>
        </w:rPr>
        <w:t xml:space="preserve">údaje z monitorovacího systému </w:t>
      </w:r>
      <w:r w:rsidRPr="00DB7062">
        <w:rPr>
          <w:rFonts w:eastAsiaTheme="minorHAnsi"/>
          <w:i/>
          <w:color w:val="auto"/>
          <w:lang w:eastAsia="cs-CZ"/>
        </w:rPr>
        <w:t>MS2014+</w:t>
      </w:r>
      <w:r w:rsidRPr="004A0CEE">
        <w:rPr>
          <w:rFonts w:eastAsiaTheme="minorHAnsi"/>
          <w:color w:val="auto"/>
          <w:lang w:eastAsia="cs-CZ"/>
        </w:rPr>
        <w:t>.</w:t>
      </w:r>
    </w:p>
    <w:p w14:paraId="352E23FB" w14:textId="171CF614" w:rsidR="009E0500" w:rsidRDefault="009E0500" w:rsidP="00790EAA">
      <w:pPr>
        <w:spacing w:after="0" w:line="240" w:lineRule="auto"/>
        <w:rPr>
          <w:rFonts w:cstheme="minorHAnsi"/>
        </w:rPr>
      </w:pPr>
    </w:p>
    <w:p w14:paraId="4D19232C" w14:textId="77777777" w:rsidR="00790EAA" w:rsidRDefault="00790EAA" w:rsidP="00790EAA">
      <w:pPr>
        <w:spacing w:after="0" w:line="240" w:lineRule="auto"/>
        <w:rPr>
          <w:rFonts w:cstheme="minorHAnsi"/>
        </w:rPr>
      </w:pPr>
    </w:p>
    <w:p w14:paraId="46272BB3" w14:textId="5EB9524B" w:rsidR="009E0500" w:rsidRPr="003B306D" w:rsidRDefault="00790EAA" w:rsidP="00790EAA">
      <w:pPr>
        <w:pStyle w:val="Nadpis1"/>
        <w:numPr>
          <w:ilvl w:val="0"/>
          <w:numId w:val="0"/>
        </w:numPr>
      </w:pPr>
      <w:r>
        <w:t xml:space="preserve">IV. </w:t>
      </w:r>
      <w:r w:rsidR="009E0500" w:rsidRPr="003B306D">
        <w:t>Podrobnosti ke zjištěným skutečnostem</w:t>
      </w:r>
    </w:p>
    <w:p w14:paraId="67C451DC" w14:textId="7DCECD31" w:rsidR="009E0500" w:rsidRPr="003B306D" w:rsidRDefault="005242AB" w:rsidP="005242AB">
      <w:pPr>
        <w:pStyle w:val="Nadpis2"/>
        <w:numPr>
          <w:ilvl w:val="0"/>
          <w:numId w:val="0"/>
        </w:numPr>
      </w:pPr>
      <w:r>
        <w:t xml:space="preserve">1. </w:t>
      </w:r>
      <w:r w:rsidR="009E0500" w:rsidRPr="003B306D">
        <w:t xml:space="preserve">Naplňování specifického cíle 1.2 IROP „Zvýšení </w:t>
      </w:r>
      <w:r w:rsidR="00C6678F">
        <w:t xml:space="preserve">podílu </w:t>
      </w:r>
      <w:r w:rsidR="009E0500" w:rsidRPr="003B306D">
        <w:t>udržitelných forem dopravy“</w:t>
      </w:r>
    </w:p>
    <w:p w14:paraId="71854AF9" w14:textId="77777777" w:rsidR="009D6467" w:rsidRDefault="009D6467" w:rsidP="00021026">
      <w:pPr>
        <w:pStyle w:val="Nadpis4"/>
      </w:pPr>
      <w:r>
        <w:t xml:space="preserve">Kontrolované projekty přispívají k naplňování </w:t>
      </w:r>
      <w:r w:rsidR="00021026">
        <w:t>specifického cíle 1.2 IROP</w:t>
      </w:r>
    </w:p>
    <w:p w14:paraId="219A1B6F" w14:textId="77777777" w:rsidR="00894FFA" w:rsidRDefault="00632F43" w:rsidP="00632F43">
      <w:pPr>
        <w:pStyle w:val="Zkladn"/>
      </w:pPr>
      <w:r>
        <w:t>Prostřednictvím podpořených projektů jsou naplňovány v jednotlivých aktivitách zejména dílčí cíle, které MMR stanovilo pro SC 1.2 IROP v programovém dokumentu</w:t>
      </w:r>
      <w:r w:rsidR="00173385">
        <w:t xml:space="preserve"> následovně</w:t>
      </w:r>
      <w:r>
        <w:t>:</w:t>
      </w:r>
    </w:p>
    <w:p w14:paraId="301B373C" w14:textId="77777777" w:rsidR="00632F43" w:rsidRDefault="00632F43" w:rsidP="00790EAA">
      <w:pPr>
        <w:pStyle w:val="Zkladn"/>
        <w:numPr>
          <w:ilvl w:val="0"/>
          <w:numId w:val="36"/>
        </w:numPr>
        <w:ind w:left="284" w:hanging="284"/>
      </w:pPr>
      <w:r>
        <w:t xml:space="preserve">posílit přepravní výkony veřejné dopravy, </w:t>
      </w:r>
    </w:p>
    <w:p w14:paraId="1F22BE55" w14:textId="77777777" w:rsidR="00632F43" w:rsidRDefault="00632F43" w:rsidP="00790EAA">
      <w:pPr>
        <w:pStyle w:val="Zkladn"/>
        <w:numPr>
          <w:ilvl w:val="0"/>
          <w:numId w:val="36"/>
        </w:numPr>
        <w:ind w:left="284" w:hanging="284"/>
      </w:pPr>
      <w:r>
        <w:t>snížit zátěže plynoucí z</w:t>
      </w:r>
      <w:r w:rsidR="00AB25F4">
        <w:t> individuální automobilové dopravy</w:t>
      </w:r>
      <w:r>
        <w:t xml:space="preserve"> </w:t>
      </w:r>
      <w:r w:rsidR="00AB25F4">
        <w:t>(dále též „</w:t>
      </w:r>
      <w:r>
        <w:t>IAD</w:t>
      </w:r>
      <w:r w:rsidR="00AB25F4">
        <w:t>“)</w:t>
      </w:r>
      <w:r>
        <w:t xml:space="preserve">, </w:t>
      </w:r>
    </w:p>
    <w:p w14:paraId="12EC8BF0" w14:textId="77777777" w:rsidR="00632F43" w:rsidRDefault="00632F43" w:rsidP="00790EAA">
      <w:pPr>
        <w:pStyle w:val="Zkladn"/>
        <w:numPr>
          <w:ilvl w:val="0"/>
          <w:numId w:val="36"/>
        </w:numPr>
        <w:ind w:left="284" w:hanging="284"/>
      </w:pPr>
      <w:r>
        <w:t xml:space="preserve">rozvinout vozový park městských autobusů s alternativním pohonem, </w:t>
      </w:r>
    </w:p>
    <w:p w14:paraId="17C12D7D" w14:textId="77777777" w:rsidR="00632F43" w:rsidRDefault="00632F43" w:rsidP="00790EAA">
      <w:pPr>
        <w:pStyle w:val="Zkladn"/>
        <w:numPr>
          <w:ilvl w:val="0"/>
          <w:numId w:val="36"/>
        </w:numPr>
        <w:ind w:left="284" w:hanging="284"/>
      </w:pPr>
      <w:r>
        <w:t xml:space="preserve">rozvinout a provázat </w:t>
      </w:r>
      <w:r w:rsidR="00AF0AB6">
        <w:t>integrovaný dopravní systém (dále též „</w:t>
      </w:r>
      <w:r>
        <w:t>IDS</w:t>
      </w:r>
      <w:r w:rsidR="00AF0AB6">
        <w:t>“)</w:t>
      </w:r>
      <w:r>
        <w:t xml:space="preserve"> v silničním provozu ve městech a aglomeracích, </w:t>
      </w:r>
    </w:p>
    <w:p w14:paraId="68FAC9D5" w14:textId="77777777" w:rsidR="00632F43" w:rsidRDefault="00632F43" w:rsidP="00790EAA">
      <w:pPr>
        <w:pStyle w:val="Zkladn"/>
        <w:numPr>
          <w:ilvl w:val="0"/>
          <w:numId w:val="36"/>
        </w:numPr>
        <w:ind w:left="284" w:hanging="284"/>
      </w:pPr>
      <w:r>
        <w:t xml:space="preserve">zajistit potřeby specifických skupin obyvatel v dopravě, </w:t>
      </w:r>
    </w:p>
    <w:p w14:paraId="781DDDC5" w14:textId="77777777" w:rsidR="00632F43" w:rsidRDefault="00632F43" w:rsidP="00790EAA">
      <w:pPr>
        <w:pStyle w:val="Zkladn"/>
        <w:numPr>
          <w:ilvl w:val="0"/>
          <w:numId w:val="36"/>
        </w:numPr>
        <w:ind w:left="284" w:hanging="284"/>
      </w:pPr>
      <w:r>
        <w:lastRenderedPageBreak/>
        <w:t xml:space="preserve">zajistit bezpečnost a bezbariérovost dopravy v zájmu zvýšení podílu udržitelných forem dopravy, </w:t>
      </w:r>
    </w:p>
    <w:p w14:paraId="2CD1D643" w14:textId="77777777" w:rsidR="00632F43" w:rsidRDefault="00632F43" w:rsidP="00790EAA">
      <w:pPr>
        <w:pStyle w:val="Zkladn"/>
        <w:numPr>
          <w:ilvl w:val="0"/>
          <w:numId w:val="36"/>
        </w:numPr>
        <w:ind w:left="284" w:hanging="284"/>
      </w:pPr>
      <w:r>
        <w:t xml:space="preserve">zajistit dopravní dostupnost práce, služeb a vzdělání, </w:t>
      </w:r>
    </w:p>
    <w:p w14:paraId="0915A062" w14:textId="77777777" w:rsidR="00632F43" w:rsidRDefault="00632F43" w:rsidP="00790EAA">
      <w:pPr>
        <w:pStyle w:val="Zkladn"/>
        <w:numPr>
          <w:ilvl w:val="0"/>
          <w:numId w:val="36"/>
        </w:numPr>
        <w:ind w:left="284" w:hanging="284"/>
      </w:pPr>
      <w:r>
        <w:t xml:space="preserve">využít potenciál nemotorové dopravy k mobilitě pracovních sil, </w:t>
      </w:r>
    </w:p>
    <w:p w14:paraId="1DB6937D" w14:textId="77777777" w:rsidR="00632F43" w:rsidRDefault="00632F43" w:rsidP="00790EAA">
      <w:pPr>
        <w:pStyle w:val="Zkladn"/>
        <w:numPr>
          <w:ilvl w:val="0"/>
          <w:numId w:val="36"/>
        </w:numPr>
        <w:spacing w:after="120"/>
        <w:ind w:left="284" w:hanging="284"/>
      </w:pPr>
      <w:r>
        <w:t>vytvořit podmínky pro mobilitu a optimalizaci sítě cyklostezek a cyklotras.</w:t>
      </w:r>
    </w:p>
    <w:p w14:paraId="0044EB9F" w14:textId="72AC65DA" w:rsidR="00632F43" w:rsidRDefault="00632F43" w:rsidP="00632F43">
      <w:pPr>
        <w:pStyle w:val="KZnormln"/>
      </w:pPr>
      <w:r w:rsidRPr="00632F43">
        <w:t xml:space="preserve">Vazbu </w:t>
      </w:r>
      <w:r>
        <w:t>kontrolovaných</w:t>
      </w:r>
      <w:r w:rsidRPr="00632F43">
        <w:t xml:space="preserve"> projektů na specifický cíl 1.2 IROP uváděli příjemci podpory ve studii proveditelnost</w:t>
      </w:r>
      <w:r w:rsidR="00830DE2">
        <w:t>i</w:t>
      </w:r>
      <w:r w:rsidRPr="00632F43">
        <w:t>, která byla přílohou žádosti o podporu. Na základě informací uvedených v</w:t>
      </w:r>
      <w:r w:rsidR="005242AB">
        <w:t> </w:t>
      </w:r>
      <w:r w:rsidRPr="00632F43">
        <w:t>těchto studiích identifikoval NKÚ dílčí cíle, které měly být v rámci jednotlivých projektů naplněny.</w:t>
      </w:r>
      <w:r>
        <w:t xml:space="preserve"> </w:t>
      </w:r>
      <w:r w:rsidR="00504B9F">
        <w:t>Při</w:t>
      </w:r>
      <w:r w:rsidR="00504B9F" w:rsidRPr="00632F43">
        <w:t xml:space="preserve"> </w:t>
      </w:r>
      <w:r w:rsidRPr="00632F43">
        <w:t>vyhodnocení naplnění těchto dílčích cílů vycházel NKÚ zejména z informací př</w:t>
      </w:r>
      <w:r w:rsidR="000376D6">
        <w:t>íjemců podpory o </w:t>
      </w:r>
      <w:r w:rsidRPr="00632F43">
        <w:t>jejich přepravních výkonech, údajích o jejich infrastruktuře a vozovém parku a dalších relevantních informací a to za období od roku 2013 (poslední rok minulého programového období) do roku 2018 (kdy byly všechny prověřované projekty zrealizovány). Nejširší základnou těchto dat disponovali příjemci podpory charakteru dopravců.</w:t>
      </w:r>
      <w:r>
        <w:rPr>
          <w:rStyle w:val="Znakapoznpodarou"/>
        </w:rPr>
        <w:footnoteReference w:id="15"/>
      </w:r>
    </w:p>
    <w:p w14:paraId="4CEA0766" w14:textId="61D7C43F" w:rsidR="00632F43" w:rsidRDefault="00632F43" w:rsidP="00632F43">
      <w:pPr>
        <w:pStyle w:val="KZnormln"/>
      </w:pPr>
      <w:r w:rsidRPr="00632F43">
        <w:t>Na základ</w:t>
      </w:r>
      <w:r w:rsidR="00256393">
        <w:t>ě dostupných dat provedl NKÚ mimo jiné</w:t>
      </w:r>
      <w:r w:rsidRPr="00632F43">
        <w:t xml:space="preserve"> vyhodnocení z dlouhodobého hlediska (mezi </w:t>
      </w:r>
      <w:r w:rsidR="00E803E3" w:rsidRPr="00632F43">
        <w:t>výchozím rokem 2013</w:t>
      </w:r>
      <w:r w:rsidR="00E803E3">
        <w:t xml:space="preserve"> a </w:t>
      </w:r>
      <w:r w:rsidRPr="00632F43">
        <w:t>rokem ukončení realizace projektů 2018) a krátkodobého hlediska (mezi rokem ukončení realizace projektů 2018 a rokem předcházejícím, tj. rokem 2017).</w:t>
      </w:r>
      <w:r>
        <w:t xml:space="preserve"> Podrobné vyhodnocení je </w:t>
      </w:r>
      <w:r w:rsidR="009D6467">
        <w:t xml:space="preserve">uvedeno </w:t>
      </w:r>
      <w:r>
        <w:t xml:space="preserve">v příloze č. </w:t>
      </w:r>
      <w:r w:rsidR="00187DA8">
        <w:t>4</w:t>
      </w:r>
      <w:r>
        <w:t xml:space="preserve"> </w:t>
      </w:r>
      <w:r w:rsidR="005242AB">
        <w:t xml:space="preserve">tohoto </w:t>
      </w:r>
      <w:r>
        <w:t>kontrolního závěru.</w:t>
      </w:r>
    </w:p>
    <w:p w14:paraId="492AAA4C" w14:textId="5FE9B540" w:rsidR="009D6467" w:rsidRDefault="009D6467" w:rsidP="009D6467">
      <w:pPr>
        <w:pStyle w:val="Rmeek"/>
      </w:pPr>
      <w:r>
        <w:t xml:space="preserve">U kontrolovaných projektů </w:t>
      </w:r>
      <w:r w:rsidR="00B11A73">
        <w:t>se v</w:t>
      </w:r>
      <w:r w:rsidR="00E47F4D">
        <w:t xml:space="preserve"> </w:t>
      </w:r>
      <w:r>
        <w:t xml:space="preserve">68 </w:t>
      </w:r>
      <w:r w:rsidR="00E47F4D">
        <w:t xml:space="preserve">případech </w:t>
      </w:r>
      <w:r w:rsidR="00B11A73">
        <w:t xml:space="preserve">měl splnit některý </w:t>
      </w:r>
      <w:r w:rsidR="00E47F4D">
        <w:t>dílčí cíl SC 1.2 IROP</w:t>
      </w:r>
      <w:r w:rsidR="00AB25F4">
        <w:t>. Z </w:t>
      </w:r>
      <w:r>
        <w:t>tohoto počt</w:t>
      </w:r>
      <w:r w:rsidR="00E47F4D">
        <w:t xml:space="preserve">u byly dílčí cíle </w:t>
      </w:r>
      <w:r w:rsidR="00AB25F4">
        <w:t xml:space="preserve">příjemci </w:t>
      </w:r>
      <w:r w:rsidR="00E47F4D">
        <w:t>naplněny</w:t>
      </w:r>
      <w:r>
        <w:t xml:space="preserve"> </w:t>
      </w:r>
      <w:r w:rsidR="00E47F4D">
        <w:t xml:space="preserve">v </w:t>
      </w:r>
      <w:r>
        <w:t xml:space="preserve">50 </w:t>
      </w:r>
      <w:r w:rsidR="00E47F4D">
        <w:t>případech</w:t>
      </w:r>
      <w:r w:rsidR="008A5FF5">
        <w:t>, tj. cca v 74 %</w:t>
      </w:r>
      <w:r>
        <w:t xml:space="preserve">. </w:t>
      </w:r>
      <w:r w:rsidR="00E47F4D">
        <w:t>V jednom případě</w:t>
      </w:r>
      <w:r>
        <w:t xml:space="preserve"> dílčí cíl naplněn nebyl a v 17 </w:t>
      </w:r>
      <w:r w:rsidR="00E47F4D">
        <w:t xml:space="preserve">případech </w:t>
      </w:r>
      <w:r w:rsidR="00AB25F4">
        <w:t>NKÚ nemohl</w:t>
      </w:r>
      <w:r>
        <w:t xml:space="preserve"> na základě dostupných dat naplnění </w:t>
      </w:r>
      <w:r w:rsidR="00E47F4D">
        <w:t xml:space="preserve">dílčích cílů </w:t>
      </w:r>
      <w:r>
        <w:t xml:space="preserve">jednoznačně vyhodnotit, mimo jiné z důvodu </w:t>
      </w:r>
      <w:proofErr w:type="spellStart"/>
      <w:r w:rsidR="00ED7D99">
        <w:t>ne</w:t>
      </w:r>
      <w:r>
        <w:t>relevantnosti</w:t>
      </w:r>
      <w:proofErr w:type="spellEnd"/>
      <w:r>
        <w:t xml:space="preserve"> dat, na </w:t>
      </w:r>
      <w:r w:rsidR="004A2E59">
        <w:t xml:space="preserve">jejichž </w:t>
      </w:r>
      <w:r>
        <w:t>základě by měly být jednotlivé dílčí cíle vyhodnocovány.</w:t>
      </w:r>
    </w:p>
    <w:p w14:paraId="04D40213" w14:textId="627316B0" w:rsidR="009D6467" w:rsidRDefault="009D6467" w:rsidP="00790EAA">
      <w:pPr>
        <w:pStyle w:val="Zkladn"/>
        <w:spacing w:before="120" w:after="120"/>
      </w:pPr>
      <w:r>
        <w:t>Jednoznačné vyhodnocení nebylo možné provést zejména u těchto dílčích cílů: „</w:t>
      </w:r>
      <w:r w:rsidR="004A2E59">
        <w:t>s</w:t>
      </w:r>
      <w:r>
        <w:t>nížit zátěže plynoucí z IAD“, „</w:t>
      </w:r>
      <w:r w:rsidR="004A2E59">
        <w:t>p</w:t>
      </w:r>
      <w:r>
        <w:t>osílit přepravní výkony veřejné dopravy“, „</w:t>
      </w:r>
      <w:r w:rsidR="004A2E59">
        <w:t>r</w:t>
      </w:r>
      <w:r>
        <w:t>ozvinout a provázat IDS v</w:t>
      </w:r>
      <w:r w:rsidR="00790EAA">
        <w:t> </w:t>
      </w:r>
      <w:r>
        <w:t>silničním provozu ve městech a aglomeracích“ a „</w:t>
      </w:r>
      <w:r w:rsidR="004A2E59">
        <w:t>z</w:t>
      </w:r>
      <w:r>
        <w:t>ajistit dopravní dostupnost práce, služeb a</w:t>
      </w:r>
      <w:r w:rsidR="00790EAA">
        <w:t> </w:t>
      </w:r>
      <w:r>
        <w:t>vzdělání“.</w:t>
      </w:r>
    </w:p>
    <w:p w14:paraId="0D4D7F58" w14:textId="75E9EB63" w:rsidR="009E0500" w:rsidRDefault="004A2E59" w:rsidP="004A2E59">
      <w:pPr>
        <w:pStyle w:val="Nadpis2"/>
        <w:numPr>
          <w:ilvl w:val="0"/>
          <w:numId w:val="0"/>
        </w:numPr>
      </w:pPr>
      <w:r>
        <w:t xml:space="preserve">2. </w:t>
      </w:r>
      <w:r w:rsidR="009E0500">
        <w:t xml:space="preserve">Přínosy </w:t>
      </w:r>
      <w:r w:rsidR="009E0500" w:rsidRPr="009E0500">
        <w:t>podpořených</w:t>
      </w:r>
      <w:r w:rsidR="009E0500">
        <w:t xml:space="preserve"> projektů měřené pomocí indikátorů</w:t>
      </w:r>
    </w:p>
    <w:p w14:paraId="711B07F1" w14:textId="77777777" w:rsidR="00DF080B" w:rsidRDefault="00CD12A8" w:rsidP="00CD12A8">
      <w:pPr>
        <w:pStyle w:val="Nadpis4"/>
      </w:pPr>
      <w:r>
        <w:t>Zájem o přepravu veřejnou doprav</w:t>
      </w:r>
      <w:r w:rsidR="00987251">
        <w:t>o</w:t>
      </w:r>
      <w:r>
        <w:t>u v ČR i v EU závisí zejména na četnosti spojů</w:t>
      </w:r>
    </w:p>
    <w:p w14:paraId="350C9280" w14:textId="77777777" w:rsidR="000D52A0" w:rsidRDefault="000D52A0" w:rsidP="000D52A0">
      <w:pPr>
        <w:spacing w:line="240" w:lineRule="auto"/>
      </w:pPr>
      <w:r>
        <w:t>Při posuzování přínosu podpořených projektů ke zvýšení podílu ud</w:t>
      </w:r>
      <w:r w:rsidR="00470F25">
        <w:t>ržitelných forem dopravy NKÚ mimo jiné</w:t>
      </w:r>
      <w:r>
        <w:t xml:space="preserve"> přihlédl k výsledkům speciálního průzkumu </w:t>
      </w:r>
      <w:proofErr w:type="spellStart"/>
      <w:r>
        <w:t>Eurobarometru</w:t>
      </w:r>
      <w:proofErr w:type="spellEnd"/>
      <w:r>
        <w:rPr>
          <w:rStyle w:val="Znakapoznpodarou"/>
        </w:rPr>
        <w:footnoteReference w:id="16"/>
      </w:r>
      <w:r>
        <w:t xml:space="preserve">, který se v roce 2014 zabýval otázkou, co by přimělo obyvatele EU ve větší míře přejít z individuální automobilové dopravy k veřejné hromadné dopravě. </w:t>
      </w:r>
      <w:r w:rsidR="00470F25">
        <w:t xml:space="preserve">Výsledky průzkumu, v rámci něhož byla dotazovaným kladena otázka </w:t>
      </w:r>
      <w:r w:rsidR="00470F25" w:rsidRPr="00470F25">
        <w:t>„Co by vás přimělo k častějšímu využívání veřejné dopravy?“</w:t>
      </w:r>
      <w:r w:rsidR="00470F25">
        <w:t>, jsou znázorněny v grafu č</w:t>
      </w:r>
      <w:r w:rsidR="00470F25" w:rsidRPr="00D447AE">
        <w:t xml:space="preserve">. </w:t>
      </w:r>
      <w:r w:rsidR="00513C27" w:rsidRPr="00D447AE">
        <w:t>3</w:t>
      </w:r>
      <w:r w:rsidR="00470F25" w:rsidRPr="00D447AE">
        <w:t>.</w:t>
      </w:r>
    </w:p>
    <w:p w14:paraId="12AF6FA0" w14:textId="6A448C8A" w:rsidR="000D52A0" w:rsidRDefault="002035FC" w:rsidP="00335DE0">
      <w:pPr>
        <w:pStyle w:val="Nadpistabulky"/>
        <w:tabs>
          <w:tab w:val="clear" w:pos="1418"/>
        </w:tabs>
        <w:ind w:left="993" w:hanging="993"/>
      </w:pPr>
      <w:r>
        <w:lastRenderedPageBreak/>
        <w:t>Graf č</w:t>
      </w:r>
      <w:r w:rsidRPr="00D447AE">
        <w:t xml:space="preserve">. </w:t>
      </w:r>
      <w:r w:rsidR="00513C27" w:rsidRPr="00D447AE">
        <w:t>3</w:t>
      </w:r>
      <w:r w:rsidRPr="00D447AE">
        <w:t>:</w:t>
      </w:r>
      <w:r>
        <w:tab/>
        <w:t>Výsledky průzkumu veřejného mínění v</w:t>
      </w:r>
      <w:r w:rsidR="00FA4637">
        <w:t xml:space="preserve"> ČR a </w:t>
      </w:r>
      <w:r>
        <w:t>členských státech EU k problematice zvýšení využívání veřejné dopravy</w:t>
      </w:r>
    </w:p>
    <w:p w14:paraId="25E0C547" w14:textId="1BB42537" w:rsidR="00335DE0" w:rsidRDefault="001C77EA" w:rsidP="001C77EA">
      <w:pPr>
        <w:pStyle w:val="Zkladn"/>
        <w:keepNext/>
        <w:jc w:val="center"/>
        <w:rPr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69047C61" wp14:editId="4F4FC402">
            <wp:extent cx="6146165" cy="3888187"/>
            <wp:effectExtent l="0" t="0" r="6985" b="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E2E7F13" w14:textId="5759AA22" w:rsidR="002035FC" w:rsidRPr="002035FC" w:rsidRDefault="002035FC" w:rsidP="008547DB">
      <w:pPr>
        <w:pStyle w:val="Zkladn"/>
        <w:ind w:left="567" w:hanging="567"/>
        <w:jc w:val="left"/>
        <w:rPr>
          <w:sz w:val="20"/>
          <w:szCs w:val="20"/>
        </w:rPr>
      </w:pPr>
      <w:r w:rsidRPr="002035FC">
        <w:rPr>
          <w:b/>
          <w:sz w:val="20"/>
          <w:szCs w:val="20"/>
        </w:rPr>
        <w:t xml:space="preserve">Zdroj: </w:t>
      </w:r>
      <w:r>
        <w:rPr>
          <w:b/>
          <w:sz w:val="20"/>
          <w:szCs w:val="20"/>
        </w:rPr>
        <w:tab/>
      </w:r>
      <w:proofErr w:type="spellStart"/>
      <w:r w:rsidRPr="002035FC">
        <w:rPr>
          <w:sz w:val="20"/>
          <w:szCs w:val="20"/>
        </w:rPr>
        <w:t>Special</w:t>
      </w:r>
      <w:proofErr w:type="spellEnd"/>
      <w:r w:rsidRPr="002035FC">
        <w:rPr>
          <w:sz w:val="20"/>
          <w:szCs w:val="20"/>
        </w:rPr>
        <w:t xml:space="preserve"> </w:t>
      </w:r>
      <w:proofErr w:type="spellStart"/>
      <w:r w:rsidRPr="002035FC">
        <w:rPr>
          <w:sz w:val="20"/>
          <w:szCs w:val="20"/>
        </w:rPr>
        <w:t>Eurobarometer</w:t>
      </w:r>
      <w:proofErr w:type="spellEnd"/>
      <w:r w:rsidRPr="002035FC">
        <w:rPr>
          <w:sz w:val="20"/>
          <w:szCs w:val="20"/>
        </w:rPr>
        <w:t xml:space="preserve"> 422a „</w:t>
      </w:r>
      <w:proofErr w:type="spellStart"/>
      <w:r w:rsidRPr="002035FC">
        <w:rPr>
          <w:sz w:val="20"/>
          <w:szCs w:val="20"/>
        </w:rPr>
        <w:t>Quality</w:t>
      </w:r>
      <w:proofErr w:type="spellEnd"/>
      <w:r w:rsidRPr="002035FC">
        <w:rPr>
          <w:sz w:val="20"/>
          <w:szCs w:val="20"/>
        </w:rPr>
        <w:t xml:space="preserve"> </w:t>
      </w:r>
      <w:proofErr w:type="spellStart"/>
      <w:r w:rsidRPr="002035FC">
        <w:rPr>
          <w:sz w:val="20"/>
          <w:szCs w:val="20"/>
        </w:rPr>
        <w:t>of</w:t>
      </w:r>
      <w:proofErr w:type="spellEnd"/>
      <w:r w:rsidRPr="002035FC">
        <w:rPr>
          <w:sz w:val="20"/>
          <w:szCs w:val="20"/>
        </w:rPr>
        <w:t xml:space="preserve"> transport“, dostupný na</w:t>
      </w:r>
      <w:r w:rsidRPr="002035FC">
        <w:rPr>
          <w:b/>
          <w:sz w:val="20"/>
          <w:szCs w:val="20"/>
        </w:rPr>
        <w:t xml:space="preserve"> </w:t>
      </w:r>
      <w:hyperlink r:id="rId17" w:history="1">
        <w:r w:rsidR="008547DB" w:rsidRPr="008547DB">
          <w:rPr>
            <w:rStyle w:val="Hypertextovodkaz"/>
            <w:sz w:val="20"/>
            <w:szCs w:val="20"/>
          </w:rPr>
          <w:t>https://ec.europa.eu/commfrontoffice/publicopinion/archives/ebs/ebs_422a_en.pdf</w:t>
        </w:r>
      </w:hyperlink>
      <w:hyperlink r:id="rId18" w:history="1"/>
      <w:r>
        <w:t>.</w:t>
      </w:r>
    </w:p>
    <w:p w14:paraId="612AEB1B" w14:textId="25A44D5C" w:rsidR="002C1106" w:rsidRPr="00AF0AB6" w:rsidRDefault="00477D97" w:rsidP="00377CD2">
      <w:pPr>
        <w:pStyle w:val="KZnormln"/>
        <w:spacing w:before="120"/>
      </w:pPr>
      <w:r>
        <w:t>Předpoklad dopadu kontrolovaných projektů</w:t>
      </w:r>
      <w:r w:rsidR="00AF0AB6">
        <w:t xml:space="preserve"> </w:t>
      </w:r>
      <w:r w:rsidR="00234035">
        <w:t>na</w:t>
      </w:r>
      <w:r>
        <w:t xml:space="preserve"> zvýšení využívání přepravy veřejnou dopravou cestujícími NKÚ zjišťoval </w:t>
      </w:r>
      <w:r w:rsidR="00834770" w:rsidRPr="00AF0AB6">
        <w:rPr>
          <w:rStyle w:val="KZnormlnChar"/>
        </w:rPr>
        <w:t>u projektů zaměřených na aktivitu „</w:t>
      </w:r>
      <w:proofErr w:type="spellStart"/>
      <w:r w:rsidR="00834770" w:rsidRPr="00AF0AB6">
        <w:rPr>
          <w:rStyle w:val="KZnormlnChar"/>
        </w:rPr>
        <w:t>Nízkoemisní</w:t>
      </w:r>
      <w:proofErr w:type="spellEnd"/>
      <w:r w:rsidR="00834770" w:rsidRPr="00AF0AB6">
        <w:rPr>
          <w:rStyle w:val="KZnormlnChar"/>
        </w:rPr>
        <w:t xml:space="preserve"> a</w:t>
      </w:r>
      <w:r w:rsidR="00377CD2">
        <w:rPr>
          <w:rStyle w:val="KZnormlnChar"/>
        </w:rPr>
        <w:t> </w:t>
      </w:r>
      <w:r w:rsidR="00834770" w:rsidRPr="00AF0AB6">
        <w:rPr>
          <w:rStyle w:val="KZnormlnChar"/>
        </w:rPr>
        <w:t xml:space="preserve">bezemisní vozidla“ </w:t>
      </w:r>
      <w:r>
        <w:t>na základě srovnání výchozích a cílových hodnot indikátoru „</w:t>
      </w:r>
      <w:r w:rsidR="004A2E59">
        <w:t>p</w:t>
      </w:r>
      <w:r>
        <w:t xml:space="preserve">očet osob přepravených </w:t>
      </w:r>
      <w:r w:rsidR="002C1106">
        <w:t xml:space="preserve">veřejnou dopravou“. </w:t>
      </w:r>
    </w:p>
    <w:p w14:paraId="468A5641" w14:textId="4F8F4227" w:rsidR="00477D97" w:rsidRPr="00477D97" w:rsidRDefault="00477D97" w:rsidP="002C1106">
      <w:pPr>
        <w:pStyle w:val="Rmeek"/>
        <w:spacing w:after="0"/>
        <w:ind w:right="284"/>
      </w:pPr>
      <w:r w:rsidRPr="00477D97">
        <w:t>V sedmi případech příjemci neočekávali, že by se vlivem realizace projektu zvýšil počet přepravených osob. Ve čtyřech projektech byl předpoklád</w:t>
      </w:r>
      <w:r w:rsidR="002C1106">
        <w:t>án nárůst do 1 % a u dvou nad 1 </w:t>
      </w:r>
      <w:r w:rsidRPr="00477D97">
        <w:t>% (konkrétně 1,5 % a 100 %). Pouze u jednoho projektu příjemce očekával významný nárůst přepravních výkon</w:t>
      </w:r>
      <w:r w:rsidR="003C7957">
        <w:t>ů</w:t>
      </w:r>
      <w:r w:rsidRPr="00477D97">
        <w:t xml:space="preserve">, neboť nově pořizovaná vozidla měla být využívána na </w:t>
      </w:r>
      <w:r w:rsidR="00AF0AB6">
        <w:t xml:space="preserve">nových </w:t>
      </w:r>
      <w:r w:rsidRPr="00477D97">
        <w:t>linkách</w:t>
      </w:r>
      <w:r w:rsidR="00741DE6">
        <w:t xml:space="preserve"> městské hromadné dopravy (dále též</w:t>
      </w:r>
      <w:r w:rsidRPr="00477D97">
        <w:t xml:space="preserve"> </w:t>
      </w:r>
      <w:r w:rsidR="00741DE6">
        <w:t>„</w:t>
      </w:r>
      <w:r w:rsidRPr="00477D97">
        <w:t>MHD</w:t>
      </w:r>
      <w:r w:rsidR="00741DE6">
        <w:t>“)</w:t>
      </w:r>
      <w:r w:rsidRPr="00477D97">
        <w:t>, pro které byla vozidla pořízena.</w:t>
      </w:r>
    </w:p>
    <w:p w14:paraId="7D903583" w14:textId="77777777" w:rsidR="000D52A0" w:rsidRPr="00E73475" w:rsidRDefault="00470F25" w:rsidP="00377CD2">
      <w:pPr>
        <w:pStyle w:val="Nadpis4"/>
        <w:spacing w:before="120" w:after="120"/>
      </w:pPr>
      <w:r>
        <w:t>Pořízené dopravní prostředky sloužily převážně k obměně vozového parku</w:t>
      </w:r>
    </w:p>
    <w:p w14:paraId="2061E27F" w14:textId="25EEE618" w:rsidR="002C1106" w:rsidRDefault="000D52A0" w:rsidP="000D52A0">
      <w:pPr>
        <w:spacing w:line="240" w:lineRule="auto"/>
      </w:pPr>
      <w:r>
        <w:t xml:space="preserve">U 13 kontrolovaných projektů, jejichž předmětem byl nákup </w:t>
      </w:r>
      <w:proofErr w:type="spellStart"/>
      <w:r>
        <w:t>nízkoemisních</w:t>
      </w:r>
      <w:proofErr w:type="spellEnd"/>
      <w:r>
        <w:t xml:space="preserve"> a bezemisních vozidel, byla nová vozidla pořizována buď jako náhrada stávajících vozidel</w:t>
      </w:r>
      <w:r w:rsidR="004A2E59">
        <w:t>,</w:t>
      </w:r>
      <w:r>
        <w:t xml:space="preserve"> nebo k rozšíření vozového parku</w:t>
      </w:r>
      <w:r w:rsidR="00037E0B">
        <w:t xml:space="preserve"> (viz graf </w:t>
      </w:r>
      <w:r w:rsidR="00037E0B" w:rsidRPr="00D447AE">
        <w:t xml:space="preserve">č. </w:t>
      </w:r>
      <w:r w:rsidR="00513C27" w:rsidRPr="00D447AE">
        <w:t>4</w:t>
      </w:r>
      <w:r w:rsidR="00037E0B" w:rsidRPr="00D447AE">
        <w:t>)</w:t>
      </w:r>
      <w:r w:rsidRPr="00D447AE">
        <w:t>.</w:t>
      </w:r>
      <w:r>
        <w:t xml:space="preserve"> </w:t>
      </w:r>
      <w:r w:rsidR="00037E0B">
        <w:t xml:space="preserve"> </w:t>
      </w:r>
    </w:p>
    <w:p w14:paraId="663AD802" w14:textId="72FA6B96" w:rsidR="00470F25" w:rsidRDefault="00513C27" w:rsidP="00377CD2">
      <w:pPr>
        <w:pStyle w:val="Nadpistabulky"/>
        <w:tabs>
          <w:tab w:val="clear" w:pos="1418"/>
        </w:tabs>
        <w:ind w:left="993" w:hanging="993"/>
      </w:pPr>
      <w:r>
        <w:lastRenderedPageBreak/>
        <w:t xml:space="preserve">Graf </w:t>
      </w:r>
      <w:r w:rsidRPr="00D447AE">
        <w:t>č. 4</w:t>
      </w:r>
      <w:r w:rsidR="00F56CAF">
        <w:t>:</w:t>
      </w:r>
      <w:r w:rsidR="00F56CAF">
        <w:tab/>
        <w:t>Podíly pořizovaných vozidel k rozšíření a k obnově vozového parku</w:t>
      </w:r>
    </w:p>
    <w:p w14:paraId="7A7DB591" w14:textId="66174C9D" w:rsidR="002C1106" w:rsidRDefault="005E66FB" w:rsidP="00377CD2">
      <w:pPr>
        <w:pStyle w:val="Zkladn"/>
        <w:jc w:val="center"/>
      </w:pPr>
      <w:r>
        <w:rPr>
          <w:noProof/>
          <w:lang w:eastAsia="cs-CZ"/>
        </w:rPr>
        <w:drawing>
          <wp:inline distT="0" distB="0" distL="0" distR="0" wp14:anchorId="26E3160D" wp14:editId="57B97306">
            <wp:extent cx="4624754" cy="2732216"/>
            <wp:effectExtent l="0" t="0" r="444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5" t="5944" r="20728" b="12898"/>
                    <a:stretch/>
                  </pic:blipFill>
                  <pic:spPr bwMode="auto">
                    <a:xfrm>
                      <a:off x="0" y="0"/>
                      <a:ext cx="4629569" cy="273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B6AA5" w14:textId="695BD346" w:rsidR="00F56CAF" w:rsidRPr="002035FC" w:rsidRDefault="00F56CAF" w:rsidP="00037E0B">
      <w:pPr>
        <w:pStyle w:val="Zkladn"/>
        <w:spacing w:after="120"/>
        <w:ind w:left="567" w:hanging="567"/>
        <w:rPr>
          <w:sz w:val="20"/>
          <w:szCs w:val="20"/>
        </w:rPr>
      </w:pPr>
      <w:r w:rsidRPr="002035FC">
        <w:rPr>
          <w:b/>
          <w:sz w:val="20"/>
          <w:szCs w:val="20"/>
        </w:rPr>
        <w:t xml:space="preserve">Zdroj: </w:t>
      </w:r>
      <w:r w:rsidR="004A2E59">
        <w:rPr>
          <w:b/>
          <w:sz w:val="20"/>
          <w:szCs w:val="20"/>
        </w:rPr>
        <w:t xml:space="preserve">graficky zpracoval </w:t>
      </w:r>
      <w:r w:rsidRPr="00F56CAF">
        <w:rPr>
          <w:sz w:val="20"/>
          <w:szCs w:val="20"/>
        </w:rPr>
        <w:t>NKÚ</w:t>
      </w:r>
      <w:r>
        <w:rPr>
          <w:sz w:val="20"/>
          <w:szCs w:val="20"/>
        </w:rPr>
        <w:t xml:space="preserve"> </w:t>
      </w:r>
      <w:r w:rsidR="004A2E59">
        <w:rPr>
          <w:sz w:val="20"/>
          <w:szCs w:val="20"/>
        </w:rPr>
        <w:t xml:space="preserve">podle </w:t>
      </w:r>
      <w:r>
        <w:rPr>
          <w:sz w:val="20"/>
          <w:szCs w:val="20"/>
        </w:rPr>
        <w:t>dat v </w:t>
      </w:r>
      <w:r w:rsidRPr="0057180D">
        <w:rPr>
          <w:i/>
          <w:sz w:val="20"/>
          <w:szCs w:val="20"/>
        </w:rPr>
        <w:t>MS2014+</w:t>
      </w:r>
      <w:hyperlink r:id="rId20" w:history="1"/>
      <w:r>
        <w:t>.</w:t>
      </w:r>
    </w:p>
    <w:p w14:paraId="2227163B" w14:textId="446C1C77" w:rsidR="00037E0B" w:rsidRDefault="00037E0B" w:rsidP="00037E0B">
      <w:pPr>
        <w:pStyle w:val="Rmeek"/>
        <w:spacing w:after="0"/>
        <w:ind w:right="284"/>
      </w:pPr>
      <w:r>
        <w:t xml:space="preserve">NKÚ zjistil, že z celkového počtu 179 vozidel </w:t>
      </w:r>
      <w:r w:rsidR="00915BD7">
        <w:t xml:space="preserve">nakoupili příjemci </w:t>
      </w:r>
      <w:r>
        <w:t xml:space="preserve">v 79 % </w:t>
      </w:r>
      <w:r w:rsidR="00915BD7">
        <w:t>vozidla</w:t>
      </w:r>
      <w:r>
        <w:t xml:space="preserve"> jako náhradu stávajících vozidel a </w:t>
      </w:r>
      <w:r w:rsidR="00915BD7">
        <w:t xml:space="preserve">pouze </w:t>
      </w:r>
      <w:r>
        <w:t>v 21 % pořízené dopravní prostředky rozšiřovaly vozový park příjemce. P</w:t>
      </w:r>
      <w:r w:rsidRPr="00037E0B">
        <w:t>rojekty primárně zaměřené na obnovu stávajících vozidel přispívají ke zvýšení podílu udržitelných forem dopravy jen v omezené míře</w:t>
      </w:r>
      <w:r>
        <w:t>.</w:t>
      </w:r>
    </w:p>
    <w:p w14:paraId="3F77CA40" w14:textId="515298BD" w:rsidR="00037E0B" w:rsidRDefault="000E4727" w:rsidP="00377CD2">
      <w:pPr>
        <w:pStyle w:val="Nadpis4"/>
        <w:spacing w:before="120" w:after="120"/>
      </w:pPr>
      <w:r>
        <w:t>P</w:t>
      </w:r>
      <w:r w:rsidR="00037E0B">
        <w:t>ozitivní vliv na životní prostředí</w:t>
      </w:r>
      <w:r>
        <w:t xml:space="preserve"> snižují</w:t>
      </w:r>
      <w:r w:rsidR="00037E0B">
        <w:t xml:space="preserve"> </w:t>
      </w:r>
      <w:r>
        <w:t xml:space="preserve">nákupy </w:t>
      </w:r>
      <w:proofErr w:type="spellStart"/>
      <w:r w:rsidR="00037E0B">
        <w:t>elektro</w:t>
      </w:r>
      <w:r>
        <w:t>busů</w:t>
      </w:r>
      <w:proofErr w:type="spellEnd"/>
      <w:r w:rsidR="00037E0B">
        <w:t xml:space="preserve"> s topením na naftu</w:t>
      </w:r>
    </w:p>
    <w:p w14:paraId="7196C9B8" w14:textId="4DB28DA8" w:rsidR="005F3D53" w:rsidRDefault="002C1106" w:rsidP="00377CD2">
      <w:pPr>
        <w:pStyle w:val="KZnormln"/>
      </w:pPr>
      <w:r w:rsidRPr="002C1106">
        <w:t>Ačkoliv v převážné většině případů došlo v aktivitě „</w:t>
      </w:r>
      <w:proofErr w:type="spellStart"/>
      <w:r w:rsidRPr="002C1106">
        <w:t>Nízkoemisní</w:t>
      </w:r>
      <w:proofErr w:type="spellEnd"/>
      <w:r w:rsidRPr="002C1106">
        <w:t xml:space="preserve"> a bezemisní vozidla“ pouze k obnově vozového parku, realizované projekty přispívají k naplnění cílů, k nimž se ČR zavázala</w:t>
      </w:r>
      <w:r>
        <w:t xml:space="preserve"> zejména </w:t>
      </w:r>
      <w:r w:rsidRPr="005F3D53">
        <w:rPr>
          <w:i/>
        </w:rPr>
        <w:t>Národní</w:t>
      </w:r>
      <w:r w:rsidR="005F3D53">
        <w:rPr>
          <w:i/>
        </w:rPr>
        <w:t>m akčním plánem</w:t>
      </w:r>
      <w:r w:rsidR="005F3D53" w:rsidRPr="006A6E79">
        <w:rPr>
          <w:i/>
        </w:rPr>
        <w:t xml:space="preserve"> čisté mobility </w:t>
      </w:r>
      <w:r w:rsidR="00F8533D" w:rsidRPr="0057180D">
        <w:rPr>
          <w:i/>
        </w:rPr>
        <w:t>pro období 2015–</w:t>
      </w:r>
      <w:r w:rsidR="005F3D53" w:rsidRPr="0057180D">
        <w:rPr>
          <w:i/>
        </w:rPr>
        <w:t>2018 s výhledem do roku 2030</w:t>
      </w:r>
      <w:r w:rsidR="005F3D53" w:rsidRPr="00F565BF">
        <w:rPr>
          <w:i/>
        </w:rPr>
        <w:t xml:space="preserve"> </w:t>
      </w:r>
      <w:r w:rsidR="005F3D53">
        <w:t>(dále též NAP ČM)</w:t>
      </w:r>
      <w:r w:rsidRPr="002C1106">
        <w:t>.</w:t>
      </w:r>
      <w:r>
        <w:rPr>
          <w:rStyle w:val="Znakapoznpodarou"/>
        </w:rPr>
        <w:footnoteReference w:id="17"/>
      </w:r>
      <w:r w:rsidRPr="002C1106">
        <w:t xml:space="preserve"> </w:t>
      </w:r>
      <w:r w:rsidR="00AF0AB6">
        <w:t xml:space="preserve">K plnění </w:t>
      </w:r>
      <w:r w:rsidR="00CB71B1">
        <w:t>cíle</w:t>
      </w:r>
      <w:r w:rsidR="00AF0AB6">
        <w:t xml:space="preserve"> NAP </w:t>
      </w:r>
      <w:r w:rsidR="00CB71B1">
        <w:t xml:space="preserve">ČM, který se týká zavádění alternativních paliv do veřejné dopravy, jsou stanovena dvě opatření. </w:t>
      </w:r>
      <w:r w:rsidR="008D53B2" w:rsidRPr="008D53B2">
        <w:t xml:space="preserve">Na obě opatření je </w:t>
      </w:r>
      <w:r w:rsidR="00415EDC" w:rsidRPr="008D53B2">
        <w:t>do roku 2023</w:t>
      </w:r>
      <w:r w:rsidR="00415EDC">
        <w:t xml:space="preserve"> </w:t>
      </w:r>
      <w:r w:rsidR="008D53B2" w:rsidRPr="008D53B2">
        <w:t xml:space="preserve">v </w:t>
      </w:r>
      <w:proofErr w:type="gramStart"/>
      <w:r w:rsidR="008D53B2" w:rsidRPr="008D53B2">
        <w:t>NAP</w:t>
      </w:r>
      <w:proofErr w:type="gramEnd"/>
      <w:r w:rsidR="008D53B2" w:rsidRPr="008D53B2">
        <w:t xml:space="preserve"> ČM rozpočtován dopad financování ve výši 4,3 mld. Kč z prostředků IROP.</w:t>
      </w:r>
      <w:r w:rsidRPr="002C1106">
        <w:t xml:space="preserve"> </w:t>
      </w:r>
    </w:p>
    <w:p w14:paraId="77DF90AC" w14:textId="77777777" w:rsidR="009F4F76" w:rsidRDefault="002C1106" w:rsidP="009F4F76">
      <w:pPr>
        <w:pStyle w:val="Rmeek"/>
        <w:spacing w:after="0"/>
        <w:ind w:right="284"/>
      </w:pPr>
      <w:r w:rsidRPr="002C1106">
        <w:t>Systém podpory z prostředků IROP j</w:t>
      </w:r>
      <w:r w:rsidR="005F3D53">
        <w:t xml:space="preserve">e nastaven tak, aby zohledňoval </w:t>
      </w:r>
      <w:r w:rsidRPr="002C1106">
        <w:t xml:space="preserve">výše emisí produkovaných </w:t>
      </w:r>
      <w:r w:rsidR="00CB71B1">
        <w:t xml:space="preserve">podporovanými </w:t>
      </w:r>
      <w:r w:rsidRPr="002C1106">
        <w:t>vozidly. Ke konci července 2019 bylo v rámci 60 projektů podpořených ze SC 1.2 IROP deklarováno snížení množství emisí primárních částic a</w:t>
      </w:r>
      <w:r w:rsidR="005014EF">
        <w:t> </w:t>
      </w:r>
      <w:r w:rsidRPr="002C1106">
        <w:t xml:space="preserve">prekurzorů sekundárních částic ve </w:t>
      </w:r>
      <w:r w:rsidRPr="009F4F76">
        <w:t>výši 2 101,2 tun ročně</w:t>
      </w:r>
      <w:r w:rsidRPr="00AF0AB6">
        <w:rPr>
          <w:rStyle w:val="Znakapoznpodarou"/>
        </w:rPr>
        <w:footnoteReference w:id="18"/>
      </w:r>
      <w:r w:rsidRPr="009F4F76">
        <w:t xml:space="preserve">. </w:t>
      </w:r>
    </w:p>
    <w:p w14:paraId="5382263E" w14:textId="77777777" w:rsidR="00D4380A" w:rsidRPr="002C1106" w:rsidRDefault="00D4380A" w:rsidP="009F4F76">
      <w:pPr>
        <w:pStyle w:val="Rmeek"/>
        <w:ind w:right="284"/>
      </w:pPr>
      <w:r w:rsidRPr="009F4F76">
        <w:lastRenderedPageBreak/>
        <w:t>V kontrolovaných projektech má být</w:t>
      </w:r>
      <w:r w:rsidRPr="00D4380A">
        <w:t xml:space="preserve"> dosaženo snížení emisí ve výši 24,42 t</w:t>
      </w:r>
      <w:r w:rsidR="00094620">
        <w:t xml:space="preserve">un </w:t>
      </w:r>
      <w:r w:rsidR="00415EDC">
        <w:t>ročně</w:t>
      </w:r>
      <w:r w:rsidRPr="00D4380A">
        <w:t xml:space="preserve"> za</w:t>
      </w:r>
      <w:r w:rsidR="000B50CB">
        <w:t xml:space="preserve"> </w:t>
      </w:r>
      <w:r w:rsidRPr="00D4380A">
        <w:t>předpokladu, že příjemci vyřadí 141 kusů starých vozidel, z toho 90 autobusů s dieselovým pohonem. Do ukončení kontrol bylo vyřazeno celkem 104 vozidel, z toho 57 autobusů</w:t>
      </w:r>
      <w:r>
        <w:rPr>
          <w:rStyle w:val="Znakapoznpodarou"/>
        </w:rPr>
        <w:footnoteReference w:id="19"/>
      </w:r>
      <w:r w:rsidRPr="00D4380A">
        <w:t>.</w:t>
      </w:r>
    </w:p>
    <w:p w14:paraId="3B82598E" w14:textId="77777777" w:rsidR="00415EDC" w:rsidRPr="00415EDC" w:rsidRDefault="00415EDC" w:rsidP="009F4F76">
      <w:pPr>
        <w:pStyle w:val="KZnormln"/>
      </w:pPr>
      <w:r w:rsidRPr="00415EDC">
        <w:t xml:space="preserve">V případě pořizování </w:t>
      </w:r>
      <w:proofErr w:type="spellStart"/>
      <w:r w:rsidRPr="00415EDC">
        <w:t>elektrobusů</w:t>
      </w:r>
      <w:proofErr w:type="spellEnd"/>
      <w:r w:rsidRPr="00415EDC">
        <w:t xml:space="preserve">, které jsou vybaveny nezávislým naftovým topením, vypočtené snížení emisí nezohledňuje emise vzniklé spalováním nafty při vytápění vozidla. </w:t>
      </w:r>
    </w:p>
    <w:p w14:paraId="12B26AD0" w14:textId="680DD127" w:rsidR="000D52A0" w:rsidRPr="00F814CC" w:rsidRDefault="00415EDC" w:rsidP="009F4F76">
      <w:pPr>
        <w:pStyle w:val="Rmeek"/>
        <w:spacing w:after="0"/>
        <w:ind w:right="284"/>
      </w:pPr>
      <w:r w:rsidRPr="00415EDC">
        <w:t>U</w:t>
      </w:r>
      <w:r w:rsidR="000D52A0" w:rsidRPr="00415EDC">
        <w:t> kontrolovaných projektů</w:t>
      </w:r>
      <w:r w:rsidRPr="00415EDC">
        <w:t xml:space="preserve"> NKÚ</w:t>
      </w:r>
      <w:r w:rsidR="000D52A0" w:rsidRPr="00415EDC">
        <w:t xml:space="preserve"> zjistil, že </w:t>
      </w:r>
      <w:r w:rsidRPr="00415EDC">
        <w:t>22</w:t>
      </w:r>
      <w:r w:rsidR="000D52A0" w:rsidRPr="00415EDC">
        <w:t xml:space="preserve"> </w:t>
      </w:r>
      <w:proofErr w:type="spellStart"/>
      <w:r w:rsidRPr="00415EDC">
        <w:t>elektrobusů</w:t>
      </w:r>
      <w:proofErr w:type="spellEnd"/>
      <w:r w:rsidRPr="00415EDC">
        <w:t xml:space="preserve"> nakoupených v rámci čtyř projektů</w:t>
      </w:r>
      <w:r>
        <w:rPr>
          <w:rStyle w:val="Znakapoznpodarou"/>
        </w:rPr>
        <w:footnoteReference w:id="20"/>
      </w:r>
      <w:r w:rsidRPr="00415EDC">
        <w:t xml:space="preserve"> </w:t>
      </w:r>
      <w:r w:rsidR="008519E0">
        <w:t xml:space="preserve">je </w:t>
      </w:r>
      <w:r w:rsidR="002629A1">
        <w:t>vybaveno</w:t>
      </w:r>
      <w:r w:rsidR="002629A1" w:rsidRPr="00415EDC">
        <w:t xml:space="preserve"> </w:t>
      </w:r>
      <w:r w:rsidR="000D52A0" w:rsidRPr="00415EDC">
        <w:t xml:space="preserve">nezávislým naftovým topením. </w:t>
      </w:r>
      <w:r w:rsidR="00F814CC">
        <w:t>Tyto dopravní prostředky spotřebovaly</w:t>
      </w:r>
      <w:r w:rsidR="000D52A0" w:rsidRPr="00F814CC">
        <w:t xml:space="preserve"> v rozmezí šesti až devíti měsíců celkem 29 559 litrů motorové nafty. </w:t>
      </w:r>
      <w:r w:rsidR="00F814CC">
        <w:t>E</w:t>
      </w:r>
      <w:r w:rsidR="000D52A0" w:rsidRPr="00F814CC">
        <w:t xml:space="preserve">mise vyprodukované těmito </w:t>
      </w:r>
      <w:r w:rsidR="00BD1B2B">
        <w:t xml:space="preserve">„bezemisními“ </w:t>
      </w:r>
      <w:proofErr w:type="spellStart"/>
      <w:r w:rsidR="000D52A0" w:rsidRPr="00F814CC">
        <w:t>elektrobusy</w:t>
      </w:r>
      <w:proofErr w:type="spellEnd"/>
      <w:r w:rsidR="000D52A0" w:rsidRPr="00F814CC">
        <w:t xml:space="preserve"> </w:t>
      </w:r>
      <w:r w:rsidR="00F814CC">
        <w:t>nebyly zohledněny v</w:t>
      </w:r>
      <w:r w:rsidR="000D52A0" w:rsidRPr="00F814CC">
        <w:t xml:space="preserve"> </w:t>
      </w:r>
      <w:r w:rsidR="00F814CC">
        <w:t>cílové hodnotě</w:t>
      </w:r>
      <w:r w:rsidR="000D52A0" w:rsidRPr="00F814CC">
        <w:t xml:space="preserve"> indikátoru</w:t>
      </w:r>
      <w:r w:rsidR="00F814CC">
        <w:t xml:space="preserve"> „</w:t>
      </w:r>
      <w:r w:rsidR="00F565BF">
        <w:t>m</w:t>
      </w:r>
      <w:r w:rsidR="00F814CC" w:rsidRPr="00F814CC">
        <w:t>nožství emisí primárních částic a prekurzorů sekundárních částic v rámci podpořených projektů</w:t>
      </w:r>
      <w:r w:rsidR="00F814CC">
        <w:t>“</w:t>
      </w:r>
      <w:r w:rsidR="000D52A0" w:rsidRPr="00F814CC">
        <w:t xml:space="preserve"> v</w:t>
      </w:r>
      <w:r w:rsidR="00F814CC">
        <w:t xml:space="preserve"> důsledku </w:t>
      </w:r>
      <w:r w:rsidR="000D52A0" w:rsidRPr="00F814CC">
        <w:t>konstrukce</w:t>
      </w:r>
      <w:r w:rsidR="00F814CC">
        <w:t xml:space="preserve"> výpočtu</w:t>
      </w:r>
      <w:r w:rsidR="000D52A0" w:rsidRPr="00F814CC">
        <w:t xml:space="preserve">. </w:t>
      </w:r>
      <w:r w:rsidR="000A2881">
        <w:t>P</w:t>
      </w:r>
      <w:r w:rsidR="00F27878">
        <w:t xml:space="preserve">řínos těchto vozidel ke kvalitě životního prostředí je tak ve skutečnosti nižší. </w:t>
      </w:r>
    </w:p>
    <w:p w14:paraId="58D1244D" w14:textId="77777777" w:rsidR="009F4F76" w:rsidRPr="00754F86" w:rsidRDefault="00754F86" w:rsidP="00377CD2">
      <w:pPr>
        <w:pStyle w:val="Nadpis4"/>
        <w:spacing w:before="120" w:after="120"/>
      </w:pPr>
      <w:r w:rsidRPr="00754F86">
        <w:t>Terminály a související zázemí může přilákat větší počet osob k využívání veřejné dopravy</w:t>
      </w:r>
    </w:p>
    <w:p w14:paraId="6A6A7290" w14:textId="77777777" w:rsidR="000D52A0" w:rsidRPr="00754F86" w:rsidRDefault="00754F86" w:rsidP="000D52A0">
      <w:pPr>
        <w:spacing w:line="240" w:lineRule="auto"/>
      </w:pPr>
      <w:r w:rsidRPr="00754F86">
        <w:t xml:space="preserve">V aktivitě „Terminály“ </w:t>
      </w:r>
      <w:r w:rsidR="00F259F7">
        <w:t xml:space="preserve">bylo </w:t>
      </w:r>
      <w:r w:rsidRPr="00754F86">
        <w:t xml:space="preserve">v kontrolovaných třech projektech </w:t>
      </w:r>
      <w:r w:rsidR="000D52A0" w:rsidRPr="00754F86">
        <w:t>vytvořeno 275 parkovacích míst a</w:t>
      </w:r>
      <w:r w:rsidR="005014EF">
        <w:t> </w:t>
      </w:r>
      <w:r w:rsidR="00A026B4">
        <w:t>74</w:t>
      </w:r>
      <w:r w:rsidR="000D52A0" w:rsidRPr="00754F86">
        <w:t xml:space="preserve"> parkovacích míst pro jízdní kola.</w:t>
      </w:r>
      <w:r w:rsidRPr="00754F86">
        <w:t xml:space="preserve"> </w:t>
      </w:r>
      <w:r>
        <w:t>V</w:t>
      </w:r>
      <w:r w:rsidR="000D52A0" w:rsidRPr="00754F86">
        <w:t> souvislosti s modernizací dvou terminálů byl očekáván nárůst počtu přepravených osob o 4 % a 7 %, v případě jednoho nově budovaného terminálu se jednalo o nárůst počtu cestujících o 1 746 111 osob.</w:t>
      </w:r>
    </w:p>
    <w:p w14:paraId="10BA014A" w14:textId="751DA9DE" w:rsidR="000D52A0" w:rsidRPr="00754F86" w:rsidRDefault="000D52A0" w:rsidP="00754F86">
      <w:pPr>
        <w:pStyle w:val="Rmeek"/>
        <w:spacing w:after="0"/>
        <w:ind w:right="284"/>
      </w:pPr>
      <w:r w:rsidRPr="00754F86">
        <w:t>Dle výše uvedených očekávaných přínosů měly kontrolované projekty, zaměřené na</w:t>
      </w:r>
      <w:r w:rsidR="00F565BF">
        <w:t xml:space="preserve"> </w:t>
      </w:r>
      <w:r w:rsidRPr="00754F86">
        <w:t xml:space="preserve">modernizaci a výstavbu terminálů, tj. rozšíření infrastruktury pro veřejnou hromadnou dopravu, potenciál přispět ke zvýšení podílu udržitelných forem dopravy. </w:t>
      </w:r>
    </w:p>
    <w:p w14:paraId="316E2478" w14:textId="77777777" w:rsidR="000D52A0" w:rsidRPr="00754F86" w:rsidRDefault="00754F86" w:rsidP="00377CD2">
      <w:pPr>
        <w:pStyle w:val="Nadpis4"/>
        <w:spacing w:before="120" w:after="120"/>
      </w:pPr>
      <w:r w:rsidRPr="00754F86">
        <w:t>Přínos z realizovaných projektů v aktivitě</w:t>
      </w:r>
      <w:r w:rsidR="000D52A0" w:rsidRPr="00754F86">
        <w:t xml:space="preserve"> </w:t>
      </w:r>
      <w:r w:rsidRPr="00754F86">
        <w:t>„</w:t>
      </w:r>
      <w:r w:rsidR="000D52A0" w:rsidRPr="00754F86">
        <w:t>Telematika</w:t>
      </w:r>
      <w:r w:rsidRPr="00754F86">
        <w:t>“ nelze zjistit</w:t>
      </w:r>
    </w:p>
    <w:p w14:paraId="6979EBAE" w14:textId="4ADAD9AA" w:rsidR="000D52A0" w:rsidRPr="00754F86" w:rsidRDefault="000D52A0" w:rsidP="00754F86">
      <w:pPr>
        <w:pStyle w:val="KZnormln"/>
      </w:pPr>
      <w:r w:rsidRPr="00754F86">
        <w:t xml:space="preserve">Pro projekty, kde hlavní podporovanou aktivitou byla telematika pro veřejnou dopravu, byl stanoven pouze jeden indikátor, a to indikátor výstupu </w:t>
      </w:r>
      <w:r w:rsidR="00754F86">
        <w:t>„</w:t>
      </w:r>
      <w:r w:rsidR="00F565BF">
        <w:t>p</w:t>
      </w:r>
      <w:r w:rsidRPr="00754F86">
        <w:t>očet zařízení a služeb pro řízení dopravy</w:t>
      </w:r>
      <w:r w:rsidR="00754F86">
        <w:t>“</w:t>
      </w:r>
      <w:r w:rsidR="00F179E9">
        <w:t xml:space="preserve"> (podrobněji viz kapitol</w:t>
      </w:r>
      <w:r w:rsidR="00F565BF">
        <w:t>u</w:t>
      </w:r>
      <w:r w:rsidR="00F179E9">
        <w:t xml:space="preserve"> </w:t>
      </w:r>
      <w:proofErr w:type="gramStart"/>
      <w:r w:rsidR="00F179E9">
        <w:t>IV.6.4</w:t>
      </w:r>
      <w:proofErr w:type="gramEnd"/>
      <w:r w:rsidR="00F179E9">
        <w:t xml:space="preserve"> </w:t>
      </w:r>
      <w:r w:rsidR="00F565BF">
        <w:t xml:space="preserve">tohoto </w:t>
      </w:r>
      <w:r w:rsidR="00F179E9">
        <w:t>kontrolního závěru)</w:t>
      </w:r>
      <w:r w:rsidRPr="00754F86">
        <w:t xml:space="preserve">. </w:t>
      </w:r>
    </w:p>
    <w:p w14:paraId="0553551F" w14:textId="1F9294AF" w:rsidR="000D52A0" w:rsidRPr="00CB235B" w:rsidRDefault="00F76255" w:rsidP="00754F86">
      <w:pPr>
        <w:pStyle w:val="Rmeek"/>
        <w:rPr>
          <w:highlight w:val="lightGray"/>
        </w:rPr>
      </w:pPr>
      <w:r w:rsidRPr="00F76255">
        <w:t>U intervencí zaměřených na podporu „Telematiky“ je sledován pouze počet pořízených zařízení / systémů / služeb, který je roven počtu realizovaných projektů.</w:t>
      </w:r>
      <w:r>
        <w:t xml:space="preserve"> </w:t>
      </w:r>
      <w:r w:rsidR="000D52A0" w:rsidRPr="00754F86">
        <w:t xml:space="preserve">Na základě takto stanoveného indikátoru </w:t>
      </w:r>
      <w:r w:rsidR="00F52D8D">
        <w:t>NKÚ nemohl</w:t>
      </w:r>
      <w:r w:rsidR="000D52A0" w:rsidRPr="00754F86">
        <w:t xml:space="preserve"> posoudit, do jaké míry dané opatření přispěje ke</w:t>
      </w:r>
      <w:r w:rsidR="00F565BF">
        <w:t xml:space="preserve"> </w:t>
      </w:r>
      <w:r w:rsidR="000D52A0" w:rsidRPr="00754F86">
        <w:t xml:space="preserve">zvýšení </w:t>
      </w:r>
      <w:r w:rsidR="00632798">
        <w:t>využívání veřejné dopravy namísto individuální automobilové</w:t>
      </w:r>
      <w:r w:rsidR="000D52A0" w:rsidRPr="00754F86">
        <w:t xml:space="preserve">. </w:t>
      </w:r>
    </w:p>
    <w:p w14:paraId="215BE8DA" w14:textId="27DEDEC9" w:rsidR="009E0500" w:rsidRDefault="005676FD" w:rsidP="005676FD">
      <w:pPr>
        <w:pStyle w:val="Nadpis2"/>
        <w:numPr>
          <w:ilvl w:val="0"/>
          <w:numId w:val="0"/>
        </w:numPr>
        <w:spacing w:before="120"/>
      </w:pPr>
      <w:r>
        <w:t xml:space="preserve">3. </w:t>
      </w:r>
      <w:r w:rsidR="009E0500" w:rsidRPr="009E0500">
        <w:t>Hospodárnost</w:t>
      </w:r>
      <w:r w:rsidR="009E0500">
        <w:t xml:space="preserve"> prostředků vynaložených na realizaci projektů</w:t>
      </w:r>
    </w:p>
    <w:p w14:paraId="5E00C863" w14:textId="77777777" w:rsidR="000C0ECF" w:rsidRDefault="000C0ECF" w:rsidP="00377CD2">
      <w:pPr>
        <w:pStyle w:val="Nadpis4"/>
        <w:spacing w:before="120"/>
      </w:pPr>
      <w:r>
        <w:t>Dodavatelé dopravních prostředků si vzájemně nekonkurují</w:t>
      </w:r>
    </w:p>
    <w:p w14:paraId="5F146BF5" w14:textId="4571725F" w:rsidR="009605C4" w:rsidRPr="00D447AE" w:rsidRDefault="009605C4" w:rsidP="00377CD2">
      <w:pPr>
        <w:pStyle w:val="KZnormln"/>
        <w:spacing w:before="120"/>
      </w:pPr>
      <w:r>
        <w:t xml:space="preserve">V kontrolovaném vzorku projektů </w:t>
      </w:r>
      <w:r w:rsidRPr="004A049D">
        <w:t>byly nejčetněji zastoupeny projekty</w:t>
      </w:r>
      <w:r>
        <w:t xml:space="preserve"> v aktivitě „</w:t>
      </w:r>
      <w:proofErr w:type="spellStart"/>
      <w:r>
        <w:t>Nízkoemisní</w:t>
      </w:r>
      <w:proofErr w:type="spellEnd"/>
      <w:r>
        <w:t xml:space="preserve"> a</w:t>
      </w:r>
      <w:r w:rsidR="004427E9">
        <w:t> </w:t>
      </w:r>
      <w:r>
        <w:t xml:space="preserve">bezemisní vozidla“. V kontrolovaných 13 projektech bylo pořízeno celkem </w:t>
      </w:r>
      <w:r w:rsidR="00504B9F">
        <w:t xml:space="preserve">179 </w:t>
      </w:r>
      <w:r w:rsidRPr="004A049D">
        <w:t>vozid</w:t>
      </w:r>
      <w:r>
        <w:t>e</w:t>
      </w:r>
      <w:r w:rsidRPr="004A049D">
        <w:t>l</w:t>
      </w:r>
      <w:r>
        <w:t xml:space="preserve"> pro</w:t>
      </w:r>
      <w:r w:rsidR="005676FD">
        <w:t xml:space="preserve"> </w:t>
      </w:r>
      <w:r w:rsidR="007B4B2E">
        <w:t>veřejnou dopravu (viz tabulk</w:t>
      </w:r>
      <w:r w:rsidR="005676FD">
        <w:t>u</w:t>
      </w:r>
      <w:r w:rsidRPr="004A049D">
        <w:t xml:space="preserve"> č</w:t>
      </w:r>
      <w:r w:rsidRPr="00D447AE">
        <w:t xml:space="preserve">. </w:t>
      </w:r>
      <w:r w:rsidR="00513C27" w:rsidRPr="00D447AE">
        <w:t>3</w:t>
      </w:r>
      <w:r w:rsidRPr="00D447AE">
        <w:t>).</w:t>
      </w:r>
    </w:p>
    <w:p w14:paraId="2D7E88B8" w14:textId="77777777" w:rsidR="009605C4" w:rsidRPr="004A7259" w:rsidRDefault="009605C4" w:rsidP="00377CD2">
      <w:pPr>
        <w:pStyle w:val="Nadpistabulky"/>
        <w:tabs>
          <w:tab w:val="clear" w:pos="1418"/>
        </w:tabs>
        <w:ind w:left="1304" w:hanging="1304"/>
      </w:pPr>
      <w:r w:rsidRPr="00D447AE">
        <w:lastRenderedPageBreak/>
        <w:t xml:space="preserve">Tabulka č. </w:t>
      </w:r>
      <w:r w:rsidR="00513C27" w:rsidRPr="00D447AE">
        <w:t>3</w:t>
      </w:r>
      <w:r w:rsidRPr="00D447AE">
        <w:t>:</w:t>
      </w:r>
      <w:r w:rsidR="007B4B2E">
        <w:tab/>
      </w:r>
      <w:r w:rsidRPr="004A7259">
        <w:t>Vozidla pro veřejnou dopravu pořízená v</w:t>
      </w:r>
      <w:r w:rsidR="00D14892">
        <w:t xml:space="preserve"> </w:t>
      </w:r>
      <w:r w:rsidR="00D14892" w:rsidRPr="004A7259">
        <w:t>kontrolovaných</w:t>
      </w:r>
      <w:r w:rsidRPr="004A7259">
        <w:t xml:space="preserve"> projektech </w:t>
      </w:r>
    </w:p>
    <w:tbl>
      <w:tblPr>
        <w:tblStyle w:val="Mkatabulky"/>
        <w:tblW w:w="906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696"/>
        <w:gridCol w:w="5245"/>
        <w:gridCol w:w="2126"/>
      </w:tblGrid>
      <w:tr w:rsidR="009605C4" w:rsidRPr="006D0A37" w14:paraId="6324D48C" w14:textId="77777777" w:rsidTr="004D2645">
        <w:trPr>
          <w:trHeight w:val="283"/>
        </w:trPr>
        <w:tc>
          <w:tcPr>
            <w:tcW w:w="1696" w:type="dxa"/>
            <w:shd w:val="clear" w:color="auto" w:fill="DEEAF6" w:themeFill="accent1" w:themeFillTint="33"/>
          </w:tcPr>
          <w:p w14:paraId="6A4FD834" w14:textId="77777777" w:rsidR="009605C4" w:rsidRPr="006D0A37" w:rsidRDefault="009605C4" w:rsidP="00377CD2">
            <w:pPr>
              <w:keepNext/>
              <w:rPr>
                <w:b/>
                <w:sz w:val="20"/>
                <w:szCs w:val="20"/>
              </w:rPr>
            </w:pPr>
            <w:r w:rsidRPr="006D0A37">
              <w:rPr>
                <w:b/>
                <w:sz w:val="20"/>
                <w:szCs w:val="20"/>
              </w:rPr>
              <w:t>Druh vozidla</w:t>
            </w:r>
          </w:p>
        </w:tc>
        <w:tc>
          <w:tcPr>
            <w:tcW w:w="5245" w:type="dxa"/>
            <w:shd w:val="clear" w:color="auto" w:fill="DEEAF6" w:themeFill="accent1" w:themeFillTint="33"/>
          </w:tcPr>
          <w:p w14:paraId="1426292C" w14:textId="77777777" w:rsidR="009605C4" w:rsidRPr="006D0A37" w:rsidRDefault="009605C4" w:rsidP="00377CD2">
            <w:pPr>
              <w:keepNext/>
              <w:rPr>
                <w:b/>
                <w:sz w:val="20"/>
                <w:szCs w:val="20"/>
              </w:rPr>
            </w:pPr>
            <w:r w:rsidRPr="006D0A37">
              <w:rPr>
                <w:b/>
                <w:sz w:val="20"/>
                <w:szCs w:val="20"/>
              </w:rPr>
              <w:t>Kategorie vozidla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14:paraId="17062E24" w14:textId="77777777" w:rsidR="009605C4" w:rsidRPr="006D0A37" w:rsidRDefault="009605C4" w:rsidP="00377CD2">
            <w:pPr>
              <w:keepNext/>
              <w:jc w:val="center"/>
              <w:rPr>
                <w:b/>
                <w:sz w:val="20"/>
                <w:szCs w:val="20"/>
              </w:rPr>
            </w:pPr>
            <w:r w:rsidRPr="006D0A37">
              <w:rPr>
                <w:b/>
                <w:sz w:val="20"/>
                <w:szCs w:val="20"/>
              </w:rPr>
              <w:t>Počet (ks)</w:t>
            </w:r>
          </w:p>
        </w:tc>
      </w:tr>
      <w:tr w:rsidR="004028F2" w:rsidRPr="006D0A37" w14:paraId="5B7F6025" w14:textId="77777777" w:rsidTr="004D2645">
        <w:trPr>
          <w:trHeight w:val="283"/>
        </w:trPr>
        <w:tc>
          <w:tcPr>
            <w:tcW w:w="1696" w:type="dxa"/>
            <w:vMerge w:val="restart"/>
            <w:vAlign w:val="center"/>
          </w:tcPr>
          <w:p w14:paraId="16FAE4EA" w14:textId="77777777" w:rsidR="004028F2" w:rsidRPr="0026318D" w:rsidRDefault="006B5FEF" w:rsidP="00377CD2">
            <w:pPr>
              <w:pStyle w:val="Zkladn"/>
              <w:keepNext/>
              <w:jc w:val="center"/>
              <w:rPr>
                <w:b/>
                <w:sz w:val="20"/>
                <w:szCs w:val="20"/>
              </w:rPr>
            </w:pPr>
            <w:r w:rsidRPr="006B5FEF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8243" behindDoc="0" locked="0" layoutInCell="1" allowOverlap="1" wp14:anchorId="37BBD816" wp14:editId="493AAA94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-753110</wp:posOffset>
                  </wp:positionV>
                  <wp:extent cx="669290" cy="737870"/>
                  <wp:effectExtent l="0" t="0" r="0" b="0"/>
                  <wp:wrapTopAndBottom/>
                  <wp:docPr id="25" name="Obrázek 25" descr="H:\Agendy\KONTROLY\447\IROP (KA 18_24)\KZ\Piktogramy\DOPRAVA_Kreslicí plátno 1 kopie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Agendy\KONTROLY\447\IROP (KA 18_24)\KZ\Piktogramy\DOPRAVA_Kreslicí plátno 1 kopie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29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28F2" w:rsidRPr="0026318D">
              <w:rPr>
                <w:b/>
                <w:sz w:val="20"/>
                <w:szCs w:val="20"/>
              </w:rPr>
              <w:t>76</w:t>
            </w:r>
          </w:p>
        </w:tc>
        <w:tc>
          <w:tcPr>
            <w:tcW w:w="5245" w:type="dxa"/>
            <w:vAlign w:val="center"/>
          </w:tcPr>
          <w:p w14:paraId="322CA79F" w14:textId="77777777" w:rsidR="004028F2" w:rsidRPr="006D0A37" w:rsidRDefault="004028F2" w:rsidP="00377CD2">
            <w:pPr>
              <w:keepNext/>
              <w:jc w:val="lef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Minibus CNG</w:t>
            </w:r>
          </w:p>
        </w:tc>
        <w:tc>
          <w:tcPr>
            <w:tcW w:w="2126" w:type="dxa"/>
            <w:vAlign w:val="center"/>
          </w:tcPr>
          <w:p w14:paraId="76274498" w14:textId="77777777" w:rsidR="004028F2" w:rsidRPr="006D0A37" w:rsidRDefault="004028F2" w:rsidP="00632FA0">
            <w:pPr>
              <w:keepNext/>
              <w:ind w:right="886"/>
              <w:jc w:val="righ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3</w:t>
            </w:r>
          </w:p>
        </w:tc>
      </w:tr>
      <w:tr w:rsidR="004028F2" w:rsidRPr="006D0A37" w14:paraId="782A9BC1" w14:textId="77777777" w:rsidTr="004D2645">
        <w:trPr>
          <w:trHeight w:val="283"/>
        </w:trPr>
        <w:tc>
          <w:tcPr>
            <w:tcW w:w="1696" w:type="dxa"/>
            <w:vMerge/>
          </w:tcPr>
          <w:p w14:paraId="40985F0E" w14:textId="77777777" w:rsidR="004028F2" w:rsidRPr="006D0A37" w:rsidRDefault="004028F2" w:rsidP="00377CD2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14:paraId="30838057" w14:textId="4D9B8B74" w:rsidR="004028F2" w:rsidRPr="006D0A37" w:rsidRDefault="004028F2" w:rsidP="00632FA0">
            <w:pPr>
              <w:jc w:val="lef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Autobus CNG 11,5–13 m</w:t>
            </w:r>
          </w:p>
        </w:tc>
        <w:tc>
          <w:tcPr>
            <w:tcW w:w="2126" w:type="dxa"/>
            <w:vAlign w:val="center"/>
          </w:tcPr>
          <w:p w14:paraId="3FDF64CB" w14:textId="77777777" w:rsidR="004028F2" w:rsidRPr="006D0A37" w:rsidRDefault="004028F2" w:rsidP="00632FA0">
            <w:pPr>
              <w:ind w:right="886"/>
              <w:jc w:val="righ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47</w:t>
            </w:r>
          </w:p>
        </w:tc>
      </w:tr>
      <w:tr w:rsidR="004028F2" w:rsidRPr="006D0A37" w14:paraId="1B25DBC1" w14:textId="77777777" w:rsidTr="004D2645">
        <w:trPr>
          <w:trHeight w:val="283"/>
        </w:trPr>
        <w:tc>
          <w:tcPr>
            <w:tcW w:w="1696" w:type="dxa"/>
            <w:vMerge/>
          </w:tcPr>
          <w:p w14:paraId="15A63D6B" w14:textId="77777777" w:rsidR="004028F2" w:rsidRPr="006D0A37" w:rsidRDefault="004028F2" w:rsidP="00377CD2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14:paraId="258EE08E" w14:textId="77777777" w:rsidR="004028F2" w:rsidRPr="006D0A37" w:rsidRDefault="004028F2" w:rsidP="00377CD2">
            <w:pPr>
              <w:jc w:val="lef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Autobus CNG 15 m</w:t>
            </w:r>
          </w:p>
        </w:tc>
        <w:tc>
          <w:tcPr>
            <w:tcW w:w="2126" w:type="dxa"/>
            <w:vAlign w:val="center"/>
          </w:tcPr>
          <w:p w14:paraId="75496147" w14:textId="77777777" w:rsidR="004028F2" w:rsidRPr="006D0A37" w:rsidRDefault="004028F2" w:rsidP="00632FA0">
            <w:pPr>
              <w:ind w:right="886"/>
              <w:jc w:val="righ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1</w:t>
            </w:r>
          </w:p>
        </w:tc>
      </w:tr>
      <w:tr w:rsidR="004028F2" w:rsidRPr="006D0A37" w14:paraId="42790441" w14:textId="77777777" w:rsidTr="004D2645">
        <w:trPr>
          <w:trHeight w:val="283"/>
        </w:trPr>
        <w:tc>
          <w:tcPr>
            <w:tcW w:w="1696" w:type="dxa"/>
            <w:vMerge/>
          </w:tcPr>
          <w:p w14:paraId="166C3170" w14:textId="77777777" w:rsidR="004028F2" w:rsidRPr="006D0A37" w:rsidRDefault="004028F2" w:rsidP="00377CD2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14:paraId="4FB1639D" w14:textId="3B9BDE71" w:rsidR="004028F2" w:rsidRPr="006D0A37" w:rsidRDefault="004028F2" w:rsidP="00632FA0">
            <w:pPr>
              <w:jc w:val="lef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Autobus CNG kloubový 17,5–19 m</w:t>
            </w:r>
          </w:p>
        </w:tc>
        <w:tc>
          <w:tcPr>
            <w:tcW w:w="2126" w:type="dxa"/>
            <w:vAlign w:val="center"/>
          </w:tcPr>
          <w:p w14:paraId="63475447" w14:textId="77777777" w:rsidR="004028F2" w:rsidRPr="006D0A37" w:rsidRDefault="004028F2" w:rsidP="00632FA0">
            <w:pPr>
              <w:ind w:right="886"/>
              <w:jc w:val="righ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25</w:t>
            </w:r>
          </w:p>
        </w:tc>
      </w:tr>
      <w:tr w:rsidR="00AB4533" w:rsidRPr="006D0A37" w14:paraId="320443DF" w14:textId="77777777" w:rsidTr="004D2645">
        <w:trPr>
          <w:trHeight w:val="283"/>
        </w:trPr>
        <w:tc>
          <w:tcPr>
            <w:tcW w:w="1696" w:type="dxa"/>
            <w:vMerge w:val="restart"/>
          </w:tcPr>
          <w:p w14:paraId="37A510FF" w14:textId="77777777" w:rsidR="00AB4533" w:rsidRPr="00AB4533" w:rsidRDefault="006B5FEF" w:rsidP="00377CD2">
            <w:pPr>
              <w:jc w:val="center"/>
              <w:rPr>
                <w:b/>
                <w:sz w:val="20"/>
                <w:szCs w:val="20"/>
              </w:rPr>
            </w:pPr>
            <w:r w:rsidRPr="006B5FEF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8242" behindDoc="0" locked="0" layoutInCell="1" allowOverlap="1" wp14:anchorId="395A20F3" wp14:editId="670A602A">
                  <wp:simplePos x="0" y="0"/>
                  <wp:positionH relativeFrom="column">
                    <wp:posOffset>134754</wp:posOffset>
                  </wp:positionH>
                  <wp:positionV relativeFrom="paragraph">
                    <wp:posOffset>347</wp:posOffset>
                  </wp:positionV>
                  <wp:extent cx="673200" cy="738000"/>
                  <wp:effectExtent l="0" t="0" r="0" b="0"/>
                  <wp:wrapTopAndBottom/>
                  <wp:docPr id="18" name="Obrázek 18" descr="H:\Agendy\KONTROLY\447\IROP (KA 18_24)\KZ\Piktogramy\DOPRAVA_Kreslicí plátno 1 kopie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Agendy\KONTROLY\447\IROP (KA 18_24)\KZ\Piktogramy\DOPRAVA_Kreslicí plátno 1 kopie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00" cy="7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533" w:rsidRPr="00AB4533">
              <w:rPr>
                <w:b/>
                <w:sz w:val="20"/>
                <w:szCs w:val="20"/>
              </w:rPr>
              <w:t>33</w:t>
            </w:r>
            <w:r>
              <w:rPr>
                <w:noProof/>
              </w:rPr>
              <w:t xml:space="preserve"> </w:t>
            </w:r>
          </w:p>
        </w:tc>
        <w:tc>
          <w:tcPr>
            <w:tcW w:w="5245" w:type="dxa"/>
            <w:vAlign w:val="center"/>
          </w:tcPr>
          <w:p w14:paraId="5289E93E" w14:textId="77777777" w:rsidR="00AB4533" w:rsidRPr="006D0A37" w:rsidRDefault="00AB4533" w:rsidP="00377CD2">
            <w:pPr>
              <w:jc w:val="lef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Elektro minibus</w:t>
            </w:r>
          </w:p>
        </w:tc>
        <w:tc>
          <w:tcPr>
            <w:tcW w:w="2126" w:type="dxa"/>
            <w:vAlign w:val="center"/>
          </w:tcPr>
          <w:p w14:paraId="0FC5CADD" w14:textId="77777777" w:rsidR="00AB4533" w:rsidRPr="006D0A37" w:rsidRDefault="00AB4533" w:rsidP="00632FA0">
            <w:pPr>
              <w:ind w:right="886"/>
              <w:jc w:val="righ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3</w:t>
            </w:r>
          </w:p>
        </w:tc>
      </w:tr>
      <w:tr w:rsidR="00AB4533" w:rsidRPr="006D0A37" w14:paraId="598AE63B" w14:textId="77777777" w:rsidTr="004D2645">
        <w:trPr>
          <w:trHeight w:val="283"/>
        </w:trPr>
        <w:tc>
          <w:tcPr>
            <w:tcW w:w="1696" w:type="dxa"/>
            <w:vMerge/>
          </w:tcPr>
          <w:p w14:paraId="68AC95B4" w14:textId="77777777" w:rsidR="00AB4533" w:rsidRPr="006D0A37" w:rsidRDefault="00AB4533" w:rsidP="00377CD2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14:paraId="3FF81679" w14:textId="77777777" w:rsidR="00AB4533" w:rsidRPr="006D0A37" w:rsidRDefault="00AB4533" w:rsidP="00377CD2">
            <w:pPr>
              <w:jc w:val="lef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 xml:space="preserve">Elektro </w:t>
            </w:r>
            <w:proofErr w:type="spellStart"/>
            <w:r w:rsidRPr="006D0A37">
              <w:rPr>
                <w:sz w:val="20"/>
                <w:szCs w:val="20"/>
              </w:rPr>
              <w:t>midibus</w:t>
            </w:r>
            <w:proofErr w:type="spellEnd"/>
          </w:p>
        </w:tc>
        <w:tc>
          <w:tcPr>
            <w:tcW w:w="2126" w:type="dxa"/>
            <w:vAlign w:val="center"/>
          </w:tcPr>
          <w:p w14:paraId="2B82F201" w14:textId="77777777" w:rsidR="00AB4533" w:rsidRPr="006D0A37" w:rsidRDefault="00AB4533" w:rsidP="00632FA0">
            <w:pPr>
              <w:ind w:right="886"/>
              <w:jc w:val="righ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11</w:t>
            </w:r>
          </w:p>
        </w:tc>
      </w:tr>
      <w:tr w:rsidR="00AB4533" w:rsidRPr="006D0A37" w14:paraId="002BD899" w14:textId="77777777" w:rsidTr="004D2645">
        <w:trPr>
          <w:trHeight w:val="283"/>
        </w:trPr>
        <w:tc>
          <w:tcPr>
            <w:tcW w:w="1696" w:type="dxa"/>
            <w:vMerge/>
          </w:tcPr>
          <w:p w14:paraId="40AF456B" w14:textId="77777777" w:rsidR="00AB4533" w:rsidRPr="006D0A37" w:rsidRDefault="00AB4533" w:rsidP="00377CD2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14:paraId="1F06E780" w14:textId="7A437B80" w:rsidR="00AB4533" w:rsidRPr="006D0A37" w:rsidRDefault="00AB4533" w:rsidP="00632FA0">
            <w:pPr>
              <w:jc w:val="left"/>
              <w:rPr>
                <w:sz w:val="20"/>
                <w:szCs w:val="20"/>
              </w:rPr>
            </w:pPr>
            <w:proofErr w:type="spellStart"/>
            <w:r w:rsidRPr="006D0A37">
              <w:rPr>
                <w:sz w:val="20"/>
                <w:szCs w:val="20"/>
              </w:rPr>
              <w:t>Elektrobus</w:t>
            </w:r>
            <w:proofErr w:type="spellEnd"/>
            <w:r w:rsidRPr="006D0A37">
              <w:rPr>
                <w:sz w:val="20"/>
                <w:szCs w:val="20"/>
              </w:rPr>
              <w:t xml:space="preserve"> 9,5–13 m</w:t>
            </w:r>
          </w:p>
        </w:tc>
        <w:tc>
          <w:tcPr>
            <w:tcW w:w="2126" w:type="dxa"/>
            <w:vAlign w:val="center"/>
          </w:tcPr>
          <w:p w14:paraId="66EBD3DE" w14:textId="77777777" w:rsidR="00AB4533" w:rsidRPr="006D0A37" w:rsidRDefault="00AB4533" w:rsidP="00632FA0">
            <w:pPr>
              <w:ind w:right="886"/>
              <w:jc w:val="righ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19</w:t>
            </w:r>
          </w:p>
        </w:tc>
      </w:tr>
      <w:tr w:rsidR="00AB4533" w:rsidRPr="006D0A37" w14:paraId="23044304" w14:textId="77777777" w:rsidTr="004D2645">
        <w:trPr>
          <w:trHeight w:val="283"/>
        </w:trPr>
        <w:tc>
          <w:tcPr>
            <w:tcW w:w="1696" w:type="dxa"/>
            <w:vMerge w:val="restart"/>
          </w:tcPr>
          <w:p w14:paraId="2D211D1B" w14:textId="77777777" w:rsidR="00AB4533" w:rsidRPr="00AB4533" w:rsidRDefault="006B5FEF" w:rsidP="00377CD2">
            <w:pPr>
              <w:jc w:val="center"/>
              <w:rPr>
                <w:b/>
                <w:sz w:val="20"/>
                <w:szCs w:val="20"/>
              </w:rPr>
            </w:pPr>
            <w:r w:rsidRPr="006B5FEF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8244" behindDoc="0" locked="0" layoutInCell="1" allowOverlap="1" wp14:anchorId="3982CC21" wp14:editId="29BB1CA5">
                  <wp:simplePos x="0" y="0"/>
                  <wp:positionH relativeFrom="column">
                    <wp:posOffset>131618</wp:posOffset>
                  </wp:positionH>
                  <wp:positionV relativeFrom="paragraph">
                    <wp:posOffset>289</wp:posOffset>
                  </wp:positionV>
                  <wp:extent cx="669600" cy="738000"/>
                  <wp:effectExtent l="0" t="0" r="0" b="0"/>
                  <wp:wrapTopAndBottom/>
                  <wp:docPr id="36" name="Obrázek 36" descr="H:\Agendy\KONTROLY\447\IROP (KA 18_24)\KZ\Piktogramy\DOPRAVA_Kreslicí plátno 1 kopie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Agendy\KONTROLY\447\IROP (KA 18_24)\KZ\Piktogramy\DOPRAVA_Kreslicí plátno 1 kopie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0" cy="7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533" w:rsidRPr="00AB4533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5245" w:type="dxa"/>
            <w:vAlign w:val="center"/>
          </w:tcPr>
          <w:p w14:paraId="6A665F23" w14:textId="7AC1E9DB" w:rsidR="00AB4533" w:rsidRPr="006D0A37" w:rsidRDefault="00AB4533" w:rsidP="00632FA0">
            <w:pPr>
              <w:jc w:val="lef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Trolejbus 11,5–13 m</w:t>
            </w:r>
          </w:p>
        </w:tc>
        <w:tc>
          <w:tcPr>
            <w:tcW w:w="2126" w:type="dxa"/>
            <w:vAlign w:val="center"/>
          </w:tcPr>
          <w:p w14:paraId="745CB121" w14:textId="77777777" w:rsidR="00AB4533" w:rsidRPr="006D0A37" w:rsidRDefault="00AB4533" w:rsidP="00632FA0">
            <w:pPr>
              <w:ind w:right="886"/>
              <w:jc w:val="righ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6</w:t>
            </w:r>
          </w:p>
        </w:tc>
      </w:tr>
      <w:tr w:rsidR="00AB4533" w:rsidRPr="006D0A37" w14:paraId="5B81E4AB" w14:textId="77777777" w:rsidTr="004D2645">
        <w:trPr>
          <w:trHeight w:val="283"/>
        </w:trPr>
        <w:tc>
          <w:tcPr>
            <w:tcW w:w="1696" w:type="dxa"/>
            <w:vMerge/>
          </w:tcPr>
          <w:p w14:paraId="758BA606" w14:textId="77777777" w:rsidR="00AB4533" w:rsidRPr="006D0A37" w:rsidRDefault="00AB4533" w:rsidP="00377CD2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14:paraId="096D2F84" w14:textId="102EFEE8" w:rsidR="00AB4533" w:rsidRPr="006D0A37" w:rsidRDefault="00AB4533" w:rsidP="00632FA0">
            <w:pPr>
              <w:jc w:val="lef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Trolejbus parciální 11,5–13 m</w:t>
            </w:r>
          </w:p>
        </w:tc>
        <w:tc>
          <w:tcPr>
            <w:tcW w:w="2126" w:type="dxa"/>
            <w:vAlign w:val="center"/>
          </w:tcPr>
          <w:p w14:paraId="3CC48DD4" w14:textId="77777777" w:rsidR="00AB4533" w:rsidRPr="006D0A37" w:rsidRDefault="00AB4533" w:rsidP="00632FA0">
            <w:pPr>
              <w:ind w:right="886"/>
              <w:jc w:val="righ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42</w:t>
            </w:r>
          </w:p>
        </w:tc>
      </w:tr>
      <w:tr w:rsidR="00AB4533" w:rsidRPr="006D0A37" w14:paraId="717E8196" w14:textId="77777777" w:rsidTr="004D2645">
        <w:trPr>
          <w:trHeight w:val="283"/>
        </w:trPr>
        <w:tc>
          <w:tcPr>
            <w:tcW w:w="1696" w:type="dxa"/>
            <w:vMerge/>
          </w:tcPr>
          <w:p w14:paraId="212E481E" w14:textId="77777777" w:rsidR="00AB4533" w:rsidRPr="006D0A37" w:rsidRDefault="00AB4533" w:rsidP="00377CD2">
            <w:pPr>
              <w:rPr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14:paraId="07917221" w14:textId="3C44764F" w:rsidR="00AB4533" w:rsidRPr="006D0A37" w:rsidRDefault="00AB4533" w:rsidP="00632FA0">
            <w:pPr>
              <w:jc w:val="lef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Trolejbus kloubový 17,5</w:t>
            </w:r>
            <w:r w:rsidR="00632FA0">
              <w:rPr>
                <w:sz w:val="20"/>
                <w:szCs w:val="20"/>
              </w:rPr>
              <w:t>–</w:t>
            </w:r>
            <w:r w:rsidRPr="006D0A37">
              <w:rPr>
                <w:sz w:val="20"/>
                <w:szCs w:val="20"/>
              </w:rPr>
              <w:t>19 m</w:t>
            </w:r>
          </w:p>
        </w:tc>
        <w:tc>
          <w:tcPr>
            <w:tcW w:w="2126" w:type="dxa"/>
            <w:vAlign w:val="center"/>
          </w:tcPr>
          <w:p w14:paraId="71D41D8C" w14:textId="77777777" w:rsidR="00AB4533" w:rsidRPr="006D0A37" w:rsidRDefault="00AB4533" w:rsidP="00632FA0">
            <w:pPr>
              <w:ind w:right="886"/>
              <w:jc w:val="righ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12</w:t>
            </w:r>
          </w:p>
        </w:tc>
      </w:tr>
      <w:tr w:rsidR="009605C4" w:rsidRPr="006D0A37" w14:paraId="53E3D707" w14:textId="77777777" w:rsidTr="004D2645">
        <w:trPr>
          <w:trHeight w:val="283"/>
        </w:trPr>
        <w:tc>
          <w:tcPr>
            <w:tcW w:w="1696" w:type="dxa"/>
          </w:tcPr>
          <w:p w14:paraId="1D3E4FE8" w14:textId="77777777" w:rsidR="009605C4" w:rsidRPr="006D0A37" w:rsidRDefault="006B5FEF" w:rsidP="00377CD2">
            <w:pPr>
              <w:jc w:val="center"/>
              <w:rPr>
                <w:sz w:val="20"/>
                <w:szCs w:val="20"/>
              </w:rPr>
            </w:pPr>
            <w:r w:rsidRPr="006B5FEF"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8241" behindDoc="0" locked="0" layoutInCell="1" allowOverlap="1" wp14:anchorId="4DBAC553" wp14:editId="5A711DB9">
                  <wp:simplePos x="0" y="0"/>
                  <wp:positionH relativeFrom="column">
                    <wp:posOffset>139123</wp:posOffset>
                  </wp:positionH>
                  <wp:positionV relativeFrom="paragraph">
                    <wp:posOffset>0</wp:posOffset>
                  </wp:positionV>
                  <wp:extent cx="669600" cy="738000"/>
                  <wp:effectExtent l="0" t="0" r="0" b="0"/>
                  <wp:wrapTopAndBottom/>
                  <wp:docPr id="3" name="Obrázek 3" descr="H:\Agendy\KONTROLY\447\IROP (KA 18_24)\KZ\Piktogramy\DOPRAVA_Kreslicí plátno 1 kopie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Agendy\KONTROLY\447\IROP (KA 18_24)\KZ\Piktogramy\DOPRAVA_Kreslicí plátno 1 kopie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0" cy="7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4533" w:rsidRPr="00AB4533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245" w:type="dxa"/>
            <w:vAlign w:val="center"/>
          </w:tcPr>
          <w:p w14:paraId="7A8C26DC" w14:textId="74E55F16" w:rsidR="009605C4" w:rsidRPr="006D0A37" w:rsidRDefault="009605C4" w:rsidP="00632FA0">
            <w:pPr>
              <w:jc w:val="lef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Tramvaj sólo vůz 13–15,1 m</w:t>
            </w:r>
          </w:p>
        </w:tc>
        <w:tc>
          <w:tcPr>
            <w:tcW w:w="2126" w:type="dxa"/>
            <w:vAlign w:val="center"/>
          </w:tcPr>
          <w:p w14:paraId="6DBBACDF" w14:textId="77777777" w:rsidR="009605C4" w:rsidRPr="006D0A37" w:rsidRDefault="009605C4" w:rsidP="00632FA0">
            <w:pPr>
              <w:ind w:right="886"/>
              <w:jc w:val="right"/>
              <w:rPr>
                <w:sz w:val="20"/>
                <w:szCs w:val="20"/>
              </w:rPr>
            </w:pPr>
            <w:r w:rsidRPr="006D0A37">
              <w:rPr>
                <w:sz w:val="20"/>
                <w:szCs w:val="20"/>
              </w:rPr>
              <w:t>10</w:t>
            </w:r>
          </w:p>
        </w:tc>
      </w:tr>
      <w:tr w:rsidR="009605C4" w:rsidRPr="006D0A37" w14:paraId="6561CC2C" w14:textId="77777777" w:rsidTr="004D2645">
        <w:trPr>
          <w:trHeight w:val="283"/>
        </w:trPr>
        <w:tc>
          <w:tcPr>
            <w:tcW w:w="1696" w:type="dxa"/>
            <w:vAlign w:val="center"/>
          </w:tcPr>
          <w:p w14:paraId="66BD16A9" w14:textId="77777777" w:rsidR="009605C4" w:rsidRPr="006D0A37" w:rsidRDefault="009605C4" w:rsidP="00377CD2">
            <w:pPr>
              <w:jc w:val="left"/>
              <w:rPr>
                <w:b/>
                <w:sz w:val="20"/>
                <w:szCs w:val="20"/>
              </w:rPr>
            </w:pPr>
            <w:r w:rsidRPr="006D0A37">
              <w:rPr>
                <w:b/>
                <w:sz w:val="20"/>
                <w:szCs w:val="20"/>
              </w:rPr>
              <w:t xml:space="preserve">Celkem vozidel </w:t>
            </w:r>
          </w:p>
        </w:tc>
        <w:tc>
          <w:tcPr>
            <w:tcW w:w="5245" w:type="dxa"/>
          </w:tcPr>
          <w:p w14:paraId="7F1B398B" w14:textId="77777777" w:rsidR="009605C4" w:rsidRPr="006D0A37" w:rsidRDefault="009605C4" w:rsidP="00377CD2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27B75C4" w14:textId="77777777" w:rsidR="009605C4" w:rsidRPr="006D0A37" w:rsidRDefault="009605C4" w:rsidP="00632FA0">
            <w:pPr>
              <w:ind w:right="886"/>
              <w:jc w:val="right"/>
              <w:rPr>
                <w:b/>
                <w:sz w:val="20"/>
                <w:szCs w:val="20"/>
              </w:rPr>
            </w:pPr>
            <w:r w:rsidRPr="006D0A37">
              <w:rPr>
                <w:b/>
                <w:sz w:val="20"/>
                <w:szCs w:val="20"/>
              </w:rPr>
              <w:t>179</w:t>
            </w:r>
          </w:p>
        </w:tc>
      </w:tr>
    </w:tbl>
    <w:p w14:paraId="73E2AA5E" w14:textId="153DA296" w:rsidR="009E0500" w:rsidRPr="007B4B2E" w:rsidRDefault="007B4B2E" w:rsidP="00377CD2">
      <w:pPr>
        <w:pStyle w:val="Zkladn"/>
        <w:spacing w:before="40" w:after="120"/>
        <w:ind w:left="567" w:hanging="567"/>
        <w:rPr>
          <w:b/>
          <w:sz w:val="20"/>
          <w:szCs w:val="20"/>
        </w:rPr>
      </w:pPr>
      <w:r w:rsidRPr="007B4B2E">
        <w:rPr>
          <w:b/>
          <w:sz w:val="20"/>
          <w:szCs w:val="20"/>
        </w:rPr>
        <w:t>Zdroj:</w:t>
      </w:r>
      <w:r w:rsidRPr="007B4B2E">
        <w:rPr>
          <w:b/>
          <w:sz w:val="20"/>
          <w:szCs w:val="20"/>
        </w:rPr>
        <w:tab/>
      </w:r>
      <w:r w:rsidR="005676FD">
        <w:rPr>
          <w:b/>
          <w:sz w:val="20"/>
          <w:szCs w:val="20"/>
        </w:rPr>
        <w:t xml:space="preserve">graficky zpracoval </w:t>
      </w:r>
      <w:r w:rsidRPr="007B4B2E">
        <w:rPr>
          <w:sz w:val="20"/>
          <w:szCs w:val="20"/>
        </w:rPr>
        <w:t>NKÚ.</w:t>
      </w:r>
    </w:p>
    <w:p w14:paraId="59AED80D" w14:textId="40AC2941" w:rsidR="009605C4" w:rsidRDefault="007B4B2E" w:rsidP="00377CD2">
      <w:pPr>
        <w:pStyle w:val="KZnormln"/>
        <w:spacing w:before="120"/>
      </w:pPr>
      <w:r w:rsidRPr="007B4B2E">
        <w:t xml:space="preserve">V rámci posouzení hospodárnosti prostředků vynaložených na pořízení vozidel prověřil NKÚ postup příjemců podpory při výběru dodavatelů pořizovaných vozidel a dále </w:t>
      </w:r>
      <w:r w:rsidR="0026318D">
        <w:t xml:space="preserve">ověřil </w:t>
      </w:r>
      <w:r w:rsidRPr="007B4B2E">
        <w:t>přiměř</w:t>
      </w:r>
      <w:r w:rsidR="0026318D">
        <w:t>enost jednotkových cen, za které</w:t>
      </w:r>
      <w:r w:rsidRPr="007B4B2E">
        <w:t xml:space="preserve"> byla vozidla nakoupena.</w:t>
      </w:r>
      <w:r>
        <w:t xml:space="preserve"> </w:t>
      </w:r>
      <w:r w:rsidR="0026318D">
        <w:t>Kontrolováno</w:t>
      </w:r>
      <w:r w:rsidRPr="007B4B2E">
        <w:t xml:space="preserve"> bylo celkem 25</w:t>
      </w:r>
      <w:r w:rsidR="00377CD2">
        <w:t> </w:t>
      </w:r>
      <w:r w:rsidRPr="007B4B2E">
        <w:t>veřejných zakázek</w:t>
      </w:r>
      <w:r>
        <w:t xml:space="preserve"> obsahujících 28 zadávaných částí spolufinancovaných z dotace.</w:t>
      </w:r>
      <w:r w:rsidRPr="007B4B2E">
        <w:t xml:space="preserve"> </w:t>
      </w:r>
      <w:r>
        <w:t>Z celkového počtu zadávaných částí zakázek se ve 2</w:t>
      </w:r>
      <w:r w:rsidR="003A1221">
        <w:t>8</w:t>
      </w:r>
      <w:r w:rsidRPr="007B4B2E">
        <w:t xml:space="preserve"> případech</w:t>
      </w:r>
      <w:r>
        <w:rPr>
          <w:rStyle w:val="Znakapoznpodarou"/>
        </w:rPr>
        <w:footnoteReference w:id="21"/>
      </w:r>
      <w:r w:rsidRPr="007B4B2E">
        <w:t xml:space="preserve"> jednalo o zadávací řízení na výběr dodavatele s</w:t>
      </w:r>
      <w:r w:rsidR="005014EF">
        <w:t> </w:t>
      </w:r>
      <w:r w:rsidRPr="007B4B2E">
        <w:t>vazbou na hlavní aktivity projektu (tj. nákupy vozidel, stavby terminálů, dodávky telematiky).</w:t>
      </w:r>
      <w:r>
        <w:t xml:space="preserve"> </w:t>
      </w:r>
    </w:p>
    <w:p w14:paraId="49E615D8" w14:textId="77777777" w:rsidR="003A1221" w:rsidRPr="007B4B2E" w:rsidRDefault="003A1221" w:rsidP="00377CD2">
      <w:pPr>
        <w:pStyle w:val="KZnormln"/>
        <w:spacing w:before="120"/>
      </w:pPr>
      <w:r>
        <w:t xml:space="preserve">Podrobnosti o podaných a hodnocených nabídkách v kontrolovaných zadávacích řízeních jsou uvedeny v schématu </w:t>
      </w:r>
      <w:r w:rsidRPr="00D447AE">
        <w:t xml:space="preserve">č. </w:t>
      </w:r>
      <w:r w:rsidR="004E5683" w:rsidRPr="00D447AE">
        <w:t>1</w:t>
      </w:r>
      <w:r w:rsidRPr="00D447AE">
        <w:t>.</w:t>
      </w:r>
    </w:p>
    <w:p w14:paraId="1AE0EE71" w14:textId="77777777" w:rsidR="00D14892" w:rsidRDefault="009D4607" w:rsidP="00377CD2">
      <w:pPr>
        <w:pStyle w:val="Nadpistabulky"/>
        <w:tabs>
          <w:tab w:val="clear" w:pos="1418"/>
        </w:tabs>
        <w:ind w:left="1276" w:hanging="1276"/>
      </w:pPr>
      <w:r>
        <w:lastRenderedPageBreak/>
        <w:t>Schéma</w:t>
      </w:r>
      <w:r w:rsidR="00D14892" w:rsidRPr="004A7259">
        <w:t xml:space="preserve"> č</w:t>
      </w:r>
      <w:r w:rsidR="00D14892" w:rsidRPr="00D447AE">
        <w:t xml:space="preserve">. </w:t>
      </w:r>
      <w:r w:rsidR="004E5683" w:rsidRPr="00D447AE">
        <w:t>1</w:t>
      </w:r>
      <w:r w:rsidR="00D14892" w:rsidRPr="00D447AE">
        <w:t>:</w:t>
      </w:r>
      <w:r w:rsidR="00D14892">
        <w:tab/>
      </w:r>
      <w:r w:rsidR="00D14892" w:rsidRPr="00D14892">
        <w:t xml:space="preserve">Počet </w:t>
      </w:r>
      <w:r w:rsidR="00D14892">
        <w:t xml:space="preserve">podaných nabídek v kontrolovaných </w:t>
      </w:r>
      <w:r w:rsidR="00D14892" w:rsidRPr="00D14892">
        <w:t>zadávacích řízení</w:t>
      </w:r>
      <w:r w:rsidR="00D14892">
        <w:t>ch</w:t>
      </w:r>
      <w:r w:rsidR="00D14892" w:rsidRPr="00D14892">
        <w:t xml:space="preserve"> na výběr dodavatelů pro hlavní aktivity </w:t>
      </w:r>
    </w:p>
    <w:p w14:paraId="422818E7" w14:textId="77777777" w:rsidR="00A7221D" w:rsidRDefault="00F240D1" w:rsidP="00A7221D">
      <w:pPr>
        <w:pStyle w:val="Zkladn"/>
        <w:keepNext/>
        <w:ind w:left="567" w:hanging="567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cs-CZ"/>
        </w:rPr>
        <w:drawing>
          <wp:inline distT="0" distB="0" distL="0" distR="0" wp14:anchorId="46CEA417" wp14:editId="427F44D5">
            <wp:extent cx="5888182" cy="246867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4" t="963" r="10059" b="45739"/>
                    <a:stretch/>
                  </pic:blipFill>
                  <pic:spPr bwMode="auto">
                    <a:xfrm>
                      <a:off x="0" y="0"/>
                      <a:ext cx="5905210" cy="247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02412" w14:textId="77777777" w:rsidR="00D14892" w:rsidRPr="00D14892" w:rsidRDefault="00D14892" w:rsidP="00112E17">
      <w:pPr>
        <w:pStyle w:val="Zkladn"/>
        <w:ind w:left="567" w:hanging="567"/>
        <w:rPr>
          <w:sz w:val="20"/>
          <w:szCs w:val="20"/>
        </w:rPr>
      </w:pPr>
      <w:r w:rsidRPr="00112E17">
        <w:rPr>
          <w:b/>
          <w:sz w:val="20"/>
          <w:szCs w:val="20"/>
        </w:rPr>
        <w:t>Pozn.:</w:t>
      </w:r>
      <w:r>
        <w:rPr>
          <w:sz w:val="20"/>
          <w:szCs w:val="20"/>
        </w:rPr>
        <w:tab/>
        <w:t>Údaje nezahrnují veřejné zakázky malého rozsahu</w:t>
      </w:r>
      <w:r w:rsidRPr="00D14892">
        <w:rPr>
          <w:sz w:val="20"/>
          <w:szCs w:val="20"/>
        </w:rPr>
        <w:t xml:space="preserve"> </w:t>
      </w:r>
      <w:r w:rsidR="00112E17">
        <w:rPr>
          <w:sz w:val="20"/>
          <w:szCs w:val="20"/>
        </w:rPr>
        <w:t>zadávané přímo dodavateli a zaká</w:t>
      </w:r>
      <w:r>
        <w:rPr>
          <w:sz w:val="20"/>
          <w:szCs w:val="20"/>
        </w:rPr>
        <w:t>zky zadané formou jednacího řízení bez uveřejnění</w:t>
      </w:r>
      <w:r w:rsidR="00112E17">
        <w:rPr>
          <w:sz w:val="20"/>
          <w:szCs w:val="20"/>
        </w:rPr>
        <w:t xml:space="preserve"> </w:t>
      </w:r>
      <w:r>
        <w:rPr>
          <w:sz w:val="20"/>
          <w:szCs w:val="20"/>
        </w:rPr>
        <w:t>n</w:t>
      </w:r>
      <w:r w:rsidR="00112E17">
        <w:rPr>
          <w:sz w:val="20"/>
          <w:szCs w:val="20"/>
        </w:rPr>
        <w:t>a základě již dříve</w:t>
      </w:r>
      <w:r w:rsidRPr="00D14892">
        <w:rPr>
          <w:sz w:val="20"/>
          <w:szCs w:val="20"/>
        </w:rPr>
        <w:t xml:space="preserve"> uzavřenými rámcovými smlouvami</w:t>
      </w:r>
      <w:r w:rsidR="00112E17">
        <w:rPr>
          <w:sz w:val="20"/>
          <w:szCs w:val="20"/>
        </w:rPr>
        <w:t>. P</w:t>
      </w:r>
      <w:r w:rsidRPr="00D14892">
        <w:rPr>
          <w:sz w:val="20"/>
          <w:szCs w:val="20"/>
        </w:rPr>
        <w:t>okud byla zakázka rozdělena na části, jsou do po</w:t>
      </w:r>
      <w:r w:rsidR="00112E17">
        <w:rPr>
          <w:sz w:val="20"/>
          <w:szCs w:val="20"/>
        </w:rPr>
        <w:t>čtu zahrnuty i jednotlivé části, které byly spolufinancovány z dotace IROP.</w:t>
      </w:r>
    </w:p>
    <w:p w14:paraId="78848B52" w14:textId="71D7161C" w:rsidR="00D14892" w:rsidRDefault="00D14892" w:rsidP="00D14892">
      <w:pPr>
        <w:pStyle w:val="Zkladn"/>
        <w:spacing w:after="120"/>
        <w:ind w:left="567" w:hanging="567"/>
        <w:rPr>
          <w:sz w:val="20"/>
          <w:szCs w:val="20"/>
        </w:rPr>
      </w:pPr>
      <w:r w:rsidRPr="007B4B2E">
        <w:rPr>
          <w:b/>
          <w:sz w:val="20"/>
          <w:szCs w:val="20"/>
        </w:rPr>
        <w:t>Zdroj:</w:t>
      </w:r>
      <w:r w:rsidRPr="007B4B2E">
        <w:rPr>
          <w:b/>
          <w:sz w:val="20"/>
          <w:szCs w:val="20"/>
        </w:rPr>
        <w:tab/>
      </w:r>
      <w:r w:rsidR="00632FA0" w:rsidRPr="00632FA0">
        <w:rPr>
          <w:sz w:val="20"/>
          <w:szCs w:val="20"/>
        </w:rPr>
        <w:t xml:space="preserve">graficky zpracoval </w:t>
      </w:r>
      <w:r w:rsidRPr="007B4B2E">
        <w:rPr>
          <w:sz w:val="20"/>
          <w:szCs w:val="20"/>
        </w:rPr>
        <w:t>NKÚ.</w:t>
      </w:r>
    </w:p>
    <w:p w14:paraId="0FE1BF41" w14:textId="77777777" w:rsidR="000E205E" w:rsidRDefault="00E932A4" w:rsidP="003B7406">
      <w:pPr>
        <w:pStyle w:val="KZnormln"/>
      </w:pPr>
      <w:r>
        <w:t>V případě aktivity</w:t>
      </w:r>
      <w:r w:rsidRPr="001A2F05">
        <w:t xml:space="preserve"> </w:t>
      </w:r>
      <w:r>
        <w:t>„Terminály“</w:t>
      </w:r>
      <w:r w:rsidRPr="001A2F05">
        <w:t xml:space="preserve"> byly u všech zadávacích říz</w:t>
      </w:r>
      <w:r>
        <w:t>ení podány dvě a více nabídek. V aktivitě</w:t>
      </w:r>
      <w:r w:rsidRPr="001A2F05">
        <w:t xml:space="preserve"> </w:t>
      </w:r>
      <w:r>
        <w:t>„Telematika“</w:t>
      </w:r>
      <w:r w:rsidRPr="001A2F05">
        <w:t xml:space="preserve"> byla v polovině zadávacích řízení předložena pouze jedna nabídka, což mohlo být způsobeno specifičností dodávek v</w:t>
      </w:r>
      <w:r>
        <w:t> této oblasti</w:t>
      </w:r>
      <w:r w:rsidRPr="001A2F05">
        <w:t xml:space="preserve">. V </w:t>
      </w:r>
      <w:r>
        <w:t>aktivitě</w:t>
      </w:r>
      <w:r w:rsidRPr="001A2F05">
        <w:t xml:space="preserve"> </w:t>
      </w:r>
      <w:r>
        <w:t>„</w:t>
      </w:r>
      <w:proofErr w:type="spellStart"/>
      <w:r>
        <w:t>Nízkoemisní</w:t>
      </w:r>
      <w:proofErr w:type="spellEnd"/>
      <w:r>
        <w:t xml:space="preserve"> a bezemisní vozidla“ </w:t>
      </w:r>
      <w:r w:rsidRPr="001A2F05">
        <w:t>byla podána pouze jedna nabídka</w:t>
      </w:r>
      <w:r>
        <w:t xml:space="preserve"> v </w:t>
      </w:r>
      <w:r w:rsidRPr="001A2F05">
        <w:t>67 %</w:t>
      </w:r>
      <w:r>
        <w:t xml:space="preserve"> (ve 14 případech z 21)</w:t>
      </w:r>
      <w:r w:rsidR="004F4B0B">
        <w:t>.</w:t>
      </w:r>
      <w:r>
        <w:t xml:space="preserve"> </w:t>
      </w:r>
      <w:r w:rsidR="004F4B0B">
        <w:t>N</w:t>
      </w:r>
      <w:r w:rsidRPr="001A2F05">
        <w:t xml:space="preserve">ejčastěji se tato situace vyskytovala u dodávek </w:t>
      </w:r>
      <w:proofErr w:type="spellStart"/>
      <w:r w:rsidRPr="001A2F05">
        <w:t>elektrobusů</w:t>
      </w:r>
      <w:proofErr w:type="spellEnd"/>
      <w:r w:rsidRPr="001A2F05">
        <w:t>, trolejbusů a tramvají.</w:t>
      </w:r>
    </w:p>
    <w:p w14:paraId="6272DAD5" w14:textId="68D0FB76" w:rsidR="008A6037" w:rsidRPr="00AA15C8" w:rsidRDefault="008A6037" w:rsidP="000E205E">
      <w:pPr>
        <w:pStyle w:val="Rmeek"/>
        <w:spacing w:after="0"/>
        <w:ind w:right="284"/>
      </w:pPr>
      <w:r w:rsidRPr="00AA15C8">
        <w:t>U kontrolovaných pro</w:t>
      </w:r>
      <w:r w:rsidR="00DB70E5" w:rsidRPr="00AA15C8">
        <w:t xml:space="preserve">jektů byly veřejné zakázky na dodávku </w:t>
      </w:r>
      <w:r w:rsidR="00AA15C8">
        <w:t>dopravních prostředků</w:t>
      </w:r>
      <w:r w:rsidR="00DB70E5">
        <w:t xml:space="preserve"> </w:t>
      </w:r>
      <w:r w:rsidR="00DB70E5" w:rsidRPr="00AA15C8">
        <w:t xml:space="preserve">zadány v otevřených řízeních. </w:t>
      </w:r>
      <w:r w:rsidR="00AA15C8">
        <w:t>Z</w:t>
      </w:r>
      <w:r w:rsidR="00AA15C8" w:rsidRPr="00AA15C8">
        <w:t>adavatelé</w:t>
      </w:r>
      <w:r w:rsidR="00150200" w:rsidRPr="00AA15C8">
        <w:t xml:space="preserve"> v rámci všech proje</w:t>
      </w:r>
      <w:r w:rsidR="00150200">
        <w:t>ktů prováděli průzkum trhu</w:t>
      </w:r>
      <w:r w:rsidR="00DD3C55">
        <w:t>,</w:t>
      </w:r>
      <w:r w:rsidR="00150200">
        <w:t xml:space="preserve"> </w:t>
      </w:r>
      <w:r w:rsidR="00AA15C8">
        <w:t>případně</w:t>
      </w:r>
      <w:r w:rsidR="00150200" w:rsidRPr="00AA15C8">
        <w:t xml:space="preserve"> tržní konzultaci, kdy oslovovali </w:t>
      </w:r>
      <w:r w:rsidR="00AA15C8" w:rsidRPr="00AA15C8">
        <w:t>min</w:t>
      </w:r>
      <w:r w:rsidR="00AA15C8">
        <w:t>imálně</w:t>
      </w:r>
      <w:r w:rsidR="003A66E9">
        <w:t xml:space="preserve"> tři</w:t>
      </w:r>
      <w:r w:rsidR="00150200" w:rsidRPr="00AA15C8">
        <w:t xml:space="preserve"> dodavatele, kteří byli s</w:t>
      </w:r>
      <w:r w:rsidR="00150200">
        <w:t>chopni požadovaná vozidla dodat</w:t>
      </w:r>
      <w:r w:rsidR="00AA15C8">
        <w:t>.</w:t>
      </w:r>
      <w:r w:rsidR="00AA15C8" w:rsidRPr="00AA15C8">
        <w:t xml:space="preserve"> </w:t>
      </w:r>
      <w:r w:rsidR="00AA15C8">
        <w:t>P</w:t>
      </w:r>
      <w:r w:rsidR="00DB70E5" w:rsidRPr="00AA15C8">
        <w:t xml:space="preserve">ro jednotlivé předměty </w:t>
      </w:r>
      <w:r w:rsidR="00150200" w:rsidRPr="00AA15C8">
        <w:t>plnění existovalo více potenciálních dodavatelů</w:t>
      </w:r>
      <w:r w:rsidR="00AA15C8">
        <w:t>.</w:t>
      </w:r>
      <w:r w:rsidR="00150200" w:rsidRPr="00AA15C8">
        <w:t xml:space="preserve"> </w:t>
      </w:r>
      <w:r w:rsidR="00AA15C8">
        <w:t>Přesto</w:t>
      </w:r>
      <w:r w:rsidR="00150200">
        <w:t xml:space="preserve"> </w:t>
      </w:r>
      <w:r w:rsidR="00150200" w:rsidRPr="00AA15C8">
        <w:t xml:space="preserve">byla v rámci zadávacích řízení ve 14 případech z 21 předložena nabídka pouze </w:t>
      </w:r>
      <w:r w:rsidR="003A66E9">
        <w:t>od</w:t>
      </w:r>
      <w:r w:rsidR="00123BC1">
        <w:t xml:space="preserve"> </w:t>
      </w:r>
      <w:r w:rsidR="00150200" w:rsidRPr="00AA15C8">
        <w:t xml:space="preserve">jednoho dodavatele. V oblasti nákupu </w:t>
      </w:r>
      <w:r w:rsidR="00B77F1D" w:rsidRPr="00AA15C8">
        <w:t>vozidel tak probíhala soutěž jen v omezené míře a jednotliví dodavatelé si vzájemně nekonkurovali.</w:t>
      </w:r>
    </w:p>
    <w:p w14:paraId="5D7C4817" w14:textId="77777777" w:rsidR="000E205E" w:rsidRDefault="00CA6CD1" w:rsidP="00377CD2">
      <w:pPr>
        <w:pStyle w:val="Nadpis4"/>
        <w:spacing w:before="120" w:after="120"/>
      </w:pPr>
      <w:r>
        <w:t>Příjemci nakupovali dopravní prostředky za přiměřené ceny</w:t>
      </w:r>
    </w:p>
    <w:p w14:paraId="03E68A61" w14:textId="21202C0A" w:rsidR="009D4607" w:rsidRDefault="00260A53" w:rsidP="009605C4">
      <w:pPr>
        <w:pStyle w:val="KZnormln"/>
      </w:pPr>
      <w:r>
        <w:t xml:space="preserve">Přiměřenost </w:t>
      </w:r>
      <w:r w:rsidRPr="00260A53">
        <w:t xml:space="preserve">kupních cen vozidel pořízených v rámci kontrolovaných projektů </w:t>
      </w:r>
      <w:r>
        <w:t xml:space="preserve">NKÚ </w:t>
      </w:r>
      <w:r w:rsidR="00751BC6" w:rsidRPr="00513C27">
        <w:t>ověřoval</w:t>
      </w:r>
      <w:r>
        <w:t xml:space="preserve"> porovnáním</w:t>
      </w:r>
      <w:r w:rsidR="009605C4">
        <w:t xml:space="preserve"> jednotkové ceny nakupovaných dopravních prostředků </w:t>
      </w:r>
      <w:r w:rsidR="00B228C9">
        <w:t>pořízených</w:t>
      </w:r>
      <w:r w:rsidR="009605C4">
        <w:t xml:space="preserve"> </w:t>
      </w:r>
      <w:r>
        <w:t>v</w:t>
      </w:r>
      <w:r w:rsidR="004427E9">
        <w:t> </w:t>
      </w:r>
      <w:r>
        <w:t>rámci</w:t>
      </w:r>
      <w:r w:rsidR="00123BC1">
        <w:t xml:space="preserve"> </w:t>
      </w:r>
      <w:r>
        <w:t xml:space="preserve">kontrolovaných </w:t>
      </w:r>
      <w:r w:rsidR="009D4607">
        <w:t>projekt</w:t>
      </w:r>
      <w:r>
        <w:t xml:space="preserve">ů </w:t>
      </w:r>
      <w:r w:rsidR="009605C4">
        <w:t xml:space="preserve">a průměrnými </w:t>
      </w:r>
      <w:r w:rsidRPr="00260A53">
        <w:rPr>
          <w:rFonts w:eastAsiaTheme="minorHAnsi" w:cstheme="minorBidi"/>
          <w:color w:val="auto"/>
          <w:szCs w:val="24"/>
        </w:rPr>
        <w:t>cenami obdobných dopravních prostředků veřejné hromadné dopravy zjištěnými z veřejně dostupných informačních zdrojů, a to z</w:t>
      </w:r>
      <w:r w:rsidR="00377CD2">
        <w:rPr>
          <w:rFonts w:eastAsiaTheme="minorHAnsi" w:cstheme="minorBidi"/>
          <w:color w:val="auto"/>
          <w:szCs w:val="24"/>
        </w:rPr>
        <w:t> </w:t>
      </w:r>
      <w:r w:rsidR="00123BC1">
        <w:rPr>
          <w:rFonts w:eastAsiaTheme="minorHAnsi" w:cstheme="minorBidi"/>
          <w:color w:val="auto"/>
          <w:szCs w:val="24"/>
        </w:rPr>
        <w:t>r</w:t>
      </w:r>
      <w:r w:rsidRPr="00260A53">
        <w:rPr>
          <w:rFonts w:eastAsiaTheme="minorHAnsi" w:cstheme="minorBidi"/>
          <w:color w:val="auto"/>
          <w:szCs w:val="24"/>
        </w:rPr>
        <w:t>egistru smluv</w:t>
      </w:r>
      <w:r w:rsidRPr="00260A53">
        <w:rPr>
          <w:rFonts w:eastAsiaTheme="minorHAnsi" w:cstheme="minorBidi"/>
          <w:color w:val="auto"/>
          <w:szCs w:val="24"/>
          <w:vertAlign w:val="superscript"/>
        </w:rPr>
        <w:footnoteReference w:id="22"/>
      </w:r>
      <w:r>
        <w:rPr>
          <w:rFonts w:eastAsiaTheme="minorHAnsi" w:cstheme="minorBidi"/>
          <w:color w:val="auto"/>
          <w:szCs w:val="24"/>
        </w:rPr>
        <w:t xml:space="preserve"> (dále též „RS“)</w:t>
      </w:r>
      <w:r w:rsidRPr="00260A53">
        <w:rPr>
          <w:rFonts w:eastAsiaTheme="minorHAnsi" w:cstheme="minorBidi"/>
          <w:color w:val="auto"/>
          <w:szCs w:val="24"/>
        </w:rPr>
        <w:t xml:space="preserve"> a </w:t>
      </w:r>
      <w:r w:rsidRPr="00B931A7">
        <w:rPr>
          <w:rFonts w:eastAsiaTheme="minorHAnsi" w:cstheme="minorBidi"/>
          <w:i/>
          <w:color w:val="auto"/>
          <w:szCs w:val="24"/>
        </w:rPr>
        <w:t>Informačního systému o veřejných zakázkách</w:t>
      </w:r>
      <w:r w:rsidRPr="00260A53">
        <w:rPr>
          <w:rFonts w:eastAsiaTheme="minorHAnsi" w:cstheme="minorBidi"/>
          <w:color w:val="auto"/>
          <w:szCs w:val="24"/>
          <w:vertAlign w:val="superscript"/>
        </w:rPr>
        <w:footnoteReference w:id="23"/>
      </w:r>
      <w:r w:rsidR="005F595D">
        <w:rPr>
          <w:rFonts w:eastAsiaTheme="minorHAnsi" w:cstheme="minorBidi"/>
          <w:color w:val="auto"/>
          <w:szCs w:val="24"/>
        </w:rPr>
        <w:t xml:space="preserve"> (dále též </w:t>
      </w:r>
      <w:r w:rsidR="00123BC1">
        <w:rPr>
          <w:rFonts w:eastAsiaTheme="minorHAnsi" w:cstheme="minorBidi"/>
          <w:color w:val="auto"/>
          <w:szCs w:val="24"/>
        </w:rPr>
        <w:t>„</w:t>
      </w:r>
      <w:r>
        <w:rPr>
          <w:rFonts w:eastAsiaTheme="minorHAnsi" w:cstheme="minorBidi"/>
          <w:color w:val="auto"/>
          <w:szCs w:val="24"/>
        </w:rPr>
        <w:t>ISV</w:t>
      </w:r>
      <w:r w:rsidR="00123BC1">
        <w:rPr>
          <w:rFonts w:eastAsiaTheme="minorHAnsi" w:cstheme="minorBidi"/>
          <w:color w:val="auto"/>
          <w:szCs w:val="24"/>
        </w:rPr>
        <w:t>Z</w:t>
      </w:r>
      <w:r>
        <w:rPr>
          <w:rFonts w:eastAsiaTheme="minorHAnsi" w:cstheme="minorBidi"/>
          <w:color w:val="auto"/>
          <w:szCs w:val="24"/>
        </w:rPr>
        <w:t>“)</w:t>
      </w:r>
      <w:r w:rsidR="009605C4">
        <w:t xml:space="preserve">. </w:t>
      </w:r>
      <w:r w:rsidR="009D4607">
        <w:t>Výsledky porovnání jsou uvedeny v grafu č</w:t>
      </w:r>
      <w:r w:rsidR="009D4607" w:rsidRPr="00D447AE">
        <w:t xml:space="preserve">. </w:t>
      </w:r>
      <w:r w:rsidR="00513C27" w:rsidRPr="00D447AE">
        <w:t>5</w:t>
      </w:r>
      <w:r w:rsidR="009D4607" w:rsidRPr="00D447AE">
        <w:t>.</w:t>
      </w:r>
    </w:p>
    <w:p w14:paraId="61E74C98" w14:textId="3A01E638" w:rsidR="009D4607" w:rsidRDefault="00676E76" w:rsidP="00377CD2">
      <w:pPr>
        <w:pStyle w:val="Nadpistabulky"/>
        <w:tabs>
          <w:tab w:val="clear" w:pos="1418"/>
        </w:tabs>
        <w:ind w:left="993" w:hanging="993"/>
      </w:pPr>
      <w:r>
        <w:rPr>
          <w:b w:val="0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62345" behindDoc="0" locked="0" layoutInCell="1" allowOverlap="1" wp14:anchorId="7005A82C" wp14:editId="6218EA77">
            <wp:simplePos x="0" y="0"/>
            <wp:positionH relativeFrom="column">
              <wp:posOffset>-11430</wp:posOffset>
            </wp:positionH>
            <wp:positionV relativeFrom="paragraph">
              <wp:posOffset>604520</wp:posOffset>
            </wp:positionV>
            <wp:extent cx="5893200" cy="3791730"/>
            <wp:effectExtent l="0" t="0" r="0" b="0"/>
            <wp:wrapTopAndBottom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200" cy="379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607">
        <w:t>Graf</w:t>
      </w:r>
      <w:r w:rsidR="009D4607" w:rsidRPr="004A7259">
        <w:t xml:space="preserve"> č</w:t>
      </w:r>
      <w:r w:rsidR="009D4607" w:rsidRPr="00D447AE">
        <w:t xml:space="preserve">. </w:t>
      </w:r>
      <w:r w:rsidR="00513C27" w:rsidRPr="00D447AE">
        <w:t>5</w:t>
      </w:r>
      <w:r w:rsidR="009D4607" w:rsidRPr="00D447AE">
        <w:t>:</w:t>
      </w:r>
      <w:r w:rsidR="009D4607">
        <w:tab/>
      </w:r>
      <w:r w:rsidR="009D4607" w:rsidRPr="009D4607">
        <w:t xml:space="preserve">Porovnání průměrných jednotkových cen vozidel </w:t>
      </w:r>
      <w:r w:rsidR="009D4607">
        <w:t>pořízených v kontrolovaných projektech</w:t>
      </w:r>
      <w:r w:rsidR="009D4607" w:rsidRPr="009D4607">
        <w:t xml:space="preserve"> a cen jiných nákupů obdobných vozidel zjištěných z veřejně dostupných informačních zdrojů</w:t>
      </w:r>
      <w:r w:rsidR="009D4607" w:rsidRPr="00D14892">
        <w:t xml:space="preserve"> </w:t>
      </w:r>
    </w:p>
    <w:p w14:paraId="01724EBF" w14:textId="1827F651" w:rsidR="009D4607" w:rsidRPr="00D14892" w:rsidRDefault="009D4607" w:rsidP="0032307A">
      <w:pPr>
        <w:pStyle w:val="Zkladn"/>
        <w:keepNext/>
        <w:ind w:left="567" w:hanging="567"/>
        <w:rPr>
          <w:sz w:val="20"/>
          <w:szCs w:val="20"/>
        </w:rPr>
      </w:pPr>
      <w:r w:rsidRPr="00112E17">
        <w:rPr>
          <w:b/>
          <w:sz w:val="20"/>
          <w:szCs w:val="20"/>
        </w:rPr>
        <w:t>Pozn.:</w:t>
      </w:r>
      <w:r>
        <w:rPr>
          <w:sz w:val="20"/>
          <w:szCs w:val="20"/>
        </w:rPr>
        <w:tab/>
        <w:t>Průměrné jednotkové ceny dopravních prostředků nezahrnují DPH.</w:t>
      </w:r>
    </w:p>
    <w:p w14:paraId="19439B9A" w14:textId="7B251541" w:rsidR="009D4607" w:rsidRPr="007B4B2E" w:rsidRDefault="009D4607" w:rsidP="009D4607">
      <w:pPr>
        <w:pStyle w:val="Zkladn"/>
        <w:spacing w:after="120"/>
        <w:ind w:left="567" w:hanging="567"/>
        <w:rPr>
          <w:b/>
          <w:sz w:val="20"/>
          <w:szCs w:val="20"/>
        </w:rPr>
      </w:pPr>
      <w:r w:rsidRPr="007B4B2E">
        <w:rPr>
          <w:b/>
          <w:sz w:val="20"/>
          <w:szCs w:val="20"/>
        </w:rPr>
        <w:t>Zdroj:</w:t>
      </w:r>
      <w:r w:rsidRPr="007B4B2E">
        <w:rPr>
          <w:b/>
          <w:sz w:val="20"/>
          <w:szCs w:val="20"/>
        </w:rPr>
        <w:tab/>
      </w:r>
      <w:r w:rsidR="00632FA0">
        <w:rPr>
          <w:sz w:val="20"/>
          <w:szCs w:val="20"/>
        </w:rPr>
        <w:t xml:space="preserve">graficky zpracoval </w:t>
      </w:r>
      <w:r w:rsidRPr="007B4B2E">
        <w:rPr>
          <w:sz w:val="20"/>
          <w:szCs w:val="20"/>
        </w:rPr>
        <w:t>NKÚ.</w:t>
      </w:r>
    </w:p>
    <w:p w14:paraId="51B52ED9" w14:textId="77777777" w:rsidR="009605C4" w:rsidRDefault="009D4607" w:rsidP="009D4607">
      <w:pPr>
        <w:pStyle w:val="Rmeek"/>
      </w:pPr>
      <w:r>
        <w:t>C</w:t>
      </w:r>
      <w:r w:rsidR="009605C4">
        <w:t xml:space="preserve">eny </w:t>
      </w:r>
      <w:r>
        <w:t>vozidel pořízených v rámci kontrolovaných projektů</w:t>
      </w:r>
      <w:r w:rsidR="009605C4">
        <w:t xml:space="preserve"> a dopravních prostředků stejné kategorie </w:t>
      </w:r>
      <w:r>
        <w:t xml:space="preserve">zjištěné z veřejně dostupných informačních zdrojů </w:t>
      </w:r>
      <w:r w:rsidR="009605C4">
        <w:t xml:space="preserve">jsou srovnatelné. </w:t>
      </w:r>
      <w:r w:rsidR="00117174">
        <w:t xml:space="preserve">Zjištěné odchylky porovnávaných průměrných jednotkových cen dopravních prostředků nejsou významné. </w:t>
      </w:r>
      <w:r w:rsidR="009605C4">
        <w:t xml:space="preserve">Odchylky lze odůvodnit rozdílnou technickou specifikací nebo odlišnými garančními a servisními podmínkami nakupovaných vozidel.  </w:t>
      </w:r>
    </w:p>
    <w:p w14:paraId="2ED32040" w14:textId="23DEEC7B" w:rsidR="009605C4" w:rsidRDefault="009605C4" w:rsidP="00D10944">
      <w:pPr>
        <w:pStyle w:val="Zkladn"/>
      </w:pPr>
      <w:r>
        <w:t>Jelikož se jedná o segment trhu s omezenou výrobní kapacitou, malosériovou výrobou a</w:t>
      </w:r>
      <w:r w:rsidR="00C76074">
        <w:t> </w:t>
      </w:r>
      <w:r>
        <w:t>s</w:t>
      </w:r>
      <w:r w:rsidR="00C76074">
        <w:t> </w:t>
      </w:r>
      <w:r>
        <w:t xml:space="preserve">nízkým zájmem o účast ve veřejných soutěžích, rozhodl se NKÚ zveřejnit </w:t>
      </w:r>
      <w:r w:rsidR="005225DB">
        <w:t>informace o</w:t>
      </w:r>
      <w:r w:rsidR="00632FA0">
        <w:t> </w:t>
      </w:r>
      <w:r w:rsidR="005225DB">
        <w:t>cenách</w:t>
      </w:r>
      <w:r>
        <w:t xml:space="preserve"> dopravních prostředků </w:t>
      </w:r>
      <w:r w:rsidR="005225DB">
        <w:t>včetně souvisejících informací</w:t>
      </w:r>
      <w:r w:rsidR="00D10944">
        <w:rPr>
          <w:rStyle w:val="Znakapoznpodarou"/>
        </w:rPr>
        <w:footnoteReference w:id="24"/>
      </w:r>
      <w:r w:rsidR="005225DB">
        <w:t xml:space="preserve">. </w:t>
      </w:r>
    </w:p>
    <w:p w14:paraId="0F89C77E" w14:textId="3B36E42A" w:rsidR="009E0500" w:rsidRDefault="002018AB" w:rsidP="002018AB">
      <w:pPr>
        <w:pStyle w:val="Nadpis2"/>
        <w:numPr>
          <w:ilvl w:val="0"/>
          <w:numId w:val="0"/>
        </w:numPr>
        <w:spacing w:before="120"/>
      </w:pPr>
      <w:r>
        <w:t xml:space="preserve">4. </w:t>
      </w:r>
      <w:r w:rsidR="009E0500">
        <w:t xml:space="preserve">Ostatní zjištění </w:t>
      </w:r>
      <w:r w:rsidR="009E0500" w:rsidRPr="009E0500">
        <w:t>na</w:t>
      </w:r>
      <w:r w:rsidR="009E0500">
        <w:t xml:space="preserve"> úrovni příjemců</w:t>
      </w:r>
    </w:p>
    <w:p w14:paraId="33B6F3A8" w14:textId="77777777" w:rsidR="006E6FB5" w:rsidRDefault="00AF0BA9" w:rsidP="00C76074">
      <w:pPr>
        <w:pStyle w:val="Nadpis4"/>
        <w:spacing w:before="120" w:after="120"/>
      </w:pPr>
      <w:r>
        <w:t>Někteří</w:t>
      </w:r>
      <w:r w:rsidR="006E6FB5">
        <w:t xml:space="preserve"> příjemci obdrželi podporu na nezpůsobilé výdaje</w:t>
      </w:r>
    </w:p>
    <w:p w14:paraId="0CAE476E" w14:textId="77777777" w:rsidR="009E0500" w:rsidRDefault="00AF0BA9" w:rsidP="00C76074">
      <w:pPr>
        <w:pStyle w:val="KZnormln"/>
        <w:spacing w:before="120"/>
      </w:pPr>
      <w:r>
        <w:t>Jeden z</w:t>
      </w:r>
      <w:r w:rsidR="002E030A">
        <w:t xml:space="preserve"> příjemc</w:t>
      </w:r>
      <w:r>
        <w:t>ů</w:t>
      </w:r>
      <w:r w:rsidR="002E030A">
        <w:t xml:space="preserve"> </w:t>
      </w:r>
      <w:r w:rsidR="007A5B7D" w:rsidRPr="007A5B7D">
        <w:t>v rámci realizace projektu</w:t>
      </w:r>
      <w:r w:rsidR="00117174">
        <w:rPr>
          <w:rStyle w:val="Znakapoznpodarou"/>
        </w:rPr>
        <w:footnoteReference w:id="25"/>
      </w:r>
      <w:r w:rsidR="007A5B7D" w:rsidRPr="007A5B7D">
        <w:t xml:space="preserve"> uplatnil jako způsobilý výdaj, </w:t>
      </w:r>
      <w:r w:rsidR="007A5B7D">
        <w:t>který</w:t>
      </w:r>
      <w:r w:rsidR="007A5B7D" w:rsidRPr="007A5B7D">
        <w:t xml:space="preserve"> nebyl prokazatelně doložen</w:t>
      </w:r>
      <w:r w:rsidR="007A5B7D">
        <w:t>.</w:t>
      </w:r>
      <w:r w:rsidR="007A5B7D" w:rsidRPr="007A5B7D">
        <w:t xml:space="preserve"> </w:t>
      </w:r>
      <w:r>
        <w:t>D</w:t>
      </w:r>
      <w:r w:rsidR="007A5B7D" w:rsidRPr="007A5B7D">
        <w:t xml:space="preserve">odané zařízení neodpovídalo fakturovanému zařízení. Skutečně </w:t>
      </w:r>
      <w:r w:rsidR="007A5B7D" w:rsidRPr="007A5B7D">
        <w:lastRenderedPageBreak/>
        <w:t>dodané zařízení (zobrazovací LCD panel) bylo nižší kvality s odlišnými parametry oproti zařízení fakturovanému a uhrazenému.</w:t>
      </w:r>
      <w:r w:rsidR="007A5B7D">
        <w:t xml:space="preserve"> </w:t>
      </w:r>
    </w:p>
    <w:p w14:paraId="62E6C15D" w14:textId="3850BAD2" w:rsidR="007A5B7D" w:rsidRDefault="00AF0BA9" w:rsidP="00C76074">
      <w:pPr>
        <w:pStyle w:val="KZnormln"/>
        <w:spacing w:before="120"/>
      </w:pPr>
      <w:r>
        <w:t>Další</w:t>
      </w:r>
      <w:r w:rsidR="002E030A">
        <w:t xml:space="preserve"> příjemce </w:t>
      </w:r>
      <w:r w:rsidR="007A5B7D" w:rsidRPr="007A5B7D">
        <w:t>v rámci realizace projektu</w:t>
      </w:r>
      <w:r w:rsidR="00117174">
        <w:rPr>
          <w:rStyle w:val="Znakapoznpodarou"/>
        </w:rPr>
        <w:footnoteReference w:id="26"/>
      </w:r>
      <w:r w:rsidR="007A5B7D" w:rsidRPr="007A5B7D">
        <w:t xml:space="preserve"> uplatnil v žádosti o platbu jako způsobilé výdaje za technickou podporu. Tyto výdaje nesplňovaly podmínky věcné způsobilosti </w:t>
      </w:r>
      <w:r w:rsidR="007A5B7D">
        <w:t>stanovené pro danou aktivitu „Telematika“.</w:t>
      </w:r>
      <w:r w:rsidR="007A5B7D" w:rsidRPr="007A5B7D">
        <w:t xml:space="preserve"> </w:t>
      </w:r>
    </w:p>
    <w:p w14:paraId="754E4105" w14:textId="0C1BC99B" w:rsidR="006E6FB5" w:rsidRDefault="00AF0BA9" w:rsidP="00C76074">
      <w:pPr>
        <w:pStyle w:val="Zkladn"/>
        <w:spacing w:before="120" w:after="120"/>
      </w:pPr>
      <w:r>
        <w:t>Jiný kontrolovaný</w:t>
      </w:r>
      <w:r w:rsidR="002E030A">
        <w:t xml:space="preserve"> příjemce </w:t>
      </w:r>
      <w:r w:rsidR="006E6FB5" w:rsidRPr="006E6FB5">
        <w:t>v rámci realizace projektu</w:t>
      </w:r>
      <w:r w:rsidR="00117174">
        <w:rPr>
          <w:rStyle w:val="Znakapoznpodarou"/>
        </w:rPr>
        <w:footnoteReference w:id="27"/>
      </w:r>
      <w:r w:rsidR="006E6FB5" w:rsidRPr="006E6FB5">
        <w:t xml:space="preserve"> uplatnil v žádostech o</w:t>
      </w:r>
      <w:r w:rsidR="00E9090E">
        <w:t> </w:t>
      </w:r>
      <w:r w:rsidR="006E6FB5" w:rsidRPr="006E6FB5">
        <w:t>platbu nezpůsobilé výdaje na tři sady výrobcem předepsaného speciálního servisního n</w:t>
      </w:r>
      <w:r w:rsidR="006E6FB5">
        <w:t>ářadí a</w:t>
      </w:r>
      <w:r w:rsidR="00E9090E">
        <w:t> </w:t>
      </w:r>
      <w:r w:rsidR="006E6FB5">
        <w:t>diagnostického zařízení. Nářadí a zařízení</w:t>
      </w:r>
      <w:r w:rsidR="006E6FB5" w:rsidRPr="006E6FB5">
        <w:t xml:space="preserve"> nebylo fakturováno odděleně, ale bylo součástí ceny pořízených </w:t>
      </w:r>
      <w:proofErr w:type="spellStart"/>
      <w:r w:rsidR="006E6FB5" w:rsidRPr="006E6FB5">
        <w:t>elektrobusů</w:t>
      </w:r>
      <w:proofErr w:type="spellEnd"/>
      <w:r w:rsidR="006E6FB5" w:rsidRPr="006E6FB5">
        <w:t xml:space="preserve">. </w:t>
      </w:r>
      <w:r w:rsidR="006E6FB5">
        <w:t>Z věcného hlediska se jedná o v</w:t>
      </w:r>
      <w:r w:rsidR="006E6FB5" w:rsidRPr="006E6FB5">
        <w:t xml:space="preserve">ýdaje </w:t>
      </w:r>
      <w:r w:rsidR="006E6FB5">
        <w:t>nezpůsobilé, protože souvisejí</w:t>
      </w:r>
      <w:r w:rsidR="006A5668">
        <w:t xml:space="preserve"> se servisem a </w:t>
      </w:r>
      <w:r w:rsidR="006E6FB5" w:rsidRPr="006E6FB5">
        <w:t xml:space="preserve">opravami pořízených </w:t>
      </w:r>
      <w:proofErr w:type="spellStart"/>
      <w:r w:rsidR="006E6FB5" w:rsidRPr="006E6FB5">
        <w:t>elektrobusů</w:t>
      </w:r>
      <w:proofErr w:type="spellEnd"/>
      <w:r w:rsidR="006E6FB5">
        <w:t>.</w:t>
      </w:r>
      <w:r w:rsidR="006E6FB5" w:rsidRPr="006E6FB5">
        <w:t xml:space="preserve"> </w:t>
      </w:r>
      <w:r w:rsidR="006E6FB5">
        <w:t xml:space="preserve">Servisní a diagnostické </w:t>
      </w:r>
      <w:r w:rsidR="006E6FB5" w:rsidRPr="006E6FB5">
        <w:t xml:space="preserve">zařízení </w:t>
      </w:r>
      <w:r w:rsidR="006E6FB5">
        <w:t>není</w:t>
      </w:r>
      <w:r w:rsidR="006E6FB5" w:rsidRPr="006E6FB5">
        <w:t xml:space="preserve"> součástí žádného jednotlivého vozidla a </w:t>
      </w:r>
      <w:r w:rsidR="006E6FB5">
        <w:t>není</w:t>
      </w:r>
      <w:r w:rsidR="006E6FB5" w:rsidRPr="006E6FB5">
        <w:t xml:space="preserve"> nezbytnou součástí dodávky nakupovaných vozidel. </w:t>
      </w:r>
    </w:p>
    <w:p w14:paraId="1D804A50" w14:textId="77777777" w:rsidR="00DC7FF8" w:rsidRDefault="006E6FB5" w:rsidP="00C76074">
      <w:pPr>
        <w:pStyle w:val="Nadpis4"/>
        <w:spacing w:before="120" w:after="120"/>
      </w:pPr>
      <w:r>
        <w:t>V z</w:t>
      </w:r>
      <w:r w:rsidR="00DC7FF8">
        <w:t xml:space="preserve">adávání veřejných zakázek </w:t>
      </w:r>
      <w:r>
        <w:t>byly zjištěny nedostatky</w:t>
      </w:r>
    </w:p>
    <w:p w14:paraId="5DAFB30E" w14:textId="21120572" w:rsidR="00117174" w:rsidRDefault="00117174" w:rsidP="00C76074">
      <w:pPr>
        <w:pStyle w:val="KZnormln"/>
        <w:spacing w:before="120"/>
      </w:pPr>
      <w:r>
        <w:t xml:space="preserve">Při zadávání veřejných zakázek </w:t>
      </w:r>
      <w:r w:rsidR="00761A01">
        <w:t xml:space="preserve">nepostupovali </w:t>
      </w:r>
      <w:r>
        <w:t>dva příjemci v souladu s platným předpisem pro</w:t>
      </w:r>
      <w:r w:rsidR="00E3016E">
        <w:t xml:space="preserve"> </w:t>
      </w:r>
      <w:r>
        <w:t xml:space="preserve">zadávání veřejných zakázek. </w:t>
      </w:r>
    </w:p>
    <w:p w14:paraId="387511AE" w14:textId="3E190404" w:rsidR="006E6FB5" w:rsidRDefault="00265A3C" w:rsidP="00C76074">
      <w:pPr>
        <w:pStyle w:val="KZnormln"/>
        <w:spacing w:before="120"/>
      </w:pPr>
      <w:r>
        <w:t xml:space="preserve">Jeden z </w:t>
      </w:r>
      <w:r w:rsidR="001F57ED">
        <w:t>příjemc</w:t>
      </w:r>
      <w:r>
        <w:t>ů</w:t>
      </w:r>
      <w:r w:rsidR="001F57ED">
        <w:t xml:space="preserve"> </w:t>
      </w:r>
      <w:r w:rsidR="006E6FB5" w:rsidRPr="007A5B7D">
        <w:t xml:space="preserve">stanovil kritérium technické kvalifikace při zadávání veřejné zakázky „Telematika </w:t>
      </w:r>
      <w:r w:rsidR="00E3016E">
        <w:t>–</w:t>
      </w:r>
      <w:r w:rsidR="006E6FB5" w:rsidRPr="007A5B7D">
        <w:t xml:space="preserve"> výměna odbavovacího zařízení a dodání dispečerského systému“ v rozporu se zásadou přiměřenosti </w:t>
      </w:r>
      <w:r w:rsidR="006E6FB5">
        <w:t>stanovenou v zákoně o zadávání veřejných zakázek</w:t>
      </w:r>
      <w:r w:rsidR="006E6FB5">
        <w:rPr>
          <w:rStyle w:val="Znakapoznpodarou"/>
        </w:rPr>
        <w:footnoteReference w:id="28"/>
      </w:r>
      <w:r w:rsidR="006E6FB5">
        <w:t>.</w:t>
      </w:r>
      <w:r w:rsidR="006E6FB5" w:rsidRPr="007A5B7D">
        <w:t xml:space="preserve"> </w:t>
      </w:r>
      <w:r w:rsidR="006E6FB5">
        <w:t>Tímto postupem vytvořil</w:t>
      </w:r>
      <w:r w:rsidR="006E6FB5" w:rsidRPr="007A5B7D">
        <w:t xml:space="preserve"> </w:t>
      </w:r>
      <w:r w:rsidR="000A7C66">
        <w:t xml:space="preserve">příjemce </w:t>
      </w:r>
      <w:r w:rsidR="006E6FB5" w:rsidRPr="007A5B7D">
        <w:t>překážku hospodářské soutěže</w:t>
      </w:r>
      <w:r w:rsidR="006E6FB5">
        <w:t xml:space="preserve"> a </w:t>
      </w:r>
      <w:r w:rsidR="006E6FB5" w:rsidRPr="007A5B7D">
        <w:t>porušil rozpočtovou kázeň</w:t>
      </w:r>
      <w:r w:rsidR="003B07DC">
        <w:t xml:space="preserve"> dle </w:t>
      </w:r>
      <w:r w:rsidR="000A7C66">
        <w:t>rozpočtových pravid</w:t>
      </w:r>
      <w:r w:rsidR="00E3016E">
        <w:t>e</w:t>
      </w:r>
      <w:r w:rsidR="000A7C66">
        <w:t>l</w:t>
      </w:r>
      <w:r w:rsidR="00513B79">
        <w:rPr>
          <w:rStyle w:val="Znakapoznpodarou"/>
        </w:rPr>
        <w:footnoteReference w:id="29"/>
      </w:r>
      <w:r w:rsidR="001F57ED">
        <w:t>.</w:t>
      </w:r>
      <w:r w:rsidR="006E6FB5" w:rsidRPr="007A5B7D">
        <w:t xml:space="preserve"> </w:t>
      </w:r>
    </w:p>
    <w:p w14:paraId="038D95A9" w14:textId="2098456D" w:rsidR="007A5B7D" w:rsidRDefault="00265A3C" w:rsidP="00C76074">
      <w:pPr>
        <w:pStyle w:val="KZnormln"/>
        <w:spacing w:before="120"/>
      </w:pPr>
      <w:r>
        <w:t>Jiný</w:t>
      </w:r>
      <w:r w:rsidR="001F57ED">
        <w:t xml:space="preserve"> příjemce </w:t>
      </w:r>
      <w:r w:rsidR="007A5B7D">
        <w:t xml:space="preserve">vyloučil ze zadávacího řízení </w:t>
      </w:r>
      <w:r w:rsidR="001E3DBA">
        <w:t>neoprávněně</w:t>
      </w:r>
      <w:r w:rsidR="007A5B7D">
        <w:t xml:space="preserve"> spol</w:t>
      </w:r>
      <w:r w:rsidR="003B07DC">
        <w:t>ečnou nabídku více dodavatelů z </w:t>
      </w:r>
      <w:r w:rsidR="007A5B7D">
        <w:t>důvodu nesplnění požadované kvalifikace.</w:t>
      </w:r>
      <w:r w:rsidR="001F57ED">
        <w:t xml:space="preserve"> Vyloučení nemělo žádný finanční dopad na realizovanou zakázku.</w:t>
      </w:r>
    </w:p>
    <w:p w14:paraId="69B323E6" w14:textId="77777777" w:rsidR="00DC7FF8" w:rsidRDefault="008E4031" w:rsidP="00C76074">
      <w:pPr>
        <w:pStyle w:val="Nadpis4"/>
        <w:spacing w:before="120" w:after="120"/>
      </w:pPr>
      <w:r>
        <w:t>Nakoupená vozidla měla jiné parametry</w:t>
      </w:r>
    </w:p>
    <w:p w14:paraId="18750E8A" w14:textId="13391BDA" w:rsidR="008E4031" w:rsidRPr="008E4031" w:rsidRDefault="00DB7021" w:rsidP="00C76074">
      <w:pPr>
        <w:pStyle w:val="KZnormln"/>
        <w:spacing w:before="120"/>
      </w:pPr>
      <w:r>
        <w:t xml:space="preserve">Příjemce </w:t>
      </w:r>
      <w:r w:rsidR="008E4031" w:rsidRPr="008E4031">
        <w:t>v rámci realizace projektu</w:t>
      </w:r>
      <w:r w:rsidR="008E4031">
        <w:rPr>
          <w:rStyle w:val="Znakapoznpodarou"/>
        </w:rPr>
        <w:footnoteReference w:id="30"/>
      </w:r>
      <w:r w:rsidR="008E4031" w:rsidRPr="008E4031">
        <w:t xml:space="preserve"> nenaplnil jeden z cílů uvedených v</w:t>
      </w:r>
      <w:r w:rsidR="0091565E">
        <w:t> </w:t>
      </w:r>
      <w:r w:rsidR="008E4031">
        <w:t>rozhodnutí o</w:t>
      </w:r>
      <w:r w:rsidR="00632FA0">
        <w:t> </w:t>
      </w:r>
      <w:r w:rsidR="008E4031">
        <w:t>poskytnutí dotace.</w:t>
      </w:r>
      <w:r w:rsidR="008E4031" w:rsidRPr="008E4031">
        <w:t xml:space="preserve"> </w:t>
      </w:r>
      <w:r w:rsidR="008E4031">
        <w:t>Za</w:t>
      </w:r>
      <w:r w:rsidR="008E4031" w:rsidRPr="008E4031">
        <w:t xml:space="preserve"> účelem zvýšení komfortu a dostupnosti veřej</w:t>
      </w:r>
      <w:r w:rsidR="003B07DC">
        <w:t>né hromadné dopravy pro osoby s </w:t>
      </w:r>
      <w:r w:rsidR="008E4031" w:rsidRPr="008E4031">
        <w:t xml:space="preserve">omezenou schopností pohybu a orientace měla být všechna pořízená vozidla plně nízkopodlažní a bezbariérová. </w:t>
      </w:r>
      <w:r w:rsidR="008E4031">
        <w:t>Příjemce však nakoupil šest minibusů, kter</w:t>
      </w:r>
      <w:r w:rsidR="00E3016E">
        <w:t>é</w:t>
      </w:r>
      <w:r w:rsidR="008E4031">
        <w:t xml:space="preserve"> byl</w:t>
      </w:r>
      <w:r w:rsidR="00E3016E">
        <w:t>y</w:t>
      </w:r>
      <w:r w:rsidR="003B07DC">
        <w:t xml:space="preserve"> jen částečně nízkopodlažní a </w:t>
      </w:r>
      <w:r w:rsidR="008E4031" w:rsidRPr="008E4031">
        <w:t>bezbariérov</w:t>
      </w:r>
      <w:r w:rsidR="00E3016E">
        <w:t>é</w:t>
      </w:r>
      <w:r w:rsidR="008E4031" w:rsidRPr="008E4031">
        <w:t xml:space="preserve">. </w:t>
      </w:r>
      <w:r w:rsidR="008E4031">
        <w:t>O změně ani neinformoval poskytovatele.</w:t>
      </w:r>
    </w:p>
    <w:p w14:paraId="74B5FE32" w14:textId="0279E4E3" w:rsidR="009E0500" w:rsidRDefault="00E3016E" w:rsidP="00E3016E">
      <w:pPr>
        <w:pStyle w:val="Nadpis2"/>
        <w:numPr>
          <w:ilvl w:val="0"/>
          <w:numId w:val="0"/>
        </w:numPr>
        <w:spacing w:before="120"/>
      </w:pPr>
      <w:r>
        <w:t xml:space="preserve">5. </w:t>
      </w:r>
      <w:r w:rsidR="009E0500" w:rsidRPr="009E0500">
        <w:t>Územní</w:t>
      </w:r>
      <w:r w:rsidR="009E0500">
        <w:t xml:space="preserve"> dimenze realizovaná prostřednictvím nástroje ITI</w:t>
      </w:r>
    </w:p>
    <w:p w14:paraId="04E5C891" w14:textId="7C51477D" w:rsidR="00464CDD" w:rsidRPr="00E3016E" w:rsidRDefault="00E3016E" w:rsidP="00E3016E">
      <w:pPr>
        <w:pStyle w:val="Nadpis3"/>
        <w:numPr>
          <w:ilvl w:val="0"/>
          <w:numId w:val="0"/>
        </w:numPr>
        <w:spacing w:before="120" w:after="120"/>
        <w:rPr>
          <w:i w:val="0"/>
        </w:rPr>
      </w:pPr>
      <w:r w:rsidRPr="00E3016E">
        <w:rPr>
          <w:i w:val="0"/>
        </w:rPr>
        <w:t xml:space="preserve">5.1 </w:t>
      </w:r>
      <w:r w:rsidR="009E0500" w:rsidRPr="00E3016E">
        <w:rPr>
          <w:i w:val="0"/>
        </w:rPr>
        <w:t>Řízení výzvy a zajištění hodnocení Strategií ITI</w:t>
      </w:r>
      <w:r w:rsidR="008452E1" w:rsidRPr="00E3016E">
        <w:rPr>
          <w:i w:val="0"/>
        </w:rPr>
        <w:t xml:space="preserve"> </w:t>
      </w:r>
    </w:p>
    <w:p w14:paraId="7E4C14A6" w14:textId="10EE3F5B" w:rsidR="009E0500" w:rsidRPr="003B306D" w:rsidRDefault="00464CDD" w:rsidP="00E3016E">
      <w:pPr>
        <w:pStyle w:val="Nadpis4"/>
        <w:spacing w:before="120" w:after="120"/>
        <w:jc w:val="left"/>
      </w:pPr>
      <w:r>
        <w:t>Výzva</w:t>
      </w:r>
      <w:r w:rsidR="00700238">
        <w:t xml:space="preserve"> na podporu </w:t>
      </w:r>
      <w:r w:rsidR="00E3016E">
        <w:t>s</w:t>
      </w:r>
      <w:r w:rsidR="00700238">
        <w:t>trategií ITI neměla stanovena pevná prav</w:t>
      </w:r>
      <w:r w:rsidR="007B5B68">
        <w:t>idla a hodnocení bylo zdlouhavé</w:t>
      </w:r>
    </w:p>
    <w:p w14:paraId="47C12A6D" w14:textId="7DA06FCF" w:rsidR="00FB7A11" w:rsidRDefault="00FB7A11" w:rsidP="00C76074">
      <w:pPr>
        <w:pStyle w:val="KZnormln"/>
        <w:spacing w:before="120"/>
      </w:pPr>
      <w:r>
        <w:t xml:space="preserve">Průběžnou výzvu </w:t>
      </w:r>
      <w:r w:rsidRPr="00FB7A11">
        <w:t xml:space="preserve">k předkládání žádostí o podporu </w:t>
      </w:r>
      <w:r w:rsidR="00E3016E">
        <w:t>s</w:t>
      </w:r>
      <w:r w:rsidRPr="00FB7A11">
        <w:t xml:space="preserve">trategií ITI </w:t>
      </w:r>
      <w:r>
        <w:t>(dále t</w:t>
      </w:r>
      <w:r w:rsidRPr="00FB7A11">
        <w:t>é</w:t>
      </w:r>
      <w:r>
        <w:t>ž</w:t>
      </w:r>
      <w:r w:rsidRPr="00FB7A11">
        <w:t xml:space="preserve"> „</w:t>
      </w:r>
      <w:r w:rsidR="00E3016E">
        <w:t>v</w:t>
      </w:r>
      <w:r w:rsidRPr="00FB7A11">
        <w:t xml:space="preserve">ýzva na </w:t>
      </w:r>
      <w:r w:rsidR="00E3016E">
        <w:t>s</w:t>
      </w:r>
      <w:r w:rsidRPr="00FB7A11">
        <w:t>trategie ITI“) vyhlásil</w:t>
      </w:r>
      <w:r>
        <w:t>o</w:t>
      </w:r>
      <w:r w:rsidRPr="00FB7A11">
        <w:t xml:space="preserve"> </w:t>
      </w:r>
      <w:r>
        <w:t>MMR v listopadu</w:t>
      </w:r>
      <w:r w:rsidRPr="00FB7A11">
        <w:t xml:space="preserve"> 2015</w:t>
      </w:r>
      <w:r>
        <w:t>.</w:t>
      </w:r>
      <w:r w:rsidRPr="00FB7A11">
        <w:t xml:space="preserve"> Žádosti byly přijímány </w:t>
      </w:r>
      <w:r>
        <w:t xml:space="preserve">v průběhu ledna a února </w:t>
      </w:r>
      <w:r w:rsidRPr="00FB7A11">
        <w:t>2016</w:t>
      </w:r>
      <w:r>
        <w:t>.</w:t>
      </w:r>
    </w:p>
    <w:p w14:paraId="588576D5" w14:textId="65B4F530" w:rsidR="009E0500" w:rsidRDefault="00FB7A11" w:rsidP="00D447AE">
      <w:pPr>
        <w:pStyle w:val="Rmeek"/>
        <w:keepLines/>
        <w:ind w:right="284"/>
      </w:pPr>
      <w:r>
        <w:lastRenderedPageBreak/>
        <w:t xml:space="preserve">V době vyhlášení </w:t>
      </w:r>
      <w:r w:rsidR="00E3016E">
        <w:t>v</w:t>
      </w:r>
      <w:r>
        <w:t xml:space="preserve">ýzvy na </w:t>
      </w:r>
      <w:r w:rsidR="00E3016E">
        <w:t>s</w:t>
      </w:r>
      <w:r>
        <w:t xml:space="preserve">trategie ITI nebyl v </w:t>
      </w:r>
      <w:r w:rsidRPr="00FB7A11">
        <w:t>žádném dokumentu relevantním pro</w:t>
      </w:r>
      <w:r w:rsidR="00E3016E">
        <w:t xml:space="preserve"> </w:t>
      </w:r>
      <w:r w:rsidRPr="00FB7A11">
        <w:t xml:space="preserve">integrované nástroje definován obsah a náležitosti </w:t>
      </w:r>
      <w:r>
        <w:t>takové výzvy</w:t>
      </w:r>
      <w:r w:rsidRPr="00FB7A11">
        <w:t xml:space="preserve"> (s výjimkou datových položek</w:t>
      </w:r>
      <w:r>
        <w:t>)</w:t>
      </w:r>
      <w:r w:rsidR="00027E7E">
        <w:t>.</w:t>
      </w:r>
      <w:r w:rsidRPr="00FB7A11">
        <w:t xml:space="preserve"> Tento stav přetrvává s tím rozdílem, že datové položky byly doplněny a</w:t>
      </w:r>
      <w:r w:rsidR="0091565E">
        <w:t> </w:t>
      </w:r>
      <w:r w:rsidRPr="00FB7A11">
        <w:t>aktualizovány</w:t>
      </w:r>
      <w:r>
        <w:t xml:space="preserve">. </w:t>
      </w:r>
      <w:r w:rsidR="00A84EFC">
        <w:t>Dopad nedostatku tohoto stavu byl snížen tím, že p</w:t>
      </w:r>
      <w:r>
        <w:t xml:space="preserve">ři přípravě </w:t>
      </w:r>
      <w:r w:rsidR="00E3016E">
        <w:t>v</w:t>
      </w:r>
      <w:r w:rsidR="0024476F">
        <w:t>ýzvy na</w:t>
      </w:r>
      <w:r w:rsidR="00E3016E">
        <w:t xml:space="preserve"> s</w:t>
      </w:r>
      <w:r w:rsidR="0024476F">
        <w:t xml:space="preserve">trategie ITI </w:t>
      </w:r>
      <w:r>
        <w:t>k</w:t>
      </w:r>
      <w:r w:rsidR="0024476F">
        <w:t xml:space="preserve">onzultovalo </w:t>
      </w:r>
      <w:r w:rsidR="00027E7E">
        <w:t xml:space="preserve">MMR její obsah </w:t>
      </w:r>
      <w:r w:rsidR="0024476F">
        <w:t xml:space="preserve">se všemi </w:t>
      </w:r>
      <w:r w:rsidR="00E3016E">
        <w:t>ř</w:t>
      </w:r>
      <w:r w:rsidR="0024476F">
        <w:t xml:space="preserve">ídicími orgány. </w:t>
      </w:r>
      <w:r w:rsidRPr="00FB7A11">
        <w:t xml:space="preserve"> </w:t>
      </w:r>
    </w:p>
    <w:p w14:paraId="132C9E0D" w14:textId="2E691E41" w:rsidR="00FD639D" w:rsidRDefault="00026379" w:rsidP="00FD639D">
      <w:pPr>
        <w:pStyle w:val="KZnormln"/>
      </w:pPr>
      <w:r w:rsidRPr="00026379">
        <w:t xml:space="preserve">Hodnocení předložených </w:t>
      </w:r>
      <w:r w:rsidR="00E3016E">
        <w:t>s</w:t>
      </w:r>
      <w:r w:rsidRPr="00026379">
        <w:t xml:space="preserve">trategií ITI probíhalo od </w:t>
      </w:r>
      <w:r>
        <w:t>února 2016</w:t>
      </w:r>
      <w:r w:rsidRPr="00026379">
        <w:t xml:space="preserve"> do</w:t>
      </w:r>
      <w:r>
        <w:t xml:space="preserve"> listopadu</w:t>
      </w:r>
      <w:r w:rsidRPr="00026379">
        <w:t xml:space="preserve"> 2016</w:t>
      </w:r>
      <w:r>
        <w:t xml:space="preserve">. Strategie ITI byly hodnoceny MMR z hlediska </w:t>
      </w:r>
      <w:r w:rsidRPr="00026379">
        <w:t>formálních náležitostí a přijatelnosti</w:t>
      </w:r>
      <w:r>
        <w:t xml:space="preserve"> a následně jednotlivými </w:t>
      </w:r>
      <w:r w:rsidR="00E3016E">
        <w:t>ř</w:t>
      </w:r>
      <w:r>
        <w:t xml:space="preserve">ídicími orgány operačních programů z věcného hlediska. </w:t>
      </w:r>
    </w:p>
    <w:p w14:paraId="31B815F1" w14:textId="11BA6853" w:rsidR="00FD639D" w:rsidRDefault="00FD639D" w:rsidP="00FD639D">
      <w:pPr>
        <w:pStyle w:val="Rmeek"/>
      </w:pPr>
      <w:r>
        <w:rPr>
          <w:lang w:eastAsia="cs-CZ"/>
        </w:rPr>
        <w:t xml:space="preserve">Doba hodnocení formálních náležitostí a přijatelnosti, kdy hodnotitelé vraceli </w:t>
      </w:r>
      <w:r w:rsidR="00E3016E">
        <w:rPr>
          <w:lang w:eastAsia="cs-CZ"/>
        </w:rPr>
        <w:t>s</w:t>
      </w:r>
      <w:r>
        <w:rPr>
          <w:lang w:eastAsia="cs-CZ"/>
        </w:rPr>
        <w:t xml:space="preserve">trategie ITI zpracovatelům k doplnění, se pohybovala v rozmezí od 134 do 244 kalendářních dnů. V průměru tato fáze trvala 169 kalendářních dnů. </w:t>
      </w:r>
      <w:r>
        <w:t>F</w:t>
      </w:r>
      <w:r>
        <w:rPr>
          <w:lang w:eastAsia="cs-CZ"/>
        </w:rPr>
        <w:t>áze věcného hodnocení ze strany ŘO IROP trvala průměrně 18 kalendářních dnů.</w:t>
      </w:r>
    </w:p>
    <w:p w14:paraId="7E2E8162" w14:textId="1D612859" w:rsidR="00026379" w:rsidRDefault="00FD639D" w:rsidP="00FB7A11">
      <w:pPr>
        <w:pStyle w:val="KZnormln"/>
        <w:rPr>
          <w:lang w:eastAsia="cs-CZ"/>
        </w:rPr>
      </w:pPr>
      <w:r>
        <w:t>Proces</w:t>
      </w:r>
      <w:r w:rsidR="00026379">
        <w:t xml:space="preserve"> hodnocení</w:t>
      </w:r>
      <w:r>
        <w:t xml:space="preserve"> </w:t>
      </w:r>
      <w:r w:rsidR="000D5F36">
        <w:t>s</w:t>
      </w:r>
      <w:r>
        <w:t>trategií ITI</w:t>
      </w:r>
      <w:r w:rsidR="00026379">
        <w:t xml:space="preserve"> </w:t>
      </w:r>
      <w:r>
        <w:t>byl</w:t>
      </w:r>
      <w:r w:rsidR="00026379">
        <w:t xml:space="preserve"> </w:t>
      </w:r>
      <w:r>
        <w:t>ukončen</w:t>
      </w:r>
      <w:r w:rsidR="00026379">
        <w:t xml:space="preserve"> vydáním </w:t>
      </w:r>
      <w:r w:rsidR="000D5F36">
        <w:rPr>
          <w:i/>
          <w:lang w:eastAsia="cs-CZ"/>
        </w:rPr>
        <w:t>a</w:t>
      </w:r>
      <w:r w:rsidR="00026379">
        <w:rPr>
          <w:i/>
          <w:lang w:eastAsia="cs-CZ"/>
        </w:rPr>
        <w:t>kceptace integrované strategie</w:t>
      </w:r>
      <w:r>
        <w:rPr>
          <w:lang w:eastAsia="cs-CZ"/>
        </w:rPr>
        <w:t xml:space="preserve"> (dále též „</w:t>
      </w:r>
      <w:r w:rsidR="000D5F36">
        <w:rPr>
          <w:lang w:eastAsia="cs-CZ"/>
        </w:rPr>
        <w:t>a</w:t>
      </w:r>
      <w:r>
        <w:rPr>
          <w:lang w:eastAsia="cs-CZ"/>
        </w:rPr>
        <w:t xml:space="preserve">kceptační dopis“), v němž ŘO IROP stanovil mimo jiné </w:t>
      </w:r>
      <w:r w:rsidR="00DC62EF">
        <w:rPr>
          <w:lang w:eastAsia="cs-CZ"/>
        </w:rPr>
        <w:t xml:space="preserve">závazné </w:t>
      </w:r>
      <w:r>
        <w:rPr>
          <w:lang w:eastAsia="cs-CZ"/>
        </w:rPr>
        <w:t xml:space="preserve">podmínky pro </w:t>
      </w:r>
      <w:r w:rsidR="000D5F36">
        <w:rPr>
          <w:lang w:eastAsia="cs-CZ"/>
        </w:rPr>
        <w:t>n</w:t>
      </w:r>
      <w:r>
        <w:rPr>
          <w:lang w:eastAsia="cs-CZ"/>
        </w:rPr>
        <w:t>ositele ITI, finanční plán a monitorovací indikátory ve vztahu k opatřením financovaným z IROP.</w:t>
      </w:r>
    </w:p>
    <w:p w14:paraId="59268DB4" w14:textId="755FDD04" w:rsidR="00DC62EF" w:rsidRDefault="00DC62EF" w:rsidP="00081C28">
      <w:pPr>
        <w:pStyle w:val="Rmeek"/>
      </w:pPr>
      <w:r w:rsidRPr="00DC62EF">
        <w:t xml:space="preserve">Průběh hodnocení byl zatížen množstvím problémů </w:t>
      </w:r>
      <w:r w:rsidR="00265A3C">
        <w:t>způsobených</w:t>
      </w:r>
      <w:r w:rsidRPr="00DC62EF">
        <w:t xml:space="preserve"> </w:t>
      </w:r>
      <w:r w:rsidRPr="00670AA4">
        <w:rPr>
          <w:i/>
        </w:rPr>
        <w:t>MS2014+</w:t>
      </w:r>
      <w:r w:rsidRPr="00DC62EF">
        <w:t>, které negativně ovlivňovaly celý proces jak z hlediska časového, tak i zvýšenou administrativní zátěží kladenou nejen na</w:t>
      </w:r>
      <w:r w:rsidR="000D5F36">
        <w:t xml:space="preserve"> </w:t>
      </w:r>
      <w:r w:rsidRPr="00DC62EF">
        <w:t xml:space="preserve">hodnotitele (interní, externí), ale i na předkladatele </w:t>
      </w:r>
      <w:r w:rsidR="000D5F36">
        <w:t>s</w:t>
      </w:r>
      <w:r w:rsidRPr="00DC62EF">
        <w:t>trategií ITI</w:t>
      </w:r>
      <w:r>
        <w:t>.</w:t>
      </w:r>
    </w:p>
    <w:p w14:paraId="37170B08" w14:textId="77777777" w:rsidR="00D31557" w:rsidRPr="00670AA4" w:rsidRDefault="00D31557" w:rsidP="00141BDB">
      <w:pPr>
        <w:pStyle w:val="Pklady-modrrmeek"/>
        <w:keepNext/>
        <w:ind w:right="284"/>
        <w:rPr>
          <w:b/>
        </w:rPr>
      </w:pPr>
      <w:r w:rsidRPr="00670AA4">
        <w:rPr>
          <w:b/>
        </w:rPr>
        <w:t>Příklady problémů s MS2014+ v průběhu hodnocení Strategií ITI:</w:t>
      </w:r>
    </w:p>
    <w:p w14:paraId="0A0F072E" w14:textId="77777777" w:rsidR="00D31557" w:rsidRDefault="00D8667B" w:rsidP="00D8667B">
      <w:pPr>
        <w:pStyle w:val="Pklady-modrrmeek"/>
      </w:pPr>
      <w:r w:rsidRPr="00D8667B">
        <w:t>V rámci hodnocení strategií byly kontrolou NKÚ zjištěny případy problémů s MS2014+, kdy nebylo možné vrátit posudky k přepracování, nefungovaly exporty posudků, ani zakládaní posudků nových. Rovněž byl zjištěn případ, kdy nebylo možné proces hodnocení vůbec zahájit</w:t>
      </w:r>
      <w:r w:rsidR="005F02D3">
        <w:t>.</w:t>
      </w:r>
    </w:p>
    <w:p w14:paraId="0F0A8D83" w14:textId="1B0E548C" w:rsidR="00464CDD" w:rsidRPr="000D5F36" w:rsidRDefault="000D5F36" w:rsidP="000D5F36">
      <w:pPr>
        <w:pStyle w:val="Nadpis3"/>
        <w:numPr>
          <w:ilvl w:val="0"/>
          <w:numId w:val="0"/>
        </w:numPr>
        <w:spacing w:before="120" w:after="120"/>
        <w:rPr>
          <w:i w:val="0"/>
        </w:rPr>
      </w:pPr>
      <w:r w:rsidRPr="000D5F36">
        <w:rPr>
          <w:i w:val="0"/>
        </w:rPr>
        <w:t xml:space="preserve">5.2 </w:t>
      </w:r>
      <w:r w:rsidR="009E0500" w:rsidRPr="000D5F36">
        <w:rPr>
          <w:i w:val="0"/>
        </w:rPr>
        <w:t>Realizace</w:t>
      </w:r>
      <w:r w:rsidR="00F127C8" w:rsidRPr="000D5F36">
        <w:rPr>
          <w:i w:val="0"/>
        </w:rPr>
        <w:t xml:space="preserve"> a monitorování plnění</w:t>
      </w:r>
      <w:r w:rsidR="009E0500" w:rsidRPr="000D5F36">
        <w:rPr>
          <w:i w:val="0"/>
        </w:rPr>
        <w:t xml:space="preserve"> </w:t>
      </w:r>
      <w:r>
        <w:rPr>
          <w:i w:val="0"/>
        </w:rPr>
        <w:t>s</w:t>
      </w:r>
      <w:r w:rsidR="009E0500" w:rsidRPr="000D5F36">
        <w:rPr>
          <w:i w:val="0"/>
        </w:rPr>
        <w:t>trategií ITI</w:t>
      </w:r>
      <w:r w:rsidR="00F127C8" w:rsidRPr="000D5F36">
        <w:rPr>
          <w:i w:val="0"/>
        </w:rPr>
        <w:t xml:space="preserve"> a územní dimenze</w:t>
      </w:r>
      <w:r w:rsidR="00700238" w:rsidRPr="000D5F36">
        <w:rPr>
          <w:i w:val="0"/>
        </w:rPr>
        <w:t xml:space="preserve"> </w:t>
      </w:r>
    </w:p>
    <w:p w14:paraId="22E391F7" w14:textId="77777777" w:rsidR="009E0500" w:rsidRDefault="00700238" w:rsidP="000D5F36">
      <w:pPr>
        <w:pStyle w:val="Nadpis4"/>
        <w:spacing w:before="120" w:after="120"/>
        <w:jc w:val="left"/>
      </w:pPr>
      <w:r>
        <w:t xml:space="preserve">Ministerstvu se nedaří včas informovat </w:t>
      </w:r>
      <w:r w:rsidR="00464CDD">
        <w:t xml:space="preserve">o </w:t>
      </w:r>
      <w:r>
        <w:t>plnění územní dimenze</w:t>
      </w:r>
      <w:r w:rsidR="00464CDD">
        <w:t xml:space="preserve"> a</w:t>
      </w:r>
      <w:r w:rsidR="007B5B68">
        <w:t xml:space="preserve"> pokroku integrovaných nástrojů</w:t>
      </w:r>
    </w:p>
    <w:p w14:paraId="0F636D20" w14:textId="3890B7E2" w:rsidR="002D2F46" w:rsidRDefault="00B9186A" w:rsidP="00C76074">
      <w:pPr>
        <w:pStyle w:val="KZnormln"/>
        <w:spacing w:before="120"/>
      </w:pPr>
      <w:r>
        <w:t xml:space="preserve">Vlastní realizace </w:t>
      </w:r>
      <w:r w:rsidR="000D5F36">
        <w:t>s</w:t>
      </w:r>
      <w:r>
        <w:t xml:space="preserve">trategií ITI je zajišťována v odpovědnosti jednotlivých </w:t>
      </w:r>
      <w:r w:rsidR="000D5F36">
        <w:t>n</w:t>
      </w:r>
      <w:r>
        <w:t xml:space="preserve">ositelů ITI. </w:t>
      </w:r>
      <w:r w:rsidR="00317FED">
        <w:t>Cíl</w:t>
      </w:r>
      <w:r w:rsidR="007D4A18">
        <w:t xml:space="preserve">e </w:t>
      </w:r>
      <w:r w:rsidR="000D5F36">
        <w:t>s</w:t>
      </w:r>
      <w:r w:rsidR="007D4A18">
        <w:t>trategií ITI jsou naplňovány</w:t>
      </w:r>
      <w:r w:rsidR="00B859E2">
        <w:t xml:space="preserve"> prostřednictvím</w:t>
      </w:r>
      <w:r w:rsidR="003D0FE9">
        <w:t xml:space="preserve"> projektů ITI</w:t>
      </w:r>
      <w:r w:rsidR="005F02D3">
        <w:t>. Minister</w:t>
      </w:r>
      <w:r w:rsidR="00CE7FF1">
        <w:t>stvo v roli ŘO IROP vyhlásilo k </w:t>
      </w:r>
      <w:r w:rsidR="005F02D3">
        <w:t>předkládání žádostí o podporu pro integrované projekty z SC 1.2 IROP výzvu č. 50 s</w:t>
      </w:r>
      <w:r w:rsidR="000D5F36">
        <w:t> </w:t>
      </w:r>
      <w:r w:rsidR="005F02D3">
        <w:t>alokací 5</w:t>
      </w:r>
      <w:r w:rsidR="00C76074">
        <w:t> </w:t>
      </w:r>
      <w:r w:rsidR="005F02D3">
        <w:t>912,2</w:t>
      </w:r>
      <w:r w:rsidR="00C76074">
        <w:t> mil </w:t>
      </w:r>
      <w:r w:rsidR="005F02D3">
        <w:t xml:space="preserve">Kč z ERDF a 1 043,4 mil. Kč ze státního rozpočtu. Na tuto výzvu navazovaly výzvy </w:t>
      </w:r>
      <w:r w:rsidR="000D5F36">
        <w:t>n</w:t>
      </w:r>
      <w:r w:rsidR="005F02D3">
        <w:t>ositelů ITI a ZS ITI, které specifikovaly další podmínky, zejmén</w:t>
      </w:r>
      <w:r w:rsidR="00CE7FF1">
        <w:t>a typy podporovaných projektů v </w:t>
      </w:r>
      <w:r w:rsidR="005F02D3">
        <w:t xml:space="preserve">závislosti na opatřeních a cílech konkrétních </w:t>
      </w:r>
      <w:r w:rsidR="000D5F36">
        <w:t>s</w:t>
      </w:r>
      <w:r w:rsidR="005F02D3">
        <w:t>trategiích ITI.</w:t>
      </w:r>
      <w:r w:rsidR="002D2F46">
        <w:t xml:space="preserve"> </w:t>
      </w:r>
    </w:p>
    <w:p w14:paraId="745E2788" w14:textId="3EF6E525" w:rsidR="00F127C8" w:rsidRDefault="007D4A18" w:rsidP="00C76074">
      <w:pPr>
        <w:pStyle w:val="KZnormln"/>
        <w:spacing w:before="120"/>
      </w:pPr>
      <w:r>
        <w:t xml:space="preserve">Monitoring je prováděn na všech úrovních administrace </w:t>
      </w:r>
      <w:r w:rsidR="000D5F36">
        <w:t>s</w:t>
      </w:r>
      <w:r>
        <w:t xml:space="preserve">trategií ITI. Na projektové úrovni je pokrok sledován příjemcem ve </w:t>
      </w:r>
      <w:r w:rsidR="000D5F36">
        <w:rPr>
          <w:i/>
        </w:rPr>
        <w:t>z</w:t>
      </w:r>
      <w:r w:rsidRPr="00A90EB8">
        <w:rPr>
          <w:i/>
        </w:rPr>
        <w:t>právách o realizaci</w:t>
      </w:r>
      <w:r>
        <w:t xml:space="preserve"> a ve </w:t>
      </w:r>
      <w:r w:rsidR="000D5F36">
        <w:rPr>
          <w:i/>
        </w:rPr>
        <w:t>z</w:t>
      </w:r>
      <w:r w:rsidRPr="00A90EB8">
        <w:rPr>
          <w:i/>
        </w:rPr>
        <w:t>právách o udržitelnosti</w:t>
      </w:r>
      <w:r>
        <w:t xml:space="preserve"> stejně, jako je tomu v případě individuálních projektů. Na úrovni </w:t>
      </w:r>
      <w:r w:rsidR="000D5F36">
        <w:t>s</w:t>
      </w:r>
      <w:r>
        <w:t xml:space="preserve">trategie ITI předkládá </w:t>
      </w:r>
      <w:r w:rsidR="000D5F36">
        <w:t>n</w:t>
      </w:r>
      <w:r>
        <w:t xml:space="preserve">ositel ITI s půlroční frekvencí </w:t>
      </w:r>
      <w:r w:rsidR="000D5F36">
        <w:rPr>
          <w:i/>
        </w:rPr>
        <w:t>z</w:t>
      </w:r>
      <w:r>
        <w:rPr>
          <w:i/>
        </w:rPr>
        <w:t>právu o </w:t>
      </w:r>
      <w:r w:rsidRPr="00821B8A">
        <w:rPr>
          <w:i/>
        </w:rPr>
        <w:t>plnění integrované strategie</w:t>
      </w:r>
      <w:r>
        <w:t xml:space="preserve">. MMR monitoruje </w:t>
      </w:r>
      <w:r w:rsidRPr="00E027F7">
        <w:t>po</w:t>
      </w:r>
      <w:r>
        <w:t>krok realizace integrovaných nástrojů</w:t>
      </w:r>
      <w:r w:rsidRPr="00E027F7">
        <w:t xml:space="preserve"> </w:t>
      </w:r>
      <w:r>
        <w:t xml:space="preserve">a zpracovává </w:t>
      </w:r>
      <w:r w:rsidR="000D5F36">
        <w:rPr>
          <w:i/>
        </w:rPr>
        <w:t>z</w:t>
      </w:r>
      <w:r>
        <w:rPr>
          <w:i/>
        </w:rPr>
        <w:t>právu o </w:t>
      </w:r>
      <w:r w:rsidRPr="00F37DBD">
        <w:rPr>
          <w:i/>
        </w:rPr>
        <w:t>pokroku integrovaných nástrojů</w:t>
      </w:r>
      <w:r>
        <w:t xml:space="preserve">. </w:t>
      </w:r>
    </w:p>
    <w:p w14:paraId="5B1F947A" w14:textId="48D13008" w:rsidR="00317FED" w:rsidRPr="00A56C9E" w:rsidRDefault="00F127C8" w:rsidP="00860EE3">
      <w:pPr>
        <w:pStyle w:val="Rmeek"/>
        <w:keepLines/>
        <w:ind w:right="284"/>
      </w:pPr>
      <w:r w:rsidRPr="00A56C9E">
        <w:lastRenderedPageBreak/>
        <w:t>Zpráva o pokroku integrovaných nástrojů za rok 2017, která byla generována jako sestava v </w:t>
      </w:r>
      <w:r w:rsidRPr="001511B1">
        <w:rPr>
          <w:i/>
        </w:rPr>
        <w:t>MS2014+</w:t>
      </w:r>
      <w:r w:rsidR="00315E26" w:rsidRPr="00A56C9E">
        <w:t xml:space="preserve"> v dubnu 2018</w:t>
      </w:r>
      <w:r w:rsidRPr="00A56C9E">
        <w:t>, je v části „Financování dle specifických cílů“ a</w:t>
      </w:r>
      <w:r w:rsidR="00C76074">
        <w:t> </w:t>
      </w:r>
      <w:r w:rsidRPr="00A56C9E">
        <w:t>„Indikátory“ nepřehledná. V sestavě nelze jednoznačně přiřadit údaje za SC 1.2 IROP k</w:t>
      </w:r>
      <w:r w:rsidR="00C76074">
        <w:t> </w:t>
      </w:r>
      <w:r w:rsidRPr="00A56C9E">
        <w:t xml:space="preserve">jednotlivým schváleným </w:t>
      </w:r>
      <w:r w:rsidR="000D5F36">
        <w:t>s</w:t>
      </w:r>
      <w:r w:rsidRPr="00A56C9E">
        <w:t xml:space="preserve">trategiím ITI a ani zjistit souhrnný údaj za všechny </w:t>
      </w:r>
      <w:r w:rsidR="000D5F36">
        <w:t>s</w:t>
      </w:r>
      <w:r w:rsidRPr="00A56C9E">
        <w:t>trategie ITI. Údaje jsou na</w:t>
      </w:r>
      <w:r w:rsidR="0034140E">
        <w:t> </w:t>
      </w:r>
      <w:r w:rsidRPr="00A56C9E">
        <w:t>30 řádcích z celkových 125 uvedeny bez bližší specifikace a bez konečné agregace. Tento stav je důsledkem nastavení datových polí, která jsou automaticky generována ze</w:t>
      </w:r>
      <w:r w:rsidR="0091565E">
        <w:t> </w:t>
      </w:r>
      <w:r w:rsidRPr="00A56C9E">
        <w:t xml:space="preserve">schválených </w:t>
      </w:r>
      <w:r w:rsidR="000D5F36">
        <w:t>s</w:t>
      </w:r>
      <w:r w:rsidRPr="00A56C9E">
        <w:t>trategií ITI, avšak nejsou agregována.</w:t>
      </w:r>
    </w:p>
    <w:p w14:paraId="658FE0C3" w14:textId="77777777" w:rsidR="007D4A18" w:rsidRDefault="00315E26" w:rsidP="00860EE3">
      <w:pPr>
        <w:pStyle w:val="Rmeek"/>
        <w:keepLines/>
        <w:ind w:right="284"/>
      </w:pPr>
      <w:r w:rsidRPr="00A56C9E">
        <w:t xml:space="preserve">Zpráva o pokroku integrovaných nástrojů za rok 2018 nebyla zpracována ve stanoveném termínu, tj. do konce února 2019, ani ke dni </w:t>
      </w:r>
      <w:r w:rsidR="00875110" w:rsidRPr="00A56C9E">
        <w:t>ukončení</w:t>
      </w:r>
      <w:r w:rsidRPr="00A56C9E">
        <w:t xml:space="preserve"> kontroly v červnu 2019. Důvodem jsou</w:t>
      </w:r>
      <w:r w:rsidRPr="00315E26">
        <w:t xml:space="preserve"> problémy s agregací dat v </w:t>
      </w:r>
      <w:r w:rsidRPr="001511B1">
        <w:rPr>
          <w:i/>
        </w:rPr>
        <w:t>MS2014+</w:t>
      </w:r>
      <w:r w:rsidRPr="00315E26">
        <w:t>, což MMR řeší s dodavatelem informačního systému</w:t>
      </w:r>
      <w:r w:rsidR="00D2541A">
        <w:t>.</w:t>
      </w:r>
    </w:p>
    <w:p w14:paraId="5BAE8DE0" w14:textId="1C2C7F12" w:rsidR="0022010A" w:rsidRDefault="00315E26" w:rsidP="00C76074">
      <w:pPr>
        <w:pStyle w:val="KZnormln"/>
        <w:keepLines/>
        <w:spacing w:before="120"/>
      </w:pPr>
      <w:r w:rsidRPr="00315E26">
        <w:t>Z monitorování naplňování územn</w:t>
      </w:r>
      <w:r>
        <w:t>í dimenze zpracovává MMR</w:t>
      </w:r>
      <w:r w:rsidRPr="00315E26">
        <w:t xml:space="preserve"> </w:t>
      </w:r>
      <w:r w:rsidR="000D5F36">
        <w:rPr>
          <w:i/>
        </w:rPr>
        <w:t>z</w:t>
      </w:r>
      <w:r w:rsidRPr="00315E26">
        <w:rPr>
          <w:i/>
        </w:rPr>
        <w:t>právu o plnění územní dimenze</w:t>
      </w:r>
      <w:r w:rsidRPr="00315E26">
        <w:t>.</w:t>
      </w:r>
      <w:r w:rsidR="00265A3C">
        <w:t xml:space="preserve"> Tuto povinnost, včetně stanovených termínů zveřejnění, Ministerstvu ukládá </w:t>
      </w:r>
      <w:r w:rsidR="00265A3C">
        <w:rPr>
          <w:i/>
        </w:rPr>
        <w:t>Národní dokument o územní dimenzi</w:t>
      </w:r>
      <w:r w:rsidR="00265A3C">
        <w:t>.</w:t>
      </w:r>
    </w:p>
    <w:p w14:paraId="5285BFF0" w14:textId="7213990C" w:rsidR="00315E26" w:rsidRDefault="00315E26" w:rsidP="007B5B68">
      <w:pPr>
        <w:pStyle w:val="Rmeek"/>
        <w:spacing w:after="0"/>
        <w:ind w:right="284"/>
      </w:pPr>
      <w:r>
        <w:t>K</w:t>
      </w:r>
      <w:r w:rsidRPr="00315E26">
        <w:t xml:space="preserve"> datu </w:t>
      </w:r>
      <w:r w:rsidR="00875110">
        <w:t>ukončení</w:t>
      </w:r>
      <w:r w:rsidRPr="00315E26">
        <w:t xml:space="preserve"> kontroly NKÚ </w:t>
      </w:r>
      <w:r>
        <w:t xml:space="preserve">v červnu 2019 </w:t>
      </w:r>
      <w:r w:rsidRPr="00315E26">
        <w:t xml:space="preserve">nebyla na webových stránkách </w:t>
      </w:r>
      <w:r w:rsidR="000814D9">
        <w:t>ú</w:t>
      </w:r>
      <w:r w:rsidRPr="00315E26">
        <w:t xml:space="preserve">zemní dimenze zveřejněna </w:t>
      </w:r>
      <w:r>
        <w:rPr>
          <w:i/>
        </w:rPr>
        <w:t>Zpráva</w:t>
      </w:r>
      <w:r w:rsidRPr="00315E26">
        <w:rPr>
          <w:i/>
        </w:rPr>
        <w:t xml:space="preserve"> o plnění územní dimenze</w:t>
      </w:r>
      <w:r w:rsidRPr="001511B1">
        <w:rPr>
          <w:i/>
        </w:rPr>
        <w:t xml:space="preserve"> za rok 2018</w:t>
      </w:r>
      <w:r>
        <w:t xml:space="preserve">. </w:t>
      </w:r>
      <w:r w:rsidRPr="00315E26">
        <w:t>MMR</w:t>
      </w:r>
      <w:r>
        <w:t xml:space="preserve"> v rozporu s </w:t>
      </w:r>
      <w:r w:rsidRPr="00315E26">
        <w:rPr>
          <w:i/>
        </w:rPr>
        <w:t>Národním dokumentem o územní dimenzi</w:t>
      </w:r>
      <w:r w:rsidRPr="00315E26">
        <w:t xml:space="preserve"> nedodrželo termín </w:t>
      </w:r>
      <w:r>
        <w:t>pro její zveřejnění, kterým byl konec ledna 2019.</w:t>
      </w:r>
    </w:p>
    <w:p w14:paraId="44CD229A" w14:textId="77777777" w:rsidR="00464CDD" w:rsidRDefault="00464CDD" w:rsidP="00C76074">
      <w:pPr>
        <w:pStyle w:val="Nadpis4"/>
        <w:spacing w:before="120" w:after="120"/>
      </w:pPr>
      <w:r>
        <w:t>Integrované územní investice i přes jejich složitost a</w:t>
      </w:r>
      <w:r w:rsidR="007B5B68">
        <w:t xml:space="preserve"> zpoždění mají pozitivní efekt</w:t>
      </w:r>
    </w:p>
    <w:p w14:paraId="0CB553C7" w14:textId="26CF2A98" w:rsidR="00315E26" w:rsidRDefault="007B4211" w:rsidP="00C76074">
      <w:pPr>
        <w:pStyle w:val="KZnormln"/>
        <w:spacing w:before="120"/>
      </w:pPr>
      <w:r>
        <w:t>V programovém období 2007–</w:t>
      </w:r>
      <w:r w:rsidR="0005006B">
        <w:t xml:space="preserve">2013, kdy byla podpora směřována do oblasti veřejné dopravy z jednotlivých ROP, realizovaná opatření </w:t>
      </w:r>
      <w:r w:rsidR="0005006B" w:rsidRPr="0005006B">
        <w:t>nezohled</w:t>
      </w:r>
      <w:r w:rsidR="0005006B">
        <w:t>ňovala</w:t>
      </w:r>
      <w:r w:rsidR="0005006B" w:rsidRPr="0005006B">
        <w:t xml:space="preserve"> synergick</w:t>
      </w:r>
      <w:r w:rsidR="0005006B">
        <w:t>é vaz</w:t>
      </w:r>
      <w:r w:rsidR="0005006B" w:rsidRPr="0005006B">
        <w:t>b</w:t>
      </w:r>
      <w:r w:rsidR="0005006B">
        <w:t xml:space="preserve">y. V konečném důsledku tato opatření vedla </w:t>
      </w:r>
      <w:r w:rsidR="0005006B" w:rsidRPr="0005006B">
        <w:t>k</w:t>
      </w:r>
      <w:r w:rsidR="0005006B">
        <w:t> </w:t>
      </w:r>
      <w:r w:rsidR="0005006B" w:rsidRPr="0005006B">
        <w:t>nekoncepčnosti</w:t>
      </w:r>
      <w:r w:rsidR="0005006B">
        <w:t>, realizovaly se</w:t>
      </w:r>
      <w:r w:rsidR="007811A1">
        <w:t xml:space="preserve"> pouze dílčí</w:t>
      </w:r>
      <w:r w:rsidR="0005006B" w:rsidRPr="0005006B">
        <w:t xml:space="preserve"> investic</w:t>
      </w:r>
      <w:r w:rsidR="0005006B">
        <w:t>e</w:t>
      </w:r>
      <w:r w:rsidR="0005006B" w:rsidRPr="0005006B">
        <w:t>, které samy o</w:t>
      </w:r>
      <w:r w:rsidR="0091565E">
        <w:t> </w:t>
      </w:r>
      <w:r w:rsidR="0005006B" w:rsidRPr="0005006B">
        <w:t>sobě neměly možnost výchozí situaci zásadním způsobem změnit</w:t>
      </w:r>
      <w:r w:rsidR="007811A1">
        <w:rPr>
          <w:rStyle w:val="Znakapoznpodarou"/>
        </w:rPr>
        <w:footnoteReference w:id="31"/>
      </w:r>
      <w:r w:rsidR="0005006B">
        <w:t>.</w:t>
      </w:r>
      <w:r w:rsidR="007811A1">
        <w:t xml:space="preserve"> Oproti tomu projekty ITI tím, že jsou součástí ucelených strategických dokumentů, v sobě zahrnují synergické vazby s dalšími intervencemi v rámci území vymezeného </w:t>
      </w:r>
      <w:r w:rsidR="000814D9">
        <w:t>s</w:t>
      </w:r>
      <w:r w:rsidR="007811A1">
        <w:t xml:space="preserve">trategií ITI. Zejména opatření </w:t>
      </w:r>
      <w:r w:rsidR="00464CDD">
        <w:t xml:space="preserve">zrealizovaná </w:t>
      </w:r>
      <w:r w:rsidR="007811A1">
        <w:t>v </w:t>
      </w:r>
      <w:r w:rsidR="00464CDD">
        <w:t>aktivitě</w:t>
      </w:r>
      <w:r w:rsidR="007811A1">
        <w:t xml:space="preserve"> </w:t>
      </w:r>
      <w:r w:rsidR="00464CDD">
        <w:t>„Terminály“</w:t>
      </w:r>
      <w:r w:rsidR="007811A1">
        <w:t xml:space="preserve"> a </w:t>
      </w:r>
      <w:r w:rsidR="00464CDD">
        <w:t>„</w:t>
      </w:r>
      <w:r w:rsidR="00810B65">
        <w:t>Telematika</w:t>
      </w:r>
      <w:r w:rsidR="00464CDD">
        <w:t>“</w:t>
      </w:r>
      <w:r w:rsidR="007811A1">
        <w:t xml:space="preserve"> vykazují vysokou míru synergických efektů i s dalšími oblastmi, které jsou podporovány v rámci územní dimenze. </w:t>
      </w:r>
      <w:r w:rsidR="00464CDD">
        <w:t>Podpora</w:t>
      </w:r>
      <w:r w:rsidR="006467B9">
        <w:t xml:space="preserve"> </w:t>
      </w:r>
      <w:r w:rsidR="00464CDD">
        <w:t>aktivity „</w:t>
      </w:r>
      <w:proofErr w:type="spellStart"/>
      <w:r w:rsidR="00464CDD">
        <w:t>N</w:t>
      </w:r>
      <w:r w:rsidR="006467B9">
        <w:t>ízkoemisní</w:t>
      </w:r>
      <w:proofErr w:type="spellEnd"/>
      <w:r w:rsidR="00464CDD">
        <w:t xml:space="preserve"> a</w:t>
      </w:r>
      <w:r w:rsidR="0091565E">
        <w:t> </w:t>
      </w:r>
      <w:r w:rsidR="00464CDD">
        <w:t>bezemisní vozid</w:t>
      </w:r>
      <w:r w:rsidR="006467B9">
        <w:t>l</w:t>
      </w:r>
      <w:r w:rsidR="00464CDD">
        <w:t>a“</w:t>
      </w:r>
      <w:r w:rsidR="006467B9">
        <w:t>, zejména pokud se jednalo pouze o obměnu dopravních prostředků, neprokazuje dostatečnou synergickou vazbu na další oblasti</w:t>
      </w:r>
      <w:r w:rsidR="00490153">
        <w:t xml:space="preserve"> v daném území</w:t>
      </w:r>
      <w:r w:rsidR="006467B9">
        <w:t>.</w:t>
      </w:r>
      <w:r w:rsidR="00CA6181" w:rsidRPr="00CA6181">
        <w:t xml:space="preserve"> </w:t>
      </w:r>
      <w:r w:rsidR="00CA6181">
        <w:t>Projekty ITI by měly být zaměřeny především na realizaci větších strategických projektů s</w:t>
      </w:r>
      <w:r w:rsidR="000814D9">
        <w:t> </w:t>
      </w:r>
      <w:r w:rsidR="00CA6181">
        <w:t>významným dopadem pro</w:t>
      </w:r>
      <w:r w:rsidR="000814D9">
        <w:t xml:space="preserve"> </w:t>
      </w:r>
      <w:r w:rsidR="00CA6181">
        <w:t>řešená území</w:t>
      </w:r>
      <w:r w:rsidR="00155775">
        <w:t>.</w:t>
      </w:r>
      <w:r w:rsidR="00CA6181">
        <w:rPr>
          <w:rStyle w:val="Znakapoznpodarou"/>
        </w:rPr>
        <w:footnoteReference w:id="32"/>
      </w:r>
      <w:r w:rsidR="00CA6181">
        <w:t xml:space="preserve"> Projekty prosté obměny vozových parků místních dopravců nejsou svým charakterem strategickými projekty. Obměna vozového parku je nutná pro alespoň udržení stávajících cestujících v</w:t>
      </w:r>
      <w:r w:rsidR="00155775">
        <w:t>e veřejné</w:t>
      </w:r>
      <w:r w:rsidR="000814D9">
        <w:t xml:space="preserve"> </w:t>
      </w:r>
      <w:r w:rsidR="00155775">
        <w:t>městské a regionální dopravě</w:t>
      </w:r>
      <w:r w:rsidR="00CA6181">
        <w:t xml:space="preserve">. Pokud by některá vozidla dosloužila a nebyla za ně náhrada, pravděpodobně by se nepřepravilo tolik cestujících. </w:t>
      </w:r>
      <w:r w:rsidR="00155775">
        <w:t>NKÚ zastává názor, že ke komplexnímu řešení problémů v území přispívají ve větší míře projekty zaměřené na nákup ekologických vozidel s cílem zvýšení četnosti spojů, zavedení nové linky, jejím prodloužením apod. Z tohoto pohledu by se jednalo o projekty, které jsou doplňující pro</w:t>
      </w:r>
      <w:r w:rsidR="000814D9">
        <w:t xml:space="preserve"> </w:t>
      </w:r>
      <w:r w:rsidR="00155775">
        <w:t xml:space="preserve">dosažení žádoucích synergických efektů. </w:t>
      </w:r>
      <w:r w:rsidR="00CA6181">
        <w:t>V současné době je ale stav takový, že ve vazbě na</w:t>
      </w:r>
      <w:r w:rsidR="0091565E">
        <w:t> </w:t>
      </w:r>
      <w:r w:rsidR="00CA6181">
        <w:t>50.</w:t>
      </w:r>
      <w:r w:rsidR="0091565E">
        <w:t> </w:t>
      </w:r>
      <w:r w:rsidR="00CA6181">
        <w:t>výzvu měly největší alokaci mezi kontrolovanými ZS ITI výzv</w:t>
      </w:r>
      <w:r w:rsidR="00023106">
        <w:t>y na vozidla, přičemž většina z </w:t>
      </w:r>
      <w:r w:rsidR="00CA6181">
        <w:t>nich byla jen obnovou.</w:t>
      </w:r>
    </w:p>
    <w:p w14:paraId="5C29CAF8" w14:textId="77777777" w:rsidR="0022010A" w:rsidRDefault="0022010A" w:rsidP="005B4082">
      <w:pPr>
        <w:pStyle w:val="Rmeek"/>
        <w:keepLines/>
        <w:ind w:right="284"/>
      </w:pPr>
      <w:r w:rsidRPr="0022010A">
        <w:lastRenderedPageBreak/>
        <w:t>Implementace integrovaných nástrojů v SC 1.2 IROP má potenciál přispět k dosahování synergických efektů v rámci územní dimenze a komplexnějším řešením</w:t>
      </w:r>
      <w:r w:rsidR="006467B9">
        <w:t xml:space="preserve"> problémů s</w:t>
      </w:r>
      <w:r w:rsidR="0091565E">
        <w:t> </w:t>
      </w:r>
      <w:r w:rsidR="006467B9">
        <w:t xml:space="preserve">výraznějším efektem zejména v oblastech telematiky a budování terminálů. V případě podpory směřované </w:t>
      </w:r>
      <w:r w:rsidR="00490153">
        <w:t xml:space="preserve">na obnovu vozového parku </w:t>
      </w:r>
      <w:proofErr w:type="spellStart"/>
      <w:r w:rsidR="00490153">
        <w:t>nízkoemisními</w:t>
      </w:r>
      <w:proofErr w:type="spellEnd"/>
      <w:r w:rsidR="00490153">
        <w:t xml:space="preserve"> a bezemisními vozidly je vhodnější využívat soutěžních individuálních výzev. </w:t>
      </w:r>
    </w:p>
    <w:p w14:paraId="4A5C63D6" w14:textId="77777777" w:rsidR="00CA6181" w:rsidRPr="00804148" w:rsidRDefault="00C01703" w:rsidP="00C01703">
      <w:pPr>
        <w:pStyle w:val="Pklady-modrrmeek"/>
        <w:rPr>
          <w:b/>
        </w:rPr>
      </w:pPr>
      <w:r w:rsidRPr="00804148">
        <w:rPr>
          <w:b/>
        </w:rPr>
        <w:t>Analýza nákupu</w:t>
      </w:r>
      <w:r w:rsidR="00155775" w:rsidRPr="00804148">
        <w:rPr>
          <w:b/>
        </w:rPr>
        <w:t xml:space="preserve"> dopravních prostředků v</w:t>
      </w:r>
      <w:r w:rsidRPr="00804148">
        <w:rPr>
          <w:b/>
        </w:rPr>
        <w:t xml:space="preserve"> kontrolovaných </w:t>
      </w:r>
      <w:r w:rsidR="00155775" w:rsidRPr="00804148">
        <w:rPr>
          <w:b/>
        </w:rPr>
        <w:t>projektech ITI</w:t>
      </w:r>
      <w:r w:rsidRPr="00804148">
        <w:rPr>
          <w:b/>
        </w:rPr>
        <w:t>:</w:t>
      </w:r>
      <w:r w:rsidR="00155775" w:rsidRPr="00804148">
        <w:rPr>
          <w:b/>
        </w:rPr>
        <w:t xml:space="preserve"> </w:t>
      </w:r>
    </w:p>
    <w:p w14:paraId="556ED71E" w14:textId="7BAC1548" w:rsidR="00155775" w:rsidRDefault="00155775" w:rsidP="00C01703">
      <w:pPr>
        <w:pStyle w:val="Pklady-modrrmeek"/>
      </w:pPr>
      <w:r>
        <w:t>Ze sedmi kontrolovaných projektů ITI pouze v jednom případě</w:t>
      </w:r>
      <w:r w:rsidR="006F0CF0">
        <w:rPr>
          <w:rStyle w:val="Znakapoznpodarou"/>
        </w:rPr>
        <w:footnoteReference w:id="33"/>
      </w:r>
      <w:r>
        <w:t xml:space="preserve"> </w:t>
      </w:r>
      <w:r w:rsidR="006F0CF0">
        <w:t xml:space="preserve">pořídil </w:t>
      </w:r>
      <w:r>
        <w:t xml:space="preserve">příjemce </w:t>
      </w:r>
      <w:r w:rsidR="006F0CF0">
        <w:t xml:space="preserve">všech </w:t>
      </w:r>
      <w:r>
        <w:t>deset vozidel s cílem rozšířit vozový park</w:t>
      </w:r>
      <w:r w:rsidR="006F0CF0">
        <w:t>. Ve třech projektech</w:t>
      </w:r>
      <w:r w:rsidR="006F0CF0">
        <w:rPr>
          <w:rStyle w:val="Znakapoznpodarou"/>
        </w:rPr>
        <w:footnoteReference w:id="34"/>
      </w:r>
      <w:r w:rsidR="006F0CF0">
        <w:t xml:space="preserve"> zakoupily příjemci 32</w:t>
      </w:r>
      <w:r w:rsidR="00C76074">
        <w:t> </w:t>
      </w:r>
      <w:r w:rsidR="006F0CF0">
        <w:t>vozidel pouze jako náhradu za stávající.</w:t>
      </w:r>
      <w:r w:rsidR="00C01703">
        <w:t xml:space="preserve"> Ve zbývajících třech projekt</w:t>
      </w:r>
      <w:r w:rsidR="00023106">
        <w:t>ech pořídili příjemci celkem 48 </w:t>
      </w:r>
      <w:r w:rsidR="00C01703">
        <w:t>dopravních prostředků, z toho jich pouze 18 rozšiřovalo vozový park, zbývajících 30 bylo pořízeno s cílem obměnit vozový park. Na obměnu vozového parku tak v souhrnu bylo pořízeno 69 % nových vozidel, k rozšíření vozového parku příjemci nakoupili 31 % dopravních prostředků</w:t>
      </w:r>
      <w:r w:rsidR="00487833">
        <w:t>.</w:t>
      </w:r>
    </w:p>
    <w:p w14:paraId="1C0485E3" w14:textId="77777777" w:rsidR="002D2F46" w:rsidRDefault="005B4082" w:rsidP="00C76074">
      <w:pPr>
        <w:pStyle w:val="Rmeek"/>
        <w:spacing w:before="120"/>
        <w:ind w:right="284"/>
      </w:pPr>
      <w:r>
        <w:t>Posouzení projektových záměrů a hodnocení projektových žádostí o podporu projektů ITI i</w:t>
      </w:r>
      <w:r w:rsidR="0034140E">
        <w:t> </w:t>
      </w:r>
      <w:r>
        <w:t>přes složitě nastavený proces probíhá ve srovnatelném časovém úseku jako hodnocení žádostí o podporu individuálních projektů.</w:t>
      </w:r>
    </w:p>
    <w:p w14:paraId="74912842" w14:textId="77777777" w:rsidR="005B4082" w:rsidRPr="00804148" w:rsidRDefault="00634474" w:rsidP="00C01703">
      <w:pPr>
        <w:pStyle w:val="Pklady-modrrmeek"/>
        <w:keepNext/>
        <w:ind w:right="284"/>
        <w:rPr>
          <w:b/>
        </w:rPr>
      </w:pPr>
      <w:r w:rsidRPr="00804148">
        <w:rPr>
          <w:b/>
        </w:rPr>
        <w:t xml:space="preserve">Výsledky analýzy </w:t>
      </w:r>
      <w:r w:rsidR="008D73BC" w:rsidRPr="00804148">
        <w:rPr>
          <w:b/>
        </w:rPr>
        <w:t xml:space="preserve">délky </w:t>
      </w:r>
      <w:r w:rsidRPr="00804148">
        <w:rPr>
          <w:b/>
        </w:rPr>
        <w:t>administrace</w:t>
      </w:r>
      <w:r w:rsidR="005B4082" w:rsidRPr="00804148">
        <w:rPr>
          <w:b/>
        </w:rPr>
        <w:t xml:space="preserve"> </w:t>
      </w:r>
      <w:r w:rsidRPr="00804148">
        <w:rPr>
          <w:b/>
        </w:rPr>
        <w:t xml:space="preserve">projektových záměrů ITI </w:t>
      </w:r>
      <w:r w:rsidR="005B4082" w:rsidRPr="00804148">
        <w:rPr>
          <w:b/>
        </w:rPr>
        <w:t>a žádostí o podporu</w:t>
      </w:r>
      <w:r w:rsidRPr="00804148">
        <w:rPr>
          <w:b/>
        </w:rPr>
        <w:t xml:space="preserve"> projektů:</w:t>
      </w:r>
    </w:p>
    <w:p w14:paraId="7FC26129" w14:textId="11BF8380" w:rsidR="00543570" w:rsidRDefault="00543570" w:rsidP="00634474">
      <w:pPr>
        <w:pStyle w:val="Pklady-modrrmeek"/>
      </w:pPr>
      <w:r w:rsidRPr="00543570">
        <w:t xml:space="preserve">Na vzorku </w:t>
      </w:r>
      <w:r w:rsidR="005F02D3">
        <w:t xml:space="preserve">28 </w:t>
      </w:r>
      <w:r w:rsidRPr="00543570">
        <w:t>projektů ITI</w:t>
      </w:r>
      <w:r w:rsidR="00EC2DB8">
        <w:t>, u nichž v době kontroly MMR vydalo rozhodnutí o poskytnutí dotace,</w:t>
      </w:r>
      <w:r w:rsidRPr="00543570">
        <w:t xml:space="preserve"> byla zjištěna </w:t>
      </w:r>
      <w:r w:rsidR="00634474">
        <w:t xml:space="preserve">celková </w:t>
      </w:r>
      <w:r w:rsidRPr="00543570">
        <w:t>průměrná doba na administraci projektových záměrů</w:t>
      </w:r>
      <w:r w:rsidR="00023106">
        <w:t xml:space="preserve"> a </w:t>
      </w:r>
      <w:r>
        <w:t>projektových žádostí 236 dnů.</w:t>
      </w:r>
      <w:r w:rsidRPr="00543570">
        <w:t xml:space="preserve"> </w:t>
      </w:r>
      <w:r>
        <w:t>P</w:t>
      </w:r>
      <w:r w:rsidRPr="00543570">
        <w:t xml:space="preserve">ři přičtení doby mezi vydáním </w:t>
      </w:r>
      <w:r>
        <w:t>„</w:t>
      </w:r>
      <w:r w:rsidR="000814D9">
        <w:t>v</w:t>
      </w:r>
      <w:r w:rsidRPr="00543570">
        <w:t xml:space="preserve">yjádření </w:t>
      </w:r>
      <w:r w:rsidR="000814D9">
        <w:t>ř</w:t>
      </w:r>
      <w:r>
        <w:t>ídicího</w:t>
      </w:r>
      <w:r w:rsidR="0034140E">
        <w:t> </w:t>
      </w:r>
      <w:r>
        <w:t>výboru</w:t>
      </w:r>
      <w:r w:rsidRPr="00543570">
        <w:t xml:space="preserve"> ITI o souladu </w:t>
      </w:r>
      <w:r>
        <w:t>projektového záměru</w:t>
      </w:r>
      <w:r w:rsidRPr="00543570">
        <w:t xml:space="preserve"> se strategií ITI</w:t>
      </w:r>
      <w:r>
        <w:t>“</w:t>
      </w:r>
      <w:r w:rsidRPr="00543570">
        <w:t>, která činila 46 dnů, se</w:t>
      </w:r>
      <w:r w:rsidR="0034140E">
        <w:t> </w:t>
      </w:r>
      <w:r w:rsidRPr="00543570">
        <w:t>jedná o celkem 282 dny.</w:t>
      </w:r>
    </w:p>
    <w:p w14:paraId="5F166564" w14:textId="77777777" w:rsidR="00543570" w:rsidRDefault="00543570" w:rsidP="00634474">
      <w:pPr>
        <w:pStyle w:val="Pklady-modrrmeek"/>
      </w:pPr>
      <w:r>
        <w:t>Průměrná doba na administraci žádostí o podporu individuálních projektů</w:t>
      </w:r>
      <w:r w:rsidR="00634474">
        <w:t xml:space="preserve"> zjištěná ze sestav generovaných v MS2014+</w:t>
      </w:r>
      <w:r>
        <w:t xml:space="preserve"> se pohybovala od 234 dnů u výzvy č. 24 na podporu aktivity „</w:t>
      </w:r>
      <w:r w:rsidR="00634474">
        <w:t>Terminály</w:t>
      </w:r>
      <w:r>
        <w:t>“ do 301 dne u výzvy č. 22, která se týkala aktivity „</w:t>
      </w:r>
      <w:r w:rsidR="00634474">
        <w:t>Telematika</w:t>
      </w:r>
      <w:r>
        <w:t xml:space="preserve">“. Počet hodnocených žádostí </w:t>
      </w:r>
      <w:r w:rsidR="00634474">
        <w:t xml:space="preserve">v rámci jedné výzvy na individuální projekty </w:t>
      </w:r>
      <w:r>
        <w:t xml:space="preserve">však převyšoval </w:t>
      </w:r>
      <w:r w:rsidR="00634474">
        <w:t>počet podaných projektových záměrů, respektive žádostí o podporu projektů ITI v rámci jedné výzvy pro ITI projekty vyhlašované statutárními městy.</w:t>
      </w:r>
    </w:p>
    <w:p w14:paraId="26981A91" w14:textId="1FEF8F18" w:rsidR="009E0500" w:rsidRDefault="00E22299" w:rsidP="00E22299">
      <w:pPr>
        <w:pStyle w:val="Nadpis2"/>
        <w:numPr>
          <w:ilvl w:val="0"/>
          <w:numId w:val="0"/>
        </w:numPr>
        <w:spacing w:before="120"/>
      </w:pPr>
      <w:r>
        <w:t xml:space="preserve">6. </w:t>
      </w:r>
      <w:r w:rsidR="009E0500">
        <w:t xml:space="preserve">Řídicí a </w:t>
      </w:r>
      <w:r w:rsidR="009E0500" w:rsidRPr="009E0500">
        <w:t>kontrolní</w:t>
      </w:r>
      <w:r w:rsidR="009E0500">
        <w:t xml:space="preserve"> systém IROP</w:t>
      </w:r>
    </w:p>
    <w:p w14:paraId="343FE10D" w14:textId="77777777" w:rsidR="00490153" w:rsidRPr="00490153" w:rsidRDefault="00490153" w:rsidP="00C76074">
      <w:pPr>
        <w:pStyle w:val="KZnormln"/>
        <w:spacing w:before="120"/>
      </w:pPr>
      <w:r>
        <w:t xml:space="preserve">Posouzení nastavení </w:t>
      </w:r>
      <w:r w:rsidR="00D859C2">
        <w:t xml:space="preserve">a účinnosti </w:t>
      </w:r>
      <w:r>
        <w:t xml:space="preserve">řídicího a kontrolního systému IROP ve SC 1.2 zahrnovalo </w:t>
      </w:r>
      <w:r w:rsidR="00D859C2">
        <w:t xml:space="preserve">ověření </w:t>
      </w:r>
      <w:r>
        <w:t>systém</w:t>
      </w:r>
      <w:r w:rsidR="00D859C2">
        <w:t>u</w:t>
      </w:r>
      <w:r>
        <w:t xml:space="preserve"> přidělování dotací formou individuálních výzev a formou výzev pro integrované projekty ITI. Jednotlivé činnosti a subjekty, které je vykonávají, včetně vazeb v systému poskytování podpory znázorňuje schéma č</w:t>
      </w:r>
      <w:r w:rsidRPr="00860EE3">
        <w:t xml:space="preserve">. </w:t>
      </w:r>
      <w:r w:rsidR="004E5683" w:rsidRPr="00860EE3">
        <w:t>2</w:t>
      </w:r>
      <w:r w:rsidRPr="00860EE3">
        <w:t>.</w:t>
      </w:r>
    </w:p>
    <w:p w14:paraId="11A9884B" w14:textId="3C971E9C" w:rsidR="00C845B0" w:rsidRDefault="00C845B0" w:rsidP="00C76074">
      <w:pPr>
        <w:pStyle w:val="Nadpistabulky"/>
        <w:tabs>
          <w:tab w:val="clear" w:pos="1418"/>
        </w:tabs>
        <w:ind w:left="1276" w:hanging="1276"/>
      </w:pPr>
      <w:r>
        <w:lastRenderedPageBreak/>
        <w:t>Schéma</w:t>
      </w:r>
      <w:r w:rsidR="0005006B">
        <w:t xml:space="preserve"> č. </w:t>
      </w:r>
      <w:r w:rsidR="004E5683" w:rsidRPr="00860EE3">
        <w:t>2</w:t>
      </w:r>
      <w:r w:rsidRPr="00860EE3">
        <w:t>:</w:t>
      </w:r>
      <w:r>
        <w:tab/>
        <w:t>Systém poskytování podpory v rámci SC 1.2 IROP se zohledněním územní dimenze aplikované prostřednictvím integrovaného nástroje ITI</w:t>
      </w:r>
    </w:p>
    <w:p w14:paraId="6E997DF0" w14:textId="34F6C0AF" w:rsidR="00F224EA" w:rsidRDefault="00F224EA" w:rsidP="00073CAE">
      <w:pPr>
        <w:pStyle w:val="KZnormln"/>
        <w:ind w:left="851" w:hanging="851"/>
        <w:rPr>
          <w:rFonts w:ascii="Calibri" w:eastAsia="Calibri" w:hAnsi="Calibri"/>
          <w:b/>
          <w:sz w:val="20"/>
          <w:szCs w:val="20"/>
        </w:rPr>
      </w:pPr>
      <w:r>
        <w:rPr>
          <w:rFonts w:ascii="Calibri" w:eastAsia="Calibri" w:hAnsi="Calibri"/>
          <w:b/>
          <w:noProof/>
          <w:sz w:val="20"/>
          <w:szCs w:val="20"/>
          <w:lang w:eastAsia="cs-CZ"/>
        </w:rPr>
        <w:drawing>
          <wp:inline distT="0" distB="0" distL="0" distR="0" wp14:anchorId="794AD7C2" wp14:editId="542B59A3">
            <wp:extent cx="5760085" cy="4279900"/>
            <wp:effectExtent l="0" t="0" r="0" b="635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2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43D6CB" w14:textId="18ED9C7F" w:rsidR="00B9186A" w:rsidRPr="006E3519" w:rsidRDefault="00B9186A" w:rsidP="00073CAE">
      <w:pPr>
        <w:pStyle w:val="KZnormln"/>
        <w:ind w:left="851" w:hanging="851"/>
        <w:rPr>
          <w:rFonts w:ascii="Calibri" w:eastAsia="Calibri" w:hAnsi="Calibri"/>
          <w:sz w:val="22"/>
          <w:u w:val="single"/>
        </w:rPr>
      </w:pPr>
      <w:r w:rsidRPr="00073CAE">
        <w:rPr>
          <w:rFonts w:ascii="Calibri" w:eastAsia="Calibri" w:hAnsi="Calibri"/>
          <w:b/>
          <w:sz w:val="20"/>
          <w:szCs w:val="20"/>
        </w:rPr>
        <w:t>Legenda:</w:t>
      </w:r>
      <w:r w:rsidRPr="000A6D0D">
        <w:rPr>
          <w:rFonts w:ascii="Calibri" w:eastAsia="Calibri" w:hAnsi="Calibri"/>
          <w:sz w:val="22"/>
        </w:rPr>
        <w:t xml:space="preserve"> </w:t>
      </w:r>
      <w:r w:rsidRPr="000A6D0D">
        <w:rPr>
          <w:rFonts w:ascii="Calibri" w:eastAsia="Calibri" w:hAnsi="Calibri"/>
          <w:sz w:val="22"/>
        </w:rPr>
        <w:tab/>
      </w:r>
      <w:r w:rsidRPr="000A6D0D">
        <w:rPr>
          <w:rFonts w:ascii="Calibri" w:eastAsia="Calibri" w:hAnsi="Calibri" w:cs="Calibri"/>
          <w:b/>
          <w:noProof/>
          <w:sz w:val="20"/>
          <w:szCs w:val="20"/>
          <w:lang w:eastAsia="cs-CZ"/>
        </w:rPr>
        <mc:AlternateContent>
          <mc:Choice Requires="wps">
            <w:drawing>
              <wp:inline distT="0" distB="0" distL="0" distR="0" wp14:anchorId="67E92401" wp14:editId="4B676B53">
                <wp:extent cx="107315" cy="107950"/>
                <wp:effectExtent l="0" t="0" r="6985" b="6350"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9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3BC50FDB" id="Ovál 10" o:spid="_x0000_s1026" style="width:8.4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" fillcolor="#bfbfbf [2412]" stroked="f" strokeweight="2pt">
                <w10:anchorlock/>
              </v:oval>
            </w:pict>
          </mc:Fallback>
        </mc:AlternateContent>
      </w:r>
      <w:r>
        <w:rPr>
          <w:rFonts w:ascii="Calibri" w:eastAsia="Calibri" w:hAnsi="Calibri" w:cs="Calibri"/>
          <w:sz w:val="20"/>
          <w:szCs w:val="20"/>
        </w:rPr>
        <w:t xml:space="preserve"> Činnosti zajišťované MMR z pozice gestora územní dimenze</w:t>
      </w:r>
      <w:r w:rsidR="002D2F46">
        <w:rPr>
          <w:rFonts w:ascii="Calibri" w:eastAsia="Calibri" w:hAnsi="Calibri" w:cs="Calibri"/>
          <w:sz w:val="20"/>
          <w:szCs w:val="20"/>
        </w:rPr>
        <w:t>.</w:t>
      </w:r>
      <w:r w:rsidRPr="000A6D0D">
        <w:rPr>
          <w:rFonts w:ascii="Calibri" w:eastAsia="Calibri" w:hAnsi="Calibri" w:cs="Calibri"/>
          <w:sz w:val="20"/>
          <w:szCs w:val="20"/>
        </w:rPr>
        <w:t xml:space="preserve">   </w:t>
      </w:r>
      <w:r w:rsidRPr="000A6D0D">
        <w:rPr>
          <w:rFonts w:ascii="Calibri" w:eastAsia="Calibri" w:hAnsi="Calibri" w:cs="Calibri"/>
          <w:b/>
          <w:noProof/>
          <w:sz w:val="20"/>
          <w:szCs w:val="20"/>
          <w:lang w:eastAsia="cs-CZ"/>
        </w:rPr>
        <mc:AlternateContent>
          <mc:Choice Requires="wps">
            <w:drawing>
              <wp:inline distT="0" distB="0" distL="0" distR="0" wp14:anchorId="6FD63065" wp14:editId="1E963D15">
                <wp:extent cx="107315" cy="107950"/>
                <wp:effectExtent l="0" t="0" r="6985" b="6350"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950"/>
                        </a:xfrm>
                        <a:prstGeom prst="ellipse">
                          <a:avLst/>
                        </a:prstGeom>
                        <a:solidFill>
                          <a:srgbClr val="2E75B6">
                            <a:alpha val="4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025B6779" id="Ovál 11" o:spid="_x0000_s1026" style="width:8.4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" fillcolor="#2e75b6" stroked="f" strokeweight="2pt">
                <v:fill opacity="26214f"/>
                <w10:anchorlock/>
              </v:oval>
            </w:pict>
          </mc:Fallback>
        </mc:AlternateContent>
      </w:r>
      <w:r w:rsidRPr="000A6D0D">
        <w:rPr>
          <w:rFonts w:ascii="Calibri" w:eastAsia="Calibri" w:hAnsi="Calibri" w:cs="Calibri"/>
          <w:sz w:val="20"/>
          <w:szCs w:val="20"/>
        </w:rPr>
        <w:t xml:space="preserve"> </w:t>
      </w:r>
      <w:r w:rsidR="002D2F46">
        <w:rPr>
          <w:rFonts w:ascii="Calibri" w:eastAsia="Calibri" w:hAnsi="Calibri" w:cs="Calibri"/>
          <w:sz w:val="20"/>
          <w:szCs w:val="20"/>
        </w:rPr>
        <w:t>Činnosti zajišťované jádrovými městy metropolitních oblastí a sídelních aglomerací</w:t>
      </w:r>
      <w:r w:rsidR="00490153">
        <w:rPr>
          <w:rFonts w:ascii="Calibri" w:eastAsia="Calibri" w:hAnsi="Calibri" w:cs="Calibri"/>
          <w:sz w:val="20"/>
          <w:szCs w:val="20"/>
        </w:rPr>
        <w:t xml:space="preserve"> v roli </w:t>
      </w:r>
      <w:r w:rsidR="00E22299">
        <w:rPr>
          <w:rFonts w:ascii="Calibri" w:eastAsia="Calibri" w:hAnsi="Calibri" w:cs="Calibri"/>
          <w:sz w:val="20"/>
          <w:szCs w:val="20"/>
        </w:rPr>
        <w:t>n</w:t>
      </w:r>
      <w:r w:rsidR="00490153">
        <w:rPr>
          <w:rFonts w:ascii="Calibri" w:eastAsia="Calibri" w:hAnsi="Calibri" w:cs="Calibri"/>
          <w:sz w:val="20"/>
          <w:szCs w:val="20"/>
        </w:rPr>
        <w:t xml:space="preserve">ositele ITI a </w:t>
      </w:r>
      <w:r w:rsidR="00E22299">
        <w:rPr>
          <w:rFonts w:ascii="Calibri" w:eastAsia="Calibri" w:hAnsi="Calibri" w:cs="Calibri"/>
          <w:sz w:val="20"/>
          <w:szCs w:val="20"/>
        </w:rPr>
        <w:t>z</w:t>
      </w:r>
      <w:r w:rsidR="00490153">
        <w:rPr>
          <w:rFonts w:ascii="Calibri" w:eastAsia="Calibri" w:hAnsi="Calibri" w:cs="Calibri"/>
          <w:sz w:val="20"/>
          <w:szCs w:val="20"/>
        </w:rPr>
        <w:t>prostředkujícího subjektu ITI</w:t>
      </w:r>
      <w:r w:rsidR="00073CAE">
        <w:rPr>
          <w:rFonts w:ascii="Calibri" w:eastAsia="Calibri" w:hAnsi="Calibri" w:cs="Calibri"/>
          <w:sz w:val="20"/>
          <w:szCs w:val="20"/>
        </w:rPr>
        <w:t>.</w:t>
      </w:r>
      <w:r w:rsidR="00E22299">
        <w:rPr>
          <w:rFonts w:ascii="Calibri" w:eastAsia="Calibri" w:hAnsi="Calibri" w:cs="Calibri"/>
          <w:sz w:val="20"/>
          <w:szCs w:val="20"/>
        </w:rPr>
        <w:t xml:space="preserve"> </w:t>
      </w:r>
      <w:r w:rsidRPr="000A6D0D">
        <w:rPr>
          <w:rFonts w:ascii="Calibri" w:eastAsia="Calibri" w:hAnsi="Calibri" w:cs="Calibri"/>
          <w:b/>
          <w:noProof/>
          <w:sz w:val="20"/>
          <w:szCs w:val="20"/>
          <w:lang w:eastAsia="cs-CZ"/>
        </w:rPr>
        <mc:AlternateContent>
          <mc:Choice Requires="wps">
            <w:drawing>
              <wp:inline distT="0" distB="0" distL="0" distR="0" wp14:anchorId="5F8B49E8" wp14:editId="62582F03">
                <wp:extent cx="107315" cy="107950"/>
                <wp:effectExtent l="0" t="0" r="6985" b="6350"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95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1E088866" id="Ovál 12" o:spid="_x0000_s1026" style="width:8.4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" fillcolor="#c00000" stroked="f" strokeweight="2pt">
                <w10:anchorlock/>
              </v:oval>
            </w:pict>
          </mc:Fallback>
        </mc:AlternateContent>
      </w:r>
      <w:r w:rsidRPr="000A6D0D">
        <w:rPr>
          <w:rFonts w:ascii="Calibri" w:eastAsia="Calibri" w:hAnsi="Calibri" w:cs="Calibri"/>
          <w:sz w:val="20"/>
          <w:szCs w:val="20"/>
        </w:rPr>
        <w:t xml:space="preserve"> </w:t>
      </w:r>
      <w:r w:rsidR="002D2F46">
        <w:rPr>
          <w:rFonts w:ascii="Calibri" w:eastAsia="Calibri" w:hAnsi="Calibri" w:cs="Calibri"/>
          <w:sz w:val="20"/>
          <w:szCs w:val="20"/>
        </w:rPr>
        <w:t>Činnosti zajišťované MMR v roli ŘO IROP</w:t>
      </w:r>
      <w:r w:rsidR="00490153">
        <w:rPr>
          <w:rFonts w:ascii="Calibri" w:eastAsia="Calibri" w:hAnsi="Calibri" w:cs="Calibri"/>
          <w:sz w:val="20"/>
          <w:szCs w:val="20"/>
        </w:rPr>
        <w:t xml:space="preserve">. </w:t>
      </w:r>
      <w:r w:rsidRPr="000A6D0D">
        <w:rPr>
          <w:rFonts w:ascii="Calibri" w:eastAsia="Calibri" w:hAnsi="Calibri" w:cs="Calibri"/>
          <w:b/>
          <w:noProof/>
          <w:sz w:val="20"/>
          <w:szCs w:val="20"/>
          <w:lang w:eastAsia="cs-CZ"/>
        </w:rPr>
        <mc:AlternateContent>
          <mc:Choice Requires="wps">
            <w:drawing>
              <wp:inline distT="0" distB="0" distL="0" distR="0" wp14:anchorId="5E693E8B" wp14:editId="559B3856">
                <wp:extent cx="107315" cy="107950"/>
                <wp:effectExtent l="0" t="0" r="6985" b="6350"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95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50196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BE0F201" id="Ovál 14" o:spid="_x0000_s1026" style="width:8.4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" fillcolor="#c00000" stroked="f" strokeweight="2pt">
                <v:fill opacity="32896f"/>
                <w10:anchorlock/>
              </v:oval>
            </w:pict>
          </mc:Fallback>
        </mc:AlternateContent>
      </w:r>
      <w:r w:rsidR="00073CAE">
        <w:rPr>
          <w:rFonts w:ascii="Calibri" w:eastAsia="Calibri" w:hAnsi="Calibri" w:cs="Calibri"/>
          <w:sz w:val="20"/>
          <w:szCs w:val="20"/>
        </w:rPr>
        <w:t xml:space="preserve"> </w:t>
      </w:r>
      <w:r w:rsidR="002D2F46">
        <w:rPr>
          <w:rFonts w:ascii="Calibri" w:eastAsia="Calibri" w:hAnsi="Calibri" w:cs="Calibri"/>
          <w:sz w:val="20"/>
          <w:szCs w:val="20"/>
        </w:rPr>
        <w:t xml:space="preserve">Činnosti zajišťované CRR v roli </w:t>
      </w:r>
      <w:r w:rsidR="00E22299">
        <w:rPr>
          <w:rFonts w:ascii="Calibri" w:eastAsia="Calibri" w:hAnsi="Calibri" w:cs="Calibri"/>
          <w:sz w:val="20"/>
          <w:szCs w:val="20"/>
        </w:rPr>
        <w:t>z</w:t>
      </w:r>
      <w:r w:rsidR="002D2F46">
        <w:rPr>
          <w:rFonts w:ascii="Calibri" w:eastAsia="Calibri" w:hAnsi="Calibri" w:cs="Calibri"/>
          <w:sz w:val="20"/>
          <w:szCs w:val="20"/>
        </w:rPr>
        <w:t>prostředkujícího subjektu IROP</w:t>
      </w:r>
      <w:r w:rsidRPr="000A6D0D">
        <w:rPr>
          <w:rFonts w:ascii="Calibri" w:eastAsia="Calibri" w:hAnsi="Calibri" w:cs="Calibri"/>
          <w:sz w:val="20"/>
          <w:szCs w:val="20"/>
        </w:rPr>
        <w:t>.</w:t>
      </w:r>
    </w:p>
    <w:p w14:paraId="4B684010" w14:textId="16699B97" w:rsidR="009E0500" w:rsidRPr="00E22299" w:rsidRDefault="00E22299" w:rsidP="00E22299">
      <w:pPr>
        <w:pStyle w:val="Nadpis3"/>
        <w:numPr>
          <w:ilvl w:val="0"/>
          <w:numId w:val="0"/>
        </w:numPr>
        <w:spacing w:before="120" w:after="120"/>
        <w:rPr>
          <w:i w:val="0"/>
        </w:rPr>
      </w:pPr>
      <w:r w:rsidRPr="00E22299">
        <w:rPr>
          <w:i w:val="0"/>
        </w:rPr>
        <w:t xml:space="preserve">6.1 </w:t>
      </w:r>
      <w:r w:rsidR="009E0500" w:rsidRPr="00E22299">
        <w:rPr>
          <w:i w:val="0"/>
        </w:rPr>
        <w:t>Řízení výzev a hodnocení</w:t>
      </w:r>
      <w:r w:rsidR="00D311B5" w:rsidRPr="00E22299">
        <w:rPr>
          <w:i w:val="0"/>
        </w:rPr>
        <w:t xml:space="preserve"> žádostí o podporu individuálních </w:t>
      </w:r>
      <w:r w:rsidR="009E0500" w:rsidRPr="00E22299">
        <w:rPr>
          <w:i w:val="0"/>
        </w:rPr>
        <w:t>projektů</w:t>
      </w:r>
    </w:p>
    <w:p w14:paraId="796E7DC6" w14:textId="77777777" w:rsidR="009E0500" w:rsidRDefault="00C13517" w:rsidP="00C76074">
      <w:pPr>
        <w:pStyle w:val="Nadpis4"/>
        <w:spacing w:before="120" w:after="120"/>
      </w:pPr>
      <w:r w:rsidRPr="00C13517">
        <w:t xml:space="preserve">Výzvy byly řízeny dle </w:t>
      </w:r>
      <w:r w:rsidRPr="00E12D42">
        <w:t>stanovených</w:t>
      </w:r>
      <w:r w:rsidRPr="00C13517">
        <w:t xml:space="preserve"> pravidel</w:t>
      </w:r>
    </w:p>
    <w:p w14:paraId="1EDC1E93" w14:textId="77777777" w:rsidR="00A64108" w:rsidRPr="009B6B54" w:rsidRDefault="00A64108" w:rsidP="00C76074">
      <w:pPr>
        <w:pStyle w:val="KZnormln"/>
        <w:spacing w:before="120"/>
      </w:pPr>
      <w:r w:rsidRPr="00A64108">
        <w:t xml:space="preserve">MMR </w:t>
      </w:r>
      <w:r>
        <w:t>v roli</w:t>
      </w:r>
      <w:r w:rsidRPr="00A64108">
        <w:t xml:space="preserve"> ŘO IROP vyhlásilo </w:t>
      </w:r>
      <w:r>
        <w:t xml:space="preserve">čtyři kolové soutěžní </w:t>
      </w:r>
      <w:r w:rsidRPr="00A64108">
        <w:t xml:space="preserve">výzvy k předkládání žádostí o podporu </w:t>
      </w:r>
      <w:r>
        <w:t>na</w:t>
      </w:r>
      <w:r w:rsidR="0034140E">
        <w:t> </w:t>
      </w:r>
      <w:r>
        <w:t xml:space="preserve">realizaci vybraných aktivit. Jejich přehled včetně alokací zdrojů z EU a SR je uveden v tabulce </w:t>
      </w:r>
      <w:r w:rsidRPr="009B6B54">
        <w:t>č. </w:t>
      </w:r>
      <w:r w:rsidR="00513C27" w:rsidRPr="009B6B54">
        <w:t>4</w:t>
      </w:r>
      <w:r w:rsidRPr="009B6B54">
        <w:t>.</w:t>
      </w:r>
    </w:p>
    <w:p w14:paraId="7D8DBACD" w14:textId="26DCDFED" w:rsidR="00A64108" w:rsidRDefault="00A64108" w:rsidP="00C76074">
      <w:pPr>
        <w:pStyle w:val="Nadpistabulky"/>
        <w:tabs>
          <w:tab w:val="clear" w:pos="9213"/>
          <w:tab w:val="right" w:pos="9072"/>
        </w:tabs>
        <w:spacing w:after="40"/>
      </w:pPr>
      <w:r w:rsidRPr="009B6B54">
        <w:t xml:space="preserve">Tabulka č. </w:t>
      </w:r>
      <w:r w:rsidR="00513C27" w:rsidRPr="009B6B54">
        <w:t>4</w:t>
      </w:r>
      <w:r w:rsidRPr="009B6B54">
        <w:t>:</w:t>
      </w:r>
      <w:r w:rsidRPr="009B6B54">
        <w:tab/>
        <w:t>Přehled výzev a jejich alokací na vybrané aktivity SC 1.2 IROP</w:t>
      </w:r>
      <w:r w:rsidR="0059090E">
        <w:tab/>
      </w:r>
      <w:r w:rsidRPr="009B6B54">
        <w:t>(</w:t>
      </w:r>
      <w:r w:rsidR="0059090E">
        <w:t>v </w:t>
      </w:r>
      <w:r w:rsidRPr="009B6B54">
        <w:t>mil. Kč)</w:t>
      </w:r>
    </w:p>
    <w:tbl>
      <w:tblPr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4395"/>
        <w:gridCol w:w="1771"/>
        <w:gridCol w:w="1772"/>
      </w:tblGrid>
      <w:tr w:rsidR="00A64108" w:rsidRPr="00A64108" w14:paraId="36B24336" w14:textId="77777777" w:rsidTr="0059090E">
        <w:trPr>
          <w:trHeight w:val="283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41443CAA" w14:textId="77777777" w:rsidR="00A64108" w:rsidRPr="00EE43B3" w:rsidRDefault="00A64108" w:rsidP="00EE43B3">
            <w:pPr>
              <w:pStyle w:val="Zkladn"/>
              <w:keepNext/>
              <w:jc w:val="center"/>
              <w:rPr>
                <w:b/>
                <w:sz w:val="22"/>
                <w:szCs w:val="22"/>
                <w:lang w:eastAsia="cs-CZ"/>
              </w:rPr>
            </w:pPr>
            <w:r w:rsidRPr="00EE43B3">
              <w:rPr>
                <w:b/>
                <w:sz w:val="22"/>
                <w:szCs w:val="22"/>
                <w:lang w:eastAsia="cs-CZ"/>
              </w:rPr>
              <w:t>Číslo výzvy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5F1FF"/>
            <w:noWrap/>
            <w:vAlign w:val="center"/>
            <w:hideMark/>
          </w:tcPr>
          <w:p w14:paraId="71D818B3" w14:textId="77777777" w:rsidR="00A64108" w:rsidRPr="00EE43B3" w:rsidRDefault="00A64108" w:rsidP="00EE43B3">
            <w:pPr>
              <w:pStyle w:val="Zkladn"/>
              <w:keepNext/>
              <w:jc w:val="center"/>
              <w:rPr>
                <w:b/>
                <w:sz w:val="22"/>
                <w:szCs w:val="22"/>
                <w:lang w:eastAsia="cs-CZ"/>
              </w:rPr>
            </w:pPr>
            <w:r w:rsidRPr="00EE43B3">
              <w:rPr>
                <w:b/>
                <w:sz w:val="22"/>
                <w:szCs w:val="22"/>
                <w:lang w:eastAsia="cs-CZ"/>
              </w:rPr>
              <w:t>Zaměření výzvy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5F1FF"/>
            <w:noWrap/>
            <w:vAlign w:val="center"/>
            <w:hideMark/>
          </w:tcPr>
          <w:p w14:paraId="0A388E28" w14:textId="77777777" w:rsidR="00A64108" w:rsidRPr="00EE43B3" w:rsidRDefault="00A64108" w:rsidP="00EE43B3">
            <w:pPr>
              <w:pStyle w:val="Zkladn"/>
              <w:keepNext/>
              <w:jc w:val="center"/>
              <w:rPr>
                <w:b/>
                <w:sz w:val="22"/>
                <w:szCs w:val="22"/>
                <w:lang w:eastAsia="cs-CZ"/>
              </w:rPr>
            </w:pPr>
            <w:r w:rsidRPr="00EE43B3">
              <w:rPr>
                <w:b/>
                <w:sz w:val="22"/>
                <w:szCs w:val="22"/>
                <w:lang w:eastAsia="cs-CZ"/>
              </w:rPr>
              <w:t>Alokace z rozpočtu</w:t>
            </w:r>
          </w:p>
        </w:tc>
      </w:tr>
      <w:tr w:rsidR="00A64108" w:rsidRPr="00A64108" w14:paraId="355BC6BC" w14:textId="77777777" w:rsidTr="0059090E">
        <w:trPr>
          <w:trHeight w:val="283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C94EAC" w14:textId="77777777" w:rsidR="00A64108" w:rsidRPr="00A64108" w:rsidRDefault="00A64108" w:rsidP="00EE43B3">
            <w:pPr>
              <w:pStyle w:val="Zkladn"/>
              <w:keepNext/>
              <w:rPr>
                <w:sz w:val="22"/>
                <w:szCs w:val="22"/>
                <w:lang w:eastAsia="cs-CZ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DC1772" w14:textId="77777777" w:rsidR="00A64108" w:rsidRPr="00A64108" w:rsidRDefault="00A64108" w:rsidP="00EE43B3">
            <w:pPr>
              <w:pStyle w:val="Zkladn"/>
              <w:keepNext/>
              <w:rPr>
                <w:sz w:val="22"/>
                <w:szCs w:val="22"/>
                <w:lang w:eastAsia="cs-CZ"/>
              </w:rPr>
            </w:pP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noWrap/>
            <w:vAlign w:val="center"/>
            <w:hideMark/>
          </w:tcPr>
          <w:p w14:paraId="4E7C26BD" w14:textId="77777777" w:rsidR="00A64108" w:rsidRPr="00A64108" w:rsidRDefault="00A64108" w:rsidP="00EE43B3">
            <w:pPr>
              <w:pStyle w:val="Zkladn"/>
              <w:keepNext/>
              <w:jc w:val="center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EU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noWrap/>
            <w:vAlign w:val="center"/>
            <w:hideMark/>
          </w:tcPr>
          <w:p w14:paraId="0BE6EE97" w14:textId="77777777" w:rsidR="00A64108" w:rsidRPr="00A64108" w:rsidRDefault="00A64108" w:rsidP="00EE43B3">
            <w:pPr>
              <w:pStyle w:val="Zkladn"/>
              <w:keepNext/>
              <w:jc w:val="center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ČR</w:t>
            </w:r>
          </w:p>
        </w:tc>
      </w:tr>
      <w:tr w:rsidR="00A64108" w:rsidRPr="00A64108" w14:paraId="33862630" w14:textId="77777777" w:rsidTr="0059090E">
        <w:trPr>
          <w:trHeight w:val="283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F6C3" w14:textId="77777777" w:rsidR="00A64108" w:rsidRPr="00A64108" w:rsidRDefault="00A64108" w:rsidP="00EE43B3">
            <w:pPr>
              <w:pStyle w:val="Zkladn"/>
              <w:keepNext/>
              <w:jc w:val="center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20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E4FDC" w14:textId="77777777" w:rsidR="00A64108" w:rsidRPr="00A64108" w:rsidRDefault="00A64108" w:rsidP="00EE43B3">
            <w:pPr>
              <w:pStyle w:val="Zkladn"/>
              <w:keepNext/>
              <w:jc w:val="left"/>
              <w:rPr>
                <w:sz w:val="22"/>
                <w:szCs w:val="22"/>
                <w:lang w:eastAsia="cs-CZ"/>
              </w:rPr>
            </w:pPr>
            <w:proofErr w:type="spellStart"/>
            <w:r w:rsidRPr="00A64108">
              <w:rPr>
                <w:sz w:val="22"/>
                <w:szCs w:val="22"/>
                <w:lang w:eastAsia="cs-CZ"/>
              </w:rPr>
              <w:t>Nízkoemisní</w:t>
            </w:r>
            <w:proofErr w:type="spellEnd"/>
            <w:r w:rsidRPr="00A64108">
              <w:rPr>
                <w:sz w:val="22"/>
                <w:szCs w:val="22"/>
                <w:lang w:eastAsia="cs-CZ"/>
              </w:rPr>
              <w:t xml:space="preserve"> a bezemisní vozidla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A8D87" w14:textId="77777777" w:rsidR="00A64108" w:rsidRPr="00A64108" w:rsidRDefault="00A64108" w:rsidP="0059090E">
            <w:pPr>
              <w:pStyle w:val="Zkladn"/>
              <w:keepNext/>
              <w:ind w:right="140"/>
              <w:jc w:val="right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3</w:t>
            </w:r>
            <w:r>
              <w:rPr>
                <w:sz w:val="22"/>
                <w:szCs w:val="22"/>
                <w:lang w:eastAsia="cs-CZ"/>
              </w:rPr>
              <w:t> </w:t>
            </w:r>
            <w:r w:rsidRPr="00A64108">
              <w:rPr>
                <w:sz w:val="22"/>
                <w:szCs w:val="22"/>
                <w:lang w:eastAsia="cs-CZ"/>
              </w:rPr>
              <w:t>413</w:t>
            </w:r>
            <w:r>
              <w:rPr>
                <w:sz w:val="22"/>
                <w:szCs w:val="22"/>
                <w:lang w:eastAsia="cs-CZ"/>
              </w:rPr>
              <w:t>,</w:t>
            </w:r>
            <w:r w:rsidRPr="00A64108">
              <w:rPr>
                <w:sz w:val="22"/>
                <w:szCs w:val="22"/>
                <w:lang w:eastAsia="cs-CZ"/>
              </w:rPr>
              <w:t>5</w:t>
            </w:r>
            <w:r>
              <w:rPr>
                <w:sz w:val="22"/>
                <w:szCs w:val="22"/>
                <w:lang w:eastAsia="cs-CZ"/>
              </w:rPr>
              <w:t>3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4F61" w14:textId="77777777" w:rsidR="00A64108" w:rsidRPr="00A64108" w:rsidRDefault="00A64108" w:rsidP="0059090E">
            <w:pPr>
              <w:pStyle w:val="Zkladn"/>
              <w:keepNext/>
              <w:ind w:right="140"/>
              <w:jc w:val="right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200</w:t>
            </w:r>
            <w:r>
              <w:rPr>
                <w:sz w:val="22"/>
                <w:szCs w:val="22"/>
                <w:lang w:eastAsia="cs-CZ"/>
              </w:rPr>
              <w:t>,80</w:t>
            </w:r>
          </w:p>
        </w:tc>
      </w:tr>
      <w:tr w:rsidR="00A64108" w:rsidRPr="00A64108" w14:paraId="6C2F4667" w14:textId="77777777" w:rsidTr="0059090E">
        <w:trPr>
          <w:trHeight w:val="283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3D322" w14:textId="77777777" w:rsidR="00A64108" w:rsidRPr="00A64108" w:rsidRDefault="00A64108" w:rsidP="00EE43B3">
            <w:pPr>
              <w:pStyle w:val="Zkladn"/>
              <w:keepNext/>
              <w:jc w:val="center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22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79512" w14:textId="77777777" w:rsidR="00A64108" w:rsidRPr="00A64108" w:rsidRDefault="00A64108" w:rsidP="00EE43B3">
            <w:pPr>
              <w:pStyle w:val="Zkladn"/>
              <w:keepNext/>
              <w:jc w:val="left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Telematika pro veřejnou dopravu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A597" w14:textId="77777777" w:rsidR="00A64108" w:rsidRPr="00A64108" w:rsidRDefault="00A64108" w:rsidP="0059090E">
            <w:pPr>
              <w:pStyle w:val="Zkladn"/>
              <w:keepNext/>
              <w:ind w:right="140"/>
              <w:jc w:val="right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223</w:t>
            </w:r>
            <w:r>
              <w:rPr>
                <w:sz w:val="22"/>
                <w:szCs w:val="22"/>
                <w:lang w:eastAsia="cs-CZ"/>
              </w:rPr>
              <w:t>,</w:t>
            </w:r>
            <w:r w:rsidRPr="00A64108">
              <w:rPr>
                <w:sz w:val="22"/>
                <w:szCs w:val="22"/>
                <w:lang w:eastAsia="cs-CZ"/>
              </w:rPr>
              <w:t>44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415C" w14:textId="77777777" w:rsidR="00A64108" w:rsidRPr="00A64108" w:rsidRDefault="00A64108" w:rsidP="0059090E">
            <w:pPr>
              <w:pStyle w:val="Zkladn"/>
              <w:keepNext/>
              <w:ind w:right="140"/>
              <w:jc w:val="right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39</w:t>
            </w:r>
            <w:r>
              <w:rPr>
                <w:sz w:val="22"/>
                <w:szCs w:val="22"/>
                <w:lang w:eastAsia="cs-CZ"/>
              </w:rPr>
              <w:t>,</w:t>
            </w:r>
            <w:r w:rsidRPr="00A64108">
              <w:rPr>
                <w:sz w:val="22"/>
                <w:szCs w:val="22"/>
                <w:lang w:eastAsia="cs-CZ"/>
              </w:rPr>
              <w:t>43</w:t>
            </w:r>
          </w:p>
        </w:tc>
      </w:tr>
      <w:tr w:rsidR="00A64108" w:rsidRPr="00A64108" w14:paraId="014A86EA" w14:textId="77777777" w:rsidTr="0059090E">
        <w:trPr>
          <w:trHeight w:val="283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CDCDE" w14:textId="77777777" w:rsidR="00A64108" w:rsidRPr="00A64108" w:rsidRDefault="00A64108" w:rsidP="00EE43B3">
            <w:pPr>
              <w:pStyle w:val="Zkladn"/>
              <w:keepNext/>
              <w:jc w:val="center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24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2FCD" w14:textId="77777777" w:rsidR="00A64108" w:rsidRPr="00A64108" w:rsidRDefault="00A64108" w:rsidP="00EE43B3">
            <w:pPr>
              <w:pStyle w:val="Zkladn"/>
              <w:keepNext/>
              <w:jc w:val="left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Výstavba a modernizace přestupních terminálů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0AEC0" w14:textId="77777777" w:rsidR="00A64108" w:rsidRPr="00A64108" w:rsidRDefault="00A64108" w:rsidP="0059090E">
            <w:pPr>
              <w:pStyle w:val="Zkladn"/>
              <w:keepNext/>
              <w:ind w:right="140"/>
              <w:jc w:val="right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1</w:t>
            </w:r>
            <w:r>
              <w:rPr>
                <w:sz w:val="22"/>
                <w:szCs w:val="22"/>
                <w:lang w:eastAsia="cs-CZ"/>
              </w:rPr>
              <w:t> </w:t>
            </w:r>
            <w:r w:rsidRPr="00A64108">
              <w:rPr>
                <w:sz w:val="22"/>
                <w:szCs w:val="22"/>
                <w:lang w:eastAsia="cs-CZ"/>
              </w:rPr>
              <w:t>088</w:t>
            </w:r>
            <w:r>
              <w:rPr>
                <w:sz w:val="22"/>
                <w:szCs w:val="22"/>
                <w:lang w:eastAsia="cs-CZ"/>
              </w:rPr>
              <w:t>,</w:t>
            </w:r>
            <w:r w:rsidRPr="00A64108">
              <w:rPr>
                <w:sz w:val="22"/>
                <w:szCs w:val="22"/>
                <w:lang w:eastAsia="cs-CZ"/>
              </w:rPr>
              <w:t>00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CEF70" w14:textId="77777777" w:rsidR="00A64108" w:rsidRPr="00A64108" w:rsidRDefault="00A64108" w:rsidP="0059090E">
            <w:pPr>
              <w:pStyle w:val="Zkladn"/>
              <w:keepNext/>
              <w:ind w:right="140"/>
              <w:jc w:val="right"/>
              <w:rPr>
                <w:sz w:val="22"/>
                <w:szCs w:val="22"/>
                <w:lang w:eastAsia="cs-CZ"/>
              </w:rPr>
            </w:pPr>
            <w:r>
              <w:rPr>
                <w:sz w:val="22"/>
                <w:szCs w:val="22"/>
                <w:lang w:eastAsia="cs-CZ"/>
              </w:rPr>
              <w:t>64,</w:t>
            </w:r>
            <w:r w:rsidRPr="00A64108">
              <w:rPr>
                <w:sz w:val="22"/>
                <w:szCs w:val="22"/>
                <w:lang w:eastAsia="cs-CZ"/>
              </w:rPr>
              <w:t>00</w:t>
            </w:r>
          </w:p>
        </w:tc>
      </w:tr>
      <w:tr w:rsidR="00A64108" w:rsidRPr="00A64108" w14:paraId="28E1DEDE" w14:textId="77777777" w:rsidTr="0059090E">
        <w:trPr>
          <w:trHeight w:val="283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6FCA" w14:textId="77777777" w:rsidR="00A64108" w:rsidRPr="00A64108" w:rsidRDefault="00A64108" w:rsidP="00EE43B3">
            <w:pPr>
              <w:pStyle w:val="Zkladn"/>
              <w:keepNext/>
              <w:jc w:val="center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73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B5561" w14:textId="77777777" w:rsidR="00A64108" w:rsidRPr="00A64108" w:rsidRDefault="00A64108" w:rsidP="00EE43B3">
            <w:pPr>
              <w:pStyle w:val="Zkladn"/>
              <w:keepNext/>
              <w:jc w:val="left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Výstavba a modernizace přestupních terminálů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23AC" w14:textId="77777777" w:rsidR="00A64108" w:rsidRPr="00A64108" w:rsidRDefault="00A64108" w:rsidP="0059090E">
            <w:pPr>
              <w:pStyle w:val="Zkladn"/>
              <w:keepNext/>
              <w:ind w:right="140"/>
              <w:jc w:val="right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569</w:t>
            </w:r>
            <w:r>
              <w:rPr>
                <w:sz w:val="22"/>
                <w:szCs w:val="22"/>
                <w:lang w:eastAsia="cs-CZ"/>
              </w:rPr>
              <w:t>,</w:t>
            </w:r>
            <w:r w:rsidRPr="00A64108">
              <w:rPr>
                <w:sz w:val="22"/>
                <w:szCs w:val="22"/>
                <w:lang w:eastAsia="cs-CZ"/>
              </w:rPr>
              <w:t>50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04CDF" w14:textId="77777777" w:rsidR="00A64108" w:rsidRPr="00A64108" w:rsidRDefault="00A64108" w:rsidP="0059090E">
            <w:pPr>
              <w:pStyle w:val="Zkladn"/>
              <w:keepNext/>
              <w:ind w:right="140"/>
              <w:jc w:val="right"/>
              <w:rPr>
                <w:sz w:val="22"/>
                <w:szCs w:val="22"/>
                <w:lang w:eastAsia="cs-CZ"/>
              </w:rPr>
            </w:pPr>
            <w:r w:rsidRPr="00A64108">
              <w:rPr>
                <w:sz w:val="22"/>
                <w:szCs w:val="22"/>
                <w:lang w:eastAsia="cs-CZ"/>
              </w:rPr>
              <w:t>33</w:t>
            </w:r>
            <w:r>
              <w:rPr>
                <w:sz w:val="22"/>
                <w:szCs w:val="22"/>
                <w:lang w:eastAsia="cs-CZ"/>
              </w:rPr>
              <w:t>,</w:t>
            </w:r>
            <w:r w:rsidRPr="00A64108">
              <w:rPr>
                <w:sz w:val="22"/>
                <w:szCs w:val="22"/>
                <w:lang w:eastAsia="cs-CZ"/>
              </w:rPr>
              <w:t>50</w:t>
            </w:r>
          </w:p>
        </w:tc>
      </w:tr>
    </w:tbl>
    <w:p w14:paraId="7C2FB054" w14:textId="77777777" w:rsidR="00CA6397" w:rsidRPr="00073CAE" w:rsidRDefault="00CA6397" w:rsidP="00C76074">
      <w:pPr>
        <w:pStyle w:val="Zkladn"/>
        <w:keepNext/>
        <w:spacing w:before="40"/>
        <w:ind w:left="567" w:hanging="567"/>
        <w:rPr>
          <w:sz w:val="20"/>
          <w:szCs w:val="20"/>
        </w:rPr>
      </w:pPr>
      <w:r w:rsidRPr="00073CAE">
        <w:rPr>
          <w:b/>
          <w:sz w:val="20"/>
          <w:szCs w:val="20"/>
        </w:rPr>
        <w:t>Zdroj:</w:t>
      </w:r>
      <w:r w:rsidRPr="00073CAE">
        <w:rPr>
          <w:sz w:val="20"/>
          <w:szCs w:val="20"/>
        </w:rPr>
        <w:tab/>
      </w:r>
      <w:r w:rsidRPr="00804148">
        <w:rPr>
          <w:i/>
          <w:sz w:val="20"/>
          <w:szCs w:val="20"/>
        </w:rPr>
        <w:t>MS2014+</w:t>
      </w:r>
      <w:r w:rsidRPr="00073CAE">
        <w:rPr>
          <w:sz w:val="20"/>
          <w:szCs w:val="20"/>
        </w:rPr>
        <w:t>.</w:t>
      </w:r>
    </w:p>
    <w:p w14:paraId="4C8C83DF" w14:textId="77777777" w:rsidR="0028728A" w:rsidRPr="00073CAE" w:rsidRDefault="00CA6397" w:rsidP="00073CAE">
      <w:pPr>
        <w:pStyle w:val="KZnormln"/>
        <w:ind w:left="567" w:hanging="567"/>
        <w:rPr>
          <w:sz w:val="20"/>
          <w:szCs w:val="20"/>
        </w:rPr>
      </w:pPr>
      <w:r w:rsidRPr="00073CAE">
        <w:rPr>
          <w:b/>
          <w:sz w:val="20"/>
          <w:szCs w:val="20"/>
        </w:rPr>
        <w:t>Pozn.</w:t>
      </w:r>
      <w:r w:rsidRPr="00073CAE">
        <w:rPr>
          <w:sz w:val="20"/>
          <w:szCs w:val="20"/>
        </w:rPr>
        <w:t>:</w:t>
      </w:r>
      <w:r w:rsidRPr="00073CAE">
        <w:rPr>
          <w:sz w:val="20"/>
          <w:szCs w:val="20"/>
        </w:rPr>
        <w:tab/>
        <w:t>Alokace jsou uvedeny ve znění schválených změn do května 2019.</w:t>
      </w:r>
    </w:p>
    <w:p w14:paraId="45ABD781" w14:textId="77777777" w:rsidR="00C13517" w:rsidRPr="00C13517" w:rsidRDefault="00C13517" w:rsidP="007B5B68">
      <w:pPr>
        <w:pStyle w:val="Rmeek"/>
        <w:spacing w:after="0"/>
        <w:ind w:right="284"/>
      </w:pPr>
      <w:r>
        <w:lastRenderedPageBreak/>
        <w:t>Systém</w:t>
      </w:r>
      <w:r w:rsidRPr="00C13517">
        <w:t xml:space="preserve"> v oblasti použití správného druhu výzev z hlediska za</w:t>
      </w:r>
      <w:r>
        <w:t>cílení, dodržování harmonogramu vyhlášení, vlastní administrace výzev včetně jejich změn</w:t>
      </w:r>
      <w:r w:rsidR="003366BD">
        <w:t>,</w:t>
      </w:r>
      <w:r>
        <w:t xml:space="preserve"> nastavilo MMR v roli ŘO IROP v souladu s požadavky na něj kladenými.</w:t>
      </w:r>
    </w:p>
    <w:p w14:paraId="38C61F61" w14:textId="77777777" w:rsidR="00D979C8" w:rsidRDefault="001A7010" w:rsidP="00C76074">
      <w:pPr>
        <w:pStyle w:val="Nadpis4"/>
        <w:spacing w:before="120" w:after="120"/>
      </w:pPr>
      <w:r>
        <w:t xml:space="preserve">Alokace výzev pro individuální projekty je z velké části směřována </w:t>
      </w:r>
      <w:r w:rsidR="007B5B68">
        <w:t>do území ITI</w:t>
      </w:r>
    </w:p>
    <w:p w14:paraId="23AEAB2D" w14:textId="77777777" w:rsidR="001A7010" w:rsidRDefault="001A7010" w:rsidP="00C76074">
      <w:pPr>
        <w:pStyle w:val="Zkladn"/>
        <w:spacing w:before="120" w:after="120"/>
      </w:pPr>
      <w:r>
        <w:t>N</w:t>
      </w:r>
      <w:r w:rsidRPr="001A7010">
        <w:t>a základě hodnocení projektových žádostí v kolových výzvách na podporu individuálních projektů uspěly a podporu obdržely i projekty realizované v územích ITI</w:t>
      </w:r>
      <w:r>
        <w:t>. Tyto projekty</w:t>
      </w:r>
      <w:r w:rsidRPr="001A7010">
        <w:t xml:space="preserve"> mohou získávat podporu z IROP v rámci výzvy č. 50.</w:t>
      </w:r>
      <w:r w:rsidR="00823C28">
        <w:t xml:space="preserve"> </w:t>
      </w:r>
      <w:r w:rsidRPr="001A7010">
        <w:t xml:space="preserve"> </w:t>
      </w:r>
    </w:p>
    <w:p w14:paraId="6231D724" w14:textId="03CC58FC" w:rsidR="00DC01FB" w:rsidRDefault="007A6619" w:rsidP="0059090E">
      <w:pPr>
        <w:pStyle w:val="Nadpistabulky"/>
        <w:tabs>
          <w:tab w:val="clear" w:pos="1418"/>
          <w:tab w:val="clear" w:pos="9213"/>
          <w:tab w:val="right" w:pos="9071"/>
        </w:tabs>
        <w:ind w:left="993" w:hanging="993"/>
      </w:pPr>
      <w:r>
        <w:rPr>
          <w:b w:val="0"/>
          <w:noProof/>
          <w:sz w:val="20"/>
          <w:szCs w:val="20"/>
          <w:lang w:eastAsia="cs-CZ"/>
        </w:rPr>
        <w:drawing>
          <wp:anchor distT="0" distB="0" distL="114300" distR="114300" simplePos="0" relativeHeight="251659273" behindDoc="0" locked="0" layoutInCell="1" allowOverlap="1" wp14:anchorId="24EA3569" wp14:editId="2D46B94E">
            <wp:simplePos x="0" y="0"/>
            <wp:positionH relativeFrom="column">
              <wp:posOffset>1270</wp:posOffset>
            </wp:positionH>
            <wp:positionV relativeFrom="paragraph">
              <wp:posOffset>435610</wp:posOffset>
            </wp:positionV>
            <wp:extent cx="5998210" cy="3655695"/>
            <wp:effectExtent l="0" t="0" r="2540" b="1905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65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C27">
        <w:t>Graf</w:t>
      </w:r>
      <w:r w:rsidR="00DC01FB">
        <w:t xml:space="preserve"> č. </w:t>
      </w:r>
      <w:r w:rsidR="00513C27" w:rsidRPr="009B6B54">
        <w:t>6</w:t>
      </w:r>
      <w:r w:rsidR="00DC01FB" w:rsidRPr="009B6B54">
        <w:t>:</w:t>
      </w:r>
      <w:r w:rsidR="00DC01FB">
        <w:tab/>
        <w:t>Územní rozdělení alokace zdrojů EU kolových výzev pro</w:t>
      </w:r>
      <w:r w:rsidR="00513C27">
        <w:t xml:space="preserve"> individuální projekty</w:t>
      </w:r>
      <w:r w:rsidR="00513C27">
        <w:tab/>
      </w:r>
      <w:r w:rsidR="00DC01FB">
        <w:t>(</w:t>
      </w:r>
      <w:r w:rsidR="0059090E">
        <w:t>v </w:t>
      </w:r>
      <w:r w:rsidR="00DC01FB">
        <w:t xml:space="preserve">mil. </w:t>
      </w:r>
      <w:r w:rsidR="00513C27">
        <w:t>Kč)</w:t>
      </w:r>
    </w:p>
    <w:p w14:paraId="2D1767DB" w14:textId="64B8EFC5" w:rsidR="00DC01FB" w:rsidRPr="00073CAE" w:rsidRDefault="00DC01FB" w:rsidP="00DC01FB">
      <w:pPr>
        <w:pStyle w:val="Zkladn"/>
        <w:keepNext/>
        <w:ind w:left="567" w:hanging="567"/>
        <w:rPr>
          <w:sz w:val="20"/>
          <w:szCs w:val="20"/>
        </w:rPr>
      </w:pPr>
      <w:r w:rsidRPr="00073CAE">
        <w:rPr>
          <w:b/>
          <w:sz w:val="20"/>
          <w:szCs w:val="20"/>
        </w:rPr>
        <w:t>Zdroj:</w:t>
      </w:r>
      <w:r w:rsidRPr="00073CAE">
        <w:rPr>
          <w:sz w:val="20"/>
          <w:szCs w:val="20"/>
        </w:rPr>
        <w:tab/>
      </w:r>
      <w:r w:rsidR="0059090E">
        <w:rPr>
          <w:sz w:val="20"/>
          <w:szCs w:val="20"/>
        </w:rPr>
        <w:t xml:space="preserve">graficky zpracoval </w:t>
      </w:r>
      <w:r>
        <w:rPr>
          <w:sz w:val="20"/>
          <w:szCs w:val="20"/>
        </w:rPr>
        <w:t xml:space="preserve">NKÚ </w:t>
      </w:r>
      <w:r w:rsidR="0059090E">
        <w:rPr>
          <w:sz w:val="20"/>
          <w:szCs w:val="20"/>
        </w:rPr>
        <w:t xml:space="preserve">podle </w:t>
      </w:r>
      <w:r>
        <w:rPr>
          <w:sz w:val="20"/>
          <w:szCs w:val="20"/>
        </w:rPr>
        <w:t>dat poskytnutých MMR</w:t>
      </w:r>
      <w:r w:rsidRPr="00073CAE">
        <w:rPr>
          <w:sz w:val="20"/>
          <w:szCs w:val="20"/>
        </w:rPr>
        <w:t>.</w:t>
      </w:r>
    </w:p>
    <w:p w14:paraId="470A950C" w14:textId="340EAA32" w:rsidR="00823C28" w:rsidRDefault="00823C28" w:rsidP="00C76074">
      <w:pPr>
        <w:pStyle w:val="Rmeek"/>
        <w:spacing w:before="120"/>
        <w:ind w:right="284"/>
      </w:pPr>
      <w:r>
        <w:t>Podstatnou</w:t>
      </w:r>
      <w:r w:rsidRPr="001A7010">
        <w:t xml:space="preserve"> část </w:t>
      </w:r>
      <w:r>
        <w:t>alokovaných zdrojů EU v aktivitě „</w:t>
      </w:r>
      <w:proofErr w:type="spellStart"/>
      <w:r>
        <w:t>Nízkoemisní</w:t>
      </w:r>
      <w:proofErr w:type="spellEnd"/>
      <w:r>
        <w:t xml:space="preserve"> a bezemisní vozidla“ (výzva č. 20) a „Telematika“ (výzva č. 22) schválilo MMR </w:t>
      </w:r>
      <w:r w:rsidRPr="001A7010">
        <w:t>v právních aktech o poskytnutí podpory ve prospěch projektů realizovaných v území ITI</w:t>
      </w:r>
      <w:r>
        <w:t xml:space="preserve"> (viz graf č. </w:t>
      </w:r>
      <w:r w:rsidR="00513C27" w:rsidRPr="009B6B54">
        <w:t>6</w:t>
      </w:r>
      <w:r w:rsidRPr="009B6B54">
        <w:t>). Individuální</w:t>
      </w:r>
      <w:r>
        <w:t xml:space="preserve"> projekty nepodléhají posouzení souladu se strategiemi integrovaného území a nemusí tak </w:t>
      </w:r>
      <w:r w:rsidR="003B4EEB">
        <w:t xml:space="preserve">přispívat k ucelenému </w:t>
      </w:r>
      <w:r>
        <w:t>řešení územních problémů.</w:t>
      </w:r>
    </w:p>
    <w:p w14:paraId="61519F0E" w14:textId="77777777" w:rsidR="009E0500" w:rsidRPr="00081C28" w:rsidRDefault="00D979C8" w:rsidP="00C76074">
      <w:pPr>
        <w:pStyle w:val="Nadpis4"/>
        <w:spacing w:before="120" w:after="120"/>
      </w:pPr>
      <w:r w:rsidRPr="00081C28">
        <w:t xml:space="preserve">Vstupní data </w:t>
      </w:r>
      <w:r w:rsidR="00DC01FB" w:rsidRPr="00081C28">
        <w:t>pro hodnocení přijatelnosti</w:t>
      </w:r>
      <w:r w:rsidRPr="00081C28">
        <w:t xml:space="preserve"> nebyla ověřována</w:t>
      </w:r>
    </w:p>
    <w:p w14:paraId="134FCE34" w14:textId="31A40972" w:rsidR="009E0500" w:rsidRPr="00081C28" w:rsidRDefault="00D979C8" w:rsidP="00C76074">
      <w:pPr>
        <w:pStyle w:val="KZnormln"/>
        <w:spacing w:before="120"/>
      </w:pPr>
      <w:r w:rsidRPr="00081C28">
        <w:t>Součástí hodnocení individuálních projektů je ověření splnění podmínek přijatelnosti a</w:t>
      </w:r>
      <w:r w:rsidR="002F36FB" w:rsidRPr="00081C28">
        <w:t> </w:t>
      </w:r>
      <w:r w:rsidRPr="00081C28">
        <w:t xml:space="preserve">formálních náležitostí žádostí o podporu a věcné hodnocení těchto žádostí. Provedení hodnocení individuálních projektů bylo v rámci implementace a řízení IROP delegováno </w:t>
      </w:r>
      <w:proofErr w:type="gramStart"/>
      <w:r w:rsidRPr="00081C28">
        <w:t>na</w:t>
      </w:r>
      <w:proofErr w:type="gramEnd"/>
      <w:r w:rsidRPr="00081C28">
        <w:t xml:space="preserve"> CRR.</w:t>
      </w:r>
    </w:p>
    <w:p w14:paraId="77A66CDD" w14:textId="77777777" w:rsidR="00D979C8" w:rsidRPr="00081C28" w:rsidRDefault="00D979C8" w:rsidP="00C76074">
      <w:pPr>
        <w:pStyle w:val="KZnormln"/>
        <w:spacing w:before="120"/>
      </w:pPr>
      <w:r w:rsidRPr="00081C28">
        <w:rPr>
          <w:lang w:eastAsia="cs-CZ"/>
        </w:rPr>
        <w:t xml:space="preserve">V rámci nastaveného systému hodnocení předložených žádostí o podporu v rámci SC 1.2 IROP nebylo řádně ověřováno specifické kritérium přijatelnosti ohledně dat a výpočtů obsažených </w:t>
      </w:r>
      <w:r w:rsidRPr="00081C28">
        <w:rPr>
          <w:lang w:eastAsia="cs-CZ"/>
        </w:rPr>
        <w:lastRenderedPageBreak/>
        <w:t>v CBA/finanční analýze</w:t>
      </w:r>
      <w:r w:rsidRPr="00081C28">
        <w:rPr>
          <w:rFonts w:eastAsiaTheme="majorEastAsia"/>
          <w:vertAlign w:val="superscript"/>
          <w:lang w:eastAsia="cs-CZ"/>
        </w:rPr>
        <w:footnoteReference w:id="35"/>
      </w:r>
      <w:r w:rsidRPr="00081C28">
        <w:rPr>
          <w:lang w:eastAsia="cs-CZ"/>
        </w:rPr>
        <w:t xml:space="preserve">. Uvedené kritérium vyjadřovalo, zda projekt </w:t>
      </w:r>
      <w:r w:rsidRPr="00081C28">
        <w:t>s celkovými způsobilými výdaji vyššími než 100 mil. Kč dosáhne minimálně stanovené hodnoty ukazatelů</w:t>
      </w:r>
      <w:r w:rsidR="00C201A0" w:rsidRPr="00081C28">
        <w:t xml:space="preserve">. Ukazatelem je </w:t>
      </w:r>
      <w:r w:rsidRPr="00081C28">
        <w:t>čistá současná hodnota v rámci ekonomické návratnosti investice</w:t>
      </w:r>
      <w:r w:rsidR="00C201A0" w:rsidRPr="00081C28">
        <w:t xml:space="preserve"> a pro splnění kritéria musela dosáhnout kladné hodnoty</w:t>
      </w:r>
      <w:r w:rsidRPr="00081C28">
        <w:t xml:space="preserve">. </w:t>
      </w:r>
      <w:r w:rsidR="00C201A0" w:rsidRPr="00081C28">
        <w:t xml:space="preserve">Do výpočtu ukazatele vstupují data zadávaná příjemcem přímo do </w:t>
      </w:r>
      <w:r w:rsidR="00C201A0" w:rsidRPr="00804148">
        <w:rPr>
          <w:i/>
        </w:rPr>
        <w:t>MS2014+</w:t>
      </w:r>
      <w:r w:rsidR="00C201A0" w:rsidRPr="00081C28">
        <w:rPr>
          <w:rStyle w:val="Znakapoznpodarou"/>
        </w:rPr>
        <w:footnoteReference w:id="36"/>
      </w:r>
      <w:r w:rsidR="00C201A0" w:rsidRPr="00081C28">
        <w:t xml:space="preserve">, která CRR neověřovalo z hlediska relevantnosti. Dílčí ověřování podle kritérií v rámci hodnocení žádosti o podporu z hlediska přijatelnosti nezahrnovalo ověření pravdivosti těchto vstupních dat. </w:t>
      </w:r>
      <w:r w:rsidRPr="00081C28">
        <w:t xml:space="preserve">V procesu hodnocení </w:t>
      </w:r>
      <w:r w:rsidR="00C201A0" w:rsidRPr="00081C28">
        <w:t xml:space="preserve">tak </w:t>
      </w:r>
      <w:r w:rsidRPr="00081C28">
        <w:t>nebylo možné odhalit</w:t>
      </w:r>
      <w:r w:rsidR="00C201A0" w:rsidRPr="00081C28">
        <w:t xml:space="preserve"> chybné údaje ovlivňují</w:t>
      </w:r>
      <w:r w:rsidR="00C24464" w:rsidRPr="00081C28">
        <w:t>cí výslednou hodnotu ukazate</w:t>
      </w:r>
      <w:r w:rsidR="00C201A0" w:rsidRPr="00081C28">
        <w:t>le</w:t>
      </w:r>
      <w:r w:rsidR="00C24464" w:rsidRPr="00081C28">
        <w:t xml:space="preserve">. Při použití správných vstupních dat </w:t>
      </w:r>
      <w:r w:rsidR="00E676EA" w:rsidRPr="00081C28">
        <w:t xml:space="preserve">u žádostí s tímto nedostatkem </w:t>
      </w:r>
      <w:r w:rsidR="00C24464" w:rsidRPr="00081C28">
        <w:t xml:space="preserve">bez změny dalších parametrů </w:t>
      </w:r>
      <w:r w:rsidR="00B85FF9" w:rsidRPr="00081C28">
        <w:t>vychází</w:t>
      </w:r>
      <w:r w:rsidRPr="00081C28">
        <w:t xml:space="preserve"> čistá současná hodnota v rámci ekonomické návratnosti investice záporná.    </w:t>
      </w:r>
    </w:p>
    <w:p w14:paraId="464DA39C" w14:textId="53C624E6" w:rsidR="00D979C8" w:rsidRPr="00081C28" w:rsidRDefault="00D979C8" w:rsidP="00C76074">
      <w:pPr>
        <w:pStyle w:val="Rmeek"/>
        <w:spacing w:before="120"/>
      </w:pPr>
      <w:r w:rsidRPr="00081C28">
        <w:t xml:space="preserve">MMR v roli ŘO IROP nedostatečně stanovilo postupy pro hodnocení </w:t>
      </w:r>
      <w:r w:rsidR="00E85769" w:rsidRPr="00081C28">
        <w:t>efektivnosti projekt</w:t>
      </w:r>
      <w:r w:rsidR="00EC1978" w:rsidRPr="00081C28">
        <w:t>ů</w:t>
      </w:r>
      <w:r w:rsidR="00B85FF9" w:rsidRPr="00081C28">
        <w:t xml:space="preserve"> ze SC 1.2 IROP</w:t>
      </w:r>
      <w:r w:rsidRPr="00081C28">
        <w:t xml:space="preserve"> </w:t>
      </w:r>
      <w:r w:rsidR="00B85FF9" w:rsidRPr="00081C28">
        <w:t>z hlediska přijatelnosti</w:t>
      </w:r>
      <w:r w:rsidRPr="00081C28">
        <w:t xml:space="preserve">. Ze strany MMR jako ŘO IROP nebyla respektována zásada řádného finančního řízení stanovená ve </w:t>
      </w:r>
      <w:r w:rsidR="00E13704">
        <w:t>f</w:t>
      </w:r>
      <w:r w:rsidRPr="00081C28">
        <w:t>inančním nařízení</w:t>
      </w:r>
      <w:r w:rsidRPr="00081C28">
        <w:rPr>
          <w:rFonts w:eastAsiaTheme="majorEastAsia"/>
          <w:vertAlign w:val="superscript"/>
        </w:rPr>
        <w:footnoteReference w:id="37"/>
      </w:r>
      <w:r w:rsidRPr="00081C28">
        <w:t xml:space="preserve">. MMR v roli ŘO IROP nepostupovalo v souladu s </w:t>
      </w:r>
      <w:r w:rsidR="00E13704">
        <w:t>o</w:t>
      </w:r>
      <w:r w:rsidRPr="00081C28">
        <w:t>becným nařízením</w:t>
      </w:r>
      <w:r w:rsidRPr="00081C28">
        <w:rPr>
          <w:rFonts w:eastAsiaTheme="majorEastAsia"/>
          <w:vertAlign w:val="superscript"/>
        </w:rPr>
        <w:footnoteReference w:id="38"/>
      </w:r>
      <w:r w:rsidRPr="00081C28">
        <w:t>, neboť neřídilo proces v souladu se zásadou řádného finančního nařízení a neuplatnilo vhodné postupy při výběru operací.</w:t>
      </w:r>
      <w:r w:rsidR="00B85FF9" w:rsidRPr="00081C28">
        <w:t xml:space="preserve"> Nedostatek v systému </w:t>
      </w:r>
      <w:r w:rsidR="00B85FF9" w:rsidRPr="00000EAC">
        <w:rPr>
          <w:szCs w:val="24"/>
        </w:rPr>
        <w:t xml:space="preserve">hodnocení </w:t>
      </w:r>
      <w:r w:rsidR="00B85FF9" w:rsidRPr="00000EAC">
        <w:rPr>
          <w:rFonts w:eastAsiaTheme="minorHAnsi"/>
          <w:color w:val="auto"/>
          <w:szCs w:val="24"/>
        </w:rPr>
        <w:t>vede</w:t>
      </w:r>
      <w:r w:rsidR="00B85FF9" w:rsidRPr="00081C28">
        <w:rPr>
          <w:rFonts w:eastAsiaTheme="minorHAnsi"/>
          <w:color w:val="auto"/>
          <w:sz w:val="22"/>
        </w:rPr>
        <w:t xml:space="preserve"> </w:t>
      </w:r>
      <w:r w:rsidR="00B85FF9" w:rsidRPr="00081C28">
        <w:t>ve</w:t>
      </w:r>
      <w:r w:rsidR="00B85FF9" w:rsidRPr="00081C28">
        <w:rPr>
          <w:rFonts w:eastAsiaTheme="minorHAnsi"/>
          <w:color w:val="auto"/>
          <w:sz w:val="22"/>
        </w:rPr>
        <w:t xml:space="preserve"> </w:t>
      </w:r>
      <w:r w:rsidR="00B85FF9" w:rsidRPr="00081C28">
        <w:rPr>
          <w:rFonts w:eastAsiaTheme="minorHAnsi"/>
        </w:rPr>
        <w:t xml:space="preserve">smyslu ustanovení </w:t>
      </w:r>
      <w:r w:rsidR="00E13704">
        <w:rPr>
          <w:rFonts w:eastAsiaTheme="minorHAnsi"/>
        </w:rPr>
        <w:t>o</w:t>
      </w:r>
      <w:r w:rsidR="00B85FF9" w:rsidRPr="00081C28">
        <w:rPr>
          <w:rFonts w:eastAsiaTheme="minorHAnsi"/>
        </w:rPr>
        <w:t>becného nařízení</w:t>
      </w:r>
      <w:r w:rsidR="00B85FF9" w:rsidRPr="00081C28">
        <w:rPr>
          <w:rFonts w:eastAsiaTheme="minorHAnsi"/>
          <w:vertAlign w:val="superscript"/>
        </w:rPr>
        <w:footnoteReference w:id="39"/>
      </w:r>
      <w:r w:rsidR="00B85FF9" w:rsidRPr="00081C28">
        <w:rPr>
          <w:rFonts w:eastAsiaTheme="minorHAnsi"/>
        </w:rPr>
        <w:t xml:space="preserve"> ke vzniku systémové nesrovnalosti, neboť existuje vysoká pravděpodobnost, že se zjištěný nedostatek bude vyskytovat i u dalších projektů.</w:t>
      </w:r>
    </w:p>
    <w:p w14:paraId="650A3FF3" w14:textId="73827F2B" w:rsidR="00B85FF9" w:rsidRPr="00804148" w:rsidRDefault="00B85FF9" w:rsidP="00B85FF9">
      <w:pPr>
        <w:pStyle w:val="Pklady-modrrmeek"/>
        <w:rPr>
          <w:b/>
        </w:rPr>
      </w:pPr>
      <w:r w:rsidRPr="00804148">
        <w:rPr>
          <w:b/>
        </w:rPr>
        <w:t xml:space="preserve">Příklady </w:t>
      </w:r>
      <w:r w:rsidR="00EC4DA6" w:rsidRPr="00804148">
        <w:rPr>
          <w:b/>
        </w:rPr>
        <w:t>žádostí o podporu</w:t>
      </w:r>
      <w:r w:rsidRPr="00804148">
        <w:rPr>
          <w:b/>
        </w:rPr>
        <w:t>, ve kterých byla použita chybná</w:t>
      </w:r>
      <w:r w:rsidR="00EC4DA6" w:rsidRPr="00804148">
        <w:rPr>
          <w:b/>
        </w:rPr>
        <w:t xml:space="preserve"> vstupní data pro výpočet ukazatele čisté současné hodnoty v rámci ekonomické návratnosti investice</w:t>
      </w:r>
      <w:r w:rsidRPr="00804148">
        <w:rPr>
          <w:b/>
        </w:rPr>
        <w:t>:</w:t>
      </w:r>
    </w:p>
    <w:p w14:paraId="55444B88" w14:textId="77777777" w:rsidR="00EC4DA6" w:rsidRPr="00081C28" w:rsidRDefault="00097083" w:rsidP="00B85FF9">
      <w:pPr>
        <w:pStyle w:val="Pklady-modrrmeek"/>
      </w:pPr>
      <w:r w:rsidRPr="00081C28">
        <w:t xml:space="preserve">Dva příjemci </w:t>
      </w:r>
      <w:r w:rsidR="00081C28">
        <w:t>v</w:t>
      </w:r>
      <w:r w:rsidR="00E60FFA" w:rsidRPr="00081C28">
        <w:t xml:space="preserve"> žádosti o podporu projektů</w:t>
      </w:r>
      <w:r w:rsidRPr="00081C28">
        <w:rPr>
          <w:rStyle w:val="Znakapoznpodarou"/>
        </w:rPr>
        <w:footnoteReference w:id="40"/>
      </w:r>
      <w:r w:rsidR="00EC4DA6" w:rsidRPr="00081C28">
        <w:t xml:space="preserve"> </w:t>
      </w:r>
      <w:r w:rsidR="00B85FF9" w:rsidRPr="00081C28">
        <w:t>uvedl</w:t>
      </w:r>
      <w:r w:rsidR="00EC4DA6" w:rsidRPr="00081C28">
        <w:t>y</w:t>
      </w:r>
      <w:r w:rsidR="00B85FF9" w:rsidRPr="00081C28">
        <w:t xml:space="preserve"> chybná vstupní data pro výpočet </w:t>
      </w:r>
      <w:r w:rsidR="00EC4DA6" w:rsidRPr="00081C28">
        <w:t>ukazatele</w:t>
      </w:r>
      <w:r w:rsidR="00B85FF9" w:rsidRPr="00081C28">
        <w:t xml:space="preserve">. </w:t>
      </w:r>
    </w:p>
    <w:p w14:paraId="3847704B" w14:textId="33C0A424" w:rsidR="00B85FF9" w:rsidRPr="00081C28" w:rsidRDefault="00B85FF9" w:rsidP="00B85FF9">
      <w:pPr>
        <w:pStyle w:val="Pklady-modrrmeek"/>
      </w:pPr>
      <w:r w:rsidRPr="00081C28">
        <w:t xml:space="preserve">Při výpočtu socioekonomického dopadu </w:t>
      </w:r>
      <w:r w:rsidR="00E60FFA" w:rsidRPr="00081C28">
        <w:t xml:space="preserve">první příjemce </w:t>
      </w:r>
      <w:r w:rsidRPr="00081C28">
        <w:t xml:space="preserve">nekalkuloval s polovinou obyvatel, která měla být projektem dotčena, ale kalkuloval s hodnotou 50krát vyšší. Výsledek socioekonomického dopadu projektu byl tedy 50krát nadhodnocen. V případě použití správného výpočtu socioekonomického dopadu projektu by čistá </w:t>
      </w:r>
      <w:r w:rsidR="00EC4DA6" w:rsidRPr="00081C28">
        <w:t xml:space="preserve">současná </w:t>
      </w:r>
      <w:r w:rsidRPr="00081C28">
        <w:t xml:space="preserve">hodnota v rámci ekonomické návratnosti projektu byla záporná.   </w:t>
      </w:r>
    </w:p>
    <w:p w14:paraId="27ABB1BB" w14:textId="3EB89CF1" w:rsidR="00B85FF9" w:rsidRPr="00081C28" w:rsidRDefault="00E60FFA" w:rsidP="00B85FF9">
      <w:pPr>
        <w:pStyle w:val="Pklady-modrrmeek"/>
      </w:pPr>
      <w:r w:rsidRPr="00081C28">
        <w:lastRenderedPageBreak/>
        <w:t xml:space="preserve">Druhý příjemce </w:t>
      </w:r>
      <w:r w:rsidR="00B85FF9" w:rsidRPr="00081C28">
        <w:t>měl při výpočtu socioekonomického dopadu vycházet z hodnoty 3 528 (tj.</w:t>
      </w:r>
      <w:r w:rsidR="009A0D60">
        <w:t> </w:t>
      </w:r>
      <w:r w:rsidR="00B85FF9" w:rsidRPr="00081C28">
        <w:t xml:space="preserve">zvýšení počtu přepravených cestujících v důsledku realizace projektu za rok). Při samotném výpočtu socioekonomického dopadu bylo toto číslo násobeno celkovým počtem dní v roce (tj. 365krát). Výsledek socioekonomického dopadu projektu byl tedy 365krát nadhodnocen. V případě použití správného výpočtu socioekonomického dopadu projektu by skutečně čistá hodnota v rámci ekonomické návratnosti projektu byla záporná.   </w:t>
      </w:r>
    </w:p>
    <w:p w14:paraId="00B53850" w14:textId="77777777" w:rsidR="00B85FF9" w:rsidRPr="00B85FF9" w:rsidRDefault="00062154" w:rsidP="00C76074">
      <w:pPr>
        <w:pStyle w:val="KZnormln"/>
        <w:spacing w:before="120"/>
        <w:rPr>
          <w:lang w:eastAsia="cs-CZ"/>
        </w:rPr>
      </w:pPr>
      <w:r w:rsidRPr="00081C28">
        <w:rPr>
          <w:lang w:eastAsia="cs-CZ"/>
        </w:rPr>
        <w:t>Pokud</w:t>
      </w:r>
      <w:r w:rsidR="00B85FF9" w:rsidRPr="00081C28">
        <w:rPr>
          <w:lang w:eastAsia="cs-CZ"/>
        </w:rPr>
        <w:t xml:space="preserve"> by byl v IROP nastaven řádný postup pro ověření relevantnosti vstupních dat použitých v CBA/finanční analýze, nesplnily by </w:t>
      </w:r>
      <w:r w:rsidR="00EC4DA6" w:rsidRPr="00081C28">
        <w:rPr>
          <w:lang w:eastAsia="cs-CZ"/>
        </w:rPr>
        <w:t>žádosti o podporu</w:t>
      </w:r>
      <w:r w:rsidR="00B85FF9" w:rsidRPr="00081C28">
        <w:rPr>
          <w:lang w:eastAsia="cs-CZ"/>
        </w:rPr>
        <w:t xml:space="preserve"> uvedené v</w:t>
      </w:r>
      <w:r w:rsidR="00EC4DA6" w:rsidRPr="00081C28">
        <w:rPr>
          <w:lang w:eastAsia="cs-CZ"/>
        </w:rPr>
        <w:t> </w:t>
      </w:r>
      <w:r w:rsidR="00B85FF9" w:rsidRPr="00081C28">
        <w:rPr>
          <w:lang w:eastAsia="cs-CZ"/>
        </w:rPr>
        <w:t>příkladech</w:t>
      </w:r>
      <w:r w:rsidR="00EC4DA6" w:rsidRPr="00081C28">
        <w:rPr>
          <w:lang w:eastAsia="cs-CZ"/>
        </w:rPr>
        <w:t xml:space="preserve"> výše</w:t>
      </w:r>
      <w:r w:rsidR="00B85FF9" w:rsidRPr="00081C28">
        <w:rPr>
          <w:lang w:eastAsia="cs-CZ"/>
        </w:rPr>
        <w:t xml:space="preserve"> specifické kritérium přijatelnosti. V jejich případě mělo tedy dojít k výzvě žadatele k napravení chybných údajů a doplnění dat, které by mohlo ovlivnit hodnotu výsledku, protože kritérium je napravitelné. Pokud by žadatel data nenapravil nebo nedoplnil, neměl</w:t>
      </w:r>
      <w:r w:rsidR="00EC4DA6" w:rsidRPr="00081C28">
        <w:rPr>
          <w:lang w:eastAsia="cs-CZ"/>
        </w:rPr>
        <w:t xml:space="preserve">o MMR </w:t>
      </w:r>
      <w:r w:rsidRPr="00081C28">
        <w:rPr>
          <w:lang w:eastAsia="cs-CZ"/>
        </w:rPr>
        <w:t xml:space="preserve">v roli ŘO IROP </w:t>
      </w:r>
      <w:r w:rsidR="00EC4DA6" w:rsidRPr="00081C28">
        <w:rPr>
          <w:lang w:eastAsia="cs-CZ"/>
        </w:rPr>
        <w:t>podporu přiznat vůbec, neboť kritérium má vylučovací charakter</w:t>
      </w:r>
      <w:r w:rsidR="00B85FF9" w:rsidRPr="00081C28">
        <w:rPr>
          <w:lang w:eastAsia="cs-CZ"/>
        </w:rPr>
        <w:t>.</w:t>
      </w:r>
    </w:p>
    <w:p w14:paraId="3D5BF8FF" w14:textId="2A186FDC" w:rsidR="009E0500" w:rsidRPr="00E13704" w:rsidRDefault="00E13704" w:rsidP="00E13704">
      <w:pPr>
        <w:pStyle w:val="Nadpis3"/>
        <w:numPr>
          <w:ilvl w:val="0"/>
          <w:numId w:val="0"/>
        </w:numPr>
        <w:spacing w:before="120" w:after="120"/>
        <w:rPr>
          <w:i w:val="0"/>
        </w:rPr>
      </w:pPr>
      <w:r>
        <w:rPr>
          <w:i w:val="0"/>
        </w:rPr>
        <w:t xml:space="preserve">6.2 </w:t>
      </w:r>
      <w:r w:rsidR="00D311B5" w:rsidRPr="00E13704">
        <w:rPr>
          <w:i w:val="0"/>
        </w:rPr>
        <w:t>Řízení výzev a hodnocení žádostí o podporu p</w:t>
      </w:r>
      <w:r w:rsidR="009E0500" w:rsidRPr="00E13704">
        <w:rPr>
          <w:i w:val="0"/>
        </w:rPr>
        <w:t>rojekt</w:t>
      </w:r>
      <w:r w:rsidR="00D311B5" w:rsidRPr="00E13704">
        <w:rPr>
          <w:i w:val="0"/>
        </w:rPr>
        <w:t>ů</w:t>
      </w:r>
      <w:r w:rsidR="009E0500" w:rsidRPr="00E13704">
        <w:rPr>
          <w:i w:val="0"/>
        </w:rPr>
        <w:t xml:space="preserve"> ITI</w:t>
      </w:r>
    </w:p>
    <w:p w14:paraId="0C6C1539" w14:textId="1DF8C15F" w:rsidR="00495886" w:rsidRPr="00495886" w:rsidRDefault="00495886" w:rsidP="00C76074">
      <w:pPr>
        <w:pStyle w:val="Nadpis4"/>
        <w:spacing w:before="120" w:after="120"/>
      </w:pPr>
      <w:r w:rsidRPr="00495886">
        <w:t xml:space="preserve">Výzvy </w:t>
      </w:r>
      <w:r w:rsidR="00E13704">
        <w:t>n</w:t>
      </w:r>
      <w:r w:rsidRPr="00495886">
        <w:t>ositelů ITI nesplňovaly všechny požadované náležitosti</w:t>
      </w:r>
    </w:p>
    <w:p w14:paraId="2976E33B" w14:textId="6B1F08B7" w:rsidR="00495886" w:rsidRPr="009B6B54" w:rsidRDefault="00495886" w:rsidP="00C76074">
      <w:pPr>
        <w:spacing w:before="120" w:after="120" w:line="240" w:lineRule="auto"/>
      </w:pPr>
      <w:r>
        <w:t xml:space="preserve">Nositelé ITI vyhlásili </w:t>
      </w:r>
      <w:r w:rsidR="00D311B5">
        <w:t>ke konci roku 2018 ve vazbě na v</w:t>
      </w:r>
      <w:r>
        <w:t>ýzvu č. 50 celkem 31 výzev</w:t>
      </w:r>
      <w:r>
        <w:rPr>
          <w:rStyle w:val="Znakapoznpodarou"/>
        </w:rPr>
        <w:footnoteReference w:id="41"/>
      </w:r>
      <w:r>
        <w:t xml:space="preserve"> k předkládání projektových záměrů se zaměřením na aktivity vozidla, teminály a telematika podle opatření určených jejich </w:t>
      </w:r>
      <w:r w:rsidR="00E13704">
        <w:t>s</w:t>
      </w:r>
      <w:r>
        <w:t xml:space="preserve">trategií ITI. V návaznosti na ně následně statutární města jako ZS ITI vyhlásila výzvy k předkládání žádostí o podporu s celkovou alokací 3 356 mil. Kč z EU. Podrobnosti o alokaci a zaměření výzev </w:t>
      </w:r>
      <w:r w:rsidR="00D311B5">
        <w:t>ZS ITI jsou uvedeny v grafu č</w:t>
      </w:r>
      <w:r w:rsidR="00D311B5" w:rsidRPr="009B6B54">
        <w:t xml:space="preserve">. </w:t>
      </w:r>
      <w:r w:rsidR="00513C27" w:rsidRPr="009B6B54">
        <w:t>7</w:t>
      </w:r>
      <w:r w:rsidR="00D311B5" w:rsidRPr="009B6B54">
        <w:t>.</w:t>
      </w:r>
    </w:p>
    <w:p w14:paraId="58DAD1DF" w14:textId="5ADF13D4" w:rsidR="00495886" w:rsidRDefault="00495886" w:rsidP="0059090E">
      <w:pPr>
        <w:pStyle w:val="Nadpistabulky"/>
        <w:tabs>
          <w:tab w:val="clear" w:pos="1418"/>
          <w:tab w:val="clear" w:pos="9213"/>
          <w:tab w:val="right" w:pos="9071"/>
        </w:tabs>
        <w:ind w:left="993" w:hanging="993"/>
      </w:pPr>
      <w:r w:rsidRPr="009B6B54">
        <w:t xml:space="preserve">Graf č. </w:t>
      </w:r>
      <w:r w:rsidR="00513C27" w:rsidRPr="009B6B54">
        <w:t>7</w:t>
      </w:r>
      <w:r w:rsidRPr="009B6B54">
        <w:t>:</w:t>
      </w:r>
      <w:r w:rsidRPr="009D2CC1">
        <w:tab/>
        <w:t xml:space="preserve">Alokace zdrojů EU a zaměření výzev ZS ITI vyhlášených ve vazbě na výzvu č. 50 </w:t>
      </w:r>
      <w:r>
        <w:tab/>
      </w:r>
      <w:r w:rsidRPr="00513C27">
        <w:t>(</w:t>
      </w:r>
      <w:r w:rsidR="0059090E">
        <w:t>v </w:t>
      </w:r>
      <w:r w:rsidR="00DC01FB" w:rsidRPr="00513C27">
        <w:t xml:space="preserve">mil. </w:t>
      </w:r>
      <w:r w:rsidRPr="00513C27">
        <w:t>Kč)</w:t>
      </w:r>
    </w:p>
    <w:p w14:paraId="5DB23A77" w14:textId="0AB8786C" w:rsidR="00C103B1" w:rsidRDefault="00F224EA" w:rsidP="00187006">
      <w:pPr>
        <w:pStyle w:val="Zkladn"/>
        <w:keepNext/>
        <w:spacing w:after="120"/>
        <w:ind w:left="567" w:hanging="567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cs-CZ"/>
        </w:rPr>
        <w:drawing>
          <wp:inline distT="0" distB="0" distL="0" distR="0" wp14:anchorId="3FED60DD" wp14:editId="5DB88219">
            <wp:extent cx="5983200" cy="3190715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00" cy="319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9DAFF" w14:textId="77777777" w:rsidR="00495886" w:rsidRPr="00187006" w:rsidRDefault="00495886" w:rsidP="00187006">
      <w:pPr>
        <w:pStyle w:val="Zkladn"/>
        <w:keepNext/>
        <w:spacing w:after="120"/>
        <w:ind w:left="567" w:hanging="567"/>
        <w:rPr>
          <w:sz w:val="20"/>
          <w:szCs w:val="20"/>
        </w:rPr>
      </w:pPr>
      <w:r w:rsidRPr="003A5DB0">
        <w:rPr>
          <w:b/>
          <w:sz w:val="20"/>
          <w:szCs w:val="20"/>
        </w:rPr>
        <w:t>Zdroj:</w:t>
      </w:r>
      <w:r w:rsidR="00187006">
        <w:rPr>
          <w:b/>
          <w:sz w:val="20"/>
          <w:szCs w:val="20"/>
        </w:rPr>
        <w:tab/>
      </w:r>
      <w:r w:rsidRPr="00804148">
        <w:rPr>
          <w:i/>
          <w:sz w:val="20"/>
          <w:szCs w:val="20"/>
        </w:rPr>
        <w:t>MS2014+</w:t>
      </w:r>
      <w:r w:rsidR="009B6B54">
        <w:rPr>
          <w:sz w:val="20"/>
          <w:szCs w:val="20"/>
        </w:rPr>
        <w:t xml:space="preserve"> a webové stránky IROP</w:t>
      </w:r>
      <w:r w:rsidR="00187006">
        <w:rPr>
          <w:sz w:val="20"/>
          <w:szCs w:val="20"/>
        </w:rPr>
        <w:t>.</w:t>
      </w:r>
    </w:p>
    <w:p w14:paraId="72D33476" w14:textId="12D99F04" w:rsidR="00495886" w:rsidRDefault="00495886" w:rsidP="00DB24C6">
      <w:pPr>
        <w:spacing w:before="120" w:after="120" w:line="240" w:lineRule="auto"/>
      </w:pPr>
      <w:r>
        <w:t xml:space="preserve">NKÚ prověřil 19 výzev </w:t>
      </w:r>
      <w:r w:rsidR="00E622F5">
        <w:t>n</w:t>
      </w:r>
      <w:r>
        <w:t>ositelů ITI a na ně navázaných 19 výzev ZS ITI s celkovou alokací z EU ve</w:t>
      </w:r>
      <w:r w:rsidR="00E622F5">
        <w:t xml:space="preserve"> </w:t>
      </w:r>
      <w:r>
        <w:t>výši 2 </w:t>
      </w:r>
      <w:r w:rsidR="007A5BD6">
        <w:t>56</w:t>
      </w:r>
      <w:r>
        <w:t>0 </w:t>
      </w:r>
      <w:r w:rsidR="00C20BDF">
        <w:t>mil.</w:t>
      </w:r>
      <w:r>
        <w:t xml:space="preserve"> Kč a 134 </w:t>
      </w:r>
      <w:r w:rsidR="00C20BDF">
        <w:t>mil.</w:t>
      </w:r>
      <w:r>
        <w:t xml:space="preserve"> Kč ze SR.</w:t>
      </w:r>
    </w:p>
    <w:p w14:paraId="3A0F21F0" w14:textId="0511B3B7" w:rsidR="00D311B5" w:rsidRPr="009A7AFD" w:rsidRDefault="00495886" w:rsidP="00DB24C6">
      <w:pPr>
        <w:pStyle w:val="Rmeek"/>
        <w:spacing w:before="120"/>
      </w:pPr>
      <w:r w:rsidRPr="00081C28">
        <w:lastRenderedPageBreak/>
        <w:t xml:space="preserve">Ve 12 kontrolovaných výzvách </w:t>
      </w:r>
      <w:r w:rsidR="00E622F5">
        <w:t>n</w:t>
      </w:r>
      <w:r w:rsidRPr="00081C28">
        <w:t xml:space="preserve">ositelů ITI nebyly uvedeny požadované hodnoty indikátorů příslušného opatření integrované strategie, ačkoliv </w:t>
      </w:r>
      <w:r w:rsidR="00F20223">
        <w:rPr>
          <w:i/>
        </w:rPr>
        <w:t xml:space="preserve">Metodický pokyn pro využití integrovaných nástrojů v programovém období </w:t>
      </w:r>
      <w:r w:rsidR="00E20CC0">
        <w:rPr>
          <w:i/>
        </w:rPr>
        <w:t xml:space="preserve">2014–2020 </w:t>
      </w:r>
      <w:r w:rsidR="00E20CC0">
        <w:t>(dále též „MPIN“)</w:t>
      </w:r>
      <w:r w:rsidR="009A7AFD">
        <w:t xml:space="preserve"> </w:t>
      </w:r>
      <w:r w:rsidR="00A70B9E">
        <w:t>n</w:t>
      </w:r>
      <w:r w:rsidRPr="009A7AFD">
        <w:t xml:space="preserve">ositelům ITI uložil povinnost je vyčíslit. MMR jako řídicí orgán IROP tuto skutečnost při posouzení výzev </w:t>
      </w:r>
      <w:r w:rsidR="00A70B9E">
        <w:t>n</w:t>
      </w:r>
      <w:r w:rsidRPr="009A7AFD">
        <w:t xml:space="preserve">ositelů ITI před vyhlášením neověřoval. </w:t>
      </w:r>
    </w:p>
    <w:p w14:paraId="7195C22F" w14:textId="737C3F33" w:rsidR="0027044A" w:rsidRDefault="00495886" w:rsidP="00DB24C6">
      <w:pPr>
        <w:pStyle w:val="Zkladn"/>
        <w:spacing w:before="120" w:after="120"/>
      </w:pPr>
      <w:r w:rsidRPr="009A7AFD">
        <w:t xml:space="preserve">Uvedení příslušných hodnot indikátorů ve výzvách </w:t>
      </w:r>
      <w:r w:rsidR="00A70B9E">
        <w:t>n</w:t>
      </w:r>
      <w:r w:rsidRPr="009A7AFD">
        <w:t>ositel</w:t>
      </w:r>
      <w:r w:rsidR="008F1FEE">
        <w:t>ů</w:t>
      </w:r>
      <w:r w:rsidRPr="009A7AFD">
        <w:t xml:space="preserve"> ITI by podle </w:t>
      </w:r>
      <w:r w:rsidR="00D311B5" w:rsidRPr="009A7AFD">
        <w:t xml:space="preserve">názoru </w:t>
      </w:r>
      <w:r w:rsidRPr="009A7AFD">
        <w:t>MMR mělo být pouze doporučující. Stanovení hodnot indikátorů ve výzvách by mohlo být vnímáno jako blokační, protože při nesplnění hodnoty indikátorů by nemohly být předložené projektové záměry posuzovány a dále administrovány.</w:t>
      </w:r>
      <w:r w:rsidR="009B6B54">
        <w:t xml:space="preserve"> NKÚ se s názorem MMR ztotožňuje, avšak</w:t>
      </w:r>
      <w:r w:rsidRPr="009A7AFD">
        <w:t xml:space="preserve"> </w:t>
      </w:r>
      <w:r w:rsidR="009B6B54">
        <w:t>p</w:t>
      </w:r>
      <w:r w:rsidRPr="009A7AFD">
        <w:t>ro zrušení závaznosti tohoto ustanovení musí MMR vydat změnu MPIN, ve které příslušné ustanovení upraví. Ke dni ukončení kontroly NKÚ žádné takové opatření přijato nebylo.</w:t>
      </w:r>
    </w:p>
    <w:p w14:paraId="685220A5" w14:textId="2AD3715A" w:rsidR="0028728A" w:rsidRPr="003342B7" w:rsidRDefault="0028728A" w:rsidP="00DB24C6">
      <w:pPr>
        <w:pStyle w:val="Nadpis4"/>
        <w:spacing w:before="120" w:after="120"/>
      </w:pPr>
      <w:r w:rsidRPr="003342B7">
        <w:t>Posouzení p</w:t>
      </w:r>
      <w:r w:rsidR="003342B7" w:rsidRPr="003342B7">
        <w:t xml:space="preserve">rojektových záměrů </w:t>
      </w:r>
      <w:r w:rsidR="00A70B9E">
        <w:t>n</w:t>
      </w:r>
      <w:r w:rsidR="003342B7" w:rsidRPr="003342B7">
        <w:t xml:space="preserve">ositelem ITI nezahrnovalo hodnocení </w:t>
      </w:r>
      <w:proofErr w:type="spellStart"/>
      <w:r w:rsidR="003342B7" w:rsidRPr="003342B7">
        <w:t>integrovanosti</w:t>
      </w:r>
      <w:proofErr w:type="spellEnd"/>
      <w:r w:rsidR="003342B7" w:rsidRPr="003342B7">
        <w:t xml:space="preserve"> projektů</w:t>
      </w:r>
    </w:p>
    <w:p w14:paraId="31BB39B3" w14:textId="5A0C4E28" w:rsidR="005E012B" w:rsidRDefault="003342B7" w:rsidP="00DB24C6">
      <w:pPr>
        <w:pStyle w:val="KZnormln"/>
        <w:spacing w:before="120"/>
      </w:pPr>
      <w:r>
        <w:t>Řídicí výbory ITI posuzovaly projektové záměry zejména z hlediska jejich souladu s integrovanou strategií a měly je koordinovat tak, aby realizací projektů v daném území bylo dosaženo co největší synergie. Podstatou integrovaných projektů je zejména to, že mají vazbu na jiné projekty a z toho plynoucí schopnost využít svého potenciálu pro vytváření synergií a</w:t>
      </w:r>
      <w:r w:rsidR="00DB24C6">
        <w:t> </w:t>
      </w:r>
      <w:r>
        <w:t xml:space="preserve">komplementarit. </w:t>
      </w:r>
      <w:r w:rsidR="008F48EE">
        <w:t>Pouze</w:t>
      </w:r>
      <w:r w:rsidRPr="003342B7">
        <w:t xml:space="preserve"> dva </w:t>
      </w:r>
      <w:r w:rsidR="008F1FEE">
        <w:t>n</w:t>
      </w:r>
      <w:r w:rsidRPr="003342B7">
        <w:t>ositelé ITI měli v hodnot</w:t>
      </w:r>
      <w:r w:rsidR="008F1FEE">
        <w:t>i</w:t>
      </w:r>
      <w:r w:rsidRPr="003342B7">
        <w:t xml:space="preserve">cích kritériích pro posouzení souladu předkládaných projektových záměrů zahrnuto posouzení </w:t>
      </w:r>
      <w:proofErr w:type="spellStart"/>
      <w:r w:rsidRPr="003342B7">
        <w:t>integrovanosti</w:t>
      </w:r>
      <w:proofErr w:type="spellEnd"/>
      <w:r w:rsidRPr="003342B7">
        <w:t xml:space="preserve"> projektů. </w:t>
      </w:r>
    </w:p>
    <w:p w14:paraId="76A1671C" w14:textId="15409C92" w:rsidR="003342B7" w:rsidRPr="003342B7" w:rsidRDefault="008F48EE" w:rsidP="00DB24C6">
      <w:pPr>
        <w:pStyle w:val="Rmeek"/>
        <w:spacing w:before="120"/>
      </w:pPr>
      <w:r>
        <w:t xml:space="preserve">Statutární města Brno a Olomouc v roli </w:t>
      </w:r>
      <w:r w:rsidR="008F1FEE">
        <w:t>n</w:t>
      </w:r>
      <w:r>
        <w:t>ositel</w:t>
      </w:r>
      <w:r w:rsidR="008F1FEE">
        <w:t>ů</w:t>
      </w:r>
      <w:r>
        <w:t xml:space="preserve"> ITI skutečně hodnotila</w:t>
      </w:r>
      <w:r w:rsidR="003342B7" w:rsidRPr="003342B7">
        <w:t xml:space="preserve"> vazbu posuzovaného projektového záměru na jiné připravované nebo již realizované projekt</w:t>
      </w:r>
      <w:r>
        <w:t xml:space="preserve">y v daném území. Zbývající čtyři statutární města v roli </w:t>
      </w:r>
      <w:r w:rsidR="008F1FEE">
        <w:t>n</w:t>
      </w:r>
      <w:r w:rsidR="003342B7" w:rsidRPr="003342B7">
        <w:t>ositelů ITI</w:t>
      </w:r>
      <w:r w:rsidR="005E012B">
        <w:t xml:space="preserve"> </w:t>
      </w:r>
      <w:r>
        <w:t>neposuzovala</w:t>
      </w:r>
      <w:r w:rsidR="003342B7" w:rsidRPr="003342B7">
        <w:t xml:space="preserve"> vazbu na jiné projekty. Jejich hodnot</w:t>
      </w:r>
      <w:r w:rsidR="008F1FEE">
        <w:t>i</w:t>
      </w:r>
      <w:r w:rsidR="003342B7" w:rsidRPr="003342B7">
        <w:t xml:space="preserve">cí kritéria neobsahovala žádné kritérium, ze kterého by bylo zřejmé, že se </w:t>
      </w:r>
      <w:r w:rsidR="008F1FEE">
        <w:t>ř</w:t>
      </w:r>
      <w:r w:rsidR="003342B7" w:rsidRPr="003342B7">
        <w:t xml:space="preserve">ídicí výbor ITI zabýval posouzením toho, zda se prostředky z ESIF využívají integrovaně. </w:t>
      </w:r>
    </w:p>
    <w:p w14:paraId="28FD8A45" w14:textId="2D08843A" w:rsidR="003342B7" w:rsidRDefault="005E012B" w:rsidP="00DB24C6">
      <w:pPr>
        <w:pStyle w:val="KZnormln"/>
        <w:spacing w:before="120"/>
      </w:pPr>
      <w:r>
        <w:t>Výstupem z posouzení projektových záměrů prováděné</w:t>
      </w:r>
      <w:r w:rsidR="00AA7CA8">
        <w:t>ho</w:t>
      </w:r>
      <w:r>
        <w:t xml:space="preserve"> </w:t>
      </w:r>
      <w:r w:rsidR="008F1FEE">
        <w:t>ř</w:t>
      </w:r>
      <w:r w:rsidR="00F20223">
        <w:t xml:space="preserve">ídicím </w:t>
      </w:r>
      <w:r w:rsidR="008F1FEE">
        <w:t>v</w:t>
      </w:r>
      <w:r w:rsidR="00F20223">
        <w:t>ýborem</w:t>
      </w:r>
      <w:r>
        <w:t xml:space="preserve"> ITI</w:t>
      </w:r>
      <w:r w:rsidR="00F20223">
        <w:t xml:space="preserve"> (dále též „</w:t>
      </w:r>
      <w:r>
        <w:t>ŘV</w:t>
      </w:r>
      <w:r w:rsidR="008F1FEE">
        <w:t> </w:t>
      </w:r>
      <w:r>
        <w:t>ITI</w:t>
      </w:r>
      <w:r w:rsidR="00F20223">
        <w:t>“)</w:t>
      </w:r>
      <w:r>
        <w:t xml:space="preserve"> je </w:t>
      </w:r>
      <w:r w:rsidR="008F1FEE">
        <w:rPr>
          <w:i/>
        </w:rPr>
        <w:t>v</w:t>
      </w:r>
      <w:r w:rsidRPr="005E012B">
        <w:rPr>
          <w:i/>
        </w:rPr>
        <w:t>yjádření o souladu projektového záměru s integrovanou strategií</w:t>
      </w:r>
      <w:r>
        <w:t>, které má povahu doporučení k realizaci projektu pro ŘO IROP. V</w:t>
      </w:r>
      <w:r w:rsidR="003342B7">
        <w:t xml:space="preserve">e vzorku </w:t>
      </w:r>
      <w:r w:rsidR="003342B7" w:rsidRPr="001E792C">
        <w:t>34 kontrolovaných projektových záměrů</w:t>
      </w:r>
      <w:r w:rsidR="003342B7">
        <w:t xml:space="preserve"> ŘV ITI v </w:t>
      </w:r>
      <w:r w:rsidR="00941739">
        <w:t>šes</w:t>
      </w:r>
      <w:r w:rsidR="003342B7">
        <w:t xml:space="preserve">ti případech neuvedl ve </w:t>
      </w:r>
      <w:r w:rsidR="008F1FEE">
        <w:rPr>
          <w:i/>
        </w:rPr>
        <w:t>v</w:t>
      </w:r>
      <w:r w:rsidR="003342B7" w:rsidRPr="005E012B">
        <w:rPr>
          <w:i/>
        </w:rPr>
        <w:t>yjádření o souladu projektového záměru s integrovanou strategií</w:t>
      </w:r>
      <w:r w:rsidR="003342B7">
        <w:t xml:space="preserve"> přehled souvisejících projektových </w:t>
      </w:r>
      <w:r w:rsidR="003342B7" w:rsidRPr="004769D1">
        <w:t>záměrů v rámci integrovaného řešení, ačkoliv</w:t>
      </w:r>
      <w:r w:rsidR="003342B7">
        <w:t xml:space="preserve"> mu tato povinnost byla stanovena</w:t>
      </w:r>
      <w:r>
        <w:t xml:space="preserve"> v</w:t>
      </w:r>
      <w:r w:rsidR="002F36FB">
        <w:t> </w:t>
      </w:r>
      <w:r>
        <w:t>MPIN</w:t>
      </w:r>
      <w:r w:rsidR="003342B7">
        <w:t xml:space="preserve">. </w:t>
      </w:r>
      <w:r>
        <w:t>Řídicí výbor</w:t>
      </w:r>
      <w:r w:rsidR="003342B7">
        <w:t xml:space="preserve"> ITI </w:t>
      </w:r>
      <w:r>
        <w:t xml:space="preserve">u </w:t>
      </w:r>
      <w:r w:rsidR="00941739">
        <w:t>šesti</w:t>
      </w:r>
      <w:r>
        <w:t xml:space="preserve"> projektových záměrů </w:t>
      </w:r>
      <w:r w:rsidR="00401C45">
        <w:t xml:space="preserve">buď </w:t>
      </w:r>
      <w:r w:rsidR="00941739">
        <w:t>neuvedl</w:t>
      </w:r>
      <w:r w:rsidR="003342B7">
        <w:t xml:space="preserve"> žádný související projektov</w:t>
      </w:r>
      <w:r>
        <w:t>ý záměr předkládaný do jiných specifických cílů IROP nebo do jiného operačního programu</w:t>
      </w:r>
      <w:r w:rsidR="008F1FEE">
        <w:t>,</w:t>
      </w:r>
      <w:r w:rsidR="003342B7">
        <w:t xml:space="preserve"> anebo </w:t>
      </w:r>
      <w:r w:rsidR="00941739">
        <w:t>konstatoval</w:t>
      </w:r>
      <w:r w:rsidR="003342B7">
        <w:t xml:space="preserve">, že s předmětným projektovým záměrem žádný další nesouvisí. </w:t>
      </w:r>
    </w:p>
    <w:p w14:paraId="21AE3E87" w14:textId="3AC5673C" w:rsidR="005E012B" w:rsidRDefault="005E012B" w:rsidP="00DB24C6">
      <w:pPr>
        <w:pStyle w:val="Rmeek"/>
        <w:spacing w:before="120"/>
        <w:ind w:right="284"/>
      </w:pPr>
      <w:r>
        <w:t xml:space="preserve">U </w:t>
      </w:r>
      <w:r w:rsidR="00941739">
        <w:t>šesti</w:t>
      </w:r>
      <w:r>
        <w:t xml:space="preserve"> projektových záměrů tak existovalo riziko, že ŘV ITI </w:t>
      </w:r>
      <w:r w:rsidRPr="0089736B">
        <w:t>vydal</w:t>
      </w:r>
      <w:r w:rsidRPr="005E012B">
        <w:rPr>
          <w:i/>
        </w:rPr>
        <w:t xml:space="preserve"> </w:t>
      </w:r>
      <w:r w:rsidR="008F1FEE">
        <w:rPr>
          <w:i/>
        </w:rPr>
        <w:t>v</w:t>
      </w:r>
      <w:r w:rsidRPr="005E012B">
        <w:rPr>
          <w:i/>
        </w:rPr>
        <w:t>yjádření o souladu projektového záměru s</w:t>
      </w:r>
      <w:r>
        <w:t> </w:t>
      </w:r>
      <w:r>
        <w:rPr>
          <w:i/>
        </w:rPr>
        <w:t>integrovanou strategií</w:t>
      </w:r>
      <w:r>
        <w:t xml:space="preserve"> pro projekt ITI, který nebyl integrovaný.</w:t>
      </w:r>
    </w:p>
    <w:p w14:paraId="33306AC5" w14:textId="77777777" w:rsidR="0028728A" w:rsidRDefault="00073CAE" w:rsidP="00DB24C6">
      <w:pPr>
        <w:pStyle w:val="Nadpis4"/>
        <w:spacing w:before="120" w:after="120"/>
      </w:pPr>
      <w:r>
        <w:t>Pro hodnocení projektů ITI z hlediska hospodárnosti a efektivnosti n</w:t>
      </w:r>
      <w:r w:rsidR="007B5B68">
        <w:t>ebyla stanovena vhodná kritéria</w:t>
      </w:r>
    </w:p>
    <w:p w14:paraId="637CE2FA" w14:textId="21249FFC" w:rsidR="003314FD" w:rsidRDefault="00D859C2" w:rsidP="00DB24C6">
      <w:pPr>
        <w:pStyle w:val="KZnormln"/>
        <w:spacing w:before="120"/>
      </w:pPr>
      <w:r>
        <w:t>Zprostředkující subjekty</w:t>
      </w:r>
      <w:r w:rsidR="003314FD">
        <w:t xml:space="preserve"> ITI nastavily pro hodnocení integrovaných projektů objektivní a</w:t>
      </w:r>
      <w:r w:rsidR="00980C0B">
        <w:t> </w:t>
      </w:r>
      <w:r w:rsidR="003314FD">
        <w:t xml:space="preserve">relevantní kritéria, která zajišťovala soulad projektů s cíli výzvy, </w:t>
      </w:r>
      <w:r w:rsidR="008F1FEE">
        <w:t>s</w:t>
      </w:r>
      <w:r w:rsidR="003314FD">
        <w:t xml:space="preserve">trategiemi ITI a IROP. </w:t>
      </w:r>
      <w:r w:rsidR="00687122">
        <w:t>K</w:t>
      </w:r>
      <w:r w:rsidR="003314FD">
        <w:t xml:space="preserve">ritéria hodnotila přijatelnost projektů, splnění formálních náležitostí a posuzovala předkládané projekty z hlediska potřebnosti a účelnosti. </w:t>
      </w:r>
    </w:p>
    <w:p w14:paraId="45B176E4" w14:textId="50EB5102" w:rsidR="00D859C2" w:rsidRDefault="003314FD" w:rsidP="00DB24C6">
      <w:pPr>
        <w:pStyle w:val="Rmeek"/>
        <w:spacing w:before="120"/>
      </w:pPr>
      <w:r>
        <w:lastRenderedPageBreak/>
        <w:t xml:space="preserve">U všech kontrolovaných ZS ITI měla zohledňovat některá ze stanovených kritérií i aspekt hospodárnosti a efektivnosti, ale </w:t>
      </w:r>
      <w:r w:rsidR="00D859C2">
        <w:t xml:space="preserve">ve skutečnosti </w:t>
      </w:r>
      <w:r>
        <w:t xml:space="preserve">žádné posuzování efektivnosti ani hospodárnosti projektů neprobíhalo. Výjimkou bylo jedno kritérium ZS ITI </w:t>
      </w:r>
      <w:r w:rsidR="008F1FEE">
        <w:t>o</w:t>
      </w:r>
      <w:r>
        <w:t xml:space="preserve">lomoucké aglomerace, které skutečně hodnotilo projektové žádosti z hlediska hospodárnosti. </w:t>
      </w:r>
      <w:r w:rsidR="00D13A0D">
        <w:t>Pouze v jediném</w:t>
      </w:r>
      <w:r w:rsidR="00D859C2">
        <w:t xml:space="preserve"> případě byla skutečně hodnocena efektivnost projektových žádostí</w:t>
      </w:r>
      <w:r w:rsidR="008F1FEE">
        <w:t>,</w:t>
      </w:r>
      <w:r w:rsidR="00D859C2">
        <w:t xml:space="preserve"> a</w:t>
      </w:r>
      <w:r w:rsidR="008F1FEE">
        <w:t> </w:t>
      </w:r>
      <w:r w:rsidR="00D859C2">
        <w:t xml:space="preserve">to u ZS ITI </w:t>
      </w:r>
      <w:r w:rsidR="008F1FEE">
        <w:t>ú</w:t>
      </w:r>
      <w:r w:rsidR="00D859C2">
        <w:t>stecko-chomutovské aglomerace.</w:t>
      </w:r>
      <w:r w:rsidR="00896660">
        <w:t xml:space="preserve"> Ostatní kritéria všech ZS ITI efektivnost projektů nehodnotila, ačkoliv některým z nich byl přiřazen aspekt efektivnosti.</w:t>
      </w:r>
    </w:p>
    <w:p w14:paraId="3A947F52" w14:textId="192707F1" w:rsidR="00D859C2" w:rsidRPr="0089736B" w:rsidRDefault="00D859C2" w:rsidP="00141BDB">
      <w:pPr>
        <w:pStyle w:val="Pklady-modrrmeek"/>
        <w:rPr>
          <w:b/>
        </w:rPr>
      </w:pPr>
      <w:r w:rsidRPr="0089736B">
        <w:rPr>
          <w:b/>
        </w:rPr>
        <w:t>Příklad</w:t>
      </w:r>
      <w:r w:rsidR="00896660" w:rsidRPr="0089736B">
        <w:rPr>
          <w:b/>
        </w:rPr>
        <w:t>y</w:t>
      </w:r>
      <w:r w:rsidRPr="0089736B">
        <w:rPr>
          <w:b/>
        </w:rPr>
        <w:t xml:space="preserve"> správné</w:t>
      </w:r>
      <w:r w:rsidR="00896660" w:rsidRPr="0089736B">
        <w:rPr>
          <w:b/>
        </w:rPr>
        <w:t xml:space="preserve"> aplikace</w:t>
      </w:r>
      <w:r w:rsidR="008F1FEE" w:rsidRPr="0089736B">
        <w:rPr>
          <w:b/>
        </w:rPr>
        <w:t xml:space="preserve"> </w:t>
      </w:r>
      <w:r w:rsidRPr="0089736B">
        <w:rPr>
          <w:b/>
        </w:rPr>
        <w:t>hlediska hospodárnosti</w:t>
      </w:r>
      <w:r w:rsidR="00731113" w:rsidRPr="0089736B">
        <w:rPr>
          <w:b/>
        </w:rPr>
        <w:t xml:space="preserve"> a</w:t>
      </w:r>
      <w:r w:rsidRPr="0089736B">
        <w:rPr>
          <w:b/>
        </w:rPr>
        <w:t xml:space="preserve"> efektivnosti</w:t>
      </w:r>
      <w:r w:rsidR="00896660" w:rsidRPr="0089736B">
        <w:rPr>
          <w:b/>
        </w:rPr>
        <w:t xml:space="preserve"> v kritériích pro hodnocení</w:t>
      </w:r>
      <w:r w:rsidRPr="0089736B">
        <w:rPr>
          <w:b/>
        </w:rPr>
        <w:t>:</w:t>
      </w:r>
    </w:p>
    <w:p w14:paraId="6DE54EA5" w14:textId="50352638" w:rsidR="003314FD" w:rsidRDefault="003314FD" w:rsidP="00141BDB">
      <w:pPr>
        <w:pStyle w:val="Pklady-modrrmeek"/>
      </w:pPr>
      <w:r>
        <w:t xml:space="preserve">Předložené projektové žádosti </w:t>
      </w:r>
      <w:r w:rsidR="00D859C2">
        <w:t xml:space="preserve">ZS ITI </w:t>
      </w:r>
      <w:r w:rsidR="00F334C9">
        <w:t>o</w:t>
      </w:r>
      <w:r w:rsidR="00D859C2">
        <w:t xml:space="preserve">lomoucké aglomerace </w:t>
      </w:r>
      <w:r>
        <w:t xml:space="preserve">byly posuzovány podle cen pořizovaných vozidel, kdy větším počtem bodů byly ohodnoceny projekty s nižší jednotkovou cenou podle stanovených limitů. </w:t>
      </w:r>
    </w:p>
    <w:p w14:paraId="1106F253" w14:textId="6053E562" w:rsidR="00D859C2" w:rsidRDefault="00D859C2" w:rsidP="00141BDB">
      <w:pPr>
        <w:pStyle w:val="Pklady-modrrmeek"/>
      </w:pPr>
      <w:r>
        <w:t xml:space="preserve">Hodnocení z hlediska efektivnosti bylo prováděno ZS ITI </w:t>
      </w:r>
      <w:r w:rsidR="00F334C9">
        <w:t>ú</w:t>
      </w:r>
      <w:r>
        <w:t xml:space="preserve">stecko-chomutovské aglomerace. </w:t>
      </w:r>
      <w:r w:rsidRPr="00D859C2">
        <w:t>Jedno z kritérií posuzovalo v rámci hodnocení efektivnosti také synergie předkládaných projektových žádostí.</w:t>
      </w:r>
    </w:p>
    <w:p w14:paraId="528B20A9" w14:textId="77777777" w:rsidR="0000274B" w:rsidRPr="0089736B" w:rsidRDefault="0000274B" w:rsidP="00141BDB">
      <w:pPr>
        <w:pStyle w:val="Pklady-modrrmeek"/>
        <w:rPr>
          <w:b/>
        </w:rPr>
      </w:pPr>
      <w:r w:rsidRPr="0089736B">
        <w:rPr>
          <w:b/>
        </w:rPr>
        <w:t>Příklady ne</w:t>
      </w:r>
      <w:r w:rsidR="0055201B" w:rsidRPr="0089736B">
        <w:rPr>
          <w:b/>
        </w:rPr>
        <w:t>vhodně</w:t>
      </w:r>
      <w:r w:rsidRPr="0089736B">
        <w:rPr>
          <w:b/>
        </w:rPr>
        <w:t xml:space="preserve"> stanovených kritérií</w:t>
      </w:r>
      <w:r w:rsidR="0055201B" w:rsidRPr="0089736B">
        <w:rPr>
          <w:b/>
        </w:rPr>
        <w:t xml:space="preserve"> pro hodnocení efektivnosti a hospodárnosti</w:t>
      </w:r>
      <w:r w:rsidRPr="0089736B">
        <w:rPr>
          <w:b/>
        </w:rPr>
        <w:t>:</w:t>
      </w:r>
    </w:p>
    <w:p w14:paraId="3E70CA50" w14:textId="38D7BAAC" w:rsidR="0000274B" w:rsidRPr="004D1E13" w:rsidRDefault="007F2B44" w:rsidP="00141BDB">
      <w:pPr>
        <w:pStyle w:val="Pklady-modrrmeek"/>
      </w:pPr>
      <w:r w:rsidRPr="004D1E13">
        <w:t>Většina ZS ITI stanovila</w:t>
      </w:r>
      <w:r w:rsidR="00EE61B5" w:rsidRPr="004D1E13">
        <w:t xml:space="preserve"> pro hodnocení efektivnosti projektů kritérium </w:t>
      </w:r>
      <w:r w:rsidR="00FE3EF5">
        <w:t>„</w:t>
      </w:r>
      <w:r w:rsidR="00F334C9">
        <w:t>p</w:t>
      </w:r>
      <w:r w:rsidR="00EE61B5" w:rsidRPr="004D1E13">
        <w:t>rojekt je v souladu s podmínkami výzvy ZS ITI</w:t>
      </w:r>
      <w:r w:rsidR="00FE3EF5">
        <w:t>“</w:t>
      </w:r>
      <w:r w:rsidR="00EE61B5" w:rsidRPr="004D1E13">
        <w:t xml:space="preserve">. Z dílčích otázek tohoto kritéria </w:t>
      </w:r>
      <w:r w:rsidR="00731113">
        <w:t>nebylo</w:t>
      </w:r>
      <w:r w:rsidR="00EE61B5" w:rsidRPr="004D1E13">
        <w:t xml:space="preserve"> patrné, že by byla hodnocena efektivnost, jelikož ZS ITI nehodnotily výsledky projektů ve vztahu k jejich rozpočtům, ale zabývaly se hodnocením termínů realizace, relevance cílových skupin</w:t>
      </w:r>
      <w:r w:rsidR="00F304D5" w:rsidRPr="004D1E13">
        <w:t xml:space="preserve">, dopadů přínosů projektů na cílové skupiny nebo procenty míry podpory podle typu žadatele. </w:t>
      </w:r>
    </w:p>
    <w:p w14:paraId="080E2D84" w14:textId="357C4C84" w:rsidR="007F2B44" w:rsidRPr="004D1E13" w:rsidRDefault="00B37AE3" w:rsidP="00C13147">
      <w:pPr>
        <w:pStyle w:val="Pklady-modrrmeek"/>
      </w:pPr>
      <w:r w:rsidRPr="004D1E13">
        <w:t>Aspekt hospodárnosti přiřadily v</w:t>
      </w:r>
      <w:r w:rsidR="007F2B44" w:rsidRPr="004D1E13">
        <w:t xml:space="preserve">šechny ZS ITI </w:t>
      </w:r>
      <w:r w:rsidRPr="004D1E13">
        <w:t xml:space="preserve">kritériím, ve kterých se reálně </w:t>
      </w:r>
      <w:r w:rsidRPr="004D1E13">
        <w:rPr>
          <w:rFonts w:cstheme="minorHAnsi"/>
        </w:rPr>
        <w:t>hodnotily</w:t>
      </w:r>
      <w:r w:rsidR="0038593C" w:rsidRPr="004D1E13">
        <w:rPr>
          <w:rFonts w:cstheme="minorHAnsi"/>
        </w:rPr>
        <w:t xml:space="preserve"> pouze minimální a maximální </w:t>
      </w:r>
      <w:r w:rsidR="00AF78FB" w:rsidRPr="004D1E13">
        <w:rPr>
          <w:rFonts w:cstheme="minorHAnsi"/>
        </w:rPr>
        <w:t>hranic</w:t>
      </w:r>
      <w:r w:rsidR="00AF78FB">
        <w:rPr>
          <w:rFonts w:cstheme="minorHAnsi"/>
        </w:rPr>
        <w:t>e</w:t>
      </w:r>
      <w:r w:rsidR="00AF78FB" w:rsidRPr="004D1E13">
        <w:rPr>
          <w:rFonts w:cstheme="minorHAnsi"/>
        </w:rPr>
        <w:t xml:space="preserve"> </w:t>
      </w:r>
      <w:r w:rsidRPr="004D1E13">
        <w:rPr>
          <w:rFonts w:cstheme="minorHAnsi"/>
        </w:rPr>
        <w:t>celkových způsobilých výdajů nebo</w:t>
      </w:r>
      <w:r w:rsidR="0038593C" w:rsidRPr="004D1E13">
        <w:rPr>
          <w:rFonts w:cstheme="minorHAnsi"/>
        </w:rPr>
        <w:t xml:space="preserve"> jejich limity, pokud </w:t>
      </w:r>
      <w:r w:rsidRPr="004D1E13">
        <w:rPr>
          <w:rFonts w:cstheme="minorHAnsi"/>
        </w:rPr>
        <w:t>byly výzvami</w:t>
      </w:r>
      <w:r w:rsidR="0038593C" w:rsidRPr="004D1E13">
        <w:rPr>
          <w:rFonts w:cstheme="minorHAnsi"/>
        </w:rPr>
        <w:t xml:space="preserve"> ZS ITI stanoveny</w:t>
      </w:r>
      <w:r w:rsidRPr="004D1E13">
        <w:t>. Faktické hodnocení hospodárnosti, tedy posouzení předpokládaných cen zdrojů na realizace projektů z hle</w:t>
      </w:r>
      <w:r w:rsidR="00C13147">
        <w:t xml:space="preserve">diska jejich obvyklosti v místě </w:t>
      </w:r>
      <w:r w:rsidRPr="004D1E13">
        <w:t>a</w:t>
      </w:r>
      <w:r w:rsidR="00C13147" w:rsidRPr="004D1E13">
        <w:t> </w:t>
      </w:r>
      <w:r w:rsidRPr="004D1E13">
        <w:t xml:space="preserve">čase, </w:t>
      </w:r>
      <w:r w:rsidR="004D1E13" w:rsidRPr="004D1E13">
        <w:t>ZS ITI neprováděly</w:t>
      </w:r>
      <w:r w:rsidR="00473879" w:rsidRPr="004D1E13">
        <w:t xml:space="preserve">. </w:t>
      </w:r>
    </w:p>
    <w:p w14:paraId="268BE5DE" w14:textId="7A9F0FDA" w:rsidR="003314FD" w:rsidRDefault="003314FD" w:rsidP="00DB24C6">
      <w:pPr>
        <w:pStyle w:val="Zkladn"/>
        <w:spacing w:before="120" w:after="120"/>
      </w:pPr>
      <w:r>
        <w:t>Věcné hodnocení projektů, tedy vyhodnocení kvality projektových žádostí předložených na</w:t>
      </w:r>
      <w:r w:rsidR="00F334C9">
        <w:t xml:space="preserve"> </w:t>
      </w:r>
      <w:r>
        <w:t xml:space="preserve">jednotlivé výzvy ZS ITI, prováděly pouze tři ze šesti kontrolovaných ZS ITI. Z toho ZS ITI </w:t>
      </w:r>
      <w:r w:rsidR="00F334C9">
        <w:t>p</w:t>
      </w:r>
      <w:r>
        <w:t>lzeňské metropolitní oblasti hodnotil projekty z věcného hlediska pouze u aktivity „Terminály“.</w:t>
      </w:r>
    </w:p>
    <w:p w14:paraId="35B5D434" w14:textId="77777777" w:rsidR="003314FD" w:rsidRPr="00491BC5" w:rsidRDefault="00A0617C" w:rsidP="00DB24C6">
      <w:pPr>
        <w:pStyle w:val="Nadpis4"/>
        <w:spacing w:before="120" w:after="120"/>
      </w:pPr>
      <w:r>
        <w:t>Žadatel</w:t>
      </w:r>
      <w:r w:rsidR="008F48EE">
        <w:t xml:space="preserve"> stanovil hodnoty indikátoru chybně a ZS ITI </w:t>
      </w:r>
      <w:r w:rsidR="005E012B">
        <w:t>chybu při</w:t>
      </w:r>
      <w:r w:rsidR="007B5B68">
        <w:t xml:space="preserve"> hodnocení nezjistil</w:t>
      </w:r>
    </w:p>
    <w:p w14:paraId="1B9A8D15" w14:textId="7FFD4CBD" w:rsidR="004C3BAD" w:rsidRDefault="00533BF0" w:rsidP="00DB24C6">
      <w:pPr>
        <w:spacing w:before="120" w:after="120" w:line="240" w:lineRule="auto"/>
      </w:pPr>
      <w:r>
        <w:t>Statutární město Ostrava v roli ZS ITI při hodnocení dvou ž</w:t>
      </w:r>
      <w:r w:rsidR="00491BC5">
        <w:t>ádostí o podporu nesprávně vyhodnotil</w:t>
      </w:r>
      <w:r w:rsidR="00E01BDF">
        <w:t>o</w:t>
      </w:r>
      <w:r w:rsidR="00491BC5">
        <w:t xml:space="preserve"> splnění napravitelného kritéria hodnocení zabývajícího se nastavením indikátoru </w:t>
      </w:r>
      <w:r w:rsidR="00D667C5" w:rsidRPr="00D667C5">
        <w:t>„</w:t>
      </w:r>
      <w:r w:rsidR="000103FE">
        <w:t>p</w:t>
      </w:r>
      <w:r w:rsidR="00491BC5" w:rsidRPr="00D667C5">
        <w:t>očet osob přepravených veřejnou dopravou</w:t>
      </w:r>
      <w:r w:rsidR="00D667C5" w:rsidRPr="00D667C5">
        <w:t>“</w:t>
      </w:r>
      <w:r w:rsidR="00491BC5" w:rsidRPr="00D667C5">
        <w:t>.</w:t>
      </w:r>
      <w:r w:rsidR="00491BC5">
        <w:t xml:space="preserve"> Příjemci v nich nenastavili vstupní a cílovou hodnotu indikátoru podle </w:t>
      </w:r>
      <w:r w:rsidR="000103FE">
        <w:rPr>
          <w:i/>
        </w:rPr>
        <w:t>m</w:t>
      </w:r>
      <w:r w:rsidR="00491BC5" w:rsidRPr="00D667C5">
        <w:rPr>
          <w:i/>
        </w:rPr>
        <w:t>etodických listů indikátorů</w:t>
      </w:r>
      <w:r w:rsidR="00491BC5">
        <w:t xml:space="preserve">, </w:t>
      </w:r>
      <w:r w:rsidR="00611DDE">
        <w:t xml:space="preserve">podle kterých </w:t>
      </w:r>
      <w:r w:rsidR="00491BC5">
        <w:t>měly být hodnoty stanoveny na základě reprezentativního sčítání ve vhodném úseku linek veřejné dopravy, na</w:t>
      </w:r>
      <w:r w:rsidR="000103FE">
        <w:t xml:space="preserve"> </w:t>
      </w:r>
      <w:r w:rsidR="00491BC5">
        <w:t xml:space="preserve">kterých budou podpořená vozidla běžně nasazována. </w:t>
      </w:r>
    </w:p>
    <w:p w14:paraId="13232F54" w14:textId="1BD4C4E8" w:rsidR="00491BC5" w:rsidRDefault="004C3BAD" w:rsidP="00DB24C6">
      <w:pPr>
        <w:pStyle w:val="Rmeek"/>
        <w:spacing w:before="120"/>
      </w:pPr>
      <w:r w:rsidRPr="00D311B5">
        <w:t xml:space="preserve">Nesprávné hodnoty o počtu osob přepravených veřejnou dopravou na úrovni projektů se následně promítají do </w:t>
      </w:r>
      <w:r w:rsidR="00D311B5" w:rsidRPr="00D311B5">
        <w:t>agregovaných</w:t>
      </w:r>
      <w:r w:rsidR="00491BC5" w:rsidRPr="00D311B5">
        <w:t xml:space="preserve"> </w:t>
      </w:r>
      <w:r w:rsidR="00D311B5" w:rsidRPr="00D311B5">
        <w:t>hodnot</w:t>
      </w:r>
      <w:r w:rsidR="00491BC5" w:rsidRPr="00D311B5">
        <w:t xml:space="preserve"> indikátoru </w:t>
      </w:r>
      <w:r w:rsidR="00D667C5" w:rsidRPr="00D311B5">
        <w:t>na SC 1.2</w:t>
      </w:r>
      <w:r w:rsidR="00491BC5" w:rsidRPr="00D311B5">
        <w:t xml:space="preserve"> IROP</w:t>
      </w:r>
      <w:r w:rsidR="000103FE">
        <w:t>,</w:t>
      </w:r>
      <w:r w:rsidR="00D311B5" w:rsidRPr="00D311B5">
        <w:t xml:space="preserve"> </w:t>
      </w:r>
      <w:r w:rsidR="000103FE">
        <w:t>takže</w:t>
      </w:r>
      <w:r w:rsidR="00D311B5" w:rsidRPr="00D311B5">
        <w:t xml:space="preserve"> neposkytují </w:t>
      </w:r>
      <w:r w:rsidR="00C20BDF">
        <w:t>věrohodné</w:t>
      </w:r>
      <w:r w:rsidR="00D311B5" w:rsidRPr="00D311B5">
        <w:t xml:space="preserve"> údaje o přínosu realizovaných opatření.</w:t>
      </w:r>
    </w:p>
    <w:p w14:paraId="4926046E" w14:textId="77777777" w:rsidR="004C3BAD" w:rsidRPr="0089736B" w:rsidRDefault="0027044A" w:rsidP="004D164D">
      <w:pPr>
        <w:pStyle w:val="Pklady-modrrmeek"/>
        <w:keepNext/>
        <w:ind w:right="284"/>
        <w:rPr>
          <w:b/>
        </w:rPr>
      </w:pPr>
      <w:r w:rsidRPr="0089736B">
        <w:rPr>
          <w:b/>
        </w:rPr>
        <w:lastRenderedPageBreak/>
        <w:t>Příklady c</w:t>
      </w:r>
      <w:r w:rsidR="004C3BAD" w:rsidRPr="0089736B">
        <w:rPr>
          <w:b/>
        </w:rPr>
        <w:t>hybné</w:t>
      </w:r>
      <w:r w:rsidRPr="0089736B">
        <w:rPr>
          <w:b/>
        </w:rPr>
        <w:t>ho</w:t>
      </w:r>
      <w:r w:rsidR="004C3BAD" w:rsidRPr="0089736B">
        <w:rPr>
          <w:b/>
        </w:rPr>
        <w:t xml:space="preserve"> nastavení indikátoru</w:t>
      </w:r>
      <w:r w:rsidRPr="0089736B">
        <w:rPr>
          <w:b/>
        </w:rPr>
        <w:t xml:space="preserve"> „Počet osob přepravených veřejnou dopravou“</w:t>
      </w:r>
      <w:r w:rsidR="004C3BAD" w:rsidRPr="0089736B">
        <w:rPr>
          <w:b/>
        </w:rPr>
        <w:t>:</w:t>
      </w:r>
    </w:p>
    <w:p w14:paraId="5284DD35" w14:textId="77777777" w:rsidR="004C3BAD" w:rsidRDefault="00F8532D" w:rsidP="004C3BAD">
      <w:pPr>
        <w:pStyle w:val="Pklady-modrrmeek"/>
      </w:pPr>
      <w:r>
        <w:t xml:space="preserve">Příjemce </w:t>
      </w:r>
      <w:r w:rsidR="004C3BAD">
        <w:t>u jednoho ze svých projektů</w:t>
      </w:r>
      <w:r w:rsidR="004C3BAD">
        <w:rPr>
          <w:rStyle w:val="Znakapoznpodarou"/>
        </w:rPr>
        <w:footnoteReference w:id="42"/>
      </w:r>
      <w:r w:rsidR="004C3BAD">
        <w:t xml:space="preserve">, který se vztahoval k autobusové a trolejbusové přepravě osob, zahrnul do výchozí a cílové hodnoty počet přepravených osob za celou síť MHD, tj. také </w:t>
      </w:r>
      <w:r w:rsidR="0051643A">
        <w:t>přepravených</w:t>
      </w:r>
      <w:r w:rsidR="004C3BAD">
        <w:t xml:space="preserve"> tramvajemi.</w:t>
      </w:r>
    </w:p>
    <w:p w14:paraId="4B437983" w14:textId="77777777" w:rsidR="004C3BAD" w:rsidRDefault="004C3BAD" w:rsidP="007B5B68">
      <w:pPr>
        <w:pStyle w:val="Pklady-modrrmeek"/>
        <w:ind w:right="284"/>
      </w:pPr>
      <w:r>
        <w:t>U druhého projektu</w:t>
      </w:r>
      <w:r>
        <w:rPr>
          <w:rStyle w:val="Znakapoznpodarou"/>
        </w:rPr>
        <w:footnoteReference w:id="43"/>
      </w:r>
      <w:r>
        <w:t xml:space="preserve"> zaměřeného na pořízení tramvají tentýž </w:t>
      </w:r>
      <w:r w:rsidR="00F8532D">
        <w:t xml:space="preserve">příjemce </w:t>
      </w:r>
      <w:r>
        <w:t xml:space="preserve">do hodnot indikátoru zahrnul </w:t>
      </w:r>
      <w:r w:rsidRPr="004C3BAD">
        <w:t>počty osob přepravených trolejbusy a autobusy, které však v rámci projektu ne</w:t>
      </w:r>
      <w:r>
        <w:t>měly být</w:t>
      </w:r>
      <w:r w:rsidRPr="004C3BAD">
        <w:t xml:space="preserve"> pořizovány.</w:t>
      </w:r>
    </w:p>
    <w:p w14:paraId="3C4904B5" w14:textId="77777777" w:rsidR="00062154" w:rsidRPr="00062154" w:rsidRDefault="00062154" w:rsidP="00DB24C6">
      <w:pPr>
        <w:pStyle w:val="Nadpis4"/>
        <w:spacing w:before="120" w:after="120"/>
        <w:rPr>
          <w:lang w:eastAsia="cs-CZ"/>
        </w:rPr>
      </w:pPr>
      <w:r w:rsidRPr="00062154">
        <w:rPr>
          <w:lang w:eastAsia="cs-CZ"/>
        </w:rPr>
        <w:t xml:space="preserve">Hodnoty indikátoru nebyly prověřovány </w:t>
      </w:r>
      <w:r>
        <w:rPr>
          <w:lang w:eastAsia="cs-CZ"/>
        </w:rPr>
        <w:t xml:space="preserve">ani </w:t>
      </w:r>
      <w:r w:rsidRPr="00062154">
        <w:rPr>
          <w:lang w:eastAsia="cs-CZ"/>
        </w:rPr>
        <w:t xml:space="preserve">při závěrečném ověření způsobilosti </w:t>
      </w:r>
    </w:p>
    <w:p w14:paraId="58467516" w14:textId="5B7FF21F" w:rsidR="00062154" w:rsidRPr="00062154" w:rsidRDefault="00062154" w:rsidP="00DB24C6">
      <w:pPr>
        <w:pStyle w:val="KZnormln"/>
        <w:spacing w:before="120"/>
        <w:rPr>
          <w:lang w:eastAsia="cs-CZ"/>
        </w:rPr>
      </w:pPr>
      <w:r w:rsidRPr="00062154">
        <w:rPr>
          <w:lang w:eastAsia="cs-CZ"/>
        </w:rPr>
        <w:t xml:space="preserve">Provedení závěrečného ověření způsobilosti projektů ITI bylo v rámci </w:t>
      </w:r>
      <w:r w:rsidR="008177A5">
        <w:rPr>
          <w:lang w:eastAsia="cs-CZ"/>
        </w:rPr>
        <w:t xml:space="preserve">provádění a </w:t>
      </w:r>
      <w:r w:rsidRPr="00062154">
        <w:rPr>
          <w:lang w:eastAsia="cs-CZ"/>
        </w:rPr>
        <w:t xml:space="preserve">řízení IROP delegováno </w:t>
      </w:r>
      <w:proofErr w:type="gramStart"/>
      <w:r w:rsidRPr="00062154">
        <w:rPr>
          <w:lang w:eastAsia="cs-CZ"/>
        </w:rPr>
        <w:t>na</w:t>
      </w:r>
      <w:proofErr w:type="gramEnd"/>
      <w:r w:rsidRPr="00062154">
        <w:rPr>
          <w:lang w:eastAsia="cs-CZ"/>
        </w:rPr>
        <w:t xml:space="preserve"> CRR. Jde o specifickou část hodnot</w:t>
      </w:r>
      <w:r w:rsidR="00542CCE">
        <w:rPr>
          <w:lang w:eastAsia="cs-CZ"/>
        </w:rPr>
        <w:t>i</w:t>
      </w:r>
      <w:r w:rsidRPr="00062154">
        <w:rPr>
          <w:lang w:eastAsia="cs-CZ"/>
        </w:rPr>
        <w:t>cího procesu, která je relevantní jen pro</w:t>
      </w:r>
      <w:r w:rsidR="00542CCE">
        <w:rPr>
          <w:lang w:eastAsia="cs-CZ"/>
        </w:rPr>
        <w:t xml:space="preserve"> </w:t>
      </w:r>
      <w:r w:rsidRPr="00062154">
        <w:rPr>
          <w:lang w:eastAsia="cs-CZ"/>
        </w:rPr>
        <w:t xml:space="preserve">integrované projekty ITI a </w:t>
      </w:r>
      <w:r w:rsidR="003D0FE9">
        <w:rPr>
          <w:lang w:eastAsia="cs-CZ"/>
        </w:rPr>
        <w:t xml:space="preserve">projekty </w:t>
      </w:r>
      <w:r w:rsidR="00542CCE">
        <w:rPr>
          <w:lang w:eastAsia="cs-CZ"/>
        </w:rPr>
        <w:t>k</w:t>
      </w:r>
      <w:r w:rsidR="003D0FE9">
        <w:rPr>
          <w:lang w:eastAsia="cs-CZ"/>
        </w:rPr>
        <w:t>omunitně vedeného místního rozvoje (dále též „</w:t>
      </w:r>
      <w:r w:rsidRPr="00062154">
        <w:rPr>
          <w:lang w:eastAsia="cs-CZ"/>
        </w:rPr>
        <w:t>CLLD</w:t>
      </w:r>
      <w:r w:rsidR="003D0FE9">
        <w:rPr>
          <w:lang w:eastAsia="cs-CZ"/>
        </w:rPr>
        <w:t>“</w:t>
      </w:r>
      <w:r w:rsidRPr="00062154">
        <w:rPr>
          <w:rFonts w:eastAsiaTheme="majorEastAsia"/>
          <w:vertAlign w:val="superscript"/>
          <w:lang w:eastAsia="cs-CZ"/>
        </w:rPr>
        <w:footnoteReference w:id="44"/>
      </w:r>
      <w:r w:rsidR="009A7AFD">
        <w:rPr>
          <w:lang w:eastAsia="cs-CZ"/>
        </w:rPr>
        <w:t>)</w:t>
      </w:r>
      <w:r w:rsidRPr="00062154">
        <w:rPr>
          <w:lang w:eastAsia="cs-CZ"/>
        </w:rPr>
        <w:t xml:space="preserve">. </w:t>
      </w:r>
    </w:p>
    <w:p w14:paraId="73F32E48" w14:textId="7B526A09" w:rsidR="00062154" w:rsidRPr="00062154" w:rsidRDefault="00062154" w:rsidP="00DB24C6">
      <w:pPr>
        <w:pStyle w:val="KZnormln"/>
        <w:spacing w:before="120"/>
        <w:rPr>
          <w:lang w:eastAsia="cs-CZ"/>
        </w:rPr>
      </w:pPr>
      <w:r w:rsidRPr="00062154">
        <w:rPr>
          <w:lang w:eastAsia="cs-CZ"/>
        </w:rPr>
        <w:t>V rámci nastaveného postupu závěrečného ověření způsobilosti projektů ITI nebylo řádně prověřováno hodnot</w:t>
      </w:r>
      <w:r w:rsidR="00542CCE">
        <w:rPr>
          <w:lang w:eastAsia="cs-CZ"/>
        </w:rPr>
        <w:t>i</w:t>
      </w:r>
      <w:r w:rsidRPr="00062154">
        <w:rPr>
          <w:lang w:eastAsia="cs-CZ"/>
        </w:rPr>
        <w:t>cí kritérium</w:t>
      </w:r>
      <w:r w:rsidRPr="00062154">
        <w:rPr>
          <w:rFonts w:eastAsiaTheme="majorEastAsia"/>
          <w:vertAlign w:val="superscript"/>
          <w:lang w:eastAsia="cs-CZ"/>
        </w:rPr>
        <w:footnoteReference w:id="45"/>
      </w:r>
      <w:r w:rsidR="008177A5">
        <w:rPr>
          <w:lang w:eastAsia="cs-CZ"/>
        </w:rPr>
        <w:t xml:space="preserve">, které se týkalo příspěvku </w:t>
      </w:r>
      <w:r w:rsidRPr="00062154">
        <w:rPr>
          <w:lang w:eastAsia="cs-CZ"/>
        </w:rPr>
        <w:t>projekt</w:t>
      </w:r>
      <w:r w:rsidR="008177A5">
        <w:rPr>
          <w:lang w:eastAsia="cs-CZ"/>
        </w:rPr>
        <w:t>u</w:t>
      </w:r>
      <w:r w:rsidRPr="00062154">
        <w:rPr>
          <w:lang w:eastAsia="cs-CZ"/>
        </w:rPr>
        <w:t xml:space="preserve"> k eliminaci negativních vlivů dopravy na životní prostředí včetně příspěvku projektu ke snížení množství emisí primárních částic a prekurzorů sekundárních částic a ke zvýšení </w:t>
      </w:r>
      <w:r w:rsidR="008177A5">
        <w:rPr>
          <w:lang w:eastAsia="cs-CZ"/>
        </w:rPr>
        <w:t>počtu osob přepravených veřejnou dopravou</w:t>
      </w:r>
      <w:r w:rsidRPr="00062154">
        <w:rPr>
          <w:lang w:eastAsia="cs-CZ"/>
        </w:rPr>
        <w:t xml:space="preserve">. </w:t>
      </w:r>
    </w:p>
    <w:p w14:paraId="5DC010B1" w14:textId="73182DFC" w:rsidR="00062154" w:rsidRPr="00062154" w:rsidRDefault="00062154" w:rsidP="00DB24C6">
      <w:pPr>
        <w:pStyle w:val="KZnormln"/>
        <w:spacing w:before="120"/>
        <w:rPr>
          <w:lang w:eastAsia="cs-CZ"/>
        </w:rPr>
      </w:pPr>
      <w:r w:rsidRPr="00062154">
        <w:rPr>
          <w:lang w:eastAsia="cs-CZ"/>
        </w:rPr>
        <w:t>Dle stanovené</w:t>
      </w:r>
      <w:r w:rsidR="00A302D9">
        <w:rPr>
          <w:lang w:eastAsia="cs-CZ"/>
        </w:rPr>
        <w:t>ho</w:t>
      </w:r>
      <w:r w:rsidRPr="00062154">
        <w:rPr>
          <w:lang w:eastAsia="cs-CZ"/>
        </w:rPr>
        <w:t xml:space="preserve"> postupu </w:t>
      </w:r>
      <w:r w:rsidR="00880521">
        <w:rPr>
          <w:lang w:eastAsia="cs-CZ"/>
        </w:rPr>
        <w:t>měla být</w:t>
      </w:r>
      <w:r w:rsidRPr="00062154">
        <w:rPr>
          <w:lang w:eastAsia="cs-CZ"/>
        </w:rPr>
        <w:t xml:space="preserve"> výchozí hodnota indikátoru </w:t>
      </w:r>
      <w:r w:rsidR="008177A5">
        <w:rPr>
          <w:lang w:eastAsia="cs-CZ"/>
        </w:rPr>
        <w:t>„</w:t>
      </w:r>
      <w:r w:rsidR="00542CCE">
        <w:rPr>
          <w:lang w:eastAsia="cs-CZ"/>
        </w:rPr>
        <w:t>p</w:t>
      </w:r>
      <w:r w:rsidR="008177A5">
        <w:rPr>
          <w:lang w:eastAsia="cs-CZ"/>
        </w:rPr>
        <w:t>očet osob přepravených veřejnou dopravou“</w:t>
      </w:r>
      <w:r w:rsidRPr="00062154">
        <w:rPr>
          <w:lang w:eastAsia="cs-CZ"/>
        </w:rPr>
        <w:t xml:space="preserve"> zjišťována reprezentativním sčítáním na vhodném úseku linek veřejné dopravy, na</w:t>
      </w:r>
      <w:r w:rsidR="00542CCE">
        <w:rPr>
          <w:lang w:eastAsia="cs-CZ"/>
        </w:rPr>
        <w:t xml:space="preserve"> </w:t>
      </w:r>
      <w:r w:rsidRPr="00062154">
        <w:rPr>
          <w:lang w:eastAsia="cs-CZ"/>
        </w:rPr>
        <w:t xml:space="preserve">kterých budou podpořená vozidla běžně nasazována. </w:t>
      </w:r>
      <w:r w:rsidR="00880521">
        <w:rPr>
          <w:lang w:eastAsia="cs-CZ"/>
        </w:rPr>
        <w:t>Ve skutečnosti však byly výchozí a</w:t>
      </w:r>
      <w:r w:rsidR="00980C0B">
        <w:rPr>
          <w:lang w:eastAsia="cs-CZ"/>
        </w:rPr>
        <w:t> </w:t>
      </w:r>
      <w:r w:rsidR="00880521">
        <w:rPr>
          <w:lang w:eastAsia="cs-CZ"/>
        </w:rPr>
        <w:t>dosažené cílové hodnoty indikátorů stanoveny bez vazby výlučně na příslušný projekt</w:t>
      </w:r>
      <w:r w:rsidR="009A0419">
        <w:rPr>
          <w:lang w:eastAsia="cs-CZ"/>
        </w:rPr>
        <w:t xml:space="preserve"> a byly řádově nadhodnocené, protože zahrnovaly přepravní výkony za celou dopravní síť.</w:t>
      </w:r>
      <w:r w:rsidR="009A0419" w:rsidRPr="00062154" w:rsidDel="009A0419">
        <w:rPr>
          <w:lang w:eastAsia="cs-CZ"/>
        </w:rPr>
        <w:t xml:space="preserve"> </w:t>
      </w:r>
    </w:p>
    <w:p w14:paraId="2C4D2D5E" w14:textId="7BFCAC53" w:rsidR="00062154" w:rsidRPr="00062154" w:rsidRDefault="00062154" w:rsidP="00DB24C6">
      <w:pPr>
        <w:pStyle w:val="Rmeek"/>
        <w:spacing w:before="120"/>
        <w:rPr>
          <w:lang w:eastAsia="cs-CZ"/>
        </w:rPr>
      </w:pPr>
      <w:r w:rsidRPr="00062154">
        <w:rPr>
          <w:lang w:eastAsia="cs-CZ"/>
        </w:rPr>
        <w:t xml:space="preserve">Nastavený postup </w:t>
      </w:r>
      <w:r w:rsidR="008177A5">
        <w:rPr>
          <w:lang w:eastAsia="cs-CZ"/>
        </w:rPr>
        <w:t>hodnocení prostřednictvím otázky stanovené</w:t>
      </w:r>
      <w:r w:rsidRPr="00062154">
        <w:rPr>
          <w:lang w:eastAsia="cs-CZ"/>
        </w:rPr>
        <w:t xml:space="preserve"> v kontrolním listě pro</w:t>
      </w:r>
      <w:r w:rsidR="00542CCE">
        <w:rPr>
          <w:lang w:eastAsia="cs-CZ"/>
        </w:rPr>
        <w:t xml:space="preserve"> </w:t>
      </w:r>
      <w:r w:rsidRPr="00062154">
        <w:rPr>
          <w:lang w:eastAsia="cs-CZ"/>
        </w:rPr>
        <w:t>závěrečné ověření způsobilosti projektů ITI neukládal povinnost ověření relevantnosti uvedené hodnoty indikátoru, respektive výpočtu uvedené hodnoty. MMR v roli ŘO IROP nedostatečně nastavilo postupy pro ověření uvedeného kritéria. Vzhledem k tomu, že</w:t>
      </w:r>
      <w:r w:rsidR="00EF4A61">
        <w:rPr>
          <w:lang w:eastAsia="cs-CZ"/>
        </w:rPr>
        <w:t xml:space="preserve"> </w:t>
      </w:r>
      <w:r w:rsidRPr="00062154">
        <w:rPr>
          <w:lang w:eastAsia="cs-CZ"/>
        </w:rPr>
        <w:t>cílová hodnota indikátoru není pro příjemce závazná a její nedosažení není předmětem sankcí, je dopad tohoto nedostatku</w:t>
      </w:r>
      <w:r w:rsidR="00F96985">
        <w:rPr>
          <w:lang w:eastAsia="cs-CZ"/>
        </w:rPr>
        <w:t xml:space="preserve"> pro příjemce jen ve formální rovině. Na úrovni systému má tento nedostatek </w:t>
      </w:r>
      <w:r w:rsidR="009A0419">
        <w:rPr>
          <w:lang w:eastAsia="cs-CZ"/>
        </w:rPr>
        <w:t xml:space="preserve">negativní </w:t>
      </w:r>
      <w:r w:rsidR="00F96985">
        <w:rPr>
          <w:lang w:eastAsia="cs-CZ"/>
        </w:rPr>
        <w:t xml:space="preserve">dopad </w:t>
      </w:r>
      <w:r w:rsidR="00EF4A61">
        <w:rPr>
          <w:lang w:eastAsia="cs-CZ"/>
        </w:rPr>
        <w:t>na</w:t>
      </w:r>
      <w:r w:rsidR="00F96985">
        <w:rPr>
          <w:lang w:eastAsia="cs-CZ"/>
        </w:rPr>
        <w:t xml:space="preserve"> </w:t>
      </w:r>
      <w:r w:rsidR="00EA23A5">
        <w:rPr>
          <w:lang w:eastAsia="cs-CZ"/>
        </w:rPr>
        <w:t>možnosti agregace indikátorů a </w:t>
      </w:r>
      <w:r w:rsidR="00EF4A61">
        <w:rPr>
          <w:lang w:eastAsia="cs-CZ"/>
        </w:rPr>
        <w:t>znemožnění</w:t>
      </w:r>
      <w:r w:rsidR="009A0419">
        <w:rPr>
          <w:lang w:eastAsia="cs-CZ"/>
        </w:rPr>
        <w:t xml:space="preserve"> </w:t>
      </w:r>
      <w:r w:rsidR="00F96985">
        <w:rPr>
          <w:lang w:eastAsia="cs-CZ"/>
        </w:rPr>
        <w:t>věcného monitorování přínosu realizovaných intervencí.</w:t>
      </w:r>
    </w:p>
    <w:p w14:paraId="49A89F2F" w14:textId="3DD1A7FE" w:rsidR="009E0500" w:rsidRPr="00EF4A61" w:rsidRDefault="00EF4A61" w:rsidP="00EF4A61">
      <w:pPr>
        <w:pStyle w:val="Nadpis3"/>
        <w:numPr>
          <w:ilvl w:val="0"/>
          <w:numId w:val="0"/>
        </w:numPr>
        <w:spacing w:before="120" w:after="120"/>
        <w:rPr>
          <w:i w:val="0"/>
        </w:rPr>
      </w:pPr>
      <w:r w:rsidRPr="00EF4A61">
        <w:rPr>
          <w:i w:val="0"/>
        </w:rPr>
        <w:t xml:space="preserve">6.3 </w:t>
      </w:r>
      <w:r w:rsidR="009E0500" w:rsidRPr="00EF4A61">
        <w:rPr>
          <w:i w:val="0"/>
        </w:rPr>
        <w:t>Výběr projektů a poskytnutí dotace</w:t>
      </w:r>
    </w:p>
    <w:p w14:paraId="64EFB4CD" w14:textId="77777777" w:rsidR="00620CD5" w:rsidRDefault="00620CD5" w:rsidP="00DB24C6">
      <w:pPr>
        <w:pStyle w:val="Nadpis4"/>
        <w:spacing w:before="120" w:after="120"/>
      </w:pPr>
      <w:r>
        <w:t xml:space="preserve">Rozhodnutí o poskytnutí dotace </w:t>
      </w:r>
      <w:r w:rsidR="005121C1">
        <w:t xml:space="preserve">zcela </w:t>
      </w:r>
      <w:r>
        <w:t>nezaručuje realizaci projektu podle žádosti o podporu</w:t>
      </w:r>
    </w:p>
    <w:p w14:paraId="5AF7F76F" w14:textId="54E5E207" w:rsidR="00C66172" w:rsidRDefault="00C66172" w:rsidP="00DB24C6">
      <w:pPr>
        <w:pStyle w:val="KZnormln"/>
        <w:spacing w:before="120"/>
      </w:pPr>
      <w:r w:rsidRPr="00C66172">
        <w:t>Příjemci jsou při předkládání žádostí o podporu povinni splnit požadavky příslušné výzvy na</w:t>
      </w:r>
      <w:r w:rsidR="00EF4A61">
        <w:t xml:space="preserve"> </w:t>
      </w:r>
      <w:r w:rsidRPr="00C66172">
        <w:t xml:space="preserve">předkládání projektů a související pravidla a podmínky. Splnění předepsaných povinností </w:t>
      </w:r>
      <w:r w:rsidR="007D4471">
        <w:t xml:space="preserve">příjemce </w:t>
      </w:r>
      <w:r w:rsidR="004B6592">
        <w:t>deklaruje</w:t>
      </w:r>
      <w:r w:rsidR="004B6592" w:rsidRPr="00C66172">
        <w:t xml:space="preserve"> </w:t>
      </w:r>
      <w:r w:rsidRPr="00C66172">
        <w:t xml:space="preserve">především </w:t>
      </w:r>
      <w:r w:rsidR="007D4471">
        <w:t xml:space="preserve">v žádosti o podporu a </w:t>
      </w:r>
      <w:r w:rsidR="004B6592">
        <w:t xml:space="preserve">jejích </w:t>
      </w:r>
      <w:r w:rsidR="007D4471">
        <w:t>povinných</w:t>
      </w:r>
      <w:r w:rsidRPr="00C66172">
        <w:t xml:space="preserve"> příloh</w:t>
      </w:r>
      <w:r w:rsidR="007D4471">
        <w:t>ách</w:t>
      </w:r>
      <w:r w:rsidRPr="00C66172">
        <w:t xml:space="preserve">. </w:t>
      </w:r>
      <w:r>
        <w:t xml:space="preserve">Veškerá dokumentace </w:t>
      </w:r>
      <w:r w:rsidR="002264F4">
        <w:t xml:space="preserve">projektu </w:t>
      </w:r>
      <w:r>
        <w:t xml:space="preserve">je uložena v monitorovacím </w:t>
      </w:r>
      <w:r w:rsidR="006F0E49">
        <w:t xml:space="preserve">systému </w:t>
      </w:r>
      <w:r w:rsidR="006F0E49" w:rsidRPr="0089736B">
        <w:rPr>
          <w:i/>
        </w:rPr>
        <w:t>MS2014+</w:t>
      </w:r>
      <w:r w:rsidR="006F0E49">
        <w:t xml:space="preserve"> pod </w:t>
      </w:r>
      <w:r w:rsidR="005468EF">
        <w:t xml:space="preserve">jeho </w:t>
      </w:r>
      <w:r w:rsidR="006F0E49">
        <w:t>jedinečným registračním číslem.</w:t>
      </w:r>
    </w:p>
    <w:p w14:paraId="75DC4ACB" w14:textId="15606CB3" w:rsidR="00C66172" w:rsidRPr="00E75010" w:rsidRDefault="00C66172" w:rsidP="00DB24C6">
      <w:pPr>
        <w:pStyle w:val="KZnormln"/>
        <w:spacing w:before="120"/>
        <w:rPr>
          <w:lang w:eastAsia="cs-CZ"/>
        </w:rPr>
      </w:pPr>
      <w:r>
        <w:lastRenderedPageBreak/>
        <w:t xml:space="preserve">Úspěšným žadatelům je podpora ze SC 1.2 IROP </w:t>
      </w:r>
      <w:r w:rsidR="007D4471">
        <w:t>přiznána</w:t>
      </w:r>
      <w:r>
        <w:t xml:space="preserve"> na základě rozhodnutí o poskytnutí dotace. Nedílnou součástí rozhodnutí jsou </w:t>
      </w:r>
      <w:r w:rsidR="000C6953">
        <w:rPr>
          <w:i/>
          <w:lang w:eastAsia="cs-CZ"/>
        </w:rPr>
        <w:t>p</w:t>
      </w:r>
      <w:r w:rsidRPr="00BF078F">
        <w:rPr>
          <w:i/>
          <w:lang w:eastAsia="cs-CZ"/>
        </w:rPr>
        <w:t>odmínky rozhodnutí o poskytnutí dotace</w:t>
      </w:r>
      <w:r>
        <w:rPr>
          <w:lang w:eastAsia="cs-CZ"/>
        </w:rPr>
        <w:t>. Z textu těchto dokumentů není zřejmé, že příjemci jsou zavázáni postupovat dle předložené žádosti o</w:t>
      </w:r>
      <w:r w:rsidR="00980C0B">
        <w:rPr>
          <w:lang w:eastAsia="cs-CZ"/>
        </w:rPr>
        <w:t> </w:t>
      </w:r>
      <w:r>
        <w:rPr>
          <w:lang w:eastAsia="cs-CZ"/>
        </w:rPr>
        <w:t xml:space="preserve">podporu a jejích příloh. Text rozhodnutí a </w:t>
      </w:r>
      <w:r w:rsidR="006F0E49">
        <w:rPr>
          <w:lang w:eastAsia="cs-CZ"/>
        </w:rPr>
        <w:t xml:space="preserve">jeho </w:t>
      </w:r>
      <w:r>
        <w:rPr>
          <w:lang w:eastAsia="cs-CZ"/>
        </w:rPr>
        <w:t xml:space="preserve">podmínek </w:t>
      </w:r>
      <w:r w:rsidRPr="00C66172">
        <w:rPr>
          <w:lang w:eastAsia="cs-CZ"/>
        </w:rPr>
        <w:t xml:space="preserve">neobsahuje </w:t>
      </w:r>
      <w:r w:rsidR="006F0E49">
        <w:rPr>
          <w:lang w:eastAsia="cs-CZ"/>
        </w:rPr>
        <w:t xml:space="preserve">například </w:t>
      </w:r>
      <w:r w:rsidRPr="00C66172">
        <w:rPr>
          <w:lang w:eastAsia="cs-CZ"/>
        </w:rPr>
        <w:t>vymezení dílčích cílů a přínosů projektu</w:t>
      </w:r>
      <w:r w:rsidR="006F0E49">
        <w:rPr>
          <w:lang w:eastAsia="cs-CZ"/>
        </w:rPr>
        <w:t xml:space="preserve"> nebo </w:t>
      </w:r>
      <w:r w:rsidRPr="00C66172">
        <w:rPr>
          <w:lang w:eastAsia="cs-CZ"/>
        </w:rPr>
        <w:t>konkrétní parametry pořizovaných vozů.</w:t>
      </w:r>
      <w:r>
        <w:rPr>
          <w:lang w:eastAsia="cs-CZ"/>
        </w:rPr>
        <w:t xml:space="preserve"> Tyto informace žadatel uvádí </w:t>
      </w:r>
      <w:r w:rsidR="00BA1C91">
        <w:rPr>
          <w:lang w:eastAsia="cs-CZ"/>
        </w:rPr>
        <w:t xml:space="preserve">pouze </w:t>
      </w:r>
      <w:r>
        <w:rPr>
          <w:lang w:eastAsia="cs-CZ"/>
        </w:rPr>
        <w:t>ve studii proveditelnosti projektu.</w:t>
      </w:r>
      <w:r w:rsidR="00E75010">
        <w:rPr>
          <w:lang w:eastAsia="cs-CZ"/>
        </w:rPr>
        <w:t xml:space="preserve"> </w:t>
      </w:r>
    </w:p>
    <w:p w14:paraId="1F2E360C" w14:textId="77777777" w:rsidR="006F0E49" w:rsidRDefault="006F0E49" w:rsidP="00DB24C6">
      <w:pPr>
        <w:pStyle w:val="Rmeek"/>
        <w:spacing w:before="120"/>
        <w:rPr>
          <w:lang w:eastAsia="cs-CZ"/>
        </w:rPr>
      </w:pPr>
      <w:r>
        <w:rPr>
          <w:lang w:eastAsia="cs-CZ"/>
        </w:rPr>
        <w:t xml:space="preserve">NKÚ při kontrole identifikoval </w:t>
      </w:r>
      <w:r w:rsidRPr="006F0E49">
        <w:rPr>
          <w:lang w:eastAsia="cs-CZ"/>
        </w:rPr>
        <w:t>riziko, že příjemce neprovede úkony, které deklaroval v</w:t>
      </w:r>
      <w:r w:rsidR="00980C0B">
        <w:rPr>
          <w:lang w:eastAsia="cs-CZ"/>
        </w:rPr>
        <w:t> </w:t>
      </w:r>
      <w:r w:rsidR="00E75010">
        <w:rPr>
          <w:lang w:eastAsia="cs-CZ"/>
        </w:rPr>
        <w:t>projektové žádosti, zejména ve studii proveditelnosti.</w:t>
      </w:r>
      <w:r w:rsidRPr="006F0E49">
        <w:rPr>
          <w:lang w:eastAsia="cs-CZ"/>
        </w:rPr>
        <w:t xml:space="preserve"> </w:t>
      </w:r>
      <w:r>
        <w:rPr>
          <w:lang w:eastAsia="cs-CZ"/>
        </w:rPr>
        <w:t>MMR v roli ŘO IROP nastavilo postupy, které riziko</w:t>
      </w:r>
      <w:r w:rsidR="00E75010">
        <w:rPr>
          <w:lang w:eastAsia="cs-CZ"/>
        </w:rPr>
        <w:t xml:space="preserve"> snižují</w:t>
      </w:r>
      <w:r>
        <w:rPr>
          <w:lang w:eastAsia="cs-CZ"/>
        </w:rPr>
        <w:t>. P</w:t>
      </w:r>
      <w:r w:rsidRPr="006F0E49">
        <w:rPr>
          <w:lang w:eastAsia="cs-CZ"/>
        </w:rPr>
        <w:t>říjemce nesmí provést bez předchozího souhlasu žádné změny, které mají vliv na aktivit</w:t>
      </w:r>
      <w:r w:rsidR="001B4A25">
        <w:rPr>
          <w:lang w:eastAsia="cs-CZ"/>
        </w:rPr>
        <w:t>y projektu, splnění účelu a cíle</w:t>
      </w:r>
      <w:r w:rsidRPr="006F0E49">
        <w:rPr>
          <w:lang w:eastAsia="cs-CZ"/>
        </w:rPr>
        <w:t xml:space="preserve"> projektu nebo na dobu realizace projektu.</w:t>
      </w:r>
    </w:p>
    <w:p w14:paraId="4ADC3E34" w14:textId="77777777" w:rsidR="004818FE" w:rsidRPr="006B64B8" w:rsidRDefault="004818FE" w:rsidP="00425DEE">
      <w:pPr>
        <w:pStyle w:val="Pklady-modrrmeek"/>
        <w:rPr>
          <w:b/>
        </w:rPr>
      </w:pPr>
      <w:r w:rsidRPr="006B64B8">
        <w:rPr>
          <w:b/>
        </w:rPr>
        <w:t>Příklad realizace projektu v jiném rozsahu než uváděl příjemce v žádosti o podporu:</w:t>
      </w:r>
    </w:p>
    <w:p w14:paraId="7E4B348B" w14:textId="0EE1400C" w:rsidR="004818FE" w:rsidRDefault="004818FE" w:rsidP="00425DEE">
      <w:pPr>
        <w:pStyle w:val="Pklady-modrrmeek"/>
      </w:pPr>
      <w:r>
        <w:t>Příjemce uvedl v žádosti o podporu, respektive ve studii proveditelnosti, že bude v rámci projektu</w:t>
      </w:r>
      <w:r w:rsidR="00425DEE">
        <w:rPr>
          <w:rStyle w:val="Znakapoznpodarou"/>
        </w:rPr>
        <w:footnoteReference w:id="46"/>
      </w:r>
      <w:r>
        <w:t xml:space="preserve"> pořizovat </w:t>
      </w:r>
      <w:r w:rsidR="004B365E">
        <w:t xml:space="preserve">pouze </w:t>
      </w:r>
      <w:r>
        <w:t xml:space="preserve">plně nízkopodlažní </w:t>
      </w:r>
      <w:r w:rsidR="004B365E">
        <w:t xml:space="preserve">a bezbariérová </w:t>
      </w:r>
      <w:r>
        <w:t>vozidla.</w:t>
      </w:r>
      <w:r w:rsidR="004B365E">
        <w:t xml:space="preserve"> NKÚ zjistil, že z pořizovaných 21 vozidel šest </w:t>
      </w:r>
      <w:r w:rsidR="00425DEE">
        <w:t xml:space="preserve">minibusů bylo </w:t>
      </w:r>
      <w:r w:rsidR="004B365E">
        <w:t>pouze částečně nízkopodla</w:t>
      </w:r>
      <w:r w:rsidR="00425DEE">
        <w:t>žní a</w:t>
      </w:r>
      <w:r w:rsidR="00DB24C6">
        <w:t> </w:t>
      </w:r>
      <w:r w:rsidR="00425DEE">
        <w:t xml:space="preserve">bezbariérové. U těchto minibusů nebyl </w:t>
      </w:r>
      <w:r w:rsidR="00425DEE" w:rsidRPr="00425DEE">
        <w:t>zajištěn bezbariérový prostup celým vozidlem, což je v rozporu s</w:t>
      </w:r>
      <w:r w:rsidR="00980C0B">
        <w:t> </w:t>
      </w:r>
      <w:r w:rsidR="00425DEE" w:rsidRPr="00425DEE">
        <w:t xml:space="preserve">tím, co </w:t>
      </w:r>
      <w:r w:rsidR="00425DEE">
        <w:t>příjemce uvedl v ž</w:t>
      </w:r>
      <w:r w:rsidR="00425DEE" w:rsidRPr="00425DEE">
        <w:t>ádosti o podporu.</w:t>
      </w:r>
      <w:r>
        <w:t xml:space="preserve"> </w:t>
      </w:r>
    </w:p>
    <w:p w14:paraId="333813B0" w14:textId="3CCC43FC" w:rsidR="00620CD5" w:rsidRDefault="00E75010" w:rsidP="00DB24C6">
      <w:pPr>
        <w:pStyle w:val="Zkladn"/>
        <w:spacing w:before="120" w:after="120"/>
      </w:pPr>
      <w:r>
        <w:t>Dle názoru MMR je pro realizaci projektu v souladu s projektovou žádostí postačující uvést v</w:t>
      </w:r>
      <w:r w:rsidR="00980C0B">
        <w:t> </w:t>
      </w:r>
      <w:r>
        <w:t>rozhodnutí registrační číslo projektu jako zastřešujícího identifikátoru všech projektových dat uložených v </w:t>
      </w:r>
      <w:r w:rsidRPr="006B64B8">
        <w:rPr>
          <w:i/>
        </w:rPr>
        <w:t>MS2014+</w:t>
      </w:r>
      <w:r>
        <w:t xml:space="preserve">. </w:t>
      </w:r>
      <w:r w:rsidR="00000EAC">
        <w:t>NKÚ se s názorem MMR neztotožňuje, neboť p</w:t>
      </w:r>
      <w:r>
        <w:t xml:space="preserve">ouhé uvedení registračního čísla bez bližšího vysvětlení nezaručuje, že příjemce zrealizuje projekt </w:t>
      </w:r>
      <w:r w:rsidR="00620CD5">
        <w:t xml:space="preserve">zejména </w:t>
      </w:r>
      <w:r>
        <w:t xml:space="preserve">podle </w:t>
      </w:r>
      <w:r w:rsidR="00620CD5">
        <w:t>předložené studie proveditelnosti.</w:t>
      </w:r>
    </w:p>
    <w:p w14:paraId="120E6513" w14:textId="77777777" w:rsidR="00C66172" w:rsidRPr="009A7AFD" w:rsidRDefault="00620CD5" w:rsidP="00DB24C6">
      <w:pPr>
        <w:pStyle w:val="Nadpis4"/>
        <w:spacing w:before="120" w:after="120"/>
      </w:pPr>
      <w:r w:rsidRPr="009A7AFD">
        <w:t>Ministerstvo neověřuje obsah dokumentů, kter</w:t>
      </w:r>
      <w:r w:rsidR="007B5B68" w:rsidRPr="009A7AFD">
        <w:t>ými je dotace příjemci přiznána</w:t>
      </w:r>
    </w:p>
    <w:p w14:paraId="4D48501C" w14:textId="4F031037" w:rsidR="00C66172" w:rsidRPr="009A7AFD" w:rsidRDefault="007D4471" w:rsidP="00DB24C6">
      <w:pPr>
        <w:pStyle w:val="KZnormln"/>
        <w:spacing w:before="120"/>
        <w:rPr>
          <w:lang w:eastAsia="cs-CZ"/>
        </w:rPr>
      </w:pPr>
      <w:r w:rsidRPr="009A7AFD">
        <w:t xml:space="preserve">Přípravou dokumentu </w:t>
      </w:r>
      <w:r w:rsidR="000C6953">
        <w:rPr>
          <w:i/>
          <w:lang w:eastAsia="cs-CZ"/>
        </w:rPr>
        <w:t>p</w:t>
      </w:r>
      <w:r w:rsidRPr="009A7AFD">
        <w:rPr>
          <w:i/>
          <w:lang w:eastAsia="cs-CZ"/>
        </w:rPr>
        <w:t>odmínky rozhodnutí o poskytnutí dotace</w:t>
      </w:r>
      <w:r w:rsidRPr="009A7AFD">
        <w:rPr>
          <w:lang w:eastAsia="cs-CZ"/>
        </w:rPr>
        <w:t xml:space="preserve"> je pověřeno CRR, MMR připravuje dokument </w:t>
      </w:r>
      <w:r w:rsidR="000C6953">
        <w:rPr>
          <w:i/>
          <w:lang w:eastAsia="cs-CZ"/>
        </w:rPr>
        <w:t>r</w:t>
      </w:r>
      <w:r w:rsidRPr="009A7AFD">
        <w:rPr>
          <w:i/>
          <w:lang w:eastAsia="cs-CZ"/>
        </w:rPr>
        <w:t>egistrace akce a rozhodnutí o poskytnutí dotace</w:t>
      </w:r>
      <w:r w:rsidRPr="009A7AFD">
        <w:rPr>
          <w:lang w:eastAsia="cs-CZ"/>
        </w:rPr>
        <w:t xml:space="preserve">. Před </w:t>
      </w:r>
      <w:r w:rsidR="00A077AE" w:rsidRPr="009A7AFD">
        <w:rPr>
          <w:lang w:eastAsia="cs-CZ"/>
        </w:rPr>
        <w:t>vydáním a</w:t>
      </w:r>
      <w:r w:rsidR="00B66B6D" w:rsidRPr="009A7AFD">
        <w:rPr>
          <w:lang w:eastAsia="cs-CZ"/>
        </w:rPr>
        <w:t> </w:t>
      </w:r>
      <w:r w:rsidRPr="009A7AFD">
        <w:rPr>
          <w:lang w:eastAsia="cs-CZ"/>
        </w:rPr>
        <w:t>odesláním obou dokumentů příjemci neprobíhá kontrola, zda jsou v obou dokumentech uveden</w:t>
      </w:r>
      <w:r w:rsidR="000C6953">
        <w:rPr>
          <w:lang w:eastAsia="cs-CZ"/>
        </w:rPr>
        <w:t>y</w:t>
      </w:r>
      <w:r w:rsidRPr="009A7AFD">
        <w:rPr>
          <w:lang w:eastAsia="cs-CZ"/>
        </w:rPr>
        <w:t xml:space="preserve"> stejné informace.</w:t>
      </w:r>
    </w:p>
    <w:p w14:paraId="6A362394" w14:textId="77777777" w:rsidR="007D4471" w:rsidRPr="009A7AFD" w:rsidRDefault="00A077AE" w:rsidP="00DB24C6">
      <w:pPr>
        <w:pStyle w:val="Rmeek"/>
        <w:spacing w:before="120"/>
      </w:pPr>
      <w:r w:rsidRPr="009A7AFD">
        <w:t xml:space="preserve">MMR v roli ŘO IROP nestanovilo postupy před vydáním právního aktu o poskytnutí dotace dostatečně. Před vydáním právního aktu o poskytnutí podpory a jeho podmínek </w:t>
      </w:r>
      <w:r w:rsidR="003579E2" w:rsidRPr="009A7AFD">
        <w:t xml:space="preserve">není </w:t>
      </w:r>
      <w:r w:rsidRPr="009A7AFD">
        <w:t xml:space="preserve">z formálního hlediska </w:t>
      </w:r>
      <w:r w:rsidR="003579E2" w:rsidRPr="009A7AFD">
        <w:t xml:space="preserve">ověřován </w:t>
      </w:r>
      <w:r w:rsidRPr="009A7AFD">
        <w:t xml:space="preserve">soulad a </w:t>
      </w:r>
      <w:r w:rsidR="003579E2" w:rsidRPr="009A7AFD">
        <w:t xml:space="preserve">shoda </w:t>
      </w:r>
      <w:r w:rsidRPr="009A7AFD">
        <w:t>obou dokumentů</w:t>
      </w:r>
      <w:r w:rsidR="00983952" w:rsidRPr="009A7AFD">
        <w:t>, přičemž tyto dokumenty jsou připravovány v součinnosti dvěma subjekty</w:t>
      </w:r>
      <w:r w:rsidRPr="009A7AFD">
        <w:t>.</w:t>
      </w:r>
    </w:p>
    <w:p w14:paraId="39FFC3B3" w14:textId="77777777" w:rsidR="00A077AE" w:rsidRPr="009A7AFD" w:rsidRDefault="00A077AE" w:rsidP="00DB24C6">
      <w:pPr>
        <w:pStyle w:val="KZnormln"/>
        <w:spacing w:before="120"/>
      </w:pPr>
      <w:r w:rsidRPr="009A7AFD">
        <w:t>Příklady rozdílných informací uvedených v rozhodnutí o poskytnutí dotace a jeho podmínkách:</w:t>
      </w:r>
    </w:p>
    <w:p w14:paraId="24038930" w14:textId="51ECB8A3" w:rsidR="00A077AE" w:rsidRDefault="00983952" w:rsidP="00983952">
      <w:pPr>
        <w:pStyle w:val="Pklady-modrrmeek"/>
      </w:pPr>
      <w:r w:rsidRPr="009A7AFD">
        <w:t>U dvou projektů</w:t>
      </w:r>
      <w:r w:rsidRPr="009A7AFD">
        <w:rPr>
          <w:rStyle w:val="Znakapoznpodarou"/>
        </w:rPr>
        <w:footnoteReference w:id="47"/>
      </w:r>
      <w:r w:rsidRPr="009A7AFD">
        <w:t xml:space="preserve"> NKÚ zjistil, že v rozhodnutí o poskytnutí dotace jsou uvedeny jiné monitorovací indikátory než v podmínkách rozhodnutí. V obou případech rozhodnutí obsahovalo indikátor „</w:t>
      </w:r>
      <w:r w:rsidR="000C6953">
        <w:t>p</w:t>
      </w:r>
      <w:r w:rsidRPr="009A7AFD">
        <w:t>očet osob přepravených veřejnou dopravou“, který nebyl uveden v podmínkách rozhodnutí. Oproti tomu v podmínkách byl příjemci stanoven indikátor „</w:t>
      </w:r>
      <w:r w:rsidR="000C6953">
        <w:t>p</w:t>
      </w:r>
      <w:r w:rsidRPr="009A7AFD">
        <w:t>očet parkovacích míst pro jízdní kola“. Tento rozdíl nebyl před vydáním právního aktu o</w:t>
      </w:r>
      <w:r w:rsidR="00B66B6D" w:rsidRPr="009A7AFD">
        <w:t> </w:t>
      </w:r>
      <w:r w:rsidRPr="009A7AFD">
        <w:t>poskytnutí podpory zjištěn a právní akt byl vydán s vadou. Jediným způsobem, jak vadu napravit, je žádost o změnu ze strany příjemce, což NKÚ považuje za zvyšování administrativní zátěže na straně příjemce.</w:t>
      </w:r>
    </w:p>
    <w:p w14:paraId="4B687D55" w14:textId="25618F4E" w:rsidR="009E0500" w:rsidRPr="00E47D5D" w:rsidRDefault="00E47D5D" w:rsidP="00E47D5D">
      <w:pPr>
        <w:pStyle w:val="Nadpis3"/>
        <w:numPr>
          <w:ilvl w:val="0"/>
          <w:numId w:val="0"/>
        </w:numPr>
        <w:spacing w:before="120" w:after="120"/>
        <w:rPr>
          <w:i w:val="0"/>
        </w:rPr>
      </w:pPr>
      <w:r>
        <w:rPr>
          <w:i w:val="0"/>
        </w:rPr>
        <w:lastRenderedPageBreak/>
        <w:t xml:space="preserve">6.4 </w:t>
      </w:r>
      <w:r w:rsidR="009E0500" w:rsidRPr="00E47D5D">
        <w:rPr>
          <w:i w:val="0"/>
        </w:rPr>
        <w:t>Věcné řízení</w:t>
      </w:r>
      <w:r w:rsidR="006B5FEF" w:rsidRPr="00E47D5D">
        <w:rPr>
          <w:i w:val="0"/>
        </w:rPr>
        <w:t xml:space="preserve"> IROP</w:t>
      </w:r>
    </w:p>
    <w:p w14:paraId="029D0425" w14:textId="77777777" w:rsidR="009E0500" w:rsidRPr="003B306D" w:rsidRDefault="00D35D14" w:rsidP="00DB24C6">
      <w:pPr>
        <w:pStyle w:val="Nadpis4"/>
        <w:spacing w:before="120" w:after="120"/>
      </w:pPr>
      <w:r w:rsidRPr="002B5439">
        <w:t>Ukazatele k měření výstupů ne vždy informují o zrealizované intervenci</w:t>
      </w:r>
    </w:p>
    <w:p w14:paraId="5CB4B6E3" w14:textId="116E84D5" w:rsidR="00161EA7" w:rsidRDefault="004021E3" w:rsidP="00DB24C6">
      <w:pPr>
        <w:pStyle w:val="KZnormln"/>
        <w:spacing w:before="120"/>
      </w:pPr>
      <w:r>
        <w:t xml:space="preserve">Globální cíl IROP je v </w:t>
      </w:r>
      <w:r w:rsidR="00E47D5D">
        <w:rPr>
          <w:i/>
        </w:rPr>
        <w:t>p</w:t>
      </w:r>
      <w:r w:rsidRPr="004021E3">
        <w:rPr>
          <w:i/>
        </w:rPr>
        <w:t>rogramovém dokumentu</w:t>
      </w:r>
      <w:r>
        <w:rPr>
          <w:i/>
        </w:rPr>
        <w:t xml:space="preserve"> IROP</w:t>
      </w:r>
      <w:r>
        <w:t xml:space="preserve"> stanoven následovně: „</w:t>
      </w:r>
      <w:r w:rsidRPr="006B64B8">
        <w:rPr>
          <w:i/>
        </w:rPr>
        <w:t>Zajistit vyvážený rozvoj území, zlepšit veřejné služby a veřejnou správu pro zvýšení konkurenceschopnosti a</w:t>
      </w:r>
      <w:r w:rsidR="00B66B6D" w:rsidRPr="006B64B8">
        <w:rPr>
          <w:i/>
        </w:rPr>
        <w:t> </w:t>
      </w:r>
      <w:r w:rsidRPr="006B64B8">
        <w:rPr>
          <w:i/>
        </w:rPr>
        <w:t>zajištění udržitelného rozvoje v obcích, městech a regionech</w:t>
      </w:r>
      <w:r>
        <w:t xml:space="preserve">“. </w:t>
      </w:r>
      <w:r w:rsidRPr="004021E3">
        <w:t xml:space="preserve">Specifický cíl 1.2 </w:t>
      </w:r>
      <w:r w:rsidRPr="004021E3">
        <w:rPr>
          <w:i/>
        </w:rPr>
        <w:t>Zvýšení udržitelných forem dopravy</w:t>
      </w:r>
      <w:r w:rsidRPr="004021E3">
        <w:t xml:space="preserve"> není stanoven konkrétně, proto je rozveden do </w:t>
      </w:r>
      <w:r w:rsidR="00161EA7">
        <w:t xml:space="preserve">devíti </w:t>
      </w:r>
      <w:r w:rsidRPr="004021E3">
        <w:t>dílčích cílů</w:t>
      </w:r>
      <w:r w:rsidR="00161EA7">
        <w:t xml:space="preserve">. </w:t>
      </w:r>
      <w:r>
        <w:t>Dílčí cíle jsou naplňovány prostřednictvím aktivit, které jsou blíže rozveden</w:t>
      </w:r>
      <w:r w:rsidR="00E47D5D">
        <w:t>y</w:t>
      </w:r>
      <w:r>
        <w:t xml:space="preserve"> v </w:t>
      </w:r>
      <w:r w:rsidR="00E47D5D">
        <w:rPr>
          <w:i/>
        </w:rPr>
        <w:t>p</w:t>
      </w:r>
      <w:r w:rsidRPr="004021E3">
        <w:rPr>
          <w:i/>
        </w:rPr>
        <w:t>rogramovém dokumentu IROP</w:t>
      </w:r>
      <w:r>
        <w:t>, k nimž jsou stanoveny výstupové indikátory</w:t>
      </w:r>
      <w:r w:rsidR="00237A15">
        <w:t>.</w:t>
      </w:r>
    </w:p>
    <w:p w14:paraId="1BD90C32" w14:textId="5CB7913D" w:rsidR="00237A15" w:rsidRDefault="00E2600D" w:rsidP="00DB24C6">
      <w:pPr>
        <w:pStyle w:val="Rmeek"/>
        <w:spacing w:before="120"/>
        <w:ind w:right="284"/>
      </w:pPr>
      <w:r>
        <w:t>Dva</w:t>
      </w:r>
      <w:r w:rsidR="00237A15" w:rsidRPr="00237A15">
        <w:t xml:space="preserve"> ze stanovených </w:t>
      </w:r>
      <w:r w:rsidR="00237A15">
        <w:t>indikátorů</w:t>
      </w:r>
      <w:r w:rsidR="00161EA7">
        <w:t xml:space="preserve"> výstupu</w:t>
      </w:r>
      <w:r w:rsidR="00237A15" w:rsidRPr="00237A15">
        <w:t xml:space="preserve"> mají ve vztahu k realizovaným projektům omezenou vypovídací schopnost, neboť sledují pouze počet pořízených plnění. V tomto případě </w:t>
      </w:r>
      <w:r w:rsidR="00237A15">
        <w:t>indikátor</w:t>
      </w:r>
      <w:r w:rsidR="00237A15" w:rsidRPr="00237A15">
        <w:t xml:space="preserve"> přináší pouze minimální kvalitativní informace o tom, čeho bylo dosaženo.</w:t>
      </w:r>
      <w:r w:rsidR="006D3E29">
        <w:t xml:space="preserve"> Podrobnější informace tak lze nalézt pouze v příloze žádosti o podporu, kterou je </w:t>
      </w:r>
      <w:r w:rsidR="00E47D5D">
        <w:rPr>
          <w:i/>
        </w:rPr>
        <w:t>s</w:t>
      </w:r>
      <w:r w:rsidR="006D3E29" w:rsidRPr="006D3E29">
        <w:rPr>
          <w:i/>
        </w:rPr>
        <w:t>tudie proveditelnosti projektu</w:t>
      </w:r>
      <w:r w:rsidR="006D3E29">
        <w:t>.</w:t>
      </w:r>
    </w:p>
    <w:p w14:paraId="70B58997" w14:textId="77777777" w:rsidR="00237A15" w:rsidRPr="006B64B8" w:rsidRDefault="00237A15" w:rsidP="00141BDB">
      <w:pPr>
        <w:pStyle w:val="Pklady-modrrmeek"/>
        <w:rPr>
          <w:b/>
        </w:rPr>
      </w:pPr>
      <w:r w:rsidRPr="006B64B8">
        <w:rPr>
          <w:b/>
        </w:rPr>
        <w:t>Příklady indikátorů s omezenou vypovídací schopností:</w:t>
      </w:r>
    </w:p>
    <w:p w14:paraId="7F6C653B" w14:textId="094BB737" w:rsidR="00237A15" w:rsidRPr="00141BDB" w:rsidRDefault="006D3E29" w:rsidP="00141BDB">
      <w:pPr>
        <w:pStyle w:val="Pklady-modrrmeek"/>
        <w:rPr>
          <w:b/>
        </w:rPr>
      </w:pPr>
      <w:r w:rsidRPr="00141BDB">
        <w:rPr>
          <w:b/>
        </w:rPr>
        <w:t>Indikátor 7 04 01 „</w:t>
      </w:r>
      <w:r w:rsidR="00E47D5D">
        <w:rPr>
          <w:b/>
        </w:rPr>
        <w:t>p</w:t>
      </w:r>
      <w:r w:rsidRPr="00141BDB">
        <w:rPr>
          <w:b/>
        </w:rPr>
        <w:t>očet zařízení a služeb pro řízení dopravy“</w:t>
      </w:r>
    </w:p>
    <w:p w14:paraId="7C74808A" w14:textId="38C07B98" w:rsidR="006D3E29" w:rsidRDefault="006D3E29" w:rsidP="00141BDB">
      <w:pPr>
        <w:pStyle w:val="Pklady-modrrmeek"/>
      </w:pPr>
      <w:r>
        <w:t>Indikátor měří dílčí cíl „</w:t>
      </w:r>
      <w:r w:rsidR="00E47D5D">
        <w:t>z</w:t>
      </w:r>
      <w:r w:rsidRPr="006D3E29">
        <w:t>ajistit potřeby specifických skupin obyvatel v</w:t>
      </w:r>
      <w:r>
        <w:t> </w:t>
      </w:r>
      <w:r w:rsidRPr="006D3E29">
        <w:t>dopravě</w:t>
      </w:r>
      <w:r>
        <w:t>“. V </w:t>
      </w:r>
      <w:r w:rsidRPr="00141BDB">
        <w:t>rámci</w:t>
      </w:r>
      <w:r>
        <w:t xml:space="preserve"> aktivity „Telematika“ </w:t>
      </w:r>
      <w:r w:rsidRPr="006D3E29">
        <w:t>jsou sledovány jen souhrnné počty řešení (obecně je stanovena cílová hodnota „1“ za celý projekt), aniž by bylo možné konkrétněji poznat, co přesně a</w:t>
      </w:r>
      <w:r w:rsidR="0059090E">
        <w:t> </w:t>
      </w:r>
      <w:r w:rsidRPr="006D3E29">
        <w:t>v</w:t>
      </w:r>
      <w:r w:rsidR="0059090E">
        <w:t> </w:t>
      </w:r>
      <w:r w:rsidRPr="006D3E29">
        <w:t>kolika provedeních bylo pořízeno</w:t>
      </w:r>
      <w:r>
        <w:t xml:space="preserve"> </w:t>
      </w:r>
      <w:r w:rsidRPr="006D3E29">
        <w:t>(akustická zařízení, informační panely apod.).</w:t>
      </w:r>
      <w:r>
        <w:t xml:space="preserve"> V rámci aktivity „</w:t>
      </w:r>
      <w:proofErr w:type="spellStart"/>
      <w:r>
        <w:t>Nízkoemisní</w:t>
      </w:r>
      <w:proofErr w:type="spellEnd"/>
      <w:r>
        <w:t xml:space="preserve"> a bezemisní vozidla“ nelze </w:t>
      </w:r>
      <w:r w:rsidRPr="006D3E29">
        <w:t>určit, v kolika případech byla pořízená vozidla bezbariérová, nízkopodlažní či vybavena elektronickým vizuálním a</w:t>
      </w:r>
      <w:r w:rsidR="00E47D5D">
        <w:t> </w:t>
      </w:r>
      <w:r w:rsidRPr="006D3E29">
        <w:t>akustickým systémem pro informování cestujících včetně nevidomých a slabozrakých osob.</w:t>
      </w:r>
    </w:p>
    <w:p w14:paraId="1C7434EE" w14:textId="4B523C0D" w:rsidR="006D3E29" w:rsidRPr="00141BDB" w:rsidRDefault="006D3E29" w:rsidP="00141BDB">
      <w:pPr>
        <w:pStyle w:val="Pklady-modrrmeek"/>
        <w:rPr>
          <w:b/>
        </w:rPr>
      </w:pPr>
      <w:r w:rsidRPr="00141BDB">
        <w:rPr>
          <w:b/>
        </w:rPr>
        <w:t>Indikátor 7 48 01 „</w:t>
      </w:r>
      <w:r w:rsidR="00E47D5D">
        <w:rPr>
          <w:b/>
        </w:rPr>
        <w:t>p</w:t>
      </w:r>
      <w:r w:rsidRPr="00141BDB">
        <w:rPr>
          <w:b/>
        </w:rPr>
        <w:t>očet nově pořízených vozidel pro veřejnou dopravu“</w:t>
      </w:r>
    </w:p>
    <w:p w14:paraId="311F5F9C" w14:textId="77777777" w:rsidR="006D3E29" w:rsidRDefault="006D3E29" w:rsidP="00141BDB">
      <w:pPr>
        <w:pStyle w:val="Pklady-modrrmeek"/>
      </w:pPr>
      <w:r>
        <w:t xml:space="preserve">V rámci tohoto indikátoru jsou vykazovány pouze počty </w:t>
      </w:r>
      <w:r w:rsidRPr="006D3E29">
        <w:t xml:space="preserve">pořízených vozidel </w:t>
      </w:r>
      <w:r>
        <w:t xml:space="preserve">a </w:t>
      </w:r>
      <w:r w:rsidRPr="006D3E29">
        <w:t>zaniká informace o tom, kolik z pořízených vozidel bylo autobusů, trolejbusů, tramvají, jaké měly parametry, kolik bylo bezbariérových apod.</w:t>
      </w:r>
    </w:p>
    <w:p w14:paraId="72094F03" w14:textId="46D62708" w:rsidR="00161EA7" w:rsidRDefault="00161EA7" w:rsidP="00DB24C6">
      <w:pPr>
        <w:pStyle w:val="Zkladn"/>
        <w:spacing w:before="120" w:after="120"/>
      </w:pPr>
      <w:r>
        <w:t>Výsledek intervencí v rámci SC 1.2 IROP je měřen pomocí dvou statistických indikátorů</w:t>
      </w:r>
      <w:r w:rsidRPr="00237A15">
        <w:t>, které měří podíl veřejné osobní dopravy na celkových výkonech v osobní dopravě a cyk</w:t>
      </w:r>
      <w:r>
        <w:t xml:space="preserve">listiky na přepravních výkonech. Ke sledování přínosu </w:t>
      </w:r>
      <w:r w:rsidR="00E47D5D">
        <w:t>pro</w:t>
      </w:r>
      <w:r>
        <w:t xml:space="preserve"> životní prostředí a udržitelný rozvoj jsou stanoveny pro interní potřeby dva environmentální indikátory </w:t>
      </w:r>
      <w:r w:rsidRPr="00237A15">
        <w:t>„</w:t>
      </w:r>
      <w:r w:rsidR="00E47D5D">
        <w:t>m</w:t>
      </w:r>
      <w:r w:rsidRPr="00237A15">
        <w:t>nožství emisí primárních částic a prekurzorů sekundárních částic v rámci podpořených projektů</w:t>
      </w:r>
      <w:r w:rsidR="00E47D5D">
        <w:t>“</w:t>
      </w:r>
      <w:r>
        <w:t xml:space="preserve"> a </w:t>
      </w:r>
      <w:r w:rsidRPr="00237A15">
        <w:t>„</w:t>
      </w:r>
      <w:r w:rsidR="00E47D5D">
        <w:t>p</w:t>
      </w:r>
      <w:r w:rsidRPr="00237A15">
        <w:t>očet osob přepravených veřejnou d</w:t>
      </w:r>
      <w:r>
        <w:t>opravou</w:t>
      </w:r>
      <w:r w:rsidRPr="00237A15">
        <w:t>“</w:t>
      </w:r>
      <w:r>
        <w:t>.</w:t>
      </w:r>
    </w:p>
    <w:p w14:paraId="452DD9C2" w14:textId="77777777" w:rsidR="009E0500" w:rsidRDefault="00D35D14" w:rsidP="00DB24C6">
      <w:pPr>
        <w:pStyle w:val="Nadpis4"/>
        <w:spacing w:before="120" w:after="120"/>
      </w:pPr>
      <w:r w:rsidRPr="00D35D14">
        <w:t>Podpora IROP se neprojevila na zvýšení přepravy o</w:t>
      </w:r>
      <w:r w:rsidR="007B5B68">
        <w:t>sob veřejnou hromadnou dopravou</w:t>
      </w:r>
      <w:r w:rsidRPr="00D35D14">
        <w:t xml:space="preserve"> </w:t>
      </w:r>
    </w:p>
    <w:p w14:paraId="0B07BF25" w14:textId="20A44024" w:rsidR="009E0500" w:rsidRDefault="00BA5F1E" w:rsidP="00DB24C6">
      <w:pPr>
        <w:pStyle w:val="KZnormln"/>
        <w:spacing w:before="120"/>
      </w:pPr>
      <w:r>
        <w:t xml:space="preserve">Cílová hodnota výsledkového indikátoru </w:t>
      </w:r>
      <w:r w:rsidR="00A228B2">
        <w:t>„</w:t>
      </w:r>
      <w:r w:rsidR="00E47D5D">
        <w:t>p</w:t>
      </w:r>
      <w:r w:rsidRPr="00BA5F1E">
        <w:t>odíl veřejné osobní dopravy na celkových výkonech v</w:t>
      </w:r>
      <w:r w:rsidR="00B66B6D">
        <w:t> </w:t>
      </w:r>
      <w:r w:rsidRPr="00BA5F1E">
        <w:t>osobní dopravě</w:t>
      </w:r>
      <w:r w:rsidR="00A228B2">
        <w:t xml:space="preserve">“ je </w:t>
      </w:r>
      <w:r w:rsidR="005C7F9F">
        <w:t xml:space="preserve">35 %. </w:t>
      </w:r>
      <w:r w:rsidR="005C7F9F" w:rsidRPr="005C7F9F">
        <w:t xml:space="preserve">Aktuální </w:t>
      </w:r>
      <w:r w:rsidR="002A2C95">
        <w:t>hodnota indikátoru uvedená v </w:t>
      </w:r>
      <w:r w:rsidR="002A2C95" w:rsidRPr="006B64B8">
        <w:rPr>
          <w:i/>
        </w:rPr>
        <w:t>MS2014+</w:t>
      </w:r>
      <w:r w:rsidR="002A2C95">
        <w:t xml:space="preserve"> je </w:t>
      </w:r>
      <w:r w:rsidR="005C7F9F" w:rsidRPr="005C7F9F">
        <w:t>31</w:t>
      </w:r>
      <w:r w:rsidR="00E47D5D">
        <w:t> </w:t>
      </w:r>
      <w:r w:rsidR="005C7F9F" w:rsidRPr="005C7F9F">
        <w:t xml:space="preserve">%. Z dat dostupných v </w:t>
      </w:r>
      <w:r w:rsidR="005C7F9F" w:rsidRPr="006B64B8">
        <w:rPr>
          <w:i/>
        </w:rPr>
        <w:t>MS2014+</w:t>
      </w:r>
      <w:r w:rsidR="005C7F9F" w:rsidRPr="005C7F9F">
        <w:t xml:space="preserve"> vyplývá, že toto je zatím maximální hodnota, neboť za roky 2016 a</w:t>
      </w:r>
      <w:r w:rsidR="0059090E">
        <w:t> </w:t>
      </w:r>
      <w:r w:rsidR="005C7F9F" w:rsidRPr="005C7F9F">
        <w:t>2017 byla vykázána hodnota 30,7 %.</w:t>
      </w:r>
    </w:p>
    <w:p w14:paraId="433CB5D9" w14:textId="453BA898" w:rsidR="00D9074F" w:rsidRDefault="00D9074F" w:rsidP="00DB24C6">
      <w:pPr>
        <w:pStyle w:val="KZnormln"/>
        <w:spacing w:before="120"/>
      </w:pPr>
      <w:r>
        <w:t xml:space="preserve">Dle mezioborového srovnání </w:t>
      </w:r>
      <w:r w:rsidRPr="00D9074F">
        <w:t>přepravních výkonů osobní dopravy</w:t>
      </w:r>
      <w:r>
        <w:t xml:space="preserve"> </w:t>
      </w:r>
      <w:r w:rsidRPr="00D9074F">
        <w:t>publikovaného v</w:t>
      </w:r>
      <w:r w:rsidRPr="00D9074F">
        <w:rPr>
          <w:i/>
        </w:rPr>
        <w:t> </w:t>
      </w:r>
      <w:r w:rsidR="00E91804">
        <w:rPr>
          <w:i/>
        </w:rPr>
        <w:t>r</w:t>
      </w:r>
      <w:r w:rsidRPr="00D9074F">
        <w:rPr>
          <w:i/>
        </w:rPr>
        <w:t>očen</w:t>
      </w:r>
      <w:r w:rsidR="00E91804">
        <w:rPr>
          <w:i/>
        </w:rPr>
        <w:t>kách</w:t>
      </w:r>
      <w:r w:rsidRPr="00D9074F">
        <w:rPr>
          <w:i/>
        </w:rPr>
        <w:t xml:space="preserve"> dopravy ČR</w:t>
      </w:r>
      <w:r w:rsidRPr="00D9074F">
        <w:t xml:space="preserve"> </w:t>
      </w:r>
      <w:r>
        <w:t xml:space="preserve">za roky </w:t>
      </w:r>
      <w:r w:rsidRPr="00D9074F">
        <w:t>2011</w:t>
      </w:r>
      <w:r>
        <w:t xml:space="preserve">, 2013 a 2018 byl podíl </w:t>
      </w:r>
      <w:r w:rsidRPr="00D9074F">
        <w:t>veřejné hromadné</w:t>
      </w:r>
      <w:r w:rsidR="00D35D14">
        <w:t xml:space="preserve"> veřejné</w:t>
      </w:r>
      <w:r w:rsidRPr="00D9074F">
        <w:t xml:space="preserve"> </w:t>
      </w:r>
      <w:r>
        <w:t xml:space="preserve">dopravy </w:t>
      </w:r>
      <w:r w:rsidRPr="00D9074F">
        <w:t>(bez letecké a vodní) na celkovém přepravním výkonu</w:t>
      </w:r>
      <w:r>
        <w:t xml:space="preserve"> za rok 2017 v hodnotě 31 % a</w:t>
      </w:r>
      <w:r w:rsidR="00E91804">
        <w:t> </w:t>
      </w:r>
      <w:r>
        <w:t>za rok 2018 v</w:t>
      </w:r>
      <w:r w:rsidR="0059090E">
        <w:t> </w:t>
      </w:r>
      <w:r>
        <w:t>hodnotě 30,1 %. Vývoj hodnot od roku 2007 je uveden v grafu č</w:t>
      </w:r>
      <w:r w:rsidRPr="004D164D">
        <w:t xml:space="preserve">. </w:t>
      </w:r>
      <w:r w:rsidR="00513C27" w:rsidRPr="004D164D">
        <w:t>8</w:t>
      </w:r>
      <w:r w:rsidRPr="004D164D">
        <w:t>.</w:t>
      </w:r>
    </w:p>
    <w:p w14:paraId="0B1923A5" w14:textId="77777777" w:rsidR="00D9074F" w:rsidRDefault="00D9074F" w:rsidP="00DB24C6">
      <w:pPr>
        <w:pStyle w:val="Nadpistabulky"/>
        <w:tabs>
          <w:tab w:val="clear" w:pos="1418"/>
          <w:tab w:val="clear" w:pos="9213"/>
          <w:tab w:val="right" w:pos="9072"/>
        </w:tabs>
        <w:ind w:left="993" w:hanging="993"/>
      </w:pPr>
      <w:r w:rsidRPr="004D164D">
        <w:lastRenderedPageBreak/>
        <w:t xml:space="preserve">Graf č. </w:t>
      </w:r>
      <w:r w:rsidR="00513C27" w:rsidRPr="004D164D">
        <w:t>8</w:t>
      </w:r>
      <w:r w:rsidRPr="004D164D">
        <w:t>:</w:t>
      </w:r>
      <w:r>
        <w:tab/>
      </w:r>
      <w:r w:rsidRPr="00D9074F">
        <w:t xml:space="preserve">Podíl </w:t>
      </w:r>
      <w:r w:rsidR="003358D1">
        <w:t xml:space="preserve">osobní </w:t>
      </w:r>
      <w:r w:rsidRPr="00D9074F">
        <w:t>veřejné hromadné</w:t>
      </w:r>
      <w:r>
        <w:t xml:space="preserve"> dopravy</w:t>
      </w:r>
      <w:r w:rsidRPr="00D9074F">
        <w:t xml:space="preserve"> (bez letecké a vodní) na c</w:t>
      </w:r>
      <w:r>
        <w:t>elkovém přepravním výkonu</w:t>
      </w:r>
      <w:r>
        <w:tab/>
      </w:r>
    </w:p>
    <w:p w14:paraId="69585DF6" w14:textId="77777777" w:rsidR="00335DE0" w:rsidRDefault="00335DE0" w:rsidP="00335DE0">
      <w:pPr>
        <w:pStyle w:val="KZnormln"/>
        <w:keepNext/>
        <w:spacing w:after="0"/>
        <w:rPr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9176B2A" wp14:editId="44DB5945">
            <wp:extent cx="5760085" cy="2984500"/>
            <wp:effectExtent l="0" t="0" r="0" b="6350"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AD85320" w14:textId="09219B88" w:rsidR="009D0E7D" w:rsidRDefault="009D0E7D" w:rsidP="00335DE0">
      <w:pPr>
        <w:pStyle w:val="KZnormln"/>
        <w:keepNext/>
        <w:spacing w:after="0"/>
        <w:ind w:left="567" w:hanging="567"/>
        <w:rPr>
          <w:sz w:val="20"/>
          <w:szCs w:val="20"/>
        </w:rPr>
      </w:pPr>
      <w:r w:rsidRPr="00D4778E">
        <w:rPr>
          <w:b/>
          <w:sz w:val="20"/>
          <w:szCs w:val="20"/>
        </w:rPr>
        <w:t>Zdroj:</w:t>
      </w:r>
      <w:r w:rsidRPr="00D4778E">
        <w:rPr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="00E91804">
        <w:rPr>
          <w:sz w:val="20"/>
          <w:szCs w:val="20"/>
        </w:rPr>
        <w:t>r</w:t>
      </w:r>
      <w:r>
        <w:rPr>
          <w:sz w:val="20"/>
          <w:szCs w:val="20"/>
        </w:rPr>
        <w:t>očenky</w:t>
      </w:r>
      <w:r w:rsidRPr="009D0E7D">
        <w:rPr>
          <w:sz w:val="20"/>
          <w:szCs w:val="20"/>
        </w:rPr>
        <w:t xml:space="preserve"> dopravy ČR za roky 2011, 2013 a 2018</w:t>
      </w:r>
      <w:r>
        <w:rPr>
          <w:sz w:val="20"/>
          <w:szCs w:val="20"/>
        </w:rPr>
        <w:t>; tabulka 5.1.1</w:t>
      </w:r>
      <w:r w:rsidR="009755D3">
        <w:rPr>
          <w:sz w:val="20"/>
          <w:szCs w:val="20"/>
        </w:rPr>
        <w:t xml:space="preserve"> </w:t>
      </w:r>
      <w:r w:rsidR="009755D3" w:rsidRPr="00B40250">
        <w:rPr>
          <w:i/>
          <w:sz w:val="20"/>
          <w:szCs w:val="20"/>
        </w:rPr>
        <w:t>Mezioborové srovnání přepravních výkonů osobní dopravy</w:t>
      </w:r>
      <w:r w:rsidRPr="009D0E7D">
        <w:rPr>
          <w:sz w:val="20"/>
          <w:szCs w:val="20"/>
        </w:rPr>
        <w:t>.</w:t>
      </w:r>
    </w:p>
    <w:p w14:paraId="07F9D4B6" w14:textId="77777777" w:rsidR="009D0E7D" w:rsidRDefault="009D0E7D" w:rsidP="003358D1">
      <w:pPr>
        <w:pStyle w:val="KZnormln"/>
        <w:keepNext/>
        <w:ind w:left="567" w:hanging="567"/>
        <w:rPr>
          <w:sz w:val="20"/>
          <w:szCs w:val="20"/>
        </w:rPr>
      </w:pPr>
      <w:r w:rsidRPr="00654520">
        <w:rPr>
          <w:b/>
          <w:sz w:val="20"/>
          <w:szCs w:val="20"/>
        </w:rPr>
        <w:t>Pozn.: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>Hodnoty za individuální automobilovou dopravu byly získány na základě odborného</w:t>
      </w:r>
      <w:r w:rsidRPr="009D0E7D">
        <w:rPr>
          <w:sz w:val="20"/>
          <w:szCs w:val="20"/>
        </w:rPr>
        <w:t xml:space="preserve"> odhad</w:t>
      </w:r>
      <w:r>
        <w:rPr>
          <w:sz w:val="20"/>
          <w:szCs w:val="20"/>
        </w:rPr>
        <w:t>u.</w:t>
      </w:r>
      <w:r w:rsidRPr="009D0E7D">
        <w:rPr>
          <w:sz w:val="20"/>
          <w:szCs w:val="20"/>
        </w:rPr>
        <w:t xml:space="preserve"> </w:t>
      </w:r>
      <w:r>
        <w:rPr>
          <w:sz w:val="20"/>
          <w:szCs w:val="20"/>
        </w:rPr>
        <w:t>V</w:t>
      </w:r>
      <w:r w:rsidRPr="009D0E7D">
        <w:rPr>
          <w:sz w:val="20"/>
          <w:szCs w:val="20"/>
        </w:rPr>
        <w:t xml:space="preserve"> roce 2010 </w:t>
      </w:r>
      <w:r>
        <w:rPr>
          <w:sz w:val="20"/>
          <w:szCs w:val="20"/>
        </w:rPr>
        <w:t xml:space="preserve">proběhla </w:t>
      </w:r>
      <w:r w:rsidRPr="009D0E7D">
        <w:rPr>
          <w:sz w:val="20"/>
          <w:szCs w:val="20"/>
        </w:rPr>
        <w:t>změna meto</w:t>
      </w:r>
      <w:r>
        <w:rPr>
          <w:sz w:val="20"/>
          <w:szCs w:val="20"/>
        </w:rPr>
        <w:t>diky sčítání silničního provozu.</w:t>
      </w:r>
      <w:r w:rsidRPr="009D0E7D">
        <w:rPr>
          <w:sz w:val="20"/>
          <w:szCs w:val="20"/>
        </w:rPr>
        <w:t xml:space="preserve"> </w:t>
      </w:r>
      <w:r>
        <w:rPr>
          <w:sz w:val="20"/>
          <w:szCs w:val="20"/>
        </w:rPr>
        <w:t>V</w:t>
      </w:r>
      <w:r w:rsidRPr="009D0E7D">
        <w:rPr>
          <w:sz w:val="20"/>
          <w:szCs w:val="20"/>
        </w:rPr>
        <w:t xml:space="preserve"> roce 2018</w:t>
      </w:r>
      <w:r>
        <w:rPr>
          <w:sz w:val="20"/>
          <w:szCs w:val="20"/>
        </w:rPr>
        <w:t xml:space="preserve"> se změnila metodika sčítání pro MHD</w:t>
      </w:r>
      <w:r w:rsidRPr="009D0E7D">
        <w:rPr>
          <w:sz w:val="20"/>
          <w:szCs w:val="20"/>
        </w:rPr>
        <w:t xml:space="preserve"> a</w:t>
      </w:r>
      <w:r w:rsidR="00B66B6D">
        <w:rPr>
          <w:sz w:val="20"/>
          <w:szCs w:val="20"/>
        </w:rPr>
        <w:t> </w:t>
      </w:r>
      <w:r>
        <w:rPr>
          <w:sz w:val="20"/>
          <w:szCs w:val="20"/>
        </w:rPr>
        <w:t>hodnoty byly zpětně přepočteny</w:t>
      </w:r>
      <w:r w:rsidRPr="009D0E7D">
        <w:rPr>
          <w:sz w:val="20"/>
          <w:szCs w:val="20"/>
        </w:rPr>
        <w:t xml:space="preserve"> od </w:t>
      </w:r>
      <w:r>
        <w:rPr>
          <w:sz w:val="20"/>
          <w:szCs w:val="20"/>
        </w:rPr>
        <w:t xml:space="preserve">roku </w:t>
      </w:r>
      <w:r w:rsidRPr="009D0E7D">
        <w:rPr>
          <w:sz w:val="20"/>
          <w:szCs w:val="20"/>
        </w:rPr>
        <w:t>2014</w:t>
      </w:r>
      <w:r>
        <w:rPr>
          <w:sz w:val="20"/>
          <w:szCs w:val="20"/>
        </w:rPr>
        <w:t>.</w:t>
      </w:r>
      <w:r w:rsidR="002A2C95">
        <w:rPr>
          <w:sz w:val="20"/>
          <w:szCs w:val="20"/>
        </w:rPr>
        <w:t xml:space="preserve"> Výpočet byl proveden jako podíl železniční, autobusové a</w:t>
      </w:r>
      <w:r w:rsidR="00B66B6D">
        <w:rPr>
          <w:sz w:val="20"/>
          <w:szCs w:val="20"/>
        </w:rPr>
        <w:t> </w:t>
      </w:r>
      <w:r w:rsidR="002A2C95">
        <w:rPr>
          <w:sz w:val="20"/>
          <w:szCs w:val="20"/>
        </w:rPr>
        <w:t>městské hromadné dopravy v mil</w:t>
      </w:r>
      <w:r w:rsidR="001F4513">
        <w:rPr>
          <w:sz w:val="20"/>
          <w:szCs w:val="20"/>
        </w:rPr>
        <w:t>ionech</w:t>
      </w:r>
      <w:r w:rsidR="002A2C95">
        <w:rPr>
          <w:sz w:val="20"/>
          <w:szCs w:val="20"/>
        </w:rPr>
        <w:t xml:space="preserve"> os</w:t>
      </w:r>
      <w:r w:rsidR="001F4513">
        <w:rPr>
          <w:sz w:val="20"/>
          <w:szCs w:val="20"/>
        </w:rPr>
        <w:t>obo</w:t>
      </w:r>
      <w:r w:rsidR="002A2C95">
        <w:rPr>
          <w:sz w:val="20"/>
          <w:szCs w:val="20"/>
        </w:rPr>
        <w:t>k</w:t>
      </w:r>
      <w:r w:rsidR="001F4513">
        <w:rPr>
          <w:sz w:val="20"/>
          <w:szCs w:val="20"/>
        </w:rPr>
        <w:t>ilo</w:t>
      </w:r>
      <w:r w:rsidR="002A2C95">
        <w:rPr>
          <w:sz w:val="20"/>
          <w:szCs w:val="20"/>
        </w:rPr>
        <w:t>m</w:t>
      </w:r>
      <w:r w:rsidR="001F4513">
        <w:rPr>
          <w:sz w:val="20"/>
          <w:szCs w:val="20"/>
        </w:rPr>
        <w:t>etrů</w:t>
      </w:r>
      <w:r w:rsidR="002A2C95">
        <w:rPr>
          <w:sz w:val="20"/>
          <w:szCs w:val="20"/>
        </w:rPr>
        <w:t xml:space="preserve"> na přepravních výkonech celkem.</w:t>
      </w:r>
    </w:p>
    <w:p w14:paraId="46F75127" w14:textId="0A512D27" w:rsidR="00310E29" w:rsidRDefault="00E91804" w:rsidP="00DB24C6">
      <w:pPr>
        <w:pStyle w:val="Rmeek"/>
        <w:spacing w:before="120"/>
      </w:pPr>
      <w:r>
        <w:t>I</w:t>
      </w:r>
      <w:r w:rsidRPr="003358D1">
        <w:t xml:space="preserve"> s ohledem na dlouhodobější trendy </w:t>
      </w:r>
      <w:r>
        <w:t>se c</w:t>
      </w:r>
      <w:r w:rsidR="003358D1" w:rsidRPr="003358D1">
        <w:t>ílová hodnota</w:t>
      </w:r>
      <w:r w:rsidR="003358D1">
        <w:t xml:space="preserve"> </w:t>
      </w:r>
      <w:r w:rsidR="003358D1" w:rsidRPr="003358D1">
        <w:t>35 %</w:t>
      </w:r>
      <w:r w:rsidR="003358D1">
        <w:t xml:space="preserve"> u indikátoru „</w:t>
      </w:r>
      <w:r>
        <w:t>p</w:t>
      </w:r>
      <w:r w:rsidR="003358D1" w:rsidRPr="00BA5F1E">
        <w:t>odíl veřejné osobní dopravy na celkových výkonech v</w:t>
      </w:r>
      <w:r w:rsidR="00B66B6D">
        <w:t> </w:t>
      </w:r>
      <w:r w:rsidR="003358D1" w:rsidRPr="00BA5F1E">
        <w:t>osobní dopravě</w:t>
      </w:r>
      <w:r w:rsidR="003358D1">
        <w:t>“</w:t>
      </w:r>
      <w:r w:rsidR="003358D1" w:rsidRPr="003358D1">
        <w:t xml:space="preserve"> jeví jako </w:t>
      </w:r>
      <w:r w:rsidR="003358D1">
        <w:t xml:space="preserve">ambiciózní a těžko dosažitelná, což mimo jiné konstatoval také evaluátor v </w:t>
      </w:r>
      <w:r w:rsidR="003358D1" w:rsidRPr="003358D1">
        <w:rPr>
          <w:i/>
        </w:rPr>
        <w:t>Evaluaci nastavení indikátorové soustavy, prověření intervenční logiky a vyhodnocení informačních zdrojů a datové báze IROP</w:t>
      </w:r>
      <w:r w:rsidR="003358D1">
        <w:t>.</w:t>
      </w:r>
    </w:p>
    <w:p w14:paraId="18F1121F" w14:textId="673DE7B7" w:rsidR="002F1FA6" w:rsidRDefault="003358D1" w:rsidP="00DB24C6">
      <w:pPr>
        <w:pStyle w:val="KZnormln"/>
        <w:spacing w:before="120"/>
      </w:pPr>
      <w:r w:rsidRPr="003358D1">
        <w:t xml:space="preserve">Závěry prakticky všech evaluací </w:t>
      </w:r>
      <w:r>
        <w:t>přínosů, efektů a dopadů</w:t>
      </w:r>
      <w:r w:rsidRPr="003358D1">
        <w:t xml:space="preserve"> intervencí </w:t>
      </w:r>
      <w:r w:rsidR="00061D3F">
        <w:t>realizovaných v programovém období 2007</w:t>
      </w:r>
      <w:r w:rsidR="00E91804">
        <w:t>–</w:t>
      </w:r>
      <w:r w:rsidR="00061D3F">
        <w:t xml:space="preserve">2013 </w:t>
      </w:r>
      <w:r>
        <w:t xml:space="preserve">v rámci regionálních operačních programů </w:t>
      </w:r>
      <w:r w:rsidRPr="003358D1">
        <w:t>se shodují v</w:t>
      </w:r>
      <w:r w:rsidR="00E91804">
        <w:t> </w:t>
      </w:r>
      <w:r w:rsidRPr="003358D1">
        <w:t xml:space="preserve">tom, že počet přepravených osob veřejnou dopravou je ovlivňován množstvím externích faktorů, které lze jen obtížně definovat. </w:t>
      </w:r>
      <w:r>
        <w:t>Stejné faktory přetrvávají, a proto bude v</w:t>
      </w:r>
      <w:r w:rsidRPr="003358D1">
        <w:t>elmi náročné vyhodnotit, zda intervence podporované z</w:t>
      </w:r>
      <w:r>
        <w:t> SC 1.2 I</w:t>
      </w:r>
      <w:r w:rsidRPr="003358D1">
        <w:t>ROP b</w:t>
      </w:r>
      <w:r>
        <w:t>udou</w:t>
      </w:r>
      <w:r w:rsidRPr="003358D1">
        <w:t xml:space="preserve"> přínosné. Avšak nelze ani vyloučit pozitivní dopad těchto opatření.</w:t>
      </w:r>
      <w:r w:rsidR="002F1FA6">
        <w:t xml:space="preserve"> </w:t>
      </w:r>
    </w:p>
    <w:p w14:paraId="7350F7A4" w14:textId="4CEF3A4F" w:rsidR="00310E29" w:rsidRDefault="002F1FA6" w:rsidP="00DB24C6">
      <w:pPr>
        <w:pStyle w:val="Rmeek"/>
        <w:spacing w:before="120"/>
        <w:ind w:right="284"/>
      </w:pPr>
      <w:r>
        <w:t>N</w:t>
      </w:r>
      <w:r w:rsidRPr="002F1FA6">
        <w:t>ení možné prokázat, jaký konkré</w:t>
      </w:r>
      <w:r>
        <w:t>tní vliv na dosahovanou hodnotu indikátoru „</w:t>
      </w:r>
      <w:r w:rsidR="00F179C5">
        <w:t>p</w:t>
      </w:r>
      <w:r w:rsidRPr="00BA5F1E">
        <w:t>odíl veřejné osobní dopravy na celkových výkonech v osobní dopravě</w:t>
      </w:r>
      <w:r>
        <w:t>“</w:t>
      </w:r>
      <w:r w:rsidRPr="002F1FA6">
        <w:t xml:space="preserve"> měly a budou mít intervence realizované prostřednictvím SC 1.2 IROP</w:t>
      </w:r>
    </w:p>
    <w:p w14:paraId="2D8F6D2B" w14:textId="109CD8F2" w:rsidR="002B5439" w:rsidRDefault="002B5439" w:rsidP="00DB24C6">
      <w:pPr>
        <w:pStyle w:val="Nadpis4"/>
        <w:spacing w:before="120" w:after="120"/>
      </w:pPr>
      <w:r>
        <w:t xml:space="preserve">Monitorovací systém neumí zobrazit přínosy realizovaných opatření </w:t>
      </w:r>
      <w:r w:rsidR="00F179C5">
        <w:t>pro</w:t>
      </w:r>
      <w:r>
        <w:t xml:space="preserve"> životní prostředí a</w:t>
      </w:r>
      <w:r w:rsidR="00B66B6D">
        <w:t> </w:t>
      </w:r>
      <w:r>
        <w:t>udržitelný r</w:t>
      </w:r>
      <w:r w:rsidR="007B5B68">
        <w:t>ozvoj</w:t>
      </w:r>
    </w:p>
    <w:p w14:paraId="725BE5E2" w14:textId="1A3C81A9" w:rsidR="00061D3F" w:rsidRDefault="00061D3F" w:rsidP="00DB24C6">
      <w:pPr>
        <w:pStyle w:val="KZnormln"/>
        <w:spacing w:before="120"/>
      </w:pPr>
      <w:r>
        <w:t>Pro interní environmentální indikátory nejsou stanoveny žádné relevantní cílové hodnoty. Na</w:t>
      </w:r>
      <w:r w:rsidR="00F179C5">
        <w:t xml:space="preserve"> </w:t>
      </w:r>
      <w:r>
        <w:t>úrovni projektů se jedná o indikátory, jejichž cílová hodnota nemusí být příjemcem dosažena.</w:t>
      </w:r>
      <w:r w:rsidR="00D02F48">
        <w:t xml:space="preserve"> Hodnoty ze závazku příjemce a dosažené hodnoty </w:t>
      </w:r>
      <w:r w:rsidR="00D02F48" w:rsidRPr="00D02F48">
        <w:t>se získávají z jednotlivých podpořených projektů a agregují se do hodnot</w:t>
      </w:r>
      <w:r w:rsidR="00D02F48">
        <w:t xml:space="preserve"> vykazovaných</w:t>
      </w:r>
      <w:r w:rsidR="00D02F48" w:rsidRPr="00D02F48">
        <w:t xml:space="preserve"> v </w:t>
      </w:r>
      <w:r w:rsidR="00D02F48" w:rsidRPr="00B40250">
        <w:rPr>
          <w:i/>
        </w:rPr>
        <w:t>MS2014+</w:t>
      </w:r>
      <w:r w:rsidR="00D02F48" w:rsidRPr="00D02F48">
        <w:t>.</w:t>
      </w:r>
      <w:r>
        <w:t xml:space="preserve"> </w:t>
      </w:r>
      <w:r w:rsidR="00D02F48">
        <w:t>Přínosy lze sledovat pouze při znalosti výchozích hodnot</w:t>
      </w:r>
      <w:r w:rsidR="0026321F">
        <w:t xml:space="preserve"> z projektů</w:t>
      </w:r>
      <w:r w:rsidR="00D02F48">
        <w:t xml:space="preserve">, které </w:t>
      </w:r>
      <w:r w:rsidR="00D02F48" w:rsidRPr="00B40250">
        <w:rPr>
          <w:i/>
        </w:rPr>
        <w:t>MS2014+</w:t>
      </w:r>
      <w:r w:rsidR="00D02F48">
        <w:t xml:space="preserve"> v agregované podobě nezobrazuje.</w:t>
      </w:r>
    </w:p>
    <w:p w14:paraId="4A8EF215" w14:textId="3D7E87BA" w:rsidR="009C4139" w:rsidRPr="009C4139" w:rsidRDefault="009C4139" w:rsidP="00DB24C6">
      <w:pPr>
        <w:pStyle w:val="Rmeek"/>
        <w:spacing w:before="120"/>
        <w:ind w:right="284"/>
      </w:pPr>
      <w:r>
        <w:lastRenderedPageBreak/>
        <w:t>A</w:t>
      </w:r>
      <w:r w:rsidRPr="009C4139">
        <w:t xml:space="preserve">čkoliv existuje jednotný monitorovací systém </w:t>
      </w:r>
      <w:r w:rsidRPr="00B40250">
        <w:rPr>
          <w:i/>
        </w:rPr>
        <w:t>MS2014+</w:t>
      </w:r>
      <w:r w:rsidRPr="009C4139">
        <w:t xml:space="preserve">, tak není schopen poskytnout souhrnná data za </w:t>
      </w:r>
      <w:r>
        <w:t>environmentální indikátory výsledku</w:t>
      </w:r>
      <w:r w:rsidRPr="009C4139">
        <w:t xml:space="preserve"> na úrovni SC 1.2 IROP. </w:t>
      </w:r>
      <w:r w:rsidR="00E23F3F">
        <w:t>Absence agregace výchozích hodnot výsledkových indikátorů je v rozporu s </w:t>
      </w:r>
      <w:r w:rsidR="00E23F3F" w:rsidRPr="00E23F3F">
        <w:rPr>
          <w:i/>
        </w:rPr>
        <w:t>Metodickým pokynem pro monitorování implementace ESIF v ČR v programovém období 2014–2020</w:t>
      </w:r>
      <w:r w:rsidR="00E23F3F">
        <w:t xml:space="preserve">. </w:t>
      </w:r>
      <w:r w:rsidR="0058570C">
        <w:t xml:space="preserve">Aby MMR </w:t>
      </w:r>
      <w:r w:rsidR="0026321F">
        <w:t xml:space="preserve">v roli ŘO IROP </w:t>
      </w:r>
      <w:r w:rsidR="0058570C">
        <w:t xml:space="preserve">zjistilo přínosy </w:t>
      </w:r>
      <w:r w:rsidR="00565367">
        <w:t xml:space="preserve">z realizovaných intervencí </w:t>
      </w:r>
      <w:r w:rsidR="00BF2623">
        <w:t>pro</w:t>
      </w:r>
      <w:r w:rsidR="00E23F3F" w:rsidRPr="00E23F3F">
        <w:t xml:space="preserve"> životní prostředí a</w:t>
      </w:r>
      <w:r w:rsidR="00DB24C6">
        <w:t> </w:t>
      </w:r>
      <w:r w:rsidR="00E23F3F" w:rsidRPr="00E23F3F">
        <w:t>udržitelný rozvoj</w:t>
      </w:r>
      <w:r w:rsidR="0058570C">
        <w:t>,</w:t>
      </w:r>
      <w:r w:rsidRPr="009C4139">
        <w:t xml:space="preserve"> provádí agregaci </w:t>
      </w:r>
      <w:r w:rsidR="00565367">
        <w:t xml:space="preserve">hodnot </w:t>
      </w:r>
      <w:r w:rsidRPr="009C4139">
        <w:t xml:space="preserve">za projekty mimo </w:t>
      </w:r>
      <w:r w:rsidRPr="00B40250">
        <w:rPr>
          <w:i/>
        </w:rPr>
        <w:t>MS2014+</w:t>
      </w:r>
      <w:r w:rsidRPr="009C4139">
        <w:t>, což nepřispívá k</w:t>
      </w:r>
      <w:r w:rsidR="00DB24C6">
        <w:t> </w:t>
      </w:r>
      <w:r w:rsidRPr="009C4139">
        <w:t>efektivnosti řízení IROP.</w:t>
      </w:r>
    </w:p>
    <w:p w14:paraId="7063B5A0" w14:textId="77777777" w:rsidR="002B5439" w:rsidRDefault="002B5439" w:rsidP="00DB24C6">
      <w:pPr>
        <w:pStyle w:val="Nadpis4"/>
        <w:spacing w:before="120" w:after="120"/>
      </w:pPr>
      <w:r>
        <w:t xml:space="preserve">Údaje o počtu přepravených osob veřejnou dopravou </w:t>
      </w:r>
      <w:r w:rsidR="005B0B81">
        <w:t xml:space="preserve">jsou </w:t>
      </w:r>
      <w:r w:rsidR="00D101D7">
        <w:t>nevěrohodné</w:t>
      </w:r>
    </w:p>
    <w:p w14:paraId="3C3BB2F0" w14:textId="623734FA" w:rsidR="00061D3F" w:rsidRDefault="00565367" w:rsidP="00DB24C6">
      <w:pPr>
        <w:pStyle w:val="KZnormln"/>
        <w:spacing w:before="120"/>
      </w:pPr>
      <w:r w:rsidRPr="00565367">
        <w:t xml:space="preserve">Dosavadní cílová hodnota </w:t>
      </w:r>
      <w:r w:rsidR="00161155">
        <w:t xml:space="preserve">environmentálního indikátoru </w:t>
      </w:r>
      <w:r>
        <w:t>výsledku</w:t>
      </w:r>
      <w:r w:rsidRPr="00565367">
        <w:t xml:space="preserve"> „</w:t>
      </w:r>
      <w:r w:rsidR="00BF2623">
        <w:t>p</w:t>
      </w:r>
      <w:r w:rsidRPr="00565367">
        <w:t>očet osob přepravených veřejnou dopravou“ daná uzavřenými závazky</w:t>
      </w:r>
      <w:r>
        <w:t xml:space="preserve"> </w:t>
      </w:r>
      <w:r w:rsidRPr="00565367">
        <w:t>dosahuje výše 1 417 068 989 osob. Dosaženo přitom již bylo 347 712 652 osob. Tyto hodnoty jsou zjevně nereálné a neodrážejí skutečný stav v přepravě osob.</w:t>
      </w:r>
      <w:r>
        <w:t xml:space="preserve"> Ner</w:t>
      </w:r>
      <w:r w:rsidR="00C143A3">
        <w:t xml:space="preserve">eálnost hodnot je způsobena tím, že příjemci </w:t>
      </w:r>
      <w:r w:rsidR="00C143A3" w:rsidRPr="00C143A3">
        <w:t>chybně vykazují počet přepravených osob za celou síť</w:t>
      </w:r>
      <w:r w:rsidR="00BF2623">
        <w:t>,</w:t>
      </w:r>
      <w:r w:rsidR="00C143A3" w:rsidRPr="00C143A3">
        <w:t xml:space="preserve"> a nikoliv jenom za zlepšené úseky či za přestupující osoby</w:t>
      </w:r>
      <w:r w:rsidR="00C143A3">
        <w:t xml:space="preserve">. Další příčinou je skutečnost, že v </w:t>
      </w:r>
      <w:r w:rsidR="00C143A3" w:rsidRPr="00C143A3">
        <w:t>případě více projektů u jednoho příjemce realizovaných v</w:t>
      </w:r>
      <w:r w:rsidR="00DB24C6">
        <w:t> </w:t>
      </w:r>
      <w:r w:rsidR="00C143A3" w:rsidRPr="00C143A3">
        <w:t>souběžném období dochází k vícenásobnému vykázání stejných přepravených osob u</w:t>
      </w:r>
      <w:r w:rsidR="00DB24C6">
        <w:t> </w:t>
      </w:r>
      <w:r w:rsidR="00C143A3" w:rsidRPr="00C143A3">
        <w:t>různých projektů. Agregací hodnot z</w:t>
      </w:r>
      <w:r w:rsidR="00C143A3">
        <w:t>e souběžných</w:t>
      </w:r>
      <w:r w:rsidR="00C143A3" w:rsidRPr="00C143A3">
        <w:t xml:space="preserve"> projektů jsou stejné přepravené osoby započítá</w:t>
      </w:r>
      <w:r w:rsidR="00BF2623">
        <w:t>vá</w:t>
      </w:r>
      <w:r w:rsidR="00C143A3" w:rsidRPr="00C143A3">
        <w:t>ny do hodnoty indikátoru vícekrát.</w:t>
      </w:r>
    </w:p>
    <w:p w14:paraId="594C65BF" w14:textId="0F0D956B" w:rsidR="00C143A3" w:rsidRDefault="00C143A3" w:rsidP="00DB24C6">
      <w:pPr>
        <w:pStyle w:val="Rmeek"/>
        <w:spacing w:before="120"/>
      </w:pPr>
      <w:r>
        <w:t>Hodnoty environmentálního indikátoru výsledku</w:t>
      </w:r>
      <w:r w:rsidRPr="00565367">
        <w:t xml:space="preserve"> „</w:t>
      </w:r>
      <w:r w:rsidR="00BF2623">
        <w:t>p</w:t>
      </w:r>
      <w:r w:rsidRPr="00565367">
        <w:t>očet osob přepravených veřejnou dopravou“</w:t>
      </w:r>
      <w:r>
        <w:t xml:space="preserve"> zobrazované v monitorovacím systému </w:t>
      </w:r>
      <w:r w:rsidRPr="00B40250">
        <w:rPr>
          <w:i/>
        </w:rPr>
        <w:t>MS2014+</w:t>
      </w:r>
      <w:r>
        <w:t xml:space="preserve"> na úrovni SC 1.2 IROP jsou </w:t>
      </w:r>
      <w:r w:rsidR="005B0B81">
        <w:t>nevěrohodné</w:t>
      </w:r>
      <w:r>
        <w:t xml:space="preserve">. </w:t>
      </w:r>
      <w:r w:rsidR="00B46C62">
        <w:t>MMR nenastavilo</w:t>
      </w:r>
      <w:r w:rsidRPr="00C143A3">
        <w:t xml:space="preserve"> žádný korekční mech</w:t>
      </w:r>
      <w:r w:rsidR="00AA7F84">
        <w:t>anismus, který by chybný stav a </w:t>
      </w:r>
      <w:r w:rsidRPr="00C143A3">
        <w:t xml:space="preserve">možnou duplicitu dat </w:t>
      </w:r>
      <w:r>
        <w:t xml:space="preserve">o počtu osob přepravených veřejnou dopravou </w:t>
      </w:r>
      <w:r w:rsidR="00AA7F84">
        <w:t>prověřoval a </w:t>
      </w:r>
      <w:r w:rsidRPr="00C143A3">
        <w:t>korigoval.</w:t>
      </w:r>
      <w:r>
        <w:t xml:space="preserve"> Za</w:t>
      </w:r>
      <w:r w:rsidR="00983CD6">
        <w:t xml:space="preserve"> </w:t>
      </w:r>
      <w:r>
        <w:t>současného stavu nelze zjistit přínosy z realizovaných intervencí v rámci SC 1.2 IROP, které by deklarovaly přírůstek počtu osob přepravených veřejnou dopravou.</w:t>
      </w:r>
    </w:p>
    <w:p w14:paraId="62E831F1" w14:textId="77777777" w:rsidR="00533BF0" w:rsidRPr="00B40250" w:rsidRDefault="00D667C5" w:rsidP="00FE3EF5">
      <w:pPr>
        <w:pStyle w:val="Pklady-modrrmeek"/>
        <w:keepNext/>
        <w:ind w:right="284"/>
        <w:rPr>
          <w:b/>
        </w:rPr>
      </w:pPr>
      <w:r w:rsidRPr="00B40250">
        <w:rPr>
          <w:b/>
        </w:rPr>
        <w:t xml:space="preserve">Příklady chybných hodnot indikátoru „Počet osob přepravených veřejnou dopravou“ zadaných příjemcem do monitorovacího systému MS2014+: </w:t>
      </w:r>
    </w:p>
    <w:p w14:paraId="00D0D76D" w14:textId="271ED5FF" w:rsidR="00533BF0" w:rsidRDefault="00B21322" w:rsidP="001F5417">
      <w:pPr>
        <w:pStyle w:val="Pklady-modrrmeek"/>
      </w:pPr>
      <w:r>
        <w:t xml:space="preserve">Příjemce </w:t>
      </w:r>
      <w:r w:rsidR="00533BF0">
        <w:t>u</w:t>
      </w:r>
      <w:r w:rsidR="00246DD4">
        <w:t xml:space="preserve"> jednoho ze svých projektů</w:t>
      </w:r>
      <w:r w:rsidR="00246DD4">
        <w:rPr>
          <w:rStyle w:val="Znakapoznpodarou"/>
        </w:rPr>
        <w:footnoteReference w:id="48"/>
      </w:r>
      <w:r w:rsidR="00246DD4">
        <w:t xml:space="preserve"> na pořízení </w:t>
      </w:r>
      <w:proofErr w:type="spellStart"/>
      <w:r w:rsidR="00246DD4">
        <w:t>elektrobusů</w:t>
      </w:r>
      <w:proofErr w:type="spellEnd"/>
      <w:r w:rsidR="00533BF0">
        <w:t xml:space="preserve"> zahrnul do výchozí a</w:t>
      </w:r>
      <w:r w:rsidR="00DB24C6">
        <w:t> </w:t>
      </w:r>
      <w:r w:rsidR="00533BF0">
        <w:t>cílové hodnoty</w:t>
      </w:r>
      <w:r w:rsidR="00246DD4">
        <w:t xml:space="preserve"> počet přepravených osob za celou síť MHD, která zahrnovala kromě autobusové dopravy také přepravu osob trolejbusy. U</w:t>
      </w:r>
      <w:r w:rsidR="001F5417">
        <w:t> </w:t>
      </w:r>
      <w:r w:rsidR="00246DD4">
        <w:t>druhého projektu</w:t>
      </w:r>
      <w:r w:rsidR="00246DD4">
        <w:rPr>
          <w:rStyle w:val="Znakapoznpodarou"/>
        </w:rPr>
        <w:footnoteReference w:id="49"/>
      </w:r>
      <w:r w:rsidR="00246DD4">
        <w:t xml:space="preserve"> </w:t>
      </w:r>
      <w:r w:rsidR="00246DD4" w:rsidRPr="00246DD4">
        <w:t xml:space="preserve">stanovil </w:t>
      </w:r>
      <w:r w:rsidR="00246DD4">
        <w:t>hodnoty</w:t>
      </w:r>
      <w:r w:rsidR="00246DD4" w:rsidRPr="00246DD4">
        <w:t xml:space="preserve"> za celou síť MHD (400 linek v délce 323 km), ačkoliv </w:t>
      </w:r>
      <w:r w:rsidR="00246DD4">
        <w:t xml:space="preserve">pořizované </w:t>
      </w:r>
      <w:r w:rsidR="00246DD4" w:rsidRPr="00246DD4">
        <w:t>trolejbusy plánoval nasadit na stávající autobusovou li</w:t>
      </w:r>
      <w:r w:rsidR="00246DD4">
        <w:t>nku č. 27, která je v</w:t>
      </w:r>
      <w:r w:rsidR="001F5417">
        <w:t> </w:t>
      </w:r>
      <w:r w:rsidR="00246DD4">
        <w:t>délce 7,5 </w:t>
      </w:r>
      <w:r w:rsidR="00246DD4" w:rsidRPr="00246DD4">
        <w:t>km.</w:t>
      </w:r>
    </w:p>
    <w:p w14:paraId="47D2D085" w14:textId="1729EAC3" w:rsidR="000C0C4A" w:rsidRPr="001F5417" w:rsidRDefault="001F5417" w:rsidP="001B77D1">
      <w:pPr>
        <w:pStyle w:val="Pklady-modrrmeek"/>
        <w:ind w:right="284"/>
        <w:rPr>
          <w:color w:val="000000"/>
        </w:rPr>
      </w:pPr>
      <w:r>
        <w:t>V případě dvou projektů</w:t>
      </w:r>
      <w:r>
        <w:rPr>
          <w:rStyle w:val="Znakapoznpodarou"/>
        </w:rPr>
        <w:footnoteReference w:id="50"/>
      </w:r>
      <w:r>
        <w:t xml:space="preserve"> </w:t>
      </w:r>
      <w:r w:rsidR="00B21322">
        <w:t xml:space="preserve">jiného </w:t>
      </w:r>
      <w:r>
        <w:t>příjemce jsou stanoveny stejné</w:t>
      </w:r>
      <w:r w:rsidR="00A2167D">
        <w:t xml:space="preserve"> </w:t>
      </w:r>
      <w:r>
        <w:t>hodnoty indikátoru.</w:t>
      </w:r>
    </w:p>
    <w:p w14:paraId="1D34764F" w14:textId="77777777" w:rsidR="009C5E58" w:rsidRDefault="009C5E58" w:rsidP="00DB24C6">
      <w:pPr>
        <w:pStyle w:val="Nadpis4"/>
        <w:spacing w:before="120" w:after="120"/>
        <w:rPr>
          <w:rFonts w:eastAsiaTheme="minorHAnsi"/>
        </w:rPr>
      </w:pPr>
      <w:r>
        <w:rPr>
          <w:rFonts w:eastAsiaTheme="minorHAnsi"/>
        </w:rPr>
        <w:t xml:space="preserve">Riziko využívání </w:t>
      </w:r>
      <w:r w:rsidR="00E031BF">
        <w:rPr>
          <w:rFonts w:eastAsiaTheme="minorHAnsi"/>
        </w:rPr>
        <w:t>vyřazených neekologických vozidel ve veřejné dopravě</w:t>
      </w:r>
    </w:p>
    <w:p w14:paraId="00AB7F7B" w14:textId="77777777" w:rsidR="00E031BF" w:rsidRDefault="009C5E58" w:rsidP="00DB24C6">
      <w:pPr>
        <w:pStyle w:val="KZnormln"/>
        <w:spacing w:before="120"/>
        <w:rPr>
          <w:rFonts w:eastAsiaTheme="minorHAnsi"/>
        </w:rPr>
      </w:pPr>
      <w:r>
        <w:rPr>
          <w:rFonts w:eastAsiaTheme="minorHAnsi"/>
        </w:rPr>
        <w:t>V</w:t>
      </w:r>
      <w:r w:rsidRPr="009C5E58">
        <w:rPr>
          <w:rFonts w:eastAsiaTheme="minorHAnsi"/>
        </w:rPr>
        <w:t xml:space="preserve"> případě nahrazování stávajících vozidel novými (</w:t>
      </w:r>
      <w:proofErr w:type="spellStart"/>
      <w:r w:rsidRPr="009C5E58">
        <w:rPr>
          <w:rFonts w:eastAsiaTheme="minorHAnsi"/>
        </w:rPr>
        <w:t>nízkoemisními</w:t>
      </w:r>
      <w:proofErr w:type="spellEnd"/>
      <w:r w:rsidRPr="009C5E58">
        <w:rPr>
          <w:rFonts w:eastAsiaTheme="minorHAnsi"/>
        </w:rPr>
        <w:t xml:space="preserve"> nebo bezemisními) přispívají </w:t>
      </w:r>
      <w:r>
        <w:rPr>
          <w:rFonts w:eastAsiaTheme="minorHAnsi"/>
        </w:rPr>
        <w:t xml:space="preserve">projekty </w:t>
      </w:r>
      <w:r w:rsidRPr="009C5E58">
        <w:rPr>
          <w:rFonts w:eastAsiaTheme="minorHAnsi"/>
        </w:rPr>
        <w:t>ke zlepšení životního prostředí zejména tím, že nevyhovující vozidla neposkytují veřejnou službu ve veřejné dopravě.</w:t>
      </w:r>
      <w:r>
        <w:rPr>
          <w:rFonts w:eastAsiaTheme="minorHAnsi"/>
        </w:rPr>
        <w:t xml:space="preserve"> NKÚ zjistil nejasnosti </w:t>
      </w:r>
      <w:r w:rsidRPr="009C5E58">
        <w:rPr>
          <w:rFonts w:eastAsiaTheme="minorHAnsi"/>
        </w:rPr>
        <w:t>ve stanovení způsobu, jakým by příjemce měl prokazovat splnění podmínky, že stávající vozidla byla vyřazena z veřejných služeb pro přepravu cestujících.</w:t>
      </w:r>
      <w:r>
        <w:rPr>
          <w:rFonts w:eastAsiaTheme="minorHAnsi"/>
        </w:rPr>
        <w:t xml:space="preserve"> </w:t>
      </w:r>
    </w:p>
    <w:p w14:paraId="4E464FCC" w14:textId="52F60744" w:rsidR="009C5E58" w:rsidRDefault="009C5E58" w:rsidP="00DB24C6">
      <w:pPr>
        <w:pStyle w:val="KZnormln"/>
        <w:spacing w:before="120"/>
        <w:rPr>
          <w:rFonts w:eastAsiaTheme="minorHAnsi"/>
        </w:rPr>
      </w:pPr>
      <w:r>
        <w:rPr>
          <w:rFonts w:eastAsiaTheme="minorHAnsi"/>
        </w:rPr>
        <w:t>Podmínku vyřazení vozidel z veřejných služeb pro přepravu cestujících zařadilo MMR pouze do pravidel pro výpočet environmentálního indikátoru „</w:t>
      </w:r>
      <w:r w:rsidR="00983CD6">
        <w:rPr>
          <w:rFonts w:eastAsiaTheme="minorHAnsi"/>
        </w:rPr>
        <w:t>m</w:t>
      </w:r>
      <w:r w:rsidRPr="00CC0FA6">
        <w:rPr>
          <w:rFonts w:eastAsiaTheme="minorHAnsi"/>
        </w:rPr>
        <w:t>nožství emisí primárních částic a</w:t>
      </w:r>
      <w:r w:rsidR="00B66B6D">
        <w:rPr>
          <w:rFonts w:eastAsiaTheme="minorHAnsi"/>
        </w:rPr>
        <w:t> </w:t>
      </w:r>
      <w:r w:rsidRPr="00CC0FA6">
        <w:rPr>
          <w:rFonts w:eastAsiaTheme="minorHAnsi"/>
        </w:rPr>
        <w:t>prekurzorů sekundárních částic v rámci podpořených projektů</w:t>
      </w:r>
      <w:r>
        <w:rPr>
          <w:rFonts w:eastAsiaTheme="minorHAnsi"/>
        </w:rPr>
        <w:t>“.</w:t>
      </w:r>
      <w:r w:rsidR="00E031BF">
        <w:rPr>
          <w:rFonts w:eastAsiaTheme="minorHAnsi"/>
        </w:rPr>
        <w:t xml:space="preserve"> Není tak stanovena </w:t>
      </w:r>
      <w:r w:rsidR="00E031BF">
        <w:rPr>
          <w:rFonts w:eastAsiaTheme="minorHAnsi"/>
        </w:rPr>
        <w:lastRenderedPageBreak/>
        <w:t>v rozhodnutí o poskytnutí dotace a ani v jeho podmínkách. Pravidla pro výpočet jsou jednou z příloh pravidel pro příjemce a žadatele. Z formulace zde uvedené není zřejmé, zda je tato podmínka povinností příjemce, respektive jakým způsobem má být splněna.</w:t>
      </w:r>
    </w:p>
    <w:p w14:paraId="7A703533" w14:textId="77777777" w:rsidR="00634879" w:rsidRDefault="00E031BF" w:rsidP="00DB24C6">
      <w:pPr>
        <w:pStyle w:val="Rmeek"/>
        <w:spacing w:before="120"/>
        <w:ind w:right="284"/>
        <w:rPr>
          <w:rFonts w:eastAsiaTheme="minorHAnsi"/>
        </w:rPr>
      </w:pPr>
      <w:r>
        <w:rPr>
          <w:rFonts w:eastAsiaTheme="minorHAnsi"/>
        </w:rPr>
        <w:t>MMR v roli ŘO IROP v rozporu s pravidlem metodického pokynu</w:t>
      </w:r>
      <w:r w:rsidR="00634879">
        <w:rPr>
          <w:rStyle w:val="Znakapoznpodarou"/>
          <w:rFonts w:eastAsiaTheme="minorHAnsi"/>
        </w:rPr>
        <w:footnoteReference w:id="51"/>
      </w:r>
      <w:r>
        <w:rPr>
          <w:rFonts w:eastAsiaTheme="minorHAnsi"/>
        </w:rPr>
        <w:t xml:space="preserve"> </w:t>
      </w:r>
      <w:r w:rsidR="00634879" w:rsidRPr="00634879">
        <w:rPr>
          <w:rFonts w:eastAsiaTheme="minorHAnsi"/>
        </w:rPr>
        <w:t>nespecifikovalo jednoznačně a srozumitelně jednu z povinností příjemce podpory</w:t>
      </w:r>
      <w:r w:rsidR="00634879">
        <w:rPr>
          <w:rFonts w:eastAsiaTheme="minorHAnsi"/>
        </w:rPr>
        <w:t xml:space="preserve"> z výz</w:t>
      </w:r>
      <w:r w:rsidR="009A1EE9">
        <w:rPr>
          <w:rFonts w:eastAsiaTheme="minorHAnsi"/>
        </w:rPr>
        <w:t>e</w:t>
      </w:r>
      <w:r w:rsidR="00634879">
        <w:rPr>
          <w:rFonts w:eastAsiaTheme="minorHAnsi"/>
        </w:rPr>
        <w:t>v č. 20 a č. 50. V</w:t>
      </w:r>
      <w:r w:rsidR="00B66B6D">
        <w:rPr>
          <w:rFonts w:eastAsiaTheme="minorHAnsi"/>
        </w:rPr>
        <w:t> </w:t>
      </w:r>
      <w:r w:rsidR="00634879" w:rsidRPr="00634879">
        <w:rPr>
          <w:rFonts w:eastAsiaTheme="minorHAnsi"/>
        </w:rPr>
        <w:t xml:space="preserve">případě realizace projektu v </w:t>
      </w:r>
      <w:r w:rsidR="00634879">
        <w:rPr>
          <w:rFonts w:eastAsiaTheme="minorHAnsi"/>
        </w:rPr>
        <w:t>aktivitě</w:t>
      </w:r>
      <w:r w:rsidR="00634879" w:rsidRPr="00634879">
        <w:rPr>
          <w:rFonts w:eastAsiaTheme="minorHAnsi"/>
        </w:rPr>
        <w:t xml:space="preserve"> „</w:t>
      </w:r>
      <w:proofErr w:type="spellStart"/>
      <w:r w:rsidR="00634879" w:rsidRPr="00634879">
        <w:rPr>
          <w:rFonts w:eastAsiaTheme="minorHAnsi"/>
        </w:rPr>
        <w:t>Nízkoemisní</w:t>
      </w:r>
      <w:proofErr w:type="spellEnd"/>
      <w:r w:rsidR="00634879" w:rsidRPr="00634879">
        <w:rPr>
          <w:rFonts w:eastAsiaTheme="minorHAnsi"/>
        </w:rPr>
        <w:t xml:space="preserve"> a bezemisní vozidla“</w:t>
      </w:r>
      <w:r w:rsidR="00634879">
        <w:rPr>
          <w:rFonts w:eastAsiaTheme="minorHAnsi"/>
        </w:rPr>
        <w:t xml:space="preserve">, kdy příjemce obnovoval vozový park, tak mohla vyřazená vozidla i nadále poskytovat služby ve veřejné dopravě, i když tento stav je v rozporu s cíli nejen projektu, ale i IROP. </w:t>
      </w:r>
    </w:p>
    <w:p w14:paraId="066BE669" w14:textId="77777777" w:rsidR="00E9194A" w:rsidRPr="00B40250" w:rsidRDefault="00E9194A" w:rsidP="007A28D2">
      <w:pPr>
        <w:pStyle w:val="Pklady-modrrmeek"/>
        <w:keepNext/>
        <w:ind w:right="284"/>
        <w:rPr>
          <w:rFonts w:eastAsiaTheme="minorHAnsi"/>
          <w:b/>
        </w:rPr>
      </w:pPr>
      <w:r w:rsidRPr="00B40250">
        <w:rPr>
          <w:rFonts w:eastAsiaTheme="minorHAnsi"/>
          <w:b/>
        </w:rPr>
        <w:t>Příklady rizika poskytování služeb ve veřejné dopravě vyřazeným neekologickým vozidlem:</w:t>
      </w:r>
    </w:p>
    <w:p w14:paraId="747303D6" w14:textId="0A99BA8E" w:rsidR="00E9194A" w:rsidRDefault="000B3F5A" w:rsidP="000B3F5A">
      <w:pPr>
        <w:pStyle w:val="Pklady-modrrmeek"/>
        <w:rPr>
          <w:rFonts w:eastAsiaTheme="minorHAnsi"/>
        </w:rPr>
      </w:pPr>
      <w:r w:rsidRPr="000B3F5A">
        <w:rPr>
          <w:rFonts w:eastAsiaTheme="minorHAnsi"/>
        </w:rPr>
        <w:t xml:space="preserve">V rámci </w:t>
      </w:r>
      <w:r>
        <w:rPr>
          <w:rFonts w:eastAsiaTheme="minorHAnsi"/>
        </w:rPr>
        <w:t xml:space="preserve">jednoho </w:t>
      </w:r>
      <w:r w:rsidRPr="000B3F5A">
        <w:rPr>
          <w:rFonts w:eastAsiaTheme="minorHAnsi"/>
        </w:rPr>
        <w:t>projektu</w:t>
      </w:r>
      <w:r>
        <w:rPr>
          <w:rStyle w:val="Znakapoznpodarou"/>
          <w:rFonts w:eastAsiaTheme="minorHAnsi"/>
        </w:rPr>
        <w:footnoteReference w:id="52"/>
      </w:r>
      <w:r w:rsidRPr="000B3F5A">
        <w:rPr>
          <w:rFonts w:eastAsiaTheme="minorHAnsi"/>
        </w:rPr>
        <w:t xml:space="preserve"> </w:t>
      </w:r>
      <w:r w:rsidR="003C1C56">
        <w:rPr>
          <w:rFonts w:eastAsiaTheme="minorHAnsi"/>
        </w:rPr>
        <w:t xml:space="preserve">předal </w:t>
      </w:r>
      <w:r w:rsidR="003C1C56" w:rsidRPr="000B3F5A">
        <w:rPr>
          <w:rFonts w:eastAsiaTheme="minorHAnsi"/>
        </w:rPr>
        <w:t>příjemce</w:t>
      </w:r>
      <w:r w:rsidR="003C1C56">
        <w:rPr>
          <w:rFonts w:eastAsiaTheme="minorHAnsi"/>
        </w:rPr>
        <w:t xml:space="preserve"> v lednu 2018 </w:t>
      </w:r>
      <w:r w:rsidR="007A28D2">
        <w:rPr>
          <w:rFonts w:eastAsiaTheme="minorHAnsi"/>
        </w:rPr>
        <w:t>dva autobusy k ekologické likvidaci, což doložil relevantním dokladem.</w:t>
      </w:r>
      <w:r w:rsidRPr="000B3F5A">
        <w:rPr>
          <w:rFonts w:eastAsiaTheme="minorHAnsi"/>
        </w:rPr>
        <w:t xml:space="preserve"> </w:t>
      </w:r>
      <w:r w:rsidR="007A28D2">
        <w:rPr>
          <w:rFonts w:eastAsiaTheme="minorHAnsi"/>
        </w:rPr>
        <w:t>V</w:t>
      </w:r>
      <w:r w:rsidR="007A28D2" w:rsidRPr="007A28D2">
        <w:rPr>
          <w:rFonts w:eastAsiaTheme="minorHAnsi"/>
        </w:rPr>
        <w:t xml:space="preserve">e veřejné databázi </w:t>
      </w:r>
      <w:hyperlink r:id="rId31" w:history="1">
        <w:r w:rsidR="007A28D2" w:rsidRPr="00F262D6">
          <w:rPr>
            <w:rFonts w:ascii="Calibri" w:eastAsia="Calibri" w:hAnsi="Calibri"/>
            <w:color w:val="0563C1"/>
            <w:u w:val="single"/>
          </w:rPr>
          <w:t>https://seznam-autobusu.cz/vyhledavani</w:t>
        </w:r>
      </w:hyperlink>
      <w:r w:rsidR="007A28D2" w:rsidRPr="007A28D2">
        <w:rPr>
          <w:rFonts w:eastAsiaTheme="minorHAnsi"/>
        </w:rPr>
        <w:t xml:space="preserve"> </w:t>
      </w:r>
      <w:r w:rsidR="007A28D2">
        <w:rPr>
          <w:rFonts w:eastAsiaTheme="minorHAnsi"/>
        </w:rPr>
        <w:t xml:space="preserve">NKÚ zjistil, že </w:t>
      </w:r>
      <w:r w:rsidR="004A1EFB">
        <w:rPr>
          <w:rFonts w:eastAsiaTheme="minorHAnsi"/>
        </w:rPr>
        <w:t xml:space="preserve">tyto autobusy </w:t>
      </w:r>
      <w:r w:rsidR="007A28D2">
        <w:rPr>
          <w:rFonts w:eastAsiaTheme="minorHAnsi"/>
        </w:rPr>
        <w:t xml:space="preserve">jsou nadále využívány dopravcem, který </w:t>
      </w:r>
      <w:r w:rsidRPr="000B3F5A">
        <w:rPr>
          <w:rFonts w:eastAsiaTheme="minorHAnsi"/>
        </w:rPr>
        <w:t>provozuje vnitrostátní zájezdovou a linkovou dopravu. Záznamy do evidence dle zákona o odpadech se nevztahují na vozidla kate</w:t>
      </w:r>
      <w:r w:rsidR="007A28D2">
        <w:rPr>
          <w:rFonts w:eastAsiaTheme="minorHAnsi"/>
        </w:rPr>
        <w:t xml:space="preserve">gorie M3, kterými jsou </w:t>
      </w:r>
      <w:r w:rsidR="005F376D">
        <w:rPr>
          <w:rFonts w:eastAsiaTheme="minorHAnsi"/>
        </w:rPr>
        <w:t xml:space="preserve">i </w:t>
      </w:r>
      <w:r w:rsidR="007A28D2">
        <w:rPr>
          <w:rFonts w:eastAsiaTheme="minorHAnsi"/>
        </w:rPr>
        <w:t xml:space="preserve">autobusy, proto ŘO IROP nemohl </w:t>
      </w:r>
      <w:r w:rsidR="009C4D68">
        <w:rPr>
          <w:rFonts w:eastAsiaTheme="minorHAnsi"/>
        </w:rPr>
        <w:t xml:space="preserve">touto cestou </w:t>
      </w:r>
      <w:r w:rsidR="007A28D2">
        <w:rPr>
          <w:rFonts w:eastAsiaTheme="minorHAnsi"/>
        </w:rPr>
        <w:t>ověřit, zda k likvidaci vozidel skutečně došlo.</w:t>
      </w:r>
    </w:p>
    <w:p w14:paraId="3ED166B7" w14:textId="77777777" w:rsidR="007A28D2" w:rsidRPr="000B3F5A" w:rsidRDefault="007A28D2" w:rsidP="000B3F5A">
      <w:pPr>
        <w:pStyle w:val="Pklady-modrrmeek"/>
        <w:rPr>
          <w:rFonts w:eastAsiaTheme="minorHAnsi"/>
        </w:rPr>
      </w:pPr>
      <w:r>
        <w:rPr>
          <w:rFonts w:eastAsiaTheme="minorHAnsi"/>
        </w:rPr>
        <w:t>Příjemce podpory v jednom ze svých projektů</w:t>
      </w:r>
      <w:r>
        <w:rPr>
          <w:rStyle w:val="Znakapoznpodarou"/>
          <w:rFonts w:eastAsiaTheme="minorHAnsi"/>
        </w:rPr>
        <w:footnoteReference w:id="53"/>
      </w:r>
      <w:r w:rsidRPr="007A28D2">
        <w:rPr>
          <w:rFonts w:eastAsiaTheme="minorHAnsi"/>
        </w:rPr>
        <w:t xml:space="preserve"> </w:t>
      </w:r>
      <w:r>
        <w:rPr>
          <w:rFonts w:eastAsiaTheme="minorHAnsi"/>
        </w:rPr>
        <w:t xml:space="preserve">vyřadil </w:t>
      </w:r>
      <w:r w:rsidRPr="007A28D2">
        <w:rPr>
          <w:rFonts w:eastAsiaTheme="minorHAnsi"/>
        </w:rPr>
        <w:t xml:space="preserve">dva autobusy </w:t>
      </w:r>
      <w:r>
        <w:rPr>
          <w:rFonts w:eastAsiaTheme="minorHAnsi"/>
        </w:rPr>
        <w:t>na základě kupní smlouvy</w:t>
      </w:r>
      <w:r w:rsidRPr="007A28D2">
        <w:rPr>
          <w:rFonts w:eastAsiaTheme="minorHAnsi"/>
        </w:rPr>
        <w:t xml:space="preserve"> </w:t>
      </w:r>
      <w:r w:rsidR="00FE2ECD">
        <w:rPr>
          <w:rFonts w:eastAsiaTheme="minorHAnsi"/>
        </w:rPr>
        <w:t xml:space="preserve">uzavřené s </w:t>
      </w:r>
      <w:r>
        <w:rPr>
          <w:rFonts w:eastAsiaTheme="minorHAnsi"/>
        </w:rPr>
        <w:t xml:space="preserve">dopravní </w:t>
      </w:r>
      <w:r w:rsidR="00FE2ECD" w:rsidRPr="007A28D2">
        <w:rPr>
          <w:rFonts w:eastAsiaTheme="minorHAnsi"/>
        </w:rPr>
        <w:t>společnost</w:t>
      </w:r>
      <w:r w:rsidR="00FE2ECD">
        <w:rPr>
          <w:rFonts w:eastAsiaTheme="minorHAnsi"/>
        </w:rPr>
        <w:t>í</w:t>
      </w:r>
      <w:r w:rsidRPr="007A28D2">
        <w:rPr>
          <w:rFonts w:eastAsiaTheme="minorHAnsi"/>
        </w:rPr>
        <w:t xml:space="preserve">, která provozuje mimo jiné linkovou autobusovou dopravu. V tomto případě není vyloučeno, že dotčené autobusy nadále poskytují veřejné služby v přepravě cestujících. Kupní </w:t>
      </w:r>
      <w:r w:rsidR="00FE2ECD" w:rsidRPr="007A28D2">
        <w:rPr>
          <w:rFonts w:eastAsiaTheme="minorHAnsi"/>
        </w:rPr>
        <w:t>smlouv</w:t>
      </w:r>
      <w:r w:rsidR="00FE2ECD">
        <w:rPr>
          <w:rFonts w:eastAsiaTheme="minorHAnsi"/>
        </w:rPr>
        <w:t>a</w:t>
      </w:r>
      <w:r w:rsidR="00FE2ECD" w:rsidRPr="007A28D2">
        <w:rPr>
          <w:rFonts w:eastAsiaTheme="minorHAnsi"/>
        </w:rPr>
        <w:t xml:space="preserve"> neobsahoval</w:t>
      </w:r>
      <w:r w:rsidR="00FE2ECD">
        <w:rPr>
          <w:rFonts w:eastAsiaTheme="minorHAnsi"/>
        </w:rPr>
        <w:t>a</w:t>
      </w:r>
      <w:r w:rsidR="00FE2ECD" w:rsidRPr="007A28D2">
        <w:rPr>
          <w:rFonts w:eastAsiaTheme="minorHAnsi"/>
        </w:rPr>
        <w:t xml:space="preserve"> </w:t>
      </w:r>
      <w:r w:rsidRPr="007A28D2">
        <w:rPr>
          <w:rFonts w:eastAsiaTheme="minorHAnsi"/>
        </w:rPr>
        <w:t>ustanovení, že kupující nesmí vozidla používat k těmto službám.</w:t>
      </w:r>
    </w:p>
    <w:p w14:paraId="49DDF089" w14:textId="4696A2DE" w:rsidR="00E031BF" w:rsidRDefault="00634879" w:rsidP="00DB24C6">
      <w:pPr>
        <w:pStyle w:val="Zkladn"/>
        <w:spacing w:before="120" w:after="120"/>
        <w:rPr>
          <w:rFonts w:eastAsiaTheme="minorHAnsi"/>
        </w:rPr>
      </w:pPr>
      <w:r>
        <w:rPr>
          <w:rFonts w:eastAsiaTheme="minorHAnsi"/>
        </w:rPr>
        <w:t xml:space="preserve">Na základě zjištění NKÚ </w:t>
      </w:r>
      <w:r w:rsidR="00C9486B">
        <w:rPr>
          <w:rFonts w:eastAsiaTheme="minorHAnsi"/>
        </w:rPr>
        <w:t xml:space="preserve">upřesnilo MMR prostřednictvím úpravy </w:t>
      </w:r>
      <w:r w:rsidR="007A28D2">
        <w:rPr>
          <w:rFonts w:eastAsiaTheme="minorHAnsi"/>
        </w:rPr>
        <w:t>pravid</w:t>
      </w:r>
      <w:r w:rsidR="00C9486B">
        <w:rPr>
          <w:rFonts w:eastAsiaTheme="minorHAnsi"/>
        </w:rPr>
        <w:t>e</w:t>
      </w:r>
      <w:r w:rsidR="007A28D2">
        <w:rPr>
          <w:rFonts w:eastAsiaTheme="minorHAnsi"/>
        </w:rPr>
        <w:t>l pro žadatele a</w:t>
      </w:r>
      <w:r w:rsidR="00B66B6D">
        <w:rPr>
          <w:rFonts w:eastAsiaTheme="minorHAnsi"/>
        </w:rPr>
        <w:t> </w:t>
      </w:r>
      <w:r w:rsidR="007A28D2">
        <w:rPr>
          <w:rFonts w:eastAsiaTheme="minorHAnsi"/>
        </w:rPr>
        <w:t xml:space="preserve">příjemce </w:t>
      </w:r>
      <w:r w:rsidR="00136339">
        <w:rPr>
          <w:rFonts w:eastAsiaTheme="minorHAnsi"/>
        </w:rPr>
        <w:t>v nově vyhlášené</w:t>
      </w:r>
      <w:r w:rsidR="007A28D2">
        <w:rPr>
          <w:rFonts w:eastAsiaTheme="minorHAnsi"/>
        </w:rPr>
        <w:t xml:space="preserve"> výzv</w:t>
      </w:r>
      <w:r w:rsidR="00136339">
        <w:rPr>
          <w:rFonts w:eastAsiaTheme="minorHAnsi"/>
        </w:rPr>
        <w:t>ě</w:t>
      </w:r>
      <w:r w:rsidR="007A28D2">
        <w:rPr>
          <w:rFonts w:eastAsiaTheme="minorHAnsi"/>
        </w:rPr>
        <w:t xml:space="preserve"> č</w:t>
      </w:r>
      <w:r w:rsidR="007A28D2" w:rsidRPr="00634879">
        <w:rPr>
          <w:rFonts w:eastAsiaTheme="minorHAnsi"/>
        </w:rPr>
        <w:t>. 89 „</w:t>
      </w:r>
      <w:proofErr w:type="spellStart"/>
      <w:r w:rsidR="007A28D2" w:rsidRPr="00634879">
        <w:rPr>
          <w:rFonts w:eastAsiaTheme="minorHAnsi"/>
        </w:rPr>
        <w:t>Nízkoemisní</w:t>
      </w:r>
      <w:proofErr w:type="spellEnd"/>
      <w:r w:rsidR="007A28D2" w:rsidRPr="00634879">
        <w:rPr>
          <w:rFonts w:eastAsiaTheme="minorHAnsi"/>
        </w:rPr>
        <w:t xml:space="preserve"> a bezemisní vozidla pro uhelné regiony“</w:t>
      </w:r>
      <w:r w:rsidR="007A28D2">
        <w:rPr>
          <w:rFonts w:eastAsiaTheme="minorHAnsi"/>
        </w:rPr>
        <w:t xml:space="preserve"> </w:t>
      </w:r>
      <w:r>
        <w:rPr>
          <w:rFonts w:eastAsiaTheme="minorHAnsi"/>
        </w:rPr>
        <w:t xml:space="preserve">povinnost příjemce </w:t>
      </w:r>
      <w:r w:rsidR="007A28D2">
        <w:rPr>
          <w:rFonts w:eastAsiaTheme="minorHAnsi"/>
        </w:rPr>
        <w:t>zajistit, aby vyřazená vozidla nebyla využívána ve veřejné přepravě osob</w:t>
      </w:r>
      <w:r>
        <w:rPr>
          <w:rFonts w:eastAsiaTheme="minorHAnsi"/>
        </w:rPr>
        <w:t xml:space="preserve">. </w:t>
      </w:r>
    </w:p>
    <w:p w14:paraId="52B1AFA3" w14:textId="20A97803" w:rsidR="00B12197" w:rsidRDefault="00CC0FA6" w:rsidP="00AD4F01">
      <w:pPr>
        <w:pStyle w:val="Nadpis4"/>
        <w:spacing w:before="120" w:after="120"/>
        <w:jc w:val="left"/>
        <w:rPr>
          <w:rFonts w:eastAsiaTheme="minorHAnsi"/>
        </w:rPr>
      </w:pPr>
      <w:r>
        <w:rPr>
          <w:rFonts w:eastAsiaTheme="minorHAnsi"/>
        </w:rPr>
        <w:t xml:space="preserve">Rozpory mezi termíny splnění stanovených indikátorů </w:t>
      </w:r>
      <w:r w:rsidR="00DD7C6F">
        <w:rPr>
          <w:rFonts w:eastAsiaTheme="minorHAnsi"/>
        </w:rPr>
        <w:t xml:space="preserve">uvedených </w:t>
      </w:r>
      <w:r>
        <w:rPr>
          <w:rFonts w:eastAsiaTheme="minorHAnsi"/>
        </w:rPr>
        <w:t>v rozhodnutí a</w:t>
      </w:r>
      <w:r w:rsidR="00AD4F01">
        <w:rPr>
          <w:rFonts w:eastAsiaTheme="minorHAnsi"/>
        </w:rPr>
        <w:t> </w:t>
      </w:r>
      <w:r>
        <w:rPr>
          <w:rFonts w:eastAsiaTheme="minorHAnsi"/>
        </w:rPr>
        <w:t>v pravidlech</w:t>
      </w:r>
    </w:p>
    <w:p w14:paraId="05ABEE23" w14:textId="4B4AD781" w:rsidR="00936B68" w:rsidRDefault="00B32AD8" w:rsidP="00DB24C6">
      <w:pPr>
        <w:pStyle w:val="KZnormln"/>
        <w:spacing w:before="120"/>
        <w:rPr>
          <w:rFonts w:eastAsiaTheme="minorHAnsi"/>
        </w:rPr>
      </w:pPr>
      <w:r>
        <w:rPr>
          <w:rFonts w:eastAsiaTheme="minorHAnsi"/>
        </w:rPr>
        <w:t xml:space="preserve">Předepsané způsoby </w:t>
      </w:r>
      <w:r w:rsidR="00F73ECD">
        <w:rPr>
          <w:rFonts w:eastAsiaTheme="minorHAnsi"/>
        </w:rPr>
        <w:t>výpočtů</w:t>
      </w:r>
      <w:r w:rsidR="00101989">
        <w:rPr>
          <w:rFonts w:eastAsiaTheme="minorHAnsi"/>
        </w:rPr>
        <w:t xml:space="preserve"> výchozí</w:t>
      </w:r>
      <w:r>
        <w:rPr>
          <w:rFonts w:eastAsiaTheme="minorHAnsi"/>
        </w:rPr>
        <w:t>ch</w:t>
      </w:r>
      <w:r w:rsidR="00101989">
        <w:rPr>
          <w:rFonts w:eastAsiaTheme="minorHAnsi"/>
        </w:rPr>
        <w:t xml:space="preserve">, </w:t>
      </w:r>
      <w:r>
        <w:rPr>
          <w:rFonts w:eastAsiaTheme="minorHAnsi"/>
        </w:rPr>
        <w:t xml:space="preserve">cílových </w:t>
      </w:r>
      <w:r w:rsidR="00101989">
        <w:rPr>
          <w:rFonts w:eastAsiaTheme="minorHAnsi"/>
        </w:rPr>
        <w:t>a dosažen</w:t>
      </w:r>
      <w:r>
        <w:rPr>
          <w:rFonts w:eastAsiaTheme="minorHAnsi"/>
        </w:rPr>
        <w:t>ých hodnot</w:t>
      </w:r>
      <w:r w:rsidR="00101989">
        <w:rPr>
          <w:rFonts w:eastAsiaTheme="minorHAnsi"/>
        </w:rPr>
        <w:t xml:space="preserve"> environmentálních indikátorů jsou pro příjemce upraveny v závazných pravidlech. </w:t>
      </w:r>
      <w:r w:rsidR="00CC0FA6">
        <w:rPr>
          <w:rFonts w:eastAsiaTheme="minorHAnsi"/>
        </w:rPr>
        <w:t>V</w:t>
      </w:r>
      <w:r w:rsidR="00101989">
        <w:rPr>
          <w:rFonts w:eastAsiaTheme="minorHAnsi"/>
        </w:rPr>
        <w:t> </w:t>
      </w:r>
      <w:r w:rsidR="00CC0FA6">
        <w:rPr>
          <w:rFonts w:eastAsiaTheme="minorHAnsi"/>
        </w:rPr>
        <w:t>pravidlech pro výpočet indikátoru „</w:t>
      </w:r>
      <w:r w:rsidR="00714233">
        <w:rPr>
          <w:rFonts w:eastAsiaTheme="minorHAnsi"/>
        </w:rPr>
        <w:t>m</w:t>
      </w:r>
      <w:r w:rsidR="00CC0FA6" w:rsidRPr="00CC0FA6">
        <w:rPr>
          <w:rFonts w:eastAsiaTheme="minorHAnsi"/>
        </w:rPr>
        <w:t>nožství emisí primárních částic a prekurzorů sekundárních částic v rámci podpořených projektů</w:t>
      </w:r>
      <w:r w:rsidR="00CC0FA6">
        <w:rPr>
          <w:rFonts w:eastAsiaTheme="minorHAnsi"/>
        </w:rPr>
        <w:t xml:space="preserve">“ je stanoveno, že </w:t>
      </w:r>
      <w:r w:rsidR="00101989">
        <w:rPr>
          <w:rFonts w:eastAsiaTheme="minorHAnsi"/>
        </w:rPr>
        <w:t>dosaženou</w:t>
      </w:r>
      <w:r w:rsidR="00CC0FA6">
        <w:rPr>
          <w:rFonts w:eastAsiaTheme="minorHAnsi"/>
        </w:rPr>
        <w:t xml:space="preserve"> hodnotu příjemce zjistí za první celý kalendářní rok od ukončení realizace projektu. V právním aktu o poskytnutí dotace má však příjemce stanoven termín </w:t>
      </w:r>
      <w:r w:rsidR="00101989">
        <w:rPr>
          <w:rFonts w:eastAsiaTheme="minorHAnsi"/>
        </w:rPr>
        <w:t>dosažení cílové hodnoty totožný</w:t>
      </w:r>
      <w:r w:rsidR="00CC0FA6">
        <w:rPr>
          <w:rFonts w:eastAsiaTheme="minorHAnsi"/>
        </w:rPr>
        <w:t xml:space="preserve"> s termínem ukončení projektu. Obdobná situace je u indikátoru „</w:t>
      </w:r>
      <w:r w:rsidR="00714233">
        <w:rPr>
          <w:rFonts w:eastAsiaTheme="minorHAnsi"/>
        </w:rPr>
        <w:t>p</w:t>
      </w:r>
      <w:r w:rsidR="00CC0FA6">
        <w:rPr>
          <w:rFonts w:eastAsiaTheme="minorHAnsi"/>
        </w:rPr>
        <w:t xml:space="preserve">očet osob přepravených veřejnou dopravou“. I v tomto případě má příjemce </w:t>
      </w:r>
      <w:r>
        <w:rPr>
          <w:rFonts w:eastAsiaTheme="minorHAnsi"/>
        </w:rPr>
        <w:t xml:space="preserve">povinnost dosáhnout cílové hodnoty </w:t>
      </w:r>
      <w:r w:rsidR="00CC0FA6">
        <w:rPr>
          <w:rFonts w:eastAsiaTheme="minorHAnsi"/>
        </w:rPr>
        <w:t xml:space="preserve">do konce realizace projektu, ale podle pravidel pro jeho výpočet se dosažená hodnota počítá za 12 měsíců od ukončení realizace projektu. </w:t>
      </w:r>
    </w:p>
    <w:p w14:paraId="2FDB7A1A" w14:textId="53D8A1FE" w:rsidR="00101989" w:rsidRDefault="00CC0FA6" w:rsidP="00DB24C6">
      <w:pPr>
        <w:pStyle w:val="Rmeek"/>
        <w:keepLines/>
        <w:spacing w:before="120"/>
        <w:ind w:right="284"/>
        <w:rPr>
          <w:rFonts w:eastAsiaTheme="minorHAnsi"/>
        </w:rPr>
      </w:pPr>
      <w:r>
        <w:rPr>
          <w:rFonts w:eastAsiaTheme="minorHAnsi"/>
        </w:rPr>
        <w:lastRenderedPageBreak/>
        <w:t xml:space="preserve">Dosažené hodnoty indikátorů musí příjemce vykázat v první zprávě o udržitelnosti projektu. Logicky tak v závěrečné zprávě o realizaci projektu nemůže </w:t>
      </w:r>
      <w:r w:rsidR="00FC013B">
        <w:rPr>
          <w:rFonts w:eastAsiaTheme="minorHAnsi"/>
        </w:rPr>
        <w:t>uvést dosažené hodnot</w:t>
      </w:r>
      <w:r w:rsidR="00101989">
        <w:rPr>
          <w:rFonts w:eastAsiaTheme="minorHAnsi"/>
        </w:rPr>
        <w:t>y</w:t>
      </w:r>
      <w:r w:rsidR="00FC013B">
        <w:rPr>
          <w:rFonts w:eastAsiaTheme="minorHAnsi"/>
        </w:rPr>
        <w:t>, které by se rovn</w:t>
      </w:r>
      <w:r w:rsidR="00F73ECD">
        <w:rPr>
          <w:rFonts w:eastAsiaTheme="minorHAnsi"/>
        </w:rPr>
        <w:t>aly cílovým hodnotám indikátorů, neboť by nedodržel stanovený způsob pro</w:t>
      </w:r>
      <w:r w:rsidR="00714233">
        <w:rPr>
          <w:rFonts w:eastAsiaTheme="minorHAnsi"/>
        </w:rPr>
        <w:t xml:space="preserve"> </w:t>
      </w:r>
      <w:r w:rsidR="00F73ECD">
        <w:rPr>
          <w:rFonts w:eastAsiaTheme="minorHAnsi"/>
        </w:rPr>
        <w:t xml:space="preserve">výpočet dosažené hodnoty. </w:t>
      </w:r>
      <w:r w:rsidR="00101989">
        <w:rPr>
          <w:rFonts w:eastAsiaTheme="minorHAnsi"/>
        </w:rPr>
        <w:t>V daném případě však nesplní termín pro naplnění cílových hodnot těchto indikátorů, který mu MMR stanovilo v právním aktu o poskytnutí dotace. Oba environmentální indikátory mají stanovenou pouze orientační cílovou hodnotu a její nesplnění nepodléhá sankcím.</w:t>
      </w:r>
    </w:p>
    <w:p w14:paraId="11E7F291" w14:textId="38CB7B92" w:rsidR="00CC0FA6" w:rsidRDefault="00FC013B" w:rsidP="00DB24C6">
      <w:pPr>
        <w:pStyle w:val="KZnormln"/>
        <w:spacing w:before="120"/>
        <w:rPr>
          <w:rFonts w:eastAsiaTheme="minorHAnsi"/>
        </w:rPr>
      </w:pPr>
      <w:r>
        <w:rPr>
          <w:rFonts w:eastAsiaTheme="minorHAnsi"/>
        </w:rPr>
        <w:t>Tento stav NKÚ zjistil u projektů</w:t>
      </w:r>
      <w:r w:rsidR="00936B68">
        <w:rPr>
          <w:rStyle w:val="Znakapoznpodarou"/>
          <w:rFonts w:eastAsiaTheme="minorHAnsi"/>
        </w:rPr>
        <w:footnoteReference w:id="54"/>
      </w:r>
      <w:r>
        <w:rPr>
          <w:rFonts w:eastAsiaTheme="minorHAnsi"/>
        </w:rPr>
        <w:t xml:space="preserve"> z výz</w:t>
      </w:r>
      <w:r w:rsidR="00911D6E">
        <w:rPr>
          <w:rFonts w:eastAsiaTheme="minorHAnsi"/>
        </w:rPr>
        <w:t>e</w:t>
      </w:r>
      <w:r>
        <w:rPr>
          <w:rFonts w:eastAsiaTheme="minorHAnsi"/>
        </w:rPr>
        <w:t xml:space="preserve">v č. 20, č. 24 a č. 50. Jednou z příčin </w:t>
      </w:r>
      <w:r w:rsidR="00911D6E">
        <w:rPr>
          <w:rFonts w:eastAsiaTheme="minorHAnsi"/>
        </w:rPr>
        <w:t xml:space="preserve">jeho vzniku </w:t>
      </w:r>
      <w:r>
        <w:rPr>
          <w:rFonts w:eastAsiaTheme="minorHAnsi"/>
        </w:rPr>
        <w:t>byla tzv. tvrdá systémová kontrola termínů, prováděná v </w:t>
      </w:r>
      <w:r w:rsidRPr="00124716">
        <w:rPr>
          <w:rFonts w:eastAsiaTheme="minorHAnsi"/>
          <w:i/>
        </w:rPr>
        <w:t>MS2014+</w:t>
      </w:r>
      <w:r>
        <w:rPr>
          <w:rFonts w:eastAsiaTheme="minorHAnsi"/>
        </w:rPr>
        <w:t>. Monitorovací systém neumožňoval příjemci zadat u termínů dosažení cílových hodnot indikátorů pozdější datum než termín ukončení realizace projektu.</w:t>
      </w:r>
      <w:r w:rsidR="00936B68">
        <w:rPr>
          <w:rFonts w:eastAsiaTheme="minorHAnsi"/>
        </w:rPr>
        <w:t xml:space="preserve"> U novějších výzev je stanoven termín pro splnění cílové hodnoty indikátoru „</w:t>
      </w:r>
      <w:r w:rsidR="00714233">
        <w:rPr>
          <w:rFonts w:eastAsiaTheme="minorHAnsi"/>
        </w:rPr>
        <w:t>p</w:t>
      </w:r>
      <w:r w:rsidR="00936B68">
        <w:rPr>
          <w:rFonts w:eastAsiaTheme="minorHAnsi"/>
        </w:rPr>
        <w:t>očet osob přepravených veřejnou dopravou“ o rok později než termín dokončení projektu.</w:t>
      </w:r>
    </w:p>
    <w:p w14:paraId="602926E4" w14:textId="4E40FBE3" w:rsidR="009E0500" w:rsidRPr="00714233" w:rsidRDefault="00714233" w:rsidP="00714233">
      <w:pPr>
        <w:pStyle w:val="Nadpis3"/>
        <w:numPr>
          <w:ilvl w:val="0"/>
          <w:numId w:val="0"/>
        </w:numPr>
        <w:spacing w:before="120" w:after="120"/>
        <w:rPr>
          <w:i w:val="0"/>
        </w:rPr>
      </w:pPr>
      <w:r w:rsidRPr="00714233">
        <w:rPr>
          <w:i w:val="0"/>
        </w:rPr>
        <w:t xml:space="preserve">6.5 </w:t>
      </w:r>
      <w:r w:rsidR="009E0500" w:rsidRPr="00714233">
        <w:rPr>
          <w:i w:val="0"/>
        </w:rPr>
        <w:t>Finanční řízení</w:t>
      </w:r>
      <w:r w:rsidR="006B5FEF" w:rsidRPr="00714233">
        <w:rPr>
          <w:i w:val="0"/>
        </w:rPr>
        <w:t xml:space="preserve"> IROP</w:t>
      </w:r>
    </w:p>
    <w:p w14:paraId="25C5DD29" w14:textId="4FD705A0" w:rsidR="009E0500" w:rsidRDefault="00B21322" w:rsidP="00DB24C6">
      <w:pPr>
        <w:pStyle w:val="KZnormln"/>
        <w:spacing w:before="120"/>
      </w:pPr>
      <w:r>
        <w:t>NKÚ ověřil f</w:t>
      </w:r>
      <w:r w:rsidR="003000CD">
        <w:t xml:space="preserve">inanční řízení </w:t>
      </w:r>
      <w:r w:rsidR="00C521F2">
        <w:t xml:space="preserve">IROP </w:t>
      </w:r>
      <w:r w:rsidR="003000CD">
        <w:t>na výzvách vyhlášených ŘO IROP k vybraným aktivitám SC 1.2</w:t>
      </w:r>
      <w:r w:rsidR="00161EA7">
        <w:t xml:space="preserve"> IROP</w:t>
      </w:r>
      <w:r w:rsidR="003000CD">
        <w:t xml:space="preserve">. </w:t>
      </w:r>
      <w:r w:rsidR="005615AC">
        <w:t>U</w:t>
      </w:r>
      <w:r w:rsidR="003000CD">
        <w:t> </w:t>
      </w:r>
      <w:r w:rsidR="005615AC">
        <w:t>vybraných</w:t>
      </w:r>
      <w:r w:rsidR="005615AC" w:rsidRPr="005615AC">
        <w:t xml:space="preserve"> aktivit postačovala s výjimkou aktivity „Terminály“ pouze jedna výzva pro pokrytí stanovené alokace. V případě aktivity „</w:t>
      </w:r>
      <w:proofErr w:type="spellStart"/>
      <w:r w:rsidR="005615AC" w:rsidRPr="005615AC">
        <w:t>Nízkoemisní</w:t>
      </w:r>
      <w:proofErr w:type="spellEnd"/>
      <w:r w:rsidR="005615AC" w:rsidRPr="005615AC">
        <w:t xml:space="preserve"> a bezemisní vozidla“ byla původně stanovená alokace </w:t>
      </w:r>
      <w:r w:rsidR="005615AC">
        <w:t xml:space="preserve">výzvy č. 20 </w:t>
      </w:r>
      <w:r w:rsidR="005615AC" w:rsidRPr="005615AC">
        <w:t xml:space="preserve">dokonce třikrát navyšována, což umožnilo finančně podpořit </w:t>
      </w:r>
      <w:r w:rsidR="00161EA7">
        <w:t xml:space="preserve">náhradní </w:t>
      </w:r>
      <w:r w:rsidR="005615AC" w:rsidRPr="005615AC">
        <w:t>projekty v zásobníku. U aktivity „Terminály“ byla vyhlášena dodatečná výzva, která umožnila pokrýt vyčleněnou alokaci. Na čerpání stanovené alokace má negativní vliv především zpoždění realizac</w:t>
      </w:r>
      <w:r w:rsidR="00786BF6">
        <w:t>e</w:t>
      </w:r>
      <w:r w:rsidR="005615AC" w:rsidRPr="005615AC">
        <w:t xml:space="preserve"> projektů ITI podporovaných prostřednictvím průběžné výzvy č.</w:t>
      </w:r>
      <w:r w:rsidR="00120F1A">
        <w:t> </w:t>
      </w:r>
      <w:r w:rsidR="005615AC" w:rsidRPr="005615AC">
        <w:t>50.</w:t>
      </w:r>
      <w:r w:rsidR="005615AC">
        <w:t xml:space="preserve"> V tabulce č. </w:t>
      </w:r>
      <w:r w:rsidR="0034434E">
        <w:t>5</w:t>
      </w:r>
      <w:r w:rsidR="005615AC">
        <w:t xml:space="preserve"> </w:t>
      </w:r>
      <w:r w:rsidR="005615AC" w:rsidRPr="005615AC">
        <w:t xml:space="preserve">je uveden stav prostředků </w:t>
      </w:r>
      <w:r w:rsidR="005615AC">
        <w:t xml:space="preserve">EU alokovaných </w:t>
      </w:r>
      <w:r w:rsidR="005615AC" w:rsidRPr="005615AC">
        <w:t>ve sledovaných výzvách a podíl již proplacených prostředků vůči alokaci dané výzvy.</w:t>
      </w:r>
    </w:p>
    <w:p w14:paraId="32C229B0" w14:textId="70B44DC3" w:rsidR="005615AC" w:rsidRDefault="005615AC" w:rsidP="005615AC">
      <w:pPr>
        <w:pStyle w:val="Nadpistabulky"/>
        <w:rPr>
          <w:snapToGrid/>
        </w:rPr>
      </w:pPr>
      <w:r>
        <w:rPr>
          <w:snapToGrid/>
        </w:rPr>
        <w:t xml:space="preserve">Tabulka č. </w:t>
      </w:r>
      <w:r w:rsidR="0034434E">
        <w:rPr>
          <w:snapToGrid/>
        </w:rPr>
        <w:t>5</w:t>
      </w:r>
      <w:r w:rsidRPr="005615AC">
        <w:rPr>
          <w:snapToGrid/>
        </w:rPr>
        <w:t>:</w:t>
      </w:r>
      <w:r w:rsidR="00786BF6">
        <w:rPr>
          <w:snapToGrid/>
        </w:rPr>
        <w:t xml:space="preserve"> </w:t>
      </w:r>
      <w:r w:rsidRPr="005615AC">
        <w:rPr>
          <w:snapToGrid/>
        </w:rPr>
        <w:t xml:space="preserve">Stav alokovaných prostředků ze zdrojů EU ve sledovaných výzvách </w:t>
      </w:r>
      <w:r w:rsidR="00DE10C6">
        <w:rPr>
          <w:snapToGrid/>
        </w:rPr>
        <w:tab/>
        <w:t>(</w:t>
      </w:r>
      <w:r w:rsidR="00AD4F01">
        <w:rPr>
          <w:snapToGrid/>
        </w:rPr>
        <w:t>v </w:t>
      </w:r>
      <w:r w:rsidR="00DE10C6">
        <w:rPr>
          <w:snapToGrid/>
        </w:rPr>
        <w:t>tis. Kč)</w:t>
      </w:r>
    </w:p>
    <w:tbl>
      <w:tblPr>
        <w:tblW w:w="91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7"/>
        <w:gridCol w:w="1588"/>
        <w:gridCol w:w="1843"/>
        <w:gridCol w:w="1559"/>
        <w:gridCol w:w="1559"/>
        <w:gridCol w:w="1797"/>
      </w:tblGrid>
      <w:tr w:rsidR="00DE10C6" w:rsidRPr="00DB24C6" w14:paraId="5E7535A9" w14:textId="77777777" w:rsidTr="00DB24C6">
        <w:trPr>
          <w:trHeight w:val="2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1FF"/>
            <w:noWrap/>
            <w:vAlign w:val="center"/>
            <w:hideMark/>
          </w:tcPr>
          <w:p w14:paraId="5DC61CD4" w14:textId="77777777" w:rsidR="00DE10C6" w:rsidRPr="00DB24C6" w:rsidRDefault="00DE10C6" w:rsidP="00326B0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Výzva č.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noWrap/>
            <w:vAlign w:val="center"/>
            <w:hideMark/>
          </w:tcPr>
          <w:p w14:paraId="144CCD55" w14:textId="77777777" w:rsidR="00DE10C6" w:rsidRPr="00DB24C6" w:rsidRDefault="00DE10C6" w:rsidP="00326B0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Alokace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noWrap/>
            <w:vAlign w:val="center"/>
            <w:hideMark/>
          </w:tcPr>
          <w:p w14:paraId="616DE0F6" w14:textId="77777777" w:rsidR="00DE10C6" w:rsidRPr="00DB24C6" w:rsidRDefault="00DE10C6" w:rsidP="00326B0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Schváleno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noWrap/>
            <w:vAlign w:val="center"/>
            <w:hideMark/>
          </w:tcPr>
          <w:p w14:paraId="4F5C2837" w14:textId="77777777" w:rsidR="00DE10C6" w:rsidRPr="00DB24C6" w:rsidRDefault="00DE10C6" w:rsidP="00326B0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Náhradní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noWrap/>
            <w:vAlign w:val="center"/>
            <w:hideMark/>
          </w:tcPr>
          <w:p w14:paraId="1D7FA092" w14:textId="77777777" w:rsidR="00DE10C6" w:rsidRPr="00DB24C6" w:rsidRDefault="00DE10C6" w:rsidP="00326B0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Proplaceno</w:t>
            </w:r>
          </w:p>
        </w:tc>
        <w:tc>
          <w:tcPr>
            <w:tcW w:w="1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443FCBAB" w14:textId="162BC20D" w:rsidR="00DE10C6" w:rsidRPr="00DB24C6" w:rsidRDefault="00DE10C6" w:rsidP="00326B0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Podíl proplacených prostředků na alokaci (</w:t>
            </w:r>
            <w:r w:rsidR="00AD4F01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v </w:t>
            </w:r>
            <w:r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%)</w:t>
            </w:r>
          </w:p>
        </w:tc>
      </w:tr>
      <w:tr w:rsidR="00DE10C6" w:rsidRPr="00DB24C6" w14:paraId="4075CAB6" w14:textId="77777777" w:rsidTr="00D64B7C">
        <w:trPr>
          <w:trHeight w:val="283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8CBB" w14:textId="77777777" w:rsidR="00DE10C6" w:rsidRPr="00DB24C6" w:rsidRDefault="00DE10C6" w:rsidP="00326B0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20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B0D5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3 413 527,</w:t>
            </w:r>
            <w:r w:rsidR="00326B0E"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84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BBF7C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2 817 941,33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C54C" w14:textId="77777777" w:rsidR="00DE10C6" w:rsidRPr="00DB24C6" w:rsidRDefault="00D903C4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595 586,50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D8DE" w14:textId="77777777" w:rsidR="00DE10C6" w:rsidRPr="00DB24C6" w:rsidRDefault="0095180A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2 480 565,30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71A0" w14:textId="77777777" w:rsidR="00DE10C6" w:rsidRPr="00DB24C6" w:rsidRDefault="0095180A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72,67</w:t>
            </w:r>
          </w:p>
        </w:tc>
      </w:tr>
      <w:tr w:rsidR="00DE10C6" w:rsidRPr="00DB24C6" w14:paraId="6DDC6AC1" w14:textId="77777777" w:rsidTr="00D64B7C">
        <w:trPr>
          <w:trHeight w:val="283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7BD1" w14:textId="77777777" w:rsidR="00DE10C6" w:rsidRPr="00DB24C6" w:rsidRDefault="00DE10C6" w:rsidP="00326B0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22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0B048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223 444,77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78C34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210 486,2</w:t>
            </w:r>
            <w:r w:rsidR="00326B0E"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A93C3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59 158,</w:t>
            </w:r>
            <w:r w:rsidR="00326B0E"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58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376C2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63 759,</w:t>
            </w:r>
            <w:r w:rsidR="00326B0E"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70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BEED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28,53</w:t>
            </w:r>
          </w:p>
        </w:tc>
      </w:tr>
      <w:tr w:rsidR="00DE10C6" w:rsidRPr="00DB24C6" w14:paraId="2D1A94E5" w14:textId="77777777" w:rsidTr="00D64B7C">
        <w:trPr>
          <w:trHeight w:val="283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85417" w14:textId="77777777" w:rsidR="00DE10C6" w:rsidRPr="00DB24C6" w:rsidRDefault="00DE10C6" w:rsidP="00326B0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24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ED870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1 088 000,00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119B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717 197,3</w:t>
            </w:r>
            <w:r w:rsidR="00326B0E"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6E1B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0</w:t>
            </w:r>
            <w:r w:rsidR="00326B0E"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ED2F6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522 842,</w:t>
            </w:r>
            <w:r w:rsidR="00326B0E"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46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FCFFA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48,06</w:t>
            </w:r>
          </w:p>
        </w:tc>
      </w:tr>
      <w:tr w:rsidR="00DE10C6" w:rsidRPr="00DB24C6" w14:paraId="1B40A53B" w14:textId="77777777" w:rsidTr="00D64B7C">
        <w:trPr>
          <w:trHeight w:val="283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EDE52" w14:textId="77777777" w:rsidR="00DE10C6" w:rsidRPr="00DB24C6" w:rsidRDefault="00DE10C6" w:rsidP="00326B0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73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D46A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569 500,00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E49C" w14:textId="77777777" w:rsidR="00DE10C6" w:rsidRPr="00DB24C6" w:rsidRDefault="0095180A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482 725,61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297C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122 190,</w:t>
            </w:r>
            <w:r w:rsidR="00326B0E"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F5AB4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0</w:t>
            </w:r>
            <w:r w:rsidR="00326B0E"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,00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915E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0,00</w:t>
            </w:r>
          </w:p>
        </w:tc>
      </w:tr>
      <w:tr w:rsidR="00DE10C6" w:rsidRPr="00DB24C6" w14:paraId="4AEB6EB3" w14:textId="77777777" w:rsidTr="00D64B7C">
        <w:trPr>
          <w:trHeight w:val="283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995C" w14:textId="77777777" w:rsidR="00DE10C6" w:rsidRPr="00DB24C6" w:rsidRDefault="00DE10C6" w:rsidP="00326B0E">
            <w:pPr>
              <w:keepNext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50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B187D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5 912 241,05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76ADA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3 184 202,</w:t>
            </w:r>
            <w:r w:rsidR="00326B0E"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ACED7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88 210,</w:t>
            </w:r>
            <w:r w:rsidR="00326B0E"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59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DD6F0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1 524 487,</w:t>
            </w:r>
            <w:r w:rsidR="00326B0E"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53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7DF1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color w:val="000000"/>
                <w:sz w:val="20"/>
                <w:szCs w:val="22"/>
                <w:lang w:eastAsia="cs-CZ"/>
              </w:rPr>
              <w:t>25,79</w:t>
            </w:r>
          </w:p>
        </w:tc>
      </w:tr>
      <w:tr w:rsidR="00DE10C6" w:rsidRPr="00DB24C6" w14:paraId="58AFF5EC" w14:textId="77777777" w:rsidTr="00D64B7C">
        <w:trPr>
          <w:trHeight w:val="283"/>
        </w:trPr>
        <w:tc>
          <w:tcPr>
            <w:tcW w:w="8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C6C9"/>
            <w:noWrap/>
            <w:vAlign w:val="center"/>
            <w:hideMark/>
          </w:tcPr>
          <w:p w14:paraId="4502B54C" w14:textId="77777777" w:rsidR="00DE10C6" w:rsidRPr="00DB24C6" w:rsidRDefault="00DE10C6" w:rsidP="00326B0E">
            <w:pPr>
              <w:keepNext/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Celkem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noWrap/>
            <w:vAlign w:val="center"/>
            <w:hideMark/>
          </w:tcPr>
          <w:p w14:paraId="13F21082" w14:textId="77777777" w:rsidR="00DE10C6" w:rsidRPr="00DB24C6" w:rsidRDefault="00DE10C6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11 206 713,</w:t>
            </w:r>
            <w:r w:rsidR="00326B0E"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noWrap/>
            <w:vAlign w:val="center"/>
            <w:hideMark/>
          </w:tcPr>
          <w:p w14:paraId="48701448" w14:textId="77777777" w:rsidR="00DE10C6" w:rsidRPr="00DB24C6" w:rsidRDefault="0095180A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7 412 552,60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noWrap/>
            <w:vAlign w:val="center"/>
            <w:hideMark/>
          </w:tcPr>
          <w:p w14:paraId="0EC6EBD2" w14:textId="77777777" w:rsidR="00DE10C6" w:rsidRPr="00DB24C6" w:rsidRDefault="00D903C4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865 146,43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noWrap/>
            <w:vAlign w:val="center"/>
            <w:hideMark/>
          </w:tcPr>
          <w:p w14:paraId="00518CB8" w14:textId="77777777" w:rsidR="00DE10C6" w:rsidRPr="00DB24C6" w:rsidRDefault="0095180A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4 591 654,99</w:t>
            </w:r>
          </w:p>
        </w:tc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noWrap/>
            <w:vAlign w:val="center"/>
            <w:hideMark/>
          </w:tcPr>
          <w:p w14:paraId="53900F83" w14:textId="77777777" w:rsidR="00DE10C6" w:rsidRPr="00DB24C6" w:rsidRDefault="0095180A" w:rsidP="00D64B7C">
            <w:pPr>
              <w:keepNext/>
              <w:spacing w:after="0" w:line="240" w:lineRule="auto"/>
              <w:ind w:right="70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</w:pPr>
            <w:r w:rsidRPr="00DB24C6">
              <w:rPr>
                <w:rFonts w:ascii="Calibri" w:hAnsi="Calibri" w:cs="Calibri"/>
                <w:b/>
                <w:bCs/>
                <w:color w:val="000000"/>
                <w:sz w:val="20"/>
                <w:szCs w:val="22"/>
                <w:lang w:eastAsia="cs-CZ"/>
              </w:rPr>
              <w:t>40,97</w:t>
            </w:r>
          </w:p>
        </w:tc>
      </w:tr>
    </w:tbl>
    <w:p w14:paraId="717A4515" w14:textId="0512B345" w:rsidR="00DE10C6" w:rsidRPr="00073CAE" w:rsidRDefault="00326B0E" w:rsidP="00073CAE">
      <w:pPr>
        <w:pStyle w:val="Zkladn"/>
        <w:spacing w:after="120"/>
        <w:ind w:left="567" w:hanging="567"/>
        <w:rPr>
          <w:b/>
          <w:sz w:val="20"/>
          <w:szCs w:val="20"/>
        </w:rPr>
      </w:pPr>
      <w:r w:rsidRPr="00073CAE">
        <w:rPr>
          <w:b/>
          <w:sz w:val="20"/>
          <w:szCs w:val="20"/>
        </w:rPr>
        <w:t xml:space="preserve">Zdroj: </w:t>
      </w:r>
      <w:r w:rsidRPr="00073CAE">
        <w:rPr>
          <w:b/>
          <w:sz w:val="20"/>
          <w:szCs w:val="20"/>
        </w:rPr>
        <w:tab/>
      </w:r>
      <w:r w:rsidR="00BA77D1">
        <w:rPr>
          <w:sz w:val="20"/>
          <w:szCs w:val="20"/>
        </w:rPr>
        <w:t>p</w:t>
      </w:r>
      <w:r w:rsidRPr="00073CAE">
        <w:rPr>
          <w:sz w:val="20"/>
          <w:szCs w:val="20"/>
        </w:rPr>
        <w:t>odklady předané MMR</w:t>
      </w:r>
      <w:r w:rsidRPr="00073CAE">
        <w:rPr>
          <w:b/>
          <w:sz w:val="20"/>
          <w:szCs w:val="20"/>
        </w:rPr>
        <w:t>.</w:t>
      </w:r>
    </w:p>
    <w:p w14:paraId="7AB93B79" w14:textId="100C523B" w:rsidR="00C1561D" w:rsidRDefault="0095180A" w:rsidP="00D64B7C">
      <w:pPr>
        <w:pStyle w:val="KZnormln"/>
        <w:spacing w:before="120"/>
      </w:pPr>
      <w:r>
        <w:t xml:space="preserve">Koncem </w:t>
      </w:r>
      <w:r w:rsidR="00C1561D">
        <w:t>květn</w:t>
      </w:r>
      <w:r>
        <w:t>a</w:t>
      </w:r>
      <w:r w:rsidR="00C1561D">
        <w:t xml:space="preserve"> 2019 se čerpání prostředků ze zdrojů EU pohybovalo na úrovni cca </w:t>
      </w:r>
      <w:r>
        <w:t>4</w:t>
      </w:r>
      <w:r w:rsidR="009A7AFD">
        <w:t>1</w:t>
      </w:r>
      <w:r>
        <w:t xml:space="preserve"> </w:t>
      </w:r>
      <w:r w:rsidR="00C1561D">
        <w:t xml:space="preserve">% alokace výzev. Důvodem nízkého podílu proplacených prostředků na alokaci bylo navýšení alokace výzvy č. 20, kde teprve docházelo k uzavírání závazků u náhradních projektů, </w:t>
      </w:r>
      <w:r w:rsidR="000A1919">
        <w:t>neproplacení podpory</w:t>
      </w:r>
      <w:r w:rsidR="00C1561D">
        <w:t xml:space="preserve"> ani </w:t>
      </w:r>
      <w:r w:rsidR="000A1919">
        <w:t>v</w:t>
      </w:r>
      <w:r w:rsidR="009374C6">
        <w:t> </w:t>
      </w:r>
      <w:r w:rsidR="000A1919">
        <w:t>jed</w:t>
      </w:r>
      <w:r w:rsidR="00C1561D">
        <w:t>n</w:t>
      </w:r>
      <w:r w:rsidR="000A1919">
        <w:t>om</w:t>
      </w:r>
      <w:r w:rsidR="00C1561D">
        <w:t xml:space="preserve"> proje</w:t>
      </w:r>
      <w:r w:rsidR="000A1919">
        <w:t>ktu z výzvy č. 73 a zpoždění</w:t>
      </w:r>
      <w:r w:rsidR="00C1561D">
        <w:t xml:space="preserve"> realizace projektů ITI v</w:t>
      </w:r>
      <w:r w:rsidR="00AD4F01">
        <w:t> </w:t>
      </w:r>
      <w:r w:rsidR="00C1561D">
        <w:t xml:space="preserve">rámci výzvy č. 50. </w:t>
      </w:r>
    </w:p>
    <w:p w14:paraId="2F2B931C" w14:textId="65A6B2A3" w:rsidR="00DE10C6" w:rsidRDefault="00C1561D" w:rsidP="00D64B7C">
      <w:pPr>
        <w:pStyle w:val="Rmeek"/>
        <w:keepLines/>
        <w:spacing w:before="120"/>
        <w:ind w:right="284"/>
      </w:pPr>
      <w:r>
        <w:lastRenderedPageBreak/>
        <w:t>Riziko</w:t>
      </w:r>
      <w:r w:rsidR="006421E0">
        <w:t xml:space="preserve"> </w:t>
      </w:r>
      <w:r>
        <w:t>nevyčerpání</w:t>
      </w:r>
      <w:r w:rsidRPr="00C1561D">
        <w:t xml:space="preserve"> stanovené alokace pro </w:t>
      </w:r>
      <w:r>
        <w:t xml:space="preserve">vybrané </w:t>
      </w:r>
      <w:r w:rsidRPr="00C1561D">
        <w:t>aktivity SC 1.2 IROP</w:t>
      </w:r>
      <w:r>
        <w:t xml:space="preserve"> </w:t>
      </w:r>
      <w:r w:rsidR="001128CB">
        <w:t>spočívá</w:t>
      </w:r>
      <w:r w:rsidR="001128CB" w:rsidRPr="00C1561D">
        <w:t xml:space="preserve"> </w:t>
      </w:r>
      <w:r w:rsidRPr="00C1561D">
        <w:t>především v případném dalším zpoždění či vzniku problémů při realizaci integrovaných projektů</w:t>
      </w:r>
      <w:r w:rsidR="000A1919">
        <w:t xml:space="preserve"> ITI</w:t>
      </w:r>
      <w:r w:rsidRPr="00C1561D">
        <w:t xml:space="preserve">. </w:t>
      </w:r>
      <w:r>
        <w:t xml:space="preserve">MMR v roli ŘO IROP </w:t>
      </w:r>
      <w:r w:rsidR="006421E0">
        <w:t>řídí toto riziko především prostřednictvím komunikace s </w:t>
      </w:r>
      <w:r w:rsidR="00786BF6">
        <w:t>n</w:t>
      </w:r>
      <w:r w:rsidR="006421E0">
        <w:t>ositeli ITI s cílem zajistit</w:t>
      </w:r>
      <w:r w:rsidR="006421E0" w:rsidRPr="006421E0">
        <w:t xml:space="preserve"> kontinuitu procesu implementace a efektivního čerpání rezervované alokace</w:t>
      </w:r>
      <w:r w:rsidR="006421E0">
        <w:t>.</w:t>
      </w:r>
    </w:p>
    <w:p w14:paraId="56F56C18" w14:textId="64055531" w:rsidR="009E0500" w:rsidRPr="00786BF6" w:rsidRDefault="00786BF6" w:rsidP="00786BF6">
      <w:pPr>
        <w:pStyle w:val="Nadpis3"/>
        <w:numPr>
          <w:ilvl w:val="0"/>
          <w:numId w:val="0"/>
        </w:numPr>
        <w:spacing w:before="120" w:after="120"/>
        <w:rPr>
          <w:i w:val="0"/>
        </w:rPr>
      </w:pPr>
      <w:r>
        <w:rPr>
          <w:i w:val="0"/>
        </w:rPr>
        <w:t xml:space="preserve">6.6 </w:t>
      </w:r>
      <w:r w:rsidR="009E0500" w:rsidRPr="00786BF6">
        <w:rPr>
          <w:i w:val="0"/>
        </w:rPr>
        <w:t>Kontrolní a dohledová činnost</w:t>
      </w:r>
    </w:p>
    <w:p w14:paraId="2040A891" w14:textId="77777777" w:rsidR="00366187" w:rsidRPr="009A7AFD" w:rsidRDefault="00F944CD" w:rsidP="00D64B7C">
      <w:pPr>
        <w:pStyle w:val="Nadpis4"/>
        <w:spacing w:before="120" w:after="120"/>
      </w:pPr>
      <w:r w:rsidRPr="009A7AFD">
        <w:t>Ministerstvo nastavilo nedostatečně p</w:t>
      </w:r>
      <w:r w:rsidR="000B1A5B" w:rsidRPr="009A7AFD">
        <w:t xml:space="preserve">ravidla a </w:t>
      </w:r>
      <w:r w:rsidR="00366187" w:rsidRPr="009A7AFD">
        <w:t xml:space="preserve">postupy </w:t>
      </w:r>
      <w:r w:rsidR="00297011" w:rsidRPr="009A7AFD">
        <w:t xml:space="preserve">pro </w:t>
      </w:r>
      <w:r w:rsidR="00366187" w:rsidRPr="009A7AFD">
        <w:t>ověřování způsobilosti výdajů</w:t>
      </w:r>
    </w:p>
    <w:p w14:paraId="6B8F7FF7" w14:textId="315EF452" w:rsidR="00531D0C" w:rsidRPr="009A7AFD" w:rsidRDefault="00531D0C" w:rsidP="00D64B7C">
      <w:pPr>
        <w:pStyle w:val="Zkladn"/>
        <w:spacing w:before="120"/>
        <w:rPr>
          <w:rFonts w:eastAsiaTheme="minorHAnsi"/>
        </w:rPr>
      </w:pPr>
      <w:r w:rsidRPr="009A7AFD">
        <w:t>NKÚ zjistil v</w:t>
      </w:r>
      <w:r w:rsidRPr="009A7AFD">
        <w:rPr>
          <w:rFonts w:eastAsiaTheme="minorHAnsi"/>
        </w:rPr>
        <w:t> kontrolním syst</w:t>
      </w:r>
      <w:r w:rsidR="00BA77D1">
        <w:rPr>
          <w:rFonts w:eastAsiaTheme="minorHAnsi"/>
        </w:rPr>
        <w:t>ému IROP nedostatky týkající se:</w:t>
      </w:r>
    </w:p>
    <w:p w14:paraId="7B2D16E5" w14:textId="77777777" w:rsidR="00531D0C" w:rsidRPr="009A7AFD" w:rsidRDefault="00531D0C" w:rsidP="00D64B7C">
      <w:pPr>
        <w:pStyle w:val="Zkladn"/>
        <w:numPr>
          <w:ilvl w:val="0"/>
          <w:numId w:val="35"/>
        </w:numPr>
        <w:ind w:left="284" w:hanging="284"/>
        <w:rPr>
          <w:rFonts w:eastAsiaTheme="minorHAnsi"/>
        </w:rPr>
      </w:pPr>
      <w:r w:rsidRPr="009A7AFD">
        <w:rPr>
          <w:rFonts w:eastAsiaTheme="minorHAnsi"/>
        </w:rPr>
        <w:t xml:space="preserve">proplácení nezpůsobilých výdajů na diagnostické a servisní zařízení, </w:t>
      </w:r>
    </w:p>
    <w:p w14:paraId="0BD44C40" w14:textId="77777777" w:rsidR="00531D0C" w:rsidRPr="009A7AFD" w:rsidRDefault="00531D0C" w:rsidP="00D64B7C">
      <w:pPr>
        <w:pStyle w:val="Zkladn"/>
        <w:numPr>
          <w:ilvl w:val="0"/>
          <w:numId w:val="35"/>
        </w:numPr>
        <w:ind w:left="284" w:hanging="284"/>
        <w:rPr>
          <w:rFonts w:eastAsiaTheme="minorHAnsi"/>
        </w:rPr>
      </w:pPr>
      <w:r w:rsidRPr="009A7AFD">
        <w:rPr>
          <w:rFonts w:eastAsiaTheme="minorHAnsi"/>
        </w:rPr>
        <w:t xml:space="preserve">absence jednoznačných pravidel pro zamezení nejednotného přístupu při posuzování způsobilosti výdajů ohledně technické podpory a </w:t>
      </w:r>
    </w:p>
    <w:p w14:paraId="6A7DECDE" w14:textId="1B9A1734" w:rsidR="00531D0C" w:rsidRPr="009A7AFD" w:rsidRDefault="00531D0C" w:rsidP="00D64B7C">
      <w:pPr>
        <w:pStyle w:val="Zkladn"/>
        <w:numPr>
          <w:ilvl w:val="0"/>
          <w:numId w:val="35"/>
        </w:numPr>
        <w:ind w:left="284" w:hanging="284"/>
        <w:rPr>
          <w:rFonts w:eastAsiaTheme="minorHAnsi"/>
        </w:rPr>
      </w:pPr>
      <w:r w:rsidRPr="009A7AFD">
        <w:rPr>
          <w:rFonts w:eastAsiaTheme="minorHAnsi"/>
        </w:rPr>
        <w:t>nejednoznačnosti pravidel při posuzování způsobilosti výdajů souvisejících se zárukou za</w:t>
      </w:r>
      <w:r w:rsidR="00786BF6">
        <w:rPr>
          <w:rFonts w:eastAsiaTheme="minorHAnsi"/>
        </w:rPr>
        <w:t xml:space="preserve"> </w:t>
      </w:r>
      <w:r w:rsidRPr="009A7AFD">
        <w:rPr>
          <w:rFonts w:eastAsiaTheme="minorHAnsi"/>
        </w:rPr>
        <w:t>jakost s výsledkem možného uplatňování nerovného přístupu k příjemcům podpory.</w:t>
      </w:r>
    </w:p>
    <w:p w14:paraId="7BF4F4A2" w14:textId="300C98DB" w:rsidR="006C008A" w:rsidRPr="009A7AFD" w:rsidRDefault="00531D0C" w:rsidP="00D64B7C">
      <w:pPr>
        <w:pStyle w:val="KZnormln"/>
        <w:spacing w:before="120"/>
      </w:pPr>
      <w:r w:rsidRPr="009A7AFD">
        <w:t>N</w:t>
      </w:r>
      <w:r w:rsidR="00C4678C" w:rsidRPr="009A7AFD">
        <w:t xml:space="preserve">edostatečné </w:t>
      </w:r>
      <w:r w:rsidR="00366187" w:rsidRPr="009A7AFD">
        <w:t xml:space="preserve">kontrolní postupy </w:t>
      </w:r>
      <w:r w:rsidRPr="009A7AFD">
        <w:t>zjistil</w:t>
      </w:r>
      <w:r w:rsidR="00AA2355" w:rsidRPr="00AA2355">
        <w:t xml:space="preserve"> </w:t>
      </w:r>
      <w:r w:rsidR="00AA2355" w:rsidRPr="009A7AFD">
        <w:t>NKÚ</w:t>
      </w:r>
      <w:r w:rsidRPr="009A7AFD">
        <w:t xml:space="preserve"> </w:t>
      </w:r>
      <w:r w:rsidR="00366187" w:rsidRPr="009A7AFD">
        <w:t>v oblasti výdajů na diagnostické a servisní vybavení</w:t>
      </w:r>
      <w:r w:rsidR="00F7458C" w:rsidRPr="009A7AFD">
        <w:rPr>
          <w:rStyle w:val="Znakapoznpodarou"/>
        </w:rPr>
        <w:footnoteReference w:id="55"/>
      </w:r>
      <w:r w:rsidR="00366187" w:rsidRPr="009A7AFD">
        <w:t xml:space="preserve"> ve výzvách</w:t>
      </w:r>
      <w:r w:rsidR="00F944CD" w:rsidRPr="009A7AFD">
        <w:t xml:space="preserve"> č. 20 a č. 50</w:t>
      </w:r>
      <w:r w:rsidR="00366187" w:rsidRPr="009A7AFD">
        <w:t>, které se týkaly aktivity „</w:t>
      </w:r>
      <w:proofErr w:type="spellStart"/>
      <w:r w:rsidR="00366187" w:rsidRPr="009A7AFD">
        <w:t>Nízkoemisní</w:t>
      </w:r>
      <w:proofErr w:type="spellEnd"/>
      <w:r w:rsidR="00366187" w:rsidRPr="009A7AFD">
        <w:t xml:space="preserve"> a bezemisní vozidla</w:t>
      </w:r>
      <w:r w:rsidR="00F7458C" w:rsidRPr="009A7AFD">
        <w:t>“, a výdajů</w:t>
      </w:r>
      <w:r w:rsidR="00297011" w:rsidRPr="009A7AFD">
        <w:t xml:space="preserve"> </w:t>
      </w:r>
      <w:r w:rsidR="00AB37BD" w:rsidRPr="009A7AFD">
        <w:t>na technickou podporu</w:t>
      </w:r>
      <w:r w:rsidR="00F7458C" w:rsidRPr="009A7AFD">
        <w:rPr>
          <w:rStyle w:val="Znakapoznpodarou"/>
        </w:rPr>
        <w:footnoteReference w:id="56"/>
      </w:r>
      <w:r w:rsidR="00AB37BD" w:rsidRPr="009A7AFD">
        <w:t>, které se týkaly aktivity „Telematika“</w:t>
      </w:r>
      <w:r w:rsidR="00F7458C" w:rsidRPr="009A7AFD">
        <w:t xml:space="preserve">. </w:t>
      </w:r>
      <w:r w:rsidR="00B2273B" w:rsidRPr="009A7AFD">
        <w:t xml:space="preserve">Tyto výdaje </w:t>
      </w:r>
      <w:r w:rsidRPr="009A7AFD">
        <w:t>v</w:t>
      </w:r>
      <w:r w:rsidR="00823D20" w:rsidRPr="009A7AFD">
        <w:t> </w:t>
      </w:r>
      <w:r w:rsidRPr="009A7AFD">
        <w:t>případech</w:t>
      </w:r>
      <w:r w:rsidR="00823D20" w:rsidRPr="009A7AFD">
        <w:t>, kdy</w:t>
      </w:r>
      <w:r w:rsidRPr="009A7AFD">
        <w:t xml:space="preserve"> </w:t>
      </w:r>
      <w:r w:rsidR="00B2273B" w:rsidRPr="009A7AFD">
        <w:t>nebyly vyčísleny odděleně</w:t>
      </w:r>
      <w:r w:rsidR="00823D20" w:rsidRPr="009A7AFD">
        <w:t>, CRR neposuzovalo jako nezpůsobilé</w:t>
      </w:r>
      <w:r w:rsidR="00B2273B" w:rsidRPr="009A7AFD">
        <w:t>. V rámci kontrolního systému MMR v roli ŘO IROP nestanovilo pravidla a postupy, které by zajistily oddělení a vyčíslení výdajů, které z věcné podstaty nesplňují hledisko způsobilosti.</w:t>
      </w:r>
    </w:p>
    <w:p w14:paraId="7CBA5EC0" w14:textId="677F9198" w:rsidR="006C008A" w:rsidRPr="009A7AFD" w:rsidRDefault="00F7458C" w:rsidP="00D64B7C">
      <w:pPr>
        <w:pStyle w:val="KZnormln"/>
        <w:spacing w:before="120"/>
      </w:pPr>
      <w:r w:rsidRPr="009A7AFD">
        <w:t xml:space="preserve">Pro výdaje </w:t>
      </w:r>
      <w:r w:rsidR="00297011" w:rsidRPr="009A7AFD">
        <w:t>související</w:t>
      </w:r>
      <w:r w:rsidR="00AB37BD" w:rsidRPr="009A7AFD">
        <w:t xml:space="preserve"> se zárukou za jakost</w:t>
      </w:r>
      <w:r w:rsidRPr="009A7AFD">
        <w:rPr>
          <w:rStyle w:val="Znakapoznpodarou"/>
        </w:rPr>
        <w:footnoteReference w:id="57"/>
      </w:r>
      <w:r w:rsidR="00297011" w:rsidRPr="009A7AFD">
        <w:t>, které se týkaly aktivity „</w:t>
      </w:r>
      <w:proofErr w:type="spellStart"/>
      <w:r w:rsidR="00297011" w:rsidRPr="009A7AFD">
        <w:t>Nízkoemisní</w:t>
      </w:r>
      <w:proofErr w:type="spellEnd"/>
      <w:r w:rsidR="00297011" w:rsidRPr="009A7AFD">
        <w:t xml:space="preserve"> a bezemisní vozidla“, MMR nastavilo nejednozna</w:t>
      </w:r>
      <w:r w:rsidRPr="009A7AFD">
        <w:t>čná</w:t>
      </w:r>
      <w:r w:rsidR="00297011" w:rsidRPr="009A7AFD">
        <w:t xml:space="preserve"> </w:t>
      </w:r>
      <w:r w:rsidRPr="009A7AFD">
        <w:t>pravidla</w:t>
      </w:r>
      <w:r w:rsidR="00297011" w:rsidRPr="009A7AFD">
        <w:t xml:space="preserve"> pro určení způsobilosti výdaje.</w:t>
      </w:r>
      <w:r w:rsidR="006C008A" w:rsidRPr="009A7AFD">
        <w:t xml:space="preserve"> Pravidla IROP stanovovala, že záruka za jakost je způsobilým výdajem jen v případě, že se jedná ve vztahu k</w:t>
      </w:r>
      <w:r w:rsidR="009374C6" w:rsidRPr="009A7AFD">
        <w:t> </w:t>
      </w:r>
      <w:r w:rsidR="006C008A" w:rsidRPr="009A7AFD">
        <w:t>danému plnění o záruku standardní a že záruční doba zohledňuje reálnou životnost dodaných komponent a nesmí j</w:t>
      </w:r>
      <w:r w:rsidR="00AA2355">
        <w:t>i</w:t>
      </w:r>
      <w:r w:rsidR="006C008A" w:rsidRPr="009A7AFD">
        <w:t xml:space="preserve"> přesahovat. Podle nastavených pravidel způsobilosti výdajů NKÚ u jednoho projektu</w:t>
      </w:r>
      <w:r w:rsidR="006C008A" w:rsidRPr="009A7AFD">
        <w:rPr>
          <w:rFonts w:eastAsiaTheme="minorHAnsi" w:cstheme="minorBidi"/>
          <w:color w:val="auto"/>
          <w:sz w:val="22"/>
          <w:vertAlign w:val="superscript"/>
        </w:rPr>
        <w:footnoteReference w:id="58"/>
      </w:r>
      <w:r w:rsidR="006C008A" w:rsidRPr="009A7AFD">
        <w:t xml:space="preserve"> nemohl jednoznačně prokázat, že byla sjednána záruka za jakos</w:t>
      </w:r>
      <w:r w:rsidR="00AA7F84">
        <w:t>t ve standardní délce a </w:t>
      </w:r>
      <w:r w:rsidR="00093465" w:rsidRPr="009A7AFD">
        <w:t xml:space="preserve">standardním </w:t>
      </w:r>
      <w:r w:rsidR="006C008A" w:rsidRPr="009A7AFD">
        <w:t>rozsahu, aby si příjemce z výdajů s ní související</w:t>
      </w:r>
      <w:r w:rsidR="00AA2355">
        <w:t>ch</w:t>
      </w:r>
      <w:r w:rsidR="006C008A" w:rsidRPr="009A7AFD">
        <w:t xml:space="preserve"> nefinancoval své provozní výdaje. Protože u různých projektů mohly být obdobné výdaje posouzeny rozdílně, existuje riziko, že MMR v roli ŘO IROP při posuzování způsobilosti výdajů a</w:t>
      </w:r>
      <w:r w:rsidR="00D64B7C">
        <w:t> </w:t>
      </w:r>
      <w:r w:rsidR="006C008A" w:rsidRPr="009A7AFD">
        <w:t>poskytování podpory uplatňovalo nejednotný přístup k příjemcům.</w:t>
      </w:r>
    </w:p>
    <w:p w14:paraId="2C6FCBAC" w14:textId="4EAD6BBE" w:rsidR="00F7458C" w:rsidRPr="009A7AFD" w:rsidRDefault="00C233DE" w:rsidP="00D64B7C">
      <w:pPr>
        <w:pStyle w:val="Rmeek"/>
        <w:keepLines/>
        <w:spacing w:before="120"/>
        <w:ind w:right="284"/>
      </w:pPr>
      <w:r w:rsidRPr="009A7AFD">
        <w:lastRenderedPageBreak/>
        <w:t>Ministerstvo</w:t>
      </w:r>
      <w:r w:rsidR="00F7458C" w:rsidRPr="009A7AFD">
        <w:t xml:space="preserve"> nezajistilo správnost a řádnost vykazovaných výdajů</w:t>
      </w:r>
      <w:r w:rsidRPr="009A7AFD">
        <w:t xml:space="preserve"> z hlediska jejich způsobilosti</w:t>
      </w:r>
      <w:r w:rsidR="00F7458C" w:rsidRPr="009A7AFD">
        <w:t>. Ze strany MMR jako ŘO IROP nebyla respektována jedna z obecných zásad systému řízení a kontroly stanovená v </w:t>
      </w:r>
      <w:r w:rsidR="00AA2355">
        <w:t>o</w:t>
      </w:r>
      <w:r w:rsidR="00F7458C" w:rsidRPr="009A7AFD">
        <w:t>becném nařízení</w:t>
      </w:r>
      <w:r w:rsidR="00F7458C" w:rsidRPr="009A7AFD">
        <w:rPr>
          <w:vertAlign w:val="superscript"/>
        </w:rPr>
        <w:footnoteReference w:id="59"/>
      </w:r>
      <w:r w:rsidR="00F7458C" w:rsidRPr="009A7AFD">
        <w:t xml:space="preserve">. </w:t>
      </w:r>
      <w:r w:rsidR="00531D0C" w:rsidRPr="009A7AFD">
        <w:rPr>
          <w:rFonts w:eastAsiaTheme="minorHAnsi"/>
        </w:rPr>
        <w:t xml:space="preserve">Proto NKÚ považuje nastavení pravidel a postupů pro ověření způsobilosti výdajů za rizikovou oblast kontrolního systému, kde existuje riziko vzniku systémové nesrovnalosti ve smyslu ustanovení </w:t>
      </w:r>
      <w:r w:rsidR="00AA2355">
        <w:rPr>
          <w:rFonts w:eastAsiaTheme="minorHAnsi"/>
        </w:rPr>
        <w:t>o</w:t>
      </w:r>
      <w:r w:rsidR="00531D0C" w:rsidRPr="009A7AFD">
        <w:rPr>
          <w:rFonts w:eastAsiaTheme="minorHAnsi"/>
        </w:rPr>
        <w:t>becného nařízení</w:t>
      </w:r>
      <w:r w:rsidR="00531D0C" w:rsidRPr="009A7AFD">
        <w:rPr>
          <w:rFonts w:eastAsiaTheme="minorHAnsi" w:cstheme="minorBidi"/>
          <w:vertAlign w:val="superscript"/>
        </w:rPr>
        <w:footnoteReference w:id="60"/>
      </w:r>
      <w:r w:rsidR="00531D0C" w:rsidRPr="009A7AFD">
        <w:rPr>
          <w:rFonts w:eastAsiaTheme="minorHAnsi"/>
        </w:rPr>
        <w:t xml:space="preserve">.  </w:t>
      </w:r>
    </w:p>
    <w:p w14:paraId="19E6FEC9" w14:textId="77777777" w:rsidR="00A777EC" w:rsidRPr="009A7AFD" w:rsidRDefault="00A777EC" w:rsidP="00D64B7C">
      <w:pPr>
        <w:pStyle w:val="Nadpis4"/>
        <w:spacing w:before="120" w:after="120"/>
      </w:pPr>
      <w:r w:rsidRPr="009A7AFD">
        <w:t>Ministerstvo poskytlo pěti příjemcům dotaci na výdaje n</w:t>
      </w:r>
      <w:r w:rsidR="007B5B68" w:rsidRPr="009A7AFD">
        <w:t>ezpůsobilé k financování z IROP</w:t>
      </w:r>
    </w:p>
    <w:p w14:paraId="4DC92CBA" w14:textId="77777777" w:rsidR="00AB7875" w:rsidRPr="009A7AFD" w:rsidRDefault="00EE66E4" w:rsidP="00D64B7C">
      <w:pPr>
        <w:pStyle w:val="KZnormln"/>
        <w:spacing w:before="120"/>
      </w:pPr>
      <w:r w:rsidRPr="009A7AFD">
        <w:t>Posouzení</w:t>
      </w:r>
      <w:r w:rsidR="00A777EC" w:rsidRPr="009A7AFD">
        <w:t xml:space="preserve"> způsobilost</w:t>
      </w:r>
      <w:r w:rsidRPr="009A7AFD">
        <w:t>i</w:t>
      </w:r>
      <w:r w:rsidR="00A777EC" w:rsidRPr="009A7AFD">
        <w:t xml:space="preserve"> výdajů na servisní a diagnostické vybavení autobusů </w:t>
      </w:r>
      <w:r w:rsidRPr="009A7AFD">
        <w:t xml:space="preserve">bylo provedeno </w:t>
      </w:r>
      <w:r w:rsidR="00A777EC" w:rsidRPr="009A7AFD">
        <w:t>rozdílně. Ve třech projektech</w:t>
      </w:r>
      <w:r w:rsidR="00806AE5" w:rsidRPr="009A7AFD">
        <w:rPr>
          <w:rStyle w:val="Znakapoznpodarou"/>
        </w:rPr>
        <w:footnoteReference w:id="61"/>
      </w:r>
      <w:r w:rsidR="00A777EC" w:rsidRPr="009A7AFD">
        <w:t xml:space="preserve"> </w:t>
      </w:r>
      <w:r w:rsidRPr="009A7AFD">
        <w:t xml:space="preserve">CRR </w:t>
      </w:r>
      <w:r w:rsidR="00A777EC" w:rsidRPr="009A7AFD">
        <w:t>posou</w:t>
      </w:r>
      <w:r w:rsidRPr="009A7AFD">
        <w:t>dil</w:t>
      </w:r>
      <w:r w:rsidR="003A66E9" w:rsidRPr="009A7AFD">
        <w:t>o</w:t>
      </w:r>
      <w:r w:rsidR="00A777EC" w:rsidRPr="009A7AFD">
        <w:t xml:space="preserve"> </w:t>
      </w:r>
      <w:r w:rsidR="00A04E5F" w:rsidRPr="009A7AFD">
        <w:t xml:space="preserve">tyto výdaje </w:t>
      </w:r>
      <w:r w:rsidR="003A66E9" w:rsidRPr="009A7AFD">
        <w:t xml:space="preserve">jako nezpůsobilé, ty pak </w:t>
      </w:r>
      <w:r w:rsidR="00A777EC" w:rsidRPr="009A7AFD">
        <w:t xml:space="preserve">byly vyjmuty z financování a </w:t>
      </w:r>
      <w:r w:rsidRPr="009A7AFD">
        <w:t>MMR na ně neposkytlo dotaci</w:t>
      </w:r>
      <w:r w:rsidR="00A777EC" w:rsidRPr="009A7AFD">
        <w:t xml:space="preserve"> příjemcům. Uvedené posouzení výdajů jako nezpůsobilých bylo v souladu s nastavenými pož</w:t>
      </w:r>
      <w:r w:rsidR="00A04E5F" w:rsidRPr="009A7AFD">
        <w:t>adavky řídicí dokumentace IROP, neboť v</w:t>
      </w:r>
      <w:r w:rsidR="00A777EC" w:rsidRPr="009A7AFD">
        <w:t xml:space="preserve">ýdaje na servis, opravu či modernizování vozidel </w:t>
      </w:r>
      <w:r w:rsidR="00A04E5F" w:rsidRPr="009A7AFD">
        <w:t>jsou nezpůsobilé k financování v rámci aktivity „</w:t>
      </w:r>
      <w:proofErr w:type="spellStart"/>
      <w:r w:rsidR="00A04E5F" w:rsidRPr="009A7AFD">
        <w:t>Nízkoemisní</w:t>
      </w:r>
      <w:proofErr w:type="spellEnd"/>
      <w:r w:rsidR="00A04E5F" w:rsidRPr="009A7AFD">
        <w:t xml:space="preserve"> a bezemisní vozidla“.</w:t>
      </w:r>
    </w:p>
    <w:p w14:paraId="6FD33A11" w14:textId="4FA66D56" w:rsidR="00A777EC" w:rsidRPr="009A7AFD" w:rsidRDefault="00AB7875" w:rsidP="00D64B7C">
      <w:pPr>
        <w:pStyle w:val="KZnormln"/>
        <w:spacing w:before="120"/>
      </w:pPr>
      <w:r w:rsidRPr="009A7AFD">
        <w:t>V pěti projektech</w:t>
      </w:r>
      <w:r w:rsidRPr="009A7AFD">
        <w:rPr>
          <w:rStyle w:val="Znakapoznpodarou"/>
        </w:rPr>
        <w:footnoteReference w:id="62"/>
      </w:r>
      <w:r w:rsidRPr="009A7AFD">
        <w:t xml:space="preserve"> CRR při kontrole žádostí o platbu posoudilo tytéž výdaje jako způsobilé, neboť nebyly vyčísleny odděleně.</w:t>
      </w:r>
      <w:r w:rsidR="00CF16C9" w:rsidRPr="009A7AFD">
        <w:t xml:space="preserve"> </w:t>
      </w:r>
      <w:r w:rsidR="00905C95" w:rsidRPr="009A7AFD">
        <w:t>Věcná charakteristika výdajů</w:t>
      </w:r>
      <w:r w:rsidR="00CF16C9" w:rsidRPr="009A7AFD">
        <w:t xml:space="preserve"> byla však ve všech případech totožná jako v případě </w:t>
      </w:r>
      <w:r w:rsidR="00AA2355">
        <w:t>tří</w:t>
      </w:r>
      <w:r w:rsidR="00CF16C9" w:rsidRPr="009A7AFD">
        <w:t xml:space="preserve"> projektů</w:t>
      </w:r>
      <w:r w:rsidR="00905C95" w:rsidRPr="009A7AFD">
        <w:t xml:space="preserve">, kde je CRR </w:t>
      </w:r>
      <w:r w:rsidR="0034434E">
        <w:t xml:space="preserve">nebo příjemce </w:t>
      </w:r>
      <w:r w:rsidR="00905C95" w:rsidRPr="009A7AFD">
        <w:t>identifikoval</w:t>
      </w:r>
      <w:r w:rsidR="002767C2">
        <w:t>i</w:t>
      </w:r>
      <w:r w:rsidR="00905C95" w:rsidRPr="009A7AFD">
        <w:t xml:space="preserve"> jako nezpůsobilé</w:t>
      </w:r>
      <w:r w:rsidR="00CF16C9" w:rsidRPr="009A7AFD">
        <w:t>. Z hlediska účetních předpisů jsou výdaje na servisní a diagnostické vybavení samostatným majetkem, který měl příjemce ocenit a evidovat na samostatných majetkových kartách.</w:t>
      </w:r>
      <w:r w:rsidRPr="009A7AFD">
        <w:t xml:space="preserve"> </w:t>
      </w:r>
      <w:r w:rsidR="00CF16C9" w:rsidRPr="009A7AFD">
        <w:t xml:space="preserve">Dotace </w:t>
      </w:r>
      <w:r w:rsidR="00905C95" w:rsidRPr="009A7AFD">
        <w:t>u těchto pěti projektů</w:t>
      </w:r>
      <w:r w:rsidR="00CF16C9" w:rsidRPr="009A7AFD">
        <w:t xml:space="preserve"> nebyla krácena a MMR ji proplatilo.</w:t>
      </w:r>
      <w:r w:rsidR="00905C95" w:rsidRPr="009A7AFD">
        <w:t xml:space="preserve"> </w:t>
      </w:r>
    </w:p>
    <w:p w14:paraId="3F5F8D29" w14:textId="3EBD4C44" w:rsidR="00F77F8B" w:rsidRPr="009A7AFD" w:rsidRDefault="00905C95" w:rsidP="00D64B7C">
      <w:pPr>
        <w:pStyle w:val="Rmeek"/>
        <w:spacing w:before="120"/>
        <w:ind w:right="284"/>
      </w:pPr>
      <w:r w:rsidRPr="009A7AFD">
        <w:t>Rozdílným přístupem při posuzování způsobilosti uvedených výdajů na servisní a</w:t>
      </w:r>
      <w:r w:rsidR="009374C6" w:rsidRPr="009A7AFD">
        <w:t> </w:t>
      </w:r>
      <w:r w:rsidRPr="009A7AFD">
        <w:t>diagnostické vybavení došlo k nerovnému přístupu k příjemcům podpory SC 1.2 IROP. MMR v roli ŘO IROP nastavilo nedostatečně procesy, které by jednoznačně zajistily oddělení a vyčíslení těchto výdajů od ostatních výdajů v případě, že je naplněna věcná charakteristika nezpůsobilosti těchto výdajů.</w:t>
      </w:r>
      <w:r w:rsidR="00F77F8B" w:rsidRPr="009A7AFD">
        <w:t xml:space="preserve"> Z důvodu nejednoznačnosti pravidel pro</w:t>
      </w:r>
      <w:r w:rsidR="00AA2355">
        <w:t xml:space="preserve"> </w:t>
      </w:r>
      <w:r w:rsidR="00F77F8B" w:rsidRPr="009A7AFD">
        <w:t>ověřování způsobilosti jsou obdobné či totožné výdaje posuzovány u některých příjemců jako způsobilé, u jiných jako nezpůsobilé.</w:t>
      </w:r>
    </w:p>
    <w:p w14:paraId="4FB7370F" w14:textId="77777777" w:rsidR="00F77F8B" w:rsidRDefault="00F77F8B" w:rsidP="00D64B7C">
      <w:pPr>
        <w:pStyle w:val="Rmeek"/>
        <w:spacing w:before="120"/>
        <w:ind w:right="284"/>
      </w:pPr>
      <w:r w:rsidRPr="009A7AFD">
        <w:t>Proplacením dotace na výdaje na diagnostické a servisní vybavení MMR v roli ŘO IROP porušilo podmínky způsobilosti sta</w:t>
      </w:r>
      <w:r w:rsidR="00513C27" w:rsidRPr="009A7AFD">
        <w:t>novené pro poskytování podpory.</w:t>
      </w:r>
    </w:p>
    <w:p w14:paraId="119F6278" w14:textId="77777777" w:rsidR="00F77F8B" w:rsidRPr="00337DE0" w:rsidRDefault="00F77F8B" w:rsidP="00D64B7C">
      <w:pPr>
        <w:pStyle w:val="Nadpis4"/>
        <w:spacing w:before="120" w:after="120"/>
      </w:pPr>
      <w:r w:rsidRPr="00337DE0">
        <w:t>Změna pravidel vykazování způsobilých výdajů vyvolala nerovný přístup vůči příjemcům</w:t>
      </w:r>
    </w:p>
    <w:p w14:paraId="2A916073" w14:textId="77777777" w:rsidR="00F77F8B" w:rsidRPr="00337DE0" w:rsidRDefault="00F77F8B" w:rsidP="00D64B7C">
      <w:pPr>
        <w:pStyle w:val="KZnormln"/>
        <w:spacing w:before="120"/>
      </w:pPr>
      <w:r w:rsidRPr="00337DE0">
        <w:t xml:space="preserve">V rámci nastaveného systému vykazování způsobilých výdajů měl příjemce </w:t>
      </w:r>
      <w:r>
        <w:t xml:space="preserve">stanovenou informační </w:t>
      </w:r>
      <w:r w:rsidRPr="00337DE0">
        <w:t xml:space="preserve">povinnost o uplatněných smluvních pokutách </w:t>
      </w:r>
      <w:r>
        <w:t>za nedodržení lhůty při plnění veřejné zakázky (dále též „smluvní pokuta“). V případě přija</w:t>
      </w:r>
      <w:r w:rsidRPr="00337DE0">
        <w:t>t</w:t>
      </w:r>
      <w:r>
        <w:t>é</w:t>
      </w:r>
      <w:r w:rsidRPr="00337DE0">
        <w:t xml:space="preserve"> smluvní pokuty </w:t>
      </w:r>
      <w:r w:rsidR="00DD43FB">
        <w:t xml:space="preserve">musel </w:t>
      </w:r>
      <w:r w:rsidR="00437F43">
        <w:t xml:space="preserve">příjemce </w:t>
      </w:r>
      <w:r>
        <w:t xml:space="preserve">o tuto částku </w:t>
      </w:r>
      <w:r w:rsidRPr="00337DE0">
        <w:t xml:space="preserve">snížit celkové způsobilé výdaje projektu. </w:t>
      </w:r>
    </w:p>
    <w:p w14:paraId="262DE0DD" w14:textId="4F697257" w:rsidR="00F77F8B" w:rsidRDefault="00F77F8B" w:rsidP="00D64B7C">
      <w:pPr>
        <w:pStyle w:val="Zkladn"/>
        <w:spacing w:before="120"/>
      </w:pPr>
      <w:r>
        <w:lastRenderedPageBreak/>
        <w:t>MMR v roli</w:t>
      </w:r>
      <w:r w:rsidRPr="00337DE0">
        <w:t xml:space="preserve"> ŘO IROP vydal</w:t>
      </w:r>
      <w:r>
        <w:t xml:space="preserve">o v prosinci 2018 </w:t>
      </w:r>
      <w:r w:rsidR="00AA2355">
        <w:rPr>
          <w:i/>
        </w:rPr>
        <w:t>z</w:t>
      </w:r>
      <w:r w:rsidRPr="00337DE0">
        <w:rPr>
          <w:i/>
        </w:rPr>
        <w:t xml:space="preserve">ávazné stanovisko </w:t>
      </w:r>
      <w:r w:rsidR="0009014A">
        <w:rPr>
          <w:i/>
        </w:rPr>
        <w:t>ř</w:t>
      </w:r>
      <w:r w:rsidRPr="00337DE0">
        <w:rPr>
          <w:i/>
        </w:rPr>
        <w:t>ídicího orgánu IROP č. 10</w:t>
      </w:r>
      <w:r w:rsidRPr="00337DE0">
        <w:rPr>
          <w:vertAlign w:val="superscript"/>
        </w:rPr>
        <w:footnoteReference w:id="63"/>
      </w:r>
      <w:r w:rsidRPr="00337DE0">
        <w:t xml:space="preserve"> (dále též „Stanovisko č. 10“), které výše uvedenou povinnost zrušilo. Změna se vztahovala na všechny projekty bez ohledu na to, v jaké výzvě byly </w:t>
      </w:r>
      <w:r w:rsidR="00617CFE">
        <w:t xml:space="preserve">podány </w:t>
      </w:r>
      <w:r w:rsidRPr="00337DE0">
        <w:t>a</w:t>
      </w:r>
      <w:r>
        <w:t xml:space="preserve"> v jakém stádiu se nacházely. U kontrolovaných</w:t>
      </w:r>
      <w:r w:rsidRPr="00337DE0">
        <w:t xml:space="preserve"> projektů </w:t>
      </w:r>
      <w:r>
        <w:t>NKÚ zjistil</w:t>
      </w:r>
      <w:r w:rsidRPr="00337DE0">
        <w:t>, že:</w:t>
      </w:r>
    </w:p>
    <w:p w14:paraId="42F17837" w14:textId="1B545A56" w:rsidR="00F77F8B" w:rsidRDefault="00F77F8B" w:rsidP="00D64B7C">
      <w:pPr>
        <w:pStyle w:val="Zkladn"/>
        <w:numPr>
          <w:ilvl w:val="0"/>
          <w:numId w:val="17"/>
        </w:numPr>
        <w:ind w:left="284" w:hanging="284"/>
      </w:pPr>
      <w:r>
        <w:t>celkem u pěti projektů z výzvy č. 50 příjemce vymohl od dodavatele smluvní pokuty, z</w:t>
      </w:r>
      <w:r w:rsidR="009374C6">
        <w:t> </w:t>
      </w:r>
      <w:r>
        <w:t>toho u tří</w:t>
      </w:r>
      <w:r>
        <w:rPr>
          <w:rStyle w:val="Znakapoznpodarou"/>
        </w:rPr>
        <w:footnoteReference w:id="64"/>
      </w:r>
      <w:r>
        <w:t xml:space="preserve"> z nich byly odečteny ze způsobilých výdajů;</w:t>
      </w:r>
    </w:p>
    <w:p w14:paraId="70635D7A" w14:textId="77777777" w:rsidR="00F77F8B" w:rsidRDefault="00F77F8B" w:rsidP="00D64B7C">
      <w:pPr>
        <w:pStyle w:val="Zkladn"/>
        <w:numPr>
          <w:ilvl w:val="0"/>
          <w:numId w:val="17"/>
        </w:numPr>
        <w:ind w:left="284" w:hanging="284"/>
      </w:pPr>
      <w:r>
        <w:t>celkem u tří projektů z výzvy č. 20 příjemce vymohl od dodavatele smluvní pokutu, z toho u dvou</w:t>
      </w:r>
      <w:r>
        <w:rPr>
          <w:rStyle w:val="Znakapoznpodarou"/>
        </w:rPr>
        <w:footnoteReference w:id="65"/>
      </w:r>
      <w:r>
        <w:t xml:space="preserve"> byly odečteny ze způsobilých výdajů;</w:t>
      </w:r>
    </w:p>
    <w:p w14:paraId="138279F8" w14:textId="0E1A49D8" w:rsidR="00F77F8B" w:rsidRDefault="00F77F8B" w:rsidP="00D64B7C">
      <w:pPr>
        <w:pStyle w:val="Zkladn"/>
        <w:numPr>
          <w:ilvl w:val="0"/>
          <w:numId w:val="17"/>
        </w:numPr>
        <w:ind w:left="284" w:hanging="284"/>
      </w:pPr>
      <w:r>
        <w:t>ve výzvě č. 22 příjemce vymohl smluvní pokutu u jednoho projektu</w:t>
      </w:r>
      <w:r>
        <w:rPr>
          <w:rStyle w:val="Znakapoznpodarou"/>
        </w:rPr>
        <w:footnoteReference w:id="66"/>
      </w:r>
      <w:r>
        <w:t xml:space="preserve"> a odečetl ji od</w:t>
      </w:r>
      <w:r w:rsidR="00AA2355">
        <w:t xml:space="preserve"> </w:t>
      </w:r>
      <w:r>
        <w:t>způsobilých výdajů.</w:t>
      </w:r>
    </w:p>
    <w:p w14:paraId="4FDF50AF" w14:textId="04E14E0C" w:rsidR="00F77F8B" w:rsidRDefault="00F77F8B" w:rsidP="00D64B7C">
      <w:pPr>
        <w:pStyle w:val="Rmeek"/>
        <w:spacing w:before="120"/>
        <w:ind w:right="284"/>
      </w:pPr>
      <w:r>
        <w:t>MMR v roli ŘO IROP aplikovalo v průběhu realizace projektů i v rámci stejných výzev rozdílná pravidla, která měla dopad na způsobilost výdajů. Změna, kterou vyvolalo Stanovisko č. 10, ovlivnila výši poskytnuté dotace na prokázané způsobilé výdaje. V</w:t>
      </w:r>
      <w:r w:rsidR="009374C6">
        <w:t> </w:t>
      </w:r>
      <w:r>
        <w:t>důsledku vydání Stanoviska č. 10 byli znevýhodněni příjemci, kteří podali žádosti o</w:t>
      </w:r>
      <w:r w:rsidR="0009014A">
        <w:t> </w:t>
      </w:r>
      <w:r>
        <w:t>platbu do prosince 2018 a zároveň do tohoto data vymohli od dodavatele smluvní pokuty a o tyto částky ponížili vykazované způsobilé výdaje. Nerovný přístup aplikovaný MMR v roli ŘO IROP se týkal šesti příje</w:t>
      </w:r>
      <w:r w:rsidR="00DA2129">
        <w:t>mců (podrobněji viz příloha č. 5</w:t>
      </w:r>
      <w:r>
        <w:t xml:space="preserve"> </w:t>
      </w:r>
      <w:r w:rsidR="0009014A">
        <w:t xml:space="preserve">tohoto </w:t>
      </w:r>
      <w:r>
        <w:t xml:space="preserve">kontrolního závěru), kterým byla proplacena dotace nižší o 4 299 tis. Kč než částka podpory přiznaná v právním aktu. </w:t>
      </w:r>
    </w:p>
    <w:p w14:paraId="45272357" w14:textId="77777777" w:rsidR="00F77F8B" w:rsidRPr="00337DE0" w:rsidRDefault="00F77F8B" w:rsidP="00D64B7C">
      <w:pPr>
        <w:pStyle w:val="Rmeek"/>
        <w:spacing w:before="120"/>
        <w:ind w:right="284"/>
      </w:pPr>
      <w:r>
        <w:t xml:space="preserve">MMR jako </w:t>
      </w:r>
      <w:r w:rsidRPr="00A04E5F">
        <w:t xml:space="preserve">ŘO IROP </w:t>
      </w:r>
      <w:r>
        <w:t xml:space="preserve">aplikovalo změnu i na běžící výzvy z důvodu odstranění </w:t>
      </w:r>
      <w:r w:rsidRPr="00A04E5F">
        <w:t xml:space="preserve">tzv. </w:t>
      </w:r>
      <w:proofErr w:type="spellStart"/>
      <w:r w:rsidRPr="00A04E5F">
        <w:t>gold</w:t>
      </w:r>
      <w:proofErr w:type="spellEnd"/>
      <w:r w:rsidRPr="00A04E5F">
        <w:t xml:space="preserve"> </w:t>
      </w:r>
      <w:proofErr w:type="spellStart"/>
      <w:r w:rsidRPr="00A04E5F">
        <w:t>plating</w:t>
      </w:r>
      <w:proofErr w:type="spellEnd"/>
      <w:r>
        <w:rPr>
          <w:rStyle w:val="Znakapoznpodarou"/>
        </w:rPr>
        <w:footnoteReference w:id="67"/>
      </w:r>
      <w:r>
        <w:t>,</w:t>
      </w:r>
      <w:r w:rsidRPr="00A04E5F">
        <w:t xml:space="preserve"> a</w:t>
      </w:r>
      <w:r>
        <w:t>by</w:t>
      </w:r>
      <w:r w:rsidRPr="00A04E5F">
        <w:t xml:space="preserve"> příjemci nebyli dále postihováni nadbytečným krácením dotace</w:t>
      </w:r>
      <w:r>
        <w:t>, tj.</w:t>
      </w:r>
      <w:r w:rsidRPr="00A04E5F">
        <w:t xml:space="preserve"> jednalo</w:t>
      </w:r>
      <w:r>
        <w:t xml:space="preserve"> se</w:t>
      </w:r>
      <w:r w:rsidRPr="00A04E5F">
        <w:t xml:space="preserve"> o změnu ve prospěch příjemců</w:t>
      </w:r>
      <w:r>
        <w:t xml:space="preserve">.  </w:t>
      </w:r>
    </w:p>
    <w:p w14:paraId="68AD6C77" w14:textId="5B118FF7" w:rsidR="009E0500" w:rsidRPr="0009014A" w:rsidRDefault="0009014A" w:rsidP="0009014A">
      <w:pPr>
        <w:pStyle w:val="Nadpis3"/>
        <w:numPr>
          <w:ilvl w:val="0"/>
          <w:numId w:val="0"/>
        </w:numPr>
        <w:spacing w:before="120" w:after="120"/>
        <w:rPr>
          <w:i w:val="0"/>
        </w:rPr>
      </w:pPr>
      <w:r>
        <w:rPr>
          <w:i w:val="0"/>
        </w:rPr>
        <w:t xml:space="preserve">6.7 </w:t>
      </w:r>
      <w:r w:rsidR="009E0500" w:rsidRPr="0009014A">
        <w:rPr>
          <w:i w:val="0"/>
        </w:rPr>
        <w:t>Vyhodnocení řídicího a kontrolního systému na úrovni SC 1.2 IROP</w:t>
      </w:r>
    </w:p>
    <w:p w14:paraId="602706DE" w14:textId="62BC4065" w:rsidR="009E0500" w:rsidRDefault="00AD3561" w:rsidP="00D64B7C">
      <w:pPr>
        <w:pStyle w:val="KZnormlntun"/>
        <w:spacing w:before="120"/>
        <w:rPr>
          <w:u w:val="single"/>
        </w:rPr>
      </w:pPr>
      <w:r w:rsidRPr="00AD3561">
        <w:t xml:space="preserve">Na základě skutečností zjištěných na úrovni MMR, CRR, </w:t>
      </w:r>
      <w:r>
        <w:t>statutárních měst a</w:t>
      </w:r>
      <w:r w:rsidRPr="00AD3561">
        <w:t xml:space="preserve"> u příjemců hodnotí NKÚ řídicí a kontrolní systém IROP ve vztahu k prioritní ose 1</w:t>
      </w:r>
      <w:r w:rsidR="00E9194A">
        <w:t>,</w:t>
      </w:r>
      <w:r w:rsidRPr="00AD3561">
        <w:t xml:space="preserve"> </w:t>
      </w:r>
      <w:r w:rsidR="00E9194A">
        <w:t>specifickému cíli 1.2</w:t>
      </w:r>
      <w:r w:rsidR="00C9454E">
        <w:t>,</w:t>
      </w:r>
      <w:r w:rsidR="00E9194A">
        <w:t xml:space="preserve"> </w:t>
      </w:r>
      <w:r w:rsidRPr="00AD3561">
        <w:t xml:space="preserve">jako „částečně účinný“. </w:t>
      </w:r>
      <w:r w:rsidRPr="00AD3561">
        <w:rPr>
          <w:b w:val="0"/>
        </w:rPr>
        <w:t>Vyhodnocení je provedeno ze skuteč</w:t>
      </w:r>
      <w:r w:rsidR="00986510">
        <w:rPr>
          <w:b w:val="0"/>
        </w:rPr>
        <w:t xml:space="preserve">ností uvedených v kapitole </w:t>
      </w:r>
      <w:proofErr w:type="gramStart"/>
      <w:r w:rsidR="00986510">
        <w:rPr>
          <w:b w:val="0"/>
        </w:rPr>
        <w:t>IV.6.1</w:t>
      </w:r>
      <w:proofErr w:type="gramEnd"/>
      <w:r w:rsidR="00986510">
        <w:rPr>
          <w:b w:val="0"/>
        </w:rPr>
        <w:t xml:space="preserve"> až</w:t>
      </w:r>
      <w:r w:rsidR="009374C6">
        <w:rPr>
          <w:b w:val="0"/>
        </w:rPr>
        <w:t> </w:t>
      </w:r>
      <w:r w:rsidR="00986510">
        <w:rPr>
          <w:b w:val="0"/>
        </w:rPr>
        <w:t xml:space="preserve">IV.6.6 </w:t>
      </w:r>
      <w:r w:rsidR="0009014A">
        <w:rPr>
          <w:b w:val="0"/>
        </w:rPr>
        <w:t xml:space="preserve">tohoto </w:t>
      </w:r>
      <w:r w:rsidRPr="00AD3561">
        <w:rPr>
          <w:b w:val="0"/>
        </w:rPr>
        <w:t>kontrolního závěru:</w:t>
      </w:r>
    </w:p>
    <w:tbl>
      <w:tblPr>
        <w:tblStyle w:val="Mkatabulky3"/>
        <w:tblW w:w="0" w:type="auto"/>
        <w:tblLook w:val="04A0" w:firstRow="1" w:lastRow="0" w:firstColumn="1" w:lastColumn="0" w:noHBand="0" w:noVBand="1"/>
      </w:tblPr>
      <w:tblGrid>
        <w:gridCol w:w="846"/>
        <w:gridCol w:w="7370"/>
        <w:gridCol w:w="845"/>
      </w:tblGrid>
      <w:tr w:rsidR="002F6A77" w:rsidRPr="000A6D0D" w14:paraId="3A73C31C" w14:textId="77777777" w:rsidTr="002F6A77">
        <w:tc>
          <w:tcPr>
            <w:tcW w:w="846" w:type="dxa"/>
            <w:vMerge w:val="restart"/>
            <w:textDirection w:val="btLr"/>
            <w:vAlign w:val="center"/>
          </w:tcPr>
          <w:p w14:paraId="1C68DD72" w14:textId="7F0B0BB8" w:rsidR="002F6A77" w:rsidRPr="00B407D1" w:rsidRDefault="00E35716" w:rsidP="0009014A">
            <w:pPr>
              <w:keepNext/>
              <w:ind w:left="113" w:right="113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Podpora prostřednictvím integrovaného nástroje ITI</w:t>
            </w:r>
          </w:p>
        </w:tc>
        <w:tc>
          <w:tcPr>
            <w:tcW w:w="7371" w:type="dxa"/>
          </w:tcPr>
          <w:p w14:paraId="7E041E2D" w14:textId="2C935DD0" w:rsidR="002F6A77" w:rsidRPr="007A680F" w:rsidRDefault="002F6A77" w:rsidP="0009014A">
            <w:pPr>
              <w:keepNext/>
              <w:contextualSpacing/>
              <w:rPr>
                <w:sz w:val="22"/>
                <w:szCs w:val="22"/>
                <w:highlight w:val="yellow"/>
                <w:u w:val="single"/>
              </w:rPr>
            </w:pPr>
            <w:r>
              <w:rPr>
                <w:sz w:val="22"/>
                <w:szCs w:val="22"/>
              </w:rPr>
              <w:t xml:space="preserve">Na kontrolním vzorku výzev vyhlášených statutárními městy v roli </w:t>
            </w:r>
            <w:r w:rsidR="0009014A">
              <w:rPr>
                <w:sz w:val="22"/>
                <w:szCs w:val="22"/>
              </w:rPr>
              <w:t>n</w:t>
            </w:r>
            <w:r>
              <w:rPr>
                <w:sz w:val="22"/>
                <w:szCs w:val="22"/>
              </w:rPr>
              <w:t>ositele ITI byly zjištěny dílčí nedostatky spočívající v absenci informací uváděných ve</w:t>
            </w:r>
            <w:r w:rsidR="0009014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výzvách, které předepisoval závazný metodický pokyn.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7F069449" w14:textId="77777777" w:rsidR="002F6A77" w:rsidRPr="00B407D1" w:rsidRDefault="002F6A77" w:rsidP="00D205AA">
            <w:pPr>
              <w:keepNext/>
              <w:contextualSpacing/>
              <w:jc w:val="center"/>
              <w:rPr>
                <w:sz w:val="22"/>
                <w:szCs w:val="22"/>
                <w:u w:val="single"/>
              </w:rPr>
            </w:pPr>
            <w:r w:rsidRPr="000A6D0D">
              <w:rPr>
                <w:rFonts w:cs="Calibri"/>
                <w:b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inline distT="0" distB="0" distL="0" distR="0" wp14:anchorId="7E200CF7" wp14:editId="019A6568">
                      <wp:extent cx="216000" cy="216000"/>
                      <wp:effectExtent l="0" t="0" r="0" b="0"/>
                      <wp:docPr id="26" name="Ová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9F266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E6D0F7" id="Ovál 26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" fillcolor="#f9f266" stroked="f" strokeweight="2pt">
                      <w10:anchorlock/>
                    </v:oval>
                  </w:pict>
                </mc:Fallback>
              </mc:AlternateContent>
            </w:r>
          </w:p>
        </w:tc>
      </w:tr>
      <w:tr w:rsidR="002F6A77" w:rsidRPr="000A6D0D" w14:paraId="2E0F1FC9" w14:textId="77777777" w:rsidTr="002F6A77">
        <w:tc>
          <w:tcPr>
            <w:tcW w:w="846" w:type="dxa"/>
            <w:vMerge/>
          </w:tcPr>
          <w:p w14:paraId="0610D621" w14:textId="77777777" w:rsidR="002F6A77" w:rsidRPr="00B407D1" w:rsidRDefault="002F6A77" w:rsidP="00D205AA">
            <w:pPr>
              <w:keepNext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4EF35201" w14:textId="24319729" w:rsidR="002F6A77" w:rsidRPr="007A680F" w:rsidRDefault="002F6A77" w:rsidP="0009014A">
            <w:pPr>
              <w:keepNext/>
              <w:contextualSpacing/>
              <w:rPr>
                <w:sz w:val="22"/>
                <w:szCs w:val="22"/>
                <w:highlight w:val="yellow"/>
                <w:u w:val="single"/>
              </w:rPr>
            </w:pPr>
            <w:r>
              <w:rPr>
                <w:sz w:val="22"/>
                <w:szCs w:val="22"/>
              </w:rPr>
              <w:t>Na kontrolním vzorku výzev vyhlášených statutárními městy v roli ZS ITI nebyly zjištěny nedostatky v jejich řízení.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79DDC08" w14:textId="77777777" w:rsidR="002F6A77" w:rsidRPr="00B407D1" w:rsidRDefault="002F6A77" w:rsidP="00D205AA">
            <w:pPr>
              <w:keepNext/>
              <w:contextualSpacing/>
              <w:jc w:val="center"/>
              <w:rPr>
                <w:sz w:val="22"/>
                <w:szCs w:val="22"/>
                <w:u w:val="single"/>
              </w:rPr>
            </w:pPr>
            <w:r w:rsidRPr="000A6D0D">
              <w:rPr>
                <w:rFonts w:cs="Calibri"/>
                <w:b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inline distT="0" distB="0" distL="0" distR="0" wp14:anchorId="0B12B9C0" wp14:editId="686CAB74">
                      <wp:extent cx="216000" cy="216000"/>
                      <wp:effectExtent l="0" t="0" r="0" b="0"/>
                      <wp:docPr id="27" name="Ová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F99125" id="Ovál 2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" fillcolor="#00b050" stroked="f" strokeweight="2pt">
                      <w10:anchorlock/>
                    </v:oval>
                  </w:pict>
                </mc:Fallback>
              </mc:AlternateContent>
            </w:r>
          </w:p>
        </w:tc>
      </w:tr>
      <w:tr w:rsidR="002F6A77" w:rsidRPr="000A6D0D" w14:paraId="1D588AE1" w14:textId="77777777" w:rsidTr="002F6A77">
        <w:tc>
          <w:tcPr>
            <w:tcW w:w="846" w:type="dxa"/>
            <w:vMerge/>
          </w:tcPr>
          <w:p w14:paraId="154325AF" w14:textId="77777777" w:rsidR="002F6A77" w:rsidRPr="00B407D1" w:rsidRDefault="002F6A77" w:rsidP="00D205AA">
            <w:pPr>
              <w:keepNext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4C095EE0" w14:textId="72914414" w:rsidR="002F6A77" w:rsidRPr="00AD3561" w:rsidRDefault="002F6A77" w:rsidP="0009014A">
            <w:pPr>
              <w:keepNext/>
              <w:contextualSpacing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 xml:space="preserve">Čtyři statutární města se nezabývala posouzením vazeb projektových záměrů na jiné projekty a u </w:t>
            </w:r>
            <w:r w:rsidR="00D903C4">
              <w:rPr>
                <w:sz w:val="22"/>
                <w:szCs w:val="22"/>
              </w:rPr>
              <w:t xml:space="preserve">šesti </w:t>
            </w:r>
            <w:r>
              <w:rPr>
                <w:sz w:val="22"/>
                <w:szCs w:val="22"/>
              </w:rPr>
              <w:t>projektových záměrů existovalo riziko, že projekt nebyl integrov</w:t>
            </w:r>
            <w:r w:rsidR="0009014A">
              <w:rPr>
                <w:sz w:val="22"/>
                <w:szCs w:val="22"/>
              </w:rPr>
              <w:t>án</w:t>
            </w:r>
            <w:r>
              <w:rPr>
                <w:sz w:val="22"/>
                <w:szCs w:val="22"/>
              </w:rPr>
              <w:t xml:space="preserve"> v rámci </w:t>
            </w:r>
            <w:r w:rsidR="00E35716">
              <w:rPr>
                <w:sz w:val="22"/>
                <w:szCs w:val="22"/>
              </w:rPr>
              <w:t xml:space="preserve">území vymezeného </w:t>
            </w:r>
            <w:r>
              <w:rPr>
                <w:sz w:val="22"/>
                <w:szCs w:val="22"/>
              </w:rPr>
              <w:t xml:space="preserve">strategií ITI. 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E8988F9" w14:textId="77777777" w:rsidR="002F6A77" w:rsidRPr="00B407D1" w:rsidRDefault="002F6A77" w:rsidP="00D205AA">
            <w:pPr>
              <w:keepNext/>
              <w:contextualSpacing/>
              <w:jc w:val="center"/>
              <w:rPr>
                <w:sz w:val="22"/>
                <w:szCs w:val="22"/>
                <w:u w:val="single"/>
              </w:rPr>
            </w:pPr>
            <w:r w:rsidRPr="000A6D0D">
              <w:rPr>
                <w:rFonts w:cs="Calibri"/>
                <w:b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inline distT="0" distB="0" distL="0" distR="0" wp14:anchorId="2BFA5D87" wp14:editId="0C0E8540">
                      <wp:extent cx="216000" cy="216000"/>
                      <wp:effectExtent l="0" t="0" r="0" b="0"/>
                      <wp:docPr id="29" name="Ová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9F266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6EC680" id="Ovál 2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" fillcolor="#f9f266" stroked="f" strokeweight="2pt">
                      <w10:anchorlock/>
                    </v:oval>
                  </w:pict>
                </mc:Fallback>
              </mc:AlternateContent>
            </w:r>
          </w:p>
        </w:tc>
      </w:tr>
      <w:tr w:rsidR="002F6A77" w:rsidRPr="000A6D0D" w14:paraId="37CD0937" w14:textId="77777777" w:rsidTr="002F6A77">
        <w:tc>
          <w:tcPr>
            <w:tcW w:w="846" w:type="dxa"/>
            <w:vMerge/>
          </w:tcPr>
          <w:p w14:paraId="68D4AC15" w14:textId="77777777" w:rsidR="002F6A77" w:rsidRPr="000A6D0D" w:rsidRDefault="002F6A77" w:rsidP="00D205AA">
            <w:pPr>
              <w:keepNext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41DA935F" w14:textId="77777777" w:rsidR="002F6A77" w:rsidRPr="007A680F" w:rsidRDefault="002F6A77" w:rsidP="00E35716">
            <w:pPr>
              <w:keepNext/>
              <w:contextualSpacing/>
              <w:rPr>
                <w:sz w:val="22"/>
                <w:szCs w:val="22"/>
                <w:highlight w:val="yellow"/>
                <w:u w:val="single"/>
              </w:rPr>
            </w:pPr>
            <w:r>
              <w:rPr>
                <w:sz w:val="22"/>
                <w:szCs w:val="22"/>
              </w:rPr>
              <w:t xml:space="preserve">Statutární města při hodnocení přijatelnosti žádostí o podporu projektů ITI stanovila kritéria s nevhodným aspektem </w:t>
            </w:r>
            <w:r w:rsidR="00E35716">
              <w:rPr>
                <w:sz w:val="22"/>
                <w:szCs w:val="22"/>
              </w:rPr>
              <w:t>posouzení</w:t>
            </w:r>
            <w:r>
              <w:rPr>
                <w:sz w:val="22"/>
                <w:szCs w:val="22"/>
              </w:rPr>
              <w:t xml:space="preserve"> hospodárnosti a</w:t>
            </w:r>
            <w:r w:rsidR="001D669D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efektivnosti.</w:t>
            </w:r>
            <w:r w:rsidR="00E35716">
              <w:rPr>
                <w:sz w:val="22"/>
                <w:szCs w:val="22"/>
              </w:rPr>
              <w:t xml:space="preserve"> 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79547302" w14:textId="77777777" w:rsidR="002F6A77" w:rsidRPr="00B407D1" w:rsidRDefault="002F6A77" w:rsidP="00D205AA">
            <w:pPr>
              <w:keepNext/>
              <w:contextualSpacing/>
              <w:jc w:val="center"/>
              <w:rPr>
                <w:sz w:val="22"/>
                <w:szCs w:val="22"/>
                <w:u w:val="single"/>
              </w:rPr>
            </w:pPr>
            <w:r w:rsidRPr="000A6D0D">
              <w:rPr>
                <w:rFonts w:cs="Calibri"/>
                <w:b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inline distT="0" distB="0" distL="0" distR="0" wp14:anchorId="6093A525" wp14:editId="1DC8D80D">
                      <wp:extent cx="216000" cy="216000"/>
                      <wp:effectExtent l="0" t="0" r="0" b="0"/>
                      <wp:docPr id="34" name="Ovál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9F266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4DF151" id="Ovál 3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" fillcolor="#f9f266" stroked="f" strokeweight="2pt">
                      <w10:anchorlock/>
                    </v:oval>
                  </w:pict>
                </mc:Fallback>
              </mc:AlternateContent>
            </w:r>
          </w:p>
        </w:tc>
      </w:tr>
      <w:tr w:rsidR="002F6A77" w:rsidRPr="000A6D0D" w14:paraId="42AE0850" w14:textId="77777777" w:rsidTr="00D205AA">
        <w:tc>
          <w:tcPr>
            <w:tcW w:w="846" w:type="dxa"/>
            <w:vMerge/>
          </w:tcPr>
          <w:p w14:paraId="4FE755A0" w14:textId="77777777" w:rsidR="002F6A77" w:rsidRPr="000A6D0D" w:rsidRDefault="002F6A77" w:rsidP="00D205AA">
            <w:pPr>
              <w:keepNext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78CCC25F" w14:textId="04E0D298" w:rsidR="002F6A77" w:rsidRPr="007A680F" w:rsidRDefault="002F6A77" w:rsidP="0009014A">
            <w:pPr>
              <w:contextualSpacing/>
              <w:rPr>
                <w:sz w:val="22"/>
                <w:szCs w:val="22"/>
                <w:highlight w:val="yellow"/>
                <w:u w:val="single"/>
              </w:rPr>
            </w:pPr>
            <w:r>
              <w:rPr>
                <w:sz w:val="22"/>
                <w:szCs w:val="22"/>
              </w:rPr>
              <w:t xml:space="preserve">Postupy pro závěrečné ověření způsobilosti u projektů ITI nezahrnovaly kontrolu relevantnosti hodnoty indikátoru, které uvedl příjemce do žádosti. CRR tak nezjistilo ve dvou případech, že </w:t>
            </w:r>
            <w:r w:rsidR="00E35716">
              <w:rPr>
                <w:sz w:val="22"/>
                <w:szCs w:val="22"/>
              </w:rPr>
              <w:t xml:space="preserve">hodnoty indikátoru </w:t>
            </w:r>
            <w:r w:rsidR="00E35716" w:rsidRPr="00E35716">
              <w:rPr>
                <w:sz w:val="22"/>
                <w:szCs w:val="22"/>
              </w:rPr>
              <w:t>„</w:t>
            </w:r>
            <w:r w:rsidR="0009014A">
              <w:rPr>
                <w:sz w:val="22"/>
                <w:szCs w:val="22"/>
              </w:rPr>
              <w:t>p</w:t>
            </w:r>
            <w:r w:rsidR="00E35716" w:rsidRPr="00E35716">
              <w:rPr>
                <w:sz w:val="22"/>
                <w:szCs w:val="22"/>
              </w:rPr>
              <w:t>očet osob přepravených veřejnou dopravou“</w:t>
            </w:r>
            <w:r w:rsidR="00E35716">
              <w:rPr>
                <w:sz w:val="22"/>
                <w:szCs w:val="22"/>
              </w:rPr>
              <w:t xml:space="preserve"> příjemce uvedl chybně.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6249C240" w14:textId="77777777" w:rsidR="002F6A77" w:rsidRPr="00B407D1" w:rsidRDefault="002F6A77" w:rsidP="00D205AA">
            <w:pPr>
              <w:keepNext/>
              <w:contextualSpacing/>
              <w:jc w:val="center"/>
              <w:rPr>
                <w:sz w:val="22"/>
                <w:szCs w:val="22"/>
                <w:u w:val="single"/>
              </w:rPr>
            </w:pPr>
            <w:r w:rsidRPr="000A6D0D">
              <w:rPr>
                <w:rFonts w:cs="Calibri"/>
                <w:b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inline distT="0" distB="0" distL="0" distR="0" wp14:anchorId="7A6EB77F" wp14:editId="72A40D00">
                      <wp:extent cx="216000" cy="216000"/>
                      <wp:effectExtent l="0" t="0" r="0" b="0"/>
                      <wp:docPr id="35" name="Ová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9F266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A12387" id="Ovál 35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" fillcolor="#f9f266" stroked="f" strokeweight="2pt">
                      <w10:anchorlock/>
                    </v:oval>
                  </w:pict>
                </mc:Fallback>
              </mc:AlternateContent>
            </w:r>
          </w:p>
        </w:tc>
      </w:tr>
      <w:tr w:rsidR="002B74AE" w:rsidRPr="000A6D0D" w14:paraId="3D752A8D" w14:textId="77777777" w:rsidTr="002B74AE">
        <w:tc>
          <w:tcPr>
            <w:tcW w:w="846" w:type="dxa"/>
            <w:vMerge w:val="restart"/>
            <w:textDirection w:val="btLr"/>
            <w:vAlign w:val="center"/>
          </w:tcPr>
          <w:p w14:paraId="2981B098" w14:textId="77777777" w:rsidR="002B74AE" w:rsidRPr="00B407D1" w:rsidRDefault="002B74AE" w:rsidP="002B74AE">
            <w:pPr>
              <w:keepNext/>
              <w:ind w:left="113" w:right="113"/>
              <w:contextualSpacing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Podpora prostřednictvím individuálních projektů</w:t>
            </w:r>
          </w:p>
          <w:p w14:paraId="6F606E4A" w14:textId="77777777" w:rsidR="002B74AE" w:rsidRPr="000A6D0D" w:rsidRDefault="002B74AE" w:rsidP="002B74AE">
            <w:pPr>
              <w:keepNext/>
              <w:ind w:left="113" w:right="113"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6173FA20" w14:textId="77777777" w:rsidR="002B74AE" w:rsidRPr="007A680F" w:rsidRDefault="002B74AE" w:rsidP="00073CAE">
            <w:pPr>
              <w:keepNext/>
              <w:contextualSpacing/>
              <w:rPr>
                <w:sz w:val="22"/>
                <w:szCs w:val="22"/>
                <w:highlight w:val="yellow"/>
                <w:u w:val="single"/>
              </w:rPr>
            </w:pPr>
            <w:r w:rsidRPr="00073CAE">
              <w:rPr>
                <w:sz w:val="22"/>
                <w:szCs w:val="22"/>
              </w:rPr>
              <w:t xml:space="preserve">Na kontrolním vzorku výzev </w:t>
            </w:r>
            <w:r>
              <w:rPr>
                <w:sz w:val="22"/>
                <w:szCs w:val="22"/>
              </w:rPr>
              <w:t xml:space="preserve">vyhlášených MMR v roli ŘO IROP </w:t>
            </w:r>
            <w:r w:rsidRPr="00073CAE">
              <w:rPr>
                <w:sz w:val="22"/>
                <w:szCs w:val="22"/>
              </w:rPr>
              <w:t>nebyly zjištěny nedostatky v jejich řízení.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94F9789" w14:textId="77777777" w:rsidR="002B74AE" w:rsidRPr="00B407D1" w:rsidRDefault="002B74AE" w:rsidP="00C6678F">
            <w:pPr>
              <w:keepNext/>
              <w:contextualSpacing/>
              <w:jc w:val="center"/>
              <w:rPr>
                <w:sz w:val="22"/>
                <w:szCs w:val="22"/>
                <w:u w:val="single"/>
              </w:rPr>
            </w:pPr>
            <w:r w:rsidRPr="000A6D0D">
              <w:rPr>
                <w:rFonts w:cs="Calibri"/>
                <w:b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inline distT="0" distB="0" distL="0" distR="0" wp14:anchorId="4315DB67" wp14:editId="388EE3DF">
                      <wp:extent cx="216000" cy="216000"/>
                      <wp:effectExtent l="0" t="0" r="0" b="0"/>
                      <wp:docPr id="24" name="Ová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D1F6DC" id="Ovál 24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" fillcolor="#00b050" stroked="f" strokeweight="2pt">
                      <w10:anchorlock/>
                    </v:oval>
                  </w:pict>
                </mc:Fallback>
              </mc:AlternateContent>
            </w:r>
          </w:p>
        </w:tc>
      </w:tr>
      <w:tr w:rsidR="002B74AE" w:rsidRPr="000A6D0D" w14:paraId="3C82CE21" w14:textId="77777777" w:rsidTr="002F6A77">
        <w:tc>
          <w:tcPr>
            <w:tcW w:w="846" w:type="dxa"/>
            <w:vMerge/>
          </w:tcPr>
          <w:p w14:paraId="52EE3D83" w14:textId="77777777" w:rsidR="002B74AE" w:rsidRPr="00B407D1" w:rsidRDefault="002B74AE" w:rsidP="00D205AA">
            <w:pPr>
              <w:keepNext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18BA9FB6" w14:textId="77777777" w:rsidR="002B74AE" w:rsidRPr="001216A1" w:rsidRDefault="002B74AE" w:rsidP="00D205AA">
            <w:pPr>
              <w:keepNext/>
              <w:contextualSpacing/>
              <w:rPr>
                <w:sz w:val="22"/>
                <w:szCs w:val="22"/>
                <w:u w:val="single"/>
              </w:rPr>
            </w:pPr>
            <w:r w:rsidRPr="00EC2DB8">
              <w:rPr>
                <w:sz w:val="22"/>
                <w:szCs w:val="22"/>
              </w:rPr>
              <w:t>V hodnocení žádostí o podporu individuálních projektů byla zjištěna nesrovnalost na úrovni systému spočívající v nedostatečném ověřování dat, která vstupují do jednoho z kritérií při posuzování přijatelnosti projektu.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4A8DC9C8" w14:textId="77777777" w:rsidR="002B74AE" w:rsidRPr="00B407D1" w:rsidRDefault="002B74AE" w:rsidP="00D205AA">
            <w:pPr>
              <w:keepNext/>
              <w:contextualSpacing/>
              <w:jc w:val="center"/>
              <w:rPr>
                <w:sz w:val="22"/>
                <w:szCs w:val="22"/>
                <w:u w:val="single"/>
              </w:rPr>
            </w:pPr>
            <w:r w:rsidRPr="000A6D0D">
              <w:rPr>
                <w:rFonts w:cs="Calibri"/>
                <w:b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inline distT="0" distB="0" distL="0" distR="0" wp14:anchorId="54671094" wp14:editId="4B5EF564">
                      <wp:extent cx="216000" cy="216000"/>
                      <wp:effectExtent l="0" t="0" r="0" b="0"/>
                      <wp:docPr id="28" name="Ová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933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7546E7" id="Ovál 28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" fillcolor="#f93" stroked="f" strokeweight="2pt">
                      <w10:anchorlock/>
                    </v:oval>
                  </w:pict>
                </mc:Fallback>
              </mc:AlternateContent>
            </w:r>
          </w:p>
        </w:tc>
      </w:tr>
      <w:tr w:rsidR="002B74AE" w:rsidRPr="000A6D0D" w14:paraId="06B138BA" w14:textId="77777777" w:rsidTr="00D205AA">
        <w:tc>
          <w:tcPr>
            <w:tcW w:w="846" w:type="dxa"/>
            <w:vMerge/>
          </w:tcPr>
          <w:p w14:paraId="012AA4FA" w14:textId="77777777" w:rsidR="002B74AE" w:rsidRPr="00B407D1" w:rsidRDefault="002B74AE" w:rsidP="00D205AA">
            <w:pPr>
              <w:keepNext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5C07CE41" w14:textId="61070856" w:rsidR="002B74AE" w:rsidRPr="00EC2DB8" w:rsidRDefault="002B74AE" w:rsidP="0009014A">
            <w:pPr>
              <w:keepNext/>
              <w:contextualSpacing/>
              <w:rPr>
                <w:sz w:val="22"/>
                <w:szCs w:val="22"/>
              </w:rPr>
            </w:pPr>
            <w:r w:rsidRPr="00EC2DB8">
              <w:rPr>
                <w:sz w:val="22"/>
                <w:szCs w:val="22"/>
              </w:rPr>
              <w:t xml:space="preserve">Před vydáním právního aktu o poskytnutí dotace není nastavena formální kontrola shody dvou dokumentů, a to </w:t>
            </w:r>
            <w:r w:rsidR="0009014A">
              <w:rPr>
                <w:sz w:val="22"/>
                <w:szCs w:val="22"/>
              </w:rPr>
              <w:t>r</w:t>
            </w:r>
            <w:r w:rsidRPr="00EC2DB8">
              <w:rPr>
                <w:sz w:val="22"/>
                <w:szCs w:val="22"/>
              </w:rPr>
              <w:t xml:space="preserve">egistrace a rozhodnutí o poskytnutí dotace a </w:t>
            </w:r>
            <w:r w:rsidR="0009014A">
              <w:rPr>
                <w:sz w:val="22"/>
                <w:szCs w:val="22"/>
              </w:rPr>
              <w:t>p</w:t>
            </w:r>
            <w:r w:rsidRPr="00EC2DB8">
              <w:rPr>
                <w:sz w:val="22"/>
                <w:szCs w:val="22"/>
              </w:rPr>
              <w:t xml:space="preserve">odmínek </w:t>
            </w:r>
            <w:r w:rsidR="0009014A">
              <w:rPr>
                <w:sz w:val="22"/>
                <w:szCs w:val="22"/>
              </w:rPr>
              <w:t>r</w:t>
            </w:r>
            <w:r w:rsidRPr="00EC2DB8">
              <w:rPr>
                <w:sz w:val="22"/>
                <w:szCs w:val="22"/>
              </w:rPr>
              <w:t>ozhodnutí. V právním aktu o poskytnutí podpory jednoznačně nevyplývá povinnost příjemce zrealizovat projekt podle žádosti o</w:t>
            </w:r>
            <w:r w:rsidR="001D669D" w:rsidRPr="00EC2DB8">
              <w:rPr>
                <w:sz w:val="22"/>
                <w:szCs w:val="22"/>
              </w:rPr>
              <w:t> </w:t>
            </w:r>
            <w:r w:rsidRPr="00EC2DB8">
              <w:rPr>
                <w:sz w:val="22"/>
                <w:szCs w:val="22"/>
              </w:rPr>
              <w:t>podporu.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2807FBD" w14:textId="77777777" w:rsidR="002B74AE" w:rsidRPr="00B407D1" w:rsidRDefault="002B74AE" w:rsidP="00D205AA">
            <w:pPr>
              <w:keepNext/>
              <w:contextualSpacing/>
              <w:jc w:val="center"/>
              <w:rPr>
                <w:sz w:val="22"/>
                <w:szCs w:val="22"/>
                <w:u w:val="single"/>
              </w:rPr>
            </w:pPr>
            <w:r w:rsidRPr="000A6D0D">
              <w:rPr>
                <w:rFonts w:cs="Calibri"/>
                <w:b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inline distT="0" distB="0" distL="0" distR="0" wp14:anchorId="08FFD14F" wp14:editId="564DF370">
                      <wp:extent cx="216000" cy="216000"/>
                      <wp:effectExtent l="0" t="0" r="0" b="0"/>
                      <wp:docPr id="37" name="Ová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9F266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2DF9A9" id="Ovál 37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" fillcolor="#f9f266" stroked="f" strokeweight="2pt">
                      <w10:anchorlock/>
                    </v:oval>
                  </w:pict>
                </mc:Fallback>
              </mc:AlternateContent>
            </w:r>
          </w:p>
        </w:tc>
      </w:tr>
      <w:tr w:rsidR="002B74AE" w:rsidRPr="000A6D0D" w14:paraId="3F12F606" w14:textId="77777777" w:rsidTr="00D205AA">
        <w:tc>
          <w:tcPr>
            <w:tcW w:w="846" w:type="dxa"/>
            <w:vMerge/>
          </w:tcPr>
          <w:p w14:paraId="57D9DA7C" w14:textId="77777777" w:rsidR="002B74AE" w:rsidRPr="00B407D1" w:rsidRDefault="002B74AE" w:rsidP="00D205AA">
            <w:pPr>
              <w:keepNext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5B9FB99C" w14:textId="145A2E10" w:rsidR="002B74AE" w:rsidRPr="00FE3C96" w:rsidRDefault="000B3F5A" w:rsidP="0009014A">
            <w:pPr>
              <w:keepNext/>
              <w:contextualSpacing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Ministerstvo si stanovilo ambiciózní a nereálnou hodnotu indikátoru „</w:t>
            </w:r>
            <w:r w:rsidR="0009014A">
              <w:rPr>
                <w:sz w:val="22"/>
                <w:szCs w:val="22"/>
              </w:rPr>
              <w:t>p</w:t>
            </w:r>
            <w:r>
              <w:rPr>
                <w:sz w:val="22"/>
                <w:szCs w:val="22"/>
              </w:rPr>
              <w:t>odíl veřejné osobní dopravy na celkových výkonech v osobní dopravě“, neboť využívání veřejné dopravy ovlivňuje množství externích</w:t>
            </w:r>
            <w:r w:rsidR="00BF6B6D">
              <w:rPr>
                <w:sz w:val="22"/>
                <w:szCs w:val="22"/>
              </w:rPr>
              <w:t xml:space="preserve"> faktorů</w:t>
            </w:r>
            <w:r>
              <w:rPr>
                <w:sz w:val="22"/>
                <w:szCs w:val="22"/>
              </w:rPr>
              <w:t>. Zároveň není možné prokázat přínos realizovaných opatření z SC 1.2 IROP. Indikátory výstupu v aktivitách „</w:t>
            </w:r>
            <w:proofErr w:type="spellStart"/>
            <w:r>
              <w:rPr>
                <w:sz w:val="22"/>
                <w:szCs w:val="22"/>
              </w:rPr>
              <w:t>Nízkoemisn</w:t>
            </w:r>
            <w:r w:rsidR="0009014A">
              <w:rPr>
                <w:sz w:val="22"/>
                <w:szCs w:val="22"/>
              </w:rPr>
              <w:t>í</w:t>
            </w:r>
            <w:proofErr w:type="spellEnd"/>
            <w:r>
              <w:rPr>
                <w:sz w:val="22"/>
                <w:szCs w:val="22"/>
              </w:rPr>
              <w:t xml:space="preserve"> a bezemisní vozidla“ a „Telematika“ mají omezenou vypovídací schopnost. Údaje o počtu přepravovaných osob veřejnou dopravou jsou </w:t>
            </w:r>
            <w:r w:rsidR="00815D5C">
              <w:rPr>
                <w:sz w:val="22"/>
                <w:szCs w:val="22"/>
              </w:rPr>
              <w:t>nevěrohodné</w:t>
            </w:r>
            <w:r>
              <w:rPr>
                <w:sz w:val="22"/>
                <w:szCs w:val="22"/>
              </w:rPr>
              <w:t xml:space="preserve">. </w:t>
            </w:r>
            <w:r w:rsidR="002B74AE">
              <w:rPr>
                <w:sz w:val="22"/>
                <w:szCs w:val="22"/>
              </w:rPr>
              <w:t>Věcné řízení</w:t>
            </w:r>
            <w:r w:rsidR="00E9194A">
              <w:rPr>
                <w:sz w:val="22"/>
                <w:szCs w:val="22"/>
              </w:rPr>
              <w:t xml:space="preserve"> je provázeno mimo jiné funkčními nedostatky v monitorovacím systému </w:t>
            </w:r>
            <w:r w:rsidR="00E9194A" w:rsidRPr="004A7EA5">
              <w:rPr>
                <w:i/>
                <w:sz w:val="22"/>
                <w:szCs w:val="22"/>
              </w:rPr>
              <w:t>MS2014+</w:t>
            </w:r>
            <w:r w:rsidR="00E9194A">
              <w:rPr>
                <w:sz w:val="22"/>
                <w:szCs w:val="22"/>
              </w:rPr>
              <w:t xml:space="preserve">. 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19A08B76" w14:textId="77777777" w:rsidR="002B74AE" w:rsidRPr="00B407D1" w:rsidRDefault="002B74AE" w:rsidP="00D205AA">
            <w:pPr>
              <w:keepNext/>
              <w:contextualSpacing/>
              <w:jc w:val="center"/>
              <w:rPr>
                <w:sz w:val="22"/>
                <w:szCs w:val="22"/>
                <w:u w:val="single"/>
              </w:rPr>
            </w:pPr>
            <w:r w:rsidRPr="000A6D0D">
              <w:rPr>
                <w:rFonts w:cs="Calibri"/>
                <w:b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inline distT="0" distB="0" distL="0" distR="0" wp14:anchorId="4F636598" wp14:editId="7A85D624">
                      <wp:extent cx="216000" cy="216000"/>
                      <wp:effectExtent l="0" t="0" r="0" b="0"/>
                      <wp:docPr id="38" name="Ovál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933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0C80B6" id="Ovál 38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" fillcolor="#f93" stroked="f" strokeweight="2pt">
                      <w10:anchorlock/>
                    </v:oval>
                  </w:pict>
                </mc:Fallback>
              </mc:AlternateContent>
            </w:r>
          </w:p>
        </w:tc>
      </w:tr>
      <w:tr w:rsidR="002B74AE" w:rsidRPr="000A6D0D" w14:paraId="73D0E162" w14:textId="77777777" w:rsidTr="00D205AA">
        <w:tc>
          <w:tcPr>
            <w:tcW w:w="846" w:type="dxa"/>
            <w:vMerge/>
          </w:tcPr>
          <w:p w14:paraId="55751AF2" w14:textId="77777777" w:rsidR="002B74AE" w:rsidRPr="00B407D1" w:rsidRDefault="002B74AE" w:rsidP="00D205AA">
            <w:pPr>
              <w:keepNext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08979CCB" w14:textId="77777777" w:rsidR="002B74AE" w:rsidRPr="00FE3C96" w:rsidRDefault="00E00518" w:rsidP="00D205AA">
            <w:pPr>
              <w:keepNext/>
              <w:contextualSpacing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V oblasti finančního řízení bylo zjištěno riziko</w:t>
            </w:r>
            <w:r w:rsidR="00E9194A">
              <w:rPr>
                <w:sz w:val="22"/>
                <w:szCs w:val="22"/>
              </w:rPr>
              <w:t xml:space="preserve"> nevyčerpání alokace v případě problémů s realizací integrovaných projektů ITI. MMR si je rizika vědomo a řídí jej.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3B66DA48" w14:textId="77777777" w:rsidR="002B74AE" w:rsidRPr="00B407D1" w:rsidRDefault="002B74AE" w:rsidP="00D205AA">
            <w:pPr>
              <w:keepNext/>
              <w:contextualSpacing/>
              <w:jc w:val="center"/>
              <w:rPr>
                <w:sz w:val="22"/>
                <w:szCs w:val="22"/>
                <w:u w:val="single"/>
              </w:rPr>
            </w:pPr>
            <w:r w:rsidRPr="000A6D0D">
              <w:rPr>
                <w:rFonts w:cs="Calibri"/>
                <w:b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inline distT="0" distB="0" distL="0" distR="0" wp14:anchorId="4251A34B" wp14:editId="6E3F2EF1">
                      <wp:extent cx="216000" cy="216000"/>
                      <wp:effectExtent l="0" t="0" r="0" b="0"/>
                      <wp:docPr id="39" name="Ová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1C2437" id="Ovál 39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" fillcolor="#00b050" stroked="f" strokeweight="2pt">
                      <w10:anchorlock/>
                    </v:oval>
                  </w:pict>
                </mc:Fallback>
              </mc:AlternateContent>
            </w:r>
          </w:p>
        </w:tc>
      </w:tr>
      <w:tr w:rsidR="002B74AE" w:rsidRPr="000A6D0D" w14:paraId="275950C0" w14:textId="77777777" w:rsidTr="00D205AA">
        <w:tc>
          <w:tcPr>
            <w:tcW w:w="846" w:type="dxa"/>
            <w:vMerge/>
          </w:tcPr>
          <w:p w14:paraId="2F6355A7" w14:textId="77777777" w:rsidR="002B74AE" w:rsidRPr="00B407D1" w:rsidRDefault="002B74AE" w:rsidP="00D205AA">
            <w:pPr>
              <w:keepNext/>
              <w:contextualSpacing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10D9B49F" w14:textId="37A33ED6" w:rsidR="002B74AE" w:rsidRPr="00FE3C96" w:rsidRDefault="002B74AE" w:rsidP="0009014A">
            <w:pPr>
              <w:keepNext/>
              <w:contextualSpacing/>
              <w:rPr>
                <w:sz w:val="22"/>
                <w:szCs w:val="22"/>
                <w:u w:val="single"/>
              </w:rPr>
            </w:pPr>
            <w:r w:rsidRPr="00EC2DB8">
              <w:rPr>
                <w:sz w:val="22"/>
                <w:szCs w:val="22"/>
              </w:rPr>
              <w:t>Existují nedostatky jak v oblasti nastavení, tak v oblasti samotného výkonu kontroly na úrovni MMR i na úrovni CRR, zejména při posuzování způsobilosti výdajů. Nedostatky se týkají nejednoznačného vymezení nezpůsobilosti výdajů a</w:t>
            </w:r>
            <w:r w:rsidR="001D669D" w:rsidRPr="00EC2DB8">
              <w:rPr>
                <w:sz w:val="22"/>
                <w:szCs w:val="22"/>
              </w:rPr>
              <w:t> </w:t>
            </w:r>
            <w:r w:rsidRPr="00EC2DB8">
              <w:rPr>
                <w:sz w:val="22"/>
                <w:szCs w:val="22"/>
              </w:rPr>
              <w:t xml:space="preserve">postupů k jejich odhalení. V důsledku </w:t>
            </w:r>
            <w:r w:rsidR="00935197" w:rsidRPr="00EC2DB8">
              <w:rPr>
                <w:sz w:val="22"/>
                <w:szCs w:val="22"/>
              </w:rPr>
              <w:t xml:space="preserve">toho </w:t>
            </w:r>
            <w:r w:rsidRPr="00EC2DB8">
              <w:rPr>
                <w:sz w:val="22"/>
                <w:szCs w:val="22"/>
              </w:rPr>
              <w:t>MMR proplatilo podporu i</w:t>
            </w:r>
            <w:r w:rsidR="001D669D" w:rsidRPr="00EC2DB8">
              <w:rPr>
                <w:sz w:val="22"/>
                <w:szCs w:val="22"/>
              </w:rPr>
              <w:t> </w:t>
            </w:r>
            <w:r w:rsidRPr="00EC2DB8">
              <w:rPr>
                <w:sz w:val="22"/>
                <w:szCs w:val="22"/>
              </w:rPr>
              <w:t>na</w:t>
            </w:r>
            <w:r w:rsidR="0009014A">
              <w:rPr>
                <w:sz w:val="22"/>
                <w:szCs w:val="22"/>
              </w:rPr>
              <w:t xml:space="preserve"> </w:t>
            </w:r>
            <w:r w:rsidRPr="00EC2DB8">
              <w:rPr>
                <w:sz w:val="22"/>
                <w:szCs w:val="22"/>
              </w:rPr>
              <w:t>nezpůsobilé výdaje. Zároveň existuje riziko nerovného přístupu k příjemcům při ověřování způsobilosti v rámci kontrol žádostí o platbu. Zjištěný stav NKÚ vyhodnotil jako riziko vzniku nesrovnalosti systémového charakteru.</w:t>
            </w:r>
          </w:p>
        </w:tc>
        <w:tc>
          <w:tcPr>
            <w:tcW w:w="845" w:type="dxa"/>
            <w:shd w:val="clear" w:color="auto" w:fill="auto"/>
            <w:vAlign w:val="center"/>
          </w:tcPr>
          <w:p w14:paraId="0AF30025" w14:textId="77777777" w:rsidR="002B74AE" w:rsidRPr="00B407D1" w:rsidRDefault="002B74AE" w:rsidP="00D205AA">
            <w:pPr>
              <w:keepNext/>
              <w:contextualSpacing/>
              <w:jc w:val="center"/>
              <w:rPr>
                <w:sz w:val="22"/>
                <w:szCs w:val="22"/>
                <w:u w:val="single"/>
              </w:rPr>
            </w:pPr>
            <w:r w:rsidRPr="000A6D0D">
              <w:rPr>
                <w:rFonts w:cs="Calibri"/>
                <w:b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inline distT="0" distB="0" distL="0" distR="0" wp14:anchorId="6FA87CD3" wp14:editId="6243A31D">
                      <wp:extent cx="216000" cy="216000"/>
                      <wp:effectExtent l="0" t="0" r="0" b="0"/>
                      <wp:docPr id="40" name="Ová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9933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3372F3" id="Ovál 40" o:spid="_x0000_s1026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" fillcolor="#f93" stroked="f" strokeweight="2pt">
                      <w10:anchorlock/>
                    </v:oval>
                  </w:pict>
                </mc:Fallback>
              </mc:AlternateContent>
            </w:r>
          </w:p>
        </w:tc>
      </w:tr>
    </w:tbl>
    <w:p w14:paraId="287BB044" w14:textId="77777777" w:rsidR="009E0500" w:rsidRPr="006E3519" w:rsidRDefault="009E0500" w:rsidP="00073CAE">
      <w:pPr>
        <w:ind w:left="851" w:hanging="851"/>
        <w:contextualSpacing/>
        <w:rPr>
          <w:rFonts w:ascii="Calibri" w:eastAsia="Calibri" w:hAnsi="Calibri"/>
          <w:sz w:val="22"/>
          <w:szCs w:val="22"/>
          <w:u w:val="single"/>
        </w:rPr>
      </w:pPr>
      <w:r w:rsidRPr="00073CAE">
        <w:rPr>
          <w:rFonts w:ascii="Calibri" w:eastAsia="Calibri" w:hAnsi="Calibri"/>
          <w:b/>
          <w:color w:val="000000"/>
          <w:sz w:val="20"/>
          <w:szCs w:val="20"/>
        </w:rPr>
        <w:t>Legenda:</w:t>
      </w:r>
      <w:r w:rsidRPr="000A6D0D">
        <w:rPr>
          <w:rFonts w:ascii="Calibri" w:eastAsia="Calibri" w:hAnsi="Calibri"/>
          <w:color w:val="000000"/>
          <w:sz w:val="22"/>
          <w:szCs w:val="22"/>
        </w:rPr>
        <w:t xml:space="preserve"> </w:t>
      </w:r>
      <w:r w:rsidRPr="000A6D0D">
        <w:rPr>
          <w:rFonts w:ascii="Calibri" w:eastAsia="Calibri" w:hAnsi="Calibri"/>
          <w:color w:val="000000"/>
          <w:sz w:val="22"/>
          <w:szCs w:val="22"/>
        </w:rPr>
        <w:tab/>
      </w:r>
      <w:r w:rsidRPr="000A6D0D">
        <w:rPr>
          <w:rFonts w:ascii="Calibri" w:eastAsia="Calibri" w:hAnsi="Calibri" w:cs="Calibri"/>
          <w:b/>
          <w:noProof/>
          <w:sz w:val="20"/>
          <w:szCs w:val="20"/>
          <w:lang w:eastAsia="cs-CZ"/>
        </w:rPr>
        <mc:AlternateContent>
          <mc:Choice Requires="wps">
            <w:drawing>
              <wp:inline distT="0" distB="0" distL="0" distR="0" wp14:anchorId="15A56594" wp14:editId="05369E89">
                <wp:extent cx="107315" cy="107950"/>
                <wp:effectExtent l="0" t="0" r="6985" b="6350"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9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84DD63C" id="Ovál 16" o:spid="_x0000_s1026" style="width:8.4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" fillcolor="#00b050" stroked="f" strokeweight="2pt">
                <w10:anchorlock/>
              </v:oval>
            </w:pict>
          </mc:Fallback>
        </mc:AlternateContent>
      </w:r>
      <w:r w:rsidRPr="000A6D0D">
        <w:rPr>
          <w:rFonts w:ascii="Calibri" w:eastAsia="Calibri" w:hAnsi="Calibri" w:cs="Calibri"/>
          <w:sz w:val="20"/>
          <w:szCs w:val="20"/>
        </w:rPr>
        <w:t xml:space="preserve"> Systém je účinný.   </w:t>
      </w:r>
      <w:r w:rsidRPr="000A6D0D">
        <w:rPr>
          <w:rFonts w:ascii="Calibri" w:eastAsia="Calibri" w:hAnsi="Calibri" w:cs="Calibri"/>
          <w:b/>
          <w:noProof/>
          <w:sz w:val="20"/>
          <w:szCs w:val="20"/>
          <w:lang w:eastAsia="cs-CZ"/>
        </w:rPr>
        <mc:AlternateContent>
          <mc:Choice Requires="wps">
            <w:drawing>
              <wp:inline distT="0" distB="0" distL="0" distR="0" wp14:anchorId="1B6C90FD" wp14:editId="32590BC1">
                <wp:extent cx="107315" cy="107950"/>
                <wp:effectExtent l="0" t="0" r="6985" b="6350"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950"/>
                        </a:xfrm>
                        <a:prstGeom prst="ellipse">
                          <a:avLst/>
                        </a:prstGeom>
                        <a:solidFill>
                          <a:srgbClr val="F9F266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24782ED0" id="Ovál 17" o:spid="_x0000_s1026" style="width:8.4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" fillcolor="#f9f266" stroked="f" strokeweight="2pt">
                <w10:anchorlock/>
              </v:oval>
            </w:pict>
          </mc:Fallback>
        </mc:AlternateContent>
      </w:r>
      <w:r w:rsidRPr="000A6D0D">
        <w:rPr>
          <w:rFonts w:ascii="Calibri" w:eastAsia="Calibri" w:hAnsi="Calibri" w:cs="Calibri"/>
          <w:sz w:val="20"/>
          <w:szCs w:val="20"/>
        </w:rPr>
        <w:t xml:space="preserve"> Systém je účinný, jsou třeba určitá zlepšení. 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Pr="000A6D0D">
        <w:rPr>
          <w:rFonts w:ascii="Calibri" w:eastAsia="Calibri" w:hAnsi="Calibri" w:cs="Calibri"/>
          <w:sz w:val="20"/>
          <w:szCs w:val="20"/>
        </w:rPr>
        <w:t xml:space="preserve"> </w:t>
      </w:r>
      <w:r w:rsidRPr="000A6D0D">
        <w:rPr>
          <w:rFonts w:ascii="Calibri" w:eastAsia="Calibri" w:hAnsi="Calibri" w:cs="Calibri"/>
          <w:b/>
          <w:noProof/>
          <w:sz w:val="20"/>
          <w:szCs w:val="20"/>
          <w:lang w:eastAsia="cs-CZ"/>
        </w:rPr>
        <mc:AlternateContent>
          <mc:Choice Requires="wps">
            <w:drawing>
              <wp:inline distT="0" distB="0" distL="0" distR="0" wp14:anchorId="207BE811" wp14:editId="30E2C70C">
                <wp:extent cx="107315" cy="107950"/>
                <wp:effectExtent l="0" t="0" r="6985" b="6350"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950"/>
                        </a:xfrm>
                        <a:prstGeom prst="ellipse">
                          <a:avLst/>
                        </a:prstGeom>
                        <a:solidFill>
                          <a:srgbClr val="FF9933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01F4414" id="Ovál 19" o:spid="_x0000_s1026" style="width:8.4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" fillcolor="#f93" stroked="f" strokeweight="2pt">
                <w10:anchorlock/>
              </v:oval>
            </w:pict>
          </mc:Fallback>
        </mc:AlternateContent>
      </w:r>
      <w:r w:rsidRPr="000A6D0D">
        <w:rPr>
          <w:rFonts w:ascii="Calibri" w:eastAsia="Calibri" w:hAnsi="Calibri" w:cs="Calibri"/>
          <w:sz w:val="20"/>
          <w:szCs w:val="20"/>
        </w:rPr>
        <w:t xml:space="preserve"> Systém je částečně účinný.  </w:t>
      </w:r>
      <w:r w:rsidR="00073CAE">
        <w:rPr>
          <w:rFonts w:ascii="Calibri" w:eastAsia="Calibri" w:hAnsi="Calibri" w:cs="Calibri"/>
          <w:sz w:val="20"/>
          <w:szCs w:val="20"/>
        </w:rPr>
        <w:br/>
      </w:r>
      <w:r w:rsidRPr="000A6D0D">
        <w:rPr>
          <w:rFonts w:ascii="Calibri" w:eastAsia="Calibri" w:hAnsi="Calibri" w:cs="Calibri"/>
          <w:b/>
          <w:noProof/>
          <w:sz w:val="20"/>
          <w:szCs w:val="20"/>
          <w:lang w:eastAsia="cs-CZ"/>
        </w:rPr>
        <mc:AlternateContent>
          <mc:Choice Requires="wps">
            <w:drawing>
              <wp:inline distT="0" distB="0" distL="0" distR="0" wp14:anchorId="49EDBD0F" wp14:editId="407AC9A2">
                <wp:extent cx="107315" cy="107950"/>
                <wp:effectExtent l="0" t="0" r="6985" b="6350"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1079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758A4F41" id="Ovál 20" o:spid="_x0000_s1026" style="width:8.45pt;height: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" fillcolor="red" stroked="f" strokeweight="2pt">
                <w10:anchorlock/>
              </v:oval>
            </w:pict>
          </mc:Fallback>
        </mc:AlternateContent>
      </w:r>
      <w:r w:rsidRPr="000A6D0D">
        <w:rPr>
          <w:rFonts w:ascii="Calibri" w:eastAsia="Calibri" w:hAnsi="Calibri" w:cs="Calibri"/>
          <w:sz w:val="20"/>
          <w:szCs w:val="20"/>
        </w:rPr>
        <w:t xml:space="preserve"> Systém je neúčinný.</w:t>
      </w:r>
    </w:p>
    <w:p w14:paraId="2C25E45D" w14:textId="77777777" w:rsidR="009E0500" w:rsidRDefault="00AA15C8" w:rsidP="009E0500">
      <w:pPr>
        <w:rPr>
          <w:rFonts w:cstheme="minorHAnsi"/>
          <w:u w:val="single"/>
        </w:rPr>
      </w:pPr>
      <w:r>
        <w:rPr>
          <w:rFonts w:cstheme="minorHAnsi"/>
          <w:u w:val="single"/>
        </w:rPr>
        <w:br w:type="page"/>
      </w:r>
    </w:p>
    <w:p w14:paraId="44B69E73" w14:textId="4A2AE4D5" w:rsidR="009E0500" w:rsidRPr="007F7F80" w:rsidRDefault="009E0500" w:rsidP="009E0500">
      <w:pPr>
        <w:keepNext/>
        <w:rPr>
          <w:rFonts w:cstheme="minorHAnsi"/>
          <w:b/>
        </w:rPr>
      </w:pPr>
      <w:r w:rsidRPr="007F7F80">
        <w:rPr>
          <w:rFonts w:cstheme="minorHAnsi"/>
          <w:b/>
        </w:rPr>
        <w:lastRenderedPageBreak/>
        <w:t>Seznam zkratek</w:t>
      </w:r>
    </w:p>
    <w:p w14:paraId="23C0E792" w14:textId="309B8B71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Akceptační dopis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a</w:t>
      </w:r>
      <w:r w:rsidRPr="007F7F80">
        <w:rPr>
          <w:rFonts w:cstheme="minorHAnsi"/>
          <w:color w:val="000000"/>
          <w:lang w:eastAsia="cs-CZ"/>
        </w:rPr>
        <w:t>kceptace integrované strategie</w:t>
      </w:r>
    </w:p>
    <w:p w14:paraId="3A809698" w14:textId="6431CB56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B+R</w:t>
      </w:r>
      <w:r w:rsidRPr="007F7F80">
        <w:rPr>
          <w:rFonts w:cstheme="minorHAnsi"/>
          <w:color w:val="000000"/>
          <w:lang w:eastAsia="cs-CZ"/>
        </w:rPr>
        <w:tab/>
      </w:r>
      <w:r w:rsidR="00885424" w:rsidRPr="002B389E">
        <w:rPr>
          <w:rFonts w:cstheme="minorHAnsi"/>
          <w:color w:val="000000"/>
          <w:lang w:eastAsia="cs-CZ"/>
        </w:rPr>
        <w:t>BIKE AND RIDE</w:t>
      </w:r>
      <w:r w:rsidRPr="007F7F80">
        <w:rPr>
          <w:rFonts w:cstheme="minorHAnsi"/>
          <w:color w:val="000000"/>
          <w:lang w:eastAsia="cs-CZ"/>
        </w:rPr>
        <w:t xml:space="preserve"> – forma kombinované přepravy s návazností cyklistické dopravy na veřejnou hromadnou dopravu </w:t>
      </w:r>
    </w:p>
    <w:p w14:paraId="721E14CA" w14:textId="32E74C81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CLLD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k</w:t>
      </w:r>
      <w:r w:rsidRPr="007F7F80">
        <w:rPr>
          <w:rFonts w:cstheme="minorHAnsi"/>
          <w:color w:val="000000"/>
          <w:lang w:eastAsia="cs-CZ"/>
        </w:rPr>
        <w:t>omunitně vedený místní rozvoj</w:t>
      </w:r>
    </w:p>
    <w:p w14:paraId="4EFE118C" w14:textId="5007191E" w:rsidR="00AD4F01" w:rsidRPr="007F7F80" w:rsidRDefault="00AD4F01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CNG</w:t>
      </w:r>
      <w:r w:rsidRPr="007F7F80">
        <w:rPr>
          <w:rFonts w:cstheme="minorHAnsi"/>
          <w:color w:val="000000"/>
          <w:lang w:eastAsia="cs-CZ"/>
        </w:rPr>
        <w:tab/>
      </w:r>
      <w:proofErr w:type="spellStart"/>
      <w:r w:rsidR="007F7F80" w:rsidRPr="002B389E">
        <w:rPr>
          <w:rFonts w:cstheme="minorHAnsi"/>
          <w:color w:val="000000"/>
          <w:lang w:eastAsia="cs-CZ"/>
        </w:rPr>
        <w:t>compressed</w:t>
      </w:r>
      <w:proofErr w:type="spellEnd"/>
      <w:r w:rsidR="007F7F80" w:rsidRPr="002B389E">
        <w:rPr>
          <w:rFonts w:cstheme="minorHAnsi"/>
          <w:color w:val="000000"/>
          <w:lang w:eastAsia="cs-CZ"/>
        </w:rPr>
        <w:t xml:space="preserve"> natural </w:t>
      </w:r>
      <w:proofErr w:type="spellStart"/>
      <w:r w:rsidR="007F7F80" w:rsidRPr="002B389E">
        <w:rPr>
          <w:rFonts w:cstheme="minorHAnsi"/>
          <w:color w:val="000000"/>
          <w:lang w:eastAsia="cs-CZ"/>
        </w:rPr>
        <w:t>gas</w:t>
      </w:r>
      <w:proofErr w:type="spellEnd"/>
      <w:r w:rsidR="007F7F80" w:rsidRPr="007F7F80">
        <w:rPr>
          <w:rFonts w:cstheme="minorHAnsi"/>
          <w:color w:val="000000"/>
          <w:lang w:eastAsia="cs-CZ"/>
        </w:rPr>
        <w:t xml:space="preserve"> (stlačený zemní plyn)</w:t>
      </w:r>
    </w:p>
    <w:p w14:paraId="071085D8" w14:textId="6E6EBAE4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CRR</w:t>
      </w:r>
      <w:r w:rsidRPr="007F7F80">
        <w:rPr>
          <w:rFonts w:cstheme="minorHAnsi"/>
          <w:color w:val="000000"/>
          <w:lang w:eastAsia="cs-CZ"/>
        </w:rPr>
        <w:tab/>
        <w:t>Centrum pro regionální rozvoj Č</w:t>
      </w:r>
      <w:r w:rsidR="00614786">
        <w:rPr>
          <w:rFonts w:cstheme="minorHAnsi"/>
          <w:color w:val="000000"/>
          <w:lang w:eastAsia="cs-CZ"/>
        </w:rPr>
        <w:t>eské republiky</w:t>
      </w:r>
    </w:p>
    <w:p w14:paraId="1FEB57B5" w14:textId="77777777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ČSAD Havířov a.s.</w:t>
      </w:r>
      <w:r w:rsidRPr="007F7F80">
        <w:rPr>
          <w:rFonts w:cstheme="minorHAnsi"/>
          <w:color w:val="000000"/>
          <w:lang w:eastAsia="cs-CZ"/>
        </w:rPr>
        <w:tab/>
        <w:t>ČSAD Havířov</w:t>
      </w:r>
    </w:p>
    <w:p w14:paraId="229082FD" w14:textId="77777777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proofErr w:type="spellStart"/>
      <w:r w:rsidRPr="007F7F80">
        <w:rPr>
          <w:rFonts w:cstheme="minorHAnsi"/>
          <w:color w:val="000000"/>
          <w:lang w:eastAsia="cs-CZ"/>
        </w:rPr>
        <w:t>DoP</w:t>
      </w:r>
      <w:proofErr w:type="spellEnd"/>
      <w:r w:rsidRPr="007F7F80">
        <w:rPr>
          <w:rFonts w:cstheme="minorHAnsi"/>
          <w:color w:val="000000"/>
          <w:lang w:eastAsia="cs-CZ"/>
        </w:rPr>
        <w:tab/>
      </w:r>
      <w:r w:rsidRPr="004A7EA5">
        <w:rPr>
          <w:rFonts w:cstheme="minorHAnsi"/>
          <w:i/>
          <w:color w:val="000000"/>
          <w:lang w:eastAsia="cs-CZ"/>
        </w:rPr>
        <w:t>Dohoda o partnerství</w:t>
      </w:r>
    </w:p>
    <w:p w14:paraId="1CFDDB49" w14:textId="77777777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ERDF</w:t>
      </w:r>
      <w:r w:rsidRPr="007F7F80">
        <w:rPr>
          <w:rFonts w:cstheme="minorHAnsi"/>
          <w:color w:val="000000"/>
          <w:lang w:eastAsia="cs-CZ"/>
        </w:rPr>
        <w:tab/>
        <w:t>Evropský fond pro regionální rozvoj</w:t>
      </w:r>
    </w:p>
    <w:p w14:paraId="51D23BE9" w14:textId="2904A85A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ESIF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e</w:t>
      </w:r>
      <w:r w:rsidRPr="007F7F80">
        <w:rPr>
          <w:rFonts w:cstheme="minorHAnsi"/>
          <w:color w:val="000000"/>
          <w:lang w:eastAsia="cs-CZ"/>
        </w:rPr>
        <w:t xml:space="preserve">vropské strukturální a investiční fondy </w:t>
      </w:r>
    </w:p>
    <w:p w14:paraId="095142EC" w14:textId="77777777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EU</w:t>
      </w:r>
      <w:r w:rsidRPr="007F7F80">
        <w:rPr>
          <w:rFonts w:cstheme="minorHAnsi"/>
          <w:color w:val="000000"/>
          <w:lang w:eastAsia="cs-CZ"/>
        </w:rPr>
        <w:tab/>
        <w:t>Evropská unie</w:t>
      </w:r>
    </w:p>
    <w:p w14:paraId="0D811315" w14:textId="572C9634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Finanční nařízení</w:t>
      </w:r>
      <w:r w:rsidRPr="007F7F80">
        <w:rPr>
          <w:rFonts w:cstheme="minorHAnsi"/>
          <w:color w:val="000000"/>
          <w:lang w:eastAsia="cs-CZ"/>
        </w:rPr>
        <w:tab/>
      </w:r>
      <w:proofErr w:type="spellStart"/>
      <w:r w:rsidR="00885424">
        <w:rPr>
          <w:rFonts w:cstheme="minorHAnsi"/>
          <w:color w:val="000000"/>
          <w:lang w:eastAsia="cs-CZ"/>
        </w:rPr>
        <w:t>n</w:t>
      </w:r>
      <w:r w:rsidRPr="007F7F80">
        <w:rPr>
          <w:rFonts w:cstheme="minorHAnsi"/>
          <w:color w:val="000000"/>
          <w:lang w:eastAsia="cs-CZ"/>
        </w:rPr>
        <w:t>ařízení</w:t>
      </w:r>
      <w:proofErr w:type="spellEnd"/>
      <w:r w:rsidRPr="007F7F80">
        <w:rPr>
          <w:rFonts w:cstheme="minorHAnsi"/>
          <w:color w:val="000000"/>
          <w:lang w:eastAsia="cs-CZ"/>
        </w:rPr>
        <w:t xml:space="preserve"> Evropského parlamentu a Rady (EU, Euratom) č.</w:t>
      </w:r>
      <w:r w:rsidR="007F7F80">
        <w:rPr>
          <w:rFonts w:cstheme="minorHAnsi"/>
          <w:color w:val="000000"/>
          <w:lang w:eastAsia="cs-CZ"/>
        </w:rPr>
        <w:t> </w:t>
      </w:r>
      <w:r w:rsidRPr="007F7F80">
        <w:rPr>
          <w:rFonts w:cstheme="minorHAnsi"/>
          <w:color w:val="000000"/>
          <w:lang w:eastAsia="cs-CZ"/>
        </w:rPr>
        <w:t>966/2012, kterým se stanoví finanční pravidla pro souhrnný rozpočet Unie a kterým se zrušuje nařízení Rady (ES, Euratom) č.</w:t>
      </w:r>
      <w:r w:rsidR="007F7F80">
        <w:rPr>
          <w:rFonts w:cstheme="minorHAnsi"/>
          <w:color w:val="000000"/>
          <w:lang w:eastAsia="cs-CZ"/>
        </w:rPr>
        <w:t> </w:t>
      </w:r>
      <w:r w:rsidRPr="007F7F80">
        <w:rPr>
          <w:rFonts w:cstheme="minorHAnsi"/>
          <w:color w:val="000000"/>
          <w:lang w:eastAsia="cs-CZ"/>
        </w:rPr>
        <w:t xml:space="preserve">1605/2002, respektive </w:t>
      </w:r>
      <w:r w:rsidR="007F7F80">
        <w:rPr>
          <w:rFonts w:cstheme="minorHAnsi"/>
          <w:color w:val="000000"/>
          <w:lang w:eastAsia="cs-CZ"/>
        </w:rPr>
        <w:t>n</w:t>
      </w:r>
      <w:r w:rsidRPr="007F7F80">
        <w:rPr>
          <w:rFonts w:cstheme="minorHAnsi"/>
          <w:color w:val="000000"/>
          <w:lang w:eastAsia="cs-CZ"/>
        </w:rPr>
        <w:t>ařízení Evropského parlamentu a Rady (EU, Euratom) č. 2018/1046, kterým se stanoví finanční pravidla pro souhrnný rozpočet Unie, mění nařízení (EU) č. 1296/2013, (EU) č. 1301/2013, (EU) č. 1303/2013, (EU) č. 1304/2013, (EU) č.</w:t>
      </w:r>
      <w:r w:rsidR="007F7F80">
        <w:rPr>
          <w:rFonts w:cstheme="minorHAnsi"/>
          <w:color w:val="000000"/>
          <w:lang w:eastAsia="cs-CZ"/>
        </w:rPr>
        <w:t> </w:t>
      </w:r>
      <w:r w:rsidRPr="007F7F80">
        <w:rPr>
          <w:rFonts w:cstheme="minorHAnsi"/>
          <w:color w:val="000000"/>
          <w:lang w:eastAsia="cs-CZ"/>
        </w:rPr>
        <w:t>1309/2013, (EU) č. 1316/2013, (EU) č. 223/2014 a (EU) č.</w:t>
      </w:r>
      <w:r w:rsidR="00AD4F01" w:rsidRPr="007F7F80">
        <w:rPr>
          <w:rFonts w:cstheme="minorHAnsi"/>
          <w:color w:val="000000"/>
          <w:lang w:eastAsia="cs-CZ"/>
        </w:rPr>
        <w:t> </w:t>
      </w:r>
      <w:r w:rsidRPr="007F7F80">
        <w:rPr>
          <w:rFonts w:cstheme="minorHAnsi"/>
          <w:color w:val="000000"/>
          <w:lang w:eastAsia="cs-CZ"/>
        </w:rPr>
        <w:t>283/2014 a rozhodnutí č. 541/2014/EU a zrušuje nařízení (EU, Euratom) č. 966/2012</w:t>
      </w:r>
    </w:p>
    <w:p w14:paraId="2BC5BAB6" w14:textId="0DD09384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IAD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i</w:t>
      </w:r>
      <w:r w:rsidRPr="007F7F80">
        <w:rPr>
          <w:rFonts w:cstheme="minorHAnsi"/>
          <w:color w:val="000000"/>
          <w:lang w:eastAsia="cs-CZ"/>
        </w:rPr>
        <w:t>ndividuální automobilová doprava</w:t>
      </w:r>
    </w:p>
    <w:p w14:paraId="5B98A6CA" w14:textId="15B7DA0A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IDS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i</w:t>
      </w:r>
      <w:r w:rsidRPr="007F7F80">
        <w:rPr>
          <w:rFonts w:cstheme="minorHAnsi"/>
          <w:color w:val="000000"/>
          <w:lang w:eastAsia="cs-CZ"/>
        </w:rPr>
        <w:t>ntegrovaný dopravní systém</w:t>
      </w:r>
    </w:p>
    <w:p w14:paraId="0A4388F3" w14:textId="77777777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IROP</w:t>
      </w:r>
      <w:r w:rsidRPr="007F7F80">
        <w:rPr>
          <w:rFonts w:cstheme="minorHAnsi"/>
          <w:color w:val="000000"/>
          <w:lang w:eastAsia="cs-CZ"/>
        </w:rPr>
        <w:tab/>
      </w:r>
      <w:r w:rsidRPr="004A7EA5">
        <w:rPr>
          <w:rFonts w:cstheme="minorHAnsi"/>
          <w:i/>
          <w:color w:val="000000"/>
          <w:lang w:eastAsia="cs-CZ"/>
        </w:rPr>
        <w:t>Integrovaný regionální operační program</w:t>
      </w:r>
    </w:p>
    <w:p w14:paraId="5BE98587" w14:textId="299635B2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ISV</w:t>
      </w:r>
      <w:r w:rsidR="00123BC1">
        <w:rPr>
          <w:rFonts w:cstheme="minorHAnsi"/>
          <w:color w:val="000000"/>
          <w:lang w:eastAsia="cs-CZ"/>
        </w:rPr>
        <w:t>Z</w:t>
      </w:r>
      <w:r w:rsidRPr="007F7F80">
        <w:rPr>
          <w:rFonts w:cstheme="minorHAnsi"/>
          <w:color w:val="000000"/>
          <w:lang w:eastAsia="cs-CZ"/>
        </w:rPr>
        <w:tab/>
      </w:r>
      <w:r w:rsidRPr="004A7EA5">
        <w:rPr>
          <w:rFonts w:cstheme="minorHAnsi"/>
          <w:i/>
          <w:color w:val="000000"/>
          <w:lang w:eastAsia="cs-CZ"/>
        </w:rPr>
        <w:t>Informační systém o veřejných zakázkách</w:t>
      </w:r>
    </w:p>
    <w:p w14:paraId="28B46F2D" w14:textId="4934761E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ITI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i</w:t>
      </w:r>
      <w:r w:rsidRPr="007F7F80">
        <w:rPr>
          <w:rFonts w:cstheme="minorHAnsi"/>
          <w:color w:val="000000"/>
          <w:lang w:eastAsia="cs-CZ"/>
        </w:rPr>
        <w:t>ntegrovaná územní investice</w:t>
      </w:r>
    </w:p>
    <w:p w14:paraId="2D19D0BD" w14:textId="7CA4377C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ITS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i</w:t>
      </w:r>
      <w:r w:rsidRPr="007F7F80">
        <w:rPr>
          <w:rFonts w:cstheme="minorHAnsi"/>
          <w:color w:val="000000"/>
          <w:lang w:eastAsia="cs-CZ"/>
        </w:rPr>
        <w:t>nteligentní dopravní systém</w:t>
      </w:r>
    </w:p>
    <w:p w14:paraId="5269AFC3" w14:textId="769A8358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K+R</w:t>
      </w:r>
      <w:r w:rsidRPr="007F7F80">
        <w:rPr>
          <w:rFonts w:cstheme="minorHAnsi"/>
          <w:color w:val="000000"/>
          <w:lang w:eastAsia="cs-CZ"/>
        </w:rPr>
        <w:tab/>
      </w:r>
      <w:r w:rsidR="00885424" w:rsidRPr="002B389E">
        <w:rPr>
          <w:rFonts w:cstheme="minorHAnsi"/>
          <w:color w:val="000000"/>
          <w:lang w:eastAsia="cs-CZ"/>
        </w:rPr>
        <w:t>KISS AND RIDE</w:t>
      </w:r>
      <w:r w:rsidRPr="007F7F80">
        <w:rPr>
          <w:rFonts w:cstheme="minorHAnsi"/>
          <w:color w:val="000000"/>
          <w:lang w:eastAsia="cs-CZ"/>
        </w:rPr>
        <w:t xml:space="preserve"> – forma kombinované přepravy s návazností individuální automobilové dopravy na veřejnou hromadnou dopravu </w:t>
      </w:r>
    </w:p>
    <w:p w14:paraId="6369C069" w14:textId="238CE915" w:rsidR="007F7F80" w:rsidRPr="007F7F80" w:rsidRDefault="007F7F80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MAD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m</w:t>
      </w:r>
      <w:r w:rsidRPr="007F7F80">
        <w:rPr>
          <w:rFonts w:cstheme="minorHAnsi"/>
          <w:color w:val="000000"/>
          <w:lang w:eastAsia="cs-CZ"/>
        </w:rPr>
        <w:t>ěstská autobusová doprava</w:t>
      </w:r>
    </w:p>
    <w:p w14:paraId="3B88A228" w14:textId="42F1810A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MHD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m</w:t>
      </w:r>
      <w:r w:rsidRPr="007F7F80">
        <w:rPr>
          <w:rFonts w:cstheme="minorHAnsi"/>
          <w:color w:val="000000"/>
          <w:lang w:eastAsia="cs-CZ"/>
        </w:rPr>
        <w:t>ěstská hromadná doprava</w:t>
      </w:r>
    </w:p>
    <w:p w14:paraId="03C1BBF7" w14:textId="45F0332D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MMR</w:t>
      </w:r>
      <w:r w:rsidRPr="007F7F80">
        <w:rPr>
          <w:rFonts w:cstheme="minorHAnsi"/>
          <w:color w:val="000000"/>
          <w:lang w:eastAsia="cs-CZ"/>
        </w:rPr>
        <w:tab/>
        <w:t xml:space="preserve">Ministerstvo pro místní rozvoj </w:t>
      </w:r>
    </w:p>
    <w:p w14:paraId="3A54A7A1" w14:textId="23B77C50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MPIN</w:t>
      </w:r>
      <w:r w:rsidRPr="007F7F80">
        <w:rPr>
          <w:rFonts w:cstheme="minorHAnsi"/>
          <w:color w:val="000000"/>
          <w:lang w:eastAsia="cs-CZ"/>
        </w:rPr>
        <w:tab/>
      </w:r>
      <w:r w:rsidRPr="004A7EA5">
        <w:rPr>
          <w:rFonts w:cstheme="minorHAnsi"/>
          <w:i/>
          <w:color w:val="000000"/>
          <w:lang w:eastAsia="cs-CZ"/>
        </w:rPr>
        <w:t>Metodický pokyn pro využití integrovaných nástrojů v</w:t>
      </w:r>
      <w:r w:rsidR="007F7F80" w:rsidRPr="004A7EA5">
        <w:rPr>
          <w:rFonts w:cstheme="minorHAnsi"/>
          <w:i/>
          <w:color w:val="000000"/>
          <w:lang w:eastAsia="cs-CZ"/>
        </w:rPr>
        <w:t> </w:t>
      </w:r>
      <w:r w:rsidRPr="004A7EA5">
        <w:rPr>
          <w:rFonts w:cstheme="minorHAnsi"/>
          <w:i/>
          <w:color w:val="000000"/>
          <w:lang w:eastAsia="cs-CZ"/>
        </w:rPr>
        <w:t>programovém období 2014–2020</w:t>
      </w:r>
    </w:p>
    <w:p w14:paraId="5CAFAE78" w14:textId="77777777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NAP ČM</w:t>
      </w:r>
      <w:r w:rsidRPr="007F7F80">
        <w:rPr>
          <w:rFonts w:cstheme="minorHAnsi"/>
          <w:color w:val="000000"/>
          <w:lang w:eastAsia="cs-CZ"/>
        </w:rPr>
        <w:tab/>
      </w:r>
      <w:r w:rsidRPr="004A7EA5">
        <w:rPr>
          <w:rFonts w:cstheme="minorHAnsi"/>
          <w:i/>
          <w:color w:val="000000"/>
          <w:lang w:eastAsia="cs-CZ"/>
        </w:rPr>
        <w:t>Národní akční plán čisté mobility</w:t>
      </w:r>
      <w:r w:rsidRPr="007F7F80">
        <w:rPr>
          <w:rFonts w:cstheme="minorHAnsi"/>
          <w:color w:val="000000"/>
          <w:lang w:eastAsia="cs-CZ"/>
        </w:rPr>
        <w:t xml:space="preserve"> </w:t>
      </w:r>
    </w:p>
    <w:p w14:paraId="5AC50969" w14:textId="77777777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NKÚ</w:t>
      </w:r>
      <w:r w:rsidRPr="007F7F80">
        <w:rPr>
          <w:rFonts w:cstheme="minorHAnsi"/>
          <w:color w:val="000000"/>
          <w:lang w:eastAsia="cs-CZ"/>
        </w:rPr>
        <w:tab/>
        <w:t>Nejvyšší kontrolní úřad</w:t>
      </w:r>
    </w:p>
    <w:p w14:paraId="5406D67D" w14:textId="24D373B1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Nositel ITI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ascii="Calibri" w:hAnsi="Calibri" w:cs="Calibri"/>
          <w:color w:val="000000"/>
          <w:lang w:eastAsia="cs-CZ"/>
        </w:rPr>
        <w:t>n</w:t>
      </w:r>
      <w:r w:rsidRPr="007F7F80">
        <w:rPr>
          <w:rFonts w:ascii="Calibri" w:hAnsi="Calibri" w:cs="Calibri"/>
          <w:color w:val="000000"/>
          <w:lang w:eastAsia="cs-CZ"/>
        </w:rPr>
        <w:t xml:space="preserve">ositel integrované strategie ITI (jádrová města metropolitních oblastí/sídelních aglomerací území ITI plnící funkci </w:t>
      </w:r>
      <w:r w:rsidR="00885424">
        <w:rPr>
          <w:rFonts w:ascii="Calibri" w:hAnsi="Calibri" w:cs="Calibri"/>
          <w:color w:val="000000"/>
          <w:lang w:eastAsia="cs-CZ"/>
        </w:rPr>
        <w:t>n</w:t>
      </w:r>
      <w:r w:rsidRPr="007F7F80">
        <w:rPr>
          <w:rFonts w:ascii="Calibri" w:hAnsi="Calibri" w:cs="Calibri"/>
          <w:color w:val="000000"/>
          <w:lang w:eastAsia="cs-CZ"/>
        </w:rPr>
        <w:t xml:space="preserve">ositelů ITI) </w:t>
      </w:r>
    </w:p>
    <w:p w14:paraId="255F4EFB" w14:textId="14C237AB" w:rsidR="00D64B7C" w:rsidRPr="007F7F80" w:rsidRDefault="00D64B7C" w:rsidP="00860173">
      <w:pPr>
        <w:keepLines/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lastRenderedPageBreak/>
        <w:t>Obecné nařízení</w:t>
      </w:r>
      <w:r w:rsidRPr="007F7F80">
        <w:rPr>
          <w:rFonts w:cstheme="minorHAnsi"/>
          <w:color w:val="000000"/>
          <w:lang w:eastAsia="cs-CZ"/>
        </w:rPr>
        <w:tab/>
      </w:r>
      <w:proofErr w:type="spellStart"/>
      <w:r w:rsidR="00885424">
        <w:rPr>
          <w:rFonts w:cstheme="minorHAnsi"/>
          <w:color w:val="000000"/>
          <w:lang w:eastAsia="cs-CZ"/>
        </w:rPr>
        <w:t>n</w:t>
      </w:r>
      <w:r w:rsidRPr="007F7F80">
        <w:rPr>
          <w:rFonts w:cstheme="minorHAnsi"/>
          <w:color w:val="000000"/>
          <w:lang w:eastAsia="cs-CZ"/>
        </w:rPr>
        <w:t>ařízení</w:t>
      </w:r>
      <w:proofErr w:type="spellEnd"/>
      <w:r w:rsidRPr="007F7F80">
        <w:rPr>
          <w:rFonts w:cstheme="minorHAnsi"/>
          <w:color w:val="000000"/>
          <w:lang w:eastAsia="cs-CZ"/>
        </w:rPr>
        <w:t xml:space="preserve"> Evropského parlamentu a Rady (EU) č. 1303/2013, o společných ustanoveních o Evropském fondu pro regionální rozvoj, Evropském sociálním fondu, Fondu soudržnosti, Evropském zemědělském fondu pro rozvoj venkova a Evropském námořním a rybářském fondu, o obecných ustanoveních o Evropském fondu pro regionální rozvoj, Evropském sociálním fondu, Fondu soudržnosti a Evropském námořním a rybářském fondu a o zrušení nařízení Rady (ES) č. 1083/2006</w:t>
      </w:r>
    </w:p>
    <w:p w14:paraId="5465B74B" w14:textId="535AAA7B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P+R</w:t>
      </w:r>
      <w:r w:rsidRPr="007F7F80">
        <w:rPr>
          <w:rFonts w:cstheme="minorHAnsi"/>
          <w:color w:val="000000"/>
          <w:lang w:eastAsia="cs-CZ"/>
        </w:rPr>
        <w:tab/>
      </w:r>
      <w:r w:rsidR="00885424" w:rsidRPr="00885424">
        <w:rPr>
          <w:rFonts w:cstheme="minorHAnsi"/>
          <w:color w:val="000000"/>
          <w:lang w:val="en-GB" w:eastAsia="cs-CZ"/>
        </w:rPr>
        <w:t>PARK AND RIDE</w:t>
      </w:r>
      <w:r w:rsidRPr="007F7F80">
        <w:rPr>
          <w:rFonts w:cstheme="minorHAnsi"/>
          <w:color w:val="000000"/>
          <w:lang w:eastAsia="cs-CZ"/>
        </w:rPr>
        <w:t xml:space="preserve"> – parkoviště pro osobní automobily s možností přestupu na veřejnou hromadnou dopravu </w:t>
      </w:r>
    </w:p>
    <w:p w14:paraId="5D35965B" w14:textId="79DE5CE8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Projekty ITI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i</w:t>
      </w:r>
      <w:r w:rsidRPr="007F7F80">
        <w:rPr>
          <w:rFonts w:cstheme="minorHAnsi"/>
          <w:color w:val="000000"/>
          <w:lang w:eastAsia="cs-CZ"/>
        </w:rPr>
        <w:t>ntegrované projekty ITI</w:t>
      </w:r>
    </w:p>
    <w:p w14:paraId="6BD6004A" w14:textId="629F1C8D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ROP</w:t>
      </w:r>
      <w:r w:rsidRPr="007F7F80">
        <w:rPr>
          <w:rFonts w:cstheme="minorHAnsi"/>
          <w:color w:val="000000"/>
          <w:lang w:eastAsia="cs-CZ"/>
        </w:rPr>
        <w:tab/>
      </w:r>
      <w:r w:rsidR="00860173">
        <w:rPr>
          <w:rFonts w:cstheme="minorHAnsi"/>
          <w:color w:val="000000"/>
          <w:lang w:eastAsia="cs-CZ"/>
        </w:rPr>
        <w:t>r</w:t>
      </w:r>
      <w:r w:rsidRPr="007F7F80">
        <w:rPr>
          <w:rFonts w:cstheme="minorHAnsi"/>
          <w:color w:val="000000"/>
          <w:lang w:eastAsia="cs-CZ"/>
        </w:rPr>
        <w:t>egionální operační program</w:t>
      </w:r>
    </w:p>
    <w:p w14:paraId="0BD611EB" w14:textId="0D173933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RS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r</w:t>
      </w:r>
      <w:r w:rsidRPr="007F7F80">
        <w:rPr>
          <w:rFonts w:cstheme="minorHAnsi"/>
          <w:color w:val="000000"/>
          <w:lang w:eastAsia="cs-CZ"/>
        </w:rPr>
        <w:t>egistr smluv</w:t>
      </w:r>
    </w:p>
    <w:p w14:paraId="2E7A21BD" w14:textId="4EFA0330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ŘO IROP</w:t>
      </w:r>
      <w:r w:rsidRPr="007F7F80">
        <w:rPr>
          <w:rFonts w:cstheme="minorHAnsi"/>
          <w:color w:val="000000"/>
          <w:lang w:eastAsia="cs-CZ"/>
        </w:rPr>
        <w:tab/>
      </w:r>
      <w:r w:rsidR="00860173">
        <w:rPr>
          <w:rFonts w:cstheme="minorHAnsi"/>
          <w:color w:val="000000"/>
          <w:lang w:eastAsia="cs-CZ"/>
        </w:rPr>
        <w:t>ř</w:t>
      </w:r>
      <w:r w:rsidRPr="007F7F80">
        <w:rPr>
          <w:rFonts w:cstheme="minorHAnsi"/>
          <w:color w:val="000000"/>
          <w:lang w:eastAsia="cs-CZ"/>
        </w:rPr>
        <w:t>ídicí orgán IROP</w:t>
      </w:r>
    </w:p>
    <w:p w14:paraId="1E6D206F" w14:textId="685921FA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ŘV ITI</w:t>
      </w:r>
      <w:r w:rsidRPr="007F7F80">
        <w:rPr>
          <w:rFonts w:cstheme="minorHAnsi"/>
          <w:color w:val="000000"/>
          <w:lang w:eastAsia="cs-CZ"/>
        </w:rPr>
        <w:tab/>
      </w:r>
      <w:r w:rsidR="003A63AF">
        <w:rPr>
          <w:rFonts w:cstheme="minorHAnsi"/>
          <w:color w:val="000000"/>
          <w:lang w:eastAsia="cs-CZ"/>
        </w:rPr>
        <w:t>ř</w:t>
      </w:r>
      <w:r w:rsidRPr="007F7F80">
        <w:rPr>
          <w:rFonts w:cstheme="minorHAnsi"/>
          <w:color w:val="000000"/>
          <w:lang w:eastAsia="cs-CZ"/>
        </w:rPr>
        <w:t>ídicí výbor ITI</w:t>
      </w:r>
    </w:p>
    <w:p w14:paraId="5B8214D2" w14:textId="3E794FFC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i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SC 1.2 IROP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s</w:t>
      </w:r>
      <w:r w:rsidRPr="007F7F80">
        <w:rPr>
          <w:rFonts w:cstheme="minorHAnsi"/>
          <w:color w:val="000000"/>
          <w:lang w:eastAsia="cs-CZ"/>
        </w:rPr>
        <w:t xml:space="preserve">pecifický cíl 1.2 </w:t>
      </w:r>
      <w:r w:rsidR="007F7F80">
        <w:rPr>
          <w:rFonts w:cstheme="minorHAnsi"/>
          <w:color w:val="000000"/>
          <w:lang w:eastAsia="cs-CZ"/>
        </w:rPr>
        <w:t>„</w:t>
      </w:r>
      <w:r w:rsidRPr="004A7EA5">
        <w:rPr>
          <w:rFonts w:cstheme="minorHAnsi"/>
          <w:i/>
          <w:color w:val="000000"/>
          <w:lang w:eastAsia="cs-CZ"/>
        </w:rPr>
        <w:t>Zvýšení podílu udržitelných forem dopravy</w:t>
      </w:r>
      <w:r w:rsidR="007F7F80">
        <w:rPr>
          <w:rFonts w:cstheme="minorHAnsi"/>
          <w:color w:val="000000"/>
          <w:lang w:eastAsia="cs-CZ"/>
        </w:rPr>
        <w:t>“</w:t>
      </w:r>
    </w:p>
    <w:p w14:paraId="5C292290" w14:textId="1EB5C91D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Smluvní pokuta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s</w:t>
      </w:r>
      <w:r w:rsidRPr="007F7F80">
        <w:rPr>
          <w:rFonts w:cstheme="minorHAnsi"/>
          <w:color w:val="000000"/>
          <w:lang w:eastAsia="cs-CZ"/>
        </w:rPr>
        <w:t>mluvní pokuta za nedodržení lhůty při plnění veřejné zakázky</w:t>
      </w:r>
    </w:p>
    <w:p w14:paraId="311FE48D" w14:textId="3EF11090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SR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s</w:t>
      </w:r>
      <w:r w:rsidRPr="007F7F80">
        <w:rPr>
          <w:rFonts w:cstheme="minorHAnsi"/>
          <w:color w:val="000000"/>
          <w:lang w:eastAsia="cs-CZ"/>
        </w:rPr>
        <w:t>tátní rozpočet ČR</w:t>
      </w:r>
    </w:p>
    <w:p w14:paraId="2F8FC0D4" w14:textId="6540A3E2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Stanovisko č. 10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z</w:t>
      </w:r>
      <w:r w:rsidRPr="007F7F80">
        <w:rPr>
          <w:rFonts w:cstheme="minorHAnsi"/>
          <w:color w:val="000000"/>
          <w:lang w:eastAsia="cs-CZ"/>
        </w:rPr>
        <w:t xml:space="preserve">ávazné stanovisko </w:t>
      </w:r>
      <w:r w:rsidR="00860173">
        <w:rPr>
          <w:rFonts w:cstheme="minorHAnsi"/>
          <w:color w:val="000000"/>
          <w:lang w:eastAsia="cs-CZ"/>
        </w:rPr>
        <w:t>ř</w:t>
      </w:r>
      <w:r w:rsidRPr="007F7F80">
        <w:rPr>
          <w:rFonts w:cstheme="minorHAnsi"/>
          <w:color w:val="000000"/>
          <w:lang w:eastAsia="cs-CZ"/>
        </w:rPr>
        <w:t>ídicího orgánu IROP č. 10</w:t>
      </w:r>
    </w:p>
    <w:p w14:paraId="38E5430F" w14:textId="43165AEF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Strategie ITI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i</w:t>
      </w:r>
      <w:r w:rsidRPr="007F7F80">
        <w:rPr>
          <w:rFonts w:cstheme="minorHAnsi"/>
          <w:color w:val="000000"/>
          <w:lang w:eastAsia="cs-CZ"/>
        </w:rPr>
        <w:t xml:space="preserve">ntegrovaná </w:t>
      </w:r>
      <w:r w:rsidR="00885424">
        <w:rPr>
          <w:rFonts w:cstheme="minorHAnsi"/>
          <w:color w:val="000000"/>
          <w:lang w:eastAsia="cs-CZ"/>
        </w:rPr>
        <w:t>s</w:t>
      </w:r>
      <w:r w:rsidRPr="007F7F80">
        <w:rPr>
          <w:rFonts w:cstheme="minorHAnsi"/>
          <w:color w:val="000000"/>
          <w:lang w:eastAsia="cs-CZ"/>
        </w:rPr>
        <w:t>trategie území ITI</w:t>
      </w:r>
    </w:p>
    <w:p w14:paraId="4E4A5936" w14:textId="771294DE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Výzva č. 50</w:t>
      </w:r>
      <w:r w:rsidRPr="007F7F80">
        <w:rPr>
          <w:rFonts w:cstheme="minorHAnsi"/>
          <w:color w:val="000000"/>
          <w:lang w:eastAsia="cs-CZ"/>
        </w:rPr>
        <w:tab/>
      </w:r>
      <w:r w:rsidR="00885424">
        <w:rPr>
          <w:rFonts w:cstheme="minorHAnsi"/>
          <w:color w:val="000000"/>
          <w:lang w:eastAsia="cs-CZ"/>
        </w:rPr>
        <w:t>p</w:t>
      </w:r>
      <w:r w:rsidRPr="007F7F80">
        <w:rPr>
          <w:rFonts w:cstheme="minorHAnsi"/>
          <w:color w:val="000000"/>
          <w:lang w:eastAsia="cs-CZ"/>
        </w:rPr>
        <w:t xml:space="preserve">růběžná výzva č. 50 </w:t>
      </w:r>
      <w:r w:rsidRPr="004A7EA5">
        <w:rPr>
          <w:rFonts w:cstheme="minorHAnsi"/>
          <w:i/>
          <w:color w:val="000000"/>
          <w:lang w:eastAsia="cs-CZ"/>
        </w:rPr>
        <w:t>Udržitelná doprava – integrované projekty ITI</w:t>
      </w:r>
    </w:p>
    <w:p w14:paraId="154D4064" w14:textId="39EFBCF9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 xml:space="preserve">Výzva na </w:t>
      </w:r>
      <w:r w:rsidR="00860173">
        <w:rPr>
          <w:rFonts w:cstheme="minorHAnsi"/>
          <w:color w:val="000000"/>
          <w:lang w:eastAsia="cs-CZ"/>
        </w:rPr>
        <w:t>s</w:t>
      </w:r>
      <w:r w:rsidRPr="007F7F80">
        <w:rPr>
          <w:rFonts w:cstheme="minorHAnsi"/>
          <w:color w:val="000000"/>
          <w:lang w:eastAsia="cs-CZ"/>
        </w:rPr>
        <w:t>trategie ITI</w:t>
      </w:r>
      <w:r w:rsidRPr="007F7F80">
        <w:rPr>
          <w:rFonts w:cstheme="minorHAnsi"/>
          <w:color w:val="000000"/>
          <w:lang w:eastAsia="cs-CZ"/>
        </w:rPr>
        <w:tab/>
      </w:r>
      <w:r w:rsidR="00860173">
        <w:rPr>
          <w:rFonts w:cstheme="minorHAnsi"/>
          <w:color w:val="000000"/>
          <w:lang w:eastAsia="cs-CZ"/>
        </w:rPr>
        <w:t>p</w:t>
      </w:r>
      <w:r w:rsidRPr="007F7F80">
        <w:rPr>
          <w:rFonts w:cstheme="minorHAnsi"/>
          <w:color w:val="000000"/>
          <w:lang w:eastAsia="cs-CZ"/>
        </w:rPr>
        <w:t xml:space="preserve">růběžná výzva k předkládání žádostí o podporu </w:t>
      </w:r>
      <w:r w:rsidR="00860173">
        <w:rPr>
          <w:rFonts w:cstheme="minorHAnsi"/>
          <w:color w:val="000000"/>
          <w:lang w:eastAsia="cs-CZ"/>
        </w:rPr>
        <w:t>s</w:t>
      </w:r>
      <w:r w:rsidRPr="007F7F80">
        <w:rPr>
          <w:rFonts w:cstheme="minorHAnsi"/>
          <w:color w:val="000000"/>
          <w:lang w:eastAsia="cs-CZ"/>
        </w:rPr>
        <w:t xml:space="preserve">trategií ITI </w:t>
      </w:r>
    </w:p>
    <w:p w14:paraId="2304A377" w14:textId="4176E486" w:rsidR="00D64B7C" w:rsidRPr="007F7F80" w:rsidRDefault="00D64B7C" w:rsidP="00D64B7C">
      <w:pPr>
        <w:tabs>
          <w:tab w:val="left" w:pos="2552"/>
        </w:tabs>
        <w:spacing w:before="60" w:after="60" w:line="240" w:lineRule="auto"/>
        <w:ind w:left="2552" w:hanging="2552"/>
        <w:jc w:val="left"/>
        <w:rPr>
          <w:rFonts w:cstheme="minorHAnsi"/>
          <w:color w:val="000000"/>
          <w:lang w:eastAsia="cs-CZ"/>
        </w:rPr>
      </w:pPr>
      <w:r w:rsidRPr="007F7F80">
        <w:rPr>
          <w:rFonts w:cstheme="minorHAnsi"/>
          <w:color w:val="000000"/>
          <w:lang w:eastAsia="cs-CZ"/>
        </w:rPr>
        <w:t>ZS ITI</w:t>
      </w:r>
      <w:r w:rsidRPr="007F7F80">
        <w:rPr>
          <w:rFonts w:cstheme="minorHAnsi"/>
          <w:color w:val="000000"/>
          <w:lang w:eastAsia="cs-CZ"/>
        </w:rPr>
        <w:tab/>
      </w:r>
      <w:r w:rsidR="00860173">
        <w:rPr>
          <w:rFonts w:cstheme="minorHAnsi"/>
          <w:color w:val="000000"/>
          <w:lang w:eastAsia="cs-CZ"/>
        </w:rPr>
        <w:t>z</w:t>
      </w:r>
      <w:r w:rsidRPr="007F7F80">
        <w:rPr>
          <w:rFonts w:cstheme="minorHAnsi"/>
          <w:color w:val="000000"/>
          <w:lang w:eastAsia="cs-CZ"/>
        </w:rPr>
        <w:t>prostředkující subjekt ITI (jádrová města metropolitních oblastí/sídelních aglomerací území ITI plnící funkci zprostředkujících subjektů IROP)</w:t>
      </w:r>
    </w:p>
    <w:p w14:paraId="0EA4B6B3" w14:textId="77777777" w:rsidR="009E0500" w:rsidRPr="006E3519" w:rsidRDefault="009E0500" w:rsidP="009E0500">
      <w:pPr>
        <w:rPr>
          <w:rFonts w:cstheme="minorHAnsi"/>
          <w:i/>
        </w:rPr>
        <w:sectPr w:rsidR="009E0500" w:rsidRPr="006E3519" w:rsidSect="00497334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7" w:h="16839" w:code="9"/>
          <w:pgMar w:top="1418" w:right="1418" w:bottom="1418" w:left="1418" w:header="851" w:footer="567" w:gutter="0"/>
          <w:cols w:space="708"/>
          <w:titlePg/>
          <w:docGrid w:linePitch="360"/>
        </w:sectPr>
      </w:pPr>
    </w:p>
    <w:p w14:paraId="6001A58D" w14:textId="5735D889" w:rsidR="00432489" w:rsidRPr="00432489" w:rsidRDefault="00432489" w:rsidP="00432489">
      <w:pPr>
        <w:pStyle w:val="Nadpistabulky"/>
        <w:spacing w:after="0"/>
        <w:jc w:val="right"/>
        <w:rPr>
          <w:b w:val="0"/>
        </w:rPr>
      </w:pPr>
      <w:r w:rsidRPr="004A7EA5">
        <w:lastRenderedPageBreak/>
        <w:t>Příloha č. 1</w:t>
      </w:r>
    </w:p>
    <w:p w14:paraId="3A38F8BA" w14:textId="77777777" w:rsidR="00432489" w:rsidRDefault="00432489" w:rsidP="00680148">
      <w:pPr>
        <w:pStyle w:val="Nadpistabulky"/>
        <w:spacing w:after="0"/>
      </w:pPr>
    </w:p>
    <w:p w14:paraId="36AABDA1" w14:textId="65CFC003" w:rsidR="00495FA5" w:rsidRPr="004A7EA5" w:rsidRDefault="00143F9C" w:rsidP="007C38E1">
      <w:pPr>
        <w:pStyle w:val="KZnormlntun"/>
        <w:rPr>
          <w:i/>
        </w:rPr>
      </w:pPr>
      <w:r>
        <w:t>Datová příloha</w:t>
      </w:r>
      <w:r w:rsidR="008D79B1">
        <w:t xml:space="preserve"> ke KZ 18/24 –</w:t>
      </w:r>
      <w:r>
        <w:t xml:space="preserve"> </w:t>
      </w:r>
      <w:r w:rsidRPr="00143F9C">
        <w:t>Podpora veřejné městské a regionální dopravy</w:t>
      </w:r>
      <w:r w:rsidR="00495FA5" w:rsidRPr="00495FA5">
        <w:t xml:space="preserve"> </w:t>
      </w:r>
      <w:r w:rsidR="00557603">
        <w:t xml:space="preserve">financovaná v rámci </w:t>
      </w:r>
      <w:r w:rsidR="00557603">
        <w:rPr>
          <w:i/>
        </w:rPr>
        <w:t>Integrovaného regionálního operačního programu</w:t>
      </w:r>
    </w:p>
    <w:p w14:paraId="4F399CF5" w14:textId="59B02A34" w:rsidR="00680148" w:rsidRPr="004A7EA5" w:rsidRDefault="00680148" w:rsidP="00AA15C8">
      <w:pPr>
        <w:rPr>
          <w:color w:val="000000" w:themeColor="text1"/>
          <w:sz w:val="22"/>
          <w:szCs w:val="22"/>
        </w:rPr>
      </w:pPr>
      <w:r w:rsidRPr="00680148">
        <w:t>(Viz také odkaz</w:t>
      </w:r>
      <w:r>
        <w:t xml:space="preserve"> </w:t>
      </w:r>
      <w:hyperlink r:id="rId38" w:history="1">
        <w:r w:rsidR="00AA15C8">
          <w:rPr>
            <w:rStyle w:val="Hypertextovodkaz"/>
          </w:rPr>
          <w:t>https://www.nku.cz/scripts/detail.php?id=10692</w:t>
        </w:r>
      </w:hyperlink>
      <w:r w:rsidR="00557603">
        <w:rPr>
          <w:rStyle w:val="Hypertextovodkaz"/>
          <w:color w:val="000000" w:themeColor="text1"/>
          <w:u w:val="none"/>
        </w:rPr>
        <w:t>.</w:t>
      </w:r>
      <w:r w:rsidRPr="004A7EA5">
        <w:rPr>
          <w:color w:val="000000" w:themeColor="text1"/>
        </w:rPr>
        <w:t>)</w:t>
      </w:r>
    </w:p>
    <w:p w14:paraId="70474A2D" w14:textId="1E115729" w:rsidR="00143F9C" w:rsidRDefault="00143F9C" w:rsidP="00495FA5">
      <w:pPr>
        <w:pStyle w:val="KZnormln"/>
      </w:pPr>
      <w:r>
        <w:t>V rámci kontroly NKÚ získal data o projektech podporující veřejnou městskou a regionální dopravu. Projekty se týkaly vybraných aktivit, tj. „</w:t>
      </w:r>
      <w:proofErr w:type="spellStart"/>
      <w:r>
        <w:t>Nízkoemisní</w:t>
      </w:r>
      <w:proofErr w:type="spellEnd"/>
      <w:r>
        <w:t xml:space="preserve"> a bezemisní vozidl</w:t>
      </w:r>
      <w:r w:rsidR="00680148">
        <w:t>a“, „Telematika“ a „Terminály“, které byly podpořeny v minulém programovém období</w:t>
      </w:r>
      <w:r w:rsidR="008D79B1">
        <w:br/>
        <w:t>2007–</w:t>
      </w:r>
      <w:r w:rsidR="00680148">
        <w:t xml:space="preserve">2013 a </w:t>
      </w:r>
      <w:r>
        <w:t>ve stá</w:t>
      </w:r>
      <w:r w:rsidR="008D79B1">
        <w:t>vajícím programovém období 2014–</w:t>
      </w:r>
      <w:r>
        <w:t>2020.</w:t>
      </w:r>
    </w:p>
    <w:p w14:paraId="79F5A51E" w14:textId="77777777" w:rsidR="00495FA5" w:rsidRPr="00495FA5" w:rsidRDefault="00495FA5" w:rsidP="00495FA5">
      <w:pPr>
        <w:pStyle w:val="KZnormln"/>
      </w:pPr>
      <w:r w:rsidRPr="00495FA5">
        <w:t>První část vizualizace obsahuje projekty z </w:t>
      </w:r>
      <w:r w:rsidR="00680148">
        <w:t>I</w:t>
      </w:r>
      <w:r w:rsidRPr="00495FA5">
        <w:t>ROP ve stavu</w:t>
      </w:r>
      <w:r w:rsidR="00680148">
        <w:t>, v jakém se nacházely</w:t>
      </w:r>
      <w:r w:rsidRPr="00495FA5">
        <w:t xml:space="preserve"> v květnu 2019. Vybrané projekty IROP kromě výstavby terminálů s parkovacími místy pro automobily nezahrnují infrastrukturní projekty pro automobilovou dopravu (např. opravy silnic, řízení silniční dopravy, dobíjecí stanice). V oblasti železniční dopravy jsou zahrnuty jen telematické aplikace určené cestujícím hromadné dopravy a budování společných terminálů s dalšími druhy hromadné dopravy (nikoliv tedy samostatné opravy železničních stanic a tratí nebo dotované nákupy vlaků). </w:t>
      </w:r>
    </w:p>
    <w:p w14:paraId="5FCC6B01" w14:textId="47C0E167" w:rsidR="00495FA5" w:rsidRPr="00495FA5" w:rsidRDefault="00495FA5" w:rsidP="00495FA5">
      <w:pPr>
        <w:pStyle w:val="KZnormln"/>
      </w:pPr>
      <w:r w:rsidRPr="00495FA5">
        <w:t>V programovém období 2007</w:t>
      </w:r>
      <w:r>
        <w:t>–</w:t>
      </w:r>
      <w:r w:rsidRPr="00495FA5">
        <w:t>2013 byly obdobné projekty na podporu veřejné městské a</w:t>
      </w:r>
      <w:r w:rsidR="001D669D">
        <w:t> </w:t>
      </w:r>
      <w:r w:rsidRPr="00495FA5">
        <w:t xml:space="preserve">regionální dopravy realizovány prostřednictvím sedmi </w:t>
      </w:r>
      <w:r w:rsidR="00557603">
        <w:t>r</w:t>
      </w:r>
      <w:r w:rsidRPr="00495FA5">
        <w:t>egionálních operačních programů.</w:t>
      </w:r>
    </w:p>
    <w:p w14:paraId="4031EFFD" w14:textId="4D93F9E5" w:rsidR="00495FA5" w:rsidRPr="00495FA5" w:rsidRDefault="00495FA5" w:rsidP="00495FA5">
      <w:pPr>
        <w:pStyle w:val="KZnormln"/>
      </w:pPr>
      <w:r w:rsidRPr="00495FA5">
        <w:t>Vybrané projekty ROP a IROP mají obdobný charakter a několik ukazatelů vhodných ke</w:t>
      </w:r>
      <w:r w:rsidR="00557603">
        <w:t xml:space="preserve"> </w:t>
      </w:r>
      <w:r w:rsidRPr="00495FA5">
        <w:t xml:space="preserve">vzájemnému porovnání. </w:t>
      </w:r>
      <w:r w:rsidR="00C94FD9">
        <w:t xml:space="preserve">Tato skutečnost NKÚ umožnila </w:t>
      </w:r>
      <w:r w:rsidRPr="00495FA5">
        <w:t>zobrazit i</w:t>
      </w:r>
      <w:r w:rsidR="00C94FD9">
        <w:t>nformace o projektech ROP a IROP</w:t>
      </w:r>
      <w:r w:rsidRPr="00495FA5">
        <w:t xml:space="preserve"> společně.</w:t>
      </w:r>
    </w:p>
    <w:p w14:paraId="56D08298" w14:textId="77777777" w:rsidR="00E90025" w:rsidRDefault="00E90025" w:rsidP="00E00F29">
      <w:pPr>
        <w:pStyle w:val="Nadpistabulky"/>
      </w:pPr>
      <w:r>
        <w:br w:type="page"/>
      </w:r>
    </w:p>
    <w:p w14:paraId="182ED837" w14:textId="2966331A" w:rsidR="00E90025" w:rsidRDefault="00E90025" w:rsidP="002B2022">
      <w:pPr>
        <w:pStyle w:val="Nadpistabulky"/>
        <w:spacing w:after="120"/>
        <w:jc w:val="right"/>
      </w:pPr>
      <w:r w:rsidRPr="00C93395">
        <w:lastRenderedPageBreak/>
        <w:t>Příloha č. 2</w:t>
      </w:r>
    </w:p>
    <w:p w14:paraId="4715E6CE" w14:textId="77777777" w:rsidR="00E90025" w:rsidRDefault="00E90025" w:rsidP="009A7AFD">
      <w:pPr>
        <w:pStyle w:val="KZnormlntun"/>
      </w:pPr>
      <w:r>
        <w:t>Územní dimenze a integrované nástroje</w:t>
      </w:r>
    </w:p>
    <w:p w14:paraId="2E445330" w14:textId="692E399D" w:rsidR="00E90025" w:rsidRDefault="00E90025" w:rsidP="00E90025">
      <w:pPr>
        <w:pStyle w:val="KZnormln"/>
      </w:pPr>
      <w:r>
        <w:t>Územní dimenze představuje možnost koncentrovat prostředky ESIF ve specifických typech území zasažených regionálními disparitami.</w:t>
      </w:r>
      <w:r>
        <w:rPr>
          <w:rStyle w:val="Znakapoznpodarou"/>
        </w:rPr>
        <w:footnoteReference w:id="68"/>
      </w:r>
      <w:r>
        <w:t xml:space="preserve"> Způsob naplňování principů územní dimenze v programech ESIF je zakotven v </w:t>
      </w:r>
      <w:r>
        <w:rPr>
          <w:i/>
        </w:rPr>
        <w:t>Náro</w:t>
      </w:r>
      <w:r w:rsidR="00511D0C">
        <w:rPr>
          <w:i/>
        </w:rPr>
        <w:t>dním dokumentu k územní dimenzi</w:t>
      </w:r>
      <w:r>
        <w:t xml:space="preserve">, jenž navazuje na </w:t>
      </w:r>
      <w:r>
        <w:rPr>
          <w:i/>
        </w:rPr>
        <w:t>Dohodu o partnerství</w:t>
      </w:r>
      <w:r w:rsidR="00216BF0">
        <w:t>.</w:t>
      </w:r>
      <w:r>
        <w:rPr>
          <w:i/>
        </w:rPr>
        <w:t xml:space="preserve"> </w:t>
      </w:r>
      <w:r>
        <w:t>Principy územní dimenze jsou uplatňovány v rámci jejích typů</w:t>
      </w:r>
      <w:r>
        <w:rPr>
          <w:rStyle w:val="Znakapoznpodarou"/>
        </w:rPr>
        <w:footnoteReference w:id="69"/>
      </w:r>
      <w:r>
        <w:t xml:space="preserve">. Jedním z typů územní dimenze jsou integrované nástroje. V českém prostředí jsou </w:t>
      </w:r>
      <w:r w:rsidRPr="007D4479">
        <w:t>realizován</w:t>
      </w:r>
      <w:r>
        <w:t>y</w:t>
      </w:r>
      <w:r w:rsidRPr="007D4479">
        <w:t xml:space="preserve"> </w:t>
      </w:r>
      <w:r>
        <w:t>tři integrované nástroje</w:t>
      </w:r>
      <w:r w:rsidRPr="007D4479">
        <w:t xml:space="preserve"> – </w:t>
      </w:r>
      <w:r w:rsidR="00F47F9F">
        <w:rPr>
          <w:i/>
        </w:rPr>
        <w:t>i</w:t>
      </w:r>
      <w:r w:rsidRPr="007D4479">
        <w:rPr>
          <w:i/>
        </w:rPr>
        <w:t>ntegrované územní investice</w:t>
      </w:r>
      <w:r w:rsidRPr="007D4479">
        <w:t xml:space="preserve"> (ITI</w:t>
      </w:r>
      <w:r>
        <w:t xml:space="preserve">), </w:t>
      </w:r>
      <w:r w:rsidR="00F47F9F">
        <w:rPr>
          <w:i/>
        </w:rPr>
        <w:t>i</w:t>
      </w:r>
      <w:r w:rsidRPr="007D4479">
        <w:rPr>
          <w:i/>
        </w:rPr>
        <w:t>ntegrované plány rozvoje území</w:t>
      </w:r>
      <w:r w:rsidRPr="007D4479">
        <w:t xml:space="preserve"> (IPRÚ</w:t>
      </w:r>
      <w:r>
        <w:t xml:space="preserve">) a </w:t>
      </w:r>
      <w:r w:rsidR="00F47F9F">
        <w:rPr>
          <w:i/>
        </w:rPr>
        <w:t>k</w:t>
      </w:r>
      <w:r w:rsidRPr="007D4479">
        <w:rPr>
          <w:i/>
        </w:rPr>
        <w:t>omunitně vedený místní rozvoj</w:t>
      </w:r>
      <w:r w:rsidRPr="007D4479">
        <w:t xml:space="preserve"> (CLLD</w:t>
      </w:r>
      <w:r>
        <w:rPr>
          <w:rStyle w:val="Znakapoznpodarou"/>
        </w:rPr>
        <w:footnoteReference w:id="70"/>
      </w:r>
      <w:r w:rsidRPr="007D4479">
        <w:t>)</w:t>
      </w:r>
      <w:r>
        <w:t xml:space="preserve">. </w:t>
      </w:r>
    </w:p>
    <w:p w14:paraId="158E1B90" w14:textId="2E5F93B1" w:rsidR="00E90025" w:rsidRDefault="00E90025" w:rsidP="00E90025">
      <w:pPr>
        <w:pStyle w:val="KZnormln"/>
      </w:pPr>
      <w:r w:rsidRPr="00FB7A11">
        <w:t>K jednotnému přístupu pro implementaci územní dimenze byl v rámci jednotného metodického prostředí v gesci MMR zpracován</w:t>
      </w:r>
      <w:r w:rsidR="00E20CC0">
        <w:t xml:space="preserve"> MPIN</w:t>
      </w:r>
      <w:r>
        <w:rPr>
          <w:rStyle w:val="Znakapoznpodarou"/>
        </w:rPr>
        <w:footnoteReference w:id="71"/>
      </w:r>
      <w:r w:rsidR="008D79B1">
        <w:t>. Zpracování a schválení MPIN a </w:t>
      </w:r>
      <w:r w:rsidRPr="00FB7A11">
        <w:t>následná příprava procesů v</w:t>
      </w:r>
      <w:r>
        <w:t xml:space="preserve"> monitorovacím systému </w:t>
      </w:r>
      <w:r w:rsidRPr="00C93395">
        <w:rPr>
          <w:i/>
        </w:rPr>
        <w:t>MS2014+</w:t>
      </w:r>
      <w:r w:rsidRPr="00FB7A11">
        <w:t xml:space="preserve"> byla jednou z příčin pozdního vyhlašování výzev k předkládání žádostí o podporu integrovaných strategií.</w:t>
      </w:r>
    </w:p>
    <w:p w14:paraId="0854D8F0" w14:textId="1EFB8AE3" w:rsidR="00E90025" w:rsidRDefault="00E90025" w:rsidP="009A7AFD">
      <w:pPr>
        <w:pStyle w:val="KZnormln"/>
      </w:pPr>
      <w:r>
        <w:t>Princip partnerství v rámci plnění územní dimenze je zajištěn prostřednictvím platforem, které sdružují hlavní aktéry regionálního rozvoje. Na národní úrovni je ustavena Národní stálá konference</w:t>
      </w:r>
      <w:r w:rsidR="000D33D7">
        <w:t xml:space="preserve"> /NSK/</w:t>
      </w:r>
      <w:r>
        <w:t xml:space="preserve"> a v každém kraji </w:t>
      </w:r>
      <w:r w:rsidR="000D33D7">
        <w:t>r</w:t>
      </w:r>
      <w:r>
        <w:t>egionální stálá konference</w:t>
      </w:r>
      <w:r w:rsidR="000D33D7">
        <w:t xml:space="preserve"> /RSK/</w:t>
      </w:r>
      <w:r>
        <w:t xml:space="preserve">. Hlavním úkolem NSK je zprostředkování dialogu mezi </w:t>
      </w:r>
      <w:r w:rsidR="000D33D7">
        <w:t>ř</w:t>
      </w:r>
      <w:r>
        <w:t>ídicími orgány jednotlivých operačních programů participujících na realizaci územní dimenze a zástupci RSK o aktuálním nastavení a naplňování územní dimenze.</w:t>
      </w:r>
    </w:p>
    <w:p w14:paraId="3A132AC2" w14:textId="098BAAB5" w:rsidR="00E90025" w:rsidRDefault="00E90025" w:rsidP="00E90025">
      <w:pPr>
        <w:pStyle w:val="KZnormln"/>
      </w:pPr>
      <w:r>
        <w:t>Ú</w:t>
      </w:r>
      <w:r w:rsidRPr="00665626">
        <w:t xml:space="preserve">zemní dimenze pro rozvoj měst a jejich zázemí </w:t>
      </w:r>
      <w:r>
        <w:t xml:space="preserve">je prostřednictvím integrovaných nástrojů </w:t>
      </w:r>
      <w:r w:rsidRPr="00665626">
        <w:t xml:space="preserve">směřována do rozvojových území vymezených </w:t>
      </w:r>
      <w:r w:rsidRPr="00665626">
        <w:rPr>
          <w:i/>
        </w:rPr>
        <w:t>Strateg</w:t>
      </w:r>
      <w:r w:rsidR="008D79B1">
        <w:rPr>
          <w:i/>
        </w:rPr>
        <w:t>ií regionálního rozvoje ČR 2014–</w:t>
      </w:r>
      <w:r w:rsidRPr="00665626">
        <w:rPr>
          <w:i/>
        </w:rPr>
        <w:t>2020</w:t>
      </w:r>
      <w:r>
        <w:rPr>
          <w:rStyle w:val="Znakapoznpodarou"/>
          <w:i/>
        </w:rPr>
        <w:footnoteReference w:id="72"/>
      </w:r>
      <w:r>
        <w:t xml:space="preserve">. S využitím nástroje ITI jsou realizovány </w:t>
      </w:r>
      <w:r w:rsidRPr="00665626">
        <w:t>integrované územní investice v metropolitních oblastech a sídelních aglomeracích s koncentrací nad 300 tis</w:t>
      </w:r>
      <w:r w:rsidR="000D33D7">
        <w:t>íc</w:t>
      </w:r>
      <w:r w:rsidRPr="00665626">
        <w:t xml:space="preserve"> </w:t>
      </w:r>
      <w:r>
        <w:t>o</w:t>
      </w:r>
      <w:r w:rsidRPr="00665626">
        <w:t xml:space="preserve">byvatel. Těmito metropolitními oblastmi jsou největší města v ČR (Praha, Brno, Ostrava, Plzeň) a dále </w:t>
      </w:r>
      <w:r>
        <w:t xml:space="preserve">jsou </w:t>
      </w:r>
      <w:r w:rsidRPr="00665626">
        <w:t>k</w:t>
      </w:r>
      <w:r w:rsidR="000D33D7">
        <w:t> </w:t>
      </w:r>
      <w:r w:rsidRPr="00665626">
        <w:t xml:space="preserve">nim </w:t>
      </w:r>
      <w:r>
        <w:t>přiřazeny</w:t>
      </w:r>
      <w:r w:rsidR="008D79B1">
        <w:t xml:space="preserve"> z </w:t>
      </w:r>
      <w:r w:rsidRPr="00665626">
        <w:t>hlediska koncentrace obyvatelstva (nad 300 tis</w:t>
      </w:r>
      <w:r w:rsidR="000D33D7">
        <w:t>íc</w:t>
      </w:r>
      <w:r w:rsidRPr="00665626">
        <w:t xml:space="preserve"> obyvatel) a určité části společ</w:t>
      </w:r>
      <w:r w:rsidR="008D79B1">
        <w:t>ných problémů</w:t>
      </w:r>
      <w:r w:rsidR="000D33D7">
        <w:t xml:space="preserve"> </w:t>
      </w:r>
      <w:r>
        <w:t xml:space="preserve">i oblasti </w:t>
      </w:r>
      <w:proofErr w:type="spellStart"/>
      <w:r w:rsidR="000D33D7">
        <w:t>ú</w:t>
      </w:r>
      <w:r>
        <w:t>stecko</w:t>
      </w:r>
      <w:proofErr w:type="spellEnd"/>
      <w:r>
        <w:t> </w:t>
      </w:r>
      <w:r w:rsidRPr="00665626">
        <w:t>–</w:t>
      </w:r>
      <w:r>
        <w:t> </w:t>
      </w:r>
      <w:r w:rsidR="000D33D7">
        <w:t>c</w:t>
      </w:r>
      <w:r>
        <w:t>homutovské</w:t>
      </w:r>
      <w:r w:rsidR="000D33D7">
        <w:t xml:space="preserve"> </w:t>
      </w:r>
      <w:r w:rsidRPr="00665626">
        <w:t>aglomer</w:t>
      </w:r>
      <w:r>
        <w:t xml:space="preserve">ace, </w:t>
      </w:r>
      <w:proofErr w:type="spellStart"/>
      <w:r w:rsidR="000D33D7">
        <w:t>h</w:t>
      </w:r>
      <w:r>
        <w:t>radecko</w:t>
      </w:r>
      <w:proofErr w:type="spellEnd"/>
      <w:r>
        <w:t> </w:t>
      </w:r>
      <w:r w:rsidRPr="00665626">
        <w:t>–</w:t>
      </w:r>
      <w:r>
        <w:t> </w:t>
      </w:r>
      <w:r w:rsidR="000D33D7">
        <w:t>p</w:t>
      </w:r>
      <w:r w:rsidRPr="00665626">
        <w:t xml:space="preserve">ardubické </w:t>
      </w:r>
      <w:r w:rsidRPr="00665626">
        <w:lastRenderedPageBreak/>
        <w:t>aglomerace a</w:t>
      </w:r>
      <w:r w:rsidR="008D79B1">
        <w:t> </w:t>
      </w:r>
      <w:r w:rsidR="000D33D7">
        <w:t>o</w:t>
      </w:r>
      <w:r w:rsidRPr="00665626">
        <w:t>lomoucké aglomerace.</w:t>
      </w:r>
      <w:r>
        <w:t xml:space="preserve"> Celkově se v nich </w:t>
      </w:r>
      <w:r w:rsidRPr="00E266E7">
        <w:t>sdružuje 22 % obcí ČR, kde žije téměř 50</w:t>
      </w:r>
      <w:r>
        <w:t> </w:t>
      </w:r>
      <w:r w:rsidRPr="00E266E7">
        <w:t>% obyvatel na území, které zaujímá přibližně 1</w:t>
      </w:r>
      <w:r>
        <w:t xml:space="preserve">9 % rozlohy ČR (viz schéma č. </w:t>
      </w:r>
      <w:r w:rsidR="004E5683">
        <w:t>4</w:t>
      </w:r>
      <w:r w:rsidRPr="00E266E7">
        <w:t>)</w:t>
      </w:r>
      <w:r>
        <w:t>.</w:t>
      </w:r>
    </w:p>
    <w:p w14:paraId="43FCF28B" w14:textId="3A532966" w:rsidR="00E90025" w:rsidRDefault="00E90025" w:rsidP="00E90025">
      <w:pPr>
        <w:pStyle w:val="Nadpistabulky"/>
      </w:pPr>
      <w:r>
        <w:t>Schéma</w:t>
      </w:r>
      <w:r w:rsidRPr="00E266E7">
        <w:t xml:space="preserve"> č. </w:t>
      </w:r>
      <w:r w:rsidR="004E5683">
        <w:t>4</w:t>
      </w:r>
      <w:r w:rsidRPr="00E266E7">
        <w:t>:</w:t>
      </w:r>
      <w:r w:rsidRPr="00E266E7">
        <w:tab/>
      </w:r>
      <w:r>
        <w:t>Integrované územní inve</w:t>
      </w:r>
      <w:r w:rsidR="00C12F0A">
        <w:t>stice v programovém období 2014–</w:t>
      </w:r>
      <w:r>
        <w:t>2020</w:t>
      </w:r>
    </w:p>
    <w:p w14:paraId="59F18ED1" w14:textId="77777777" w:rsidR="00E90025" w:rsidRDefault="00E90025" w:rsidP="00E90025">
      <w:pPr>
        <w:pStyle w:val="Nadpistabulky"/>
      </w:pPr>
      <w:r>
        <w:rPr>
          <w:noProof/>
          <w:lang w:eastAsia="cs-CZ"/>
        </w:rPr>
        <w:drawing>
          <wp:inline distT="0" distB="0" distL="0" distR="0" wp14:anchorId="6E8DDEE2" wp14:editId="53AC7A90">
            <wp:extent cx="5760720" cy="5101590"/>
            <wp:effectExtent l="0" t="0" r="0" b="381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-ITI uzemi_Kreslicí plátno 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DD57" w14:textId="0C9965A6" w:rsidR="00E90025" w:rsidRPr="00E266E7" w:rsidRDefault="00E90025" w:rsidP="00E90025">
      <w:pPr>
        <w:pStyle w:val="KZnormln"/>
        <w:keepNext/>
        <w:spacing w:after="0"/>
        <w:ind w:left="567" w:hanging="567"/>
        <w:rPr>
          <w:sz w:val="20"/>
          <w:szCs w:val="20"/>
        </w:rPr>
      </w:pPr>
      <w:r w:rsidRPr="00E266E7">
        <w:rPr>
          <w:b/>
          <w:sz w:val="20"/>
          <w:szCs w:val="20"/>
        </w:rPr>
        <w:t>Zdroj:</w:t>
      </w:r>
      <w:r w:rsidR="00000EAC">
        <w:rPr>
          <w:sz w:val="20"/>
          <w:szCs w:val="20"/>
        </w:rPr>
        <w:t xml:space="preserve"> </w:t>
      </w:r>
      <w:r w:rsidR="00000EAC">
        <w:rPr>
          <w:sz w:val="20"/>
          <w:szCs w:val="20"/>
        </w:rPr>
        <w:tab/>
        <w:t>i</w:t>
      </w:r>
      <w:r w:rsidRPr="00E266E7">
        <w:rPr>
          <w:sz w:val="20"/>
          <w:szCs w:val="20"/>
        </w:rPr>
        <w:t>ntegrované strategie.</w:t>
      </w:r>
    </w:p>
    <w:p w14:paraId="73381E48" w14:textId="77777777" w:rsidR="00E90025" w:rsidRPr="00E266E7" w:rsidRDefault="00E90025" w:rsidP="00E90025">
      <w:pPr>
        <w:pStyle w:val="KZnormln"/>
        <w:spacing w:after="0"/>
        <w:ind w:left="567" w:right="425" w:hanging="567"/>
        <w:rPr>
          <w:sz w:val="20"/>
          <w:szCs w:val="20"/>
        </w:rPr>
      </w:pPr>
      <w:r w:rsidRPr="00E266E7">
        <w:rPr>
          <w:b/>
          <w:sz w:val="20"/>
          <w:szCs w:val="20"/>
        </w:rPr>
        <w:t>Pozn.:</w:t>
      </w:r>
      <w:r w:rsidRPr="00E266E7">
        <w:rPr>
          <w:sz w:val="20"/>
          <w:szCs w:val="20"/>
        </w:rPr>
        <w:t xml:space="preserve"> </w:t>
      </w:r>
      <w:r w:rsidRPr="00E266E7">
        <w:rPr>
          <w:sz w:val="20"/>
          <w:szCs w:val="20"/>
        </w:rPr>
        <w:tab/>
        <w:t>Údaje za celou ČR jsou k 31. 12. 2014: počet obcí = 6 253, počet obyvatel = 10 512 419, rozloha = 78 867,07 km</w:t>
      </w:r>
      <w:r w:rsidRPr="00EB0209">
        <w:rPr>
          <w:sz w:val="20"/>
          <w:szCs w:val="20"/>
          <w:vertAlign w:val="superscript"/>
        </w:rPr>
        <w:t>2</w:t>
      </w:r>
      <w:r w:rsidRPr="00E266E7">
        <w:rPr>
          <w:sz w:val="20"/>
          <w:szCs w:val="20"/>
        </w:rPr>
        <w:t>.</w:t>
      </w:r>
    </w:p>
    <w:p w14:paraId="3ED16F1F" w14:textId="4F4F903B" w:rsidR="00E90025" w:rsidRDefault="00E90025" w:rsidP="002B2022">
      <w:pPr>
        <w:pStyle w:val="KZnormln"/>
        <w:spacing w:before="120"/>
      </w:pPr>
      <w:r>
        <w:t xml:space="preserve">V každé metropolitní oblasti a sídelní aglomeraci je určeno jádrové město, které je </w:t>
      </w:r>
      <w:r w:rsidR="000D33D7">
        <w:t>n</w:t>
      </w:r>
      <w:r>
        <w:t>ositelem integrované strategie ITI. Nositel integrované strategie ITI je zodpovědný za přípravu integrované strategie, její plnění prostřednictvím integrov</w:t>
      </w:r>
      <w:r w:rsidR="00C12F0A">
        <w:t>aných projektů, vyhodnocování a </w:t>
      </w:r>
      <w:r>
        <w:t xml:space="preserve">monitoring. Statutární města čtyř metropolitních oblastí a tří sídelních aglomerací provádí výkon funkce </w:t>
      </w:r>
      <w:r w:rsidR="000D33D7">
        <w:t>z</w:t>
      </w:r>
      <w:r>
        <w:t>prostředkujícího subjektu na základě veřejnoprávní smlouvy uzavřené s </w:t>
      </w:r>
      <w:r w:rsidR="000D33D7">
        <w:t>ř</w:t>
      </w:r>
      <w:r>
        <w:t xml:space="preserve">ídicími orgány příslušných operačních programů, </w:t>
      </w:r>
      <w:r w:rsidR="000D33D7">
        <w:t xml:space="preserve">tedy </w:t>
      </w:r>
      <w:r>
        <w:t>v případě IROP s MMR.</w:t>
      </w:r>
    </w:p>
    <w:p w14:paraId="03A0D361" w14:textId="45CAAEF9" w:rsidR="00E90025" w:rsidRDefault="00E90025" w:rsidP="00C27586">
      <w:pPr>
        <w:pStyle w:val="KZnormln"/>
      </w:pPr>
      <w:r>
        <w:t>M</w:t>
      </w:r>
      <w:r w:rsidRPr="002D2F46">
        <w:t xml:space="preserve">imo správní strukturu jádrového města </w:t>
      </w:r>
      <w:r>
        <w:t xml:space="preserve">metropolitní oblasti a sídelní aglomerace je zřízen </w:t>
      </w:r>
      <w:r w:rsidR="002A70F4">
        <w:t>ř</w:t>
      </w:r>
      <w:r w:rsidRPr="002D2F46">
        <w:t xml:space="preserve">ídící výbor ITI jako nezávislá platforma bez právní subjektivity. Zajišťuje řádný průběh realizace </w:t>
      </w:r>
      <w:r w:rsidR="002A70F4">
        <w:t>s</w:t>
      </w:r>
      <w:r w:rsidRPr="002D2F46">
        <w:t xml:space="preserve">trategie ITI zejména tím, že projednává soulad projektových záměrů se </w:t>
      </w:r>
      <w:r w:rsidR="002A70F4">
        <w:t>s</w:t>
      </w:r>
      <w:r w:rsidRPr="002D2F46">
        <w:t xml:space="preserve">trategií ITI. Dále projednává a schvaluje změny </w:t>
      </w:r>
      <w:r w:rsidR="002A70F4">
        <w:t>s</w:t>
      </w:r>
      <w:r w:rsidRPr="002D2F46">
        <w:t xml:space="preserve">trategie ITI. Byl vytvořen na principu partnerství mezi subjekty, které působí na území </w:t>
      </w:r>
      <w:r>
        <w:t xml:space="preserve">vymezeného pro implementaci </w:t>
      </w:r>
      <w:r w:rsidR="002A70F4">
        <w:t>s</w:t>
      </w:r>
      <w:r>
        <w:t>trategie ITI</w:t>
      </w:r>
      <w:r w:rsidRPr="002D2F46">
        <w:t>.</w:t>
      </w:r>
    </w:p>
    <w:p w14:paraId="4BD9DEEB" w14:textId="77777777" w:rsidR="00E90025" w:rsidRDefault="00E90025" w:rsidP="00E00F29">
      <w:pPr>
        <w:pStyle w:val="Nadpistabulky"/>
        <w:sectPr w:rsidR="00E90025" w:rsidSect="00B81EE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0049BD6F" w14:textId="77614DD0" w:rsidR="00432489" w:rsidRDefault="00432489" w:rsidP="00432489">
      <w:pPr>
        <w:pStyle w:val="Nadpistabulky"/>
        <w:jc w:val="right"/>
      </w:pPr>
      <w:r w:rsidRPr="009D5DFE">
        <w:lastRenderedPageBreak/>
        <w:t xml:space="preserve">Příloha č. </w:t>
      </w:r>
      <w:r w:rsidR="00E90025" w:rsidRPr="009D5DFE">
        <w:t>3</w:t>
      </w:r>
    </w:p>
    <w:p w14:paraId="7C169932" w14:textId="16EE61FF" w:rsidR="009E0500" w:rsidRDefault="009E0500" w:rsidP="002B2022">
      <w:pPr>
        <w:pStyle w:val="KZnormlntun"/>
        <w:tabs>
          <w:tab w:val="right" w:pos="14002"/>
        </w:tabs>
      </w:pPr>
      <w:r w:rsidRPr="005E477C">
        <w:t>Přehled kontrolovaných projektů prioritní o</w:t>
      </w:r>
      <w:r>
        <w:t>sy 1</w:t>
      </w:r>
      <w:r w:rsidRPr="005E477C">
        <w:t xml:space="preserve"> </w:t>
      </w:r>
      <w:r w:rsidRPr="00F61353">
        <w:rPr>
          <w:i/>
        </w:rPr>
        <w:t>Integrovaného regionálního operačního programu</w:t>
      </w:r>
      <w:r w:rsidRPr="005E477C">
        <w:t xml:space="preserve"> </w:t>
      </w:r>
      <w:r w:rsidR="00F20533">
        <w:tab/>
      </w:r>
      <w:r w:rsidRPr="005E477C">
        <w:t>(v Kč)</w:t>
      </w:r>
    </w:p>
    <w:tbl>
      <w:tblPr>
        <w:tblW w:w="14175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113"/>
        <w:gridCol w:w="1843"/>
        <w:gridCol w:w="1289"/>
        <w:gridCol w:w="1276"/>
        <w:gridCol w:w="1134"/>
        <w:gridCol w:w="1276"/>
        <w:gridCol w:w="1275"/>
        <w:gridCol w:w="1134"/>
      </w:tblGrid>
      <w:tr w:rsidR="009E0500" w:rsidRPr="006235C7" w14:paraId="44341403" w14:textId="77777777" w:rsidTr="00380840">
        <w:trPr>
          <w:trHeight w:val="300"/>
          <w:tblHeader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0A000EE0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Registrační číslo projektu</w:t>
            </w:r>
          </w:p>
        </w:tc>
        <w:tc>
          <w:tcPr>
            <w:tcW w:w="2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3F4756A8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Název projektu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2ED4361C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Příjemce podpory</w:t>
            </w:r>
          </w:p>
        </w:tc>
        <w:tc>
          <w:tcPr>
            <w:tcW w:w="369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1E2CAA2A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Výše dotace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3288C681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Kontrolovaný objem</w:t>
            </w:r>
          </w:p>
        </w:tc>
      </w:tr>
      <w:tr w:rsidR="009E0500" w:rsidRPr="006235C7" w14:paraId="0943DADD" w14:textId="77777777" w:rsidTr="00380840">
        <w:trPr>
          <w:trHeight w:val="276"/>
          <w:tblHeader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08611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53FEE2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661397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160A92DA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2EB06693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Zdroje EU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405BE3C7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Zdroje SR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203E22FC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Celkem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0AD0E149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Zdroje EU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0A5F68CB" w14:textId="77777777" w:rsidR="009E0500" w:rsidRPr="006235C7" w:rsidRDefault="009E0500" w:rsidP="0038084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Zdroje SR</w:t>
            </w:r>
          </w:p>
        </w:tc>
      </w:tr>
      <w:tr w:rsidR="009E0500" w:rsidRPr="006235C7" w14:paraId="510127F6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FFCB9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CZ.06.1.37/0.0/0.0/16_022/0001659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EEDAB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Udržitelná veřejná doprava 2016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09642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Dopravní podnik měst Chomutova a Jirkova a.s.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1335A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159 257 246,95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BC13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159 257 246,95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901353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247C4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158 692 770,45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C82AB5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158 692 770,45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B2902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64F7AA9C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6FA7C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CZ.06.1.37/0.0/0.0/16_045/0005093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43306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Nákup </w:t>
            </w:r>
            <w:proofErr w:type="spellStart"/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nízkoemisních</w:t>
            </w:r>
            <w:proofErr w:type="spellEnd"/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vozidel pro MAD v Děčíně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4E10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Dopravní podnik města Děčína, a.s.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D9068" w14:textId="77777777" w:rsidR="009E0500" w:rsidRPr="006235C7" w:rsidRDefault="009E0500" w:rsidP="00C6678F">
            <w:pPr>
              <w:ind w:left="-71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111 033 120,00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9C265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111 033 120,00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363A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2B1AA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111 013 000,50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6C93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111 013 000,50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1D93C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42756F87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91E62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CZ.06.1.37/0.0/0.0/16_045/0006867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44CE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Nákup nízkopodlažních trolejbusů pro MHD v Plzni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7D4F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Plzeňské městské dopravní podniky, a.s.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E71DCF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182 587 650,00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F6D6F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182 587 650,00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60FFE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066DB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180 725 132,12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6A26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180 725 132,12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0D76D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2E1580EB" w14:textId="77777777" w:rsidTr="00380840">
        <w:trPr>
          <w:trHeight w:val="82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45C7F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CZ.06.1.37/0.0/0.0/16_025/0001463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2E6F" w14:textId="4E9F5822" w:rsidR="009E0500" w:rsidRPr="006235C7" w:rsidRDefault="009E0500" w:rsidP="00C324A1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Zvýšení kvality dopravy v</w:t>
            </w:r>
            <w:r w:rsidR="00380840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Plzeňském kraji </w:t>
            </w:r>
            <w:r w:rsidR="00C324A1">
              <w:rPr>
                <w:rFonts w:ascii="Calibri" w:hAnsi="Calibri" w:cs="Calibri"/>
                <w:color w:val="000000"/>
                <w:sz w:val="18"/>
                <w:szCs w:val="18"/>
              </w:rPr>
              <w:t>–</w:t>
            </w: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rozvoj systému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17F1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Plzeňský kraj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23431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11 582 417,70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92C1F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10 938 950,05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E5F8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643 467,65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0395B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11 296 578,15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32EAD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10 668 990,48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2683B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627 587,67</w:t>
            </w:r>
          </w:p>
        </w:tc>
      </w:tr>
      <w:tr w:rsidR="009E0500" w:rsidRPr="006235C7" w14:paraId="2C21C4F5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F76EA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CZ.06.1.37/0.0/0.0/16_029/0001890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1A3AF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Dopravní terminál Strakonice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13EA7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ČSAD STTRANS a.s.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D4A7B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42 499 999,98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F4B44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42 499 999,98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74FD5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EA04F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25 082 827,70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8A8F9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25 082 827,70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B7541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1696E1E8" w14:textId="77777777" w:rsidTr="00380840">
        <w:trPr>
          <w:trHeight w:val="82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DB350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CZ.06.1.37/0.0/0.0/16_022/0001329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C268" w14:textId="6298303D" w:rsidR="009E0500" w:rsidRPr="006235C7" w:rsidRDefault="009E0500" w:rsidP="00C324A1">
            <w:pPr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6235C7">
              <w:rPr>
                <w:rFonts w:ascii="Calibri" w:hAnsi="Calibri" w:cs="Calibri"/>
                <w:sz w:val="18"/>
                <w:szCs w:val="18"/>
              </w:rPr>
              <w:t xml:space="preserve">Nákup 11 nízkopodlažních cyklicky dobíjených </w:t>
            </w:r>
            <w:proofErr w:type="spellStart"/>
            <w:r w:rsidRPr="006235C7">
              <w:rPr>
                <w:rFonts w:ascii="Calibri" w:hAnsi="Calibri" w:cs="Calibri"/>
                <w:sz w:val="18"/>
                <w:szCs w:val="18"/>
              </w:rPr>
              <w:t>elektrobusů</w:t>
            </w:r>
            <w:proofErr w:type="spellEnd"/>
            <w:r w:rsidRPr="006235C7">
              <w:rPr>
                <w:rFonts w:ascii="Calibri" w:hAnsi="Calibri" w:cs="Calibri"/>
                <w:sz w:val="18"/>
                <w:szCs w:val="18"/>
              </w:rPr>
              <w:t xml:space="preserve"> v roce 2017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2C80E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6235C7">
              <w:rPr>
                <w:rFonts w:ascii="Calibri" w:hAnsi="Calibri" w:cs="Calibri"/>
                <w:sz w:val="18"/>
                <w:szCs w:val="18"/>
              </w:rPr>
              <w:t>Dopravní podnik města České Budějovice, a.s.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01845F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119 101 762,00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400EB2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119 101 762,00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0A8DE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B1D33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117 440 632,50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BEB1F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117 440 632,50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7C395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54134896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52C4B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CZ.06.1.37/0.0/0.0/16_022/0001390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0F6C4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Pořízení bezemisních vozidel pro účely veřejné dopravy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7758C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Dopravní podnik města Hradce Králové, a.s.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56C7B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153 055 250,00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F5E7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153 055 250,00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79C0D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A67A1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149 763 838,00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65B3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149 763 838,00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60AA7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3BF379C3" w14:textId="77777777" w:rsidTr="00380840">
        <w:trPr>
          <w:trHeight w:val="1104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48AE0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CZ.06.1.37/0.0/0.0/16_045/0007421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05877" w14:textId="7E9C3D16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Pořízení 6 ks trolejbusů s</w:t>
            </w:r>
            <w:r w:rsidR="00380840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pomocným bateriovým pohonem pro účely veřejné dopravy v Hradci Králové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EA3B3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AEC09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61 200 000,00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DDF3A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61 200 000,00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97243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14509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61 200 000,00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25C29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61 200 000,00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66E54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7B54EFEF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3013D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CZ.06.1.37/0.0/0.0/16_029/0001858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33B01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Modernizace přestupního terminálu v Kolíně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77E5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Město Kolín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36090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44 801 222,37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C3C0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42 312 265,57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75F24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2 488 956,80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99AF5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30 838 621,50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A694B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29 125 364,75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641BE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1 713 256,75</w:t>
            </w:r>
          </w:p>
        </w:tc>
      </w:tr>
      <w:tr w:rsidR="009E0500" w:rsidRPr="006235C7" w14:paraId="147D8612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5A2D5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CZ.06.1.37/0.0/0.0/16_022/0000773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4745D" w14:textId="358D7AAD" w:rsidR="009E0500" w:rsidRPr="006235C7" w:rsidRDefault="009E0500" w:rsidP="00C324A1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Nákup CNG autobusů pro MHD Brno </w:t>
            </w:r>
            <w:r w:rsidR="00C324A1">
              <w:rPr>
                <w:rFonts w:ascii="Calibri" w:hAnsi="Calibri" w:cs="Calibri"/>
                <w:color w:val="000000"/>
                <w:sz w:val="18"/>
                <w:szCs w:val="18"/>
              </w:rPr>
              <w:t>–</w:t>
            </w: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II. etapa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C2FE" w14:textId="26D2F32C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Dopravní podnik města Brna,</w:t>
            </w:r>
            <w:r w:rsidR="00C324A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a.s.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354E63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167 393 900,00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CE3B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167 393 900,00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889C59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2FD5E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167 369 802,50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EBC83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167 369 802,50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2E4BA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6B36639C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D137E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CZ.06.1.37/0.0/0.0/16_022/0000799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19007" w14:textId="795E2B7A" w:rsidR="009E0500" w:rsidRPr="006235C7" w:rsidRDefault="009E0500" w:rsidP="00C324A1">
            <w:pPr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6235C7">
              <w:rPr>
                <w:rFonts w:ascii="Calibri" w:hAnsi="Calibri" w:cs="Calibri"/>
                <w:sz w:val="18"/>
                <w:szCs w:val="18"/>
              </w:rPr>
              <w:t xml:space="preserve">Nákup CNG autobusů pro MHD Brno </w:t>
            </w:r>
            <w:r w:rsidR="00C324A1">
              <w:rPr>
                <w:rFonts w:ascii="Calibri" w:hAnsi="Calibri" w:cs="Calibri"/>
                <w:sz w:val="18"/>
                <w:szCs w:val="18"/>
              </w:rPr>
              <w:t>–</w:t>
            </w:r>
            <w:r w:rsidRPr="006235C7">
              <w:rPr>
                <w:rFonts w:ascii="Calibri" w:hAnsi="Calibri" w:cs="Calibri"/>
                <w:sz w:val="18"/>
                <w:szCs w:val="18"/>
              </w:rPr>
              <w:t xml:space="preserve"> III. etapa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F52C9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78E69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73 967 000,00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F1E20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73 967 000,00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36C2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F89BF7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73 959 350,00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40202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73 959 350,00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DF82C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637E770B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83748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CZ.06.1.37/0.0/0.0/16_025/0001481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D964F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sz w:val="18"/>
                <w:szCs w:val="18"/>
              </w:rPr>
            </w:pPr>
            <w:r w:rsidRPr="006235C7">
              <w:rPr>
                <w:rFonts w:ascii="Calibri" w:hAnsi="Calibri" w:cs="Calibri"/>
                <w:sz w:val="18"/>
                <w:szCs w:val="18"/>
              </w:rPr>
              <w:t>Elektronické informační panely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BFD4F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1AAC5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21 024 495,00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C13723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21 024 495,00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CFEF2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D83D3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8 540 525,12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6FD82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8 540 525,12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8457C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61073137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9C867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CZ.06.1.37/0.0/0.0/16_045/0004399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9BE01" w14:textId="466F297D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Nákup nízkopodlažní</w:t>
            </w:r>
            <w:r w:rsidR="00C324A1">
              <w:rPr>
                <w:rFonts w:ascii="Calibri" w:hAnsi="Calibri" w:cs="Calibri"/>
                <w:color w:val="000000"/>
                <w:sz w:val="18"/>
                <w:szCs w:val="18"/>
              </w:rPr>
              <w:t>ch</w:t>
            </w: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trolejbusů pro MHD v Brně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B1B1C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BC67A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79 999 960,00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A3733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79 999 960,00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46330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E031A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79 999 960,00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9CE0A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79 999 960,00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24E6B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32C5A1B0" w14:textId="77777777" w:rsidTr="00380840">
        <w:trPr>
          <w:trHeight w:val="82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FCB8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CZ.06.1.37/0.0/0.0/16_025/0001180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14B5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Zavedení TELEMATIKY ve společnosti ČSAD Havířov a.s.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32F4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ČSAD Havířov a.s.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F99442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10 699 498,03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964BE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10 699 498,03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AB2C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94965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9 891 490,80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17E1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9 891 490,80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DED607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73008903" w14:textId="77777777" w:rsidTr="00380840">
        <w:trPr>
          <w:trHeight w:val="828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899ED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CZ.06.1.37/0.0/0.0/16_045/0005669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613C2" w14:textId="4C9829B5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Pořízení </w:t>
            </w:r>
            <w:proofErr w:type="spellStart"/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nízkoemisních</w:t>
            </w:r>
            <w:proofErr w:type="spellEnd"/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</w:t>
            </w:r>
            <w:r w:rsidR="00380840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bezemisních vozidel pro MHD Havířov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0BA37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74A76D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79 007 925,00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7B319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79 007 925,00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EB041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C9649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77 460 499,52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E6535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77 460 499,52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D714D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6FD07177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52376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CZ.06.1.37/0.0/0.0/16_045/0007419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E4AF2" w14:textId="2FBC8242" w:rsidR="009E0500" w:rsidRPr="006235C7" w:rsidRDefault="009E0500" w:rsidP="00C324A1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ITI </w:t>
            </w:r>
            <w:r w:rsidR="00C324A1">
              <w:rPr>
                <w:rFonts w:ascii="Calibri" w:hAnsi="Calibri" w:cs="Calibri"/>
                <w:color w:val="000000"/>
                <w:sz w:val="18"/>
                <w:szCs w:val="18"/>
              </w:rPr>
              <w:t>–</w:t>
            </w: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Obnova vozového parku MHD v DPO V.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E011A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Dopravní podnik Ostrava a.s.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D1E74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171 581 464,95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64A70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171 581 464,95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2A617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AC6DB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170 065 798,46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B74D4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170 065 798,46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DEED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73157D1F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763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CZ.06.1.37/0.0/0.0/16_022/0001234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6DCD6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Nákup bezemisních vozidel pro MHD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2B63C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Dopravní podnik města Olomouce, a.s.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61A5B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164 012 600,00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DD78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164 012 600,00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1E793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DDF92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36 694 500,00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6D6D5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36 694 500,00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C6758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671ADCF4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E0C85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CZ.06.1.37/0.0/0.0/16_045/0005148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0058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Nákup modernizovaných tramvají pro MHD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0E205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BC08A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32 190 350,00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66F77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32 190 350,00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EC91F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6A080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31 823 014,50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F81A19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31 823 014,50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E3BDA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0,00</w:t>
            </w:r>
          </w:p>
        </w:tc>
      </w:tr>
      <w:tr w:rsidR="009E0500" w:rsidRPr="006235C7" w14:paraId="2F4D1A8B" w14:textId="77777777" w:rsidTr="00380840">
        <w:trPr>
          <w:trHeight w:val="552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B76C7" w14:textId="77777777" w:rsidR="009E0500" w:rsidRPr="006235C7" w:rsidRDefault="009E0500" w:rsidP="00C6678F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CZ.06.1.37/0.0/0.0/16_045/0003328</w:t>
            </w:r>
          </w:p>
        </w:tc>
        <w:tc>
          <w:tcPr>
            <w:tcW w:w="2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8669E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Revitalizace autobusového nádraží v Mohelnici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8952" w14:textId="77777777" w:rsidR="009E0500" w:rsidRPr="006235C7" w:rsidRDefault="009E0500" w:rsidP="00380840">
            <w:pPr>
              <w:jc w:val="lef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Město Mohelnice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20B66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52 846 005,87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BFE3B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49 910 116,65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74DD6D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2 935 889,22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F56B8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48 835 575,95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EAC8F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46 122 488,40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EAA03" w14:textId="77777777" w:rsidR="009E0500" w:rsidRPr="006235C7" w:rsidRDefault="009E0500" w:rsidP="00C6678F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6235C7">
              <w:rPr>
                <w:rFonts w:ascii="Calibri" w:hAnsi="Calibri" w:cs="Calibri"/>
                <w:color w:val="000000"/>
                <w:sz w:val="18"/>
                <w:szCs w:val="18"/>
              </w:rPr>
              <w:t>2 713 087,55</w:t>
            </w:r>
          </w:p>
        </w:tc>
      </w:tr>
    </w:tbl>
    <w:p w14:paraId="3C001E3D" w14:textId="77777777" w:rsidR="00495FA5" w:rsidRDefault="009E0500" w:rsidP="00380840">
      <w:pPr>
        <w:spacing w:before="40" w:after="0" w:line="240" w:lineRule="auto"/>
        <w:ind w:left="2835" w:hanging="2835"/>
        <w:sectPr w:rsidR="00495FA5" w:rsidSect="00B81EEC">
          <w:pgSz w:w="16838" w:h="11906" w:orient="landscape"/>
          <w:pgMar w:top="1276" w:right="1418" w:bottom="1418" w:left="1418" w:header="709" w:footer="709" w:gutter="0"/>
          <w:cols w:space="708"/>
          <w:docGrid w:linePitch="360"/>
        </w:sectPr>
      </w:pPr>
      <w:r w:rsidRPr="006E3519">
        <w:rPr>
          <w:rFonts w:cstheme="minorHAnsi"/>
          <w:b/>
          <w:sz w:val="20"/>
          <w:szCs w:val="20"/>
        </w:rPr>
        <w:t>Zdroj:</w:t>
      </w:r>
      <w:r>
        <w:rPr>
          <w:rFonts w:cstheme="minorHAnsi"/>
          <w:sz w:val="20"/>
          <w:szCs w:val="20"/>
        </w:rPr>
        <w:t xml:space="preserve"> vydaná rozhodnutí o poskytnutí dotace.</w:t>
      </w:r>
    </w:p>
    <w:p w14:paraId="6B94D888" w14:textId="21B22B64" w:rsidR="00432489" w:rsidRPr="00432489" w:rsidRDefault="00432489" w:rsidP="00432489">
      <w:pPr>
        <w:pStyle w:val="KZnormlntun"/>
        <w:jc w:val="right"/>
        <w:rPr>
          <w:b w:val="0"/>
        </w:rPr>
      </w:pPr>
      <w:r w:rsidRPr="009D5DFE">
        <w:lastRenderedPageBreak/>
        <w:t>Příloha</w:t>
      </w:r>
      <w:r w:rsidR="00DA2129" w:rsidRPr="009D5DFE">
        <w:t xml:space="preserve"> č. 4</w:t>
      </w:r>
    </w:p>
    <w:p w14:paraId="6DFA47AD" w14:textId="754628DA" w:rsidR="00C53049" w:rsidRDefault="00C53049" w:rsidP="00380840">
      <w:pPr>
        <w:pStyle w:val="KZnormlntun"/>
        <w:jc w:val="center"/>
      </w:pPr>
      <w:r>
        <w:t>Analýza cílů deklarovaných příjemci v kontrolovaných projektech ve vazbě na dílčí cíle stanovené v SC 1.2 IROP</w:t>
      </w:r>
    </w:p>
    <w:p w14:paraId="359CA073" w14:textId="32A7D19A" w:rsidR="00C53049" w:rsidRPr="00C53049" w:rsidRDefault="00C53049" w:rsidP="009D6467">
      <w:pPr>
        <w:pStyle w:val="Zkladn"/>
      </w:pPr>
      <w:r w:rsidRPr="00C53049">
        <w:t>V </w:t>
      </w:r>
      <w:r w:rsidR="00CC3A03">
        <w:t>p</w:t>
      </w:r>
      <w:r w:rsidRPr="00C53049">
        <w:t xml:space="preserve">rogramovém dokumentu IROP schváleném Evropskou komisí dne 4. 6. 2015 byly v rámci specifického cíle 1.2 </w:t>
      </w:r>
      <w:r w:rsidRPr="009D5DFE">
        <w:rPr>
          <w:i/>
        </w:rPr>
        <w:t>Zvýšení podílu udržitelných forem dopravy</w:t>
      </w:r>
      <w:r w:rsidRPr="00C53049">
        <w:t xml:space="preserve"> stanoveny následující dílčí cíle:</w:t>
      </w:r>
    </w:p>
    <w:p w14:paraId="54C42522" w14:textId="77777777" w:rsidR="00C53049" w:rsidRPr="00C53049" w:rsidRDefault="00C53049" w:rsidP="00380840">
      <w:pPr>
        <w:numPr>
          <w:ilvl w:val="0"/>
          <w:numId w:val="37"/>
        </w:numPr>
        <w:spacing w:after="0" w:line="240" w:lineRule="auto"/>
        <w:ind w:left="284" w:hanging="284"/>
        <w:jc w:val="left"/>
        <w:rPr>
          <w:rFonts w:eastAsia="Times New Roman" w:cstheme="minorHAnsi"/>
        </w:rPr>
      </w:pPr>
      <w:r w:rsidRPr="00C53049">
        <w:rPr>
          <w:rFonts w:eastAsia="Times New Roman" w:cstheme="minorHAnsi"/>
        </w:rPr>
        <w:t xml:space="preserve">posílit přepravní výkony veřejné dopravy, </w:t>
      </w:r>
    </w:p>
    <w:p w14:paraId="03D15C87" w14:textId="77777777" w:rsidR="00C53049" w:rsidRPr="00C53049" w:rsidRDefault="00C53049" w:rsidP="00380840">
      <w:pPr>
        <w:numPr>
          <w:ilvl w:val="0"/>
          <w:numId w:val="37"/>
        </w:numPr>
        <w:spacing w:after="0" w:line="240" w:lineRule="auto"/>
        <w:ind w:left="284" w:hanging="284"/>
        <w:jc w:val="left"/>
        <w:rPr>
          <w:rFonts w:eastAsia="Times New Roman" w:cstheme="minorHAnsi"/>
        </w:rPr>
      </w:pPr>
      <w:r w:rsidRPr="00C53049">
        <w:rPr>
          <w:rFonts w:eastAsia="Times New Roman" w:cstheme="minorHAnsi"/>
        </w:rPr>
        <w:t xml:space="preserve">snížit zátěže plynoucí z IAD, </w:t>
      </w:r>
    </w:p>
    <w:p w14:paraId="11D74BFC" w14:textId="77777777" w:rsidR="00C53049" w:rsidRPr="00C53049" w:rsidRDefault="00C53049" w:rsidP="00380840">
      <w:pPr>
        <w:numPr>
          <w:ilvl w:val="0"/>
          <w:numId w:val="37"/>
        </w:numPr>
        <w:spacing w:after="0" w:line="240" w:lineRule="auto"/>
        <w:ind w:left="284" w:hanging="284"/>
        <w:jc w:val="left"/>
        <w:rPr>
          <w:rFonts w:eastAsia="Times New Roman" w:cstheme="minorHAnsi"/>
        </w:rPr>
      </w:pPr>
      <w:r w:rsidRPr="00C53049">
        <w:rPr>
          <w:rFonts w:eastAsia="Times New Roman" w:cstheme="minorHAnsi"/>
        </w:rPr>
        <w:t xml:space="preserve">rozvinout vozový park městských autobusů s alternativním pohonem, </w:t>
      </w:r>
    </w:p>
    <w:p w14:paraId="0B8ACB15" w14:textId="77777777" w:rsidR="00C53049" w:rsidRPr="00C53049" w:rsidRDefault="00C53049" w:rsidP="00380840">
      <w:pPr>
        <w:numPr>
          <w:ilvl w:val="0"/>
          <w:numId w:val="37"/>
        </w:numPr>
        <w:spacing w:after="0" w:line="240" w:lineRule="auto"/>
        <w:ind w:left="284" w:hanging="284"/>
        <w:jc w:val="left"/>
        <w:rPr>
          <w:rFonts w:eastAsia="Times New Roman" w:cstheme="minorHAnsi"/>
        </w:rPr>
      </w:pPr>
      <w:r w:rsidRPr="00C53049">
        <w:rPr>
          <w:rFonts w:eastAsia="Times New Roman" w:cstheme="minorHAnsi"/>
        </w:rPr>
        <w:t xml:space="preserve">rozvinout a provázat IDS v silničním provozu ve městech a aglomeracích, </w:t>
      </w:r>
    </w:p>
    <w:p w14:paraId="669D9182" w14:textId="77777777" w:rsidR="00C53049" w:rsidRPr="00C53049" w:rsidRDefault="00C53049" w:rsidP="00380840">
      <w:pPr>
        <w:numPr>
          <w:ilvl w:val="0"/>
          <w:numId w:val="37"/>
        </w:numPr>
        <w:spacing w:after="0" w:line="240" w:lineRule="auto"/>
        <w:ind w:left="284" w:hanging="284"/>
        <w:jc w:val="left"/>
        <w:rPr>
          <w:rFonts w:eastAsia="Times New Roman" w:cstheme="minorHAnsi"/>
        </w:rPr>
      </w:pPr>
      <w:r w:rsidRPr="00C53049">
        <w:rPr>
          <w:rFonts w:eastAsia="Times New Roman" w:cstheme="minorHAnsi"/>
        </w:rPr>
        <w:t xml:space="preserve">zajistit potřeby specifických skupin obyvatel v dopravě, </w:t>
      </w:r>
    </w:p>
    <w:p w14:paraId="45E420DC" w14:textId="77777777" w:rsidR="00C53049" w:rsidRPr="00C53049" w:rsidRDefault="00C53049" w:rsidP="00380840">
      <w:pPr>
        <w:numPr>
          <w:ilvl w:val="0"/>
          <w:numId w:val="37"/>
        </w:numPr>
        <w:spacing w:after="0" w:line="240" w:lineRule="auto"/>
        <w:ind w:left="284" w:hanging="284"/>
        <w:jc w:val="left"/>
        <w:rPr>
          <w:rFonts w:eastAsia="Times New Roman" w:cstheme="minorHAnsi"/>
        </w:rPr>
      </w:pPr>
      <w:r w:rsidRPr="00C53049">
        <w:rPr>
          <w:rFonts w:eastAsia="Times New Roman" w:cstheme="minorHAnsi"/>
        </w:rPr>
        <w:t xml:space="preserve">zajistit bezpečnost a bezbariérovost dopravy v zájmu zvýšení podílu udržitelných forem dopravy, </w:t>
      </w:r>
    </w:p>
    <w:p w14:paraId="5BCD82B1" w14:textId="77777777" w:rsidR="00C53049" w:rsidRPr="00C53049" w:rsidRDefault="00C53049" w:rsidP="00380840">
      <w:pPr>
        <w:numPr>
          <w:ilvl w:val="0"/>
          <w:numId w:val="37"/>
        </w:numPr>
        <w:spacing w:after="0" w:line="240" w:lineRule="auto"/>
        <w:ind w:left="284" w:hanging="284"/>
        <w:jc w:val="left"/>
        <w:rPr>
          <w:rFonts w:eastAsia="Times New Roman" w:cstheme="minorHAnsi"/>
        </w:rPr>
      </w:pPr>
      <w:r w:rsidRPr="00C53049">
        <w:rPr>
          <w:rFonts w:eastAsia="Times New Roman" w:cstheme="minorHAnsi"/>
        </w:rPr>
        <w:t xml:space="preserve">zajistit dopravní dostupnost práce, služeb a vzdělání, </w:t>
      </w:r>
    </w:p>
    <w:p w14:paraId="761BBA48" w14:textId="77777777" w:rsidR="00C53049" w:rsidRPr="00C53049" w:rsidRDefault="00C53049" w:rsidP="00380840">
      <w:pPr>
        <w:numPr>
          <w:ilvl w:val="0"/>
          <w:numId w:val="37"/>
        </w:numPr>
        <w:spacing w:after="0" w:line="240" w:lineRule="auto"/>
        <w:ind w:left="284" w:hanging="284"/>
        <w:jc w:val="left"/>
        <w:rPr>
          <w:rFonts w:eastAsia="Times New Roman" w:cstheme="minorHAnsi"/>
        </w:rPr>
      </w:pPr>
      <w:r w:rsidRPr="00C53049">
        <w:rPr>
          <w:rFonts w:eastAsia="Times New Roman" w:cstheme="minorHAnsi"/>
        </w:rPr>
        <w:t xml:space="preserve">využít potenciál nemotorové dopravy k mobilitě pracovních sil, </w:t>
      </w:r>
    </w:p>
    <w:p w14:paraId="20C65145" w14:textId="77777777" w:rsidR="00C53049" w:rsidRPr="00C53049" w:rsidRDefault="00C53049" w:rsidP="00380840">
      <w:pPr>
        <w:numPr>
          <w:ilvl w:val="0"/>
          <w:numId w:val="37"/>
        </w:numPr>
        <w:spacing w:after="0" w:line="240" w:lineRule="auto"/>
        <w:ind w:left="284" w:hanging="284"/>
        <w:jc w:val="left"/>
        <w:rPr>
          <w:rFonts w:eastAsia="Times New Roman" w:cstheme="minorHAnsi"/>
        </w:rPr>
      </w:pPr>
      <w:r w:rsidRPr="00C53049">
        <w:rPr>
          <w:rFonts w:eastAsia="Times New Roman" w:cstheme="minorHAnsi"/>
        </w:rPr>
        <w:t>vytvořit podmínky pro mobilitu a optimalizaci sítě cyklostezek a cyklotras.</w:t>
      </w:r>
    </w:p>
    <w:p w14:paraId="77B4A528" w14:textId="77777777" w:rsidR="00C53049" w:rsidRPr="00C53049" w:rsidRDefault="009B5D71" w:rsidP="00380840">
      <w:pPr>
        <w:pStyle w:val="KZnormln"/>
        <w:spacing w:before="120"/>
        <w:rPr>
          <w:rFonts w:eastAsia="Calibri"/>
        </w:rPr>
      </w:pPr>
      <w:r>
        <w:t>NKÚ kontroloval</w:t>
      </w:r>
      <w:r w:rsidR="00C53049" w:rsidRPr="00C53049">
        <w:t xml:space="preserve"> 19 projektů realizovaných 13 příjemci podpory. </w:t>
      </w:r>
      <w:r w:rsidR="00C53049" w:rsidRPr="00C53049">
        <w:rPr>
          <w:rFonts w:eastAsia="Calibri"/>
        </w:rPr>
        <w:t xml:space="preserve">Vazbu </w:t>
      </w:r>
      <w:r>
        <w:rPr>
          <w:rFonts w:eastAsia="Calibri"/>
        </w:rPr>
        <w:t>kontrolovaných</w:t>
      </w:r>
      <w:r w:rsidR="00C53049" w:rsidRPr="00C53049">
        <w:rPr>
          <w:rFonts w:eastAsia="Calibri"/>
        </w:rPr>
        <w:t xml:space="preserve"> projektů na specifický cíl 1.2 IROP uváděli příjemci podpory ve studii proveditelnost, která byla přílohou žádosti o podporu. Na základě informací uvedených v těchto studiích identifikoval NKÚ dílčí cíle, které měly být v rámci jednotlivých projektů naplněny. </w:t>
      </w:r>
    </w:p>
    <w:p w14:paraId="6830F56D" w14:textId="77777777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K vyhodnocení naplnění těchto dílčích cílů vycházel NKÚ zejména z informací příjemců podpory o jejich přepravních výkonech, údajích o jejich infrastruktuře a vozovém parku a</w:t>
      </w:r>
      <w:r w:rsidR="00B868AB">
        <w:rPr>
          <w:rFonts w:eastAsia="Calibri"/>
        </w:rPr>
        <w:t> </w:t>
      </w:r>
      <w:r w:rsidRPr="00C53049">
        <w:rPr>
          <w:rFonts w:eastAsia="Calibri"/>
        </w:rPr>
        <w:t xml:space="preserve">dalších relevantních informací a to za období od roku 2013 (poslední rok minulého programového období) do roku 2018 (kdy byly všechny prověřované projekty zrealizovány). Nejširší základnou těchto dat disponovali příjemci podpory charakteru dopravců. </w:t>
      </w:r>
    </w:p>
    <w:p w14:paraId="39444737" w14:textId="77777777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Na základ</w:t>
      </w:r>
      <w:r w:rsidR="009B5D71">
        <w:rPr>
          <w:rFonts w:eastAsia="Calibri"/>
        </w:rPr>
        <w:t>ě dostupných dat provedl NKÚ mimo jiné</w:t>
      </w:r>
      <w:r w:rsidRPr="00C53049">
        <w:rPr>
          <w:rFonts w:eastAsia="Calibri"/>
        </w:rPr>
        <w:t xml:space="preserve"> vyhodnocení z dlouhodobého hlediska (mezi rokem ukončení realizace projektů 2018 a výchozím rokem 2013) a krátkodobého hlediska (mezi rokem ukončení realizace projektů 2018 a rokem předcházejícím, tj. rokem 2017). </w:t>
      </w:r>
    </w:p>
    <w:p w14:paraId="0B6CE30C" w14:textId="77777777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 xml:space="preserve">Z hlediska struktury příjemců podpory se jednalo o deset dopravců, dvě města a jeden kraj. Všichni dopravci až na jednoho realizovali projekty zaměřené na opatření </w:t>
      </w:r>
      <w:r w:rsidR="009B5D71">
        <w:rPr>
          <w:rFonts w:eastAsia="Calibri"/>
        </w:rPr>
        <w:t>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</w:t>
      </w:r>
      <w:r w:rsidR="00B868AB">
        <w:rPr>
          <w:rFonts w:eastAsia="Calibri"/>
        </w:rPr>
        <w:t> </w:t>
      </w:r>
      <w:r w:rsidR="009B5D71">
        <w:rPr>
          <w:rFonts w:eastAsia="Calibri"/>
        </w:rPr>
        <w:t>bezemisní vozidla“</w:t>
      </w:r>
      <w:r w:rsidRPr="00C53049">
        <w:rPr>
          <w:rFonts w:eastAsia="Calibri"/>
        </w:rPr>
        <w:t xml:space="preserve"> (13 projektů) s tím, že dva z těchto dopravců rovněž realizovali projekty zaměřené na opatření „Telematika“ (dva projekty). Tři projekty zaměřené na opatření „Terminály“ realizovala města a jeden z dopravců. Jeden projekt zaměřený na opatření „Telematika“ realizoval kraj. </w:t>
      </w:r>
    </w:p>
    <w:p w14:paraId="5148EB6E" w14:textId="77777777" w:rsidR="00C53049" w:rsidRPr="00C53049" w:rsidRDefault="00C53049" w:rsidP="00380840">
      <w:pPr>
        <w:pStyle w:val="Mluvctitulek"/>
        <w:spacing w:before="120" w:after="120"/>
        <w:rPr>
          <w:rFonts w:eastAsia="Calibri"/>
        </w:rPr>
      </w:pPr>
      <w:r w:rsidRPr="00C53049">
        <w:rPr>
          <w:rFonts w:eastAsia="Calibri"/>
        </w:rPr>
        <w:t>Identifikované dílčí cíle a jejich naplnění:</w:t>
      </w:r>
    </w:p>
    <w:p w14:paraId="757CAA4F" w14:textId="77777777" w:rsidR="00C53049" w:rsidRPr="00CC3A03" w:rsidRDefault="00C53049" w:rsidP="00CC3A03">
      <w:pPr>
        <w:pStyle w:val="Odstavecseseznamem"/>
        <w:numPr>
          <w:ilvl w:val="0"/>
          <w:numId w:val="38"/>
        </w:numPr>
        <w:spacing w:before="120" w:after="120"/>
        <w:ind w:left="284" w:hanging="284"/>
        <w:rPr>
          <w:rFonts w:eastAsia="Calibri"/>
          <w:b/>
        </w:rPr>
      </w:pPr>
      <w:r w:rsidRPr="00CC3A03">
        <w:rPr>
          <w:b/>
        </w:rPr>
        <w:t>Posílit přepravní výkony veřejné dopravy</w:t>
      </w:r>
    </w:p>
    <w:p w14:paraId="4A9E8040" w14:textId="77777777" w:rsidR="00C53049" w:rsidRPr="00C53049" w:rsidRDefault="00C53049" w:rsidP="00380840">
      <w:pPr>
        <w:pStyle w:val="KZnormln"/>
        <w:spacing w:before="120"/>
        <w:rPr>
          <w:rFonts w:eastAsia="Calibri"/>
        </w:rPr>
      </w:pPr>
      <w:r w:rsidRPr="00C53049">
        <w:rPr>
          <w:rFonts w:eastAsia="Calibri"/>
        </w:rPr>
        <w:t>Tento dílčí cíl byl NKÚ identifikován u šesti projektů (pět projektů vztahujících se k opatření 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 bezemisní v</w:t>
      </w:r>
      <w:r w:rsidRPr="00C53049">
        <w:rPr>
          <w:rFonts w:eastAsia="Calibri"/>
        </w:rPr>
        <w:t>ozidla“ a jeden projekt vztahující se k opatření „Telematika“). Kontrolou NKÚ bylo zjištěno, že v případě dvou projektů byl tento dílčí cíl naplněn; v případě čtyř projektů nebylo možné na základě dostupných dat naplnění tohoto cíle jednoznačně vyhodnotit.</w:t>
      </w:r>
    </w:p>
    <w:p w14:paraId="3DAAF24A" w14:textId="085CC39D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Z údajů od všech dopravců (tedy nejen těch, u kterých byl tento dílčí cíl identifikován), kteří realizovali opatření 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 bezemisní v</w:t>
      </w:r>
      <w:r w:rsidR="009B5D71" w:rsidRPr="00C53049">
        <w:rPr>
          <w:rFonts w:eastAsia="Calibri"/>
        </w:rPr>
        <w:t>ozidla</w:t>
      </w:r>
      <w:r w:rsidRPr="00C53049">
        <w:rPr>
          <w:rFonts w:eastAsia="Calibri"/>
        </w:rPr>
        <w:t xml:space="preserve">“ a „Telematika“ o počtu přepravených </w:t>
      </w:r>
      <w:r w:rsidRPr="00C53049">
        <w:rPr>
          <w:rFonts w:eastAsia="Calibri"/>
        </w:rPr>
        <w:lastRenderedPageBreak/>
        <w:t>osob</w:t>
      </w:r>
      <w:r w:rsidR="00374575">
        <w:rPr>
          <w:rFonts w:eastAsia="Calibri"/>
        </w:rPr>
        <w:t>,</w:t>
      </w:r>
      <w:r w:rsidRPr="00C53049">
        <w:rPr>
          <w:rFonts w:eastAsia="Calibri"/>
        </w:rPr>
        <w:t xml:space="preserve"> bylo kontrolou NKÚ zjištěno, že z dlouhodobého hlediska jeden dopravce zaznamenal pokles přepravených cestujících ve výši 9 %, sedm dopravců zaznamenalo nárůst přepravených cestujících v rozmezí od 3 % do 39 % a u jednoho dopravce nebylo možné změnu v počtu přepravených osob z důvodu neporovnatelnosti dat vyhodnotit. Z krátkodobého hlediska zaznamenalo osm dopravců nárůst v počtu přepravených osob v rozmezí od 1 % do</w:t>
      </w:r>
      <w:r w:rsidR="00B868AB">
        <w:rPr>
          <w:rFonts w:eastAsia="Calibri"/>
        </w:rPr>
        <w:t> </w:t>
      </w:r>
      <w:r w:rsidRPr="00C53049">
        <w:rPr>
          <w:rFonts w:eastAsia="Calibri"/>
        </w:rPr>
        <w:t>25 % a jeden dopravce pokles o 4 %.</w:t>
      </w:r>
    </w:p>
    <w:p w14:paraId="621DCEF5" w14:textId="77777777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V případě projektů zaměřených na realizaci opatření „Terminály“ a rovněž projektu zaměřeného na opatření „Telematika“, kterou realizoval kraj (bez ohledu na skutečnost, zda byl tento dílčí cíl u nich identifikován), nebylo možné z důvodu nedostatečné datové základny zjistit, zda přispívají ke zvyšování počtu osob přepravených veřejnou dopravou.</w:t>
      </w:r>
    </w:p>
    <w:p w14:paraId="2C99712F" w14:textId="77777777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Z hlediska ujetých místových kilometrů (ukazatel nabízené přepravní práce) zaznamenali z dlouhodobého hlediska tři dopravci jejich pokles ve výši 2 % a 13 %. U šesti dopravců došlo k nárůstu ujetých místových kilometrů v rozmezí od 1 % do 10 %. Z krátkodobého hlediska došlo k poklesu ujetých místových kilometrů v rozmezí od 2 % do 7 % u čtyř dopravců, u</w:t>
      </w:r>
      <w:r w:rsidR="00B868AB">
        <w:rPr>
          <w:rFonts w:eastAsia="Calibri"/>
        </w:rPr>
        <w:t> </w:t>
      </w:r>
      <w:r w:rsidRPr="00C53049">
        <w:rPr>
          <w:rFonts w:eastAsia="Calibri"/>
        </w:rPr>
        <w:t>jednoho dopravce zůstal tento údaj nezměněn a u čtyř dopravců došlo k nárůstu v rozmezí od 1 % do 3 %.</w:t>
      </w:r>
    </w:p>
    <w:p w14:paraId="1597EC4C" w14:textId="1026556D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Mezi motivační ukazatele, které mohou ovlivnit častější využív</w:t>
      </w:r>
      <w:r w:rsidR="00415AEC">
        <w:rPr>
          <w:rFonts w:eastAsia="Calibri"/>
        </w:rPr>
        <w:t xml:space="preserve">ání veřejné hromadné dopravy, </w:t>
      </w:r>
      <w:r w:rsidR="001D2861" w:rsidRPr="00C53049">
        <w:rPr>
          <w:rFonts w:eastAsia="Calibri"/>
        </w:rPr>
        <w:t xml:space="preserve">patří </w:t>
      </w:r>
      <w:r w:rsidR="00415AEC">
        <w:rPr>
          <w:rFonts w:eastAsia="Calibri"/>
        </w:rPr>
        <w:t>mimo jiné</w:t>
      </w:r>
      <w:r w:rsidRPr="00C53049">
        <w:rPr>
          <w:rFonts w:eastAsia="Calibri"/>
        </w:rPr>
        <w:t xml:space="preserve"> délka provozní sítě a četnost spojů.</w:t>
      </w:r>
    </w:p>
    <w:p w14:paraId="0050D962" w14:textId="1AF180D1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 xml:space="preserve">Délka provozní sítě se z dlouhodobého hlediska zkrátila v rozmezí od 9 % do 21 % u </w:t>
      </w:r>
      <w:r w:rsidR="001D2861">
        <w:rPr>
          <w:rFonts w:eastAsia="Calibri"/>
        </w:rPr>
        <w:t>tří</w:t>
      </w:r>
      <w:r w:rsidRPr="00C53049">
        <w:rPr>
          <w:rFonts w:eastAsia="Calibri"/>
        </w:rPr>
        <w:t xml:space="preserve"> dopravců, u </w:t>
      </w:r>
      <w:r w:rsidR="001D2861">
        <w:rPr>
          <w:rFonts w:eastAsia="Calibri"/>
        </w:rPr>
        <w:t>tří</w:t>
      </w:r>
      <w:r w:rsidRPr="00C53049">
        <w:rPr>
          <w:rFonts w:eastAsia="Calibri"/>
        </w:rPr>
        <w:t xml:space="preserve"> dopravců se nezměnila a u </w:t>
      </w:r>
      <w:r w:rsidR="001D2861">
        <w:rPr>
          <w:rFonts w:eastAsia="Calibri"/>
        </w:rPr>
        <w:t>tří</w:t>
      </w:r>
      <w:r w:rsidRPr="00C53049">
        <w:rPr>
          <w:rFonts w:eastAsia="Calibri"/>
        </w:rPr>
        <w:t xml:space="preserve"> dopravců došlo k jejímu prodloužení v rozmezí od 3 % do 8 %. Z krátkodobého hlediska došlo ke zkrácení délky provozní sítě u</w:t>
      </w:r>
      <w:r w:rsidR="00B868AB">
        <w:rPr>
          <w:rFonts w:eastAsia="Calibri"/>
        </w:rPr>
        <w:t> </w:t>
      </w:r>
      <w:r w:rsidRPr="00C53049">
        <w:rPr>
          <w:rFonts w:eastAsia="Calibri"/>
        </w:rPr>
        <w:t>jednoho dopravce, a to o 12 %; u jednoho dopravce se délka provozní sítě prodloužila o 3 % a v případě sedmi dopravců se její délka nezměnila.</w:t>
      </w:r>
    </w:p>
    <w:p w14:paraId="38B039CD" w14:textId="3DE79EBA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 xml:space="preserve">Četnost spojů se z dlouhodobého hlediska snížila v rozmezí od 1 % do 8 % u čtyř dopravců, u pěti dopravců došlo k jejímu prodloužení v rozmezí od 2 % do 15 %. Z krátkodobého hlediska došlo ke snížení četnosti spojů u </w:t>
      </w:r>
      <w:r w:rsidR="001D2861">
        <w:rPr>
          <w:rFonts w:eastAsia="Calibri"/>
        </w:rPr>
        <w:t>tří</w:t>
      </w:r>
      <w:r w:rsidRPr="00C53049">
        <w:rPr>
          <w:rFonts w:eastAsia="Calibri"/>
        </w:rPr>
        <w:t xml:space="preserve"> dopravců, a to o 2 % a 3 %; u jednoho dopravce se četnost spojů nezměnila a v případě pěti dopravců se jejich poč</w:t>
      </w:r>
      <w:r w:rsidR="00C12F0A">
        <w:rPr>
          <w:rFonts w:eastAsia="Calibri"/>
        </w:rPr>
        <w:t>et zvýšil v rozmezí od 1 % do 8 </w:t>
      </w:r>
      <w:r w:rsidRPr="00C53049">
        <w:rPr>
          <w:rFonts w:eastAsia="Calibri"/>
        </w:rPr>
        <w:t>%.</w:t>
      </w:r>
    </w:p>
    <w:p w14:paraId="14D6EA74" w14:textId="77777777" w:rsidR="00C53049" w:rsidRPr="00CC3A03" w:rsidRDefault="00C53049" w:rsidP="00CC3A03">
      <w:pPr>
        <w:pStyle w:val="Odstavecseseznamem"/>
        <w:numPr>
          <w:ilvl w:val="0"/>
          <w:numId w:val="39"/>
        </w:numPr>
        <w:spacing w:before="120" w:after="120"/>
        <w:ind w:left="284" w:hanging="284"/>
        <w:rPr>
          <w:b/>
        </w:rPr>
      </w:pPr>
      <w:r w:rsidRPr="00CC3A03">
        <w:rPr>
          <w:b/>
        </w:rPr>
        <w:t>Snížit zátěže plynoucí z IAD</w:t>
      </w:r>
    </w:p>
    <w:p w14:paraId="13ED0FD4" w14:textId="77777777" w:rsidR="00C53049" w:rsidRPr="00C53049" w:rsidRDefault="00C53049" w:rsidP="00380840">
      <w:pPr>
        <w:pStyle w:val="KZnormln"/>
        <w:spacing w:before="120"/>
        <w:rPr>
          <w:rFonts w:eastAsia="Calibri"/>
        </w:rPr>
      </w:pPr>
      <w:r w:rsidRPr="00C53049">
        <w:rPr>
          <w:rFonts w:eastAsia="Calibri"/>
        </w:rPr>
        <w:t xml:space="preserve">Tento dílčí cíl byl NKÚ identifikován u devíti projektů (šest projektů vztahujících se k opatření </w:t>
      </w:r>
      <w:r w:rsidR="009B5D71">
        <w:rPr>
          <w:rFonts w:eastAsia="Calibri"/>
        </w:rPr>
        <w:t>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 bezemisní vozidla“</w:t>
      </w:r>
      <w:r w:rsidRPr="00C53049">
        <w:rPr>
          <w:rFonts w:eastAsia="Calibri"/>
        </w:rPr>
        <w:t>, jeden projekt vztahující se k opatření „Telematika“ a dva projekty vztahující se k opatření „Terminály“). Kontrolou NKÚ bylo zjištěno, že v případě tří projektů byl tento dílčí cíl naplněn; v případě jednoho projektu tento dílčí cíl naplněn nebyl a</w:t>
      </w:r>
      <w:r w:rsidR="00B868AB">
        <w:rPr>
          <w:rFonts w:eastAsia="Calibri"/>
        </w:rPr>
        <w:t> </w:t>
      </w:r>
      <w:r w:rsidRPr="00C53049">
        <w:rPr>
          <w:rFonts w:eastAsia="Calibri"/>
        </w:rPr>
        <w:t>v případě pěti projektů nebylo možné na základě dostupných dat naplnění tohoto cíle jednoznačně vyhodnotit.</w:t>
      </w:r>
    </w:p>
    <w:p w14:paraId="0884E786" w14:textId="79C12660" w:rsidR="00C53049" w:rsidRPr="00C53049" w:rsidRDefault="00C53049" w:rsidP="00380840">
      <w:pPr>
        <w:pStyle w:val="Zkladn"/>
        <w:spacing w:before="120" w:after="120"/>
      </w:pPr>
      <w:r w:rsidRPr="00C53049">
        <w:t>U hodnocení naplnění tohoto dílčího cíle vycházel NKÚ z předpokladu jeho věcné souvislosti s dílčím cílem „Posílit přepravní výkony veřejné dopravy“. Lze totiž předpokládat, že v případě zvyšujícího se počtu osob přepravených veřejnou dopravou by měl být důsledkem pokles podílu individuální automobilové dopravy a tím i zátěže z ní plynoucí. Jednalo se tedy o</w:t>
      </w:r>
      <w:r w:rsidR="00B868AB">
        <w:t> </w:t>
      </w:r>
      <w:r w:rsidRPr="00C53049">
        <w:t>zprostředkovaný (nepřímý) pohled.</w:t>
      </w:r>
    </w:p>
    <w:p w14:paraId="6DB2B94C" w14:textId="10D4AFCD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Jeden z dopr</w:t>
      </w:r>
      <w:r w:rsidR="00415AEC">
        <w:rPr>
          <w:rFonts w:eastAsia="Calibri"/>
        </w:rPr>
        <w:t xml:space="preserve">avců </w:t>
      </w:r>
      <w:r w:rsidRPr="00C53049">
        <w:rPr>
          <w:rFonts w:eastAsia="Calibri"/>
        </w:rPr>
        <w:t>k vyhodnocování tohoto dílčího cíle uvedl,</w:t>
      </w:r>
      <w:r w:rsidR="00C12F0A">
        <w:rPr>
          <w:rFonts w:eastAsia="Calibri"/>
        </w:rPr>
        <w:t xml:space="preserve"> že při vyhodnocování pracuje s </w:t>
      </w:r>
      <w:r w:rsidRPr="00C53049">
        <w:t>ukazatelem „dělba přepravní práce“ (</w:t>
      </w:r>
      <w:proofErr w:type="spellStart"/>
      <w:r w:rsidR="001D2861" w:rsidRPr="009D5DFE">
        <w:rPr>
          <w:i/>
        </w:rPr>
        <w:t>m</w:t>
      </w:r>
      <w:r w:rsidRPr="009D5DFE">
        <w:rPr>
          <w:i/>
        </w:rPr>
        <w:t>odal</w:t>
      </w:r>
      <w:proofErr w:type="spellEnd"/>
      <w:r w:rsidRPr="009D5DFE">
        <w:rPr>
          <w:i/>
        </w:rPr>
        <w:t xml:space="preserve"> split</w:t>
      </w:r>
      <w:r w:rsidRPr="00C53049">
        <w:t xml:space="preserve">), jehož vývoj ovšem sám nezjišťuje z důvodu náročnosti procesu získávání relevantních dat. Z uvedeného důvodu využívá dokument, který v této souvislosti zpracovává statutární město, které v rámci tohoto dokumentu sleduje a plánuje vývoj dělby přepravní práce </w:t>
      </w:r>
      <w:r w:rsidR="001D2861">
        <w:t>–</w:t>
      </w:r>
      <w:r w:rsidRPr="00C53049">
        <w:t xml:space="preserve"> aktuální verze tohoto dokumentu </w:t>
      </w:r>
      <w:r w:rsidRPr="00C53049">
        <w:lastRenderedPageBreak/>
        <w:t>byla zpracována v roce 2015, přičemž se předpokládá, že k dalšímu zpracování tohoto dokumentu dojde až v roce 2020, tj. v rozpětí pěti let.</w:t>
      </w:r>
    </w:p>
    <w:p w14:paraId="7C7B8C98" w14:textId="77777777" w:rsidR="00C53049" w:rsidRPr="00C53049" w:rsidRDefault="00C53049" w:rsidP="00380840">
      <w:pPr>
        <w:pStyle w:val="KZnormlntun"/>
        <w:spacing w:before="120"/>
        <w:rPr>
          <w:rFonts w:eastAsia="Calibri"/>
        </w:rPr>
      </w:pPr>
      <w:r w:rsidRPr="00C53049">
        <w:rPr>
          <w:rFonts w:eastAsia="Calibri"/>
        </w:rPr>
        <w:t xml:space="preserve">NKÚ </w:t>
      </w:r>
      <w:r w:rsidR="009D6467">
        <w:rPr>
          <w:rFonts w:eastAsia="Calibri"/>
        </w:rPr>
        <w:t>zastává názor</w:t>
      </w:r>
      <w:r w:rsidRPr="00C53049">
        <w:rPr>
          <w:rFonts w:eastAsia="Calibri"/>
        </w:rPr>
        <w:t>, že vyhodnocování naplnění tohoto dílčího cíle je zřejmě nejnáročnější ze všech dílčích cílů, neboť předpokládá znalost podílu individuální automobilové dopravy příjemce</w:t>
      </w:r>
      <w:r w:rsidR="00186045">
        <w:rPr>
          <w:rFonts w:eastAsia="Calibri"/>
        </w:rPr>
        <w:t>m</w:t>
      </w:r>
      <w:r w:rsidRPr="00C53049">
        <w:rPr>
          <w:rFonts w:eastAsia="Calibri"/>
        </w:rPr>
        <w:t xml:space="preserve"> podpory v místě realizace projektu.</w:t>
      </w:r>
    </w:p>
    <w:p w14:paraId="2F0BAC16" w14:textId="77777777" w:rsidR="00C53049" w:rsidRPr="00CC3A03" w:rsidRDefault="00C53049" w:rsidP="00CC3A03">
      <w:pPr>
        <w:pStyle w:val="Odstavecseseznamem"/>
        <w:numPr>
          <w:ilvl w:val="0"/>
          <w:numId w:val="40"/>
        </w:numPr>
        <w:spacing w:before="120" w:after="120"/>
        <w:ind w:left="284" w:hanging="284"/>
        <w:rPr>
          <w:b/>
        </w:rPr>
      </w:pPr>
      <w:r w:rsidRPr="00CC3A03">
        <w:rPr>
          <w:b/>
        </w:rPr>
        <w:t>Rozvinout vozový park městských autobusů s alternativním pohonem</w:t>
      </w:r>
    </w:p>
    <w:p w14:paraId="6DD5867B" w14:textId="77777777" w:rsidR="00C53049" w:rsidRPr="00C53049" w:rsidRDefault="00C53049" w:rsidP="00380840">
      <w:pPr>
        <w:pStyle w:val="KZnormln"/>
        <w:spacing w:before="120"/>
        <w:rPr>
          <w:rFonts w:eastAsia="Calibri"/>
        </w:rPr>
      </w:pPr>
      <w:r w:rsidRPr="00C53049">
        <w:rPr>
          <w:rFonts w:eastAsia="Calibri"/>
        </w:rPr>
        <w:t xml:space="preserve">Tento dílčí cíl byl NKÚ identifikován u osmi projektů (vztahujících se k opatření </w:t>
      </w:r>
      <w:r w:rsidR="009B5D71">
        <w:rPr>
          <w:rFonts w:eastAsia="Calibri"/>
        </w:rPr>
        <w:t>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</w:t>
      </w:r>
      <w:r w:rsidR="00B868AB">
        <w:rPr>
          <w:rFonts w:eastAsia="Calibri"/>
        </w:rPr>
        <w:t> </w:t>
      </w:r>
      <w:r w:rsidR="009B5D71">
        <w:rPr>
          <w:rFonts w:eastAsia="Calibri"/>
        </w:rPr>
        <w:t>bezemisní vozidla“</w:t>
      </w:r>
      <w:r w:rsidRPr="00C53049">
        <w:rPr>
          <w:rFonts w:eastAsia="Calibri"/>
        </w:rPr>
        <w:t>). Kontrolou NKÚ bylo zjištěno, že v případě všech projektů byl tento dílčí cíl naplněn.</w:t>
      </w:r>
    </w:p>
    <w:p w14:paraId="33950941" w14:textId="1ED81562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 xml:space="preserve">Z údajů od všech dopravců (tedy nejen těch, u kterých byl tento dílčí cíl identifikován), kteří realizovali opatření </w:t>
      </w:r>
      <w:r w:rsidR="009B5D71">
        <w:rPr>
          <w:rFonts w:eastAsia="Calibri"/>
        </w:rPr>
        <w:t>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 bezemisní vozidla“</w:t>
      </w:r>
      <w:r w:rsidR="00393C87">
        <w:rPr>
          <w:rFonts w:eastAsia="Calibri"/>
        </w:rPr>
        <w:t>,</w:t>
      </w:r>
      <w:r w:rsidRPr="00C53049">
        <w:rPr>
          <w:rFonts w:eastAsia="Calibri"/>
        </w:rPr>
        <w:t xml:space="preserve"> bylo NKÚ zjištěno, že dva dopravci zařadili do svého vozového parku CNG autobusy poprvé v roce 2018, tři dopravci vůbec CNG autobusy ve svém vozovém parku nepoužívají a čtyři dopravci CNG autobusy začali provozovat již dříve. Počet CNG autobus</w:t>
      </w:r>
      <w:r w:rsidR="00480E11">
        <w:rPr>
          <w:rFonts w:eastAsia="Calibri"/>
        </w:rPr>
        <w:t>ů</w:t>
      </w:r>
      <w:r w:rsidRPr="00C53049">
        <w:rPr>
          <w:rFonts w:eastAsia="Calibri"/>
        </w:rPr>
        <w:t xml:space="preserve"> se v roce 2018 u jednotlivých dopravců pohyboval v rozmezí od</w:t>
      </w:r>
      <w:r w:rsidR="00B868AB">
        <w:rPr>
          <w:rFonts w:eastAsia="Calibri"/>
        </w:rPr>
        <w:t> </w:t>
      </w:r>
      <w:r w:rsidRPr="00C53049">
        <w:rPr>
          <w:rFonts w:eastAsia="Calibri"/>
        </w:rPr>
        <w:t>20 do 160</w:t>
      </w:r>
      <w:r w:rsidR="00415AEC">
        <w:rPr>
          <w:rFonts w:eastAsia="Calibri"/>
        </w:rPr>
        <w:t xml:space="preserve"> kusů</w:t>
      </w:r>
      <w:r w:rsidRPr="00C53049">
        <w:rPr>
          <w:rFonts w:eastAsia="Calibri"/>
        </w:rPr>
        <w:t>.</w:t>
      </w:r>
    </w:p>
    <w:p w14:paraId="7790E418" w14:textId="77777777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proofErr w:type="spellStart"/>
      <w:r w:rsidRPr="00C53049">
        <w:rPr>
          <w:rFonts w:eastAsia="Calibri"/>
        </w:rPr>
        <w:t>Elektrobusy</w:t>
      </w:r>
      <w:proofErr w:type="spellEnd"/>
      <w:r w:rsidRPr="00C53049">
        <w:rPr>
          <w:rFonts w:eastAsia="Calibri"/>
        </w:rPr>
        <w:t xml:space="preserve"> v roce 2018 provozovalo pět dopravců, a to v počtu od 1 do 23 kusů. Tři z těchto dopravců začali s provozem </w:t>
      </w:r>
      <w:proofErr w:type="spellStart"/>
      <w:r w:rsidRPr="00C53049">
        <w:rPr>
          <w:rFonts w:eastAsia="Calibri"/>
        </w:rPr>
        <w:t>elektrobusů</w:t>
      </w:r>
      <w:proofErr w:type="spellEnd"/>
      <w:r w:rsidRPr="00C53049">
        <w:rPr>
          <w:rFonts w:eastAsia="Calibri"/>
        </w:rPr>
        <w:t xml:space="preserve"> právě v roce 2018.</w:t>
      </w:r>
    </w:p>
    <w:p w14:paraId="0C8B52A0" w14:textId="77777777" w:rsidR="00C53049" w:rsidRDefault="00415AEC" w:rsidP="00380840">
      <w:pPr>
        <w:pStyle w:val="Zkladn"/>
        <w:spacing w:before="120" w:after="120"/>
        <w:rPr>
          <w:rFonts w:eastAsia="Calibri"/>
        </w:rPr>
      </w:pPr>
      <w:r>
        <w:rPr>
          <w:rFonts w:eastAsia="Calibri"/>
        </w:rPr>
        <w:t>Celkový počet autobusů</w:t>
      </w:r>
      <w:r w:rsidR="00C53049" w:rsidRPr="00C53049">
        <w:rPr>
          <w:rFonts w:eastAsia="Calibri"/>
        </w:rPr>
        <w:t xml:space="preserve"> bez ohledu na pohon (nafta, CNG, elektřina) se u prověřovaných dopravců v roce 2018 pohyboval v rozmezí od 40 do 342</w:t>
      </w:r>
      <w:r>
        <w:rPr>
          <w:rFonts w:eastAsia="Calibri"/>
        </w:rPr>
        <w:t xml:space="preserve"> kusů</w:t>
      </w:r>
      <w:r w:rsidR="00C53049" w:rsidRPr="00C53049">
        <w:rPr>
          <w:rFonts w:eastAsia="Calibri"/>
        </w:rPr>
        <w:t>.</w:t>
      </w:r>
    </w:p>
    <w:p w14:paraId="4C401E8C" w14:textId="77777777" w:rsidR="00C53049" w:rsidRPr="00CC3A03" w:rsidRDefault="00C53049" w:rsidP="00CC3A03">
      <w:pPr>
        <w:pStyle w:val="Odstavecseseznamem"/>
        <w:numPr>
          <w:ilvl w:val="0"/>
          <w:numId w:val="41"/>
        </w:numPr>
        <w:spacing w:before="120" w:after="120"/>
        <w:ind w:left="284" w:hanging="284"/>
        <w:rPr>
          <w:b/>
        </w:rPr>
      </w:pPr>
      <w:r w:rsidRPr="00CC3A03">
        <w:rPr>
          <w:b/>
        </w:rPr>
        <w:t>Rozvinout a provázat IDS v silničním provozu ve městech a aglomeracích</w:t>
      </w:r>
    </w:p>
    <w:p w14:paraId="52E0C50A" w14:textId="77777777" w:rsidR="00C53049" w:rsidRPr="00C53049" w:rsidRDefault="00C53049" w:rsidP="00380840">
      <w:pPr>
        <w:pStyle w:val="KZnormln"/>
        <w:spacing w:before="120"/>
        <w:rPr>
          <w:rFonts w:eastAsia="Calibri"/>
        </w:rPr>
      </w:pPr>
      <w:r w:rsidRPr="00C53049">
        <w:rPr>
          <w:rFonts w:eastAsia="Calibri"/>
        </w:rPr>
        <w:t xml:space="preserve">Tento dílčí cíl byl NKÚ identifikován u 10 projektů (čtyři projekty vztahujících se k opatření </w:t>
      </w:r>
      <w:r w:rsidR="009B5D71">
        <w:rPr>
          <w:rFonts w:eastAsia="Calibri"/>
        </w:rPr>
        <w:t>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 bezemisní vozidla“</w:t>
      </w:r>
      <w:r w:rsidRPr="00C53049">
        <w:rPr>
          <w:rFonts w:eastAsia="Calibri"/>
        </w:rPr>
        <w:t xml:space="preserve">, tři projekty vztahující se k opatření „Telematika“ a tři projekty vztahující se k opatření „Terminály“). Kontrolou NKÚ bylo zjištěno, že v případě šesti projektů byl tento dílčí cíl naplněn; v případě čtyř projektů nebylo možné na základě dostupných dat naplnění tohoto cíle jednoznačně vyhodnotit. </w:t>
      </w:r>
    </w:p>
    <w:p w14:paraId="13F3E4DB" w14:textId="1DBC89E6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V rámci vyhodnocení tohoto dílčího cíle NKÚ</w:t>
      </w:r>
      <w:r w:rsidR="00415AEC">
        <w:rPr>
          <w:rFonts w:eastAsia="Calibri"/>
        </w:rPr>
        <w:t xml:space="preserve"> zjišťoval mimo jiné</w:t>
      </w:r>
      <w:r w:rsidRPr="00C53049">
        <w:rPr>
          <w:rFonts w:eastAsia="Calibri"/>
        </w:rPr>
        <w:t xml:space="preserve"> údaje o počtu dopravních prostředků umožňujících komunikaci s centrálním dispečinkem integrovaného dopravního systému daného kraje. V případě autobusů umožňovaly tuto komunikaci v roce 2018 autobusy tří dopravců, kteří realizovali opatření </w:t>
      </w:r>
      <w:r w:rsidR="009B5D71">
        <w:rPr>
          <w:rFonts w:eastAsia="Calibri"/>
        </w:rPr>
        <w:t>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 bezemisní vozidla“</w:t>
      </w:r>
      <w:r w:rsidRPr="00C53049">
        <w:rPr>
          <w:rFonts w:eastAsia="Calibri"/>
        </w:rPr>
        <w:t>. Autobusy ostatních šesti dopravců ve sledovaném období (2013–2018) tuto komunikaci neumožnovaly. Trolejbusy provozovalo šest z devíti dopravců, přičemž trolejbusy tří z těchto dopravců ve</w:t>
      </w:r>
      <w:r w:rsidR="00480E11">
        <w:rPr>
          <w:rFonts w:eastAsia="Calibri"/>
        </w:rPr>
        <w:t xml:space="preserve"> </w:t>
      </w:r>
      <w:r w:rsidRPr="00C53049">
        <w:rPr>
          <w:rFonts w:eastAsia="Calibri"/>
        </w:rPr>
        <w:t>sledovaném období komunikaci s centrálním dispečinkem integrovaného dopravního systému daného kraje neumožňovaly. Tramvaje provozovali čtyři z devíti dopravců, přičemž komunikaci s centrálním dispečinkem integrovaného dopravního systému daného kraje ve sledovaném období umožňovaly tramvaje pouze jednoho dopravce.</w:t>
      </w:r>
    </w:p>
    <w:p w14:paraId="0E9F5F55" w14:textId="1F8CC306" w:rsidR="009D5DFE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V případě projektů zaměřených na opatření „Terminály“ bylo zjištěno, že v roce 2018 umožňoval komunikaci s centrálním dispečinkem integrovaného dopravního systému daného kraje jeden ze tří realizovaných terminálů. V případě projektu zaměřeného na opatření „Telematika“, v </w:t>
      </w:r>
      <w:r w:rsidR="00480E11">
        <w:rPr>
          <w:rFonts w:eastAsia="Calibri"/>
        </w:rPr>
        <w:t xml:space="preserve">jehož </w:t>
      </w:r>
      <w:r w:rsidRPr="00C53049">
        <w:rPr>
          <w:rFonts w:eastAsia="Calibri"/>
        </w:rPr>
        <w:t>rámci byl příjemcem podpory kraj, umožnovalo od roku 2018 komunikaci s centrálním dispečinkem integrovaného dop</w:t>
      </w:r>
      <w:r w:rsidR="00C12F0A">
        <w:rPr>
          <w:rFonts w:eastAsia="Calibri"/>
        </w:rPr>
        <w:t>ravního systému daného kraje 13 </w:t>
      </w:r>
      <w:r w:rsidRPr="00C53049">
        <w:rPr>
          <w:rFonts w:eastAsia="Calibri"/>
        </w:rPr>
        <w:t>přestupních uzlů.</w:t>
      </w:r>
    </w:p>
    <w:p w14:paraId="0CBC15DE" w14:textId="5466C5EE" w:rsidR="009D5DFE" w:rsidRPr="009D5DFE" w:rsidRDefault="009D5DFE" w:rsidP="009D5DFE">
      <w:pPr>
        <w:jc w:val="left"/>
        <w:rPr>
          <w:rFonts w:eastAsia="Calibri"/>
        </w:rPr>
      </w:pPr>
      <w:r>
        <w:rPr>
          <w:rFonts w:eastAsia="Calibri"/>
        </w:rPr>
        <w:br w:type="page"/>
      </w:r>
    </w:p>
    <w:p w14:paraId="004E51D0" w14:textId="77777777" w:rsidR="00C53049" w:rsidRPr="00CC3A03" w:rsidRDefault="00C53049" w:rsidP="00CC3A03">
      <w:pPr>
        <w:pStyle w:val="Odstavecseseznamem"/>
        <w:numPr>
          <w:ilvl w:val="0"/>
          <w:numId w:val="41"/>
        </w:numPr>
        <w:spacing w:before="120" w:after="120"/>
        <w:ind w:left="284" w:hanging="284"/>
        <w:rPr>
          <w:rFonts w:eastAsia="Calibri"/>
          <w:b/>
        </w:rPr>
      </w:pPr>
      <w:r w:rsidRPr="00CC3A03">
        <w:rPr>
          <w:b/>
        </w:rPr>
        <w:lastRenderedPageBreak/>
        <w:t>Zajistit potřeby specifických skupin obyvatel v dopravě</w:t>
      </w:r>
    </w:p>
    <w:p w14:paraId="57A5490A" w14:textId="4B702FD5" w:rsidR="00C53049" w:rsidRPr="00C53049" w:rsidRDefault="00C53049" w:rsidP="00380840">
      <w:pPr>
        <w:pStyle w:val="KZnormln"/>
        <w:spacing w:before="120"/>
        <w:rPr>
          <w:rFonts w:eastAsia="Calibri"/>
        </w:rPr>
      </w:pPr>
      <w:r w:rsidRPr="00C53049">
        <w:rPr>
          <w:rFonts w:eastAsia="Calibri"/>
        </w:rPr>
        <w:t xml:space="preserve">Tento dílčí cíl byl NKÚ identifikován u 13 projektů (devět projektů vztahujících se k opatření </w:t>
      </w:r>
      <w:r w:rsidR="009B5D71">
        <w:rPr>
          <w:rFonts w:eastAsia="Calibri"/>
        </w:rPr>
        <w:t>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 bezemisní vozidla“</w:t>
      </w:r>
      <w:r w:rsidRPr="00C53049">
        <w:rPr>
          <w:rFonts w:eastAsia="Calibri"/>
        </w:rPr>
        <w:t>, tři projekty vztahující se k opatření „Telematika“ a jeden projekt vztahující se k opatření „Terminály“). Kontrolou NKÚ</w:t>
      </w:r>
      <w:r w:rsidR="00C12F0A">
        <w:rPr>
          <w:rFonts w:eastAsia="Calibri"/>
        </w:rPr>
        <w:t xml:space="preserve"> bylo zjištěno, že v případě 12 </w:t>
      </w:r>
      <w:r w:rsidRPr="00C53049">
        <w:rPr>
          <w:rFonts w:eastAsia="Calibri"/>
        </w:rPr>
        <w:t>projektů byl tento dílčí cíl naplněn; v případě jednoho projektu nebylo možné na základě dostupných dat naplnění tohoto cíle jednoznačně vyhodnotit.</w:t>
      </w:r>
    </w:p>
    <w:p w14:paraId="7AEFF27A" w14:textId="69A4ACD3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 xml:space="preserve">Z údajů od všech dopravců (tedy nejen těch, u kterých byl tento dílčí cíl identifikován), kteří realizovali opatření </w:t>
      </w:r>
      <w:r w:rsidR="009B5D71">
        <w:rPr>
          <w:rFonts w:eastAsia="Calibri"/>
        </w:rPr>
        <w:t>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 bezemisní vozidla“</w:t>
      </w:r>
      <w:r w:rsidRPr="00C53049">
        <w:rPr>
          <w:rFonts w:eastAsia="Calibri"/>
        </w:rPr>
        <w:t xml:space="preserve"> a „Telematika“</w:t>
      </w:r>
      <w:r w:rsidR="00BC3EE7">
        <w:rPr>
          <w:rFonts w:eastAsia="Calibri"/>
        </w:rPr>
        <w:t>,</w:t>
      </w:r>
      <w:r w:rsidRPr="00C53049">
        <w:rPr>
          <w:rFonts w:eastAsia="Calibri"/>
        </w:rPr>
        <w:t xml:space="preserve"> bylo NKÚ zjištěno, že u</w:t>
      </w:r>
      <w:r w:rsidR="00B868AB">
        <w:rPr>
          <w:rFonts w:eastAsia="Calibri"/>
        </w:rPr>
        <w:t> </w:t>
      </w:r>
      <w:r w:rsidRPr="00C53049">
        <w:rPr>
          <w:rFonts w:eastAsia="Calibri"/>
        </w:rPr>
        <w:t>všech typů dopravních prostředků (autobusy, trolejbusy a tramvaje) docházelo z krátkodobého i dlouhodobého hlediska k rozšiřování počtu nízkopodlažních vozidel a vozidel vybavených akustickým anebo vizuálním informačním systémem, popřípadě byl zjištěn plný stav těchto vozidel.</w:t>
      </w:r>
    </w:p>
    <w:p w14:paraId="6236257C" w14:textId="757CFFAB" w:rsidR="00C53049" w:rsidRPr="00C53049" w:rsidRDefault="00C53049" w:rsidP="00380840">
      <w:pPr>
        <w:pStyle w:val="Zkladn"/>
        <w:spacing w:before="120" w:after="120"/>
        <w:rPr>
          <w:rFonts w:ascii="Calibri" w:hAnsi="Calibri"/>
          <w:lang w:eastAsia="cs-CZ"/>
        </w:rPr>
      </w:pPr>
      <w:r w:rsidRPr="00C53049">
        <w:rPr>
          <w:rFonts w:eastAsia="Calibri"/>
        </w:rPr>
        <w:t>Rovněž všechny tři terminály a přestupní uzly realizované v rámci opatření „Terminály“ a</w:t>
      </w:r>
      <w:r w:rsidR="00B868AB">
        <w:rPr>
          <w:rFonts w:eastAsia="Calibri"/>
        </w:rPr>
        <w:t> </w:t>
      </w:r>
      <w:r w:rsidRPr="00C53049">
        <w:rPr>
          <w:rFonts w:eastAsia="Calibri"/>
        </w:rPr>
        <w:t>opatření „Telematika“, v </w:t>
      </w:r>
      <w:r w:rsidR="00BC3EE7">
        <w:rPr>
          <w:rFonts w:eastAsia="Calibri"/>
        </w:rPr>
        <w:t xml:space="preserve">jehož </w:t>
      </w:r>
      <w:r w:rsidRPr="00C53049">
        <w:rPr>
          <w:rFonts w:eastAsia="Calibri"/>
        </w:rPr>
        <w:t xml:space="preserve">rámci byl příjemcem podpory kraj, byly v roce 2018 vybaveny </w:t>
      </w:r>
      <w:r w:rsidRPr="00C53049">
        <w:rPr>
          <w:rFonts w:ascii="Calibri" w:hAnsi="Calibri"/>
          <w:lang w:eastAsia="cs-CZ"/>
        </w:rPr>
        <w:t>akustickým anebo vizuálním informačním systémem.</w:t>
      </w:r>
    </w:p>
    <w:p w14:paraId="51D00CFB" w14:textId="77777777" w:rsidR="00C53049" w:rsidRPr="00CC3A03" w:rsidRDefault="00C53049" w:rsidP="00CC3A03">
      <w:pPr>
        <w:pStyle w:val="Odstavecseseznamem"/>
        <w:numPr>
          <w:ilvl w:val="0"/>
          <w:numId w:val="41"/>
        </w:numPr>
        <w:spacing w:before="120" w:after="120"/>
        <w:ind w:left="284" w:hanging="284"/>
        <w:rPr>
          <w:b/>
        </w:rPr>
      </w:pPr>
      <w:r w:rsidRPr="00CC3A03">
        <w:rPr>
          <w:b/>
        </w:rPr>
        <w:t>Zajistit bezpečnost a bezbariérovost dopravy v zájmu zvýšení podílu udržitelných forem dopravy</w:t>
      </w:r>
    </w:p>
    <w:p w14:paraId="358ECED4" w14:textId="77777777" w:rsidR="00C53049" w:rsidRPr="00C53049" w:rsidRDefault="00C53049" w:rsidP="00380840">
      <w:pPr>
        <w:pStyle w:val="KZnormln"/>
        <w:spacing w:before="120"/>
        <w:rPr>
          <w:rFonts w:eastAsia="Calibri"/>
        </w:rPr>
      </w:pPr>
      <w:r w:rsidRPr="00C53049">
        <w:rPr>
          <w:rFonts w:eastAsia="Calibri"/>
        </w:rPr>
        <w:t xml:space="preserve">Tento dílčí cíl byl NKÚ identifikován u 14 projektů (13 projektů vztahujících se k opatření </w:t>
      </w:r>
      <w:r w:rsidR="009B5D71">
        <w:rPr>
          <w:rFonts w:eastAsia="Calibri"/>
        </w:rPr>
        <w:t>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 bezemisní vozidla“</w:t>
      </w:r>
      <w:r w:rsidRPr="00C53049">
        <w:rPr>
          <w:rFonts w:eastAsia="Calibri"/>
        </w:rPr>
        <w:t xml:space="preserve"> a jeden projekt vztahující se k opatření „Terminály“). Kontrolou NKÚ bylo zjištěno, že v případě všech projektů byl tento dílčí cíl naplněn.</w:t>
      </w:r>
    </w:p>
    <w:p w14:paraId="42A16618" w14:textId="77777777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V případě bezbariérovosti dopravy vycházel NKÚ z údajů uvedených v hodnocení předchozího dílčího cíle, neboť jsou relevantní i pro tento dílčí cíl. V případě bezpečnosti vycházel NKÚ především z údajů o stáří provozovaných vozidel.</w:t>
      </w:r>
    </w:p>
    <w:p w14:paraId="44D680B5" w14:textId="2D6D0699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Z údajů</w:t>
      </w:r>
      <w:r w:rsidR="00BC3EE7" w:rsidRPr="00BC3EE7">
        <w:rPr>
          <w:rFonts w:eastAsia="Calibri"/>
        </w:rPr>
        <w:t xml:space="preserve"> </w:t>
      </w:r>
      <w:r w:rsidR="00BC3EE7" w:rsidRPr="00C53049">
        <w:rPr>
          <w:rFonts w:eastAsia="Calibri"/>
        </w:rPr>
        <w:t>o stáří dopravních prostředků</w:t>
      </w:r>
      <w:r w:rsidRPr="00C53049">
        <w:rPr>
          <w:rFonts w:eastAsia="Calibri"/>
        </w:rPr>
        <w:t xml:space="preserve"> od všech dopravců (tedy nejen těch, u kterých byl tento dílčí cíl identifikován), kteří realizovali opatření </w:t>
      </w:r>
      <w:r w:rsidR="009B5D71">
        <w:rPr>
          <w:rFonts w:eastAsia="Calibri"/>
        </w:rPr>
        <w:t>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 bezemisní vozidla“</w:t>
      </w:r>
      <w:r w:rsidR="00BC3EE7">
        <w:rPr>
          <w:rFonts w:eastAsia="Calibri"/>
        </w:rPr>
        <w:t>,</w:t>
      </w:r>
      <w:r w:rsidRPr="00C53049">
        <w:rPr>
          <w:rFonts w:eastAsia="Calibri"/>
        </w:rPr>
        <w:t xml:space="preserve"> bylo v případě autobusů kontrolou NKÚ zjištěno, že z dlouhodobého hlediska došlo u dvou dopravců ke zvýšení věku provozovaných autobusů o 1 % a 15 %; u</w:t>
      </w:r>
      <w:r w:rsidR="00BC3EE7">
        <w:rPr>
          <w:rFonts w:eastAsia="Calibri"/>
        </w:rPr>
        <w:t> </w:t>
      </w:r>
      <w:r w:rsidRPr="00C53049">
        <w:rPr>
          <w:rFonts w:eastAsia="Calibri"/>
        </w:rPr>
        <w:t>sedmi dopravců došlo ke</w:t>
      </w:r>
      <w:r w:rsidR="00B868AB">
        <w:rPr>
          <w:rFonts w:eastAsia="Calibri"/>
        </w:rPr>
        <w:t> </w:t>
      </w:r>
      <w:r w:rsidRPr="00C53049">
        <w:rPr>
          <w:rFonts w:eastAsia="Calibri"/>
        </w:rPr>
        <w:t>snížení věku provozovaných autobusů v rozmezí od 6 % do 41 %. Z krátkodobého hlediska zaznamenalo sedm dopravců snížení věku provozovaných autobusů v rozmez</w:t>
      </w:r>
      <w:r w:rsidR="00BC3EE7">
        <w:rPr>
          <w:rFonts w:eastAsia="Calibri"/>
        </w:rPr>
        <w:t>í</w:t>
      </w:r>
      <w:r w:rsidRPr="00C53049">
        <w:rPr>
          <w:rFonts w:eastAsia="Calibri"/>
        </w:rPr>
        <w:t xml:space="preserve"> od 2 % do 38 %; u dvou dopravců došlo ke zvýšení věku provozovaných autobusů o</w:t>
      </w:r>
      <w:r w:rsidR="00BC3EE7">
        <w:rPr>
          <w:rFonts w:eastAsia="Calibri"/>
        </w:rPr>
        <w:t> </w:t>
      </w:r>
      <w:r w:rsidRPr="00C53049">
        <w:rPr>
          <w:rFonts w:eastAsia="Calibri"/>
        </w:rPr>
        <w:t>2</w:t>
      </w:r>
      <w:r w:rsidR="00BC3EE7">
        <w:rPr>
          <w:rFonts w:eastAsia="Calibri"/>
        </w:rPr>
        <w:t> </w:t>
      </w:r>
      <w:r w:rsidRPr="00C53049">
        <w:rPr>
          <w:rFonts w:eastAsia="Calibri"/>
        </w:rPr>
        <w:t>% a 11 %.</w:t>
      </w:r>
    </w:p>
    <w:p w14:paraId="74147F5C" w14:textId="228DD4DC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V případě trolejbusů došlo z dlouhodobého hlediska u jednoho dopravce ke zvýšení věku provozovaných trolejbusů o 83 %, u pěti dopravců došlo ke snížení věku provozovaných trolejbusů v rozmezí od 4 % do 39 %; zbývající tři dopravci trolejbusy neprovozovali. Z krátkodobého hlediska zaznamenali čtyři dopravci snížení věku provozovaných trolejbusů v rozmez</w:t>
      </w:r>
      <w:r w:rsidR="00BC3EE7">
        <w:rPr>
          <w:rFonts w:eastAsia="Calibri"/>
        </w:rPr>
        <w:t>í</w:t>
      </w:r>
      <w:r w:rsidRPr="00C53049">
        <w:rPr>
          <w:rFonts w:eastAsia="Calibri"/>
        </w:rPr>
        <w:t xml:space="preserve"> od 8 % do 51 %, u jednoho dopravce došlo ke zvýšení věku provozovaných trolejbusů o 10 % a v jednom případě (u jednoho dopravce) zůstalo stář</w:t>
      </w:r>
      <w:r w:rsidR="00BC3EE7">
        <w:rPr>
          <w:rFonts w:eastAsia="Calibri"/>
        </w:rPr>
        <w:t>í</w:t>
      </w:r>
      <w:r w:rsidRPr="00C53049">
        <w:rPr>
          <w:rFonts w:eastAsia="Calibri"/>
        </w:rPr>
        <w:t xml:space="preserve"> trolejbusů nezměněno.</w:t>
      </w:r>
    </w:p>
    <w:p w14:paraId="5166E3EF" w14:textId="276DB894" w:rsid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V případě tramvají došlo z dlouhodobého hlediska u dvou dopravců ke zvýšení věku provozovaných tramvají o 10 % a 34 %, u jednoho dopravce došlo ke snížení věku provozovaných tramvají o 17 %, v jednom případě (u jednoho dopravce) zůstalo stář</w:t>
      </w:r>
      <w:r w:rsidR="00BC3EE7">
        <w:rPr>
          <w:rFonts w:eastAsia="Calibri"/>
        </w:rPr>
        <w:t>í</w:t>
      </w:r>
      <w:r w:rsidRPr="00C53049">
        <w:rPr>
          <w:rFonts w:eastAsia="Calibri"/>
        </w:rPr>
        <w:t xml:space="preserve"> tramvají nezměněno; zbývajících pět dopravců tramvaje neprovozovalo. Z krátkodobého hlediska zaznamenali dva dopravci snížení věku provozovaných tramvají o 12 % a 24 % a dva dopravci zvýšení věku provozovaných tramvají o 3 % a 9 %.</w:t>
      </w:r>
    </w:p>
    <w:p w14:paraId="374ED1BE" w14:textId="77777777" w:rsidR="009D5DFE" w:rsidRPr="00C53049" w:rsidRDefault="009D5DFE" w:rsidP="00380840">
      <w:pPr>
        <w:pStyle w:val="Zkladn"/>
        <w:spacing w:before="120" w:after="120"/>
        <w:rPr>
          <w:rFonts w:eastAsia="Calibri"/>
        </w:rPr>
      </w:pPr>
    </w:p>
    <w:p w14:paraId="65005689" w14:textId="77777777" w:rsidR="00C53049" w:rsidRPr="00CC3A03" w:rsidRDefault="00C53049" w:rsidP="00CC3A03">
      <w:pPr>
        <w:pStyle w:val="Odstavecseseznamem"/>
        <w:numPr>
          <w:ilvl w:val="0"/>
          <w:numId w:val="41"/>
        </w:numPr>
        <w:spacing w:before="120" w:after="120"/>
        <w:ind w:left="284" w:hanging="284"/>
        <w:rPr>
          <w:b/>
        </w:rPr>
      </w:pPr>
      <w:r w:rsidRPr="00CC3A03">
        <w:rPr>
          <w:b/>
        </w:rPr>
        <w:lastRenderedPageBreak/>
        <w:t>Zajistit dopravní dostupnost práce, služeb a vzdělání</w:t>
      </w:r>
    </w:p>
    <w:p w14:paraId="5904BF01" w14:textId="59263CF0" w:rsidR="00C53049" w:rsidRPr="00C53049" w:rsidRDefault="00C53049" w:rsidP="00380840">
      <w:pPr>
        <w:pStyle w:val="KZnormln"/>
        <w:spacing w:before="120"/>
        <w:rPr>
          <w:rFonts w:eastAsia="Calibri"/>
        </w:rPr>
      </w:pPr>
      <w:r w:rsidRPr="00C53049">
        <w:rPr>
          <w:rFonts w:eastAsia="Calibri"/>
        </w:rPr>
        <w:t xml:space="preserve">Tento dílčí cíl byl NKÚ identifikován u sedmi projektů (pět projektů vztahujících se k opatření </w:t>
      </w:r>
      <w:r w:rsidR="009B5D71">
        <w:rPr>
          <w:rFonts w:eastAsia="Calibri"/>
        </w:rPr>
        <w:t>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 bezemisní vozidla“</w:t>
      </w:r>
      <w:r w:rsidRPr="00C53049">
        <w:rPr>
          <w:rFonts w:eastAsia="Calibri"/>
        </w:rPr>
        <w:t xml:space="preserve"> a dva projekty vztahující se k opatření „Terminály“). Kontrolou NKÚ bylo zjištěno, že v případě čtyř projektů byl tento dílčí cíl naplněn; v případě tř</w:t>
      </w:r>
      <w:r w:rsidR="00BC3EE7">
        <w:rPr>
          <w:rFonts w:eastAsia="Calibri"/>
        </w:rPr>
        <w:t>í</w:t>
      </w:r>
      <w:r w:rsidRPr="00C53049">
        <w:rPr>
          <w:rFonts w:eastAsia="Calibri"/>
        </w:rPr>
        <w:t xml:space="preserve"> projektů nebylo možné na základě dostupných dat naplnění tohoto cíle jednoznačně vyhodnotit.</w:t>
      </w:r>
    </w:p>
    <w:p w14:paraId="26205F28" w14:textId="6EB8699D" w:rsidR="00C53049" w:rsidRPr="00C53049" w:rsidRDefault="00C53049" w:rsidP="00380840">
      <w:pPr>
        <w:pStyle w:val="Zkladn"/>
        <w:spacing w:before="120" w:after="120"/>
      </w:pPr>
      <w:r w:rsidRPr="00C53049">
        <w:t xml:space="preserve">V souvislosti s vyhodnocením tohoto dílčího cíle zjišťoval NKÚ </w:t>
      </w:r>
      <w:r w:rsidRPr="00C53049">
        <w:rPr>
          <w:rFonts w:eastAsia="Calibri"/>
        </w:rPr>
        <w:t xml:space="preserve">od všech dopravců (tedy nejen těch, u kterých byl tento dílčí cíl identifikován), kteří realizovali opatření </w:t>
      </w:r>
      <w:r w:rsidR="009B5D71">
        <w:rPr>
          <w:rFonts w:eastAsia="Calibri"/>
        </w:rPr>
        <w:t>„</w:t>
      </w:r>
      <w:proofErr w:type="spellStart"/>
      <w:r w:rsidR="009B5D71">
        <w:rPr>
          <w:rFonts w:eastAsia="Calibri"/>
        </w:rPr>
        <w:t>Nízkoemisní</w:t>
      </w:r>
      <w:proofErr w:type="spellEnd"/>
      <w:r w:rsidR="009B5D71">
        <w:rPr>
          <w:rFonts w:eastAsia="Calibri"/>
        </w:rPr>
        <w:t xml:space="preserve"> a</w:t>
      </w:r>
      <w:r w:rsidR="0061693E">
        <w:rPr>
          <w:rFonts w:eastAsia="Calibri"/>
        </w:rPr>
        <w:t> </w:t>
      </w:r>
      <w:r w:rsidR="009B5D71">
        <w:rPr>
          <w:rFonts w:eastAsia="Calibri"/>
        </w:rPr>
        <w:t>bezemisní vozidla“</w:t>
      </w:r>
      <w:r w:rsidR="00BC3EE7">
        <w:rPr>
          <w:rFonts w:eastAsia="Calibri"/>
        </w:rPr>
        <w:t>,</w:t>
      </w:r>
      <w:r w:rsidRPr="00C53049">
        <w:rPr>
          <w:rFonts w:eastAsia="Calibri"/>
        </w:rPr>
        <w:t xml:space="preserve"> </w:t>
      </w:r>
      <w:r w:rsidRPr="00C53049">
        <w:t>údaje o počtu linek, délce linek, délce provozní sítě, počtu zastávek v rámci provozní sítě a četností spojů. Údaje o délce provozní sítě a četností spojů jsou již výše uvedeny u dílčího cíle „</w:t>
      </w:r>
      <w:r w:rsidR="00BC3EE7">
        <w:t>p</w:t>
      </w:r>
      <w:r w:rsidRPr="00C53049">
        <w:t>osílit přepravní výkony veřejné dopravy“, neboť jsou relevantní i</w:t>
      </w:r>
      <w:r w:rsidR="0061693E">
        <w:t> </w:t>
      </w:r>
      <w:r w:rsidRPr="00C53049">
        <w:t>pro</w:t>
      </w:r>
      <w:r w:rsidR="0061693E">
        <w:t> </w:t>
      </w:r>
      <w:r w:rsidRPr="00C53049">
        <w:t>něj.</w:t>
      </w:r>
    </w:p>
    <w:p w14:paraId="42EF5A8C" w14:textId="7FDE166F" w:rsidR="00C53049" w:rsidRPr="00C53049" w:rsidRDefault="00C53049" w:rsidP="00380840">
      <w:pPr>
        <w:pStyle w:val="Zkladn"/>
        <w:spacing w:before="120" w:after="120"/>
      </w:pPr>
      <w:r w:rsidRPr="00C53049">
        <w:t xml:space="preserve">Počet linek se z dlouhodobého hlediska snížil u </w:t>
      </w:r>
      <w:r w:rsidR="00BC3EE7">
        <w:t>tří</w:t>
      </w:r>
      <w:r w:rsidRPr="00C53049">
        <w:t xml:space="preserve"> dopravců, a to v rozmezí od 4 % do 7</w:t>
      </w:r>
      <w:r w:rsidR="00BC3EE7">
        <w:t> </w:t>
      </w:r>
      <w:r w:rsidR="0077185D">
        <w:t>%; u </w:t>
      </w:r>
      <w:r w:rsidRPr="00C53049">
        <w:t>dvou dopravců zůstal nezměněn a u čtyř dopravců došlo k jeho zvýšení v rozmezí od 7</w:t>
      </w:r>
      <w:r w:rsidR="00BC3EE7">
        <w:t> </w:t>
      </w:r>
      <w:r w:rsidRPr="00C53049">
        <w:t>% do</w:t>
      </w:r>
      <w:r w:rsidR="0061693E">
        <w:t> </w:t>
      </w:r>
      <w:r w:rsidRPr="00C53049">
        <w:t>14 %. Z krátkodobého hlediska zůstal počet linek stejný u šesti dopravců; u jednoho dopravce se snížil o 1 % a u dvou dopravců zvýšil o 4 %.</w:t>
      </w:r>
    </w:p>
    <w:p w14:paraId="73717E9A" w14:textId="77777777" w:rsidR="00C53049" w:rsidRPr="00C53049" w:rsidRDefault="00C53049" w:rsidP="00380840">
      <w:pPr>
        <w:pStyle w:val="Zkladn"/>
        <w:spacing w:before="120" w:after="120"/>
      </w:pPr>
      <w:r w:rsidRPr="00C53049">
        <w:t>Délka linek se z dlouhodobého hlediska zkrátila u dvou dopravců o 3 % a 6 %; u jednoho dopravce zůstala nezměněna a u šesti dopravců došlo k jejímu prodloužení v rozmezí od 3 % do 14 %. Z krátkodobého hlediska zůstala délka linek stejná u sedmi dopravců; u jednoho dopravce se snížila o 9 % a u jednoho dopravce zvýšila o 4 %.</w:t>
      </w:r>
    </w:p>
    <w:p w14:paraId="6412E0AA" w14:textId="43AA5FAB" w:rsidR="00C53049" w:rsidRPr="00C53049" w:rsidRDefault="00C53049" w:rsidP="00380840">
      <w:pPr>
        <w:pStyle w:val="Zkladn"/>
        <w:spacing w:before="120" w:after="120"/>
      </w:pPr>
      <w:r w:rsidRPr="00C53049">
        <w:t>Počet zastávek v rámci provozní sítě se z dlouhodobého hlediska snížil u dvou dopravců o 1 % a 2 %; u dvou dopravců zůstal nezměněn a u pěti dopravců došlo k jeho zvýšení v rozmezí od2</w:t>
      </w:r>
      <w:r w:rsidR="00BC3EE7">
        <w:t> </w:t>
      </w:r>
      <w:r w:rsidRPr="00C53049">
        <w:t>% do 6 %. Z krátkodobého hlediska zůstal počet zastávek stejný u dvou dopravců; u dvou dopravců se snížil o 1 % a 7 % a u pěti dopravců zvýšil v rozmezí od 1 % do 16 %.</w:t>
      </w:r>
    </w:p>
    <w:p w14:paraId="4341CA60" w14:textId="03E83360" w:rsidR="00C53049" w:rsidRPr="00C53049" w:rsidRDefault="00C53049" w:rsidP="00380840">
      <w:pPr>
        <w:pStyle w:val="Zkladn"/>
        <w:spacing w:before="120" w:after="120"/>
      </w:pPr>
      <w:r w:rsidRPr="00C53049">
        <w:t>V případě terminálů byly relevantní údaje týkající se počtu linek majících na terminálu zastávku ve sledovaném období (2013–2018) k dispozici jen u jednoho projektu, u kterého byl tento počet z dlouhodobého hlediska nezměněn a z krátkodobého hlediska se snížil o 4 %. U</w:t>
      </w:r>
      <w:r w:rsidR="004D2645">
        <w:t> </w:t>
      </w:r>
      <w:r w:rsidRPr="00C53049">
        <w:t>zbývajících dvou projektů zaměřených na opatření „Terminály“ byl</w:t>
      </w:r>
      <w:r w:rsidR="003D679A">
        <w:t>a</w:t>
      </w:r>
      <w:r w:rsidRPr="00C53049">
        <w:t xml:space="preserve"> zjištěn</w:t>
      </w:r>
      <w:r w:rsidR="003D679A">
        <w:t>a</w:t>
      </w:r>
      <w:r w:rsidRPr="00C53049">
        <w:t xml:space="preserve"> „pouze“ data za rok 2018. Údaj o počtu spojů majících zastávku na terminálu ve sledovaném období byl k dispozici rovněž jen u jednoho projektu, u kterého se tento počet z dlouhodobého hlediska zvýšil o 7 % a z krátkodobého hlediska o 2 %. </w:t>
      </w:r>
    </w:p>
    <w:p w14:paraId="15C743C4" w14:textId="77777777" w:rsidR="00C53049" w:rsidRPr="00CC3A03" w:rsidRDefault="00C53049" w:rsidP="00CC3A03">
      <w:pPr>
        <w:pStyle w:val="Odstavecseseznamem"/>
        <w:numPr>
          <w:ilvl w:val="0"/>
          <w:numId w:val="41"/>
        </w:numPr>
        <w:spacing w:before="120" w:after="120"/>
        <w:ind w:left="284" w:hanging="284"/>
        <w:rPr>
          <w:b/>
        </w:rPr>
      </w:pPr>
      <w:r w:rsidRPr="00CC3A03">
        <w:rPr>
          <w:b/>
        </w:rPr>
        <w:t>Využít potenciál nemotorové dopravy k mobilitě pracovních sil</w:t>
      </w:r>
    </w:p>
    <w:p w14:paraId="187F833B" w14:textId="77777777" w:rsidR="00C53049" w:rsidRPr="00C53049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rPr>
          <w:rFonts w:eastAsia="Calibri"/>
        </w:rPr>
        <w:t>Tento dílčí cíl nebyl NKÚ identifikován u žádného z prověřovaných projektů.</w:t>
      </w:r>
    </w:p>
    <w:p w14:paraId="45810935" w14:textId="77777777" w:rsidR="00C53049" w:rsidRPr="00CC3A03" w:rsidRDefault="00C53049" w:rsidP="00CC3A03">
      <w:pPr>
        <w:pStyle w:val="Odstavecseseznamem"/>
        <w:numPr>
          <w:ilvl w:val="0"/>
          <w:numId w:val="41"/>
        </w:numPr>
        <w:spacing w:before="120" w:after="120"/>
        <w:ind w:left="284" w:hanging="284"/>
        <w:rPr>
          <w:b/>
        </w:rPr>
      </w:pPr>
      <w:r w:rsidRPr="00CC3A03">
        <w:rPr>
          <w:b/>
        </w:rPr>
        <w:t>Vytvořit podmínky pro mobilitu a optimalizaci sítě cyklostezek a cyklotras</w:t>
      </w:r>
    </w:p>
    <w:p w14:paraId="024B114C" w14:textId="77777777" w:rsidR="00C53049" w:rsidRPr="00C53049" w:rsidRDefault="00C53049" w:rsidP="00380840">
      <w:pPr>
        <w:pStyle w:val="KZnormln"/>
        <w:spacing w:before="120"/>
        <w:rPr>
          <w:rFonts w:eastAsia="Calibri"/>
        </w:rPr>
      </w:pPr>
      <w:r w:rsidRPr="00C53049">
        <w:rPr>
          <w:rFonts w:eastAsia="Calibri"/>
        </w:rPr>
        <w:t>Tento dílčí cíl byl NKÚ identifikován u jednoho projektu (vztahujícího se k opatření „Terminály“). Kontrolou NKÚ bylo zjištěno, že tento dílčí cíl byl naplněn.</w:t>
      </w:r>
    </w:p>
    <w:p w14:paraId="6BF485F8" w14:textId="09DC35CB" w:rsidR="001D15A0" w:rsidRDefault="00C53049" w:rsidP="00380840">
      <w:pPr>
        <w:pStyle w:val="Zkladn"/>
        <w:spacing w:before="120" w:after="120"/>
        <w:rPr>
          <w:rFonts w:eastAsia="Calibri"/>
        </w:rPr>
      </w:pPr>
      <w:r w:rsidRPr="00C53049">
        <w:t xml:space="preserve">NKÚ zjišťoval </w:t>
      </w:r>
      <w:r w:rsidRPr="00C53049">
        <w:rPr>
          <w:rFonts w:eastAsia="Calibri"/>
        </w:rPr>
        <w:t>u příjemců podpory, kteří real</w:t>
      </w:r>
      <w:r w:rsidR="00415AEC">
        <w:rPr>
          <w:rFonts w:eastAsia="Calibri"/>
        </w:rPr>
        <w:t>izovali opatření „Terminály“</w:t>
      </w:r>
      <w:r w:rsidR="003D679A">
        <w:rPr>
          <w:rFonts w:eastAsia="Calibri"/>
        </w:rPr>
        <w:t>,</w:t>
      </w:r>
      <w:r w:rsidR="00415AEC">
        <w:rPr>
          <w:rFonts w:eastAsia="Calibri"/>
        </w:rPr>
        <w:t xml:space="preserve"> mimo jiné</w:t>
      </w:r>
      <w:r w:rsidRPr="00C53049">
        <w:rPr>
          <w:rFonts w:eastAsia="Calibri"/>
        </w:rPr>
        <w:t xml:space="preserve"> údaje o</w:t>
      </w:r>
      <w:r w:rsidR="0061693E">
        <w:rPr>
          <w:rFonts w:eastAsia="Calibri"/>
        </w:rPr>
        <w:t> </w:t>
      </w:r>
      <w:r w:rsidRPr="00C53049">
        <w:rPr>
          <w:rFonts w:eastAsia="Calibri"/>
        </w:rPr>
        <w:t xml:space="preserve">počtu vytvořených parkovacích míst pro jízdní kola v rámci terminálu a jejich využití. Počet takovýchto nově vytvořených parkovacích míst v roce 2018 se u </w:t>
      </w:r>
      <w:r w:rsidR="003D679A">
        <w:rPr>
          <w:rFonts w:eastAsia="Calibri"/>
        </w:rPr>
        <w:t>tří</w:t>
      </w:r>
      <w:r w:rsidRPr="00C53049">
        <w:rPr>
          <w:rFonts w:eastAsia="Calibri"/>
        </w:rPr>
        <w:t xml:space="preserve"> projektů pohyboval v rozmezí od 12 do 32, přičemž jejich využití sledoval pouze jeden z příjemců.</w:t>
      </w:r>
      <w:r w:rsidR="001D15A0">
        <w:rPr>
          <w:rFonts w:eastAsia="Calibri"/>
        </w:rPr>
        <w:br w:type="page"/>
      </w:r>
    </w:p>
    <w:p w14:paraId="1EC46652" w14:textId="77777777" w:rsidR="001D15A0" w:rsidRDefault="001D15A0" w:rsidP="009D6467">
      <w:pPr>
        <w:pStyle w:val="Zkladn"/>
        <w:sectPr w:rsidR="001D15A0" w:rsidSect="00B81EEC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CE9A466" w14:textId="77777777" w:rsidR="00BE3891" w:rsidRPr="00572717" w:rsidRDefault="00BE3891" w:rsidP="00BE3891">
      <w:pPr>
        <w:spacing w:after="20" w:line="240" w:lineRule="auto"/>
        <w:rPr>
          <w:rFonts w:ascii="Calibri" w:hAnsi="Calibri" w:cs="Calibri"/>
          <w:b/>
        </w:rPr>
      </w:pPr>
      <w:r w:rsidRPr="00572717">
        <w:rPr>
          <w:rFonts w:ascii="Calibri" w:hAnsi="Calibri" w:cs="Calibri"/>
          <w:b/>
        </w:rPr>
        <w:lastRenderedPageBreak/>
        <w:t>Matice dílčích cílů identifikovaných NKÚ v jednotlivých projektech</w:t>
      </w:r>
    </w:p>
    <w:tbl>
      <w:tblPr>
        <w:tblStyle w:val="Mkatabulky"/>
        <w:tblW w:w="13995" w:type="dxa"/>
        <w:jc w:val="right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2183"/>
        <w:gridCol w:w="3685"/>
        <w:gridCol w:w="709"/>
        <w:gridCol w:w="709"/>
        <w:gridCol w:w="709"/>
        <w:gridCol w:w="709"/>
        <w:gridCol w:w="709"/>
        <w:gridCol w:w="754"/>
        <w:gridCol w:w="709"/>
        <w:gridCol w:w="709"/>
        <w:gridCol w:w="709"/>
      </w:tblGrid>
      <w:tr w:rsidR="00BE3891" w:rsidRPr="0060505A" w14:paraId="71E62716" w14:textId="77777777" w:rsidTr="00BE3891">
        <w:trPr>
          <w:cantSplit/>
          <w:trHeight w:val="1956"/>
          <w:jc w:val="right"/>
        </w:trPr>
        <w:tc>
          <w:tcPr>
            <w:tcW w:w="1701" w:type="dxa"/>
            <w:tcBorders>
              <w:bottom w:val="double" w:sz="2" w:space="0" w:color="000000" w:themeColor="text1"/>
            </w:tcBorders>
            <w:shd w:val="clear" w:color="auto" w:fill="E5F1FF"/>
            <w:vAlign w:val="center"/>
          </w:tcPr>
          <w:p w14:paraId="2A54D52B" w14:textId="77777777" w:rsidR="00BE3891" w:rsidRPr="001D1A2D" w:rsidRDefault="00BE3891" w:rsidP="00BE3891">
            <w:pPr>
              <w:ind w:left="-85" w:right="-85"/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 w:rsidRPr="001D1A2D">
              <w:rPr>
                <w:rFonts w:ascii="Calibri" w:hAnsi="Calibri" w:cs="Calibri"/>
                <w:b/>
                <w:sz w:val="14"/>
                <w:szCs w:val="14"/>
              </w:rPr>
              <w:t>Název příjemce</w:t>
            </w:r>
          </w:p>
        </w:tc>
        <w:tc>
          <w:tcPr>
            <w:tcW w:w="2183" w:type="dxa"/>
            <w:tcBorders>
              <w:bottom w:val="double" w:sz="2" w:space="0" w:color="000000" w:themeColor="text1"/>
            </w:tcBorders>
            <w:shd w:val="clear" w:color="auto" w:fill="E5F1FF"/>
            <w:vAlign w:val="center"/>
          </w:tcPr>
          <w:p w14:paraId="13828CB2" w14:textId="77777777" w:rsidR="00BE3891" w:rsidRPr="001D1A2D" w:rsidRDefault="00BE3891" w:rsidP="00BE3891">
            <w:pPr>
              <w:ind w:left="-85" w:right="-85"/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 w:rsidRPr="001D1A2D">
              <w:rPr>
                <w:rFonts w:ascii="Calibri" w:hAnsi="Calibri" w:cs="Calibri"/>
                <w:b/>
                <w:sz w:val="14"/>
                <w:szCs w:val="14"/>
              </w:rPr>
              <w:t>Registrační číslo projektu</w:t>
            </w:r>
          </w:p>
        </w:tc>
        <w:tc>
          <w:tcPr>
            <w:tcW w:w="3685" w:type="dxa"/>
            <w:tcBorders>
              <w:bottom w:val="double" w:sz="2" w:space="0" w:color="000000" w:themeColor="text1"/>
              <w:right w:val="double" w:sz="2" w:space="0" w:color="000000" w:themeColor="text1"/>
            </w:tcBorders>
            <w:shd w:val="clear" w:color="auto" w:fill="E5F1FF"/>
            <w:vAlign w:val="center"/>
          </w:tcPr>
          <w:p w14:paraId="125C3360" w14:textId="77777777" w:rsidR="00BE3891" w:rsidRPr="001D1A2D" w:rsidRDefault="00BE3891" w:rsidP="00BE3891">
            <w:pPr>
              <w:ind w:left="-57" w:right="-57"/>
              <w:jc w:val="center"/>
              <w:rPr>
                <w:rFonts w:ascii="Calibri" w:hAnsi="Calibri" w:cs="Calibri"/>
                <w:b/>
                <w:sz w:val="14"/>
                <w:szCs w:val="14"/>
              </w:rPr>
            </w:pPr>
            <w:r w:rsidRPr="001D1A2D">
              <w:rPr>
                <w:rFonts w:ascii="Calibri" w:hAnsi="Calibri" w:cs="Calibri"/>
                <w:b/>
                <w:sz w:val="14"/>
                <w:szCs w:val="14"/>
              </w:rPr>
              <w:t>Název projektu</w:t>
            </w:r>
          </w:p>
        </w:tc>
        <w:tc>
          <w:tcPr>
            <w:tcW w:w="709" w:type="dxa"/>
            <w:tcBorders>
              <w:left w:val="double" w:sz="2" w:space="0" w:color="000000" w:themeColor="text1"/>
              <w:bottom w:val="double" w:sz="2" w:space="0" w:color="000000" w:themeColor="text1"/>
            </w:tcBorders>
            <w:shd w:val="clear" w:color="auto" w:fill="E5F1FF"/>
            <w:textDirection w:val="btLr"/>
            <w:vAlign w:val="center"/>
          </w:tcPr>
          <w:p w14:paraId="762BB1E1" w14:textId="77777777" w:rsidR="00BE3891" w:rsidRPr="0060505A" w:rsidRDefault="00BE3891" w:rsidP="00BE3891">
            <w:pPr>
              <w:ind w:left="57" w:right="57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  <w:r w:rsidRPr="0060505A">
              <w:rPr>
                <w:rFonts w:ascii="Calibri" w:hAnsi="Calibri" w:cs="Calibri"/>
                <w:b/>
                <w:sz w:val="13"/>
                <w:szCs w:val="13"/>
              </w:rPr>
              <w:t>Posílit přepravní výkony veřejné dopravy</w:t>
            </w:r>
          </w:p>
        </w:tc>
        <w:tc>
          <w:tcPr>
            <w:tcW w:w="709" w:type="dxa"/>
            <w:tcBorders>
              <w:bottom w:val="double" w:sz="2" w:space="0" w:color="000000" w:themeColor="text1"/>
            </w:tcBorders>
            <w:shd w:val="clear" w:color="auto" w:fill="E5F1FF"/>
            <w:textDirection w:val="btLr"/>
            <w:vAlign w:val="center"/>
          </w:tcPr>
          <w:p w14:paraId="0553F3F0" w14:textId="77777777" w:rsidR="00BE3891" w:rsidRPr="0060505A" w:rsidRDefault="00BE3891" w:rsidP="00BE3891">
            <w:pPr>
              <w:ind w:left="57" w:right="57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  <w:r w:rsidRPr="0060505A">
              <w:rPr>
                <w:rFonts w:ascii="Calibri" w:hAnsi="Calibri" w:cs="Calibri"/>
                <w:b/>
                <w:sz w:val="13"/>
                <w:szCs w:val="13"/>
              </w:rPr>
              <w:t>Snížit zátěže plynoucí z IAD</w:t>
            </w:r>
          </w:p>
        </w:tc>
        <w:tc>
          <w:tcPr>
            <w:tcW w:w="709" w:type="dxa"/>
            <w:tcBorders>
              <w:bottom w:val="double" w:sz="2" w:space="0" w:color="000000" w:themeColor="text1"/>
            </w:tcBorders>
            <w:shd w:val="clear" w:color="auto" w:fill="E5F1FF"/>
            <w:textDirection w:val="btLr"/>
            <w:vAlign w:val="center"/>
          </w:tcPr>
          <w:p w14:paraId="00C1E095" w14:textId="77777777" w:rsidR="00BE3891" w:rsidRPr="0060505A" w:rsidRDefault="00BE3891" w:rsidP="00BE3891">
            <w:pPr>
              <w:ind w:left="57" w:right="57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  <w:r w:rsidRPr="0060505A">
              <w:rPr>
                <w:rFonts w:ascii="Calibri" w:hAnsi="Calibri" w:cs="Calibri"/>
                <w:b/>
                <w:sz w:val="13"/>
                <w:szCs w:val="13"/>
              </w:rPr>
              <w:t>Rozvinout vozový park městských autobusů s alternativním pohonem</w:t>
            </w:r>
          </w:p>
        </w:tc>
        <w:tc>
          <w:tcPr>
            <w:tcW w:w="709" w:type="dxa"/>
            <w:tcBorders>
              <w:bottom w:val="double" w:sz="2" w:space="0" w:color="000000" w:themeColor="text1"/>
            </w:tcBorders>
            <w:shd w:val="clear" w:color="auto" w:fill="E5F1FF"/>
            <w:textDirection w:val="btLr"/>
            <w:vAlign w:val="center"/>
          </w:tcPr>
          <w:p w14:paraId="28D175EB" w14:textId="77777777" w:rsidR="00BE3891" w:rsidRPr="0060505A" w:rsidRDefault="00BE3891" w:rsidP="00BE3891">
            <w:pPr>
              <w:ind w:left="57" w:right="57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  <w:r>
              <w:rPr>
                <w:rFonts w:ascii="Calibri" w:hAnsi="Calibri" w:cs="Calibri"/>
                <w:b/>
                <w:sz w:val="13"/>
                <w:szCs w:val="13"/>
              </w:rPr>
              <w:t>Rozvinout a provádět IDS v silničním provozu ve městech a aglomeracích</w:t>
            </w:r>
          </w:p>
        </w:tc>
        <w:tc>
          <w:tcPr>
            <w:tcW w:w="709" w:type="dxa"/>
            <w:tcBorders>
              <w:bottom w:val="double" w:sz="2" w:space="0" w:color="000000" w:themeColor="text1"/>
            </w:tcBorders>
            <w:shd w:val="clear" w:color="auto" w:fill="E5F1FF"/>
            <w:textDirection w:val="btLr"/>
            <w:vAlign w:val="center"/>
          </w:tcPr>
          <w:p w14:paraId="06A57E49" w14:textId="77777777" w:rsidR="00BE3891" w:rsidRPr="0060505A" w:rsidRDefault="00BE3891" w:rsidP="00BE3891">
            <w:pPr>
              <w:ind w:left="57" w:right="57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  <w:r>
              <w:rPr>
                <w:rFonts w:ascii="Calibri" w:hAnsi="Calibri" w:cs="Calibri"/>
                <w:b/>
                <w:sz w:val="13"/>
                <w:szCs w:val="13"/>
              </w:rPr>
              <w:t>Zajistit potřeby specifických skupin obyvatel v dopravě</w:t>
            </w:r>
          </w:p>
        </w:tc>
        <w:tc>
          <w:tcPr>
            <w:tcW w:w="754" w:type="dxa"/>
            <w:tcBorders>
              <w:bottom w:val="double" w:sz="2" w:space="0" w:color="000000" w:themeColor="text1"/>
            </w:tcBorders>
            <w:shd w:val="clear" w:color="auto" w:fill="E5F1FF"/>
            <w:textDirection w:val="btLr"/>
            <w:vAlign w:val="center"/>
          </w:tcPr>
          <w:p w14:paraId="15EA6132" w14:textId="77777777" w:rsidR="00BE3891" w:rsidRPr="0060505A" w:rsidRDefault="00BE3891" w:rsidP="00BE3891">
            <w:pPr>
              <w:ind w:left="57" w:right="57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  <w:r>
              <w:rPr>
                <w:rFonts w:ascii="Calibri" w:hAnsi="Calibri" w:cs="Calibri"/>
                <w:b/>
                <w:sz w:val="13"/>
                <w:szCs w:val="13"/>
              </w:rPr>
              <w:t>Zajistit bezpečnost a bezbariérovost dopravy v zájmu zvýšení podílu udržitelných forem dopravy</w:t>
            </w:r>
          </w:p>
        </w:tc>
        <w:tc>
          <w:tcPr>
            <w:tcW w:w="709" w:type="dxa"/>
            <w:tcBorders>
              <w:bottom w:val="double" w:sz="2" w:space="0" w:color="000000" w:themeColor="text1"/>
            </w:tcBorders>
            <w:shd w:val="clear" w:color="auto" w:fill="E5F1FF"/>
            <w:textDirection w:val="btLr"/>
            <w:vAlign w:val="center"/>
          </w:tcPr>
          <w:p w14:paraId="5B9F6C81" w14:textId="77777777" w:rsidR="00BE3891" w:rsidRPr="0060505A" w:rsidRDefault="00BE3891" w:rsidP="00BE3891">
            <w:pPr>
              <w:ind w:left="57" w:right="57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  <w:r>
              <w:rPr>
                <w:rFonts w:ascii="Calibri" w:hAnsi="Calibri" w:cs="Calibri"/>
                <w:b/>
                <w:sz w:val="13"/>
                <w:szCs w:val="13"/>
              </w:rPr>
              <w:t>Zajistit dopravní dostupnost práce, služeb a vzdělání</w:t>
            </w:r>
          </w:p>
        </w:tc>
        <w:tc>
          <w:tcPr>
            <w:tcW w:w="709" w:type="dxa"/>
            <w:tcBorders>
              <w:bottom w:val="double" w:sz="2" w:space="0" w:color="000000" w:themeColor="text1"/>
            </w:tcBorders>
            <w:shd w:val="clear" w:color="auto" w:fill="E5F1FF"/>
            <w:textDirection w:val="btLr"/>
            <w:vAlign w:val="center"/>
          </w:tcPr>
          <w:p w14:paraId="0E126EF0" w14:textId="77777777" w:rsidR="00BE3891" w:rsidRPr="0060505A" w:rsidRDefault="00BE3891" w:rsidP="00BE3891">
            <w:pPr>
              <w:ind w:left="57" w:right="57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  <w:r>
              <w:rPr>
                <w:rFonts w:ascii="Calibri" w:hAnsi="Calibri" w:cs="Calibri"/>
                <w:b/>
                <w:sz w:val="13"/>
                <w:szCs w:val="13"/>
              </w:rPr>
              <w:t>Využít potenciál nemotorové dopravy k mobilitě pracovních sil</w:t>
            </w:r>
          </w:p>
        </w:tc>
        <w:tc>
          <w:tcPr>
            <w:tcW w:w="709" w:type="dxa"/>
            <w:tcBorders>
              <w:bottom w:val="double" w:sz="2" w:space="0" w:color="000000" w:themeColor="text1"/>
            </w:tcBorders>
            <w:shd w:val="clear" w:color="auto" w:fill="E5F1FF"/>
            <w:textDirection w:val="btLr"/>
            <w:vAlign w:val="center"/>
          </w:tcPr>
          <w:p w14:paraId="7436B5B7" w14:textId="77777777" w:rsidR="00BE3891" w:rsidRPr="0060505A" w:rsidRDefault="00BE3891" w:rsidP="00BE3891">
            <w:pPr>
              <w:ind w:left="57" w:right="57"/>
              <w:jc w:val="center"/>
              <w:rPr>
                <w:rFonts w:ascii="Calibri" w:hAnsi="Calibri" w:cs="Calibri"/>
                <w:b/>
                <w:sz w:val="13"/>
                <w:szCs w:val="13"/>
              </w:rPr>
            </w:pPr>
            <w:r>
              <w:rPr>
                <w:rFonts w:ascii="Calibri" w:hAnsi="Calibri" w:cs="Calibri"/>
                <w:b/>
                <w:sz w:val="13"/>
                <w:szCs w:val="13"/>
              </w:rPr>
              <w:t>Vytvořit podmínky pro mobilitu a optimalizaci sítě cyklostezek a cyklotras</w:t>
            </w:r>
          </w:p>
        </w:tc>
      </w:tr>
      <w:tr w:rsidR="00BE3891" w:rsidRPr="001F31D6" w14:paraId="2AF5332D" w14:textId="77777777" w:rsidTr="00BE3891">
        <w:trPr>
          <w:trHeight w:val="215"/>
          <w:jc w:val="right"/>
        </w:trPr>
        <w:tc>
          <w:tcPr>
            <w:tcW w:w="1701" w:type="dxa"/>
            <w:tcBorders>
              <w:top w:val="double" w:sz="2" w:space="0" w:color="000000" w:themeColor="text1"/>
            </w:tcBorders>
            <w:vAlign w:val="center"/>
          </w:tcPr>
          <w:p w14:paraId="25766FB4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812334">
              <w:rPr>
                <w:rFonts w:ascii="Calibri" w:hAnsi="Calibri" w:cs="Calibri"/>
                <w:sz w:val="14"/>
                <w:szCs w:val="14"/>
              </w:rPr>
              <w:t>Dopravní podnik měst Chomutov a Jirkov a.s.</w:t>
            </w:r>
          </w:p>
        </w:tc>
        <w:tc>
          <w:tcPr>
            <w:tcW w:w="2183" w:type="dxa"/>
            <w:tcBorders>
              <w:top w:val="double" w:sz="2" w:space="0" w:color="000000" w:themeColor="text1"/>
            </w:tcBorders>
            <w:vAlign w:val="center"/>
          </w:tcPr>
          <w:p w14:paraId="4BA817D8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 w:rsidRPr="00812334">
              <w:rPr>
                <w:rFonts w:ascii="Calibri" w:hAnsi="Calibri" w:cs="Calibri"/>
                <w:sz w:val="14"/>
                <w:szCs w:val="14"/>
              </w:rPr>
              <w:t>CZ.06.1.37/0.0/0.0/16_022/0001659</w:t>
            </w:r>
          </w:p>
        </w:tc>
        <w:tc>
          <w:tcPr>
            <w:tcW w:w="3685" w:type="dxa"/>
            <w:tcBorders>
              <w:top w:val="double" w:sz="2" w:space="0" w:color="000000" w:themeColor="text1"/>
              <w:right w:val="double" w:sz="2" w:space="0" w:color="000000" w:themeColor="text1"/>
            </w:tcBorders>
            <w:vAlign w:val="center"/>
          </w:tcPr>
          <w:p w14:paraId="0AA78FF1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812334">
              <w:rPr>
                <w:rFonts w:ascii="Calibri" w:hAnsi="Calibri" w:cs="Calibri"/>
                <w:sz w:val="14"/>
                <w:szCs w:val="14"/>
              </w:rPr>
              <w:t>Udržitelná veřejná doprava 2016</w:t>
            </w:r>
          </w:p>
        </w:tc>
        <w:tc>
          <w:tcPr>
            <w:tcW w:w="709" w:type="dxa"/>
            <w:tcBorders>
              <w:top w:val="double" w:sz="2" w:space="0" w:color="000000" w:themeColor="text1"/>
              <w:left w:val="double" w:sz="2" w:space="0" w:color="000000" w:themeColor="text1"/>
            </w:tcBorders>
            <w:vAlign w:val="center"/>
          </w:tcPr>
          <w:p w14:paraId="5949B531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tcBorders>
              <w:top w:val="double" w:sz="2" w:space="0" w:color="000000" w:themeColor="text1"/>
            </w:tcBorders>
            <w:vAlign w:val="center"/>
          </w:tcPr>
          <w:p w14:paraId="7BB8EBD1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tcBorders>
              <w:top w:val="double" w:sz="2" w:space="0" w:color="000000" w:themeColor="text1"/>
            </w:tcBorders>
            <w:vAlign w:val="center"/>
          </w:tcPr>
          <w:p w14:paraId="003BBB0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tcBorders>
              <w:top w:val="double" w:sz="2" w:space="0" w:color="000000" w:themeColor="text1"/>
            </w:tcBorders>
            <w:vAlign w:val="center"/>
          </w:tcPr>
          <w:p w14:paraId="0E827FA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tcBorders>
              <w:top w:val="double" w:sz="2" w:space="0" w:color="000000" w:themeColor="text1"/>
            </w:tcBorders>
            <w:vAlign w:val="center"/>
          </w:tcPr>
          <w:p w14:paraId="3F68763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54" w:type="dxa"/>
            <w:tcBorders>
              <w:top w:val="double" w:sz="2" w:space="0" w:color="000000" w:themeColor="text1"/>
            </w:tcBorders>
            <w:vAlign w:val="center"/>
          </w:tcPr>
          <w:p w14:paraId="258C4C45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tcBorders>
              <w:top w:val="double" w:sz="2" w:space="0" w:color="000000" w:themeColor="text1"/>
            </w:tcBorders>
            <w:vAlign w:val="center"/>
          </w:tcPr>
          <w:p w14:paraId="1256BDC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tcBorders>
              <w:top w:val="double" w:sz="2" w:space="0" w:color="000000" w:themeColor="text1"/>
            </w:tcBorders>
            <w:vAlign w:val="center"/>
          </w:tcPr>
          <w:p w14:paraId="24BB0C14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tcBorders>
              <w:top w:val="double" w:sz="2" w:space="0" w:color="000000" w:themeColor="text1"/>
            </w:tcBorders>
            <w:vAlign w:val="center"/>
          </w:tcPr>
          <w:p w14:paraId="36CB291E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62C17030" w14:textId="77777777" w:rsidTr="00BE3891">
        <w:trPr>
          <w:trHeight w:val="215"/>
          <w:jc w:val="right"/>
        </w:trPr>
        <w:tc>
          <w:tcPr>
            <w:tcW w:w="1701" w:type="dxa"/>
            <w:vAlign w:val="center"/>
          </w:tcPr>
          <w:p w14:paraId="1BB8FF92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  <w:r w:rsidRPr="00812334">
              <w:rPr>
                <w:rFonts w:ascii="Calibri" w:hAnsi="Calibri" w:cs="Calibri"/>
                <w:sz w:val="14"/>
                <w:szCs w:val="14"/>
              </w:rPr>
              <w:t>Dopravní podnik města Děčína, a. s.</w:t>
            </w:r>
          </w:p>
        </w:tc>
        <w:tc>
          <w:tcPr>
            <w:tcW w:w="2183" w:type="dxa"/>
            <w:vAlign w:val="center"/>
          </w:tcPr>
          <w:p w14:paraId="23313CB0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CZ.06.1.37/0.0/0.0/16_045/0005093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vAlign w:val="center"/>
          </w:tcPr>
          <w:p w14:paraId="32F1EBB4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Nákup 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nízkoemisních</w:t>
            </w:r>
            <w:proofErr w:type="spellEnd"/>
            <w:r>
              <w:rPr>
                <w:rFonts w:ascii="Calibri" w:hAnsi="Calibri" w:cs="Calibri"/>
                <w:sz w:val="14"/>
                <w:szCs w:val="14"/>
              </w:rPr>
              <w:t xml:space="preserve"> vozidel pro MAD v Děčíně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vAlign w:val="center"/>
          </w:tcPr>
          <w:p w14:paraId="05EC21F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4EE00F2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04B2C9EE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59F952C0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4CE87EC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54" w:type="dxa"/>
            <w:vAlign w:val="center"/>
          </w:tcPr>
          <w:p w14:paraId="0E5512EE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70C3FE7D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2A06ECEF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66BC597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2621B3D6" w14:textId="77777777" w:rsidTr="00BE3891">
        <w:trPr>
          <w:trHeight w:val="215"/>
          <w:jc w:val="right"/>
        </w:trPr>
        <w:tc>
          <w:tcPr>
            <w:tcW w:w="1701" w:type="dxa"/>
            <w:vAlign w:val="center"/>
          </w:tcPr>
          <w:p w14:paraId="31F9DD98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Plzeňské městské dopravní podniky, a.s.</w:t>
            </w:r>
          </w:p>
        </w:tc>
        <w:tc>
          <w:tcPr>
            <w:tcW w:w="2183" w:type="dxa"/>
            <w:vAlign w:val="center"/>
          </w:tcPr>
          <w:p w14:paraId="59B6E93B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CZ.06.1.37/0.0/0.0/16_045/0006867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vAlign w:val="center"/>
          </w:tcPr>
          <w:p w14:paraId="591E748B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Nákup nízkopodlažních trolejbusů pro MHD v Plzni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vAlign w:val="center"/>
          </w:tcPr>
          <w:p w14:paraId="0069D8DC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77B113A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5F4C2CE3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0862D74F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52EAB92E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54" w:type="dxa"/>
            <w:vAlign w:val="center"/>
          </w:tcPr>
          <w:p w14:paraId="11CEFE7E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4D05E703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767C439D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183AE2F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1EC833E3" w14:textId="77777777" w:rsidTr="00BE3891">
        <w:trPr>
          <w:trHeight w:val="215"/>
          <w:jc w:val="right"/>
        </w:trPr>
        <w:tc>
          <w:tcPr>
            <w:tcW w:w="1701" w:type="dxa"/>
            <w:vAlign w:val="center"/>
          </w:tcPr>
          <w:p w14:paraId="75FCE29E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Plzeňský kraj</w:t>
            </w:r>
          </w:p>
        </w:tc>
        <w:tc>
          <w:tcPr>
            <w:tcW w:w="2183" w:type="dxa"/>
            <w:shd w:val="clear" w:color="auto" w:fill="F2C6C9"/>
            <w:vAlign w:val="center"/>
          </w:tcPr>
          <w:p w14:paraId="018ECB5A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CZ.06.1.37/0.0/0.0/16_025/0001463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shd w:val="clear" w:color="auto" w:fill="F2C6C9"/>
            <w:vAlign w:val="center"/>
          </w:tcPr>
          <w:p w14:paraId="5E1BEA39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Zvýšení kvality dopravy v Plzeňském kraji – rozvoj systému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shd w:val="clear" w:color="auto" w:fill="F2C6C9"/>
            <w:vAlign w:val="center"/>
          </w:tcPr>
          <w:p w14:paraId="6FF58531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3903911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58E2664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007B088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0B035FF1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54" w:type="dxa"/>
            <w:shd w:val="clear" w:color="auto" w:fill="F2C6C9"/>
            <w:vAlign w:val="center"/>
          </w:tcPr>
          <w:p w14:paraId="1B8450CF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3E1CD347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72E22438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68945D32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364568A2" w14:textId="77777777" w:rsidTr="00BE3891">
        <w:trPr>
          <w:trHeight w:val="215"/>
          <w:jc w:val="right"/>
        </w:trPr>
        <w:tc>
          <w:tcPr>
            <w:tcW w:w="1701" w:type="dxa"/>
            <w:vAlign w:val="center"/>
          </w:tcPr>
          <w:p w14:paraId="017B5473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ČSAD STTRANS a.s.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14:paraId="7363701A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CZ.06.1.37/0.0/0.0/16_029/0001890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8D09BB8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Dopravní terminál Strakonice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5F2B40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AF1C770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87CEB6E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B60A95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64D21EF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54" w:type="dxa"/>
            <w:shd w:val="clear" w:color="auto" w:fill="D9D9D9" w:themeFill="background1" w:themeFillShade="D9"/>
            <w:vAlign w:val="center"/>
          </w:tcPr>
          <w:p w14:paraId="481B918F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4ABFC94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505AD9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5E1E61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797909FE" w14:textId="77777777" w:rsidTr="00BE3891">
        <w:trPr>
          <w:trHeight w:val="215"/>
          <w:jc w:val="right"/>
        </w:trPr>
        <w:tc>
          <w:tcPr>
            <w:tcW w:w="1701" w:type="dxa"/>
            <w:vAlign w:val="center"/>
          </w:tcPr>
          <w:p w14:paraId="1FCBEBFD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Dopravní podnik města České Budějovice, a.s.</w:t>
            </w:r>
          </w:p>
        </w:tc>
        <w:tc>
          <w:tcPr>
            <w:tcW w:w="2183" w:type="dxa"/>
            <w:vAlign w:val="center"/>
          </w:tcPr>
          <w:p w14:paraId="6D291A48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CZ.06.1.37/0.0/0.0/16_022/0001329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vAlign w:val="center"/>
          </w:tcPr>
          <w:p w14:paraId="5CE22009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Nákup 11 nízkopodlažních cyklicky dobíjených 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elektrobusů</w:t>
            </w:r>
            <w:proofErr w:type="spellEnd"/>
            <w:r>
              <w:rPr>
                <w:rFonts w:ascii="Calibri" w:hAnsi="Calibri" w:cs="Calibri"/>
                <w:sz w:val="14"/>
                <w:szCs w:val="14"/>
              </w:rPr>
              <w:t xml:space="preserve"> v roce 2017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vAlign w:val="center"/>
          </w:tcPr>
          <w:p w14:paraId="69F3D80D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4AB4624F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052C46A5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0E9EE888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014B72E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54" w:type="dxa"/>
            <w:vAlign w:val="center"/>
          </w:tcPr>
          <w:p w14:paraId="468435C0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590EF02D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2D20C318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5CE933E7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261C8726" w14:textId="77777777" w:rsidTr="00BE3891">
        <w:trPr>
          <w:trHeight w:val="215"/>
          <w:jc w:val="right"/>
        </w:trPr>
        <w:tc>
          <w:tcPr>
            <w:tcW w:w="1701" w:type="dxa"/>
            <w:vMerge w:val="restart"/>
            <w:vAlign w:val="center"/>
          </w:tcPr>
          <w:p w14:paraId="338156C0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Dopravní podnik města Hradce Králové, a.s.</w:t>
            </w:r>
          </w:p>
        </w:tc>
        <w:tc>
          <w:tcPr>
            <w:tcW w:w="2183" w:type="dxa"/>
            <w:vAlign w:val="center"/>
          </w:tcPr>
          <w:p w14:paraId="03E9D8CC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CZ.06.1.37/0.0/0.0/16_022/0001390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vAlign w:val="center"/>
          </w:tcPr>
          <w:p w14:paraId="3D2EC3CE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Pořízení bezemisních vozidel pro účely veřejné dopravy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vAlign w:val="center"/>
          </w:tcPr>
          <w:p w14:paraId="461A8A6E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033D7A94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6894205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15AA43C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3FF7691C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54" w:type="dxa"/>
            <w:vAlign w:val="center"/>
          </w:tcPr>
          <w:p w14:paraId="11883104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30CD11C3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462F3F3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1D9988A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69812087" w14:textId="77777777" w:rsidTr="00BE3891">
        <w:trPr>
          <w:trHeight w:val="215"/>
          <w:jc w:val="right"/>
        </w:trPr>
        <w:tc>
          <w:tcPr>
            <w:tcW w:w="1701" w:type="dxa"/>
            <w:vMerge/>
            <w:vAlign w:val="center"/>
          </w:tcPr>
          <w:p w14:paraId="2F7988C9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2183" w:type="dxa"/>
            <w:vAlign w:val="center"/>
          </w:tcPr>
          <w:p w14:paraId="64814189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CZ.06.1.37/0.0/0.0/16_045/0007421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vAlign w:val="center"/>
          </w:tcPr>
          <w:p w14:paraId="4DBC1FA7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Pořízení 6 ks trolejbusů s pomocným bateriovým pohonem pro účely veřejné dopravy v Hradci Králové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vAlign w:val="center"/>
          </w:tcPr>
          <w:p w14:paraId="45171F50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23190B25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12CD3E12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66D2F1C8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45927D2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54" w:type="dxa"/>
            <w:vAlign w:val="center"/>
          </w:tcPr>
          <w:p w14:paraId="1FD8A99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55EF174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505D6160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296D8481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58AA0F5F" w14:textId="77777777" w:rsidTr="00BE3891">
        <w:trPr>
          <w:trHeight w:val="215"/>
          <w:jc w:val="right"/>
        </w:trPr>
        <w:tc>
          <w:tcPr>
            <w:tcW w:w="1701" w:type="dxa"/>
            <w:vAlign w:val="center"/>
          </w:tcPr>
          <w:p w14:paraId="19C9C8D1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Město Kolín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14:paraId="6D29B15F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CZ.06.1.37/0.0/0.0/16_029/0001858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386733C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Modernizace přestupního terminálu v Kolíně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FFAA07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62A914D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A15311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A09B5A4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18A56CD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54" w:type="dxa"/>
            <w:shd w:val="clear" w:color="auto" w:fill="D9D9D9" w:themeFill="background1" w:themeFillShade="D9"/>
            <w:vAlign w:val="center"/>
          </w:tcPr>
          <w:p w14:paraId="1330EAFD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6B3B0B1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68E6CC3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60EF555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</w:tr>
      <w:tr w:rsidR="00BE3891" w:rsidRPr="001F31D6" w14:paraId="4BCA5137" w14:textId="77777777" w:rsidTr="00BE3891">
        <w:trPr>
          <w:trHeight w:val="215"/>
          <w:jc w:val="right"/>
        </w:trPr>
        <w:tc>
          <w:tcPr>
            <w:tcW w:w="1701" w:type="dxa"/>
            <w:vMerge w:val="restart"/>
            <w:vAlign w:val="center"/>
          </w:tcPr>
          <w:p w14:paraId="0F1C99C3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Dopravní podnik města Brno, a.s.</w:t>
            </w:r>
          </w:p>
        </w:tc>
        <w:tc>
          <w:tcPr>
            <w:tcW w:w="2183" w:type="dxa"/>
            <w:vAlign w:val="center"/>
          </w:tcPr>
          <w:p w14:paraId="5743970B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CZ.06.1.37/0.0/0.0/16_022/0000773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vAlign w:val="center"/>
          </w:tcPr>
          <w:p w14:paraId="57066C98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Nákup CNG autobusů pro MHD Brno – II. etapa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vAlign w:val="center"/>
          </w:tcPr>
          <w:p w14:paraId="2C80D6C4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65BBE4FC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744C71D5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33B7F3DD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331325F3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54" w:type="dxa"/>
            <w:vAlign w:val="center"/>
          </w:tcPr>
          <w:p w14:paraId="00A3ABC1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2200C1BD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1215331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52561757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739ECB62" w14:textId="77777777" w:rsidTr="00BE3891">
        <w:trPr>
          <w:trHeight w:val="215"/>
          <w:jc w:val="right"/>
        </w:trPr>
        <w:tc>
          <w:tcPr>
            <w:tcW w:w="1701" w:type="dxa"/>
            <w:vMerge/>
            <w:vAlign w:val="center"/>
          </w:tcPr>
          <w:p w14:paraId="2B9A7CA7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2183" w:type="dxa"/>
            <w:vAlign w:val="center"/>
          </w:tcPr>
          <w:p w14:paraId="60ACEC0E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CZ.06.1.37/0.0/0.0/16_022/0000799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vAlign w:val="center"/>
          </w:tcPr>
          <w:p w14:paraId="64E8C9AC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Nákup CNG autobusů pro MHD Brno – III. etapa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vAlign w:val="center"/>
          </w:tcPr>
          <w:p w14:paraId="518DBD9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45AF88EC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7A24A69D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6B18CFE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31ED4004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54" w:type="dxa"/>
            <w:vAlign w:val="center"/>
          </w:tcPr>
          <w:p w14:paraId="75BDA49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0760AF45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23309F58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1B5DAC11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1295EFB7" w14:textId="77777777" w:rsidTr="00BE3891">
        <w:trPr>
          <w:trHeight w:val="215"/>
          <w:jc w:val="right"/>
        </w:trPr>
        <w:tc>
          <w:tcPr>
            <w:tcW w:w="1701" w:type="dxa"/>
            <w:vMerge/>
            <w:vAlign w:val="center"/>
          </w:tcPr>
          <w:p w14:paraId="2DED6C2F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2183" w:type="dxa"/>
            <w:shd w:val="clear" w:color="auto" w:fill="F2C6C9"/>
            <w:vAlign w:val="center"/>
          </w:tcPr>
          <w:p w14:paraId="085C0B0A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CZ.06.1.37/0.0/0.0/16_025/0001481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shd w:val="clear" w:color="auto" w:fill="F2C6C9"/>
            <w:vAlign w:val="center"/>
          </w:tcPr>
          <w:p w14:paraId="4E202871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Elektronické informační panely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shd w:val="clear" w:color="auto" w:fill="F2C6C9"/>
            <w:vAlign w:val="center"/>
          </w:tcPr>
          <w:p w14:paraId="42BC5E87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4F8334F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7793ABFD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7739F4F4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0577322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54" w:type="dxa"/>
            <w:shd w:val="clear" w:color="auto" w:fill="F2C6C9"/>
            <w:vAlign w:val="center"/>
          </w:tcPr>
          <w:p w14:paraId="48CB98DF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45B47E4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385D266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689761F5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0240F21C" w14:textId="77777777" w:rsidTr="00BE3891">
        <w:trPr>
          <w:trHeight w:val="215"/>
          <w:jc w:val="right"/>
        </w:trPr>
        <w:tc>
          <w:tcPr>
            <w:tcW w:w="1701" w:type="dxa"/>
            <w:vMerge/>
            <w:vAlign w:val="center"/>
          </w:tcPr>
          <w:p w14:paraId="1D19EEB0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2183" w:type="dxa"/>
            <w:vAlign w:val="center"/>
          </w:tcPr>
          <w:p w14:paraId="06E69A0D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CZ.06.1.37/0.0/0.0/16_045/0004399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vAlign w:val="center"/>
          </w:tcPr>
          <w:p w14:paraId="57B09C78" w14:textId="6E18BC12" w:rsidR="00BE3891" w:rsidRPr="00812334" w:rsidRDefault="00BE3891" w:rsidP="003D679A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Nákup nízkopodlažní</w:t>
            </w:r>
            <w:r w:rsidR="003A63AF">
              <w:rPr>
                <w:rFonts w:ascii="Calibri" w:hAnsi="Calibri" w:cs="Calibri"/>
                <w:sz w:val="14"/>
                <w:szCs w:val="14"/>
              </w:rPr>
              <w:t>ch</w:t>
            </w:r>
            <w:r>
              <w:rPr>
                <w:rFonts w:ascii="Calibri" w:hAnsi="Calibri" w:cs="Calibri"/>
                <w:sz w:val="14"/>
                <w:szCs w:val="14"/>
              </w:rPr>
              <w:t xml:space="preserve"> trolejbusů pro MHD v Brně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vAlign w:val="center"/>
          </w:tcPr>
          <w:p w14:paraId="2D6F86D4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2A9447B0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158EE828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266D095F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400D35E3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54" w:type="dxa"/>
            <w:vAlign w:val="center"/>
          </w:tcPr>
          <w:p w14:paraId="55D91E07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0561E73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17EFAEF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611874AD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34736CAB" w14:textId="77777777" w:rsidTr="00BE3891">
        <w:trPr>
          <w:trHeight w:val="215"/>
          <w:jc w:val="right"/>
        </w:trPr>
        <w:tc>
          <w:tcPr>
            <w:tcW w:w="1701" w:type="dxa"/>
            <w:vMerge w:val="restart"/>
            <w:vAlign w:val="center"/>
          </w:tcPr>
          <w:p w14:paraId="1094C6CF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ČSAD Havířov, a.s.</w:t>
            </w:r>
          </w:p>
        </w:tc>
        <w:tc>
          <w:tcPr>
            <w:tcW w:w="2183" w:type="dxa"/>
            <w:shd w:val="clear" w:color="auto" w:fill="F2C6C9"/>
            <w:vAlign w:val="center"/>
          </w:tcPr>
          <w:p w14:paraId="369BB43D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CZ.06.1.37/0.0/0.0/16_025/0001180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shd w:val="clear" w:color="auto" w:fill="F2C6C9"/>
            <w:vAlign w:val="center"/>
          </w:tcPr>
          <w:p w14:paraId="0E5E6C1E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Zavedení TELEMATIKY ve společnosti ČSAD Havířov a.s.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shd w:val="clear" w:color="auto" w:fill="F2C6C9"/>
            <w:vAlign w:val="center"/>
          </w:tcPr>
          <w:p w14:paraId="57667A3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116B561E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5DD370F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13A1E384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44A1F760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54" w:type="dxa"/>
            <w:shd w:val="clear" w:color="auto" w:fill="F2C6C9"/>
            <w:vAlign w:val="center"/>
          </w:tcPr>
          <w:p w14:paraId="149BEF1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3D30680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05139523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F2C6C9"/>
            <w:vAlign w:val="center"/>
          </w:tcPr>
          <w:p w14:paraId="5B4D02D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4629DB5A" w14:textId="77777777" w:rsidTr="00BE3891">
        <w:trPr>
          <w:trHeight w:val="215"/>
          <w:jc w:val="right"/>
        </w:trPr>
        <w:tc>
          <w:tcPr>
            <w:tcW w:w="1701" w:type="dxa"/>
            <w:vMerge/>
            <w:vAlign w:val="center"/>
          </w:tcPr>
          <w:p w14:paraId="4B1C9F2E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2183" w:type="dxa"/>
            <w:vAlign w:val="center"/>
          </w:tcPr>
          <w:p w14:paraId="2413975B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CZ.06.1.37/0.0/0.0/16_045/0005669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vAlign w:val="center"/>
          </w:tcPr>
          <w:p w14:paraId="1EA24A43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Pořízení </w:t>
            </w:r>
            <w:proofErr w:type="spellStart"/>
            <w:r>
              <w:rPr>
                <w:rFonts w:ascii="Calibri" w:hAnsi="Calibri" w:cs="Calibri"/>
                <w:sz w:val="14"/>
                <w:szCs w:val="14"/>
              </w:rPr>
              <w:t>nízkoemisních</w:t>
            </w:r>
            <w:proofErr w:type="spellEnd"/>
            <w:r>
              <w:rPr>
                <w:rFonts w:ascii="Calibri" w:hAnsi="Calibri" w:cs="Calibri"/>
                <w:sz w:val="14"/>
                <w:szCs w:val="14"/>
              </w:rPr>
              <w:t xml:space="preserve"> a bezemisních vozidel pro MHD Havířov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vAlign w:val="center"/>
          </w:tcPr>
          <w:p w14:paraId="5307BBC3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6ABB165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26559E31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3DA27E51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1DD4ABF7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54" w:type="dxa"/>
            <w:vAlign w:val="center"/>
          </w:tcPr>
          <w:p w14:paraId="02D5E19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623C6D44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4338BCDF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72B28875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3848625E" w14:textId="77777777" w:rsidTr="00BE3891">
        <w:trPr>
          <w:trHeight w:val="215"/>
          <w:jc w:val="right"/>
        </w:trPr>
        <w:tc>
          <w:tcPr>
            <w:tcW w:w="1701" w:type="dxa"/>
            <w:vAlign w:val="center"/>
          </w:tcPr>
          <w:p w14:paraId="4ED0E66F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Dopravní podnik Ostrava a.s.</w:t>
            </w:r>
          </w:p>
        </w:tc>
        <w:tc>
          <w:tcPr>
            <w:tcW w:w="2183" w:type="dxa"/>
            <w:vAlign w:val="center"/>
          </w:tcPr>
          <w:p w14:paraId="3F2508E4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CZ.06.1.37/0.0/0.0/16_045/0007419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vAlign w:val="center"/>
          </w:tcPr>
          <w:p w14:paraId="0AD2E122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ITI – Obnova vozového parku MHD v DPO V.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vAlign w:val="center"/>
          </w:tcPr>
          <w:p w14:paraId="571381B5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2263EAF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?</w:t>
            </w:r>
          </w:p>
        </w:tc>
        <w:tc>
          <w:tcPr>
            <w:tcW w:w="709" w:type="dxa"/>
            <w:vAlign w:val="center"/>
          </w:tcPr>
          <w:p w14:paraId="6E3A33B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49DEC47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022463CD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54" w:type="dxa"/>
            <w:vAlign w:val="center"/>
          </w:tcPr>
          <w:p w14:paraId="49155D07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539EC02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0C3F0E50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6A14BA9F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448D848F" w14:textId="77777777" w:rsidTr="00BE3891">
        <w:trPr>
          <w:trHeight w:val="215"/>
          <w:jc w:val="right"/>
        </w:trPr>
        <w:tc>
          <w:tcPr>
            <w:tcW w:w="1701" w:type="dxa"/>
            <w:vMerge w:val="restart"/>
            <w:vAlign w:val="center"/>
          </w:tcPr>
          <w:p w14:paraId="4BF28C9C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Dopravní podnik města Olomouce, a.s.</w:t>
            </w:r>
          </w:p>
        </w:tc>
        <w:tc>
          <w:tcPr>
            <w:tcW w:w="2183" w:type="dxa"/>
            <w:vAlign w:val="center"/>
          </w:tcPr>
          <w:p w14:paraId="33091C0F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CZ.06.1.37/0.0/0.0/16_022/0001234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vAlign w:val="center"/>
          </w:tcPr>
          <w:p w14:paraId="7F8627B0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Nákup bezemisních vozidel pro MHD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vAlign w:val="center"/>
          </w:tcPr>
          <w:p w14:paraId="58AD8CA3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14F9333E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372F85D3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352DC140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375B86AC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54" w:type="dxa"/>
            <w:vAlign w:val="center"/>
          </w:tcPr>
          <w:p w14:paraId="4D4A46D5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358C24C2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5C6AF5F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0E6B46F3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45762EA4" w14:textId="77777777" w:rsidTr="00BE3891">
        <w:trPr>
          <w:trHeight w:val="215"/>
          <w:jc w:val="right"/>
        </w:trPr>
        <w:tc>
          <w:tcPr>
            <w:tcW w:w="1701" w:type="dxa"/>
            <w:vMerge/>
            <w:vAlign w:val="center"/>
          </w:tcPr>
          <w:p w14:paraId="04234934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2183" w:type="dxa"/>
            <w:vAlign w:val="center"/>
          </w:tcPr>
          <w:p w14:paraId="58BC0EE7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CZ.06.1.37/0.0/0.0/16_045/0005148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vAlign w:val="center"/>
          </w:tcPr>
          <w:p w14:paraId="4194AAE8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Nákup modernizovaných tramvají pro MHD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vAlign w:val="center"/>
          </w:tcPr>
          <w:p w14:paraId="7F6D4AD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1EDCFBA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1EAF6F6B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4B521A5C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27CA27FF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54" w:type="dxa"/>
            <w:vAlign w:val="center"/>
          </w:tcPr>
          <w:p w14:paraId="116D1CAF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vAlign w:val="center"/>
          </w:tcPr>
          <w:p w14:paraId="21F21E2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607B509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vAlign w:val="center"/>
          </w:tcPr>
          <w:p w14:paraId="75CFF1A5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  <w:tr w:rsidR="00BE3891" w:rsidRPr="001F31D6" w14:paraId="4CBDADC3" w14:textId="77777777" w:rsidTr="00BE3891">
        <w:trPr>
          <w:trHeight w:val="215"/>
          <w:jc w:val="right"/>
        </w:trPr>
        <w:tc>
          <w:tcPr>
            <w:tcW w:w="1701" w:type="dxa"/>
            <w:vAlign w:val="center"/>
          </w:tcPr>
          <w:p w14:paraId="61E83267" w14:textId="77777777" w:rsidR="00BE3891" w:rsidRPr="00812334" w:rsidRDefault="00BE3891" w:rsidP="00BE3891">
            <w:pPr>
              <w:ind w:left="-85" w:right="-85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Město Mohelnice</w:t>
            </w:r>
          </w:p>
        </w:tc>
        <w:tc>
          <w:tcPr>
            <w:tcW w:w="2183" w:type="dxa"/>
            <w:shd w:val="clear" w:color="auto" w:fill="D9D9D9" w:themeFill="background1" w:themeFillShade="D9"/>
            <w:vAlign w:val="center"/>
          </w:tcPr>
          <w:p w14:paraId="23E277AE" w14:textId="77777777" w:rsidR="00BE3891" w:rsidRPr="00812334" w:rsidRDefault="00BE3891" w:rsidP="00BE3891">
            <w:pPr>
              <w:ind w:left="-85" w:right="-85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CZ.06.1.37/0.0/0.0/16_045/0003328</w:t>
            </w:r>
          </w:p>
        </w:tc>
        <w:tc>
          <w:tcPr>
            <w:tcW w:w="3685" w:type="dxa"/>
            <w:tcBorders>
              <w:right w:val="doub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2161505" w14:textId="77777777" w:rsidR="00BE3891" w:rsidRPr="00812334" w:rsidRDefault="00BE3891" w:rsidP="00B132F8">
            <w:pPr>
              <w:ind w:left="-57" w:right="-57"/>
              <w:jc w:val="lef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Revitalizace autobusového nádraží v Mohelnici</w:t>
            </w:r>
          </w:p>
        </w:tc>
        <w:tc>
          <w:tcPr>
            <w:tcW w:w="709" w:type="dxa"/>
            <w:tcBorders>
              <w:left w:val="doub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4312D3E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DA187D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8E5985A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B128C96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A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1A832CF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54" w:type="dxa"/>
            <w:shd w:val="clear" w:color="auto" w:fill="D9D9D9" w:themeFill="background1" w:themeFillShade="D9"/>
            <w:vAlign w:val="center"/>
          </w:tcPr>
          <w:p w14:paraId="2CB1DA49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E0FE701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031DF775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2FAAF675" w14:textId="77777777" w:rsidR="00BE3891" w:rsidRPr="00812334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–</w:t>
            </w:r>
          </w:p>
        </w:tc>
      </w:tr>
    </w:tbl>
    <w:p w14:paraId="23BFF8B8" w14:textId="36BD7E68" w:rsidR="00BE3891" w:rsidRPr="00BE3891" w:rsidRDefault="00BE3891" w:rsidP="00BE3891">
      <w:pPr>
        <w:spacing w:before="20" w:after="40" w:line="240" w:lineRule="auto"/>
        <w:ind w:left="567" w:hanging="567"/>
        <w:rPr>
          <w:rFonts w:ascii="Calibri" w:hAnsi="Calibri" w:cs="Calibri"/>
          <w:b/>
          <w:sz w:val="13"/>
          <w:szCs w:val="13"/>
        </w:rPr>
      </w:pPr>
      <w:r w:rsidRPr="00BE3891">
        <w:rPr>
          <w:rFonts w:ascii="Calibri" w:hAnsi="Calibri" w:cs="Calibri"/>
          <w:b/>
          <w:sz w:val="13"/>
          <w:szCs w:val="13"/>
        </w:rPr>
        <w:t>Legenda:</w:t>
      </w:r>
      <w:r w:rsidRPr="00BE3891">
        <w:rPr>
          <w:rFonts w:ascii="Calibri" w:hAnsi="Calibri" w:cs="Calibri"/>
          <w:sz w:val="13"/>
          <w:szCs w:val="13"/>
        </w:rPr>
        <w:t xml:space="preserve"> „–“ = dílčí cíl nebyl pro daný projekt identifikován; „A“ = dílčí cíl byl naplněn; „N“ = dílčí cíl nebyl naplněn; „?“ = naplnění dílčího cíle nebylo možné jednoznačně vyhodnotit. Šedě podbarveno = projekty Terminály; červeně </w:t>
      </w:r>
      <w:r w:rsidRPr="00BE3891">
        <w:rPr>
          <w:rFonts w:ascii="Calibri" w:hAnsi="Calibri" w:cs="Calibri"/>
          <w:sz w:val="13"/>
          <w:szCs w:val="13"/>
        </w:rPr>
        <w:br/>
        <w:t xml:space="preserve">podbarveno = projekty Telematika; bez podbarvení = projekty Vozidla. </w:t>
      </w:r>
      <w:r w:rsidR="003D679A" w:rsidRPr="00BE3891">
        <w:rPr>
          <w:rFonts w:ascii="Calibri" w:hAnsi="Calibri" w:cs="Calibri"/>
          <w:sz w:val="13"/>
          <w:szCs w:val="13"/>
        </w:rPr>
        <w:t xml:space="preserve">CNG = </w:t>
      </w:r>
      <w:proofErr w:type="spellStart"/>
      <w:r w:rsidR="003D679A" w:rsidRPr="002B389E">
        <w:rPr>
          <w:rFonts w:ascii="Calibri" w:hAnsi="Calibri" w:cs="Calibri"/>
          <w:sz w:val="13"/>
          <w:szCs w:val="13"/>
        </w:rPr>
        <w:t>compressed</w:t>
      </w:r>
      <w:proofErr w:type="spellEnd"/>
      <w:r w:rsidR="003D679A" w:rsidRPr="002B389E">
        <w:rPr>
          <w:rFonts w:ascii="Calibri" w:hAnsi="Calibri" w:cs="Calibri"/>
          <w:sz w:val="13"/>
          <w:szCs w:val="13"/>
        </w:rPr>
        <w:t xml:space="preserve"> natural </w:t>
      </w:r>
      <w:proofErr w:type="spellStart"/>
      <w:r w:rsidR="003D679A" w:rsidRPr="002B389E">
        <w:rPr>
          <w:rFonts w:ascii="Calibri" w:hAnsi="Calibri" w:cs="Calibri"/>
          <w:sz w:val="13"/>
          <w:szCs w:val="13"/>
        </w:rPr>
        <w:t>gas</w:t>
      </w:r>
      <w:proofErr w:type="spellEnd"/>
      <w:r w:rsidR="003D679A" w:rsidRPr="00BE3891">
        <w:rPr>
          <w:rFonts w:ascii="Calibri" w:hAnsi="Calibri" w:cs="Calibri"/>
          <w:sz w:val="13"/>
          <w:szCs w:val="13"/>
        </w:rPr>
        <w:t xml:space="preserve"> (stlačený zemní plyn); DPO = Dopravní podnik Ostrava a.s.; MAD = městská autobusová doprava; MHD = městská hromadná doprava.</w:t>
      </w:r>
    </w:p>
    <w:tbl>
      <w:tblPr>
        <w:tblStyle w:val="Mkatabulky"/>
        <w:tblW w:w="0" w:type="auto"/>
        <w:jc w:val="right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183"/>
        <w:gridCol w:w="3685"/>
        <w:gridCol w:w="709"/>
        <w:gridCol w:w="709"/>
        <w:gridCol w:w="709"/>
        <w:gridCol w:w="709"/>
        <w:gridCol w:w="709"/>
        <w:gridCol w:w="754"/>
        <w:gridCol w:w="709"/>
        <w:gridCol w:w="709"/>
        <w:gridCol w:w="709"/>
      </w:tblGrid>
      <w:tr w:rsidR="00BE3891" w:rsidRPr="00511DA0" w14:paraId="5B2DC6E1" w14:textId="77777777" w:rsidTr="00BE3891">
        <w:trPr>
          <w:trHeight w:val="142"/>
          <w:jc w:val="right"/>
        </w:trPr>
        <w:tc>
          <w:tcPr>
            <w:tcW w:w="218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14:paraId="16B56D62" w14:textId="77777777" w:rsidR="00BE3891" w:rsidRPr="00511DA0" w:rsidRDefault="00BE3891" w:rsidP="00BE3891">
            <w:pPr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Identifikován: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49320777" w14:textId="77777777" w:rsidR="00BE3891" w:rsidRPr="00511DA0" w:rsidRDefault="00BE3891" w:rsidP="00BE3891">
            <w:pPr>
              <w:ind w:right="95"/>
              <w:jc w:val="righ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doub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14:paraId="1F554948" w14:textId="53C2E9E7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14:paraId="25E91BF6" w14:textId="0C4D7FCA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14:paraId="7AE266CF" w14:textId="467FB579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14:paraId="5A8F071D" w14:textId="3DAEDBC3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14:paraId="3C10BD60" w14:textId="28283AB4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13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14:paraId="693DDD8B" w14:textId="6FB514BD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14:paraId="05691D41" w14:textId="7C7A82CA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14:paraId="2C93EE7A" w14:textId="725D4980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14:paraId="42308A13" w14:textId="1FCD9383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</w:t>
            </w:r>
          </w:p>
        </w:tc>
      </w:tr>
      <w:tr w:rsidR="00BE3891" w:rsidRPr="00511DA0" w14:paraId="11E0FDDE" w14:textId="77777777" w:rsidTr="00BE3891">
        <w:trPr>
          <w:trHeight w:val="142"/>
          <w:jc w:val="right"/>
        </w:trPr>
        <w:tc>
          <w:tcPr>
            <w:tcW w:w="2183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3386A0" w14:textId="77777777" w:rsidR="00BE3891" w:rsidRPr="00511DA0" w:rsidRDefault="00BE3891" w:rsidP="00BE3891">
            <w:pPr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Naplněn:</w:t>
            </w:r>
          </w:p>
        </w:tc>
        <w:tc>
          <w:tcPr>
            <w:tcW w:w="3685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  <w:vAlign w:val="center"/>
          </w:tcPr>
          <w:p w14:paraId="01C05649" w14:textId="77777777" w:rsidR="00BE3891" w:rsidRPr="00511DA0" w:rsidRDefault="00BE3891" w:rsidP="00BE3891">
            <w:pPr>
              <w:ind w:right="95"/>
              <w:jc w:val="righ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50</w:t>
            </w:r>
          </w:p>
        </w:tc>
        <w:tc>
          <w:tcPr>
            <w:tcW w:w="709" w:type="dxa"/>
            <w:tcBorders>
              <w:top w:val="double" w:sz="4" w:space="0" w:color="000000" w:themeColor="text1"/>
              <w:left w:val="doub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BADDCD" w14:textId="4A25B813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</w:t>
            </w:r>
          </w:p>
        </w:tc>
        <w:tc>
          <w:tcPr>
            <w:tcW w:w="709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DBCC8D" w14:textId="524A93FA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</w:t>
            </w:r>
          </w:p>
        </w:tc>
        <w:tc>
          <w:tcPr>
            <w:tcW w:w="709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432E36" w14:textId="04089EB2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</w:t>
            </w:r>
          </w:p>
        </w:tc>
        <w:tc>
          <w:tcPr>
            <w:tcW w:w="709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50CA86" w14:textId="02C89901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</w:t>
            </w:r>
          </w:p>
        </w:tc>
        <w:tc>
          <w:tcPr>
            <w:tcW w:w="709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7648BA" w14:textId="13F65731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12</w:t>
            </w:r>
          </w:p>
        </w:tc>
        <w:tc>
          <w:tcPr>
            <w:tcW w:w="75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D0DD70" w14:textId="246DEF89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14</w:t>
            </w:r>
          </w:p>
        </w:tc>
        <w:tc>
          <w:tcPr>
            <w:tcW w:w="709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CBF1AB" w14:textId="130B071D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</w:t>
            </w:r>
          </w:p>
        </w:tc>
        <w:tc>
          <w:tcPr>
            <w:tcW w:w="709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03211C" w14:textId="77EFED69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1A0FE7" w14:textId="50381799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</w:t>
            </w:r>
          </w:p>
        </w:tc>
      </w:tr>
      <w:tr w:rsidR="00BE3891" w:rsidRPr="00511DA0" w14:paraId="39070484" w14:textId="77777777" w:rsidTr="00BE3891">
        <w:trPr>
          <w:trHeight w:val="142"/>
          <w:jc w:val="right"/>
        </w:trPr>
        <w:tc>
          <w:tcPr>
            <w:tcW w:w="218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F77E52B" w14:textId="77777777" w:rsidR="00BE3891" w:rsidRPr="00511DA0" w:rsidRDefault="00BE3891" w:rsidP="00BE3891">
            <w:pPr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Nenaplněn:</w:t>
            </w:r>
          </w:p>
        </w:tc>
        <w:tc>
          <w:tcPr>
            <w:tcW w:w="3685" w:type="dxa"/>
            <w:tcBorders>
              <w:top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  <w:vAlign w:val="center"/>
          </w:tcPr>
          <w:p w14:paraId="359F9350" w14:textId="77777777" w:rsidR="00BE3891" w:rsidRPr="00511DA0" w:rsidRDefault="00BE3891" w:rsidP="00BE3891">
            <w:pPr>
              <w:ind w:right="95"/>
              <w:jc w:val="righ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double" w:sz="4" w:space="0" w:color="000000" w:themeColor="text1"/>
              <w:bottom w:val="single" w:sz="4" w:space="0" w:color="000000" w:themeColor="text1"/>
            </w:tcBorders>
            <w:vAlign w:val="center"/>
          </w:tcPr>
          <w:p w14:paraId="45E34518" w14:textId="2322D4A7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ADE8C2D" w14:textId="31EEC1DE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6B467C1" w14:textId="615B007A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1FCFC94" w14:textId="189DC9B2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1728CB5" w14:textId="37628E2C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5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28CFEE1" w14:textId="62C7109E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61AD2C9" w14:textId="7F07BBF7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1522B7" w14:textId="72B99BB3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BE19B14" w14:textId="40B9FDC4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</w:tr>
      <w:tr w:rsidR="00BE3891" w:rsidRPr="00511DA0" w14:paraId="68C34ED0" w14:textId="77777777" w:rsidTr="00BE3891">
        <w:trPr>
          <w:trHeight w:val="142"/>
          <w:jc w:val="right"/>
        </w:trPr>
        <w:tc>
          <w:tcPr>
            <w:tcW w:w="2183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2" w:space="0" w:color="000000" w:themeColor="text1"/>
              <w:right w:val="single" w:sz="4" w:space="0" w:color="000000" w:themeColor="text1"/>
            </w:tcBorders>
            <w:vAlign w:val="center"/>
          </w:tcPr>
          <w:p w14:paraId="5D4502E9" w14:textId="77777777" w:rsidR="00BE3891" w:rsidRPr="00511DA0" w:rsidRDefault="00BE3891" w:rsidP="00BE3891">
            <w:pPr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Nebylo možné vyhodnotit: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2" w:space="0" w:color="000000" w:themeColor="text1"/>
              <w:right w:val="double" w:sz="4" w:space="0" w:color="000000" w:themeColor="text1"/>
            </w:tcBorders>
            <w:vAlign w:val="center"/>
          </w:tcPr>
          <w:p w14:paraId="3B8D7F02" w14:textId="77777777" w:rsidR="00BE3891" w:rsidRPr="00511DA0" w:rsidRDefault="00BE3891" w:rsidP="00BE3891">
            <w:pPr>
              <w:ind w:right="95"/>
              <w:jc w:val="righ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double" w:sz="4" w:space="0" w:color="000000" w:themeColor="text1"/>
              <w:bottom w:val="double" w:sz="2" w:space="0" w:color="000000" w:themeColor="text1"/>
              <w:right w:val="single" w:sz="4" w:space="0" w:color="000000" w:themeColor="text1"/>
            </w:tcBorders>
            <w:vAlign w:val="center"/>
          </w:tcPr>
          <w:p w14:paraId="3E4E4BD0" w14:textId="2F1A484F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2" w:space="0" w:color="000000" w:themeColor="text1"/>
              <w:right w:val="single" w:sz="4" w:space="0" w:color="000000" w:themeColor="text1"/>
            </w:tcBorders>
            <w:vAlign w:val="center"/>
          </w:tcPr>
          <w:p w14:paraId="5CBF4D77" w14:textId="0BBBF6A4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2" w:space="0" w:color="000000" w:themeColor="text1"/>
              <w:right w:val="single" w:sz="4" w:space="0" w:color="000000" w:themeColor="text1"/>
            </w:tcBorders>
            <w:vAlign w:val="center"/>
          </w:tcPr>
          <w:p w14:paraId="320BC571" w14:textId="5EA27E2F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2" w:space="0" w:color="000000" w:themeColor="text1"/>
              <w:right w:val="single" w:sz="4" w:space="0" w:color="000000" w:themeColor="text1"/>
            </w:tcBorders>
            <w:vAlign w:val="center"/>
          </w:tcPr>
          <w:p w14:paraId="08A25985" w14:textId="2F881286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2" w:space="0" w:color="000000" w:themeColor="text1"/>
              <w:right w:val="single" w:sz="4" w:space="0" w:color="000000" w:themeColor="text1"/>
            </w:tcBorders>
            <w:vAlign w:val="center"/>
          </w:tcPr>
          <w:p w14:paraId="5750F225" w14:textId="3D9CDDB2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</w:t>
            </w:r>
          </w:p>
        </w:tc>
        <w:tc>
          <w:tcPr>
            <w:tcW w:w="75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2" w:space="0" w:color="000000" w:themeColor="text1"/>
              <w:right w:val="single" w:sz="4" w:space="0" w:color="000000" w:themeColor="text1"/>
            </w:tcBorders>
            <w:vAlign w:val="center"/>
          </w:tcPr>
          <w:p w14:paraId="5766636F" w14:textId="7464B488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2" w:space="0" w:color="000000" w:themeColor="text1"/>
              <w:right w:val="single" w:sz="4" w:space="0" w:color="000000" w:themeColor="text1"/>
            </w:tcBorders>
            <w:vAlign w:val="center"/>
          </w:tcPr>
          <w:p w14:paraId="0E018C0B" w14:textId="2FF098EC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2" w:space="0" w:color="000000" w:themeColor="text1"/>
              <w:right w:val="single" w:sz="4" w:space="0" w:color="000000" w:themeColor="text1"/>
            </w:tcBorders>
            <w:vAlign w:val="center"/>
          </w:tcPr>
          <w:p w14:paraId="6C6638FE" w14:textId="437E467B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2" w:space="0" w:color="000000" w:themeColor="text1"/>
              <w:right w:val="single" w:sz="4" w:space="0" w:color="000000" w:themeColor="text1"/>
            </w:tcBorders>
            <w:vAlign w:val="center"/>
          </w:tcPr>
          <w:p w14:paraId="28A54E8D" w14:textId="1141D175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</w:tr>
      <w:tr w:rsidR="00BE3891" w:rsidRPr="00511DA0" w14:paraId="7838B507" w14:textId="77777777" w:rsidTr="00BE3891">
        <w:trPr>
          <w:trHeight w:val="142"/>
          <w:jc w:val="right"/>
        </w:trPr>
        <w:tc>
          <w:tcPr>
            <w:tcW w:w="2183" w:type="dxa"/>
            <w:tcBorders>
              <w:top w:val="double" w:sz="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B3685E" w14:textId="77777777" w:rsidR="00BE3891" w:rsidRPr="00511DA0" w:rsidRDefault="00BE3891" w:rsidP="00BE3891">
            <w:pPr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Vozidla</w:t>
            </w:r>
          </w:p>
        </w:tc>
        <w:tc>
          <w:tcPr>
            <w:tcW w:w="3685" w:type="dxa"/>
            <w:tcBorders>
              <w:top w:val="double" w:sz="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double" w:sz="4" w:space="0" w:color="000000" w:themeColor="text1"/>
            </w:tcBorders>
            <w:vAlign w:val="center"/>
          </w:tcPr>
          <w:p w14:paraId="28B799B8" w14:textId="77777777" w:rsidR="00BE3891" w:rsidRPr="00511DA0" w:rsidRDefault="00BE3891" w:rsidP="00BE3891">
            <w:pPr>
              <w:ind w:right="95"/>
              <w:jc w:val="righ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50</w:t>
            </w:r>
          </w:p>
        </w:tc>
        <w:tc>
          <w:tcPr>
            <w:tcW w:w="709" w:type="dxa"/>
            <w:tcBorders>
              <w:top w:val="double" w:sz="2" w:space="0" w:color="000000" w:themeColor="text1"/>
              <w:left w:val="doub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90EAD5" w14:textId="604781A0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</w:t>
            </w:r>
          </w:p>
        </w:tc>
        <w:tc>
          <w:tcPr>
            <w:tcW w:w="709" w:type="dxa"/>
            <w:tcBorders>
              <w:top w:val="double" w:sz="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8DAFB1" w14:textId="1F7884D5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6</w:t>
            </w:r>
          </w:p>
        </w:tc>
        <w:tc>
          <w:tcPr>
            <w:tcW w:w="709" w:type="dxa"/>
            <w:tcBorders>
              <w:top w:val="double" w:sz="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9E99F" w14:textId="067970E6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</w:t>
            </w:r>
          </w:p>
        </w:tc>
        <w:tc>
          <w:tcPr>
            <w:tcW w:w="709" w:type="dxa"/>
            <w:tcBorders>
              <w:top w:val="double" w:sz="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A46E2E" w14:textId="5BBD7BB1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4</w:t>
            </w:r>
          </w:p>
        </w:tc>
        <w:tc>
          <w:tcPr>
            <w:tcW w:w="709" w:type="dxa"/>
            <w:tcBorders>
              <w:top w:val="double" w:sz="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23801B" w14:textId="191A4533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9</w:t>
            </w:r>
          </w:p>
        </w:tc>
        <w:tc>
          <w:tcPr>
            <w:tcW w:w="754" w:type="dxa"/>
            <w:tcBorders>
              <w:top w:val="double" w:sz="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F6316C" w14:textId="3B317ABE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13</w:t>
            </w:r>
          </w:p>
        </w:tc>
        <w:tc>
          <w:tcPr>
            <w:tcW w:w="709" w:type="dxa"/>
            <w:tcBorders>
              <w:top w:val="double" w:sz="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D2DD1D" w14:textId="7062191C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5</w:t>
            </w:r>
          </w:p>
        </w:tc>
        <w:tc>
          <w:tcPr>
            <w:tcW w:w="709" w:type="dxa"/>
            <w:tcBorders>
              <w:top w:val="double" w:sz="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799C6B" w14:textId="0D621731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double" w:sz="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728A83" w14:textId="61E88BB6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</w:tr>
      <w:tr w:rsidR="00BE3891" w:rsidRPr="00511DA0" w14:paraId="67F74898" w14:textId="77777777" w:rsidTr="00BE3891">
        <w:trPr>
          <w:trHeight w:val="142"/>
          <w:jc w:val="right"/>
        </w:trPr>
        <w:tc>
          <w:tcPr>
            <w:tcW w:w="2183" w:type="dxa"/>
            <w:tcBorders>
              <w:top w:val="single" w:sz="4" w:space="0" w:color="000000" w:themeColor="text1"/>
            </w:tcBorders>
            <w:vAlign w:val="center"/>
          </w:tcPr>
          <w:p w14:paraId="3285CDE5" w14:textId="77777777" w:rsidR="00BE3891" w:rsidRPr="00511DA0" w:rsidRDefault="00BE3891" w:rsidP="00BE3891">
            <w:pPr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Telematiky</w:t>
            </w:r>
          </w:p>
        </w:tc>
        <w:tc>
          <w:tcPr>
            <w:tcW w:w="3685" w:type="dxa"/>
            <w:tcBorders>
              <w:top w:val="single" w:sz="4" w:space="0" w:color="000000" w:themeColor="text1"/>
              <w:right w:val="double" w:sz="4" w:space="0" w:color="000000" w:themeColor="text1"/>
            </w:tcBorders>
            <w:vAlign w:val="center"/>
          </w:tcPr>
          <w:p w14:paraId="5238A9E0" w14:textId="77777777" w:rsidR="00BE3891" w:rsidRPr="00511DA0" w:rsidRDefault="00BE3891" w:rsidP="00BE3891">
            <w:pPr>
              <w:ind w:right="95"/>
              <w:jc w:val="righ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double" w:sz="4" w:space="0" w:color="000000" w:themeColor="text1"/>
            </w:tcBorders>
            <w:vAlign w:val="center"/>
          </w:tcPr>
          <w:p w14:paraId="62D9CE7D" w14:textId="0DA0BCF2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14:paraId="58D382A0" w14:textId="56B6B432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14:paraId="45471F92" w14:textId="2D186494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14:paraId="54931003" w14:textId="7C8923C0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14:paraId="28DA131D" w14:textId="46CD7DD2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</w:t>
            </w:r>
          </w:p>
        </w:tc>
        <w:tc>
          <w:tcPr>
            <w:tcW w:w="754" w:type="dxa"/>
            <w:tcBorders>
              <w:top w:val="single" w:sz="4" w:space="0" w:color="000000" w:themeColor="text1"/>
            </w:tcBorders>
            <w:vAlign w:val="center"/>
          </w:tcPr>
          <w:p w14:paraId="511C1913" w14:textId="7727655B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14:paraId="3DFACA11" w14:textId="542512BF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14:paraId="5926B1AF" w14:textId="526B823A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 w:themeColor="text1"/>
            </w:tcBorders>
            <w:vAlign w:val="center"/>
          </w:tcPr>
          <w:p w14:paraId="3C7B79AA" w14:textId="105F0328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</w:tr>
      <w:tr w:rsidR="00BE3891" w:rsidRPr="00511DA0" w14:paraId="70C12294" w14:textId="77777777" w:rsidTr="00BE3891">
        <w:trPr>
          <w:trHeight w:val="142"/>
          <w:jc w:val="right"/>
        </w:trPr>
        <w:tc>
          <w:tcPr>
            <w:tcW w:w="2183" w:type="dxa"/>
            <w:vAlign w:val="center"/>
          </w:tcPr>
          <w:p w14:paraId="14A8E742" w14:textId="77777777" w:rsidR="00BE3891" w:rsidRPr="00511DA0" w:rsidRDefault="00BE3891" w:rsidP="00BE3891">
            <w:pPr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Terminály</w:t>
            </w:r>
          </w:p>
        </w:tc>
        <w:tc>
          <w:tcPr>
            <w:tcW w:w="3685" w:type="dxa"/>
            <w:tcBorders>
              <w:right w:val="double" w:sz="4" w:space="0" w:color="000000" w:themeColor="text1"/>
            </w:tcBorders>
            <w:vAlign w:val="center"/>
          </w:tcPr>
          <w:p w14:paraId="2EBC8201" w14:textId="77777777" w:rsidR="00BE3891" w:rsidRPr="00511DA0" w:rsidRDefault="00BE3891" w:rsidP="00BE3891">
            <w:pPr>
              <w:ind w:right="95"/>
              <w:jc w:val="right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10</w:t>
            </w:r>
          </w:p>
        </w:tc>
        <w:tc>
          <w:tcPr>
            <w:tcW w:w="709" w:type="dxa"/>
            <w:tcBorders>
              <w:left w:val="double" w:sz="4" w:space="0" w:color="000000" w:themeColor="text1"/>
            </w:tcBorders>
            <w:vAlign w:val="center"/>
          </w:tcPr>
          <w:p w14:paraId="10D42E97" w14:textId="49DE5301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vAlign w:val="center"/>
          </w:tcPr>
          <w:p w14:paraId="370C229C" w14:textId="5704600E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</w:t>
            </w:r>
          </w:p>
        </w:tc>
        <w:tc>
          <w:tcPr>
            <w:tcW w:w="709" w:type="dxa"/>
            <w:vAlign w:val="center"/>
          </w:tcPr>
          <w:p w14:paraId="679886A6" w14:textId="7C098E84" w:rsidR="00BE3891" w:rsidRPr="00511DA0" w:rsidRDefault="00BE3891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vAlign w:val="center"/>
          </w:tcPr>
          <w:p w14:paraId="61726F2F" w14:textId="332D39A5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3</w:t>
            </w:r>
          </w:p>
        </w:tc>
        <w:tc>
          <w:tcPr>
            <w:tcW w:w="709" w:type="dxa"/>
            <w:vAlign w:val="center"/>
          </w:tcPr>
          <w:p w14:paraId="7E2058F4" w14:textId="328C882B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</w:t>
            </w:r>
          </w:p>
        </w:tc>
        <w:tc>
          <w:tcPr>
            <w:tcW w:w="754" w:type="dxa"/>
            <w:vAlign w:val="center"/>
          </w:tcPr>
          <w:p w14:paraId="3A0184A6" w14:textId="3BF9B9CC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</w:t>
            </w:r>
          </w:p>
        </w:tc>
        <w:tc>
          <w:tcPr>
            <w:tcW w:w="709" w:type="dxa"/>
            <w:vAlign w:val="center"/>
          </w:tcPr>
          <w:p w14:paraId="674A9F75" w14:textId="0F49DBF3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2</w:t>
            </w:r>
          </w:p>
        </w:tc>
        <w:tc>
          <w:tcPr>
            <w:tcW w:w="709" w:type="dxa"/>
            <w:vAlign w:val="center"/>
          </w:tcPr>
          <w:p w14:paraId="34D42C76" w14:textId="35A9F93C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0</w:t>
            </w:r>
          </w:p>
        </w:tc>
        <w:tc>
          <w:tcPr>
            <w:tcW w:w="709" w:type="dxa"/>
            <w:vAlign w:val="center"/>
          </w:tcPr>
          <w:p w14:paraId="4ABA865B" w14:textId="1122937F" w:rsidR="00BE3891" w:rsidRPr="00511DA0" w:rsidRDefault="00E23DCA" w:rsidP="00BE3891">
            <w:pPr>
              <w:jc w:val="center"/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>1</w:t>
            </w:r>
          </w:p>
        </w:tc>
      </w:tr>
    </w:tbl>
    <w:p w14:paraId="6F960891" w14:textId="144B8A90" w:rsidR="00C53049" w:rsidRDefault="00C53049" w:rsidP="00BE3891">
      <w:pPr>
        <w:pStyle w:val="Zkladn"/>
      </w:pPr>
      <w:r>
        <w:br w:type="page"/>
      </w:r>
    </w:p>
    <w:p w14:paraId="1FFF4A7A" w14:textId="77777777" w:rsidR="001D15A0" w:rsidRDefault="001D15A0" w:rsidP="009D6467">
      <w:pPr>
        <w:pStyle w:val="Zkladn"/>
        <w:rPr>
          <w:rFonts w:eastAsia="Calibri"/>
        </w:rPr>
        <w:sectPr w:rsidR="001D15A0" w:rsidSect="00BE3891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DEFAAB6" w14:textId="3A58DC6D" w:rsidR="00432489" w:rsidRPr="00432489" w:rsidRDefault="00DA2129" w:rsidP="00432489">
      <w:pPr>
        <w:pStyle w:val="KZnormlntun"/>
        <w:jc w:val="right"/>
        <w:rPr>
          <w:b w:val="0"/>
        </w:rPr>
      </w:pPr>
      <w:r w:rsidRPr="005020F3">
        <w:lastRenderedPageBreak/>
        <w:t>Příloha č. 5</w:t>
      </w:r>
    </w:p>
    <w:p w14:paraId="7699F3D3" w14:textId="77777777" w:rsidR="00E00F29" w:rsidRDefault="00E00F29" w:rsidP="00432489">
      <w:pPr>
        <w:pStyle w:val="KZnormlntun"/>
      </w:pPr>
      <w:r w:rsidRPr="00E00F29">
        <w:t>Přehled projektů s vymoženými smluvními pokutami od dodavatelů</w:t>
      </w:r>
    </w:p>
    <w:tbl>
      <w:tblPr>
        <w:tblW w:w="9271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1276"/>
        <w:gridCol w:w="992"/>
        <w:gridCol w:w="992"/>
        <w:gridCol w:w="1276"/>
        <w:gridCol w:w="1134"/>
        <w:gridCol w:w="1049"/>
      </w:tblGrid>
      <w:tr w:rsidR="00E00F29" w:rsidRPr="00E00F29" w14:paraId="707E6B44" w14:textId="77777777" w:rsidTr="005138CC">
        <w:trPr>
          <w:trHeight w:val="227"/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0B2BEC27" w14:textId="77777777" w:rsidR="00E00F29" w:rsidRPr="00E00F29" w:rsidRDefault="00E00F29" w:rsidP="005138CC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Projekt č.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2F0F4971" w14:textId="7424A108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 xml:space="preserve">Datum proplacení žádosti </w:t>
            </w:r>
            <w:r w:rsidR="00BE758D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br/>
            </w: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o</w:t>
            </w:r>
            <w:r w:rsidR="00380840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 </w:t>
            </w: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platbu / popis stavu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78815382" w14:textId="3B979044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Příjmy z</w:t>
            </w:r>
            <w:r w:rsidR="00BE758D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 </w:t>
            </w: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vymožené smluvní pok</w:t>
            </w:r>
            <w:r w:rsidR="00AE65F5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u</w:t>
            </w: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ty (</w:t>
            </w:r>
            <w:r w:rsidR="00AE65F5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v </w:t>
            </w: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Kč)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146D8BCE" w14:textId="2FDC1AA2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Podíl dotace ERDF (85 %) (</w:t>
            </w:r>
            <w:r w:rsidR="00AE65F5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v </w:t>
            </w: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Kč)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49990EC4" w14:textId="53558A65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 xml:space="preserve">Původně přiznaná dotace v </w:t>
            </w:r>
            <w:proofErr w:type="spellStart"/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RoPD</w:t>
            </w:r>
            <w:proofErr w:type="spellEnd"/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 xml:space="preserve"> (</w:t>
            </w:r>
            <w:r w:rsidR="00AE65F5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v </w:t>
            </w: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Kč)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0FD84022" w14:textId="74490D28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Skutečně vyplacená dotace (</w:t>
            </w:r>
            <w:r w:rsidR="00AE65F5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v </w:t>
            </w: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Kč)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F1FF"/>
            <w:vAlign w:val="center"/>
            <w:hideMark/>
          </w:tcPr>
          <w:p w14:paraId="76212467" w14:textId="2A842A15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Rozdíl mezi původní a</w:t>
            </w:r>
            <w:r w:rsidR="00380840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 </w:t>
            </w: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skutečně proplacenou dotací (</w:t>
            </w:r>
            <w:r w:rsidR="00AE65F5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v </w:t>
            </w: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Kč)</w:t>
            </w:r>
          </w:p>
        </w:tc>
      </w:tr>
      <w:tr w:rsidR="00E00F29" w:rsidRPr="00E00F29" w14:paraId="16816155" w14:textId="77777777" w:rsidTr="005138CC">
        <w:trPr>
          <w:trHeight w:val="22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6069D" w14:textId="77777777" w:rsidR="00E00F29" w:rsidRPr="00E00F29" w:rsidRDefault="00E00F29" w:rsidP="005138CC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CZ.06.1.37/0.0/0.0/16_045/0006867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89910" w14:textId="23E9E4BE" w:rsidR="00E00F29" w:rsidRPr="00E00F29" w:rsidRDefault="00E00F29" w:rsidP="005138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16.</w:t>
            </w:r>
            <w:r w:rsidR="00BE758D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07.</w:t>
            </w:r>
            <w:r w:rsidR="00BE758D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4E775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2 191 197,50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14A05BE2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1 862 517,88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1A1A0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182 587 650,00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25DA0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180 725 132,12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EAF8C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1 862 517,88</w:t>
            </w:r>
          </w:p>
        </w:tc>
      </w:tr>
      <w:tr w:rsidR="00E00F29" w:rsidRPr="00E00F29" w14:paraId="56952113" w14:textId="77777777" w:rsidTr="005138CC">
        <w:trPr>
          <w:trHeight w:val="22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BAB0" w14:textId="77777777" w:rsidR="00E00F29" w:rsidRPr="00E00F29" w:rsidRDefault="00E00F29" w:rsidP="005138CC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CZ.06.1.37/0.0/0.0/16_045/0005093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9F6B6" w14:textId="5EC8B4E4" w:rsidR="00E00F29" w:rsidRPr="00E00F29" w:rsidRDefault="00E00F29" w:rsidP="005138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19.</w:t>
            </w:r>
            <w:r w:rsidR="00BE758D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10.</w:t>
            </w:r>
            <w:r w:rsidR="00BE758D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A78DD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23 670,00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7A78" w14:textId="5E7EB19E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20 119,50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632AD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111 033 120,00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2CBAD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111 033 000,50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39DC617F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119,50</w:t>
            </w:r>
          </w:p>
        </w:tc>
      </w:tr>
      <w:tr w:rsidR="00E00F29" w:rsidRPr="00E00F29" w14:paraId="690C31DC" w14:textId="77777777" w:rsidTr="005138CC">
        <w:trPr>
          <w:trHeight w:val="1020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2AADF" w14:textId="77777777" w:rsidR="00E00F29" w:rsidRPr="00E00F29" w:rsidRDefault="00E00F29" w:rsidP="005138CC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CZ.06.1.37/0.0/0.0/16_045/0007419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20619" w14:textId="0CBC0105" w:rsidR="00E00F29" w:rsidRPr="00E00F29" w:rsidRDefault="00E00F29" w:rsidP="00B132F8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Sankce byla příjemci </w:t>
            </w:r>
            <w:r w:rsidR="00B132F8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br/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vrácena </w:t>
            </w:r>
            <w:r w:rsidR="00B132F8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–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dotace 272 850</w:t>
            </w:r>
            <w:r w:rsidR="00B132F8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 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Kč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0EC2A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0BD21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448BD4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532FD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1C7D6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NR</w:t>
            </w:r>
          </w:p>
        </w:tc>
      </w:tr>
      <w:tr w:rsidR="00E00F29" w:rsidRPr="00E00F29" w14:paraId="52B742DE" w14:textId="77777777" w:rsidTr="005138CC">
        <w:trPr>
          <w:trHeight w:val="22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1ABF4" w14:textId="77777777" w:rsidR="00E00F29" w:rsidRPr="00E00F29" w:rsidRDefault="00E00F29" w:rsidP="005138CC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CZ.06.1.37/0.0/0.0/16_045/0005669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59C0" w14:textId="5449E0C6" w:rsidR="00E00F29" w:rsidRPr="00E00F29" w:rsidRDefault="00E00F29" w:rsidP="005138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28.</w:t>
            </w:r>
            <w:r w:rsidR="00BE758D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06.</w:t>
            </w:r>
            <w:r w:rsidR="00BE758D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F7BD" w14:textId="77777777" w:rsidR="00E00F29" w:rsidRPr="00E00F29" w:rsidRDefault="00E00F29" w:rsidP="005138C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570 000,00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0CDD119" w14:textId="77777777" w:rsidR="00E00F29" w:rsidRPr="00E00F29" w:rsidRDefault="00E00F29" w:rsidP="005138CC">
            <w:pPr>
              <w:spacing w:after="0" w:line="240" w:lineRule="auto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484 500,00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B71D7" w14:textId="77777777" w:rsidR="00E00F29" w:rsidRPr="00E00F29" w:rsidRDefault="00E00F29" w:rsidP="005138CC">
            <w:pPr>
              <w:spacing w:after="0" w:line="240" w:lineRule="auto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79 007 925,00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B2311" w14:textId="77777777" w:rsidR="00E00F29" w:rsidRPr="00E00F29" w:rsidRDefault="00E00F29" w:rsidP="005138CC">
            <w:pPr>
              <w:spacing w:after="0" w:line="240" w:lineRule="auto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77 460 499,52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D1478" w14:textId="77777777" w:rsidR="00E00F29" w:rsidRPr="00E00F29" w:rsidRDefault="00E00F29" w:rsidP="005138CC">
            <w:pPr>
              <w:spacing w:after="0" w:line="240" w:lineRule="auto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1 547 425,48</w:t>
            </w:r>
          </w:p>
        </w:tc>
      </w:tr>
      <w:tr w:rsidR="00E00F29" w:rsidRPr="00E00F29" w14:paraId="48313B53" w14:textId="77777777" w:rsidTr="005138CC">
        <w:trPr>
          <w:trHeight w:val="3402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D217A" w14:textId="77777777" w:rsidR="00E00F29" w:rsidRPr="00E00F29" w:rsidRDefault="00E00F29" w:rsidP="005138CC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CZ.06.1.37/0.0/0.0/16_045/0004399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A3590" w14:textId="73E76D13" w:rsidR="00E00F29" w:rsidRPr="00E00F29" w:rsidRDefault="00E00F29" w:rsidP="005138CC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Smluvní pokuta ve výši 501</w:t>
            </w:r>
            <w:r w:rsidR="0065424A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 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695,90 Kč byla dodavatelem uhrazena po podání žádosti o</w:t>
            </w:r>
            <w:r w:rsidR="0065424A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 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platbu, po lhůtě splatnosti</w:t>
            </w:r>
            <w:r w:rsidR="005138CC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,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="005138CC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z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ároveň před proplacením způsobilých výdajů na základě žádosti o</w:t>
            </w:r>
            <w:r w:rsidR="0065424A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 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platbu a před účinností Stanoviska č. 10.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F5B2E6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CF65F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48C07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CC994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DEEDC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NR</w:t>
            </w:r>
          </w:p>
        </w:tc>
      </w:tr>
      <w:tr w:rsidR="00E00F29" w:rsidRPr="00E00F29" w14:paraId="2D236B9F" w14:textId="77777777" w:rsidTr="005138CC">
        <w:trPr>
          <w:trHeight w:val="1984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DAAFB" w14:textId="77777777" w:rsidR="00E00F29" w:rsidRPr="00E00F29" w:rsidRDefault="00E00F29" w:rsidP="005138CC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CZ.06.1.37/0.0/0.0/16_022/0001234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53221" w14:textId="7440BF0B" w:rsidR="00E00F29" w:rsidRPr="00E00F29" w:rsidRDefault="00E00F29" w:rsidP="00B132F8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Sankce ve výši 1</w:t>
            </w:r>
            <w:r w:rsidR="0065424A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 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mil. Kč uplatněna, nicméně v</w:t>
            </w:r>
            <w:r w:rsidR="0065424A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 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souladu se Stanoviskem č.</w:t>
            </w:r>
            <w:r w:rsidR="0065424A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 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10 od způsobilých výdajů neodečtena.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70F8BF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3B2A5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93610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CBE0A7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61C2A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NR</w:t>
            </w:r>
          </w:p>
        </w:tc>
      </w:tr>
      <w:tr w:rsidR="00E00F29" w:rsidRPr="00E00F29" w14:paraId="51E44E80" w14:textId="77777777" w:rsidTr="005138CC">
        <w:trPr>
          <w:trHeight w:val="22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4900C" w14:textId="77777777" w:rsidR="00E00F29" w:rsidRPr="00E00F29" w:rsidRDefault="00E00F29" w:rsidP="005138CC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CZ.06.1.37/0.0/0.0/16_022/0001329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6FBAB" w14:textId="07B85165" w:rsidR="00E00F29" w:rsidRPr="00E00F29" w:rsidRDefault="00E00F29" w:rsidP="005138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31.</w:t>
            </w:r>
            <w:r w:rsidR="0065424A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10.</w:t>
            </w:r>
            <w:r w:rsidR="0065424A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1AAC2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4 285 050,00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B3EF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3 642 292,50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3C166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119 101 762,00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F3D45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117 440 632,50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81E6A64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1 661 129,50</w:t>
            </w:r>
          </w:p>
        </w:tc>
      </w:tr>
      <w:tr w:rsidR="00E00F29" w:rsidRPr="00E00F29" w14:paraId="2E2DB38C" w14:textId="77777777" w:rsidTr="005138CC">
        <w:trPr>
          <w:trHeight w:val="22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46BFA" w14:textId="77777777" w:rsidR="00E00F29" w:rsidRPr="00E00F29" w:rsidRDefault="00E00F29" w:rsidP="005138CC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CZ.06.1.37/0.0/0.0/16_022/0001659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F29BD" w14:textId="5C5FB6E4" w:rsidR="00E00F29" w:rsidRPr="00E00F29" w:rsidRDefault="00E00F29" w:rsidP="005138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15.</w:t>
            </w:r>
            <w:r w:rsidR="0065424A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08.</w:t>
            </w:r>
            <w:r w:rsidR="0065424A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12248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224 694,00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270D1034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190 989,90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371E2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159 257 246,95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4C085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158 590 515,45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A8ADB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666 731,50</w:t>
            </w:r>
          </w:p>
        </w:tc>
      </w:tr>
      <w:tr w:rsidR="00E00F29" w:rsidRPr="00E00F29" w14:paraId="0B6B5153" w14:textId="77777777" w:rsidTr="005138CC">
        <w:trPr>
          <w:trHeight w:val="227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DE058" w14:textId="77777777" w:rsidR="00E00F29" w:rsidRPr="00E00F29" w:rsidRDefault="00E00F29" w:rsidP="005138CC">
            <w:pPr>
              <w:spacing w:after="0" w:line="240" w:lineRule="auto"/>
              <w:jc w:val="lef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CZ.06.1.37/0.0/0.0/16_025/0001180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46BAF" w14:textId="6DBD5E26" w:rsidR="00E00F29" w:rsidRPr="00E00F29" w:rsidRDefault="00E00F29" w:rsidP="005138C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27.</w:t>
            </w:r>
            <w:r w:rsidR="0065424A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04.</w:t>
            </w:r>
            <w:r w:rsidR="0065424A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2018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3D8A4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color w:val="000000"/>
                <w:sz w:val="16"/>
                <w:szCs w:val="16"/>
                <w:lang w:eastAsia="cs-CZ"/>
              </w:rPr>
              <w:t>117 360,00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vAlign w:val="center"/>
            <w:hideMark/>
          </w:tcPr>
          <w:p w14:paraId="425ACAAB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99 756,00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DD9B7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10 699 498,03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601EC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9 891 490,80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764E" w14:textId="77777777" w:rsidR="00E00F29" w:rsidRPr="00E00F29" w:rsidRDefault="00E00F29" w:rsidP="005138CC">
            <w:pPr>
              <w:spacing w:after="0" w:line="240" w:lineRule="auto"/>
              <w:ind w:left="-57" w:right="-57"/>
              <w:jc w:val="right"/>
              <w:rPr>
                <w:rFonts w:ascii="Calibri" w:hAnsi="Calibri" w:cs="Calibri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sz w:val="16"/>
                <w:szCs w:val="16"/>
                <w:lang w:eastAsia="cs-CZ"/>
              </w:rPr>
              <w:t>808 007,23</w:t>
            </w:r>
          </w:p>
        </w:tc>
      </w:tr>
      <w:tr w:rsidR="00E00F29" w:rsidRPr="00E00F29" w14:paraId="659CD587" w14:textId="77777777" w:rsidTr="005138CC">
        <w:trPr>
          <w:trHeight w:val="227"/>
        </w:trPr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C6C9"/>
            <w:vAlign w:val="center"/>
            <w:hideMark/>
          </w:tcPr>
          <w:p w14:paraId="2F1B9F77" w14:textId="77777777" w:rsidR="00E00F29" w:rsidRPr="00E00F29" w:rsidRDefault="00E00F29" w:rsidP="005138CC">
            <w:pPr>
              <w:spacing w:after="0" w:line="240" w:lineRule="auto"/>
              <w:jc w:val="left"/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Na základě korekce způsobilých výdajů z důvodu smluvních pokut snížen nárok na dotaci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hideMark/>
          </w:tcPr>
          <w:p w14:paraId="51C1688E" w14:textId="77777777" w:rsidR="00E00F29" w:rsidRPr="00E00F29" w:rsidRDefault="00E00F29" w:rsidP="005138CC">
            <w:pPr>
              <w:spacing w:after="0" w:line="240" w:lineRule="auto"/>
              <w:jc w:val="right"/>
              <w:rPr>
                <w:rFonts w:ascii="Calibri" w:hAnsi="Calibri" w:cs="Calibri"/>
                <w:b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sz w:val="16"/>
                <w:szCs w:val="16"/>
                <w:lang w:eastAsia="cs-CZ"/>
              </w:rPr>
              <w:t>6 300 175,78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hideMark/>
          </w:tcPr>
          <w:p w14:paraId="03D4DEA4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hideMark/>
          </w:tcPr>
          <w:p w14:paraId="186DDEE5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hideMark/>
          </w:tcPr>
          <w:p w14:paraId="4A0CBC33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sz w:val="16"/>
                <w:szCs w:val="16"/>
                <w:lang w:eastAsia="cs-CZ"/>
              </w:rPr>
              <w:t>NR</w:t>
            </w:r>
          </w:p>
        </w:tc>
      </w:tr>
      <w:tr w:rsidR="00E00F29" w:rsidRPr="00E00F29" w14:paraId="2A790271" w14:textId="77777777" w:rsidTr="005138CC">
        <w:trPr>
          <w:trHeight w:val="227"/>
        </w:trPr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C6C9"/>
            <w:vAlign w:val="center"/>
            <w:hideMark/>
          </w:tcPr>
          <w:p w14:paraId="4CB8968D" w14:textId="0D5DD285" w:rsidR="00E00F29" w:rsidRPr="00E00F29" w:rsidRDefault="00E00F29" w:rsidP="005138CC">
            <w:pPr>
              <w:spacing w:after="0" w:line="240" w:lineRule="auto"/>
              <w:jc w:val="left"/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Příjemcům byla v daných případech skutečně snížena dotace (součet zvýrazněných částek = částka dotace nepřiznaná v důsledku korekce v</w:t>
            </w:r>
            <w:r w:rsidR="0065424A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 </w:t>
            </w: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mezích skutečně neproplacené částky oproti přiznané v</w:t>
            </w:r>
            <w:r w:rsidR="004F32EC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 rozhodnutí</w:t>
            </w:r>
            <w:r w:rsidR="005138CC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ch</w:t>
            </w:r>
            <w:r w:rsidR="004F32EC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 xml:space="preserve"> o přiznání dotace</w:t>
            </w:r>
            <w:r w:rsidRPr="00E00F29">
              <w:rPr>
                <w:rFonts w:ascii="Calibri" w:hAnsi="Calibri" w:cs="Calibri"/>
                <w:b/>
                <w:color w:val="000000"/>
                <w:sz w:val="16"/>
                <w:szCs w:val="16"/>
                <w:lang w:eastAsia="cs-CZ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hideMark/>
          </w:tcPr>
          <w:p w14:paraId="60747863" w14:textId="77777777" w:rsidR="00E00F29" w:rsidRPr="00E00F29" w:rsidRDefault="00E00F29" w:rsidP="005138CC">
            <w:pPr>
              <w:spacing w:after="0" w:line="240" w:lineRule="auto"/>
              <w:jc w:val="right"/>
              <w:rPr>
                <w:rFonts w:ascii="Calibri" w:hAnsi="Calibri" w:cs="Calibri"/>
                <w:b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sz w:val="16"/>
                <w:szCs w:val="16"/>
                <w:lang w:eastAsia="cs-CZ"/>
              </w:rPr>
              <w:t>4 299 012,78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hideMark/>
          </w:tcPr>
          <w:p w14:paraId="6F3B4DA5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hideMark/>
          </w:tcPr>
          <w:p w14:paraId="511EB16B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sz w:val="16"/>
                <w:szCs w:val="16"/>
                <w:lang w:eastAsia="cs-CZ"/>
              </w:rPr>
              <w:t>NR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C6C9"/>
            <w:hideMark/>
          </w:tcPr>
          <w:p w14:paraId="21894717" w14:textId="77777777" w:rsidR="00E00F29" w:rsidRPr="00E00F29" w:rsidRDefault="00E00F29" w:rsidP="00CC3A03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  <w:lang w:eastAsia="cs-CZ"/>
              </w:rPr>
            </w:pPr>
            <w:r w:rsidRPr="00E00F29">
              <w:rPr>
                <w:rFonts w:ascii="Calibri" w:hAnsi="Calibri" w:cs="Calibri"/>
                <w:b/>
                <w:sz w:val="16"/>
                <w:szCs w:val="16"/>
                <w:lang w:eastAsia="cs-CZ"/>
              </w:rPr>
              <w:t>NR</w:t>
            </w:r>
          </w:p>
        </w:tc>
      </w:tr>
    </w:tbl>
    <w:p w14:paraId="7F5F6EA8" w14:textId="77777777" w:rsidR="009E0500" w:rsidRDefault="00E00F29" w:rsidP="00CC3A03">
      <w:pPr>
        <w:spacing w:before="40" w:after="0" w:line="240" w:lineRule="auto"/>
        <w:ind w:left="2835" w:hanging="2835"/>
      </w:pPr>
      <w:r w:rsidRPr="006E3519">
        <w:rPr>
          <w:rFonts w:cstheme="minorHAnsi"/>
          <w:b/>
          <w:sz w:val="20"/>
          <w:szCs w:val="20"/>
        </w:rPr>
        <w:t>Zdroj:</w:t>
      </w:r>
      <w:r>
        <w:rPr>
          <w:rFonts w:cstheme="minorHAnsi"/>
          <w:sz w:val="20"/>
          <w:szCs w:val="20"/>
        </w:rPr>
        <w:t xml:space="preserve"> </w:t>
      </w:r>
      <w:r w:rsidRPr="008232D1">
        <w:rPr>
          <w:rFonts w:cstheme="minorHAnsi"/>
          <w:i/>
          <w:sz w:val="20"/>
          <w:szCs w:val="20"/>
        </w:rPr>
        <w:t>MS2014+</w:t>
      </w:r>
      <w:r>
        <w:rPr>
          <w:rFonts w:cstheme="minorHAnsi"/>
          <w:sz w:val="20"/>
          <w:szCs w:val="20"/>
        </w:rPr>
        <w:t>.</w:t>
      </w:r>
    </w:p>
    <w:sectPr w:rsidR="009E0500" w:rsidSect="00B81EE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5B302B" w14:textId="77777777" w:rsidR="008C400D" w:rsidRDefault="008C400D" w:rsidP="009E0500">
      <w:pPr>
        <w:spacing w:after="0" w:line="240" w:lineRule="auto"/>
      </w:pPr>
      <w:r>
        <w:separator/>
      </w:r>
    </w:p>
    <w:p w14:paraId="6C53D5D5" w14:textId="77777777" w:rsidR="008C400D" w:rsidRDefault="008C400D"/>
  </w:endnote>
  <w:endnote w:type="continuationSeparator" w:id="0">
    <w:p w14:paraId="00D47431" w14:textId="77777777" w:rsidR="008C400D" w:rsidRDefault="008C400D" w:rsidP="009E0500">
      <w:pPr>
        <w:spacing w:after="0" w:line="240" w:lineRule="auto"/>
      </w:pPr>
      <w:r>
        <w:continuationSeparator/>
      </w:r>
    </w:p>
    <w:p w14:paraId="717A1C04" w14:textId="77777777" w:rsidR="008C400D" w:rsidRDefault="008C400D"/>
  </w:endnote>
  <w:endnote w:type="continuationNotice" w:id="1">
    <w:p w14:paraId="17F3D456" w14:textId="77777777" w:rsidR="008C400D" w:rsidRDefault="008C400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F2746" w14:textId="77777777" w:rsidR="008171AE" w:rsidRDefault="008171A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9E4DC" w14:textId="7B30B321" w:rsidR="008C400D" w:rsidRPr="00C2708B" w:rsidRDefault="008C400D" w:rsidP="00C6678F">
    <w:pPr>
      <w:pStyle w:val="Zpat"/>
      <w:jc w:val="center"/>
      <w:rPr>
        <w:rFonts w:asciiTheme="minorHAnsi" w:hAnsiTheme="minorHAnsi" w:cstheme="minorHAnsi"/>
      </w:rPr>
    </w:pPr>
    <w:r w:rsidRPr="00C2708B">
      <w:rPr>
        <w:rFonts w:asciiTheme="minorHAnsi" w:hAnsiTheme="minorHAnsi" w:cstheme="minorHAnsi"/>
      </w:rPr>
      <w:fldChar w:fldCharType="begin"/>
    </w:r>
    <w:r w:rsidRPr="00C2708B">
      <w:rPr>
        <w:rFonts w:asciiTheme="minorHAnsi" w:hAnsiTheme="minorHAnsi" w:cstheme="minorHAnsi"/>
      </w:rPr>
      <w:instrText xml:space="preserve"> PAGE   \* MERGEFORMAT </w:instrText>
    </w:r>
    <w:r w:rsidRPr="00C2708B">
      <w:rPr>
        <w:rFonts w:asciiTheme="minorHAnsi" w:hAnsiTheme="minorHAnsi" w:cstheme="minorHAnsi"/>
      </w:rPr>
      <w:fldChar w:fldCharType="separate"/>
    </w:r>
    <w:r w:rsidR="008171AE">
      <w:rPr>
        <w:rFonts w:asciiTheme="minorHAnsi" w:hAnsiTheme="minorHAnsi" w:cstheme="minorHAnsi"/>
        <w:noProof/>
      </w:rPr>
      <w:t>26</w:t>
    </w:r>
    <w:r w:rsidRPr="00C2708B">
      <w:rPr>
        <w:rFonts w:asciiTheme="minorHAnsi" w:hAnsiTheme="minorHAnsi" w:cstheme="minorHAns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7BCDE" w14:textId="77777777" w:rsidR="008171AE" w:rsidRDefault="008171A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30698" w14:textId="77777777" w:rsidR="008C400D" w:rsidRDefault="008C400D" w:rsidP="009E0500">
      <w:pPr>
        <w:spacing w:after="0" w:line="240" w:lineRule="auto"/>
      </w:pPr>
      <w:r>
        <w:separator/>
      </w:r>
    </w:p>
  </w:footnote>
  <w:footnote w:type="continuationSeparator" w:id="0">
    <w:p w14:paraId="27A01AA0" w14:textId="77777777" w:rsidR="008C400D" w:rsidRDefault="008C400D" w:rsidP="009E0500">
      <w:pPr>
        <w:spacing w:after="0" w:line="240" w:lineRule="auto"/>
      </w:pPr>
      <w:r>
        <w:continuationSeparator/>
      </w:r>
    </w:p>
  </w:footnote>
  <w:footnote w:type="continuationNotice" w:id="1">
    <w:p w14:paraId="22F37B9D" w14:textId="77777777" w:rsidR="008C400D" w:rsidRPr="006A7EB9" w:rsidRDefault="008C400D" w:rsidP="006A7EB9">
      <w:pPr>
        <w:pStyle w:val="Zpat"/>
      </w:pPr>
    </w:p>
  </w:footnote>
  <w:footnote w:id="2">
    <w:p w14:paraId="11A1E4F3" w14:textId="5939CA3C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Opatření vybraná ke kontrole NKÚ se týkala podpory aktivit „</w:t>
      </w:r>
      <w:proofErr w:type="spellStart"/>
      <w:r>
        <w:t>Nízkoemisní</w:t>
      </w:r>
      <w:proofErr w:type="spellEnd"/>
      <w:r>
        <w:t xml:space="preserve"> a bezemisní vozidla“, „Telematika“ a „Terminály“.</w:t>
      </w:r>
    </w:p>
  </w:footnote>
  <w:footnote w:id="3">
    <w:p w14:paraId="0AD8F847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591269">
        <w:rPr>
          <w:i/>
        </w:rPr>
        <w:t>MS2014+</w:t>
      </w:r>
      <w:r>
        <w:t xml:space="preserve"> je jednotný monitorovací systém evropských strukturálních a investičních fondů pro programové období 2014–2020.</w:t>
      </w:r>
    </w:p>
  </w:footnote>
  <w:footnote w:id="4">
    <w:p w14:paraId="1A50C9D5" w14:textId="3B0D4381" w:rsidR="008C400D" w:rsidRPr="00000EAC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ITI – </w:t>
      </w:r>
      <w:proofErr w:type="spellStart"/>
      <w:r>
        <w:t>i</w:t>
      </w:r>
      <w:r w:rsidRPr="00000EAC">
        <w:t>ntegrated</w:t>
      </w:r>
      <w:proofErr w:type="spellEnd"/>
      <w:r w:rsidRPr="00000EAC">
        <w:t xml:space="preserve"> </w:t>
      </w:r>
      <w:proofErr w:type="spellStart"/>
      <w:r>
        <w:t>t</w:t>
      </w:r>
      <w:r w:rsidRPr="00000EAC">
        <w:t>erritorial</w:t>
      </w:r>
      <w:proofErr w:type="spellEnd"/>
      <w:r w:rsidRPr="00000EAC">
        <w:t xml:space="preserve"> </w:t>
      </w:r>
      <w:proofErr w:type="spellStart"/>
      <w:r>
        <w:t>i</w:t>
      </w:r>
      <w:r w:rsidRPr="00000EAC">
        <w:t>nvestments</w:t>
      </w:r>
      <w:proofErr w:type="spellEnd"/>
      <w:r w:rsidRPr="00000EAC">
        <w:t xml:space="preserve"> </w:t>
      </w:r>
      <w:r>
        <w:t>(i</w:t>
      </w:r>
      <w:r w:rsidRPr="00000EAC">
        <w:t>ntegrované územní investice</w:t>
      </w:r>
      <w:r>
        <w:t>).</w:t>
      </w:r>
    </w:p>
  </w:footnote>
  <w:footnote w:id="5">
    <w:p w14:paraId="40B95F89" w14:textId="06E36E1B" w:rsidR="008C400D" w:rsidRPr="0081287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Kontrolní akce č. 16/12 – </w:t>
      </w:r>
      <w:r w:rsidRPr="009C2C22">
        <w:rPr>
          <w:i/>
        </w:rPr>
        <w:t>Příprava jednotného metodického prostředí pro čerpání podpory EU v programovém období 2014+</w:t>
      </w:r>
      <w:r>
        <w:t xml:space="preserve">; kontrolní závěr byl publikován v částce 4/2017 </w:t>
      </w:r>
      <w:r>
        <w:rPr>
          <w:i/>
        </w:rPr>
        <w:t>Věstníku NKÚ</w:t>
      </w:r>
      <w:r>
        <w:t>.</w:t>
      </w:r>
    </w:p>
  </w:footnote>
  <w:footnote w:id="6">
    <w:p w14:paraId="2292D6E6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Tj. výdaje na diagnostické a servisní vybavení, výdaje na technickou podporu a na výdaje spojené s nadstandardní délkou záruční doby. </w:t>
      </w:r>
    </w:p>
  </w:footnote>
  <w:footnote w:id="7">
    <w:p w14:paraId="764AFE02" w14:textId="2BB2DA2B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ERDF – </w:t>
      </w:r>
      <w:proofErr w:type="spellStart"/>
      <w:r w:rsidRPr="00DF5C7F">
        <w:t>European</w:t>
      </w:r>
      <w:proofErr w:type="spellEnd"/>
      <w:r w:rsidRPr="00DF5C7F">
        <w:t xml:space="preserve"> </w:t>
      </w:r>
      <w:proofErr w:type="spellStart"/>
      <w:r w:rsidRPr="00DF5C7F">
        <w:t>Regional</w:t>
      </w:r>
      <w:proofErr w:type="spellEnd"/>
      <w:r w:rsidRPr="00DF5C7F">
        <w:t xml:space="preserve"> </w:t>
      </w:r>
      <w:proofErr w:type="spellStart"/>
      <w:r w:rsidRPr="00DF5C7F">
        <w:t>Development</w:t>
      </w:r>
      <w:proofErr w:type="spellEnd"/>
      <w:r w:rsidRPr="00DF5C7F">
        <w:t xml:space="preserve"> </w:t>
      </w:r>
      <w:proofErr w:type="spellStart"/>
      <w:r w:rsidRPr="00DF5C7F">
        <w:t>Fund</w:t>
      </w:r>
      <w:proofErr w:type="spellEnd"/>
      <w:r>
        <w:t>.</w:t>
      </w:r>
    </w:p>
  </w:footnote>
  <w:footnote w:id="8">
    <w:p w14:paraId="35FF855E" w14:textId="64ABE955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ITS – </w:t>
      </w:r>
      <w:proofErr w:type="spellStart"/>
      <w:r>
        <w:t>i</w:t>
      </w:r>
      <w:r w:rsidRPr="00E3127D">
        <w:t>ntelligent</w:t>
      </w:r>
      <w:proofErr w:type="spellEnd"/>
      <w:r w:rsidRPr="00E3127D">
        <w:t xml:space="preserve"> transport </w:t>
      </w:r>
      <w:proofErr w:type="spellStart"/>
      <w:r w:rsidRPr="00E3127D">
        <w:t>systems</w:t>
      </w:r>
      <w:proofErr w:type="spellEnd"/>
      <w:r>
        <w:t>.</w:t>
      </w:r>
    </w:p>
  </w:footnote>
  <w:footnote w:id="9">
    <w:p w14:paraId="26AC3DB1" w14:textId="43DDD49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Aktivita zahrnuje n</w:t>
      </w:r>
      <w:r w:rsidRPr="009A01DE">
        <w:t xml:space="preserve">ákup </w:t>
      </w:r>
      <w:proofErr w:type="spellStart"/>
      <w:r w:rsidRPr="009A01DE">
        <w:t>nízkoemisních</w:t>
      </w:r>
      <w:proofErr w:type="spellEnd"/>
      <w:r w:rsidRPr="009A01DE">
        <w:t xml:space="preserve"> a bezemisních vozidel, která využ</w:t>
      </w:r>
      <w:r>
        <w:t>ívají alternativní zdroje paliv</w:t>
      </w:r>
      <w:r w:rsidRPr="009A01DE">
        <w:t>, a</w:t>
      </w:r>
      <w:r>
        <w:t> </w:t>
      </w:r>
      <w:r w:rsidRPr="009A01DE">
        <w:t>nákup trakčních vozidel městské dopravy (tramvaje, trolejbusy) pro zajištění základní dopravní obslužnosti v</w:t>
      </w:r>
      <w:r>
        <w:t> </w:t>
      </w:r>
      <w:r w:rsidRPr="009A01DE">
        <w:t>rámci závazku veřejné služby, včetně zohlednění potřeby účastníků dopravy se ztíženou možností pohybu a</w:t>
      </w:r>
      <w:r>
        <w:t> </w:t>
      </w:r>
      <w:r w:rsidRPr="009A01DE">
        <w:t>orientace</w:t>
      </w:r>
      <w:r>
        <w:t>.</w:t>
      </w:r>
    </w:p>
  </w:footnote>
  <w:footnote w:id="10">
    <w:p w14:paraId="38C78146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Aktivita je zaměřena na podporu výstavby, zavedení, rekonstrukce nebo modernizace</w:t>
      </w:r>
      <w:r w:rsidRPr="009A01DE">
        <w:t xml:space="preserve"> inteligentních dopravních systémů a dopravní telematiky pro veřejnou dopravu, zavádění nebo mode</w:t>
      </w:r>
      <w:r>
        <w:t>rnizace</w:t>
      </w:r>
      <w:r w:rsidRPr="009A01DE">
        <w:t xml:space="preserve"> informačních systémů pro cestující, komunikačních systémů řidičů veřejné dopravy s dispečinkem, rezervačních, odbavovacích a platebních systémů pro veřejnou dopravu</w:t>
      </w:r>
      <w:r>
        <w:t>.</w:t>
      </w:r>
    </w:p>
  </w:footnote>
  <w:footnote w:id="11">
    <w:p w14:paraId="58B72954" w14:textId="12095638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Aktivita je zaměřena na podporu výstavby</w:t>
      </w:r>
      <w:r w:rsidRPr="009A01DE">
        <w:t xml:space="preserve"> a modernizace přestupních terminálů, souvisejících záchytných parkovišť a parkovacích domů v přímé návaznosti na veřejnou hromadnou dopr</w:t>
      </w:r>
      <w:r>
        <w:t>avu (systémy P+R, K+R, B+R) a </w:t>
      </w:r>
      <w:r w:rsidRPr="009A01DE">
        <w:t>zázemí pro veřejnou hromadnou dopravu</w:t>
      </w:r>
      <w:r>
        <w:t>.</w:t>
      </w:r>
    </w:p>
  </w:footnote>
  <w:footnote w:id="12">
    <w:p w14:paraId="05B95FA0" w14:textId="15AEF376" w:rsidR="008C400D" w:rsidRPr="008D5332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Ve </w:t>
      </w:r>
      <w:r w:rsidRPr="00524358">
        <w:rPr>
          <w:i/>
        </w:rPr>
        <w:t>Zprávě o pokroku provádění Dohody o partnerství</w:t>
      </w:r>
      <w:r>
        <w:rPr>
          <w:i/>
        </w:rPr>
        <w:t xml:space="preserve"> k 31. 12. 2018</w:t>
      </w:r>
      <w:r>
        <w:t xml:space="preserve"> je mimo jiné uvedeno:</w:t>
      </w:r>
      <w:r w:rsidRPr="008D5332">
        <w:t xml:space="preserve"> „</w:t>
      </w:r>
      <w:r w:rsidRPr="00524358">
        <w:rPr>
          <w:i/>
        </w:rPr>
        <w:t>Dopravní síť disponuje nízkou interoperabilitou a </w:t>
      </w:r>
      <w:proofErr w:type="spellStart"/>
      <w:r w:rsidRPr="00524358">
        <w:rPr>
          <w:i/>
        </w:rPr>
        <w:t>multimodalitou</w:t>
      </w:r>
      <w:proofErr w:type="spellEnd"/>
      <w:r w:rsidRPr="00524358">
        <w:rPr>
          <w:i/>
        </w:rPr>
        <w:t xml:space="preserve"> rozdílných typů dopravních systémů. Technologický rozvoj z hlediska zavádění inteligentních dopravních systémů a telematiky je příliš pomalý.</w:t>
      </w:r>
      <w:r w:rsidRPr="008D5332">
        <w:t>“</w:t>
      </w:r>
    </w:p>
  </w:footnote>
  <w:footnote w:id="13">
    <w:p w14:paraId="33962404" w14:textId="469416EB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C6678F">
        <w:t xml:space="preserve">Udržitelnou dopravou se rozumí dle </w:t>
      </w:r>
      <w:r>
        <w:t>p</w:t>
      </w:r>
      <w:r w:rsidRPr="00C6678F">
        <w:t>rogramového dokumentu IROP „funkční, bezpečné a ekonomické podmínky pro přemisťování osob a nákladů, které není v rozporu s udržitelnou spotřebou přírodních zdrojů, snižuje zátěž životního prostředí a eliminuje negativní vlivy na lidské zdraví“</w:t>
      </w:r>
      <w:r>
        <w:t>.</w:t>
      </w:r>
    </w:p>
  </w:footnote>
  <w:footnote w:id="14">
    <w:p w14:paraId="21F06B59" w14:textId="27D8A4E0" w:rsidR="008C400D" w:rsidRPr="00A95189" w:rsidRDefault="008C400D" w:rsidP="00377CD2">
      <w:pPr>
        <w:pStyle w:val="Poznmkapodarou"/>
      </w:pPr>
      <w:r w:rsidRPr="00272339">
        <w:rPr>
          <w:rStyle w:val="Znakapoznpodarou"/>
        </w:rPr>
        <w:footnoteRef/>
      </w:r>
      <w:r w:rsidRPr="006E3519">
        <w:rPr>
          <w:rStyle w:val="Znakapoznpodarou"/>
        </w:rPr>
        <w:t xml:space="preserve"> </w:t>
      </w:r>
      <w:r w:rsidRPr="006E3519">
        <w:rPr>
          <w:rStyle w:val="Znakapoznpodarou"/>
        </w:rPr>
        <w:tab/>
      </w:r>
      <w:r>
        <w:t>MMR</w:t>
      </w:r>
      <w:r w:rsidRPr="00A95189">
        <w:t xml:space="preserve"> bylo pověřeno výkonem funkce </w:t>
      </w:r>
      <w:r>
        <w:t>ř</w:t>
      </w:r>
      <w:r w:rsidRPr="00A95189">
        <w:t xml:space="preserve">ídicího orgánu </w:t>
      </w:r>
      <w:r>
        <w:t>IROP</w:t>
      </w:r>
      <w:r w:rsidRPr="00A95189">
        <w:t xml:space="preserve"> na základě usnesení vlády </w:t>
      </w:r>
      <w:r>
        <w:t xml:space="preserve">ČR </w:t>
      </w:r>
      <w:r w:rsidRPr="00A95189">
        <w:t>ze dne 28.</w:t>
      </w:r>
      <w:r>
        <w:t> </w:t>
      </w:r>
      <w:r w:rsidRPr="00A95189">
        <w:t>listopadu 2012</w:t>
      </w:r>
      <w:r>
        <w:t xml:space="preserve"> </w:t>
      </w:r>
      <w:r w:rsidRPr="00A95189">
        <w:t>č. 867</w:t>
      </w:r>
      <w:r>
        <w:t>,</w:t>
      </w:r>
      <w:r w:rsidRPr="005D23B8">
        <w:t xml:space="preserve"> </w:t>
      </w:r>
      <w:r w:rsidRPr="004F25E3">
        <w:rPr>
          <w:i/>
        </w:rPr>
        <w:t>k přípravě programů spolufinancovaných z fondů Společného strategického rámce pro programové období let 2014 až 2020 v podmínkách České republiky</w:t>
      </w:r>
      <w:r w:rsidRPr="00A95189">
        <w:t xml:space="preserve">. </w:t>
      </w:r>
    </w:p>
  </w:footnote>
  <w:footnote w:id="15">
    <w:p w14:paraId="1F52EA29" w14:textId="47433042" w:rsidR="008C400D" w:rsidRPr="00632F43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632F43">
        <w:t>Z hlediska struktury příjemců podpory se jednalo o deset dopravců, dvě města a jeden kraj. Všichni dopravci až na jednoho realizovali projekty zaměřené na opatření „</w:t>
      </w:r>
      <w:proofErr w:type="spellStart"/>
      <w:r>
        <w:t>Nízkoemisní</w:t>
      </w:r>
      <w:proofErr w:type="spellEnd"/>
      <w:r>
        <w:t xml:space="preserve"> a bezemisní v</w:t>
      </w:r>
      <w:r w:rsidRPr="00632F43">
        <w:t>ozidla“ (13 projektů) s</w:t>
      </w:r>
      <w:r>
        <w:t> </w:t>
      </w:r>
      <w:r w:rsidRPr="00632F43">
        <w:t>tím, že dva z těchto dopravců rovněž realizovali projekty zaměřené na opatření „Telematika“ (dva projekty). Tři projekty zaměřené na opatření „Terminály“ realizovala města a jeden z dopravců. Jeden projekt zaměřený na opatření „Telematika“ realizoval kraj.</w:t>
      </w:r>
    </w:p>
  </w:footnote>
  <w:footnote w:id="16">
    <w:p w14:paraId="4AEDDC8B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Průzkum veřejného mínění, který si nechávají evropské orgány provádět na specifická témata ve všech členských tátech EU. Respondenti uváděli maximálně tři odpovědi.</w:t>
      </w:r>
    </w:p>
  </w:footnote>
  <w:footnote w:id="17">
    <w:p w14:paraId="22329C6F" w14:textId="7FBE749D" w:rsidR="008C400D" w:rsidRPr="002C1106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2C1106">
        <w:t>Pořizování vozidel využívajících alternativní paliva přispívá ke snížení negativních dopadů dopravy na životní prostředí, zejména pokud jde o emise látek znečišťujících ovzduší a emise skleníkových plynů. Zavádění alternativních paliv nejen do veřejné dopravy vyplývá z požadavku směrnice Evropského parlamentu a Rady 2014/94/EU o zavádění infrastruktury pro alternativní paliva. V listopadu 2015 schválila vláda ČR</w:t>
      </w:r>
      <w:r>
        <w:t xml:space="preserve"> svým usnesením č. 941</w:t>
      </w:r>
      <w:r w:rsidRPr="002C1106">
        <w:t xml:space="preserve"> </w:t>
      </w:r>
      <w:r w:rsidRPr="006A6E79">
        <w:rPr>
          <w:i/>
        </w:rPr>
        <w:t>Národní akční plán čisté mobility pro období 2015</w:t>
      </w:r>
      <w:r>
        <w:rPr>
          <w:i/>
        </w:rPr>
        <w:t>–</w:t>
      </w:r>
      <w:r w:rsidRPr="006A6E79">
        <w:rPr>
          <w:i/>
        </w:rPr>
        <w:t>2018</w:t>
      </w:r>
      <w:r w:rsidRPr="002C1106">
        <w:t xml:space="preserve"> </w:t>
      </w:r>
      <w:r w:rsidRPr="006A6E79">
        <w:rPr>
          <w:i/>
        </w:rPr>
        <w:t>s výhledem do roku 2030</w:t>
      </w:r>
      <w:r w:rsidRPr="002C1106">
        <w:t>, který vychází z požadavku směrnice 2014/94/EU o zavádění infrastruktury pro alternativní paliva.</w:t>
      </w:r>
      <w:r>
        <w:t xml:space="preserve"> </w:t>
      </w:r>
      <w:r w:rsidRPr="005F3D53">
        <w:t>V</w:t>
      </w:r>
      <w:r>
        <w:t> </w:t>
      </w:r>
      <w:r w:rsidRPr="005F3D53">
        <w:t>rámci NAP ČM jsou definovány strategické cíle a k nim stanovena opatření pro jejich plnění.</w:t>
      </w:r>
    </w:p>
  </w:footnote>
  <w:footnote w:id="18">
    <w:p w14:paraId="0AA8234C" w14:textId="57BEC9BC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Zdroj: systém </w:t>
      </w:r>
      <w:r w:rsidRPr="0057180D">
        <w:rPr>
          <w:i/>
        </w:rPr>
        <w:t>MS2014+</w:t>
      </w:r>
      <w:r>
        <w:t xml:space="preserve"> ke dni 30. 7. 2019, rozdíl mezi výchozí a cílovou hodnotou monitorovacího indikátoru „m</w:t>
      </w:r>
      <w:r w:rsidRPr="005F3D53">
        <w:t>nožství emisí primárních částic a prekurzorů sekundárních částic v rámci podpořených projektů</w:t>
      </w:r>
      <w:r>
        <w:t>“ u projektů minimálně s vydaným právním aktem o podpoře, v jejichž rámci je deklarován přínos ve formě snížení emisí. NKÚ ověřoval správnost hodnot monitorovacího indikátoru vykazovaných v </w:t>
      </w:r>
      <w:r w:rsidRPr="0057180D">
        <w:rPr>
          <w:i/>
        </w:rPr>
        <w:t>MS2014+</w:t>
      </w:r>
      <w:r>
        <w:t xml:space="preserve"> pouze u kontrolovaných projektů (viz přílohu č. 3 tohoto kontrolního závěru).</w:t>
      </w:r>
    </w:p>
  </w:footnote>
  <w:footnote w:id="19">
    <w:p w14:paraId="6F5ECD55" w14:textId="77777777" w:rsidR="008C400D" w:rsidRPr="00D4380A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D4380A">
        <w:t>Vyřazené autobusy byly ve 44 případech ekologicky zlikvidovány. Dvanáct autobusů příjemce prodal jiné osobě a v jednom případě byl autobus odstaven.</w:t>
      </w:r>
    </w:p>
  </w:footnote>
  <w:footnote w:id="20">
    <w:p w14:paraId="22F834F6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415EDC">
        <w:t>CZ.06.1.37/0.0/0.0/16_022/0001234</w:t>
      </w:r>
      <w:r>
        <w:t>, č. </w:t>
      </w:r>
      <w:r w:rsidRPr="00415EDC">
        <w:t>CZ.06.1.37/0.0/0.0/16_022/0001390</w:t>
      </w:r>
      <w:r>
        <w:t>, č. </w:t>
      </w:r>
      <w:r w:rsidRPr="00415EDC">
        <w:t>CZ.06.1.37/0.0/0.0/16_045/0005669</w:t>
      </w:r>
      <w:r>
        <w:t xml:space="preserve"> a č. </w:t>
      </w:r>
      <w:r w:rsidRPr="00F814CC">
        <w:t>CZ.06.1.37/0.0/0.0/16_045/0007419</w:t>
      </w:r>
      <w:r>
        <w:t>.</w:t>
      </w:r>
    </w:p>
  </w:footnote>
  <w:footnote w:id="21">
    <w:p w14:paraId="2714773E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Do počtu zadávacích řízení na dílčí části nejsou započteny veřejné zakázky malého rozsahu zadané přímo dodavateli a jednací řízení bez uveřejnění, respektive výzvy</w:t>
      </w:r>
      <w:r w:rsidRPr="001A2F05">
        <w:t xml:space="preserve"> související s dříve</w:t>
      </w:r>
      <w:r>
        <w:t xml:space="preserve"> uzavřenými rámcovými smlouvami.</w:t>
      </w:r>
    </w:p>
  </w:footnote>
  <w:footnote w:id="22">
    <w:p w14:paraId="572F5000" w14:textId="77777777" w:rsidR="008C400D" w:rsidRPr="000B0D0C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710DF3">
        <w:t>Registr smluv je informačním systémem zřízeným podle zákona č. 340/2015 Sb., o zvláštních podmínkách účinnosti některých smluv, uveřejňování těchto smluv a o registru smluv (zákon o registru smluv), který je veřejně dostupný. Od 1. 7. 2017 je zveřejnění v registru smluv podmínkou účinnosti těchto smluv.</w:t>
      </w:r>
    </w:p>
  </w:footnote>
  <w:footnote w:id="23">
    <w:p w14:paraId="4D1CFEF8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B931A7">
        <w:rPr>
          <w:i/>
        </w:rPr>
        <w:t>Informační systém o veřejných zakázkách</w:t>
      </w:r>
      <w:r w:rsidRPr="00710DF3">
        <w:t xml:space="preserve"> je ve smyslu ustanovení § 224 zákona č. 134/2016 Sb., o zadávání veřejných zakázek, informačním systémem veřejné správy, prostřednictvím něh</w:t>
      </w:r>
      <w:r>
        <w:t>ož zajišťuje MMR mimo jiné</w:t>
      </w:r>
      <w:r w:rsidRPr="00710DF3">
        <w:t xml:space="preserve"> funkci uveřejňování informací z formulářů k veřejným zakázkám.</w:t>
      </w:r>
    </w:p>
  </w:footnote>
  <w:footnote w:id="24">
    <w:p w14:paraId="6C6E4A4E" w14:textId="0983E70A" w:rsidR="008C400D" w:rsidRPr="007A6619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D10944">
        <w:t xml:space="preserve">Zveřejňované údaje byly získány z kontrolovaných projektů </w:t>
      </w:r>
      <w:r w:rsidRPr="007A6619">
        <w:t>(</w:t>
      </w:r>
      <w:hyperlink r:id="rId1" w:history="1">
        <w:r w:rsidRPr="00766FA8">
          <w:rPr>
            <w:rStyle w:val="Hypertextovodkaz"/>
          </w:rPr>
          <w:t>https://data.nku.cz/download/vystupy-z-kontrol/ka-18-24/</w:t>
        </w:r>
        <w:r w:rsidRPr="00766FA8">
          <w:rPr>
            <w:rStyle w:val="Hypertextovodkaz"/>
            <w:bCs/>
          </w:rPr>
          <w:t>Ceny-dopravnich-prostredku-porizovane-v-kontrolovanych-projektech</w:t>
        </w:r>
        <w:r w:rsidRPr="00766FA8">
          <w:rPr>
            <w:rStyle w:val="Hypertextovodkaz"/>
          </w:rPr>
          <w:t>.xlsx</w:t>
        </w:r>
      </w:hyperlink>
      <w:r w:rsidRPr="007A6619">
        <w:t>) a z veřejně dostupných zdrojů (</w:t>
      </w:r>
      <w:hyperlink r:id="rId2" w:history="1">
        <w:r w:rsidRPr="00766FA8">
          <w:rPr>
            <w:rStyle w:val="Hypertextovodkaz"/>
          </w:rPr>
          <w:t>https://data.nku.cz/download/vystupy-z-kontrol/ka-18-24/</w:t>
        </w:r>
        <w:r w:rsidRPr="00766FA8">
          <w:rPr>
            <w:rStyle w:val="Hypertextovodkaz"/>
            <w:bCs/>
          </w:rPr>
          <w:t>Prehled-cen-dopravnich-prostredku-RS-a-ISVZ</w:t>
        </w:r>
        <w:r w:rsidRPr="00766FA8">
          <w:rPr>
            <w:rStyle w:val="Hypertextovodkaz"/>
          </w:rPr>
          <w:t>.xlsx</w:t>
        </w:r>
      </w:hyperlink>
      <w:r w:rsidRPr="007A6619">
        <w:t>).</w:t>
      </w:r>
    </w:p>
  </w:footnote>
  <w:footnote w:id="25">
    <w:p w14:paraId="5E2586D9" w14:textId="77777777" w:rsidR="008C400D" w:rsidRPr="007A6619" w:rsidRDefault="008C400D" w:rsidP="00377CD2">
      <w:pPr>
        <w:pStyle w:val="Poznmkapodarou"/>
      </w:pPr>
      <w:r w:rsidRPr="007A6619">
        <w:rPr>
          <w:rStyle w:val="Znakapoznpodarou"/>
        </w:rPr>
        <w:footnoteRef/>
      </w:r>
      <w:r w:rsidRPr="007A6619">
        <w:t xml:space="preserve"> </w:t>
      </w:r>
      <w:r w:rsidRPr="007A6619">
        <w:tab/>
        <w:t>Projekt č. CZ.06.1.37/0.0/0.0/16_025/0001463.</w:t>
      </w:r>
    </w:p>
  </w:footnote>
  <w:footnote w:id="26">
    <w:p w14:paraId="60B31E0E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117174">
        <w:t>CZ.06.1.37/0.0/0.0/16_025/0001180</w:t>
      </w:r>
      <w:r>
        <w:t>.</w:t>
      </w:r>
    </w:p>
  </w:footnote>
  <w:footnote w:id="27">
    <w:p w14:paraId="5294D627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117174">
        <w:t>CZ.06.1.37/0.0/0.0/16_022/0001390</w:t>
      </w:r>
      <w:r>
        <w:t>.</w:t>
      </w:r>
    </w:p>
  </w:footnote>
  <w:footnote w:id="28">
    <w:p w14:paraId="32E8728E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U</w:t>
      </w:r>
      <w:r w:rsidRPr="007A5B7D">
        <w:t>stanovení § 6 odst. 1 zákona č. 134/2016 Sb., o zadávání veřejných zakázek</w:t>
      </w:r>
      <w:r>
        <w:t>.</w:t>
      </w:r>
    </w:p>
  </w:footnote>
  <w:footnote w:id="29">
    <w:p w14:paraId="1A7F8A01" w14:textId="1C74DCA9" w:rsidR="008C400D" w:rsidRDefault="008C400D" w:rsidP="00E3016E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Ustanovení § 3 písm. e) ve spojení s ustanovením § 44 odst. 1 písm. b) zákona č. 218/2000 Sb., o rozpočtových pravidlech a o změně některých souvisejících zákonů (rozpočtová pravidla).</w:t>
      </w:r>
    </w:p>
  </w:footnote>
  <w:footnote w:id="30">
    <w:p w14:paraId="29DE08BA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8E4031">
        <w:t>CZ.06.1.37/0.0/0.0/16_045/0007419</w:t>
      </w:r>
      <w:r>
        <w:t>.</w:t>
      </w:r>
    </w:p>
  </w:footnote>
  <w:footnote w:id="31">
    <w:p w14:paraId="4601A289" w14:textId="60A6B56B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Vyhodnocení opatření realizovaných v programovém období 2007–2013 a podpořených z ROP vychází z evaluačních zpráv, v jejichž rámci byly posuzovány </w:t>
      </w:r>
      <w:r w:rsidRPr="007811A1">
        <w:t>přínosy, efekty a dopady realizovaných intervencí</w:t>
      </w:r>
      <w:r>
        <w:t>.</w:t>
      </w:r>
    </w:p>
  </w:footnote>
  <w:footnote w:id="32">
    <w:p w14:paraId="47C528E0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Kapitola 5 písm. c) </w:t>
      </w:r>
      <w:r w:rsidRPr="001511B1">
        <w:rPr>
          <w:i/>
        </w:rPr>
        <w:t>Zprávy o pokroku při provádění Dohody o partnerství k 31. 12. 2018</w:t>
      </w:r>
      <w:r>
        <w:t>.</w:t>
      </w:r>
    </w:p>
  </w:footnote>
  <w:footnote w:id="33">
    <w:p w14:paraId="71BE01AC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6F0CF0">
        <w:t>CZ.06.1.37/0.0/0.0/16_045/0004399</w:t>
      </w:r>
      <w:r>
        <w:t>.</w:t>
      </w:r>
    </w:p>
  </w:footnote>
  <w:footnote w:id="34">
    <w:p w14:paraId="21531DB2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V projektu č. </w:t>
      </w:r>
      <w:r w:rsidRPr="006F0CF0">
        <w:t>CZ.06.1.37/0.0/0.0/16_045/0006867</w:t>
      </w:r>
      <w:r>
        <w:t xml:space="preserve"> pořízeno celkem 19 dopravních prostředků; v projektu č. </w:t>
      </w:r>
      <w:r w:rsidRPr="006F0CF0">
        <w:t>CZ.06.1.37/0.0/0.0/16_045/0005669</w:t>
      </w:r>
      <w:r>
        <w:t xml:space="preserve"> pořízeno celkem 11 dopravních prostředků; v projektu č. </w:t>
      </w:r>
      <w:r w:rsidRPr="006F0CF0">
        <w:t>CZ.06.1.37/0.0/0.0/16_045/0005148</w:t>
      </w:r>
      <w:r>
        <w:t xml:space="preserve"> pořízeny dva dopravní prostředky.</w:t>
      </w:r>
    </w:p>
  </w:footnote>
  <w:footnote w:id="35">
    <w:p w14:paraId="0CA6F309" w14:textId="77777777" w:rsidR="008C400D" w:rsidRPr="004D69E6" w:rsidRDefault="008C400D" w:rsidP="00377CD2">
      <w:pPr>
        <w:pStyle w:val="Poznmkapodarou"/>
      </w:pPr>
      <w:r w:rsidRPr="004D69E6">
        <w:rPr>
          <w:rStyle w:val="Znakapoznpodarou"/>
          <w:rFonts w:eastAsiaTheme="majorEastAsia"/>
          <w:sz w:val="18"/>
          <w:szCs w:val="18"/>
        </w:rPr>
        <w:footnoteRef/>
      </w:r>
      <w:r w:rsidRPr="004D69E6">
        <w:t xml:space="preserve"> </w:t>
      </w:r>
      <w:r>
        <w:tab/>
      </w:r>
      <w:r w:rsidRPr="004D69E6">
        <w:t xml:space="preserve">CBA = </w:t>
      </w:r>
      <w:proofErr w:type="spellStart"/>
      <w:r w:rsidRPr="004D69E6">
        <w:t>cost</w:t>
      </w:r>
      <w:proofErr w:type="spellEnd"/>
      <w:r w:rsidRPr="004D69E6">
        <w:t xml:space="preserve"> benefit </w:t>
      </w:r>
      <w:proofErr w:type="spellStart"/>
      <w:r w:rsidRPr="004D69E6">
        <w:t>analysis</w:t>
      </w:r>
      <w:proofErr w:type="spellEnd"/>
      <w:r w:rsidRPr="004D69E6">
        <w:t xml:space="preserve">, </w:t>
      </w:r>
      <w:r>
        <w:t xml:space="preserve">tj. </w:t>
      </w:r>
      <w:r w:rsidRPr="004D69E6">
        <w:t>analýza nákladů a přínosů.</w:t>
      </w:r>
    </w:p>
  </w:footnote>
  <w:footnote w:id="36">
    <w:p w14:paraId="7BC64AAD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Modul CBA v </w:t>
      </w:r>
      <w:r w:rsidRPr="001511B1">
        <w:rPr>
          <w:i/>
        </w:rPr>
        <w:t>MS2014+</w:t>
      </w:r>
      <w:r>
        <w:t>.</w:t>
      </w:r>
    </w:p>
  </w:footnote>
  <w:footnote w:id="37">
    <w:p w14:paraId="012BC7B6" w14:textId="0EB130E7" w:rsidR="008C400D" w:rsidRPr="004D69E6" w:rsidRDefault="008C400D" w:rsidP="00377CD2">
      <w:pPr>
        <w:pStyle w:val="Poznmkapodarou"/>
      </w:pPr>
      <w:r w:rsidRPr="004D69E6">
        <w:rPr>
          <w:rStyle w:val="Znakapoznpodarou"/>
          <w:rFonts w:eastAsiaTheme="majorEastAsia"/>
          <w:sz w:val="18"/>
          <w:szCs w:val="18"/>
        </w:rPr>
        <w:footnoteRef/>
      </w:r>
      <w:r w:rsidRPr="004D69E6">
        <w:t xml:space="preserve"> </w:t>
      </w:r>
      <w:r>
        <w:tab/>
      </w:r>
      <w:r w:rsidRPr="004D69E6">
        <w:t>Zásada řádného finančního řízení je stanovena v odst. 1</w:t>
      </w:r>
      <w:r>
        <w:t xml:space="preserve">  a 2</w:t>
      </w:r>
      <w:r w:rsidRPr="004D69E6">
        <w:t xml:space="preserve"> článku 30 nařízení</w:t>
      </w:r>
      <w:r>
        <w:t xml:space="preserve"> (EU, Euratom) č. 966/2012</w:t>
      </w:r>
      <w:r w:rsidRPr="004D69E6">
        <w:t xml:space="preserve"> Evropského parlamentu a Rady</w:t>
      </w:r>
      <w:r>
        <w:t xml:space="preserve"> ze dne 25. října 2012, kterým se stanoví finanční pravidla o souhrnném rozpočtu Unie a o zrušení nařízení Rady (ES, Euratom) č. 1605/2002</w:t>
      </w:r>
      <w:r w:rsidRPr="004D69E6">
        <w:t>, respektive v článku 33 odst. 1 písm. b) nařízení Evropského parlamentu a Rady (EU, Euratom) č. 2018/1046</w:t>
      </w:r>
      <w:r>
        <w:t xml:space="preserve"> ze dne 18. července 2018</w:t>
      </w:r>
      <w:r w:rsidRPr="004D69E6">
        <w:t>, kterým se stanoví finanční pravidla pro souhrnný rozpočet Unie, mění nařízení (EU) č. 1296/2013, (EU) č. 1301/2013, (EU) č. 1303/2013, (EU) č. 1304/2013, (EU) č. 1309/2013, (EU) č.</w:t>
      </w:r>
      <w:r>
        <w:t> </w:t>
      </w:r>
      <w:r w:rsidRPr="004D69E6">
        <w:t>1316/2013, (EU) č. 223/2014 a (EU) č.</w:t>
      </w:r>
      <w:r>
        <w:t> </w:t>
      </w:r>
      <w:r w:rsidRPr="004D69E6">
        <w:t>283/2014 a rozhodnutí č. 541/2014/EU a zrušuje nařízení (EU, Euratom) č. 966/2012.</w:t>
      </w:r>
    </w:p>
  </w:footnote>
  <w:footnote w:id="38">
    <w:p w14:paraId="07994426" w14:textId="3F1475C3" w:rsidR="008C400D" w:rsidRPr="004D69E6" w:rsidRDefault="008C400D" w:rsidP="00377CD2">
      <w:pPr>
        <w:pStyle w:val="Poznmkapodarou"/>
      </w:pPr>
      <w:r w:rsidRPr="004D69E6">
        <w:rPr>
          <w:rStyle w:val="Znakapoznpodarou"/>
          <w:rFonts w:eastAsiaTheme="majorEastAsia"/>
          <w:sz w:val="18"/>
          <w:szCs w:val="18"/>
        </w:rPr>
        <w:footnoteRef/>
      </w:r>
      <w:r w:rsidRPr="004D69E6">
        <w:t xml:space="preserve"> </w:t>
      </w:r>
      <w:r>
        <w:tab/>
      </w:r>
      <w:r w:rsidRPr="004D69E6">
        <w:t>Soulad se zásadou řádného finančního řízení a uplatnění vhodných postupů pro výběr operací jso</w:t>
      </w:r>
      <w:r>
        <w:t>u vymezeny v článku 125 odst. 1</w:t>
      </w:r>
      <w:r w:rsidRPr="004D69E6">
        <w:t>, respektive v článku 125 odst. 3 písm. a) nařízení Evropského parlamentu a</w:t>
      </w:r>
      <w:r>
        <w:t> </w:t>
      </w:r>
      <w:r w:rsidRPr="004D69E6">
        <w:t>Rady (EU) č.</w:t>
      </w:r>
      <w:r>
        <w:t> </w:t>
      </w:r>
      <w:r w:rsidRPr="004D69E6">
        <w:t>1303/2013</w:t>
      </w:r>
      <w:r>
        <w:t xml:space="preserve"> ze dne 17. prosince 2013</w:t>
      </w:r>
      <w:r w:rsidRPr="004D69E6">
        <w:t xml:space="preserve"> o společných ustanoveních </w:t>
      </w:r>
      <w:r w:rsidRPr="004D69E6">
        <w:rPr>
          <w:color w:val="000000"/>
          <w:lang w:eastAsia="cs-CZ"/>
        </w:rPr>
        <w:t>o Evropském fondu pro regionální rozvoj, Evropském sociálním fondu, Fondu soudržnosti, Evropském zemědělském fondu pro rozvoj venkova a Evropském námořním a rybářském fondu, o</w:t>
      </w:r>
      <w:r>
        <w:rPr>
          <w:color w:val="000000"/>
          <w:lang w:eastAsia="cs-CZ"/>
        </w:rPr>
        <w:t> </w:t>
      </w:r>
      <w:r w:rsidRPr="004D69E6">
        <w:rPr>
          <w:color w:val="000000"/>
          <w:lang w:eastAsia="cs-CZ"/>
        </w:rPr>
        <w:t>obecných ustanoveních o Evropském fondu pro regionální rozvoj, Evropském sociálním fondu, Fondu soudržnosti a Evropském námořním a rybářském fondu a o zrušení nařízení Rady (ES) č. 1083/2006.</w:t>
      </w:r>
    </w:p>
  </w:footnote>
  <w:footnote w:id="39">
    <w:p w14:paraId="1DD80DAC" w14:textId="77777777" w:rsidR="008C400D" w:rsidRPr="004D69E6" w:rsidRDefault="008C400D" w:rsidP="00377CD2">
      <w:pPr>
        <w:pStyle w:val="Poznmkapodarou"/>
      </w:pPr>
      <w:r w:rsidRPr="004D69E6">
        <w:rPr>
          <w:rStyle w:val="Znakapoznpodarou"/>
          <w:rFonts w:eastAsiaTheme="majorEastAsia"/>
          <w:sz w:val="18"/>
          <w:szCs w:val="18"/>
        </w:rPr>
        <w:footnoteRef/>
      </w:r>
      <w:r w:rsidRPr="004D69E6">
        <w:t xml:space="preserve"> </w:t>
      </w:r>
      <w:r>
        <w:tab/>
      </w:r>
      <w:r w:rsidRPr="004D69E6">
        <w:t>Systémová nesrovnalost je stanovena v článku 2 odst. 38) nařízení Evropského parlamentu a Rady (EU) č.</w:t>
      </w:r>
      <w:r>
        <w:t> </w:t>
      </w:r>
      <w:r w:rsidRPr="004D69E6">
        <w:t xml:space="preserve">1303/2013. </w:t>
      </w:r>
    </w:p>
  </w:footnote>
  <w:footnote w:id="40">
    <w:p w14:paraId="04913061" w14:textId="721E5574" w:rsidR="008C400D" w:rsidRDefault="008C400D" w:rsidP="00C76074">
      <w:pPr>
        <w:pStyle w:val="Textpoznpodarou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4D69E6">
        <w:t>CZ.06.1.37/0.0/0.0/16_022/0001390</w:t>
      </w:r>
      <w:r>
        <w:t xml:space="preserve"> a č. </w:t>
      </w:r>
      <w:r w:rsidRPr="004D69E6">
        <w:t>CZ.06.1.37/0.0/0.0/16_045/0007419.</w:t>
      </w:r>
    </w:p>
  </w:footnote>
  <w:footnote w:id="41">
    <w:p w14:paraId="50F9AD80" w14:textId="10D78BFC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Bez pražské metropolitní oblasti.</w:t>
      </w:r>
    </w:p>
  </w:footnote>
  <w:footnote w:id="42">
    <w:p w14:paraId="1581E8CC" w14:textId="77777777" w:rsidR="008C400D" w:rsidRPr="00246DD4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246DD4">
        <w:t>CZ.06.1.37/0.0/0.0/16_045/0007419.</w:t>
      </w:r>
    </w:p>
  </w:footnote>
  <w:footnote w:id="43">
    <w:p w14:paraId="33CC9B73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4C3BAD">
        <w:t>CZ.06.1.37/0.0/0.0/16_045/0010661</w:t>
      </w:r>
      <w:r>
        <w:t>.</w:t>
      </w:r>
    </w:p>
  </w:footnote>
  <w:footnote w:id="44">
    <w:p w14:paraId="4B744D3D" w14:textId="6B152D0E" w:rsidR="008C400D" w:rsidRPr="004D69E6" w:rsidRDefault="008C400D" w:rsidP="00377CD2">
      <w:pPr>
        <w:pStyle w:val="Poznmkapodarou"/>
      </w:pPr>
      <w:r w:rsidRPr="004D69E6">
        <w:rPr>
          <w:rStyle w:val="Znakapoznpodarou"/>
          <w:rFonts w:eastAsiaTheme="majorEastAsia"/>
          <w:sz w:val="18"/>
          <w:szCs w:val="18"/>
        </w:rPr>
        <w:footnoteRef/>
      </w:r>
      <w:r w:rsidRPr="004D69E6">
        <w:t xml:space="preserve"> </w:t>
      </w:r>
      <w:r>
        <w:tab/>
        <w:t>Projekty CLLD nebyly předmětem k</w:t>
      </w:r>
      <w:r w:rsidRPr="004D69E6">
        <w:t xml:space="preserve">ontrolní akce č. 18/24.  </w:t>
      </w:r>
    </w:p>
  </w:footnote>
  <w:footnote w:id="45">
    <w:p w14:paraId="47C3FB6B" w14:textId="714C426D" w:rsidR="008C400D" w:rsidRPr="00582080" w:rsidRDefault="008C400D" w:rsidP="00377CD2">
      <w:pPr>
        <w:pStyle w:val="Poznmkapodarou"/>
        <w:rPr>
          <w:szCs w:val="16"/>
        </w:rPr>
      </w:pPr>
      <w:r w:rsidRPr="004D69E6">
        <w:rPr>
          <w:rStyle w:val="Znakapoznpodarou"/>
          <w:rFonts w:eastAsiaTheme="majorEastAsia"/>
          <w:sz w:val="18"/>
          <w:szCs w:val="18"/>
        </w:rPr>
        <w:footnoteRef/>
      </w:r>
      <w:r w:rsidRPr="004D69E6">
        <w:t xml:space="preserve"> </w:t>
      </w:r>
      <w:r>
        <w:tab/>
      </w:r>
      <w:r w:rsidRPr="004D69E6">
        <w:t>Jednalo se o napravitelné hodnot</w:t>
      </w:r>
      <w:r>
        <w:t>i</w:t>
      </w:r>
      <w:r w:rsidRPr="004D69E6">
        <w:t>cí kritérium.</w:t>
      </w:r>
    </w:p>
  </w:footnote>
  <w:footnote w:id="46">
    <w:p w14:paraId="4491250B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425DEE">
        <w:t>CZ.06.1.37/0.0/0.0/16_045/0007419</w:t>
      </w:r>
      <w:r>
        <w:t>.</w:t>
      </w:r>
    </w:p>
  </w:footnote>
  <w:footnote w:id="47">
    <w:p w14:paraId="0F46E36D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983952">
        <w:t>CZ.06.1.37/0.0/0.0/16_029/0001890</w:t>
      </w:r>
      <w:r>
        <w:t xml:space="preserve"> a </w:t>
      </w:r>
      <w:r w:rsidDel="00437F43">
        <w:t xml:space="preserve">č. </w:t>
      </w:r>
      <w:r w:rsidRPr="00983952">
        <w:t>CZ.06.1.37/0.0/0.0/16_029/0001858</w:t>
      </w:r>
      <w:r>
        <w:t>.</w:t>
      </w:r>
    </w:p>
  </w:footnote>
  <w:footnote w:id="48">
    <w:p w14:paraId="2D8F8A91" w14:textId="77777777" w:rsidR="008C400D" w:rsidRPr="00246DD4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246DD4">
        <w:t>CZ.06.1.37/0.0/0.0/16_022/0001390</w:t>
      </w:r>
      <w:r>
        <w:t>.</w:t>
      </w:r>
    </w:p>
  </w:footnote>
  <w:footnote w:id="49">
    <w:p w14:paraId="76C39877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246DD4">
        <w:t>CZ.06.1.37/0.0/0.0/16_045/0007421</w:t>
      </w:r>
      <w:r>
        <w:t>.</w:t>
      </w:r>
    </w:p>
  </w:footnote>
  <w:footnote w:id="50">
    <w:p w14:paraId="48BD0B7C" w14:textId="77777777" w:rsidR="008C400D" w:rsidRPr="001F5417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</w:t>
      </w:r>
      <w:r w:rsidRPr="001F5417">
        <w:t>č. CZ.06.1.37/0.0/0.0/16_022/0000773 a č. CZ.06.1.37/0.0/0.0/16_022/0000799</w:t>
      </w:r>
      <w:r>
        <w:t>.</w:t>
      </w:r>
    </w:p>
  </w:footnote>
  <w:footnote w:id="51">
    <w:p w14:paraId="176E7070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Pravidlo</w:t>
      </w:r>
      <w:r w:rsidRPr="00634879">
        <w:t xml:space="preserve"> č. 4 kapitoly 6.4 </w:t>
      </w:r>
      <w:r w:rsidRPr="0037592D">
        <w:rPr>
          <w:i/>
        </w:rPr>
        <w:t>Metodického pokynu pro přípravu řídicí dokumentace programů v programovém období 2014–2020</w:t>
      </w:r>
      <w:r>
        <w:t>.</w:t>
      </w:r>
    </w:p>
  </w:footnote>
  <w:footnote w:id="52">
    <w:p w14:paraId="02DC2ABE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0B3F5A">
        <w:t>CZ.06.1.37/0.0/0.0/16_045/0005669</w:t>
      </w:r>
      <w:r>
        <w:t>.</w:t>
      </w:r>
    </w:p>
  </w:footnote>
  <w:footnote w:id="53">
    <w:p w14:paraId="53607B63" w14:textId="77777777" w:rsidR="008C400D" w:rsidRPr="007A28D2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7A28D2">
        <w:t>CZ.06.1.37/0.0/0.0/16_045/0005093</w:t>
      </w:r>
      <w:r>
        <w:t>.</w:t>
      </w:r>
    </w:p>
  </w:footnote>
  <w:footnote w:id="54">
    <w:p w14:paraId="376A5FEE" w14:textId="0B3E5ABA" w:rsidR="008C400D" w:rsidRPr="00936B68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V případě indikátoru </w:t>
      </w:r>
      <w:r w:rsidRPr="00936B68">
        <w:t>„</w:t>
      </w:r>
      <w:r>
        <w:t>m</w:t>
      </w:r>
      <w:r w:rsidRPr="00936B68">
        <w:t>nožství emisí primárních částic a prekurzorů sekundárních částic v rámci podpořených projektů“</w:t>
      </w:r>
      <w:r>
        <w:t xml:space="preserve"> byl nesoulad zjištěn u 12 projektů. V případě indikátoru „počet osob přepravených veřejnou dopravou“ byl tento stav zjištěn u 10 projektů.</w:t>
      </w:r>
    </w:p>
  </w:footnote>
  <w:footnote w:id="55">
    <w:p w14:paraId="06EF0B93" w14:textId="77777777" w:rsidR="008C400D" w:rsidRPr="00F7458C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F7458C">
        <w:t>Dle nastavených postupů a pravidel byly výdaje na diagnostické a servisní vybavení považovány za nezpůsobilé výdaje. Uvedené výdaje nespadaly mezi taxativně vymezené způsobilé výdaje.</w:t>
      </w:r>
    </w:p>
  </w:footnote>
  <w:footnote w:id="56">
    <w:p w14:paraId="1B9BBF47" w14:textId="77777777" w:rsidR="008C400D" w:rsidRPr="00F7458C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F7458C">
        <w:t>Dle nastavených postupů a pravidel byly výdaje na jakýkoliv záruční či pozáruční servis a provozní výdaje na</w:t>
      </w:r>
      <w:r>
        <w:t> </w:t>
      </w:r>
      <w:r w:rsidRPr="00F7458C">
        <w:t>technickou podporu považovány za nezpůsobilé.</w:t>
      </w:r>
    </w:p>
  </w:footnote>
  <w:footnote w:id="57">
    <w:p w14:paraId="4105B519" w14:textId="77777777" w:rsidR="008C400D" w:rsidRPr="00F7458C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F7458C">
        <w:t>Dle nastavených postupů a pravidel byly výdaje za záruku způsobilé jen v případě, že splnily stanovené podmínky (např. svým rozsahem a délkou nesmí záruka výrazně vybočovat ze standardů běžně užívaných na daném segmentu trhu pro dané plnění, záruční doba musí zohledňovat reálnou životnost dodaných komponent a nesmí ji přesahovat).</w:t>
      </w:r>
    </w:p>
  </w:footnote>
  <w:footnote w:id="58">
    <w:p w14:paraId="130163AA" w14:textId="77777777" w:rsidR="008C400D" w:rsidRPr="00725FBC" w:rsidRDefault="008C400D" w:rsidP="00377CD2">
      <w:pPr>
        <w:pStyle w:val="Poznmkapodarou"/>
      </w:pPr>
      <w:r w:rsidRPr="00725FBC">
        <w:rPr>
          <w:rStyle w:val="Znakapoznpodarou"/>
          <w:sz w:val="18"/>
          <w:szCs w:val="18"/>
        </w:rPr>
        <w:footnoteRef/>
      </w:r>
      <w:r w:rsidRPr="00725FBC">
        <w:t xml:space="preserve"> </w:t>
      </w:r>
      <w:r>
        <w:tab/>
        <w:t xml:space="preserve">Projekt č. </w:t>
      </w:r>
      <w:r w:rsidRPr="00725FBC">
        <w:t>CZ.06.1.37/0.0/0.0/16_045/0005669.</w:t>
      </w:r>
    </w:p>
  </w:footnote>
  <w:footnote w:id="59">
    <w:p w14:paraId="37593398" w14:textId="312AE4AF" w:rsidR="008C400D" w:rsidRPr="00B37B8F" w:rsidRDefault="008C400D" w:rsidP="00377CD2">
      <w:pPr>
        <w:pStyle w:val="Poznmkapodarou"/>
      </w:pPr>
      <w:r w:rsidRPr="00B37B8F">
        <w:rPr>
          <w:rStyle w:val="Znakapoznpodarou"/>
          <w:sz w:val="18"/>
          <w:szCs w:val="18"/>
        </w:rPr>
        <w:footnoteRef/>
      </w:r>
      <w:r w:rsidRPr="00B37B8F">
        <w:t xml:space="preserve"> </w:t>
      </w:r>
      <w:r>
        <w:t xml:space="preserve"> </w:t>
      </w:r>
      <w:r>
        <w:tab/>
      </w:r>
      <w:r w:rsidRPr="00B37B8F">
        <w:t>Zásada pro zajištění správnosti a řádnosti vykazovaných výdajů je stanovena v článku 72 písm. c) nařízení Evropského parlamentu a Rady (EU) č. 1303/2013</w:t>
      </w:r>
      <w:r>
        <w:t>.</w:t>
      </w:r>
    </w:p>
  </w:footnote>
  <w:footnote w:id="60">
    <w:p w14:paraId="741D28F4" w14:textId="2B1F5149" w:rsidR="008C400D" w:rsidRPr="00B37B8F" w:rsidRDefault="008C400D" w:rsidP="00377CD2">
      <w:pPr>
        <w:pStyle w:val="Poznmkapodarou"/>
      </w:pPr>
      <w:r w:rsidRPr="00B37B8F">
        <w:rPr>
          <w:rStyle w:val="Znakapoznpodarou"/>
          <w:sz w:val="18"/>
          <w:szCs w:val="18"/>
        </w:rPr>
        <w:footnoteRef/>
      </w:r>
      <w:r w:rsidRPr="00B37B8F">
        <w:t xml:space="preserve"> </w:t>
      </w:r>
      <w:r>
        <w:t xml:space="preserve"> </w:t>
      </w:r>
      <w:r>
        <w:tab/>
      </w:r>
      <w:r w:rsidRPr="00B37B8F">
        <w:t>Systémová nesrovnalost je stanovena v článku 2 odst. 38) nařízení Evropského parlamentu a Rady (EU) č.</w:t>
      </w:r>
      <w:r>
        <w:t> </w:t>
      </w:r>
      <w:r w:rsidRPr="00B37B8F">
        <w:t>1303/2013.</w:t>
      </w:r>
    </w:p>
  </w:footnote>
  <w:footnote w:id="61">
    <w:p w14:paraId="1DB91792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Projekt č. </w:t>
      </w:r>
      <w:r w:rsidRPr="00806AE5">
        <w:t>CZ.06.1.37/0.0/0.0/16_045/0007419</w:t>
      </w:r>
      <w:r>
        <w:t>, č. </w:t>
      </w:r>
      <w:r w:rsidRPr="00806AE5">
        <w:t>CZ.06.1.37/0.0/0.0/16_022/0001659</w:t>
      </w:r>
      <w:r>
        <w:t xml:space="preserve"> a č. </w:t>
      </w:r>
      <w:r w:rsidRPr="00EE66E4">
        <w:t>CZ.06.1.37/0.0/0.0/16_022/0001329</w:t>
      </w:r>
      <w:r>
        <w:t>.</w:t>
      </w:r>
    </w:p>
  </w:footnote>
  <w:footnote w:id="62">
    <w:p w14:paraId="60CA0A7D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Projekt č. </w:t>
      </w:r>
      <w:r w:rsidRPr="00AB7875">
        <w:t>CZ.06.1.37/0.0/0.0/16_045/0005093</w:t>
      </w:r>
      <w:r>
        <w:t>, č. </w:t>
      </w:r>
      <w:r w:rsidRPr="00AB7875">
        <w:t>CZ.06.1.37/0.0/0.0/16_022/0000773</w:t>
      </w:r>
      <w:r>
        <w:t>, č. </w:t>
      </w:r>
      <w:r w:rsidRPr="00AB7875">
        <w:t>CZ.06.1.37/0.0/0.0/16_022/0000799</w:t>
      </w:r>
      <w:r>
        <w:t>, č. </w:t>
      </w:r>
      <w:r w:rsidRPr="00AB7875">
        <w:t>CZ.06.1.37/0.0/0.0/16_022/0001390</w:t>
      </w:r>
      <w:r>
        <w:t xml:space="preserve"> a č. </w:t>
      </w:r>
      <w:r w:rsidRPr="00AB7875">
        <w:t>CZ.06.1.37/0.0/0.0/16_045/0007421</w:t>
      </w:r>
      <w:r>
        <w:t>.</w:t>
      </w:r>
    </w:p>
  </w:footnote>
  <w:footnote w:id="63">
    <w:p w14:paraId="42013E11" w14:textId="2B384255" w:rsidR="008C400D" w:rsidRDefault="008C400D" w:rsidP="00377CD2">
      <w:pPr>
        <w:pStyle w:val="Poznmkapodarou"/>
      </w:pPr>
      <w:r w:rsidRPr="00937EA3">
        <w:rPr>
          <w:rStyle w:val="Znakapoznpodarou"/>
          <w:sz w:val="18"/>
        </w:rPr>
        <w:footnoteRef/>
      </w:r>
      <w:r w:rsidRPr="00937EA3">
        <w:t xml:space="preserve"> </w:t>
      </w:r>
      <w:r>
        <w:tab/>
      </w:r>
      <w:r w:rsidRPr="00937EA3">
        <w:t xml:space="preserve">Stanovisko č. 10 </w:t>
      </w:r>
      <w:r>
        <w:t>je</w:t>
      </w:r>
      <w:r w:rsidRPr="00937EA3">
        <w:t xml:space="preserve"> závazné pro všechny subjekty implementační struktury IROP</w:t>
      </w:r>
      <w:r>
        <w:t>, tedy pro</w:t>
      </w:r>
      <w:r w:rsidRPr="00937EA3">
        <w:t xml:space="preserve"> ŘO IROP, CRR, ZS</w:t>
      </w:r>
      <w:r>
        <w:t> </w:t>
      </w:r>
      <w:r w:rsidRPr="00937EA3">
        <w:t xml:space="preserve">ITI, žadatele a příjemce. </w:t>
      </w:r>
    </w:p>
  </w:footnote>
  <w:footnote w:id="64">
    <w:p w14:paraId="44B6F827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Projekt č. </w:t>
      </w:r>
      <w:r w:rsidRPr="00BE0E7E">
        <w:t>CZ.06.1.37/0.0/0.0/16_045/0006867</w:t>
      </w:r>
      <w:r>
        <w:t>, č. </w:t>
      </w:r>
      <w:r w:rsidRPr="00BE0E7E">
        <w:t>CZ.06.1.37/0.0/0.0/16_045/0005093</w:t>
      </w:r>
      <w:r>
        <w:t xml:space="preserve"> a č. </w:t>
      </w:r>
      <w:r w:rsidRPr="00BE0E7E">
        <w:t>CZ.06.1.37/0.0/0.0/16_045/0005669</w:t>
      </w:r>
      <w:r>
        <w:t>.</w:t>
      </w:r>
    </w:p>
  </w:footnote>
  <w:footnote w:id="65">
    <w:p w14:paraId="3A5AD22D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Projekt č. </w:t>
      </w:r>
      <w:r w:rsidRPr="00BE0E7E">
        <w:t>CZ.06.1.37/0.0/0.0/16_022/0001329</w:t>
      </w:r>
      <w:r>
        <w:t xml:space="preserve"> a č. </w:t>
      </w:r>
      <w:r w:rsidRPr="00BE0E7E">
        <w:t>CZ.06.1.37/0.0/0.0/16_022/0001659</w:t>
      </w:r>
      <w:r>
        <w:t>.</w:t>
      </w:r>
    </w:p>
  </w:footnote>
  <w:footnote w:id="66">
    <w:p w14:paraId="493DD24D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Projekt č. </w:t>
      </w:r>
      <w:r w:rsidRPr="00BE0E7E">
        <w:t>CZ.06.1.37/0.0/0.0/16_025/0001180</w:t>
      </w:r>
      <w:r>
        <w:t>.</w:t>
      </w:r>
    </w:p>
  </w:footnote>
  <w:footnote w:id="67">
    <w:p w14:paraId="63B9B886" w14:textId="46B88311" w:rsidR="008C400D" w:rsidRPr="008D6DD7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Gold </w:t>
      </w:r>
      <w:proofErr w:type="spellStart"/>
      <w:r>
        <w:t>plating</w:t>
      </w:r>
      <w:proofErr w:type="spellEnd"/>
      <w:r>
        <w:t xml:space="preserve"> – </w:t>
      </w:r>
      <w:r w:rsidRPr="00A04E5F">
        <w:t xml:space="preserve">rozšíření obsahu </w:t>
      </w:r>
      <w:r>
        <w:t xml:space="preserve">evropské </w:t>
      </w:r>
      <w:r w:rsidRPr="00A04E5F">
        <w:t xml:space="preserve">právní normy národními orgány o </w:t>
      </w:r>
      <w:r>
        <w:t>další p</w:t>
      </w:r>
      <w:r w:rsidRPr="00A04E5F">
        <w:t xml:space="preserve">ovinnosti, které přinášejí nové </w:t>
      </w:r>
      <w:r w:rsidRPr="008D6DD7">
        <w:t>ekonomické, finanční a regulatorní zátěže bez odpovídajícího přínosu pro národní ekonomiku.</w:t>
      </w:r>
    </w:p>
  </w:footnote>
  <w:footnote w:id="68">
    <w:p w14:paraId="66E8E3BD" w14:textId="77777777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A3479F">
        <w:t>Mi</w:t>
      </w:r>
      <w:r>
        <w:t xml:space="preserve">nisterstvo pro místní rozvoj </w:t>
      </w:r>
      <w:r w:rsidRPr="00A3479F">
        <w:t>vymezuje regionální disparity jako</w:t>
      </w:r>
      <w:r>
        <w:t xml:space="preserve"> </w:t>
      </w:r>
      <w:r w:rsidRPr="00A3479F">
        <w:t>neodůvodněné regionální rozdíly v úrovni ekonomického, sociálního</w:t>
      </w:r>
      <w:r>
        <w:t xml:space="preserve"> a ekologického rozvoje regionů</w:t>
      </w:r>
      <w:r w:rsidRPr="00A3479F">
        <w:t>. Disparita</w:t>
      </w:r>
      <w:r>
        <w:t xml:space="preserve">mi, které je třeba řešit, jsou </w:t>
      </w:r>
      <w:r w:rsidRPr="00A3479F">
        <w:t>rozdíly vyvolané subjektivní lidskou činností, nikoliv rozdíly vzniklé z objektivních příčin, například na základě p</w:t>
      </w:r>
      <w:r>
        <w:t>řírodních podmínek</w:t>
      </w:r>
      <w:r w:rsidRPr="00A3479F">
        <w:t>.</w:t>
      </w:r>
    </w:p>
  </w:footnote>
  <w:footnote w:id="69">
    <w:p w14:paraId="0F75BB8E" w14:textId="5E57A373" w:rsidR="008C400D" w:rsidRPr="007403FA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 xml:space="preserve">Územní dimenze se dle typu člení </w:t>
      </w:r>
      <w:proofErr w:type="gramStart"/>
      <w:r>
        <w:t>na</w:t>
      </w:r>
      <w:proofErr w:type="gramEnd"/>
      <w:r>
        <w:t xml:space="preserve">: 1) </w:t>
      </w:r>
      <w:r w:rsidRPr="00EF49B2">
        <w:t>Integrované nástroje</w:t>
      </w:r>
      <w:r>
        <w:t xml:space="preserve">, 2) </w:t>
      </w:r>
      <w:r w:rsidRPr="00EF49B2">
        <w:t>Jinak</w:t>
      </w:r>
      <w:r>
        <w:t xml:space="preserve"> vymezenou</w:t>
      </w:r>
      <w:r w:rsidRPr="00EF49B2">
        <w:t xml:space="preserve"> územní dimenz</w:t>
      </w:r>
      <w:r>
        <w:t xml:space="preserve">i, </w:t>
      </w:r>
      <w:r>
        <w:br/>
        <w:t>3</w:t>
      </w:r>
      <w:r w:rsidRPr="00EF49B2">
        <w:t>) Rozvoj venkova</w:t>
      </w:r>
      <w:r>
        <w:t xml:space="preserve">, 4) </w:t>
      </w:r>
      <w:r w:rsidRPr="00EF49B2">
        <w:t>Rozvoj měst a jejich zázemí</w:t>
      </w:r>
      <w:r>
        <w:t xml:space="preserve">, 5) Životní prostředí, 6) Dopravní dostupnost, 7) Sociální a vzdělávací sféra, 8) Trh práce a podnikání a 9) Sociální začleňování – sociálně vyloučené lokality. Podrobněji viz </w:t>
      </w:r>
      <w:hyperlink r:id="rId3" w:history="1">
        <w:r>
          <w:rPr>
            <w:rStyle w:val="Hypertextovodkaz"/>
          </w:rPr>
          <w:t>https://www.mmr.cz/cs/Microsites/Uzemni-dimenze/UD-typy</w:t>
        </w:r>
      </w:hyperlink>
      <w:r>
        <w:t>.</w:t>
      </w:r>
    </w:p>
  </w:footnote>
  <w:footnote w:id="70">
    <w:p w14:paraId="32A8EDA9" w14:textId="7A5E9BD9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  <w:t>CLLD –</w:t>
      </w:r>
      <w:r w:rsidRPr="007D4479">
        <w:t xml:space="preserve"> </w:t>
      </w:r>
      <w:proofErr w:type="spellStart"/>
      <w:r>
        <w:t>c</w:t>
      </w:r>
      <w:r w:rsidRPr="007D4479">
        <w:t>ommunity</w:t>
      </w:r>
      <w:proofErr w:type="spellEnd"/>
      <w:r w:rsidRPr="007D4479">
        <w:t xml:space="preserve">-led </w:t>
      </w:r>
      <w:proofErr w:type="spellStart"/>
      <w:r>
        <w:t>l</w:t>
      </w:r>
      <w:r w:rsidRPr="007D4479">
        <w:t>ocal</w:t>
      </w:r>
      <w:proofErr w:type="spellEnd"/>
      <w:r w:rsidRPr="007D4479">
        <w:t xml:space="preserve"> </w:t>
      </w:r>
      <w:proofErr w:type="spellStart"/>
      <w:r>
        <w:t>d</w:t>
      </w:r>
      <w:r w:rsidRPr="007D4479">
        <w:t>evelopment</w:t>
      </w:r>
      <w:proofErr w:type="spellEnd"/>
      <w:r>
        <w:t xml:space="preserve">, podle článků 32 až 35 </w:t>
      </w:r>
      <w:r w:rsidRPr="00844305">
        <w:t xml:space="preserve">nařízení </w:t>
      </w:r>
      <w:r>
        <w:t>Evropského parlamentu a Rady (EU) č. </w:t>
      </w:r>
      <w:r w:rsidRPr="00844305">
        <w:t>1303/2013</w:t>
      </w:r>
      <w:r>
        <w:t>.</w:t>
      </w:r>
    </w:p>
  </w:footnote>
  <w:footnote w:id="71">
    <w:p w14:paraId="15B23348" w14:textId="4E9EC87F" w:rsidR="008C400D" w:rsidRPr="00EA2A95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EA2A95">
        <w:rPr>
          <w:i/>
        </w:rPr>
        <w:t>Metodický pokyn pro využití integrovaných nástrojů v programovém období 2014–2020</w:t>
      </w:r>
      <w:r w:rsidRPr="00EA2A95">
        <w:t xml:space="preserve"> byl celkem třikrát aktualizován. Nejvýraznější změny byly provedeny ve druhé verzi MPIN v listopadu 2015, kdy došlo mimo jiné k</w:t>
      </w:r>
      <w:r>
        <w:t> </w:t>
      </w:r>
      <w:r w:rsidRPr="00EA2A95">
        <w:t xml:space="preserve">doplnění popisu role </w:t>
      </w:r>
      <w:r>
        <w:t>z</w:t>
      </w:r>
      <w:r w:rsidRPr="00EA2A95">
        <w:t>prostřed</w:t>
      </w:r>
      <w:r>
        <w:t>kujícího subjektu ITI (dále též</w:t>
      </w:r>
      <w:r w:rsidRPr="00EA2A95">
        <w:t xml:space="preserve"> „ZS ITI“), byl nastaven proces hodnocení a</w:t>
      </w:r>
      <w:r>
        <w:t> </w:t>
      </w:r>
      <w:r w:rsidRPr="00EA2A95">
        <w:t>schvalování integrovaných projektů ITI se zapojením ZS ITI a upřesněny postupy v rámci monitorování a</w:t>
      </w:r>
      <w:r>
        <w:t> </w:t>
      </w:r>
      <w:r w:rsidRPr="00EA2A95">
        <w:t xml:space="preserve">vyhodnocování integrovaných strategií (zejména ve vztahu k informačnímu systému pro monitorování </w:t>
      </w:r>
      <w:r w:rsidRPr="00C93395">
        <w:rPr>
          <w:i/>
        </w:rPr>
        <w:t>MS2014+</w:t>
      </w:r>
      <w:r w:rsidRPr="00EA2A95">
        <w:t>).</w:t>
      </w:r>
    </w:p>
  </w:footnote>
  <w:footnote w:id="72">
    <w:p w14:paraId="7065FE2F" w14:textId="4E00EA5B" w:rsidR="008C400D" w:rsidRDefault="008C400D" w:rsidP="00377CD2">
      <w:pPr>
        <w:pStyle w:val="Poznmkapodarou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BE7664">
        <w:rPr>
          <w:i/>
        </w:rPr>
        <w:t>Strategie regionál</w:t>
      </w:r>
      <w:r>
        <w:rPr>
          <w:i/>
        </w:rPr>
        <w:t>ního rozvoje ČR pro období 2014–</w:t>
      </w:r>
      <w:r w:rsidRPr="00BE7664">
        <w:rPr>
          <w:i/>
        </w:rPr>
        <w:t>2020</w:t>
      </w:r>
      <w:r>
        <w:t xml:space="preserve"> je z</w:t>
      </w:r>
      <w:r w:rsidRPr="00BE7664">
        <w:t xml:space="preserve">ákladním dokumentem z pohledu územní dimenze </w:t>
      </w:r>
      <w:r>
        <w:t>a </w:t>
      </w:r>
      <w:r w:rsidRPr="00BE7664">
        <w:t>představuje základní dokument politiky regionálního rozvoje podl</w:t>
      </w:r>
      <w:r>
        <w:t>e ustanovení § 5 zákona č. 248/2000 Sb., o </w:t>
      </w:r>
      <w:r w:rsidRPr="00BE7664">
        <w:t xml:space="preserve">podpoře regionálního rozvoje. </w:t>
      </w:r>
      <w:r>
        <w:t xml:space="preserve">Strategie </w:t>
      </w:r>
      <w:r w:rsidRPr="00BE7664">
        <w:t>byla jedním z podkladů pro p</w:t>
      </w:r>
      <w:r>
        <w:t xml:space="preserve">řípravu </w:t>
      </w:r>
      <w:r w:rsidRPr="00BE7664">
        <w:rPr>
          <w:i/>
        </w:rPr>
        <w:t>Dohody o</w:t>
      </w:r>
      <w:r>
        <w:rPr>
          <w:i/>
        </w:rPr>
        <w:t> </w:t>
      </w:r>
      <w:r w:rsidRPr="00BE7664">
        <w:rPr>
          <w:i/>
        </w:rPr>
        <w:t>partnerství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E0981" w14:textId="77777777" w:rsidR="008171AE" w:rsidRDefault="008171A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C3199C" w14:textId="77777777" w:rsidR="008C400D" w:rsidRDefault="008C400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12F69" w14:textId="77777777" w:rsidR="008C400D" w:rsidRPr="00B81EEC" w:rsidRDefault="008C400D" w:rsidP="00C6678F">
    <w:pPr>
      <w:pStyle w:val="Zhlav"/>
      <w:jc w:val="right"/>
      <w:rPr>
        <w:rFonts w:ascii="Calibri" w:hAnsi="Calibri" w:cs="Calibri"/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58BE"/>
    <w:multiLevelType w:val="hybridMultilevel"/>
    <w:tmpl w:val="666466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C30C1"/>
    <w:multiLevelType w:val="hybridMultilevel"/>
    <w:tmpl w:val="221C06C6"/>
    <w:lvl w:ilvl="0" w:tplc="D35019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5620C"/>
    <w:multiLevelType w:val="hybridMultilevel"/>
    <w:tmpl w:val="838AE91C"/>
    <w:lvl w:ilvl="0" w:tplc="040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1DA1782"/>
    <w:multiLevelType w:val="hybridMultilevel"/>
    <w:tmpl w:val="3BA237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01530D"/>
    <w:multiLevelType w:val="hybridMultilevel"/>
    <w:tmpl w:val="D12861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00C46"/>
    <w:multiLevelType w:val="hybridMultilevel"/>
    <w:tmpl w:val="2774F4E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B5197"/>
    <w:multiLevelType w:val="hybridMultilevel"/>
    <w:tmpl w:val="AA4A8158"/>
    <w:lvl w:ilvl="0" w:tplc="D35019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F80F02"/>
    <w:multiLevelType w:val="hybridMultilevel"/>
    <w:tmpl w:val="ADB0D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06069"/>
    <w:multiLevelType w:val="hybridMultilevel"/>
    <w:tmpl w:val="BD0E5B48"/>
    <w:lvl w:ilvl="0" w:tplc="E26E3DCC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6E03EE"/>
    <w:multiLevelType w:val="multilevel"/>
    <w:tmpl w:val="B3344CDC"/>
    <w:lvl w:ilvl="0">
      <w:start w:val="1"/>
      <w:numFmt w:val="upperRoman"/>
      <w:pStyle w:val="Nadpis1"/>
      <w:lvlText w:val="%1."/>
      <w:lvlJc w:val="center"/>
      <w:pPr>
        <w:ind w:left="227" w:hanging="227"/>
      </w:pPr>
      <w:rPr>
        <w:rFonts w:ascii="Calibri" w:hAnsi="Calibri" w:hint="default"/>
        <w:b/>
        <w:i w:val="0"/>
        <w:sz w:val="28"/>
      </w:rPr>
    </w:lvl>
    <w:lvl w:ilvl="1">
      <w:start w:val="1"/>
      <w:numFmt w:val="decimal"/>
      <w:pStyle w:val="Nadpi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none"/>
      <w:pStyle w:val="Mluvctitulek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737" w:hanging="73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61B78D2"/>
    <w:multiLevelType w:val="hybridMultilevel"/>
    <w:tmpl w:val="CB7E3CCC"/>
    <w:lvl w:ilvl="0" w:tplc="F5C4EC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36897"/>
    <w:multiLevelType w:val="hybridMultilevel"/>
    <w:tmpl w:val="7A62A2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272EE5"/>
    <w:multiLevelType w:val="hybridMultilevel"/>
    <w:tmpl w:val="62908E00"/>
    <w:lvl w:ilvl="0" w:tplc="040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B2774CB"/>
    <w:multiLevelType w:val="hybridMultilevel"/>
    <w:tmpl w:val="B75238C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71AEA"/>
    <w:multiLevelType w:val="hybridMultilevel"/>
    <w:tmpl w:val="709EEF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F85029"/>
    <w:multiLevelType w:val="hybridMultilevel"/>
    <w:tmpl w:val="1396B224"/>
    <w:lvl w:ilvl="0" w:tplc="92CC2D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253FE"/>
    <w:multiLevelType w:val="hybridMultilevel"/>
    <w:tmpl w:val="01F214A4"/>
    <w:lvl w:ilvl="0" w:tplc="7DAE0F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A6066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14C9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0254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6E56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DEC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5657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68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A87F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4A09EE"/>
    <w:multiLevelType w:val="hybridMultilevel"/>
    <w:tmpl w:val="F4D899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162C27"/>
    <w:multiLevelType w:val="hybridMultilevel"/>
    <w:tmpl w:val="A0A8DA1A"/>
    <w:lvl w:ilvl="0" w:tplc="02805678">
      <w:numFmt w:val="bullet"/>
      <w:lvlText w:val="-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023E6"/>
    <w:multiLevelType w:val="hybridMultilevel"/>
    <w:tmpl w:val="E2126548"/>
    <w:lvl w:ilvl="0" w:tplc="50683F7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CA6066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14C9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0254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6E56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DEC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5657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8689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6A87FB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B45B9B"/>
    <w:multiLevelType w:val="hybridMultilevel"/>
    <w:tmpl w:val="C9204F7E"/>
    <w:lvl w:ilvl="0" w:tplc="E26E3DCC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F923F3"/>
    <w:multiLevelType w:val="hybridMultilevel"/>
    <w:tmpl w:val="C0AC1D80"/>
    <w:lvl w:ilvl="0" w:tplc="7DAE0F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44C0C"/>
    <w:multiLevelType w:val="hybridMultilevel"/>
    <w:tmpl w:val="6EA2C41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910F10"/>
    <w:multiLevelType w:val="hybridMultilevel"/>
    <w:tmpl w:val="0F24495E"/>
    <w:lvl w:ilvl="0" w:tplc="04050011">
      <w:start w:val="1"/>
      <w:numFmt w:val="decimal"/>
      <w:lvlText w:val="%1)"/>
      <w:lvlJc w:val="left"/>
      <w:pPr>
        <w:ind w:left="770" w:hanging="360"/>
      </w:pPr>
    </w:lvl>
    <w:lvl w:ilvl="1" w:tplc="04050019" w:tentative="1">
      <w:start w:val="1"/>
      <w:numFmt w:val="lowerLetter"/>
      <w:lvlText w:val="%2."/>
      <w:lvlJc w:val="left"/>
      <w:pPr>
        <w:ind w:left="1490" w:hanging="360"/>
      </w:pPr>
    </w:lvl>
    <w:lvl w:ilvl="2" w:tplc="0405001B" w:tentative="1">
      <w:start w:val="1"/>
      <w:numFmt w:val="lowerRoman"/>
      <w:lvlText w:val="%3."/>
      <w:lvlJc w:val="right"/>
      <w:pPr>
        <w:ind w:left="2210" w:hanging="180"/>
      </w:pPr>
    </w:lvl>
    <w:lvl w:ilvl="3" w:tplc="0405000F" w:tentative="1">
      <w:start w:val="1"/>
      <w:numFmt w:val="decimal"/>
      <w:lvlText w:val="%4."/>
      <w:lvlJc w:val="left"/>
      <w:pPr>
        <w:ind w:left="2930" w:hanging="360"/>
      </w:pPr>
    </w:lvl>
    <w:lvl w:ilvl="4" w:tplc="04050019" w:tentative="1">
      <w:start w:val="1"/>
      <w:numFmt w:val="lowerLetter"/>
      <w:lvlText w:val="%5."/>
      <w:lvlJc w:val="left"/>
      <w:pPr>
        <w:ind w:left="3650" w:hanging="360"/>
      </w:pPr>
    </w:lvl>
    <w:lvl w:ilvl="5" w:tplc="0405001B" w:tentative="1">
      <w:start w:val="1"/>
      <w:numFmt w:val="lowerRoman"/>
      <w:lvlText w:val="%6."/>
      <w:lvlJc w:val="right"/>
      <w:pPr>
        <w:ind w:left="4370" w:hanging="180"/>
      </w:pPr>
    </w:lvl>
    <w:lvl w:ilvl="6" w:tplc="0405000F" w:tentative="1">
      <w:start w:val="1"/>
      <w:numFmt w:val="decimal"/>
      <w:lvlText w:val="%7."/>
      <w:lvlJc w:val="left"/>
      <w:pPr>
        <w:ind w:left="5090" w:hanging="360"/>
      </w:pPr>
    </w:lvl>
    <w:lvl w:ilvl="7" w:tplc="04050019" w:tentative="1">
      <w:start w:val="1"/>
      <w:numFmt w:val="lowerLetter"/>
      <w:lvlText w:val="%8."/>
      <w:lvlJc w:val="left"/>
      <w:pPr>
        <w:ind w:left="5810" w:hanging="360"/>
      </w:pPr>
    </w:lvl>
    <w:lvl w:ilvl="8" w:tplc="040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4" w15:restartNumberingAfterBreak="0">
    <w:nsid w:val="58324E99"/>
    <w:multiLevelType w:val="hybridMultilevel"/>
    <w:tmpl w:val="331C2C60"/>
    <w:lvl w:ilvl="0" w:tplc="040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A5F2738"/>
    <w:multiLevelType w:val="hybridMultilevel"/>
    <w:tmpl w:val="B32AD3C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66087"/>
    <w:multiLevelType w:val="hybridMultilevel"/>
    <w:tmpl w:val="EC24BB56"/>
    <w:lvl w:ilvl="0" w:tplc="04CC59BA">
      <w:start w:val="1"/>
      <w:numFmt w:val="lowerLetter"/>
      <w:pStyle w:val="Odstavecseseznamem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8E6C77"/>
    <w:multiLevelType w:val="hybridMultilevel"/>
    <w:tmpl w:val="AF1AF7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C45FC5"/>
    <w:multiLevelType w:val="hybridMultilevel"/>
    <w:tmpl w:val="BA0A9DFA"/>
    <w:lvl w:ilvl="0" w:tplc="9A86A082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C65F5"/>
    <w:multiLevelType w:val="hybridMultilevel"/>
    <w:tmpl w:val="4288B1A4"/>
    <w:lvl w:ilvl="0" w:tplc="61383A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A141BD"/>
    <w:multiLevelType w:val="hybridMultilevel"/>
    <w:tmpl w:val="E384EA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430765"/>
    <w:multiLevelType w:val="hybridMultilevel"/>
    <w:tmpl w:val="47AC1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6E3DCC">
      <w:numFmt w:val="bullet"/>
      <w:lvlText w:val="-"/>
      <w:lvlJc w:val="left"/>
      <w:pPr>
        <w:ind w:left="1440" w:hanging="360"/>
      </w:pPr>
      <w:rPr>
        <w:rFonts w:ascii="Calibri" w:eastAsia="Times New Roman" w:hAnsi="Calibri" w:cstheme="minorHAns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F23ED"/>
    <w:multiLevelType w:val="hybridMultilevel"/>
    <w:tmpl w:val="DAEAF204"/>
    <w:lvl w:ilvl="0" w:tplc="E26E3DCC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320522"/>
    <w:multiLevelType w:val="hybridMultilevel"/>
    <w:tmpl w:val="5D9E12B4"/>
    <w:lvl w:ilvl="0" w:tplc="987417B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7B1239"/>
    <w:multiLevelType w:val="hybridMultilevel"/>
    <w:tmpl w:val="8E92FC1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6D45B0"/>
    <w:multiLevelType w:val="hybridMultilevel"/>
    <w:tmpl w:val="89F88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1073BA"/>
    <w:multiLevelType w:val="hybridMultilevel"/>
    <w:tmpl w:val="4BF42C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D30517"/>
    <w:multiLevelType w:val="hybridMultilevel"/>
    <w:tmpl w:val="8F7AD82A"/>
    <w:lvl w:ilvl="0" w:tplc="0405000D">
      <w:start w:val="1"/>
      <w:numFmt w:val="bullet"/>
      <w:lvlText w:val=""/>
      <w:lvlJc w:val="left"/>
      <w:pPr>
        <w:ind w:left="22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5"/>
  </w:num>
  <w:num w:numId="5">
    <w:abstractNumId w:val="15"/>
  </w:num>
  <w:num w:numId="6">
    <w:abstractNumId w:val="17"/>
  </w:num>
  <w:num w:numId="7">
    <w:abstractNumId w:val="32"/>
  </w:num>
  <w:num w:numId="8">
    <w:abstractNumId w:val="8"/>
  </w:num>
  <w:num w:numId="9">
    <w:abstractNumId w:val="34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28"/>
  </w:num>
  <w:num w:numId="13">
    <w:abstractNumId w:val="12"/>
  </w:num>
  <w:num w:numId="14">
    <w:abstractNumId w:val="14"/>
  </w:num>
  <w:num w:numId="15">
    <w:abstractNumId w:val="31"/>
  </w:num>
  <w:num w:numId="16">
    <w:abstractNumId w:val="13"/>
  </w:num>
  <w:num w:numId="17">
    <w:abstractNumId w:val="36"/>
  </w:num>
  <w:num w:numId="18">
    <w:abstractNumId w:val="23"/>
  </w:num>
  <w:num w:numId="19">
    <w:abstractNumId w:val="33"/>
  </w:num>
  <w:num w:numId="20">
    <w:abstractNumId w:val="10"/>
  </w:num>
  <w:num w:numId="21">
    <w:abstractNumId w:val="29"/>
  </w:num>
  <w:num w:numId="22">
    <w:abstractNumId w:val="26"/>
  </w:num>
  <w:num w:numId="23">
    <w:abstractNumId w:val="26"/>
    <w:lvlOverride w:ilvl="0">
      <w:startOverride w:val="1"/>
    </w:lvlOverride>
  </w:num>
  <w:num w:numId="24">
    <w:abstractNumId w:val="2"/>
  </w:num>
  <w:num w:numId="25">
    <w:abstractNumId w:val="20"/>
  </w:num>
  <w:num w:numId="26">
    <w:abstractNumId w:val="18"/>
  </w:num>
  <w:num w:numId="27">
    <w:abstractNumId w:val="19"/>
  </w:num>
  <w:num w:numId="28">
    <w:abstractNumId w:val="22"/>
  </w:num>
  <w:num w:numId="29">
    <w:abstractNumId w:val="1"/>
  </w:num>
  <w:num w:numId="30">
    <w:abstractNumId w:val="7"/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25"/>
  </w:num>
  <w:num w:numId="34">
    <w:abstractNumId w:val="37"/>
  </w:num>
  <w:num w:numId="35">
    <w:abstractNumId w:val="4"/>
  </w:num>
  <w:num w:numId="36">
    <w:abstractNumId w:val="21"/>
  </w:num>
  <w:num w:numId="37">
    <w:abstractNumId w:val="16"/>
  </w:num>
  <w:num w:numId="38">
    <w:abstractNumId w:val="35"/>
  </w:num>
  <w:num w:numId="39">
    <w:abstractNumId w:val="27"/>
  </w:num>
  <w:num w:numId="40">
    <w:abstractNumId w:val="11"/>
  </w:num>
  <w:num w:numId="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358"/>
    <w:rsid w:val="00000EAC"/>
    <w:rsid w:val="0000274B"/>
    <w:rsid w:val="00005428"/>
    <w:rsid w:val="000058A5"/>
    <w:rsid w:val="000103FE"/>
    <w:rsid w:val="0001204D"/>
    <w:rsid w:val="00013885"/>
    <w:rsid w:val="00013B47"/>
    <w:rsid w:val="00015A74"/>
    <w:rsid w:val="000203EC"/>
    <w:rsid w:val="000203F4"/>
    <w:rsid w:val="00021026"/>
    <w:rsid w:val="00022E9E"/>
    <w:rsid w:val="00023106"/>
    <w:rsid w:val="0002486D"/>
    <w:rsid w:val="000253C0"/>
    <w:rsid w:val="00026032"/>
    <w:rsid w:val="00026379"/>
    <w:rsid w:val="00027E7E"/>
    <w:rsid w:val="00033543"/>
    <w:rsid w:val="00033B98"/>
    <w:rsid w:val="00034015"/>
    <w:rsid w:val="00034546"/>
    <w:rsid w:val="00035356"/>
    <w:rsid w:val="000376D6"/>
    <w:rsid w:val="00037E0B"/>
    <w:rsid w:val="0004311C"/>
    <w:rsid w:val="0004628A"/>
    <w:rsid w:val="0004659D"/>
    <w:rsid w:val="00046BC6"/>
    <w:rsid w:val="000470D8"/>
    <w:rsid w:val="00047E35"/>
    <w:rsid w:val="0005006B"/>
    <w:rsid w:val="00052C64"/>
    <w:rsid w:val="00053CF4"/>
    <w:rsid w:val="00054BB7"/>
    <w:rsid w:val="000601CE"/>
    <w:rsid w:val="0006106D"/>
    <w:rsid w:val="00061D3F"/>
    <w:rsid w:val="00062154"/>
    <w:rsid w:val="00063766"/>
    <w:rsid w:val="00064644"/>
    <w:rsid w:val="0006725A"/>
    <w:rsid w:val="000679F4"/>
    <w:rsid w:val="00073CAE"/>
    <w:rsid w:val="00073F36"/>
    <w:rsid w:val="000762EB"/>
    <w:rsid w:val="000779BA"/>
    <w:rsid w:val="00080107"/>
    <w:rsid w:val="000814D9"/>
    <w:rsid w:val="00081C28"/>
    <w:rsid w:val="00082F5D"/>
    <w:rsid w:val="00084E53"/>
    <w:rsid w:val="00086F01"/>
    <w:rsid w:val="0009014A"/>
    <w:rsid w:val="00093465"/>
    <w:rsid w:val="00094203"/>
    <w:rsid w:val="00094620"/>
    <w:rsid w:val="00094A69"/>
    <w:rsid w:val="00095C84"/>
    <w:rsid w:val="000962A8"/>
    <w:rsid w:val="00096A97"/>
    <w:rsid w:val="00097083"/>
    <w:rsid w:val="00097264"/>
    <w:rsid w:val="0009740F"/>
    <w:rsid w:val="000A082B"/>
    <w:rsid w:val="000A0AC4"/>
    <w:rsid w:val="000A0FC8"/>
    <w:rsid w:val="000A12B3"/>
    <w:rsid w:val="000A1919"/>
    <w:rsid w:val="000A2881"/>
    <w:rsid w:val="000A35D2"/>
    <w:rsid w:val="000A490D"/>
    <w:rsid w:val="000A6CF2"/>
    <w:rsid w:val="000A7261"/>
    <w:rsid w:val="000A7813"/>
    <w:rsid w:val="000A7C66"/>
    <w:rsid w:val="000A7C68"/>
    <w:rsid w:val="000B1A5B"/>
    <w:rsid w:val="000B3F5A"/>
    <w:rsid w:val="000B50CB"/>
    <w:rsid w:val="000B68BE"/>
    <w:rsid w:val="000B7A3B"/>
    <w:rsid w:val="000C04A5"/>
    <w:rsid w:val="000C0C4A"/>
    <w:rsid w:val="000C0ECF"/>
    <w:rsid w:val="000C5A81"/>
    <w:rsid w:val="000C66CE"/>
    <w:rsid w:val="000C6953"/>
    <w:rsid w:val="000D33D7"/>
    <w:rsid w:val="000D37D9"/>
    <w:rsid w:val="000D4A6F"/>
    <w:rsid w:val="000D4B8A"/>
    <w:rsid w:val="000D52A0"/>
    <w:rsid w:val="000D5F36"/>
    <w:rsid w:val="000E00B9"/>
    <w:rsid w:val="000E0737"/>
    <w:rsid w:val="000E09CB"/>
    <w:rsid w:val="000E0AAE"/>
    <w:rsid w:val="000E0C7E"/>
    <w:rsid w:val="000E205E"/>
    <w:rsid w:val="000E4727"/>
    <w:rsid w:val="000E4CCE"/>
    <w:rsid w:val="000E5F7D"/>
    <w:rsid w:val="000F02BD"/>
    <w:rsid w:val="000F3772"/>
    <w:rsid w:val="000F5A10"/>
    <w:rsid w:val="00101989"/>
    <w:rsid w:val="0010402B"/>
    <w:rsid w:val="0010536B"/>
    <w:rsid w:val="00110C48"/>
    <w:rsid w:val="001128CB"/>
    <w:rsid w:val="00112A16"/>
    <w:rsid w:val="00112E17"/>
    <w:rsid w:val="001134C9"/>
    <w:rsid w:val="00117174"/>
    <w:rsid w:val="001179B9"/>
    <w:rsid w:val="00120F1A"/>
    <w:rsid w:val="001216A1"/>
    <w:rsid w:val="00122B5D"/>
    <w:rsid w:val="00123BC1"/>
    <w:rsid w:val="00124716"/>
    <w:rsid w:val="00126648"/>
    <w:rsid w:val="00126E04"/>
    <w:rsid w:val="00127BE1"/>
    <w:rsid w:val="00131CF0"/>
    <w:rsid w:val="00132ED6"/>
    <w:rsid w:val="00134475"/>
    <w:rsid w:val="001345E3"/>
    <w:rsid w:val="001356C4"/>
    <w:rsid w:val="00135AFC"/>
    <w:rsid w:val="00135F07"/>
    <w:rsid w:val="00136339"/>
    <w:rsid w:val="001404F9"/>
    <w:rsid w:val="00140F07"/>
    <w:rsid w:val="00141BDB"/>
    <w:rsid w:val="00143F9C"/>
    <w:rsid w:val="00144189"/>
    <w:rsid w:val="00144818"/>
    <w:rsid w:val="00145E46"/>
    <w:rsid w:val="001468E0"/>
    <w:rsid w:val="00150200"/>
    <w:rsid w:val="00150462"/>
    <w:rsid w:val="00150B10"/>
    <w:rsid w:val="001511B1"/>
    <w:rsid w:val="00151295"/>
    <w:rsid w:val="00154713"/>
    <w:rsid w:val="00154E08"/>
    <w:rsid w:val="00155775"/>
    <w:rsid w:val="00161155"/>
    <w:rsid w:val="00161EA7"/>
    <w:rsid w:val="001638D9"/>
    <w:rsid w:val="00164546"/>
    <w:rsid w:val="001655C7"/>
    <w:rsid w:val="00165985"/>
    <w:rsid w:val="0016640E"/>
    <w:rsid w:val="00167A11"/>
    <w:rsid w:val="00167F65"/>
    <w:rsid w:val="001721E7"/>
    <w:rsid w:val="00172F8D"/>
    <w:rsid w:val="00173385"/>
    <w:rsid w:val="001750DA"/>
    <w:rsid w:val="001816E8"/>
    <w:rsid w:val="00181786"/>
    <w:rsid w:val="001825FD"/>
    <w:rsid w:val="00183F75"/>
    <w:rsid w:val="00185027"/>
    <w:rsid w:val="00186045"/>
    <w:rsid w:val="00187006"/>
    <w:rsid w:val="00187D35"/>
    <w:rsid w:val="00187DA8"/>
    <w:rsid w:val="00196263"/>
    <w:rsid w:val="0019742B"/>
    <w:rsid w:val="001A0FED"/>
    <w:rsid w:val="001A2326"/>
    <w:rsid w:val="001A2F05"/>
    <w:rsid w:val="001A58EA"/>
    <w:rsid w:val="001A5E41"/>
    <w:rsid w:val="001A608D"/>
    <w:rsid w:val="001A7010"/>
    <w:rsid w:val="001B3F99"/>
    <w:rsid w:val="001B4A25"/>
    <w:rsid w:val="001B50B3"/>
    <w:rsid w:val="001B5C6B"/>
    <w:rsid w:val="001B71B1"/>
    <w:rsid w:val="001B77D1"/>
    <w:rsid w:val="001C0172"/>
    <w:rsid w:val="001C080D"/>
    <w:rsid w:val="001C2AF2"/>
    <w:rsid w:val="001C4B96"/>
    <w:rsid w:val="001C4D76"/>
    <w:rsid w:val="001C6CA0"/>
    <w:rsid w:val="001C77EA"/>
    <w:rsid w:val="001D15A0"/>
    <w:rsid w:val="001D1EBA"/>
    <w:rsid w:val="001D2861"/>
    <w:rsid w:val="001D669D"/>
    <w:rsid w:val="001D7B2E"/>
    <w:rsid w:val="001E3DBA"/>
    <w:rsid w:val="001E7ACD"/>
    <w:rsid w:val="001F20AF"/>
    <w:rsid w:val="001F218D"/>
    <w:rsid w:val="001F2E25"/>
    <w:rsid w:val="001F4513"/>
    <w:rsid w:val="001F51F8"/>
    <w:rsid w:val="001F5417"/>
    <w:rsid w:val="001F55CF"/>
    <w:rsid w:val="001F57ED"/>
    <w:rsid w:val="001F6A9C"/>
    <w:rsid w:val="001F6D69"/>
    <w:rsid w:val="001F79D6"/>
    <w:rsid w:val="002018AB"/>
    <w:rsid w:val="002023D3"/>
    <w:rsid w:val="002035FC"/>
    <w:rsid w:val="002060F2"/>
    <w:rsid w:val="00207B46"/>
    <w:rsid w:val="002113FF"/>
    <w:rsid w:val="00213A12"/>
    <w:rsid w:val="00216BF0"/>
    <w:rsid w:val="002171B4"/>
    <w:rsid w:val="0022010A"/>
    <w:rsid w:val="00220362"/>
    <w:rsid w:val="0022151D"/>
    <w:rsid w:val="00222050"/>
    <w:rsid w:val="00222271"/>
    <w:rsid w:val="00223575"/>
    <w:rsid w:val="002247F5"/>
    <w:rsid w:val="002264F4"/>
    <w:rsid w:val="00230931"/>
    <w:rsid w:val="00230FCD"/>
    <w:rsid w:val="00233966"/>
    <w:rsid w:val="00234035"/>
    <w:rsid w:val="0023523E"/>
    <w:rsid w:val="0023549D"/>
    <w:rsid w:val="00237A15"/>
    <w:rsid w:val="00237B6E"/>
    <w:rsid w:val="002415AD"/>
    <w:rsid w:val="0024476F"/>
    <w:rsid w:val="00244D4D"/>
    <w:rsid w:val="00245007"/>
    <w:rsid w:val="00246DD4"/>
    <w:rsid w:val="0024762D"/>
    <w:rsid w:val="002521AC"/>
    <w:rsid w:val="002533B7"/>
    <w:rsid w:val="00253A3C"/>
    <w:rsid w:val="00253E66"/>
    <w:rsid w:val="00256393"/>
    <w:rsid w:val="002566FC"/>
    <w:rsid w:val="00256FED"/>
    <w:rsid w:val="0026084D"/>
    <w:rsid w:val="00260A53"/>
    <w:rsid w:val="0026240E"/>
    <w:rsid w:val="002629A1"/>
    <w:rsid w:val="0026318D"/>
    <w:rsid w:val="0026321F"/>
    <w:rsid w:val="00263D9A"/>
    <w:rsid w:val="00264C09"/>
    <w:rsid w:val="00265A3C"/>
    <w:rsid w:val="0027044A"/>
    <w:rsid w:val="00272FF8"/>
    <w:rsid w:val="002767C2"/>
    <w:rsid w:val="002826F9"/>
    <w:rsid w:val="0028504B"/>
    <w:rsid w:val="0028728A"/>
    <w:rsid w:val="002946C1"/>
    <w:rsid w:val="002964D7"/>
    <w:rsid w:val="00297011"/>
    <w:rsid w:val="002A247A"/>
    <w:rsid w:val="002A2677"/>
    <w:rsid w:val="002A2C95"/>
    <w:rsid w:val="002A5E19"/>
    <w:rsid w:val="002A70F4"/>
    <w:rsid w:val="002B1A99"/>
    <w:rsid w:val="002B2022"/>
    <w:rsid w:val="002B389E"/>
    <w:rsid w:val="002B4923"/>
    <w:rsid w:val="002B5439"/>
    <w:rsid w:val="002B6215"/>
    <w:rsid w:val="002B74AE"/>
    <w:rsid w:val="002C1106"/>
    <w:rsid w:val="002C2216"/>
    <w:rsid w:val="002C25AD"/>
    <w:rsid w:val="002C32D9"/>
    <w:rsid w:val="002C650A"/>
    <w:rsid w:val="002D1FE6"/>
    <w:rsid w:val="002D2DB0"/>
    <w:rsid w:val="002D2F46"/>
    <w:rsid w:val="002E030A"/>
    <w:rsid w:val="002E138D"/>
    <w:rsid w:val="002E1AFA"/>
    <w:rsid w:val="002E2782"/>
    <w:rsid w:val="002E4373"/>
    <w:rsid w:val="002E55AF"/>
    <w:rsid w:val="002E5A43"/>
    <w:rsid w:val="002E7DDE"/>
    <w:rsid w:val="002F1FA6"/>
    <w:rsid w:val="002F36FB"/>
    <w:rsid w:val="002F3BA0"/>
    <w:rsid w:val="002F3FD3"/>
    <w:rsid w:val="002F69E8"/>
    <w:rsid w:val="002F6A77"/>
    <w:rsid w:val="003000CD"/>
    <w:rsid w:val="00300527"/>
    <w:rsid w:val="00305921"/>
    <w:rsid w:val="00307AF8"/>
    <w:rsid w:val="00310038"/>
    <w:rsid w:val="00310E29"/>
    <w:rsid w:val="0031166D"/>
    <w:rsid w:val="00314123"/>
    <w:rsid w:val="0031577D"/>
    <w:rsid w:val="00315E26"/>
    <w:rsid w:val="00317FED"/>
    <w:rsid w:val="00320CAB"/>
    <w:rsid w:val="0032307A"/>
    <w:rsid w:val="00323B93"/>
    <w:rsid w:val="00326B0E"/>
    <w:rsid w:val="003277A7"/>
    <w:rsid w:val="0033077D"/>
    <w:rsid w:val="003314FD"/>
    <w:rsid w:val="003328F1"/>
    <w:rsid w:val="00333EA1"/>
    <w:rsid w:val="003340BE"/>
    <w:rsid w:val="003342B7"/>
    <w:rsid w:val="00334A61"/>
    <w:rsid w:val="003358D1"/>
    <w:rsid w:val="00335DE0"/>
    <w:rsid w:val="003366BD"/>
    <w:rsid w:val="00337DE0"/>
    <w:rsid w:val="00337FE4"/>
    <w:rsid w:val="0034140E"/>
    <w:rsid w:val="0034434E"/>
    <w:rsid w:val="00346E43"/>
    <w:rsid w:val="0034781C"/>
    <w:rsid w:val="00347B2B"/>
    <w:rsid w:val="00351DA0"/>
    <w:rsid w:val="003520D4"/>
    <w:rsid w:val="003521C2"/>
    <w:rsid w:val="003579B5"/>
    <w:rsid w:val="003579E2"/>
    <w:rsid w:val="00357EC9"/>
    <w:rsid w:val="0036012E"/>
    <w:rsid w:val="00360E72"/>
    <w:rsid w:val="00361CBC"/>
    <w:rsid w:val="003623DB"/>
    <w:rsid w:val="00362B4F"/>
    <w:rsid w:val="00363318"/>
    <w:rsid w:val="00366187"/>
    <w:rsid w:val="00366854"/>
    <w:rsid w:val="003720B6"/>
    <w:rsid w:val="00373A86"/>
    <w:rsid w:val="00374575"/>
    <w:rsid w:val="0037592D"/>
    <w:rsid w:val="00377CD2"/>
    <w:rsid w:val="00380840"/>
    <w:rsid w:val="0038593C"/>
    <w:rsid w:val="00391283"/>
    <w:rsid w:val="00393ACA"/>
    <w:rsid w:val="00393C87"/>
    <w:rsid w:val="003946CF"/>
    <w:rsid w:val="00394D42"/>
    <w:rsid w:val="003974E6"/>
    <w:rsid w:val="00397AFD"/>
    <w:rsid w:val="003A1221"/>
    <w:rsid w:val="003A499C"/>
    <w:rsid w:val="003A57CC"/>
    <w:rsid w:val="003A5E2B"/>
    <w:rsid w:val="003A63AF"/>
    <w:rsid w:val="003A6651"/>
    <w:rsid w:val="003A66E9"/>
    <w:rsid w:val="003A680B"/>
    <w:rsid w:val="003A6A31"/>
    <w:rsid w:val="003A6AA7"/>
    <w:rsid w:val="003A6F7B"/>
    <w:rsid w:val="003A7AD5"/>
    <w:rsid w:val="003B07DC"/>
    <w:rsid w:val="003B0B3E"/>
    <w:rsid w:val="003B1498"/>
    <w:rsid w:val="003B306D"/>
    <w:rsid w:val="003B400C"/>
    <w:rsid w:val="003B4EEB"/>
    <w:rsid w:val="003B6A27"/>
    <w:rsid w:val="003B6F83"/>
    <w:rsid w:val="003B72DA"/>
    <w:rsid w:val="003B7406"/>
    <w:rsid w:val="003B76A5"/>
    <w:rsid w:val="003C0EB7"/>
    <w:rsid w:val="003C1C56"/>
    <w:rsid w:val="003C2F18"/>
    <w:rsid w:val="003C3A39"/>
    <w:rsid w:val="003C40D6"/>
    <w:rsid w:val="003C698B"/>
    <w:rsid w:val="003C7957"/>
    <w:rsid w:val="003C7F13"/>
    <w:rsid w:val="003D001B"/>
    <w:rsid w:val="003D0FE9"/>
    <w:rsid w:val="003D295C"/>
    <w:rsid w:val="003D679A"/>
    <w:rsid w:val="003D6FB2"/>
    <w:rsid w:val="003D7555"/>
    <w:rsid w:val="003E2EEF"/>
    <w:rsid w:val="003E34B1"/>
    <w:rsid w:val="003E7173"/>
    <w:rsid w:val="003F01E6"/>
    <w:rsid w:val="003F417A"/>
    <w:rsid w:val="003F4ADF"/>
    <w:rsid w:val="003F580F"/>
    <w:rsid w:val="003F5879"/>
    <w:rsid w:val="003F73C8"/>
    <w:rsid w:val="003F7B25"/>
    <w:rsid w:val="00400120"/>
    <w:rsid w:val="00400FA0"/>
    <w:rsid w:val="004016EB"/>
    <w:rsid w:val="00401C45"/>
    <w:rsid w:val="004021E3"/>
    <w:rsid w:val="004028F2"/>
    <w:rsid w:val="004037A1"/>
    <w:rsid w:val="00405C2F"/>
    <w:rsid w:val="00407940"/>
    <w:rsid w:val="00407EC4"/>
    <w:rsid w:val="004124BD"/>
    <w:rsid w:val="00412675"/>
    <w:rsid w:val="00415AEC"/>
    <w:rsid w:val="00415EDC"/>
    <w:rsid w:val="00421AC3"/>
    <w:rsid w:val="004220AA"/>
    <w:rsid w:val="004239EF"/>
    <w:rsid w:val="00425DEE"/>
    <w:rsid w:val="00426719"/>
    <w:rsid w:val="00427F4D"/>
    <w:rsid w:val="00430FD0"/>
    <w:rsid w:val="00432489"/>
    <w:rsid w:val="0043383F"/>
    <w:rsid w:val="00434119"/>
    <w:rsid w:val="00437DFE"/>
    <w:rsid w:val="00437F43"/>
    <w:rsid w:val="004413CF"/>
    <w:rsid w:val="004427E9"/>
    <w:rsid w:val="00443B47"/>
    <w:rsid w:val="0045008C"/>
    <w:rsid w:val="0045013A"/>
    <w:rsid w:val="00452917"/>
    <w:rsid w:val="00453246"/>
    <w:rsid w:val="004538D9"/>
    <w:rsid w:val="00456A53"/>
    <w:rsid w:val="00456BC9"/>
    <w:rsid w:val="00464CDD"/>
    <w:rsid w:val="00467A47"/>
    <w:rsid w:val="00470F25"/>
    <w:rsid w:val="00473879"/>
    <w:rsid w:val="0047461B"/>
    <w:rsid w:val="00475E35"/>
    <w:rsid w:val="00476CE6"/>
    <w:rsid w:val="00477D97"/>
    <w:rsid w:val="004804BF"/>
    <w:rsid w:val="00480E11"/>
    <w:rsid w:val="004813F0"/>
    <w:rsid w:val="004818FE"/>
    <w:rsid w:val="00484CCC"/>
    <w:rsid w:val="00485233"/>
    <w:rsid w:val="00486361"/>
    <w:rsid w:val="004876BF"/>
    <w:rsid w:val="00487833"/>
    <w:rsid w:val="00487EF0"/>
    <w:rsid w:val="00490153"/>
    <w:rsid w:val="004907C8"/>
    <w:rsid w:val="004913BC"/>
    <w:rsid w:val="00491BC5"/>
    <w:rsid w:val="00491DB5"/>
    <w:rsid w:val="00495886"/>
    <w:rsid w:val="00495FA5"/>
    <w:rsid w:val="00497334"/>
    <w:rsid w:val="004978F6"/>
    <w:rsid w:val="004A0FE3"/>
    <w:rsid w:val="004A1EFB"/>
    <w:rsid w:val="004A2E59"/>
    <w:rsid w:val="004A377A"/>
    <w:rsid w:val="004A3BFF"/>
    <w:rsid w:val="004A4DC3"/>
    <w:rsid w:val="004A7EA5"/>
    <w:rsid w:val="004B129C"/>
    <w:rsid w:val="004B365E"/>
    <w:rsid w:val="004B6592"/>
    <w:rsid w:val="004B68CA"/>
    <w:rsid w:val="004C0D74"/>
    <w:rsid w:val="004C14C3"/>
    <w:rsid w:val="004C3BAD"/>
    <w:rsid w:val="004C409D"/>
    <w:rsid w:val="004C46AC"/>
    <w:rsid w:val="004C5202"/>
    <w:rsid w:val="004C55AE"/>
    <w:rsid w:val="004C6B46"/>
    <w:rsid w:val="004D0ED3"/>
    <w:rsid w:val="004D164D"/>
    <w:rsid w:val="004D1E13"/>
    <w:rsid w:val="004D2645"/>
    <w:rsid w:val="004D3F4D"/>
    <w:rsid w:val="004D578F"/>
    <w:rsid w:val="004D7A49"/>
    <w:rsid w:val="004D7F5E"/>
    <w:rsid w:val="004E176F"/>
    <w:rsid w:val="004E1F9C"/>
    <w:rsid w:val="004E27DD"/>
    <w:rsid w:val="004E5683"/>
    <w:rsid w:val="004E68C6"/>
    <w:rsid w:val="004E749B"/>
    <w:rsid w:val="004F0FD4"/>
    <w:rsid w:val="004F10A3"/>
    <w:rsid w:val="004F25E3"/>
    <w:rsid w:val="004F32EC"/>
    <w:rsid w:val="004F3973"/>
    <w:rsid w:val="004F4B0B"/>
    <w:rsid w:val="004F54E8"/>
    <w:rsid w:val="004F74AF"/>
    <w:rsid w:val="004F7760"/>
    <w:rsid w:val="00500BA6"/>
    <w:rsid w:val="0050108F"/>
    <w:rsid w:val="005014EF"/>
    <w:rsid w:val="005020F3"/>
    <w:rsid w:val="00504B9F"/>
    <w:rsid w:val="00504D50"/>
    <w:rsid w:val="00510133"/>
    <w:rsid w:val="00511D0C"/>
    <w:rsid w:val="005121C1"/>
    <w:rsid w:val="0051357E"/>
    <w:rsid w:val="00513867"/>
    <w:rsid w:val="005138CC"/>
    <w:rsid w:val="00513B79"/>
    <w:rsid w:val="00513C27"/>
    <w:rsid w:val="005158C8"/>
    <w:rsid w:val="00515CF1"/>
    <w:rsid w:val="0051643A"/>
    <w:rsid w:val="005167C6"/>
    <w:rsid w:val="00520729"/>
    <w:rsid w:val="00520AC5"/>
    <w:rsid w:val="005225DB"/>
    <w:rsid w:val="00522C5E"/>
    <w:rsid w:val="005242AB"/>
    <w:rsid w:val="00524358"/>
    <w:rsid w:val="005248D9"/>
    <w:rsid w:val="00524DD4"/>
    <w:rsid w:val="0053032A"/>
    <w:rsid w:val="00530B27"/>
    <w:rsid w:val="00531D0C"/>
    <w:rsid w:val="00531D5C"/>
    <w:rsid w:val="00532D0D"/>
    <w:rsid w:val="00533143"/>
    <w:rsid w:val="00533BF0"/>
    <w:rsid w:val="00534F72"/>
    <w:rsid w:val="005351A3"/>
    <w:rsid w:val="00541116"/>
    <w:rsid w:val="00541629"/>
    <w:rsid w:val="00542CCE"/>
    <w:rsid w:val="00543570"/>
    <w:rsid w:val="005437DE"/>
    <w:rsid w:val="00544149"/>
    <w:rsid w:val="005450AA"/>
    <w:rsid w:val="005468EF"/>
    <w:rsid w:val="0055183C"/>
    <w:rsid w:val="00551F91"/>
    <w:rsid w:val="0055201B"/>
    <w:rsid w:val="00553B07"/>
    <w:rsid w:val="005547A9"/>
    <w:rsid w:val="00554E52"/>
    <w:rsid w:val="0055539E"/>
    <w:rsid w:val="00557603"/>
    <w:rsid w:val="005614B3"/>
    <w:rsid w:val="005615AC"/>
    <w:rsid w:val="00565367"/>
    <w:rsid w:val="0056596B"/>
    <w:rsid w:val="005676FD"/>
    <w:rsid w:val="0057180D"/>
    <w:rsid w:val="005738FC"/>
    <w:rsid w:val="00581670"/>
    <w:rsid w:val="00584683"/>
    <w:rsid w:val="00585423"/>
    <w:rsid w:val="0058570C"/>
    <w:rsid w:val="00586629"/>
    <w:rsid w:val="0059090E"/>
    <w:rsid w:val="00591269"/>
    <w:rsid w:val="005927E9"/>
    <w:rsid w:val="00594295"/>
    <w:rsid w:val="00595C0E"/>
    <w:rsid w:val="0059611A"/>
    <w:rsid w:val="005A2059"/>
    <w:rsid w:val="005A30B5"/>
    <w:rsid w:val="005A30E3"/>
    <w:rsid w:val="005A36E0"/>
    <w:rsid w:val="005A3985"/>
    <w:rsid w:val="005A4A4C"/>
    <w:rsid w:val="005B0B81"/>
    <w:rsid w:val="005B0EC4"/>
    <w:rsid w:val="005B4082"/>
    <w:rsid w:val="005B79C3"/>
    <w:rsid w:val="005C2B7F"/>
    <w:rsid w:val="005C7F26"/>
    <w:rsid w:val="005C7F9F"/>
    <w:rsid w:val="005D7097"/>
    <w:rsid w:val="005D74D5"/>
    <w:rsid w:val="005E012B"/>
    <w:rsid w:val="005E5A14"/>
    <w:rsid w:val="005E66FB"/>
    <w:rsid w:val="005F02D3"/>
    <w:rsid w:val="005F1188"/>
    <w:rsid w:val="005F2C91"/>
    <w:rsid w:val="005F36CC"/>
    <w:rsid w:val="005F376D"/>
    <w:rsid w:val="005F3D53"/>
    <w:rsid w:val="005F4F72"/>
    <w:rsid w:val="005F595D"/>
    <w:rsid w:val="00600021"/>
    <w:rsid w:val="006001FE"/>
    <w:rsid w:val="006026BD"/>
    <w:rsid w:val="00602952"/>
    <w:rsid w:val="00606295"/>
    <w:rsid w:val="006062AB"/>
    <w:rsid w:val="00610929"/>
    <w:rsid w:val="00611DDE"/>
    <w:rsid w:val="00612625"/>
    <w:rsid w:val="00614786"/>
    <w:rsid w:val="00615CDA"/>
    <w:rsid w:val="0061693E"/>
    <w:rsid w:val="00617CFE"/>
    <w:rsid w:val="00620CD5"/>
    <w:rsid w:val="00622A98"/>
    <w:rsid w:val="00624117"/>
    <w:rsid w:val="0062543D"/>
    <w:rsid w:val="006254D6"/>
    <w:rsid w:val="00632475"/>
    <w:rsid w:val="00632798"/>
    <w:rsid w:val="00632F43"/>
    <w:rsid w:val="00632FA0"/>
    <w:rsid w:val="00634474"/>
    <w:rsid w:val="00634879"/>
    <w:rsid w:val="00634894"/>
    <w:rsid w:val="006349C6"/>
    <w:rsid w:val="0063631D"/>
    <w:rsid w:val="006407C7"/>
    <w:rsid w:val="00641BBB"/>
    <w:rsid w:val="006421E0"/>
    <w:rsid w:val="0064274D"/>
    <w:rsid w:val="00643827"/>
    <w:rsid w:val="00643F3D"/>
    <w:rsid w:val="006453CA"/>
    <w:rsid w:val="006467B9"/>
    <w:rsid w:val="0064708A"/>
    <w:rsid w:val="00647DF9"/>
    <w:rsid w:val="00651140"/>
    <w:rsid w:val="0065424A"/>
    <w:rsid w:val="00654520"/>
    <w:rsid w:val="006560B6"/>
    <w:rsid w:val="00660307"/>
    <w:rsid w:val="00665626"/>
    <w:rsid w:val="0066608D"/>
    <w:rsid w:val="00666636"/>
    <w:rsid w:val="00667B13"/>
    <w:rsid w:val="00670AA4"/>
    <w:rsid w:val="00670B78"/>
    <w:rsid w:val="0067175A"/>
    <w:rsid w:val="00672E07"/>
    <w:rsid w:val="006732F8"/>
    <w:rsid w:val="00673484"/>
    <w:rsid w:val="00674C28"/>
    <w:rsid w:val="00675896"/>
    <w:rsid w:val="00676504"/>
    <w:rsid w:val="00676E76"/>
    <w:rsid w:val="00680148"/>
    <w:rsid w:val="006801CB"/>
    <w:rsid w:val="006816C6"/>
    <w:rsid w:val="00683754"/>
    <w:rsid w:val="00685215"/>
    <w:rsid w:val="00685923"/>
    <w:rsid w:val="0068657D"/>
    <w:rsid w:val="00687122"/>
    <w:rsid w:val="006904A0"/>
    <w:rsid w:val="00693DB2"/>
    <w:rsid w:val="00694596"/>
    <w:rsid w:val="00694799"/>
    <w:rsid w:val="006950A0"/>
    <w:rsid w:val="006A0754"/>
    <w:rsid w:val="006A29FD"/>
    <w:rsid w:val="006A4236"/>
    <w:rsid w:val="006A5668"/>
    <w:rsid w:val="006A5B95"/>
    <w:rsid w:val="006A6E79"/>
    <w:rsid w:val="006A7EB9"/>
    <w:rsid w:val="006B23D7"/>
    <w:rsid w:val="006B312C"/>
    <w:rsid w:val="006B42B2"/>
    <w:rsid w:val="006B5FEF"/>
    <w:rsid w:val="006B64B8"/>
    <w:rsid w:val="006C008A"/>
    <w:rsid w:val="006C1919"/>
    <w:rsid w:val="006C1C79"/>
    <w:rsid w:val="006C2B9E"/>
    <w:rsid w:val="006C46E1"/>
    <w:rsid w:val="006D166C"/>
    <w:rsid w:val="006D3B96"/>
    <w:rsid w:val="006D3E29"/>
    <w:rsid w:val="006D4C55"/>
    <w:rsid w:val="006D7D60"/>
    <w:rsid w:val="006E57B1"/>
    <w:rsid w:val="006E6EFD"/>
    <w:rsid w:val="006E6FB5"/>
    <w:rsid w:val="006F0353"/>
    <w:rsid w:val="006F0CF0"/>
    <w:rsid w:val="006F0E49"/>
    <w:rsid w:val="006F11F8"/>
    <w:rsid w:val="006F4457"/>
    <w:rsid w:val="006F4C01"/>
    <w:rsid w:val="006F5B7D"/>
    <w:rsid w:val="006F5F5A"/>
    <w:rsid w:val="00700238"/>
    <w:rsid w:val="0070131C"/>
    <w:rsid w:val="007026AB"/>
    <w:rsid w:val="00702953"/>
    <w:rsid w:val="0070433F"/>
    <w:rsid w:val="0070500D"/>
    <w:rsid w:val="00705371"/>
    <w:rsid w:val="007134EC"/>
    <w:rsid w:val="0071391F"/>
    <w:rsid w:val="00714233"/>
    <w:rsid w:val="0071747A"/>
    <w:rsid w:val="00721537"/>
    <w:rsid w:val="0072320A"/>
    <w:rsid w:val="00723ADE"/>
    <w:rsid w:val="007240F0"/>
    <w:rsid w:val="007247CD"/>
    <w:rsid w:val="00725D9C"/>
    <w:rsid w:val="00727103"/>
    <w:rsid w:val="00727FBD"/>
    <w:rsid w:val="00731113"/>
    <w:rsid w:val="00731C05"/>
    <w:rsid w:val="00740304"/>
    <w:rsid w:val="007403FA"/>
    <w:rsid w:val="0074194F"/>
    <w:rsid w:val="00741DE6"/>
    <w:rsid w:val="00744FF0"/>
    <w:rsid w:val="00745240"/>
    <w:rsid w:val="007473A3"/>
    <w:rsid w:val="00747E8C"/>
    <w:rsid w:val="0075035C"/>
    <w:rsid w:val="0075118D"/>
    <w:rsid w:val="00751BC6"/>
    <w:rsid w:val="00754F86"/>
    <w:rsid w:val="0075542E"/>
    <w:rsid w:val="00756698"/>
    <w:rsid w:val="00757626"/>
    <w:rsid w:val="00760A4C"/>
    <w:rsid w:val="00761A01"/>
    <w:rsid w:val="00762CC0"/>
    <w:rsid w:val="00763F71"/>
    <w:rsid w:val="00764BAF"/>
    <w:rsid w:val="00765CDC"/>
    <w:rsid w:val="00767001"/>
    <w:rsid w:val="0077185D"/>
    <w:rsid w:val="00775E52"/>
    <w:rsid w:val="007811A1"/>
    <w:rsid w:val="007849E9"/>
    <w:rsid w:val="00786BF6"/>
    <w:rsid w:val="00790EAA"/>
    <w:rsid w:val="00791813"/>
    <w:rsid w:val="00794ED1"/>
    <w:rsid w:val="0079513A"/>
    <w:rsid w:val="00795185"/>
    <w:rsid w:val="00795AE9"/>
    <w:rsid w:val="007A0486"/>
    <w:rsid w:val="007A28D2"/>
    <w:rsid w:val="007A456E"/>
    <w:rsid w:val="007A58F8"/>
    <w:rsid w:val="007A5B7D"/>
    <w:rsid w:val="007A5BD6"/>
    <w:rsid w:val="007A64F6"/>
    <w:rsid w:val="007A6619"/>
    <w:rsid w:val="007A6823"/>
    <w:rsid w:val="007A71E5"/>
    <w:rsid w:val="007B05C7"/>
    <w:rsid w:val="007B362F"/>
    <w:rsid w:val="007B4211"/>
    <w:rsid w:val="007B4A6B"/>
    <w:rsid w:val="007B4B2E"/>
    <w:rsid w:val="007B5B68"/>
    <w:rsid w:val="007B6A59"/>
    <w:rsid w:val="007B7FA5"/>
    <w:rsid w:val="007C07FF"/>
    <w:rsid w:val="007C161E"/>
    <w:rsid w:val="007C313A"/>
    <w:rsid w:val="007C38E1"/>
    <w:rsid w:val="007C4FC6"/>
    <w:rsid w:val="007C55D4"/>
    <w:rsid w:val="007C57F1"/>
    <w:rsid w:val="007D10D3"/>
    <w:rsid w:val="007D2DC4"/>
    <w:rsid w:val="007D3FB6"/>
    <w:rsid w:val="007D4471"/>
    <w:rsid w:val="007D4479"/>
    <w:rsid w:val="007D4A18"/>
    <w:rsid w:val="007D6FD7"/>
    <w:rsid w:val="007D74CB"/>
    <w:rsid w:val="007D7C1D"/>
    <w:rsid w:val="007E0C4A"/>
    <w:rsid w:val="007E2A2F"/>
    <w:rsid w:val="007E2E6F"/>
    <w:rsid w:val="007E57A8"/>
    <w:rsid w:val="007E5AF8"/>
    <w:rsid w:val="007F1BB3"/>
    <w:rsid w:val="007F2B44"/>
    <w:rsid w:val="007F4398"/>
    <w:rsid w:val="007F46F6"/>
    <w:rsid w:val="007F7F80"/>
    <w:rsid w:val="00800E57"/>
    <w:rsid w:val="00804148"/>
    <w:rsid w:val="008056E2"/>
    <w:rsid w:val="008058BA"/>
    <w:rsid w:val="00806AE5"/>
    <w:rsid w:val="00810B65"/>
    <w:rsid w:val="00811A68"/>
    <w:rsid w:val="0081287D"/>
    <w:rsid w:val="00815D5C"/>
    <w:rsid w:val="008171AE"/>
    <w:rsid w:val="008177A5"/>
    <w:rsid w:val="00817E21"/>
    <w:rsid w:val="008207C9"/>
    <w:rsid w:val="0082175D"/>
    <w:rsid w:val="00822513"/>
    <w:rsid w:val="0082252E"/>
    <w:rsid w:val="0082313E"/>
    <w:rsid w:val="008232D1"/>
    <w:rsid w:val="00823C28"/>
    <w:rsid w:val="00823D20"/>
    <w:rsid w:val="00830DE2"/>
    <w:rsid w:val="00831157"/>
    <w:rsid w:val="00831F52"/>
    <w:rsid w:val="00834770"/>
    <w:rsid w:val="008409D1"/>
    <w:rsid w:val="008419A2"/>
    <w:rsid w:val="00844565"/>
    <w:rsid w:val="008452E1"/>
    <w:rsid w:val="00845A6F"/>
    <w:rsid w:val="008519B0"/>
    <w:rsid w:val="008519E0"/>
    <w:rsid w:val="008520FF"/>
    <w:rsid w:val="008547DB"/>
    <w:rsid w:val="00855AFD"/>
    <w:rsid w:val="00856CD6"/>
    <w:rsid w:val="00857005"/>
    <w:rsid w:val="00857762"/>
    <w:rsid w:val="00860173"/>
    <w:rsid w:val="00860EE3"/>
    <w:rsid w:val="008631B9"/>
    <w:rsid w:val="008717B6"/>
    <w:rsid w:val="00872C30"/>
    <w:rsid w:val="008748F2"/>
    <w:rsid w:val="00875110"/>
    <w:rsid w:val="00875410"/>
    <w:rsid w:val="0087689E"/>
    <w:rsid w:val="00877C2E"/>
    <w:rsid w:val="00880521"/>
    <w:rsid w:val="00880811"/>
    <w:rsid w:val="00885424"/>
    <w:rsid w:val="008905DF"/>
    <w:rsid w:val="00890850"/>
    <w:rsid w:val="00891735"/>
    <w:rsid w:val="00894FFA"/>
    <w:rsid w:val="0089603C"/>
    <w:rsid w:val="00896660"/>
    <w:rsid w:val="0089736B"/>
    <w:rsid w:val="008979FE"/>
    <w:rsid w:val="008A199A"/>
    <w:rsid w:val="008A56C6"/>
    <w:rsid w:val="008A5D71"/>
    <w:rsid w:val="008A5FF5"/>
    <w:rsid w:val="008A6037"/>
    <w:rsid w:val="008B7D49"/>
    <w:rsid w:val="008C0E27"/>
    <w:rsid w:val="008C400D"/>
    <w:rsid w:val="008C4A40"/>
    <w:rsid w:val="008C6F0F"/>
    <w:rsid w:val="008D273F"/>
    <w:rsid w:val="008D35D5"/>
    <w:rsid w:val="008D5332"/>
    <w:rsid w:val="008D53B2"/>
    <w:rsid w:val="008D622F"/>
    <w:rsid w:val="008D6DD7"/>
    <w:rsid w:val="008D73BC"/>
    <w:rsid w:val="008D79B1"/>
    <w:rsid w:val="008E1486"/>
    <w:rsid w:val="008E376D"/>
    <w:rsid w:val="008E4031"/>
    <w:rsid w:val="008F1FEE"/>
    <w:rsid w:val="008F2FE8"/>
    <w:rsid w:val="008F48EE"/>
    <w:rsid w:val="008F4DDA"/>
    <w:rsid w:val="008F76DF"/>
    <w:rsid w:val="008F784F"/>
    <w:rsid w:val="00902036"/>
    <w:rsid w:val="00903748"/>
    <w:rsid w:val="00904AB0"/>
    <w:rsid w:val="00904FC9"/>
    <w:rsid w:val="00905C95"/>
    <w:rsid w:val="009072E0"/>
    <w:rsid w:val="00907BBF"/>
    <w:rsid w:val="00911A1E"/>
    <w:rsid w:val="00911D6E"/>
    <w:rsid w:val="0091286D"/>
    <w:rsid w:val="00913ABD"/>
    <w:rsid w:val="0091565E"/>
    <w:rsid w:val="009157BE"/>
    <w:rsid w:val="009157DC"/>
    <w:rsid w:val="00915BD7"/>
    <w:rsid w:val="009178D5"/>
    <w:rsid w:val="009229A1"/>
    <w:rsid w:val="00924311"/>
    <w:rsid w:val="00924909"/>
    <w:rsid w:val="00932C1C"/>
    <w:rsid w:val="00933009"/>
    <w:rsid w:val="00935197"/>
    <w:rsid w:val="00936B68"/>
    <w:rsid w:val="009374C6"/>
    <w:rsid w:val="00941739"/>
    <w:rsid w:val="00942708"/>
    <w:rsid w:val="00947001"/>
    <w:rsid w:val="0095125D"/>
    <w:rsid w:val="0095180A"/>
    <w:rsid w:val="0095217F"/>
    <w:rsid w:val="00954176"/>
    <w:rsid w:val="0095639E"/>
    <w:rsid w:val="009605C4"/>
    <w:rsid w:val="00960632"/>
    <w:rsid w:val="00960A6B"/>
    <w:rsid w:val="00963C4E"/>
    <w:rsid w:val="00967983"/>
    <w:rsid w:val="00971039"/>
    <w:rsid w:val="009710F6"/>
    <w:rsid w:val="00972879"/>
    <w:rsid w:val="009755D3"/>
    <w:rsid w:val="0097760D"/>
    <w:rsid w:val="009805A5"/>
    <w:rsid w:val="00980C0B"/>
    <w:rsid w:val="009811FD"/>
    <w:rsid w:val="00981205"/>
    <w:rsid w:val="00983952"/>
    <w:rsid w:val="00983CD6"/>
    <w:rsid w:val="00986510"/>
    <w:rsid w:val="00987035"/>
    <w:rsid w:val="00987251"/>
    <w:rsid w:val="009875DE"/>
    <w:rsid w:val="00991984"/>
    <w:rsid w:val="00994128"/>
    <w:rsid w:val="009950C0"/>
    <w:rsid w:val="00996DA3"/>
    <w:rsid w:val="009A01DE"/>
    <w:rsid w:val="009A0419"/>
    <w:rsid w:val="009A06B1"/>
    <w:rsid w:val="009A0CDB"/>
    <w:rsid w:val="009A0D60"/>
    <w:rsid w:val="009A10B2"/>
    <w:rsid w:val="009A1A00"/>
    <w:rsid w:val="009A1EE9"/>
    <w:rsid w:val="009A40E6"/>
    <w:rsid w:val="009A464C"/>
    <w:rsid w:val="009A4D70"/>
    <w:rsid w:val="009A7AFD"/>
    <w:rsid w:val="009B1D64"/>
    <w:rsid w:val="009B5D71"/>
    <w:rsid w:val="009B6B54"/>
    <w:rsid w:val="009C2C22"/>
    <w:rsid w:val="009C4139"/>
    <w:rsid w:val="009C4814"/>
    <w:rsid w:val="009C4D68"/>
    <w:rsid w:val="009C5401"/>
    <w:rsid w:val="009C5E58"/>
    <w:rsid w:val="009C7495"/>
    <w:rsid w:val="009C79B9"/>
    <w:rsid w:val="009C7F7F"/>
    <w:rsid w:val="009D036B"/>
    <w:rsid w:val="009D0BA2"/>
    <w:rsid w:val="009D0E7D"/>
    <w:rsid w:val="009D4607"/>
    <w:rsid w:val="009D568A"/>
    <w:rsid w:val="009D5DFE"/>
    <w:rsid w:val="009D6467"/>
    <w:rsid w:val="009D716A"/>
    <w:rsid w:val="009E0500"/>
    <w:rsid w:val="009E4903"/>
    <w:rsid w:val="009F17E2"/>
    <w:rsid w:val="009F226E"/>
    <w:rsid w:val="009F2EA6"/>
    <w:rsid w:val="009F4F76"/>
    <w:rsid w:val="009F54B0"/>
    <w:rsid w:val="00A00DD4"/>
    <w:rsid w:val="00A00EEF"/>
    <w:rsid w:val="00A026B4"/>
    <w:rsid w:val="00A02B86"/>
    <w:rsid w:val="00A0486F"/>
    <w:rsid w:val="00A04E5F"/>
    <w:rsid w:val="00A05A3B"/>
    <w:rsid w:val="00A0617C"/>
    <w:rsid w:val="00A06B76"/>
    <w:rsid w:val="00A077AE"/>
    <w:rsid w:val="00A104F5"/>
    <w:rsid w:val="00A108AC"/>
    <w:rsid w:val="00A11558"/>
    <w:rsid w:val="00A1176C"/>
    <w:rsid w:val="00A15199"/>
    <w:rsid w:val="00A163E9"/>
    <w:rsid w:val="00A2167D"/>
    <w:rsid w:val="00A228B2"/>
    <w:rsid w:val="00A230D4"/>
    <w:rsid w:val="00A23FDF"/>
    <w:rsid w:val="00A26E16"/>
    <w:rsid w:val="00A302D9"/>
    <w:rsid w:val="00A30FE1"/>
    <w:rsid w:val="00A31042"/>
    <w:rsid w:val="00A33906"/>
    <w:rsid w:val="00A3479F"/>
    <w:rsid w:val="00A349B3"/>
    <w:rsid w:val="00A364E8"/>
    <w:rsid w:val="00A3686E"/>
    <w:rsid w:val="00A3748B"/>
    <w:rsid w:val="00A44CDB"/>
    <w:rsid w:val="00A44D5C"/>
    <w:rsid w:val="00A51A67"/>
    <w:rsid w:val="00A56C9E"/>
    <w:rsid w:val="00A624A2"/>
    <w:rsid w:val="00A62B68"/>
    <w:rsid w:val="00A64108"/>
    <w:rsid w:val="00A65151"/>
    <w:rsid w:val="00A65E1A"/>
    <w:rsid w:val="00A70B9E"/>
    <w:rsid w:val="00A71415"/>
    <w:rsid w:val="00A71C7F"/>
    <w:rsid w:val="00A7221D"/>
    <w:rsid w:val="00A772AC"/>
    <w:rsid w:val="00A773E5"/>
    <w:rsid w:val="00A777EC"/>
    <w:rsid w:val="00A804E6"/>
    <w:rsid w:val="00A815D0"/>
    <w:rsid w:val="00A84EFC"/>
    <w:rsid w:val="00A8626B"/>
    <w:rsid w:val="00A8659D"/>
    <w:rsid w:val="00A873ED"/>
    <w:rsid w:val="00A9053C"/>
    <w:rsid w:val="00A92CF1"/>
    <w:rsid w:val="00A92D78"/>
    <w:rsid w:val="00A94A08"/>
    <w:rsid w:val="00A95A88"/>
    <w:rsid w:val="00A96805"/>
    <w:rsid w:val="00AA15C8"/>
    <w:rsid w:val="00AA2355"/>
    <w:rsid w:val="00AA23C8"/>
    <w:rsid w:val="00AA50E1"/>
    <w:rsid w:val="00AA54BD"/>
    <w:rsid w:val="00AA7CA8"/>
    <w:rsid w:val="00AA7F84"/>
    <w:rsid w:val="00AA7FFD"/>
    <w:rsid w:val="00AB25F4"/>
    <w:rsid w:val="00AB37BD"/>
    <w:rsid w:val="00AB4533"/>
    <w:rsid w:val="00AB7875"/>
    <w:rsid w:val="00AC042E"/>
    <w:rsid w:val="00AC0CDF"/>
    <w:rsid w:val="00AC5158"/>
    <w:rsid w:val="00AC624A"/>
    <w:rsid w:val="00AD06A8"/>
    <w:rsid w:val="00AD083C"/>
    <w:rsid w:val="00AD2069"/>
    <w:rsid w:val="00AD3561"/>
    <w:rsid w:val="00AD3581"/>
    <w:rsid w:val="00AD4533"/>
    <w:rsid w:val="00AD4F01"/>
    <w:rsid w:val="00AD7164"/>
    <w:rsid w:val="00AD7A8C"/>
    <w:rsid w:val="00AE0D25"/>
    <w:rsid w:val="00AE1565"/>
    <w:rsid w:val="00AE1B88"/>
    <w:rsid w:val="00AE1F75"/>
    <w:rsid w:val="00AE37BD"/>
    <w:rsid w:val="00AE3A9E"/>
    <w:rsid w:val="00AE3DD4"/>
    <w:rsid w:val="00AE49C6"/>
    <w:rsid w:val="00AE5F52"/>
    <w:rsid w:val="00AE65F5"/>
    <w:rsid w:val="00AE67E6"/>
    <w:rsid w:val="00AF0AB6"/>
    <w:rsid w:val="00AF0BA9"/>
    <w:rsid w:val="00AF0C9D"/>
    <w:rsid w:val="00AF314F"/>
    <w:rsid w:val="00AF39AA"/>
    <w:rsid w:val="00AF3A70"/>
    <w:rsid w:val="00AF78FB"/>
    <w:rsid w:val="00AF7C9C"/>
    <w:rsid w:val="00B000FE"/>
    <w:rsid w:val="00B01E54"/>
    <w:rsid w:val="00B05E1C"/>
    <w:rsid w:val="00B10347"/>
    <w:rsid w:val="00B10591"/>
    <w:rsid w:val="00B11A73"/>
    <w:rsid w:val="00B12197"/>
    <w:rsid w:val="00B12D5E"/>
    <w:rsid w:val="00B12EB3"/>
    <w:rsid w:val="00B132F8"/>
    <w:rsid w:val="00B139EA"/>
    <w:rsid w:val="00B13C8D"/>
    <w:rsid w:val="00B13E1D"/>
    <w:rsid w:val="00B1532C"/>
    <w:rsid w:val="00B175D5"/>
    <w:rsid w:val="00B17FEE"/>
    <w:rsid w:val="00B21322"/>
    <w:rsid w:val="00B2273B"/>
    <w:rsid w:val="00B228C9"/>
    <w:rsid w:val="00B22CC1"/>
    <w:rsid w:val="00B24A85"/>
    <w:rsid w:val="00B26605"/>
    <w:rsid w:val="00B26618"/>
    <w:rsid w:val="00B315E5"/>
    <w:rsid w:val="00B316C7"/>
    <w:rsid w:val="00B327C1"/>
    <w:rsid w:val="00B32AD8"/>
    <w:rsid w:val="00B3467A"/>
    <w:rsid w:val="00B3518C"/>
    <w:rsid w:val="00B3665B"/>
    <w:rsid w:val="00B36CDB"/>
    <w:rsid w:val="00B37AE3"/>
    <w:rsid w:val="00B40250"/>
    <w:rsid w:val="00B41A4A"/>
    <w:rsid w:val="00B43997"/>
    <w:rsid w:val="00B443B0"/>
    <w:rsid w:val="00B44FB2"/>
    <w:rsid w:val="00B45098"/>
    <w:rsid w:val="00B45CB0"/>
    <w:rsid w:val="00B46C62"/>
    <w:rsid w:val="00B511EE"/>
    <w:rsid w:val="00B54F36"/>
    <w:rsid w:val="00B55B97"/>
    <w:rsid w:val="00B56D67"/>
    <w:rsid w:val="00B62B3A"/>
    <w:rsid w:val="00B62D0A"/>
    <w:rsid w:val="00B66B6D"/>
    <w:rsid w:val="00B73A68"/>
    <w:rsid w:val="00B75064"/>
    <w:rsid w:val="00B759C4"/>
    <w:rsid w:val="00B77F1D"/>
    <w:rsid w:val="00B80152"/>
    <w:rsid w:val="00B81723"/>
    <w:rsid w:val="00B81EEC"/>
    <w:rsid w:val="00B83536"/>
    <w:rsid w:val="00B83F7E"/>
    <w:rsid w:val="00B84AF3"/>
    <w:rsid w:val="00B859E2"/>
    <w:rsid w:val="00B85FF9"/>
    <w:rsid w:val="00B86082"/>
    <w:rsid w:val="00B868AB"/>
    <w:rsid w:val="00B872B7"/>
    <w:rsid w:val="00B87930"/>
    <w:rsid w:val="00B91419"/>
    <w:rsid w:val="00B9186A"/>
    <w:rsid w:val="00B91BC5"/>
    <w:rsid w:val="00B92831"/>
    <w:rsid w:val="00B92F49"/>
    <w:rsid w:val="00B931A7"/>
    <w:rsid w:val="00B93514"/>
    <w:rsid w:val="00B9542D"/>
    <w:rsid w:val="00B97F41"/>
    <w:rsid w:val="00BA195A"/>
    <w:rsid w:val="00BA1C91"/>
    <w:rsid w:val="00BA5F1E"/>
    <w:rsid w:val="00BA77D1"/>
    <w:rsid w:val="00BB043C"/>
    <w:rsid w:val="00BB54BB"/>
    <w:rsid w:val="00BC0491"/>
    <w:rsid w:val="00BC131B"/>
    <w:rsid w:val="00BC3EE7"/>
    <w:rsid w:val="00BC4576"/>
    <w:rsid w:val="00BC794B"/>
    <w:rsid w:val="00BD0324"/>
    <w:rsid w:val="00BD162C"/>
    <w:rsid w:val="00BD1B2B"/>
    <w:rsid w:val="00BD49FB"/>
    <w:rsid w:val="00BD5F91"/>
    <w:rsid w:val="00BD671B"/>
    <w:rsid w:val="00BE0E7E"/>
    <w:rsid w:val="00BE1C26"/>
    <w:rsid w:val="00BE350D"/>
    <w:rsid w:val="00BE3891"/>
    <w:rsid w:val="00BE3E87"/>
    <w:rsid w:val="00BE561A"/>
    <w:rsid w:val="00BE69C9"/>
    <w:rsid w:val="00BE758D"/>
    <w:rsid w:val="00BF1A6C"/>
    <w:rsid w:val="00BF2623"/>
    <w:rsid w:val="00BF2A55"/>
    <w:rsid w:val="00BF3946"/>
    <w:rsid w:val="00BF6574"/>
    <w:rsid w:val="00BF6B6D"/>
    <w:rsid w:val="00C015BF"/>
    <w:rsid w:val="00C01703"/>
    <w:rsid w:val="00C0284B"/>
    <w:rsid w:val="00C04457"/>
    <w:rsid w:val="00C05259"/>
    <w:rsid w:val="00C05307"/>
    <w:rsid w:val="00C05DCC"/>
    <w:rsid w:val="00C0671F"/>
    <w:rsid w:val="00C07193"/>
    <w:rsid w:val="00C103B1"/>
    <w:rsid w:val="00C12F0A"/>
    <w:rsid w:val="00C13147"/>
    <w:rsid w:val="00C13517"/>
    <w:rsid w:val="00C143A3"/>
    <w:rsid w:val="00C1561D"/>
    <w:rsid w:val="00C17E9E"/>
    <w:rsid w:val="00C201A0"/>
    <w:rsid w:val="00C20BDF"/>
    <w:rsid w:val="00C233DE"/>
    <w:rsid w:val="00C24464"/>
    <w:rsid w:val="00C26176"/>
    <w:rsid w:val="00C27586"/>
    <w:rsid w:val="00C324A1"/>
    <w:rsid w:val="00C34588"/>
    <w:rsid w:val="00C366A7"/>
    <w:rsid w:val="00C4197E"/>
    <w:rsid w:val="00C420EF"/>
    <w:rsid w:val="00C424D3"/>
    <w:rsid w:val="00C42944"/>
    <w:rsid w:val="00C450A6"/>
    <w:rsid w:val="00C4678C"/>
    <w:rsid w:val="00C46DD3"/>
    <w:rsid w:val="00C506D1"/>
    <w:rsid w:val="00C521F2"/>
    <w:rsid w:val="00C52F2E"/>
    <w:rsid w:val="00C53049"/>
    <w:rsid w:val="00C574DF"/>
    <w:rsid w:val="00C66172"/>
    <w:rsid w:val="00C6678F"/>
    <w:rsid w:val="00C757CC"/>
    <w:rsid w:val="00C76074"/>
    <w:rsid w:val="00C7688B"/>
    <w:rsid w:val="00C76E7C"/>
    <w:rsid w:val="00C80945"/>
    <w:rsid w:val="00C80FC4"/>
    <w:rsid w:val="00C83498"/>
    <w:rsid w:val="00C83ECC"/>
    <w:rsid w:val="00C845B0"/>
    <w:rsid w:val="00C847A7"/>
    <w:rsid w:val="00C902F2"/>
    <w:rsid w:val="00C913E6"/>
    <w:rsid w:val="00C93395"/>
    <w:rsid w:val="00C9454E"/>
    <w:rsid w:val="00C9486B"/>
    <w:rsid w:val="00C94FD9"/>
    <w:rsid w:val="00C9742C"/>
    <w:rsid w:val="00CA092D"/>
    <w:rsid w:val="00CA28D2"/>
    <w:rsid w:val="00CA4C2B"/>
    <w:rsid w:val="00CA6181"/>
    <w:rsid w:val="00CA6397"/>
    <w:rsid w:val="00CA6CD1"/>
    <w:rsid w:val="00CB235B"/>
    <w:rsid w:val="00CB41F0"/>
    <w:rsid w:val="00CB6CB9"/>
    <w:rsid w:val="00CB6EE8"/>
    <w:rsid w:val="00CB71B1"/>
    <w:rsid w:val="00CC08A6"/>
    <w:rsid w:val="00CC096A"/>
    <w:rsid w:val="00CC0FA6"/>
    <w:rsid w:val="00CC352E"/>
    <w:rsid w:val="00CC3A03"/>
    <w:rsid w:val="00CC49FB"/>
    <w:rsid w:val="00CC6017"/>
    <w:rsid w:val="00CC7970"/>
    <w:rsid w:val="00CD1115"/>
    <w:rsid w:val="00CD12A8"/>
    <w:rsid w:val="00CD2B86"/>
    <w:rsid w:val="00CD37EB"/>
    <w:rsid w:val="00CD63E7"/>
    <w:rsid w:val="00CD7F9F"/>
    <w:rsid w:val="00CE04E5"/>
    <w:rsid w:val="00CE2675"/>
    <w:rsid w:val="00CE2CF0"/>
    <w:rsid w:val="00CE4600"/>
    <w:rsid w:val="00CE7FF1"/>
    <w:rsid w:val="00CF16C9"/>
    <w:rsid w:val="00CF1845"/>
    <w:rsid w:val="00CF18D7"/>
    <w:rsid w:val="00CF289E"/>
    <w:rsid w:val="00CF53C5"/>
    <w:rsid w:val="00D00673"/>
    <w:rsid w:val="00D0144A"/>
    <w:rsid w:val="00D02F48"/>
    <w:rsid w:val="00D03291"/>
    <w:rsid w:val="00D032B4"/>
    <w:rsid w:val="00D03B24"/>
    <w:rsid w:val="00D07028"/>
    <w:rsid w:val="00D07DA2"/>
    <w:rsid w:val="00D101D7"/>
    <w:rsid w:val="00D10944"/>
    <w:rsid w:val="00D10FAA"/>
    <w:rsid w:val="00D13A0D"/>
    <w:rsid w:val="00D14358"/>
    <w:rsid w:val="00D14892"/>
    <w:rsid w:val="00D17360"/>
    <w:rsid w:val="00D17D08"/>
    <w:rsid w:val="00D17E36"/>
    <w:rsid w:val="00D205AA"/>
    <w:rsid w:val="00D215F5"/>
    <w:rsid w:val="00D22B65"/>
    <w:rsid w:val="00D236C3"/>
    <w:rsid w:val="00D240DA"/>
    <w:rsid w:val="00D2541A"/>
    <w:rsid w:val="00D304E8"/>
    <w:rsid w:val="00D311B5"/>
    <w:rsid w:val="00D31557"/>
    <w:rsid w:val="00D34240"/>
    <w:rsid w:val="00D356EF"/>
    <w:rsid w:val="00D35D14"/>
    <w:rsid w:val="00D35FA6"/>
    <w:rsid w:val="00D41B45"/>
    <w:rsid w:val="00D4380A"/>
    <w:rsid w:val="00D447AE"/>
    <w:rsid w:val="00D455FB"/>
    <w:rsid w:val="00D456E9"/>
    <w:rsid w:val="00D45810"/>
    <w:rsid w:val="00D4778E"/>
    <w:rsid w:val="00D5253E"/>
    <w:rsid w:val="00D52AAB"/>
    <w:rsid w:val="00D53868"/>
    <w:rsid w:val="00D56529"/>
    <w:rsid w:val="00D575E0"/>
    <w:rsid w:val="00D60A50"/>
    <w:rsid w:val="00D63050"/>
    <w:rsid w:val="00D640FA"/>
    <w:rsid w:val="00D64B7C"/>
    <w:rsid w:val="00D667C5"/>
    <w:rsid w:val="00D71E33"/>
    <w:rsid w:val="00D73441"/>
    <w:rsid w:val="00D73AB5"/>
    <w:rsid w:val="00D7482B"/>
    <w:rsid w:val="00D74AFC"/>
    <w:rsid w:val="00D76A2E"/>
    <w:rsid w:val="00D80B98"/>
    <w:rsid w:val="00D81415"/>
    <w:rsid w:val="00D83ECE"/>
    <w:rsid w:val="00D84BC4"/>
    <w:rsid w:val="00D84D5D"/>
    <w:rsid w:val="00D859C2"/>
    <w:rsid w:val="00D8667B"/>
    <w:rsid w:val="00D87413"/>
    <w:rsid w:val="00D87523"/>
    <w:rsid w:val="00D8757B"/>
    <w:rsid w:val="00D903C4"/>
    <w:rsid w:val="00D9074F"/>
    <w:rsid w:val="00D93C20"/>
    <w:rsid w:val="00D944DC"/>
    <w:rsid w:val="00D979C8"/>
    <w:rsid w:val="00DA02CB"/>
    <w:rsid w:val="00DA1D58"/>
    <w:rsid w:val="00DA2129"/>
    <w:rsid w:val="00DA3D20"/>
    <w:rsid w:val="00DA49D1"/>
    <w:rsid w:val="00DA71FC"/>
    <w:rsid w:val="00DA737B"/>
    <w:rsid w:val="00DB02E4"/>
    <w:rsid w:val="00DB24C6"/>
    <w:rsid w:val="00DB35F7"/>
    <w:rsid w:val="00DB4356"/>
    <w:rsid w:val="00DB7021"/>
    <w:rsid w:val="00DB7062"/>
    <w:rsid w:val="00DB70E5"/>
    <w:rsid w:val="00DC01FB"/>
    <w:rsid w:val="00DC38E8"/>
    <w:rsid w:val="00DC58A6"/>
    <w:rsid w:val="00DC62EF"/>
    <w:rsid w:val="00DC7FF8"/>
    <w:rsid w:val="00DD0970"/>
    <w:rsid w:val="00DD3C55"/>
    <w:rsid w:val="00DD43FB"/>
    <w:rsid w:val="00DD4500"/>
    <w:rsid w:val="00DD60F9"/>
    <w:rsid w:val="00DD7C6F"/>
    <w:rsid w:val="00DE10C6"/>
    <w:rsid w:val="00DE11EB"/>
    <w:rsid w:val="00DE38AE"/>
    <w:rsid w:val="00DE5342"/>
    <w:rsid w:val="00DE53D6"/>
    <w:rsid w:val="00DF080B"/>
    <w:rsid w:val="00DF187A"/>
    <w:rsid w:val="00DF20F4"/>
    <w:rsid w:val="00DF28E4"/>
    <w:rsid w:val="00DF66A6"/>
    <w:rsid w:val="00DF78C6"/>
    <w:rsid w:val="00E00518"/>
    <w:rsid w:val="00E00F29"/>
    <w:rsid w:val="00E01BDF"/>
    <w:rsid w:val="00E031BF"/>
    <w:rsid w:val="00E03FBA"/>
    <w:rsid w:val="00E063DB"/>
    <w:rsid w:val="00E12051"/>
    <w:rsid w:val="00E12D42"/>
    <w:rsid w:val="00E13704"/>
    <w:rsid w:val="00E146E4"/>
    <w:rsid w:val="00E20CC0"/>
    <w:rsid w:val="00E22299"/>
    <w:rsid w:val="00E238D0"/>
    <w:rsid w:val="00E23DCA"/>
    <w:rsid w:val="00E23F3F"/>
    <w:rsid w:val="00E2600D"/>
    <w:rsid w:val="00E266E7"/>
    <w:rsid w:val="00E27798"/>
    <w:rsid w:val="00E3016E"/>
    <w:rsid w:val="00E3127D"/>
    <w:rsid w:val="00E31C22"/>
    <w:rsid w:val="00E31DC8"/>
    <w:rsid w:val="00E32723"/>
    <w:rsid w:val="00E35716"/>
    <w:rsid w:val="00E36B9D"/>
    <w:rsid w:val="00E36D3A"/>
    <w:rsid w:val="00E37B5B"/>
    <w:rsid w:val="00E43393"/>
    <w:rsid w:val="00E45601"/>
    <w:rsid w:val="00E45D06"/>
    <w:rsid w:val="00E45E80"/>
    <w:rsid w:val="00E45FC3"/>
    <w:rsid w:val="00E46668"/>
    <w:rsid w:val="00E46C62"/>
    <w:rsid w:val="00E47D5D"/>
    <w:rsid w:val="00E47F4D"/>
    <w:rsid w:val="00E50D46"/>
    <w:rsid w:val="00E51547"/>
    <w:rsid w:val="00E51BFC"/>
    <w:rsid w:val="00E540FB"/>
    <w:rsid w:val="00E56055"/>
    <w:rsid w:val="00E609D1"/>
    <w:rsid w:val="00E60FFA"/>
    <w:rsid w:val="00E61FDF"/>
    <w:rsid w:val="00E622F5"/>
    <w:rsid w:val="00E65660"/>
    <w:rsid w:val="00E676EA"/>
    <w:rsid w:val="00E67DA1"/>
    <w:rsid w:val="00E75010"/>
    <w:rsid w:val="00E77375"/>
    <w:rsid w:val="00E7775C"/>
    <w:rsid w:val="00E803E3"/>
    <w:rsid w:val="00E80D73"/>
    <w:rsid w:val="00E81CCD"/>
    <w:rsid w:val="00E85769"/>
    <w:rsid w:val="00E85C18"/>
    <w:rsid w:val="00E90025"/>
    <w:rsid w:val="00E90360"/>
    <w:rsid w:val="00E9090E"/>
    <w:rsid w:val="00E91804"/>
    <w:rsid w:val="00E9194A"/>
    <w:rsid w:val="00E9321D"/>
    <w:rsid w:val="00E932A4"/>
    <w:rsid w:val="00EA23A5"/>
    <w:rsid w:val="00EA2A95"/>
    <w:rsid w:val="00EA4B92"/>
    <w:rsid w:val="00EB0209"/>
    <w:rsid w:val="00EB1140"/>
    <w:rsid w:val="00EB1763"/>
    <w:rsid w:val="00EB180D"/>
    <w:rsid w:val="00EB44D8"/>
    <w:rsid w:val="00EB6D76"/>
    <w:rsid w:val="00EC1518"/>
    <w:rsid w:val="00EC1978"/>
    <w:rsid w:val="00EC27BB"/>
    <w:rsid w:val="00EC2DB8"/>
    <w:rsid w:val="00EC4628"/>
    <w:rsid w:val="00EC4DA6"/>
    <w:rsid w:val="00EC5AA7"/>
    <w:rsid w:val="00EC6036"/>
    <w:rsid w:val="00ED1175"/>
    <w:rsid w:val="00ED1B71"/>
    <w:rsid w:val="00ED384C"/>
    <w:rsid w:val="00ED7547"/>
    <w:rsid w:val="00ED7D99"/>
    <w:rsid w:val="00EE289C"/>
    <w:rsid w:val="00EE43B3"/>
    <w:rsid w:val="00EE4D22"/>
    <w:rsid w:val="00EE61B5"/>
    <w:rsid w:val="00EE66E4"/>
    <w:rsid w:val="00EF1515"/>
    <w:rsid w:val="00EF2AFA"/>
    <w:rsid w:val="00EF49B2"/>
    <w:rsid w:val="00EF4A61"/>
    <w:rsid w:val="00EF4E77"/>
    <w:rsid w:val="00EF5F19"/>
    <w:rsid w:val="00F0422B"/>
    <w:rsid w:val="00F127C8"/>
    <w:rsid w:val="00F13B03"/>
    <w:rsid w:val="00F15FDA"/>
    <w:rsid w:val="00F164A7"/>
    <w:rsid w:val="00F179C5"/>
    <w:rsid w:val="00F179E9"/>
    <w:rsid w:val="00F20223"/>
    <w:rsid w:val="00F20533"/>
    <w:rsid w:val="00F20C4B"/>
    <w:rsid w:val="00F224EA"/>
    <w:rsid w:val="00F240D1"/>
    <w:rsid w:val="00F24461"/>
    <w:rsid w:val="00F24BEF"/>
    <w:rsid w:val="00F259F7"/>
    <w:rsid w:val="00F26C30"/>
    <w:rsid w:val="00F26F5F"/>
    <w:rsid w:val="00F27145"/>
    <w:rsid w:val="00F27878"/>
    <w:rsid w:val="00F304D5"/>
    <w:rsid w:val="00F30A97"/>
    <w:rsid w:val="00F334C9"/>
    <w:rsid w:val="00F34D81"/>
    <w:rsid w:val="00F40EC6"/>
    <w:rsid w:val="00F4292A"/>
    <w:rsid w:val="00F4389B"/>
    <w:rsid w:val="00F44A37"/>
    <w:rsid w:val="00F45C0A"/>
    <w:rsid w:val="00F47DA0"/>
    <w:rsid w:val="00F47F9F"/>
    <w:rsid w:val="00F50A89"/>
    <w:rsid w:val="00F50EE8"/>
    <w:rsid w:val="00F51079"/>
    <w:rsid w:val="00F51D5C"/>
    <w:rsid w:val="00F51DE0"/>
    <w:rsid w:val="00F526D0"/>
    <w:rsid w:val="00F52D8D"/>
    <w:rsid w:val="00F53561"/>
    <w:rsid w:val="00F53707"/>
    <w:rsid w:val="00F565BF"/>
    <w:rsid w:val="00F56CAF"/>
    <w:rsid w:val="00F5727E"/>
    <w:rsid w:val="00F573A8"/>
    <w:rsid w:val="00F640B3"/>
    <w:rsid w:val="00F65624"/>
    <w:rsid w:val="00F65C0A"/>
    <w:rsid w:val="00F663A8"/>
    <w:rsid w:val="00F66DED"/>
    <w:rsid w:val="00F670E4"/>
    <w:rsid w:val="00F67330"/>
    <w:rsid w:val="00F73ECD"/>
    <w:rsid w:val="00F74188"/>
    <w:rsid w:val="00F74336"/>
    <w:rsid w:val="00F7458C"/>
    <w:rsid w:val="00F75705"/>
    <w:rsid w:val="00F76255"/>
    <w:rsid w:val="00F77F8B"/>
    <w:rsid w:val="00F77FDA"/>
    <w:rsid w:val="00F80E28"/>
    <w:rsid w:val="00F814CC"/>
    <w:rsid w:val="00F84290"/>
    <w:rsid w:val="00F8532D"/>
    <w:rsid w:val="00F8533D"/>
    <w:rsid w:val="00F85636"/>
    <w:rsid w:val="00F85CE3"/>
    <w:rsid w:val="00F91270"/>
    <w:rsid w:val="00F91373"/>
    <w:rsid w:val="00F944CD"/>
    <w:rsid w:val="00F96985"/>
    <w:rsid w:val="00F97F8C"/>
    <w:rsid w:val="00FA0A52"/>
    <w:rsid w:val="00FA2A7B"/>
    <w:rsid w:val="00FA3285"/>
    <w:rsid w:val="00FA4637"/>
    <w:rsid w:val="00FA555B"/>
    <w:rsid w:val="00FB1569"/>
    <w:rsid w:val="00FB25BA"/>
    <w:rsid w:val="00FB2616"/>
    <w:rsid w:val="00FB2784"/>
    <w:rsid w:val="00FB4308"/>
    <w:rsid w:val="00FB50EE"/>
    <w:rsid w:val="00FB7254"/>
    <w:rsid w:val="00FB7A11"/>
    <w:rsid w:val="00FC013B"/>
    <w:rsid w:val="00FC038E"/>
    <w:rsid w:val="00FC214F"/>
    <w:rsid w:val="00FC3677"/>
    <w:rsid w:val="00FC3C99"/>
    <w:rsid w:val="00FC40E8"/>
    <w:rsid w:val="00FC7098"/>
    <w:rsid w:val="00FD1AD4"/>
    <w:rsid w:val="00FD639D"/>
    <w:rsid w:val="00FD7D67"/>
    <w:rsid w:val="00FE1A90"/>
    <w:rsid w:val="00FE1BF7"/>
    <w:rsid w:val="00FE2ECD"/>
    <w:rsid w:val="00FE3C96"/>
    <w:rsid w:val="00FE3EF5"/>
    <w:rsid w:val="00FE65F0"/>
    <w:rsid w:val="00FE7826"/>
    <w:rsid w:val="00FF0328"/>
    <w:rsid w:val="00FF1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6594A3F"/>
  <w15:chartTrackingRefBased/>
  <w15:docId w15:val="{3C01C48D-652F-42C8-9745-1277628E9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97334"/>
    <w:pPr>
      <w:jc w:val="both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3B306D"/>
    <w:pPr>
      <w:keepNext/>
      <w:keepLines/>
      <w:numPr>
        <w:numId w:val="1"/>
      </w:numPr>
      <w:spacing w:before="480" w:after="240"/>
      <w:jc w:val="center"/>
      <w:outlineLvl w:val="0"/>
    </w:pPr>
    <w:rPr>
      <w:rFonts w:eastAsiaTheme="majorEastAsia" w:cstheme="minorHAnsi"/>
      <w:b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B306D"/>
    <w:pPr>
      <w:keepNext/>
      <w:keepLines/>
      <w:numPr>
        <w:ilvl w:val="1"/>
        <w:numId w:val="1"/>
      </w:numPr>
      <w:spacing w:before="40" w:after="120" w:line="240" w:lineRule="auto"/>
      <w:outlineLvl w:val="1"/>
    </w:pPr>
    <w:rPr>
      <w:rFonts w:eastAsiaTheme="majorEastAsia" w:cstheme="minorHAnsi"/>
      <w:b/>
    </w:rPr>
  </w:style>
  <w:style w:type="paragraph" w:styleId="Nadpis3">
    <w:name w:val="heading 3"/>
    <w:basedOn w:val="Normln"/>
    <w:next w:val="KZnormln"/>
    <w:link w:val="Nadpis3Char"/>
    <w:uiPriority w:val="9"/>
    <w:unhideWhenUsed/>
    <w:qFormat/>
    <w:rsid w:val="003B306D"/>
    <w:pPr>
      <w:keepNext/>
      <w:keepLines/>
      <w:numPr>
        <w:ilvl w:val="2"/>
        <w:numId w:val="1"/>
      </w:numPr>
      <w:spacing w:before="40" w:after="40" w:line="240" w:lineRule="auto"/>
      <w:outlineLvl w:val="2"/>
    </w:pPr>
    <w:rPr>
      <w:rFonts w:eastAsiaTheme="majorEastAsia" w:cstheme="minorHAnsi"/>
      <w:b/>
      <w:i/>
    </w:rPr>
  </w:style>
  <w:style w:type="paragraph" w:styleId="Nadpis4">
    <w:name w:val="heading 4"/>
    <w:basedOn w:val="Zkladntun"/>
    <w:next w:val="KZnormln"/>
    <w:link w:val="Nadpis4Char"/>
    <w:uiPriority w:val="9"/>
    <w:unhideWhenUsed/>
    <w:qFormat/>
    <w:rsid w:val="00E12D42"/>
    <w:pPr>
      <w:keepNext/>
      <w:outlineLvl w:val="3"/>
    </w:pPr>
  </w:style>
  <w:style w:type="paragraph" w:styleId="Nadpis5">
    <w:name w:val="heading 5"/>
    <w:basedOn w:val="Normln"/>
    <w:next w:val="KZnormln"/>
    <w:link w:val="Nadpis5Char"/>
    <w:uiPriority w:val="9"/>
    <w:unhideWhenUsed/>
    <w:qFormat/>
    <w:rsid w:val="003B306D"/>
    <w:pPr>
      <w:keepNext/>
      <w:keepLines/>
      <w:numPr>
        <w:ilvl w:val="4"/>
        <w:numId w:val="1"/>
      </w:numPr>
      <w:spacing w:before="40" w:after="40" w:line="240" w:lineRule="auto"/>
      <w:outlineLvl w:val="4"/>
    </w:pPr>
    <w:rPr>
      <w:rFonts w:eastAsiaTheme="majorEastAsia" w:cstheme="minorHAnsi"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oznmkavtextuProgramu">
    <w:name w:val="Poznámka v textu Programu"/>
    <w:basedOn w:val="Normln"/>
    <w:qFormat/>
    <w:rsid w:val="00144818"/>
    <w:pPr>
      <w:tabs>
        <w:tab w:val="left" w:pos="1276"/>
      </w:tabs>
      <w:ind w:left="1276" w:hanging="1276"/>
    </w:pPr>
    <w:rPr>
      <w:rFonts w:eastAsia="Times New Roman" w:cs="Times New Roman"/>
      <w:i/>
    </w:rPr>
  </w:style>
  <w:style w:type="paragraph" w:customStyle="1" w:styleId="KP-hlavika">
    <w:name w:val="KP-hlavička"/>
    <w:basedOn w:val="Zkladntext2"/>
    <w:qFormat/>
    <w:rsid w:val="00022E9E"/>
    <w:pPr>
      <w:spacing w:after="0" w:line="240" w:lineRule="auto"/>
    </w:pPr>
    <w:rPr>
      <w:rFonts w:eastAsia="Times New Roman" w:cstheme="minorHAnsi"/>
      <w:color w:val="004595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022E9E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022E9E"/>
  </w:style>
  <w:style w:type="paragraph" w:customStyle="1" w:styleId="KP-normlnmalpsmo">
    <w:name w:val="KP-normální malé písmo"/>
    <w:basedOn w:val="Normln"/>
    <w:qFormat/>
    <w:rsid w:val="00022E9E"/>
    <w:pPr>
      <w:spacing w:after="0" w:line="240" w:lineRule="auto"/>
    </w:pPr>
    <w:rPr>
      <w:rFonts w:eastAsia="Times New Roman" w:cstheme="minorHAnsi"/>
      <w:bCs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3B306D"/>
    <w:rPr>
      <w:rFonts w:eastAsiaTheme="majorEastAsia" w:cstheme="minorHAnsi"/>
      <w:b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3B306D"/>
    <w:rPr>
      <w:rFonts w:eastAsiaTheme="majorEastAsia" w:cstheme="minorHAnsi"/>
      <w:b/>
      <w:i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E12D42"/>
    <w:rPr>
      <w:rFonts w:eastAsia="Times New Roman" w:cs="Calibri"/>
      <w:b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3B306D"/>
    <w:rPr>
      <w:rFonts w:eastAsiaTheme="majorEastAsia" w:cstheme="minorHAnsi"/>
      <w:i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3B306D"/>
    <w:rPr>
      <w:rFonts w:eastAsiaTheme="majorEastAsia" w:cstheme="minorHAnsi"/>
      <w:b/>
      <w:sz w:val="28"/>
      <w:szCs w:val="28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9E0500"/>
    <w:pPr>
      <w:spacing w:after="120" w:line="240" w:lineRule="auto"/>
      <w:ind w:left="283"/>
      <w:jc w:val="left"/>
    </w:pPr>
    <w:rPr>
      <w:rFonts w:ascii="Times New Roman" w:eastAsia="Times New Roman" w:hAnsi="Times New Roman" w:cs="Times New Roman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9E050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Zkladn">
    <w:name w:val="Základní"/>
    <w:basedOn w:val="Normln"/>
    <w:rsid w:val="00D84D5D"/>
    <w:pPr>
      <w:spacing w:after="0" w:line="240" w:lineRule="auto"/>
    </w:pPr>
    <w:rPr>
      <w:rFonts w:eastAsia="Times New Roman" w:cs="Calibri"/>
    </w:rPr>
  </w:style>
  <w:style w:type="paragraph" w:styleId="Textpoznpodarou">
    <w:name w:val="footnote text"/>
    <w:aliases w:val="Text poznámky pod čiarou 007,pozn. pod čarou,Schriftart: 9 pt,Schriftart: 10 pt,Schriftart: 8 pt,Podrozdział,Podrozdzia3,Char1,Fußnotentextf,Geneva 9,Font: Geneva 9,Boston 10,f,Text pozn. pod čarou1,Char Char Char1,o"/>
    <w:basedOn w:val="Normln"/>
    <w:link w:val="TextpoznpodarouChar"/>
    <w:uiPriority w:val="99"/>
    <w:unhideWhenUsed/>
    <w:qFormat/>
    <w:rsid w:val="009E0500"/>
    <w:pPr>
      <w:spacing w:after="0" w:line="240" w:lineRule="auto"/>
      <w:jc w:val="left"/>
    </w:pPr>
    <w:rPr>
      <w:rFonts w:eastAsia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Text poznámky pod čiarou 007 Char,pozn. pod čarou Char,Schriftart: 9 pt Char,Schriftart: 10 pt Char,Schriftart: 8 pt Char,Podrozdział Char,Podrozdzia3 Char,Char1 Char,Fußnotentextf Char,Geneva 9 Char,Font: Geneva 9 Char,f Char"/>
    <w:basedOn w:val="Standardnpsmoodstavce"/>
    <w:link w:val="Textpoznpodarou"/>
    <w:uiPriority w:val="99"/>
    <w:rsid w:val="009E0500"/>
    <w:rPr>
      <w:rFonts w:eastAsia="Times New Roman" w:cs="Times New Roman"/>
      <w:sz w:val="20"/>
      <w:szCs w:val="20"/>
      <w:lang w:eastAsia="cs-CZ"/>
    </w:rPr>
  </w:style>
  <w:style w:type="character" w:styleId="Znakapoznpodarou">
    <w:name w:val="footnote reference"/>
    <w:aliases w:val="Footnote,Footnote call,PGI Fußnote Ziffer + Times New Roman,12 b.,Zúžené o ...,PGI Fußnote Ziffer,BVI fnr,Footnote symbol,Footnote Reference Superscript,Appel note de bas de p,Appel note de bas de page,Légende,Char Car Car Car Car"/>
    <w:basedOn w:val="Standardnpsmoodstavce"/>
    <w:uiPriority w:val="99"/>
    <w:unhideWhenUsed/>
    <w:rsid w:val="009E0500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9E0500"/>
    <w:pPr>
      <w:tabs>
        <w:tab w:val="center" w:pos="4536"/>
        <w:tab w:val="right" w:pos="9072"/>
      </w:tabs>
      <w:spacing w:after="0" w:line="240" w:lineRule="auto"/>
      <w:jc w:val="left"/>
    </w:pPr>
    <w:rPr>
      <w:rFonts w:ascii="Times New Roman" w:eastAsia="Times New Roman" w:hAnsi="Times New Roman" w:cs="Times New Roman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9E050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9E0500"/>
    <w:pPr>
      <w:tabs>
        <w:tab w:val="center" w:pos="4536"/>
        <w:tab w:val="right" w:pos="9072"/>
      </w:tabs>
      <w:spacing w:after="0" w:line="240" w:lineRule="auto"/>
      <w:jc w:val="left"/>
    </w:pPr>
    <w:rPr>
      <w:rFonts w:ascii="Times New Roman" w:eastAsia="Times New Roman" w:hAnsi="Times New Roman" w:cs="Times New Roman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9E050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aliases w:val="odrážky"/>
    <w:basedOn w:val="Normln"/>
    <w:link w:val="OdstavecseseznamemChar"/>
    <w:uiPriority w:val="34"/>
    <w:qFormat/>
    <w:rsid w:val="00366187"/>
    <w:pPr>
      <w:numPr>
        <w:numId w:val="22"/>
      </w:numPr>
      <w:spacing w:after="0" w:line="240" w:lineRule="auto"/>
      <w:jc w:val="left"/>
    </w:pPr>
    <w:rPr>
      <w:rFonts w:eastAsia="Times New Roman" w:cstheme="minorHAnsi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0500"/>
    <w:pPr>
      <w:spacing w:after="0" w:line="240" w:lineRule="auto"/>
      <w:jc w:val="left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0500"/>
    <w:rPr>
      <w:rFonts w:ascii="Tahoma" w:eastAsia="Times New Roman" w:hAnsi="Tahoma" w:cs="Tahoma"/>
      <w:sz w:val="16"/>
      <w:szCs w:val="1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E050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cs-CZ"/>
    </w:rPr>
  </w:style>
  <w:style w:type="paragraph" w:customStyle="1" w:styleId="KP-normlntext">
    <w:name w:val="KP-normální text"/>
    <w:basedOn w:val="Normln"/>
    <w:link w:val="KP-normlntextChar"/>
    <w:qFormat/>
    <w:rsid w:val="009E0500"/>
    <w:pPr>
      <w:spacing w:after="120" w:line="240" w:lineRule="auto"/>
    </w:pPr>
    <w:rPr>
      <w:rFonts w:ascii="Calibri" w:eastAsia="Times New Roman" w:hAnsi="Calibri" w:cs="Arial"/>
      <w:color w:val="000000"/>
    </w:rPr>
  </w:style>
  <w:style w:type="character" w:customStyle="1" w:styleId="KP-normlntextChar">
    <w:name w:val="KP-normální text Char"/>
    <w:link w:val="KP-normlntext"/>
    <w:rsid w:val="009E0500"/>
    <w:rPr>
      <w:rFonts w:ascii="Calibri" w:eastAsia="Times New Roman" w:hAnsi="Calibri" w:cs="Arial"/>
      <w:color w:val="000000"/>
      <w:sz w:val="24"/>
      <w:szCs w:val="24"/>
    </w:rPr>
  </w:style>
  <w:style w:type="character" w:customStyle="1" w:styleId="OdstavecseseznamemChar">
    <w:name w:val="Odstavec se seznamem Char"/>
    <w:aliases w:val="odrážky Char"/>
    <w:basedOn w:val="Standardnpsmoodstavce"/>
    <w:link w:val="Odstavecseseznamem"/>
    <w:uiPriority w:val="34"/>
    <w:locked/>
    <w:rsid w:val="00366187"/>
    <w:rPr>
      <w:rFonts w:eastAsia="Times New Roman" w:cstheme="minorHAnsi"/>
      <w:sz w:val="24"/>
      <w:szCs w:val="24"/>
      <w:lang w:eastAsia="cs-CZ"/>
    </w:rPr>
  </w:style>
  <w:style w:type="paragraph" w:customStyle="1" w:styleId="Poznmkapodarou">
    <w:name w:val="Poznámka pod čarou"/>
    <w:basedOn w:val="Textpoznpodarou"/>
    <w:autoRedefine/>
    <w:qFormat/>
    <w:rsid w:val="00377CD2"/>
    <w:pPr>
      <w:tabs>
        <w:tab w:val="left" w:pos="284"/>
      </w:tabs>
      <w:ind w:left="284" w:hanging="284"/>
    </w:pPr>
    <w:rPr>
      <w:rFonts w:cstheme="minorHAnsi"/>
      <w:lang w:eastAsia="en-US"/>
    </w:rPr>
  </w:style>
  <w:style w:type="paragraph" w:customStyle="1" w:styleId="KZnormln">
    <w:name w:val="KZ normální"/>
    <w:basedOn w:val="Normln"/>
    <w:link w:val="KZnormlnChar"/>
    <w:qFormat/>
    <w:rsid w:val="00126E04"/>
    <w:pPr>
      <w:spacing w:after="120" w:line="240" w:lineRule="auto"/>
    </w:pPr>
    <w:rPr>
      <w:rFonts w:eastAsia="Times New Roman" w:cstheme="minorHAnsi"/>
      <w:color w:val="000000"/>
      <w:szCs w:val="22"/>
    </w:rPr>
  </w:style>
  <w:style w:type="character" w:customStyle="1" w:styleId="KZnormlnChar">
    <w:name w:val="KZ normální Char"/>
    <w:basedOn w:val="Standardnpsmoodstavce"/>
    <w:link w:val="KZnormln"/>
    <w:rsid w:val="00126E04"/>
    <w:rPr>
      <w:rFonts w:eastAsia="Times New Roman" w:cstheme="minorHAnsi"/>
      <w:color w:val="000000"/>
      <w:sz w:val="24"/>
    </w:rPr>
  </w:style>
  <w:style w:type="table" w:customStyle="1" w:styleId="Mkatabulky3">
    <w:name w:val="Mřížka tabulky3"/>
    <w:basedOn w:val="Normlntabulka"/>
    <w:next w:val="Mkatabulky"/>
    <w:uiPriority w:val="39"/>
    <w:rsid w:val="009E050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katabulky">
    <w:name w:val="Table Grid"/>
    <w:basedOn w:val="Normlntabulka"/>
    <w:uiPriority w:val="39"/>
    <w:rsid w:val="009E05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tabulky">
    <w:name w:val="Nadpis tabulky"/>
    <w:basedOn w:val="KP-normlntext"/>
    <w:qFormat/>
    <w:rsid w:val="00AE5F52"/>
    <w:pPr>
      <w:keepNext/>
      <w:tabs>
        <w:tab w:val="left" w:pos="1418"/>
        <w:tab w:val="right" w:pos="9213"/>
      </w:tabs>
      <w:spacing w:after="80"/>
      <w:ind w:left="1418" w:hanging="1418"/>
    </w:pPr>
    <w:rPr>
      <w:b/>
      <w:snapToGrid w:val="0"/>
    </w:rPr>
  </w:style>
  <w:style w:type="paragraph" w:customStyle="1" w:styleId="KZnormlntun">
    <w:name w:val="KZ normální tučně"/>
    <w:basedOn w:val="KZnormln"/>
    <w:next w:val="KZnormln"/>
    <w:qFormat/>
    <w:rsid w:val="00D84D5D"/>
    <w:rPr>
      <w:b/>
    </w:rPr>
  </w:style>
  <w:style w:type="character" w:styleId="Odkaznakoment">
    <w:name w:val="annotation reference"/>
    <w:basedOn w:val="Standardnpsmoodstavce"/>
    <w:uiPriority w:val="99"/>
    <w:semiHidden/>
    <w:unhideWhenUsed/>
    <w:rsid w:val="00167A1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7A1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7A1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7A1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7A11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7403FA"/>
    <w:rPr>
      <w:color w:val="0000FF"/>
      <w:u w:val="single"/>
    </w:rPr>
  </w:style>
  <w:style w:type="paragraph" w:customStyle="1" w:styleId="KP-normlnbezodsazen">
    <w:name w:val="KP-normální bez odsazení"/>
    <w:basedOn w:val="KP-normlntext"/>
    <w:qFormat/>
    <w:rsid w:val="00FB7A11"/>
    <w:pPr>
      <w:spacing w:after="0"/>
    </w:pPr>
    <w:rPr>
      <w:rFonts w:asciiTheme="minorHAnsi" w:hAnsiTheme="minorHAnsi" w:cstheme="minorHAnsi"/>
      <w:color w:val="auto"/>
    </w:rPr>
  </w:style>
  <w:style w:type="paragraph" w:customStyle="1" w:styleId="Rmeek">
    <w:name w:val="Rámeček"/>
    <w:basedOn w:val="KZnormln"/>
    <w:qFormat/>
    <w:rsid w:val="00FD639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/>
      <w:ind w:left="284" w:right="282"/>
    </w:pPr>
  </w:style>
  <w:style w:type="paragraph" w:customStyle="1" w:styleId="Pklady-modrrmeek">
    <w:name w:val="Příklady - modrý rámeček"/>
    <w:basedOn w:val="Zkladn"/>
    <w:qFormat/>
    <w:rsid w:val="00141BDB"/>
    <w:pPr>
      <w:shd w:val="clear" w:color="auto" w:fill="E5F1FF"/>
      <w:ind w:left="284" w:right="282"/>
    </w:pPr>
    <w:rPr>
      <w:i/>
    </w:rPr>
  </w:style>
  <w:style w:type="paragraph" w:customStyle="1" w:styleId="Mluvctitulek">
    <w:name w:val="Mluvící titulek"/>
    <w:basedOn w:val="KZnormlntun"/>
    <w:next w:val="KZnormln"/>
    <w:rsid w:val="00FB7254"/>
    <w:pPr>
      <w:keepNext/>
      <w:numPr>
        <w:ilvl w:val="3"/>
        <w:numId w:val="1"/>
      </w:numPr>
      <w:spacing w:after="0"/>
    </w:pPr>
  </w:style>
  <w:style w:type="paragraph" w:customStyle="1" w:styleId="Zkladntun">
    <w:name w:val="Základní tučně"/>
    <w:basedOn w:val="Zkladn"/>
    <w:next w:val="KZnormln"/>
    <w:qFormat/>
    <w:rsid w:val="004D3F4D"/>
    <w:pPr>
      <w:spacing w:after="40"/>
    </w:pPr>
    <w:rPr>
      <w:b/>
    </w:rPr>
  </w:style>
  <w:style w:type="character" w:styleId="Sledovanodkaz">
    <w:name w:val="FollowedHyperlink"/>
    <w:basedOn w:val="Standardnpsmoodstavce"/>
    <w:uiPriority w:val="99"/>
    <w:semiHidden/>
    <w:unhideWhenUsed/>
    <w:rsid w:val="00DE5342"/>
    <w:rPr>
      <w:color w:val="954F72" w:themeColor="followedHyperlink"/>
      <w:u w:val="single"/>
    </w:rPr>
  </w:style>
  <w:style w:type="paragraph" w:styleId="Revize">
    <w:name w:val="Revision"/>
    <w:hidden/>
    <w:uiPriority w:val="99"/>
    <w:semiHidden/>
    <w:rsid w:val="000203F4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20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13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ku.cz/scripts/detail.php?id=10692" TargetMode="External"/><Relationship Id="rId18" Type="http://schemas.openxmlformats.org/officeDocument/2006/relationships/hyperlink" Target="https://ec.europa.eu/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4.png"/><Relationship Id="rId21" Type="http://schemas.openxmlformats.org/officeDocument/2006/relationships/image" Target="media/image5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2.xml"/><Relationship Id="rId20" Type="http://schemas.openxmlformats.org/officeDocument/2006/relationships/hyperlink" Target="https://ec.europa.eu/" TargetMode="Externa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hyperlink" Target="https://seznam-autobusu.cz/vyhledavani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chart" Target="charts/chart3.xml"/><Relationship Id="rId35" Type="http://schemas.openxmlformats.org/officeDocument/2006/relationships/footer" Target="foot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ec.europa.eu/commfrontoffice/publicopinion/archives/ebs/ebs_422a_en.pdf" TargetMode="External"/><Relationship Id="rId25" Type="http://schemas.openxmlformats.org/officeDocument/2006/relationships/image" Target="media/image9.png"/><Relationship Id="rId33" Type="http://schemas.openxmlformats.org/officeDocument/2006/relationships/header" Target="header2.xml"/><Relationship Id="rId38" Type="http://schemas.openxmlformats.org/officeDocument/2006/relationships/hyperlink" Target="https://www.nku.cz/scripts/detail.php?id=10692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mmr.cz/cs/Microsites/Uzemni-dimenze/UD-typy" TargetMode="External"/><Relationship Id="rId2" Type="http://schemas.openxmlformats.org/officeDocument/2006/relationships/hyperlink" Target="https://data.nku.cz/download/vystupy-z-kontrol/ka-18-24/Prehled-cen-dopravnich-prostredku-RS-a-ISVZ.xlsx" TargetMode="External"/><Relationship Id="rId1" Type="http://schemas.openxmlformats.org/officeDocument/2006/relationships/hyperlink" Target="https://data.nku.cz/download/vystupy-z-kontrol/ka-18-24/Ceny-dopravnich-prostredku-porizovane-v-kontrolovanych-projektech.xls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ZUZANKOVA\AppData\Local\Microsoft\Windows\INetCache\Content.Outlook\L1H3ZINX\Grafika%20pro%20KZ_graf%20(19.9.2019)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F1\KOKRDA\Grafika%20pro%20KZ%20(21.10.2019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F1\ZUZANKOVA\KOREKTURY\Grafika%20pro%20KZ%2018_2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010075544390093E-2"/>
          <c:y val="4.3988555985586549E-2"/>
          <c:w val="0.8333751742137081"/>
          <c:h val="0.79001762756350369"/>
        </c:manualLayout>
      </c:layout>
      <c:ofPieChart>
        <c:ofPieType val="bar"/>
        <c:varyColors val="1"/>
        <c:ser>
          <c:idx val="0"/>
          <c:order val="0"/>
          <c:spPr>
            <a:solidFill>
              <a:srgbClr val="0070C0"/>
            </a:solidFill>
          </c:spPr>
          <c:dPt>
            <c:idx val="0"/>
            <c:bubble3D val="0"/>
            <c:spPr>
              <a:solidFill>
                <a:srgbClr val="00459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1E2-4C8D-B942-7EA21C11BDC7}"/>
              </c:ext>
            </c:extLst>
          </c:dPt>
          <c:dPt>
            <c:idx val="1"/>
            <c:bubble3D val="0"/>
            <c:spPr>
              <a:solidFill>
                <a:srgbClr val="BD2A3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1E2-4C8D-B942-7EA21C11BDC7}"/>
              </c:ext>
            </c:extLst>
          </c:dPt>
          <c:dPt>
            <c:idx val="2"/>
            <c:bubble3D val="0"/>
            <c:spPr>
              <a:solidFill>
                <a:srgbClr val="BD2A33">
                  <a:alpha val="69804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1E2-4C8D-B942-7EA21C11BDC7}"/>
              </c:ext>
            </c:extLst>
          </c:dPt>
          <c:dPt>
            <c:idx val="3"/>
            <c:bubble3D val="0"/>
            <c:spPr>
              <a:solidFill>
                <a:srgbClr val="BD2A33">
                  <a:alpha val="30196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1E2-4C8D-B942-7EA21C11BDC7}"/>
              </c:ext>
            </c:extLst>
          </c:dPt>
          <c:dPt>
            <c:idx val="4"/>
            <c:bubble3D val="0"/>
            <c:spPr>
              <a:solidFill>
                <a:srgbClr val="004595">
                  <a:alpha val="48000"/>
                </a:srgb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B1E2-4C8D-B942-7EA21C11BDC7}"/>
              </c:ext>
            </c:extLst>
          </c:dPt>
          <c:dLbls>
            <c:dLbl>
              <c:idx val="0"/>
              <c:layout>
                <c:manualLayout>
                  <c:x val="0.10480383536006847"/>
                  <c:y val="-3.1213865920519035E-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8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CC3787B-01C2-432B-85C1-0B8DE575976B}" type="PERCENTAGE">
                      <a:rPr lang="en-US" sz="1600"/>
                      <a:pPr>
                        <a:defRPr sz="1800" b="1">
                          <a:solidFill>
                            <a:schemeClr val="bg1"/>
                          </a:solidFill>
                        </a:defRPr>
                      </a:pPr>
                      <a:t>[PROCENTO]</a:t>
                    </a:fld>
                    <a:endParaRPr lang="cs-CZ"/>
                  </a:p>
                </c:rich>
              </c:tx>
              <c:numFmt formatCode="0.0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8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2914201786952798"/>
                      <c:h val="6.919741316993416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1E2-4C8D-B942-7EA21C11BDC7}"/>
                </c:ext>
              </c:extLst>
            </c:dLbl>
            <c:dLbl>
              <c:idx val="1"/>
              <c:layout>
                <c:manualLayout>
                  <c:x val="-8.7193331348409078E-2"/>
                  <c:y val="-3.03670174315087E-2"/>
                </c:manualLayout>
              </c:layout>
              <c:numFmt formatCode="0.00\ %" sourceLinked="0"/>
              <c:spPr>
                <a:xfrm>
                  <a:off x="6076948" y="1318753"/>
                  <a:ext cx="460847" cy="369844"/>
                </a:xfrm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708"/>
                        <a:gd name="adj2" fmla="val 66947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0001241301126633"/>
                      <c:h val="5.493608123383837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1E2-4C8D-B942-7EA21C11BDC7}"/>
                </c:ext>
              </c:extLst>
            </c:dLbl>
            <c:dLbl>
              <c:idx val="2"/>
              <c:layout>
                <c:manualLayout>
                  <c:x val="-8.3228459302249883E-2"/>
                  <c:y val="-2.4577796536986007E-3"/>
                </c:manualLayout>
              </c:layout>
              <c:numFmt formatCode="0.0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023525004243452"/>
                      <c:h val="4.191623922551282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1E2-4C8D-B942-7EA21C11BDC7}"/>
                </c:ext>
              </c:extLst>
            </c:dLbl>
            <c:dLbl>
              <c:idx val="3"/>
              <c:layout>
                <c:manualLayout>
                  <c:x val="-8.2053216228579959E-2"/>
                  <c:y val="-2.9055651777354079E-2"/>
                </c:manualLayout>
              </c:layout>
              <c:numFmt formatCode="0.00\ %" sourceLinked="0"/>
              <c:spPr>
                <a:xfrm>
                  <a:off x="4946296" y="2315857"/>
                  <a:ext cx="604948" cy="356058"/>
                </a:xfrm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>
                        <a:gd name="adj1" fmla="val 73822"/>
                        <a:gd name="adj2" fmla="val 743"/>
                      </a:avLst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0232833481438133"/>
                      <c:h val="6.20353521631223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1E2-4C8D-B942-7EA21C11BDC7}"/>
                </c:ext>
              </c:extLst>
            </c:dLbl>
            <c:dLbl>
              <c:idx val="4"/>
              <c:layout>
                <c:manualLayout>
                  <c:x val="-0.17025939720259903"/>
                  <c:y val="1.1898722858375251E-3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6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81F8FBA-9D5A-4762-9334-5DA52B1288EC}" type="PERCENTAGE">
                      <a:rPr lang="en-US" sz="1600">
                        <a:solidFill>
                          <a:schemeClr val="bg1"/>
                        </a:solidFill>
                      </a:rPr>
                      <a:pPr>
                        <a:defRPr sz="1600" b="1">
                          <a:solidFill>
                            <a:schemeClr val="bg1"/>
                          </a:solidFill>
                        </a:defRPr>
                      </a:pPr>
                      <a:t>[PROCENTO]</a:t>
                    </a:fld>
                    <a:endParaRPr lang="cs-CZ"/>
                  </a:p>
                </c:rich>
              </c:tx>
              <c:numFmt formatCode="0.0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6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15627358852041304"/>
                      <c:h val="6.454227177460202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B1E2-4C8D-B942-7EA21C11BDC7}"/>
                </c:ext>
              </c:extLst>
            </c:dLbl>
            <c:numFmt formatCode="0.00\ 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'Graf č. 1'!$B$1:$E$1</c:f>
              <c:strCache>
                <c:ptCount val="4"/>
                <c:pt idx="0">
                  <c:v>OSTATNÍ AKTIVITY</c:v>
                </c:pt>
                <c:pt idx="1">
                  <c:v>TELEMATIKA PRO VEŘEJNOU DOPRAVU</c:v>
                </c:pt>
                <c:pt idx="2">
                  <c:v>VÝSTAVBA A MODERNIZACE PŘESTUPNÍCH TERMINÁLŮ</c:v>
                </c:pt>
                <c:pt idx="3">
                  <c:v>NÍZKOEMISNÍ A BEZEMISNÍ VOZIDLA</c:v>
                </c:pt>
              </c:strCache>
            </c:strRef>
          </c:cat>
          <c:val>
            <c:numRef>
              <c:f>'Graf č. 1'!$B$2:$E$2</c:f>
              <c:numCache>
                <c:formatCode>#,##0.00</c:formatCode>
                <c:ptCount val="4"/>
                <c:pt idx="0">
                  <c:v>1112618734.04</c:v>
                </c:pt>
                <c:pt idx="1">
                  <c:v>92584952.810000002</c:v>
                </c:pt>
                <c:pt idx="2">
                  <c:v>775905353.05999994</c:v>
                </c:pt>
                <c:pt idx="3">
                  <c:v>3983480403.1199999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1E2-4C8D-B942-7EA21C11BD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gapWidth val="319"/>
        <c:splitType val="cust"/>
        <c:custSplit>
          <c:secondPiePt val="1"/>
          <c:secondPiePt val="2"/>
          <c:secondPiePt val="3"/>
        </c:custSplit>
        <c:secondPieSize val="84"/>
        <c:serLines>
          <c:spPr>
            <a:ln w="9525" cap="flat" cmpd="sng" algn="ctr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</c:of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014443093147744"/>
          <c:y val="0.76578195204413013"/>
          <c:w val="0.66177098775843546"/>
          <c:h val="0.211770708216557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0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'Graf č. 3 - přínosy projektů'!$B$1</c:f>
              <c:strCache>
                <c:ptCount val="1"/>
                <c:pt idx="0">
                  <c:v>Průměr EU</c:v>
                </c:pt>
              </c:strCache>
            </c:strRef>
          </c:tx>
          <c:spPr>
            <a:solidFill>
              <a:srgbClr val="004595"/>
            </a:solidFill>
            <a:ln>
              <a:noFill/>
            </a:ln>
            <a:effectLst/>
          </c:spPr>
          <c:invertIfNegative val="0"/>
          <c:cat>
            <c:strRef>
              <c:f>'Graf č. 3 - přínosy projektů'!$A$2:$A$17</c:f>
              <c:strCache>
                <c:ptCount val="16"/>
                <c:pt idx="0">
                  <c:v>Dostupnost plánovačů tras veřejné dopravy on-line</c:v>
                </c:pt>
                <c:pt idx="1">
                  <c:v>Nevím</c:v>
                </c:pt>
                <c:pt idx="2">
                  <c:v>Možnost zakoupit jízdenky on-line</c:v>
                </c:pt>
                <c:pt idx="3">
                  <c:v>Dostupnost mobilních aplikací s jízdním řádem a dalšími informacemi o službách</c:v>
                </c:pt>
                <c:pt idx="4">
                  <c:v>Lepší vybavení pro cestující na zastávkách a stanicích (např. přístřešky, lavičky atd.)</c:v>
                </c:pt>
                <c:pt idx="5">
                  <c:v>Lepší dostupnost</c:v>
                </c:pt>
                <c:pt idx="6">
                  <c:v>Možnost zakoupit jednu jízdenku, kterou lze použít v různých druzích dopravy</c:v>
                </c:pt>
                <c:pt idx="7">
                  <c:v>Zvýšená bezpečnost a/nebo bezpečnost na zastávkách a stanicích</c:v>
                </c:pt>
                <c:pt idx="8">
                  <c:v>Ostatní (spontánně)</c:v>
                </c:pt>
                <c:pt idx="9">
                  <c:v>Jízdní řády, které jsou dostupné a snadno pochopitelné</c:v>
                </c:pt>
                <c:pt idx="10">
                  <c:v>Lepší spojení mezi zastávkami a stanicemi</c:v>
                </c:pt>
                <c:pt idx="11">
                  <c:v>Nic (spontánně)</c:v>
                </c:pt>
                <c:pt idx="12">
                  <c:v>Spolehlivost a přesnost poskytovaných služeb</c:v>
                </c:pt>
                <c:pt idx="13">
                  <c:v>Levnější jízdenky nebo předplacené jízdné</c:v>
                </c:pt>
                <c:pt idx="14">
                  <c:v>Lepší pokrytí veřejnou dopravou</c:v>
                </c:pt>
                <c:pt idx="15">
                  <c:v>Četnost služeb veřejné dopravy</c:v>
                </c:pt>
              </c:strCache>
            </c:strRef>
          </c:cat>
          <c:val>
            <c:numRef>
              <c:f>'Graf č. 3 - přínosy projektů'!$B$2:$B$17</c:f>
              <c:numCache>
                <c:formatCode>0%</c:formatCode>
                <c:ptCount val="16"/>
                <c:pt idx="0">
                  <c:v>0.02</c:v>
                </c:pt>
                <c:pt idx="1">
                  <c:v>0.01</c:v>
                </c:pt>
                <c:pt idx="2">
                  <c:v>0.02</c:v>
                </c:pt>
                <c:pt idx="3">
                  <c:v>0.02</c:v>
                </c:pt>
                <c:pt idx="4">
                  <c:v>0.05</c:v>
                </c:pt>
                <c:pt idx="5">
                  <c:v>0.14000000000000001</c:v>
                </c:pt>
                <c:pt idx="6">
                  <c:v>0.08</c:v>
                </c:pt>
                <c:pt idx="7">
                  <c:v>0.04</c:v>
                </c:pt>
                <c:pt idx="8">
                  <c:v>0.05</c:v>
                </c:pt>
                <c:pt idx="9">
                  <c:v>0.1</c:v>
                </c:pt>
                <c:pt idx="10">
                  <c:v>0.16</c:v>
                </c:pt>
                <c:pt idx="11">
                  <c:v>0.21</c:v>
                </c:pt>
                <c:pt idx="12">
                  <c:v>0.2</c:v>
                </c:pt>
                <c:pt idx="13">
                  <c:v>0.25</c:v>
                </c:pt>
                <c:pt idx="14">
                  <c:v>0.26</c:v>
                </c:pt>
                <c:pt idx="15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B7-40DE-B1B7-ABE654040085}"/>
            </c:ext>
          </c:extLst>
        </c:ser>
        <c:ser>
          <c:idx val="1"/>
          <c:order val="1"/>
          <c:tx>
            <c:strRef>
              <c:f>'Graf č. 3 - přínosy projektů'!$C$1</c:f>
              <c:strCache>
                <c:ptCount val="1"/>
                <c:pt idx="0">
                  <c:v>Česká republika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'Graf č. 3 - přínosy projektů'!$A$2:$A$17</c:f>
              <c:strCache>
                <c:ptCount val="16"/>
                <c:pt idx="0">
                  <c:v>Dostupnost plánovačů tras veřejné dopravy on-line</c:v>
                </c:pt>
                <c:pt idx="1">
                  <c:v>Nevím</c:v>
                </c:pt>
                <c:pt idx="2">
                  <c:v>Možnost zakoupit jízdenky on-line</c:v>
                </c:pt>
                <c:pt idx="3">
                  <c:v>Dostupnost mobilních aplikací s jízdním řádem a dalšími informacemi o službách</c:v>
                </c:pt>
                <c:pt idx="4">
                  <c:v>Lepší vybavení pro cestující na zastávkách a stanicích (např. přístřešky, lavičky atd.)</c:v>
                </c:pt>
                <c:pt idx="5">
                  <c:v>Lepší dostupnost</c:v>
                </c:pt>
                <c:pt idx="6">
                  <c:v>Možnost zakoupit jednu jízdenku, kterou lze použít v různých druzích dopravy</c:v>
                </c:pt>
                <c:pt idx="7">
                  <c:v>Zvýšená bezpečnost a/nebo bezpečnost na zastávkách a stanicích</c:v>
                </c:pt>
                <c:pt idx="8">
                  <c:v>Ostatní (spontánně)</c:v>
                </c:pt>
                <c:pt idx="9">
                  <c:v>Jízdní řády, které jsou dostupné a snadno pochopitelné</c:v>
                </c:pt>
                <c:pt idx="10">
                  <c:v>Lepší spojení mezi zastávkami a stanicemi</c:v>
                </c:pt>
                <c:pt idx="11">
                  <c:v>Nic (spontánně)</c:v>
                </c:pt>
                <c:pt idx="12">
                  <c:v>Spolehlivost a přesnost poskytovaných služeb</c:v>
                </c:pt>
                <c:pt idx="13">
                  <c:v>Levnější jízdenky nebo předplacené jízdné</c:v>
                </c:pt>
                <c:pt idx="14">
                  <c:v>Lepší pokrytí veřejnou dopravou</c:v>
                </c:pt>
                <c:pt idx="15">
                  <c:v>Četnost služeb veřejné dopravy</c:v>
                </c:pt>
              </c:strCache>
            </c:strRef>
          </c:cat>
          <c:val>
            <c:numRef>
              <c:f>'Graf č. 3 - přínosy projektů'!$C$2:$C$17</c:f>
              <c:numCache>
                <c:formatCode>0%</c:formatCode>
                <c:ptCount val="16"/>
                <c:pt idx="0">
                  <c:v>0.01</c:v>
                </c:pt>
                <c:pt idx="1">
                  <c:v>0.01</c:v>
                </c:pt>
                <c:pt idx="2">
                  <c:v>0.02</c:v>
                </c:pt>
                <c:pt idx="3">
                  <c:v>0.02</c:v>
                </c:pt>
                <c:pt idx="4">
                  <c:v>0.04</c:v>
                </c:pt>
                <c:pt idx="5">
                  <c:v>0.05</c:v>
                </c:pt>
                <c:pt idx="6">
                  <c:v>0.05</c:v>
                </c:pt>
                <c:pt idx="7">
                  <c:v>0.05</c:v>
                </c:pt>
                <c:pt idx="8">
                  <c:v>0.05</c:v>
                </c:pt>
                <c:pt idx="9">
                  <c:v>0.06</c:v>
                </c:pt>
                <c:pt idx="10">
                  <c:v>0.19</c:v>
                </c:pt>
                <c:pt idx="11">
                  <c:v>0.19</c:v>
                </c:pt>
                <c:pt idx="12">
                  <c:v>0.21</c:v>
                </c:pt>
                <c:pt idx="13">
                  <c:v>0.25</c:v>
                </c:pt>
                <c:pt idx="14">
                  <c:v>0.33</c:v>
                </c:pt>
                <c:pt idx="15">
                  <c:v>0.38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B7-40DE-B1B7-ABE6540400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97575936"/>
        <c:axId val="597578016"/>
      </c:barChart>
      <c:catAx>
        <c:axId val="5975759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7578016"/>
        <c:crosses val="autoZero"/>
        <c:auto val="1"/>
        <c:lblAlgn val="ctr"/>
        <c:lblOffset val="100"/>
        <c:noMultiLvlLbl val="0"/>
      </c:catAx>
      <c:valAx>
        <c:axId val="597578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 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7575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'Graf č. 8 - vývoj podílu VHD'!$A$27</c:f>
              <c:strCache>
                <c:ptCount val="1"/>
                <c:pt idx="0">
                  <c:v>Podíl veřejné hromadné (bez letecké a vodní) na celkovém přepravním výkonu   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dLbls>
            <c:numFmt formatCode="0.00\ 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cat>
            <c:numRef>
              <c:f>'Graf č. 8 - vývoj podílu VHD'!$B$26:$M$26</c:f>
              <c:numCache>
                <c:formatCode>General</c:formatCode>
                <c:ptCount val="12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'Graf č. 8 - vývoj podílu VHD'!$B$27:$M$27</c:f>
              <c:numCache>
                <c:formatCode>0.0%</c:formatCode>
                <c:ptCount val="12"/>
                <c:pt idx="0">
                  <c:v>0.27276490800069503</c:v>
                </c:pt>
                <c:pt idx="1">
                  <c:v>0.27727338709186733</c:v>
                </c:pt>
                <c:pt idx="2">
                  <c:v>0.27392710047993107</c:v>
                </c:pt>
                <c:pt idx="3">
                  <c:v>0.30406638973134281</c:v>
                </c:pt>
                <c:pt idx="4">
                  <c:v>0.28852284116855526</c:v>
                </c:pt>
                <c:pt idx="5">
                  <c:v>0.29996747134580759</c:v>
                </c:pt>
                <c:pt idx="6">
                  <c:v>0.30673102403230684</c:v>
                </c:pt>
                <c:pt idx="7">
                  <c:v>0.3094693423106718</c:v>
                </c:pt>
                <c:pt idx="8">
                  <c:v>0.30219674977331351</c:v>
                </c:pt>
                <c:pt idx="9">
                  <c:v>0.30672829096802728</c:v>
                </c:pt>
                <c:pt idx="10">
                  <c:v>0.31006699950308098</c:v>
                </c:pt>
                <c:pt idx="11">
                  <c:v>0.3011721418942625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AEA-40C7-94E4-1E23885AB44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958972607"/>
        <c:axId val="958980927"/>
      </c:lineChart>
      <c:catAx>
        <c:axId val="95897260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8980927"/>
        <c:crosses val="autoZero"/>
        <c:auto val="1"/>
        <c:lblAlgn val="ctr"/>
        <c:lblOffset val="100"/>
        <c:noMultiLvlLbl val="0"/>
      </c:catAx>
      <c:valAx>
        <c:axId val="95898092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I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95897260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50000"/>
            <a:lumOff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4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0.06627</cdr:x>
      <cdr:y>0.85364</cdr:y>
    </cdr:from>
    <cdr:to>
      <cdr:x>0.08225</cdr:x>
      <cdr:y>0.87866</cdr:y>
    </cdr:to>
    <cdr:sp macro="" textlink="">
      <cdr:nvSpPr>
        <cdr:cNvPr id="6" name="Obdélník 5"/>
        <cdr:cNvSpPr/>
      </cdr:nvSpPr>
      <cdr:spPr>
        <a:xfrm xmlns:a="http://schemas.openxmlformats.org/drawingml/2006/main" flipH="1">
          <a:off x="373242" y="3070222"/>
          <a:ext cx="90000" cy="90000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1">
            <a:lumMod val="60000"/>
            <a:lumOff val="40000"/>
          </a:schemeClr>
        </a:solidFill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cs-CZ"/>
        </a:p>
      </cdr:txBody>
    </cdr:sp>
  </cdr:relSizeAnchor>
  <cdr:relSizeAnchor xmlns:cdr="http://schemas.openxmlformats.org/drawingml/2006/chartDrawing">
    <cdr:from>
      <cdr:x>0.04642</cdr:x>
      <cdr:y>0.02268</cdr:y>
    </cdr:from>
    <cdr:to>
      <cdr:x>0.9285</cdr:x>
      <cdr:y>0.88662</cdr:y>
    </cdr:to>
    <cdr:grpSp>
      <cdr:nvGrpSpPr>
        <cdr:cNvPr id="10" name="Skupina 9"/>
        <cdr:cNvGrpSpPr/>
      </cdr:nvGrpSpPr>
      <cdr:grpSpPr>
        <a:xfrm xmlns:a="http://schemas.openxmlformats.org/drawingml/2006/main">
          <a:off x="261478" y="81587"/>
          <a:ext cx="4968225" cy="3107275"/>
          <a:chOff x="261037" y="81619"/>
          <a:chExt cx="4959845" cy="3107243"/>
        </a:xfrm>
      </cdr:grpSpPr>
      <cdr:sp macro="" textlink="">
        <cdr:nvSpPr>
          <cdr:cNvPr id="5" name="TextovéPole 1"/>
          <cdr:cNvSpPr txBox="1"/>
        </cdr:nvSpPr>
        <cdr:spPr>
          <a:xfrm xmlns:a="http://schemas.openxmlformats.org/drawingml/2006/main">
            <a:off x="261037" y="2950632"/>
            <a:ext cx="1720174" cy="238230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wrap="square" rtlCol="0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l"/>
            <a:r>
              <a:rPr lang="cs-CZ" sz="1300">
                <a:solidFill>
                  <a:schemeClr val="tx1">
                    <a:lumMod val="75000"/>
                    <a:lumOff val="25000"/>
                  </a:schemeClr>
                </a:solidFill>
              </a:rPr>
              <a:t>    </a:t>
            </a:r>
            <a:r>
              <a:rPr lang="cs-CZ" sz="1300">
                <a:solidFill>
                  <a:schemeClr val="tx1"/>
                </a:solidFill>
              </a:rPr>
              <a:t>VYBRANÉ AKTIVITY:</a:t>
            </a:r>
          </a:p>
        </cdr:txBody>
      </cdr:sp>
      <cdr:sp macro="" textlink="">
        <cdr:nvSpPr>
          <cdr:cNvPr id="8" name="TextovéPole 7"/>
          <cdr:cNvSpPr txBox="1"/>
        </cdr:nvSpPr>
        <cdr:spPr>
          <a:xfrm xmlns:a="http://schemas.openxmlformats.org/drawingml/2006/main">
            <a:off x="1031895" y="134638"/>
            <a:ext cx="1185124" cy="378027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vertOverflow="clip" wrap="square" rtlCol="0"/>
          <a:lstStyle xmlns:a="http://schemas.openxmlformats.org/drawingml/2006/main"/>
          <a:p xmlns:a="http://schemas.openxmlformats.org/drawingml/2006/main">
            <a:r>
              <a:rPr lang="cs-CZ" sz="1400" b="1">
                <a:solidFill>
                  <a:schemeClr val="tx1"/>
                </a:solidFill>
              </a:rPr>
              <a:t>SC</a:t>
            </a:r>
            <a:r>
              <a:rPr lang="cs-CZ" sz="1400" b="1" baseline="0">
                <a:solidFill>
                  <a:schemeClr val="tx1"/>
                </a:solidFill>
              </a:rPr>
              <a:t> 1.2 IROP</a:t>
            </a:r>
            <a:endParaRPr lang="cs-CZ" sz="1400" b="1">
              <a:solidFill>
                <a:schemeClr val="tx1"/>
              </a:solidFill>
            </a:endParaRPr>
          </a:p>
        </cdr:txBody>
      </cdr:sp>
      <cdr:sp macro="" textlink="">
        <cdr:nvSpPr>
          <cdr:cNvPr id="9" name="TextovéPole 1"/>
          <cdr:cNvSpPr txBox="1"/>
        </cdr:nvSpPr>
        <cdr:spPr>
          <a:xfrm xmlns:a="http://schemas.openxmlformats.org/drawingml/2006/main">
            <a:off x="4311929" y="81619"/>
            <a:ext cx="908953" cy="457505"/>
          </a:xfrm>
          <a:prstGeom xmlns:a="http://schemas.openxmlformats.org/drawingml/2006/main" prst="rect">
            <a:avLst/>
          </a:prstGeom>
        </cdr:spPr>
        <cdr:txBody>
          <a:bodyPr xmlns:a="http://schemas.openxmlformats.org/drawingml/2006/main" wrap="square" rtlCol="0"/>
          <a:lstStyle xmlns:a="http://schemas.openxmlformats.org/drawingml/2006/main">
            <a:lvl1pPr marL="0" indent="0">
              <a:defRPr sz="1100">
                <a:latin typeface="+mn-lt"/>
                <a:ea typeface="+mn-ea"/>
                <a:cs typeface="+mn-cs"/>
              </a:defRPr>
            </a:lvl1pPr>
            <a:lvl2pPr marL="457200" indent="0">
              <a:defRPr sz="1100">
                <a:latin typeface="+mn-lt"/>
                <a:ea typeface="+mn-ea"/>
                <a:cs typeface="+mn-cs"/>
              </a:defRPr>
            </a:lvl2pPr>
            <a:lvl3pPr marL="914400" indent="0">
              <a:defRPr sz="1100">
                <a:latin typeface="+mn-lt"/>
                <a:ea typeface="+mn-ea"/>
                <a:cs typeface="+mn-cs"/>
              </a:defRPr>
            </a:lvl3pPr>
            <a:lvl4pPr marL="1371600" indent="0">
              <a:defRPr sz="1100">
                <a:latin typeface="+mn-lt"/>
                <a:ea typeface="+mn-ea"/>
                <a:cs typeface="+mn-cs"/>
              </a:defRPr>
            </a:lvl4pPr>
            <a:lvl5pPr marL="1828800" indent="0">
              <a:defRPr sz="1100">
                <a:latin typeface="+mn-lt"/>
                <a:ea typeface="+mn-ea"/>
                <a:cs typeface="+mn-cs"/>
              </a:defRPr>
            </a:lvl5pPr>
            <a:lvl6pPr marL="2286000" indent="0">
              <a:defRPr sz="1100">
                <a:latin typeface="+mn-lt"/>
                <a:ea typeface="+mn-ea"/>
                <a:cs typeface="+mn-cs"/>
              </a:defRPr>
            </a:lvl6pPr>
            <a:lvl7pPr marL="2743200" indent="0">
              <a:defRPr sz="1100">
                <a:latin typeface="+mn-lt"/>
                <a:ea typeface="+mn-ea"/>
                <a:cs typeface="+mn-cs"/>
              </a:defRPr>
            </a:lvl7pPr>
            <a:lvl8pPr marL="3200400" indent="0">
              <a:defRPr sz="1100">
                <a:latin typeface="+mn-lt"/>
                <a:ea typeface="+mn-ea"/>
                <a:cs typeface="+mn-cs"/>
              </a:defRPr>
            </a:lvl8pPr>
            <a:lvl9pPr marL="3657600" indent="0">
              <a:defRPr sz="1100">
                <a:latin typeface="+mn-lt"/>
                <a:ea typeface="+mn-ea"/>
                <a:cs typeface="+mn-cs"/>
              </a:defRPr>
            </a:lvl9pPr>
          </a:lstStyle>
          <a:p xmlns:a="http://schemas.openxmlformats.org/drawingml/2006/main">
            <a:pPr algn="ctr"/>
            <a:r>
              <a:rPr lang="cs-CZ" sz="1200" b="1">
                <a:solidFill>
                  <a:schemeClr val="tx1"/>
                </a:solidFill>
              </a:rPr>
              <a:t>VYBRANÉ AKTIVITY</a:t>
            </a:r>
          </a:p>
        </cdr:txBody>
      </cdr:sp>
    </cdr:grpSp>
  </cdr:relSizeAnchor>
</c:userShape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189CFF1435A942AECE1E5B6412D5EC" ma:contentTypeVersion="0" ma:contentTypeDescription="Vytvoří nový dokument" ma:contentTypeScope="" ma:versionID="3b4b67871ce7adbe19186ce13ae2358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5191C0-1D02-4576-ADF1-2DF4A0E072D3}">
  <ds:schemaRefs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2AD524B-5B0B-48DB-97B3-B000BE3C70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320794-D582-45C5-8951-3D984CAB66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5D5DC05-2036-4690-BF9E-8F1E0B8AA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F8E8AA3F.dotm</Template>
  <TotalTime>5</TotalTime>
  <Pages>52</Pages>
  <Words>17948</Words>
  <Characters>105899</Characters>
  <Application>Microsoft Office Word</Application>
  <DocSecurity>0</DocSecurity>
  <Lines>882</Lines>
  <Paragraphs>247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Kontrolní závěr z kontrolní akce NKÚ č. 18/24 - Podpora veřejné městské a regionální dopravy financovaná v rámci Integrovaného regionálního operačního programu</vt:lpstr>
    </vt:vector>
  </TitlesOfParts>
  <Company>NKU</Company>
  <LinksUpToDate>false</LinksUpToDate>
  <CharactersWithSpaces>123600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18/24 - Podpora veřejné městské a regionální dopravy financovaná v rámci Integrovaného regionálního operačního programu</dc:title>
  <dc:subject/>
  <dc:creator>Nejvyšší kontrolní úřad</dc:creator>
  <cp:keywords>kontrolní závěr; městská doprava; veřejná doprava; regionální doprava; regionální operační program; IROP</cp:keywords>
  <dc:description/>
  <cp:lastModifiedBy>KOKRDA Daniel</cp:lastModifiedBy>
  <cp:revision>3</cp:revision>
  <cp:lastPrinted>2019-10-22T12:02:00Z</cp:lastPrinted>
  <dcterms:created xsi:type="dcterms:W3CDTF">2019-10-22T11:59:00Z</dcterms:created>
  <dcterms:modified xsi:type="dcterms:W3CDTF">2019-10-22T12:03:00Z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Name_CisloObalky_PostaOdes">
    <vt:lpwstr>{DisplayName_CisloObalky_PostaOdes}</vt:lpwstr>
  </property>
  <property fmtid="{D5CDD505-2E9C-101B-9397-08002B2CF9AE}" pid="3" name="DatumPlatnosti_PisemnostTypZpristupneniInformaciZOSZ_Pisemnost">
    <vt:lpwstr>ZOSZ_DatumPlatnosti</vt:lpwstr>
  </property>
  <property fmtid="{D5CDD505-2E9C-101B-9397-08002B2CF9AE}" pid="4" name="SZ_Spis_Pisemnost">
    <vt:lpwstr>15/27</vt:lpwstr>
  </property>
  <property fmtid="{D5CDD505-2E9C-101B-9397-08002B2CF9AE}" pid="5" name="TEST">
    <vt:lpwstr>testovací pole</vt:lpwstr>
  </property>
  <property fmtid="{D5CDD505-2E9C-101B-9397-08002B2CF9AE}" pid="6" name="Vec_Pisemnost">
    <vt:lpwstr>Návrh kontrolního závěru z KA č. 15/27 do připomínek. Termín pro předložení připomínek je 29. 4. 2016.</vt:lpwstr>
  </property>
  <property fmtid="{D5CDD505-2E9C-101B-9397-08002B2CF9AE}" pid="7" name="PocetListuDokumentu_Pisemnost">
    <vt:lpwstr>1</vt:lpwstr>
  </property>
  <property fmtid="{D5CDD505-2E9C-101B-9397-08002B2CF9AE}" pid="8" name="Podpis">
    <vt:lpwstr/>
  </property>
  <property fmtid="{D5CDD505-2E9C-101B-9397-08002B2CF9AE}" pid="9" name="DisplayName_SpisovyUzel_PoziceZodpo_Pisemnost">
    <vt:lpwstr>30</vt:lpwstr>
  </property>
  <property fmtid="{D5CDD505-2E9C-101B-9397-08002B2CF9AE}" pid="10" name="KRukam">
    <vt:lpwstr>{KRukam}</vt:lpwstr>
  </property>
  <property fmtid="{D5CDD505-2E9C-101B-9397-08002B2CF9AE}" pid="11" name="SkartacniZnakLhuta_PisemnostZnak">
    <vt:lpwstr>?/?</vt:lpwstr>
  </property>
  <property fmtid="{D5CDD505-2E9C-101B-9397-08002B2CF9AE}" pid="12" name="DatumPoriz_Pisemnost">
    <vt:lpwstr>20.4.2016</vt:lpwstr>
  </property>
  <property fmtid="{D5CDD505-2E9C-101B-9397-08002B2CF9AE}" pid="13" name="CJ">
    <vt:lpwstr>15/27-NKU30/403/16</vt:lpwstr>
  </property>
  <property fmtid="{D5CDD505-2E9C-101B-9397-08002B2CF9AE}" pid="14" name="Zkratka_SpisovyUzel_PoziceZodpo_Pisemnost">
    <vt:lpwstr>30</vt:lpwstr>
  </property>
  <property fmtid="{D5CDD505-2E9C-101B-9397-08002B2CF9AE}" pid="15" name="Odkaz">
    <vt:lpwstr>ODKAZ</vt:lpwstr>
  </property>
  <property fmtid="{D5CDD505-2E9C-101B-9397-08002B2CF9AE}" pid="16" name="ContentTypeId">
    <vt:lpwstr>0x01010050189CFF1435A942AECE1E5B6412D5EC</vt:lpwstr>
  </property>
  <property fmtid="{D5CDD505-2E9C-101B-9397-08002B2CF9AE}" pid="17" name="Password_PisemnostTypZpristupneniInformaciZOSZ_Pisemnost">
    <vt:lpwstr>ZOSZ_Password</vt:lpwstr>
  </property>
  <property fmtid="{D5CDD505-2E9C-101B-9397-08002B2CF9AE}" pid="18" name="PocetListu_Pisemnost">
    <vt:lpwstr>1</vt:lpwstr>
  </property>
  <property fmtid="{D5CDD505-2E9C-101B-9397-08002B2CF9AE}" pid="19" name="PocetPriloh_Pisemnost">
    <vt:lpwstr>0</vt:lpwstr>
  </property>
  <property fmtid="{D5CDD505-2E9C-101B-9397-08002B2CF9AE}" pid="20" name="EC_Pisemnost">
    <vt:lpwstr>16-5943/NKU</vt:lpwstr>
  </property>
  <property fmtid="{D5CDD505-2E9C-101B-9397-08002B2CF9AE}" pid="21" name="UserName_PisemnostTypZpristupneniInformaciZOSZ_Pisemnost">
    <vt:lpwstr>ZOSZ_UserName</vt:lpwstr>
  </property>
  <property fmtid="{D5CDD505-2E9C-101B-9397-08002B2CF9AE}" pid="22" name="DisplayName_UserPoriz_Pisemnost">
    <vt:lpwstr>Bc. Jana Pokorná</vt:lpwstr>
  </property>
  <property fmtid="{D5CDD505-2E9C-101B-9397-08002B2CF9AE}" pid="23" name="SmlouvaCislo">
    <vt:lpwstr>ČÍSLO SMLOUVY</vt:lpwstr>
  </property>
  <property fmtid="{D5CDD505-2E9C-101B-9397-08002B2CF9AE}" pid="24" name="TypPrilohy_Pisemnost">
    <vt:lpwstr>TYP PŘÍLOHY</vt:lpwstr>
  </property>
  <property fmtid="{D5CDD505-2E9C-101B-9397-08002B2CF9AE}" pid="25" name="Key_BarCode_Pisemnost">
    <vt:lpwstr>*B000263723*</vt:lpwstr>
  </property>
  <property fmtid="{D5CDD505-2E9C-101B-9397-08002B2CF9AE}" pid="26" name="Contact_PostaOdes_All">
    <vt:lpwstr>ROZDĚLOVNÍK...</vt:lpwstr>
  </property>
  <property fmtid="{D5CDD505-2E9C-101B-9397-08002B2CF9AE}" pid="27" name="CJ_Spis_Pisemnost">
    <vt:lpwstr>CJ/SPIS/ROK</vt:lpwstr>
  </property>
</Properties>
</file>