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8CC03" w14:textId="77777777" w:rsidR="00395345" w:rsidRDefault="00395345" w:rsidP="006E3B89">
      <w:pPr>
        <w:jc w:val="center"/>
      </w:pPr>
      <w:r w:rsidRPr="00C3396A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74DCE61" wp14:editId="5EF34789">
            <wp:simplePos x="0" y="0"/>
            <wp:positionH relativeFrom="margin">
              <wp:posOffset>2522855</wp:posOffset>
            </wp:positionH>
            <wp:positionV relativeFrom="paragraph">
              <wp:posOffset>559</wp:posOffset>
            </wp:positionV>
            <wp:extent cx="713740" cy="504190"/>
            <wp:effectExtent l="0" t="0" r="0" b="0"/>
            <wp:wrapTopAndBottom/>
            <wp:docPr id="6" name="obrázek 4" descr="NKU_logo-transp-rgb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4072" name="Picture 4" descr="NKU_logo-transp-rgb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7523A" w14:textId="77777777" w:rsidR="00395345" w:rsidRDefault="00395345" w:rsidP="006E3B89">
      <w:pPr>
        <w:jc w:val="center"/>
      </w:pPr>
    </w:p>
    <w:p w14:paraId="531A4B51" w14:textId="77777777" w:rsidR="00395345" w:rsidRPr="00C3396A" w:rsidRDefault="00395345" w:rsidP="006E3B89">
      <w:pPr>
        <w:jc w:val="center"/>
      </w:pPr>
    </w:p>
    <w:p w14:paraId="32C850DF" w14:textId="15C48E06" w:rsidR="00395345" w:rsidRPr="00C3396A" w:rsidRDefault="00395345" w:rsidP="0091498D">
      <w:pPr>
        <w:jc w:val="center"/>
        <w:outlineLvl w:val="0"/>
        <w:rPr>
          <w:b/>
          <w:sz w:val="28"/>
          <w:szCs w:val="28"/>
        </w:rPr>
      </w:pPr>
      <w:r w:rsidRPr="00C3396A">
        <w:rPr>
          <w:b/>
          <w:sz w:val="28"/>
          <w:szCs w:val="28"/>
        </w:rPr>
        <w:t>Kontrolní závěr z kontrolní akce</w:t>
      </w:r>
    </w:p>
    <w:p w14:paraId="49D34ACF" w14:textId="77777777" w:rsidR="00395345" w:rsidRPr="008F74E8" w:rsidRDefault="00395345" w:rsidP="006E3B89">
      <w:pPr>
        <w:jc w:val="center"/>
      </w:pPr>
    </w:p>
    <w:p w14:paraId="49E9D232" w14:textId="77777777" w:rsidR="00395345" w:rsidRDefault="00395345" w:rsidP="006E3B89">
      <w:pPr>
        <w:jc w:val="center"/>
        <w:rPr>
          <w:b/>
          <w:sz w:val="28"/>
          <w:szCs w:val="28"/>
        </w:rPr>
      </w:pPr>
      <w:r w:rsidRPr="00C3396A">
        <w:rPr>
          <w:b/>
          <w:sz w:val="28"/>
          <w:szCs w:val="28"/>
        </w:rPr>
        <w:t>1</w:t>
      </w:r>
      <w:r w:rsidR="00193A3C">
        <w:rPr>
          <w:b/>
          <w:sz w:val="28"/>
          <w:szCs w:val="28"/>
        </w:rPr>
        <w:t>9</w:t>
      </w:r>
      <w:r w:rsidRPr="00C3396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04</w:t>
      </w:r>
    </w:p>
    <w:p w14:paraId="2A31B0B1" w14:textId="77777777" w:rsidR="00395345" w:rsidRDefault="00395345" w:rsidP="006E3B89">
      <w:pPr>
        <w:jc w:val="center"/>
      </w:pPr>
    </w:p>
    <w:p w14:paraId="4F5438B0" w14:textId="04486403" w:rsidR="006E3B89" w:rsidRDefault="00193A3C" w:rsidP="006E3B89">
      <w:pPr>
        <w:jc w:val="center"/>
      </w:pPr>
      <w:r>
        <w:rPr>
          <w:b/>
          <w:sz w:val="28"/>
          <w:szCs w:val="28"/>
        </w:rPr>
        <w:t>Podpora protipovodňových opatření</w:t>
      </w:r>
    </w:p>
    <w:p w14:paraId="6D0F8F3A" w14:textId="77777777" w:rsidR="00395345" w:rsidRDefault="00395345" w:rsidP="006E3B89">
      <w:pPr>
        <w:jc w:val="both"/>
      </w:pPr>
    </w:p>
    <w:p w14:paraId="08F6955E" w14:textId="325A3260" w:rsidR="00395345" w:rsidRPr="00321AB1" w:rsidRDefault="00395345" w:rsidP="006E3B89">
      <w:pPr>
        <w:pStyle w:val="Text"/>
        <w:spacing w:after="120" w:line="264" w:lineRule="auto"/>
      </w:pPr>
      <w:r w:rsidRPr="00321AB1">
        <w:t>Kontrolní akce byla zařazena do plánu kontrolní činnosti Nejvyš</w:t>
      </w:r>
      <w:r>
        <w:t>šího kontrolního úřadu (dále také</w:t>
      </w:r>
      <w:r w:rsidRPr="00321AB1">
        <w:t xml:space="preserve"> „NKÚ“) na rok 201</w:t>
      </w:r>
      <w:r w:rsidR="00193A3C">
        <w:t>9</w:t>
      </w:r>
      <w:r w:rsidRPr="00321AB1">
        <w:t xml:space="preserve"> pod číslem 1</w:t>
      </w:r>
      <w:r w:rsidR="00193A3C">
        <w:t>9</w:t>
      </w:r>
      <w:r w:rsidRPr="00321AB1">
        <w:t>/</w:t>
      </w:r>
      <w:r>
        <w:t>04</w:t>
      </w:r>
      <w:r w:rsidRPr="00321AB1">
        <w:t>. Kontrolní akci řídil a kontrolní závěr vypracoval člen NKÚ RNDr. Petr Neuvirt.</w:t>
      </w:r>
    </w:p>
    <w:p w14:paraId="76CCDCD6" w14:textId="5D279785" w:rsidR="00395345" w:rsidRDefault="00395345" w:rsidP="00032A77">
      <w:pPr>
        <w:pStyle w:val="Text"/>
        <w:spacing w:before="240" w:after="120" w:line="264" w:lineRule="auto"/>
      </w:pPr>
      <w:r w:rsidRPr="00321AB1">
        <w:t>Cílem kontroly bylo</w:t>
      </w:r>
      <w:r w:rsidRPr="009C5669">
        <w:t xml:space="preserve"> </w:t>
      </w:r>
      <w:r>
        <w:t>p</w:t>
      </w:r>
      <w:r w:rsidRPr="009C5669">
        <w:t>rověřit</w:t>
      </w:r>
      <w:r w:rsidR="00193A3C" w:rsidRPr="00193A3C">
        <w:t>, zda jsou peněžní prostředky na protipovodňová opatření vynakládány účelně, hospodárně a v souladu s právními předpisy</w:t>
      </w:r>
      <w:r w:rsidRPr="009C5669">
        <w:t>.</w:t>
      </w:r>
    </w:p>
    <w:p w14:paraId="2C40E598" w14:textId="77777777" w:rsidR="00395345" w:rsidRPr="00321AB1" w:rsidRDefault="00395345" w:rsidP="00032A77">
      <w:pPr>
        <w:pStyle w:val="Text"/>
        <w:spacing w:before="240" w:after="120" w:line="264" w:lineRule="auto"/>
      </w:pPr>
      <w:r w:rsidRPr="00321AB1">
        <w:t xml:space="preserve">Kontrola byla prováděna u kontrolovaných osob v období od </w:t>
      </w:r>
      <w:r w:rsidR="00193A3C">
        <w:t>března</w:t>
      </w:r>
      <w:r w:rsidRPr="00321AB1">
        <w:t xml:space="preserve"> 201</w:t>
      </w:r>
      <w:r w:rsidR="00193A3C">
        <w:t>9</w:t>
      </w:r>
      <w:r w:rsidRPr="00321AB1">
        <w:t xml:space="preserve"> do </w:t>
      </w:r>
      <w:r>
        <w:t>září 201</w:t>
      </w:r>
      <w:r w:rsidR="00193A3C">
        <w:t>9</w:t>
      </w:r>
      <w:r>
        <w:t>.</w:t>
      </w:r>
    </w:p>
    <w:p w14:paraId="50B4C8C4" w14:textId="77777777" w:rsidR="00395345" w:rsidRDefault="00395345" w:rsidP="00032A77">
      <w:pPr>
        <w:pStyle w:val="Text"/>
        <w:spacing w:before="240" w:after="120" w:line="264" w:lineRule="auto"/>
      </w:pPr>
      <w:r w:rsidRPr="00321AB1">
        <w:t>Kontrolovaným obdobím byly roky 201</w:t>
      </w:r>
      <w:r w:rsidR="00193A3C">
        <w:t>6</w:t>
      </w:r>
      <w:r w:rsidRPr="00321AB1">
        <w:t xml:space="preserve"> až 201</w:t>
      </w:r>
      <w:r w:rsidR="00193A3C">
        <w:t>8</w:t>
      </w:r>
      <w:r w:rsidRPr="00321AB1">
        <w:t>, v případě věcných souvislostí i období předcházející a následující.</w:t>
      </w:r>
    </w:p>
    <w:p w14:paraId="4286EB28" w14:textId="3F029519" w:rsidR="00395345" w:rsidRPr="009C5669" w:rsidRDefault="00395345" w:rsidP="00032A77">
      <w:pPr>
        <w:pStyle w:val="Text"/>
        <w:spacing w:before="240" w:after="120" w:line="264" w:lineRule="auto"/>
      </w:pPr>
      <w:r w:rsidRPr="007F5880">
        <w:rPr>
          <w:b/>
        </w:rPr>
        <w:t>Kontrolované osoby:</w:t>
      </w:r>
      <w:r w:rsidRPr="00321AB1">
        <w:cr/>
      </w:r>
      <w:r w:rsidR="00193A3C">
        <w:t>Ministerstvo zemědělství (dále také „MZe“);</w:t>
      </w:r>
      <w:r w:rsidRPr="0014296D">
        <w:t xml:space="preserve"> </w:t>
      </w:r>
      <w:r w:rsidR="00D72028" w:rsidRPr="0014296D">
        <w:t>Ministerstvo životního prostředí (dále také „MŽP“);</w:t>
      </w:r>
      <w:r w:rsidR="00D72028">
        <w:t xml:space="preserve"> </w:t>
      </w:r>
      <w:r w:rsidRPr="0014296D">
        <w:t xml:space="preserve">Státní fond životního prostředí České republiky, Praha (dále také „SFŽP“); </w:t>
      </w:r>
      <w:r w:rsidR="00D72028">
        <w:t>Povodí Labe</w:t>
      </w:r>
      <w:r w:rsidR="00006042">
        <w:t>, s</w:t>
      </w:r>
      <w:r w:rsidR="00D72028">
        <w:t xml:space="preserve">tátní podnik, Hradec Králové (dále také „Povodí Labe“); Povodí Moravy, s.p., Brno (dále také „Povodí Moravy“); Povodí Odry, </w:t>
      </w:r>
      <w:r w:rsidR="00006042">
        <w:t>s</w:t>
      </w:r>
      <w:r w:rsidR="00D72028">
        <w:t xml:space="preserve">tátní podnik, Ostrava (dále také „Povodí Odry“); Povodí Vltavy, </w:t>
      </w:r>
      <w:r w:rsidR="00006042">
        <w:t>s</w:t>
      </w:r>
      <w:r w:rsidR="00D72028">
        <w:t>tátní podnik, Pra</w:t>
      </w:r>
      <w:r w:rsidR="00CF554B">
        <w:t>ha (dále také „Povodí Vltavy“).</w:t>
      </w:r>
    </w:p>
    <w:p w14:paraId="4CF84335" w14:textId="77777777" w:rsidR="00395345" w:rsidRPr="00D8596E" w:rsidRDefault="00395345" w:rsidP="006E3B89">
      <w:pPr>
        <w:spacing w:before="120" w:after="120" w:line="264" w:lineRule="auto"/>
      </w:pPr>
    </w:p>
    <w:p w14:paraId="6B3734BF" w14:textId="1012E313" w:rsidR="00395345" w:rsidRPr="006054F8" w:rsidRDefault="00395345" w:rsidP="00395345">
      <w:pPr>
        <w:spacing w:after="120"/>
      </w:pPr>
      <w:r w:rsidRPr="006054F8">
        <w:rPr>
          <w:b/>
          <w:i/>
          <w:spacing w:val="40"/>
        </w:rPr>
        <w:t>Kolegium</w:t>
      </w:r>
      <w:r w:rsidRPr="006054F8">
        <w:rPr>
          <w:b/>
          <w:i/>
        </w:rPr>
        <w:t xml:space="preserve">   </w:t>
      </w:r>
      <w:r w:rsidRPr="006054F8">
        <w:rPr>
          <w:b/>
          <w:i/>
          <w:spacing w:val="40"/>
        </w:rPr>
        <w:t>NKÚ</w:t>
      </w:r>
      <w:r w:rsidRPr="006054F8">
        <w:rPr>
          <w:b/>
          <w:i/>
        </w:rPr>
        <w:t xml:space="preserve">   </w:t>
      </w:r>
      <w:r w:rsidRPr="006054F8">
        <w:t xml:space="preserve">na svém </w:t>
      </w:r>
      <w:r w:rsidR="00193A3C">
        <w:t>I</w:t>
      </w:r>
      <w:r w:rsidR="00C9248B">
        <w:t>I</w:t>
      </w:r>
      <w:r w:rsidRPr="006054F8">
        <w:t xml:space="preserve">. jednání, které se konalo dne </w:t>
      </w:r>
      <w:r w:rsidR="00032A77" w:rsidRPr="00424BFF">
        <w:t>10.</w:t>
      </w:r>
      <w:r w:rsidR="00C9248B" w:rsidRPr="00424BFF">
        <w:t xml:space="preserve"> </w:t>
      </w:r>
      <w:r w:rsidR="00032A77" w:rsidRPr="00424BFF">
        <w:t>února</w:t>
      </w:r>
      <w:r w:rsidRPr="00424BFF">
        <w:t xml:space="preserve"> 20</w:t>
      </w:r>
      <w:r w:rsidR="004D3ACD" w:rsidRPr="00424BFF">
        <w:t>20</w:t>
      </w:r>
      <w:r w:rsidRPr="006054F8">
        <w:t>,</w:t>
      </w:r>
    </w:p>
    <w:p w14:paraId="3FEF8430" w14:textId="01F5622A" w:rsidR="00395345" w:rsidRPr="00D8596E" w:rsidRDefault="00395345" w:rsidP="00395345">
      <w:pPr>
        <w:spacing w:after="120"/>
      </w:pPr>
      <w:r w:rsidRPr="006054F8">
        <w:rPr>
          <w:b/>
          <w:i/>
          <w:spacing w:val="40"/>
        </w:rPr>
        <w:t>schválilo</w:t>
      </w:r>
      <w:r w:rsidRPr="006054F8">
        <w:rPr>
          <w:b/>
          <w:i/>
        </w:rPr>
        <w:t xml:space="preserve">   </w:t>
      </w:r>
      <w:r w:rsidRPr="006054F8">
        <w:t>usnesením č.</w:t>
      </w:r>
      <w:r>
        <w:t xml:space="preserve"> </w:t>
      </w:r>
      <w:r w:rsidR="00424BFF">
        <w:t>6/II/2020</w:t>
      </w:r>
    </w:p>
    <w:p w14:paraId="62AF0891" w14:textId="77777777" w:rsidR="00395345" w:rsidRDefault="00395345" w:rsidP="00C84464">
      <w:pPr>
        <w:pStyle w:val="Text"/>
      </w:pPr>
      <w:r w:rsidRPr="007F5880">
        <w:rPr>
          <w:b/>
          <w:i/>
          <w:spacing w:val="40"/>
        </w:rPr>
        <w:t>kontrolní</w:t>
      </w:r>
      <w:r w:rsidRPr="007F5880">
        <w:rPr>
          <w:b/>
          <w:i/>
        </w:rPr>
        <w:t xml:space="preserve">   </w:t>
      </w:r>
      <w:r w:rsidRPr="007F5880">
        <w:rPr>
          <w:b/>
          <w:i/>
          <w:spacing w:val="40"/>
        </w:rPr>
        <w:t>závěr</w:t>
      </w:r>
      <w:r w:rsidRPr="00D8596E">
        <w:t xml:space="preserve">   v to</w:t>
      </w:r>
      <w:r w:rsidR="00C84464">
        <w:t>mto znění</w:t>
      </w:r>
      <w:r w:rsidR="00E64827">
        <w:t>:</w:t>
      </w:r>
      <w:r>
        <w:br w:type="page"/>
      </w:r>
    </w:p>
    <w:p w14:paraId="25749115" w14:textId="1DDA111F" w:rsidR="00C50EC2" w:rsidRPr="000437BE" w:rsidRDefault="00C50EC2" w:rsidP="0091498D">
      <w:pPr>
        <w:outlineLvl w:val="0"/>
        <w:rPr>
          <w:rStyle w:val="A4"/>
          <w:color w:val="auto"/>
          <w:sz w:val="50"/>
          <w:szCs w:val="50"/>
        </w:rPr>
      </w:pPr>
      <w:r w:rsidRPr="000437BE">
        <w:rPr>
          <w:rStyle w:val="A4"/>
          <w:color w:val="auto"/>
          <w:sz w:val="50"/>
          <w:szCs w:val="50"/>
        </w:rPr>
        <w:lastRenderedPageBreak/>
        <w:t>Po</w:t>
      </w:r>
      <w:r w:rsidR="00A157BD" w:rsidRPr="000437BE">
        <w:rPr>
          <w:rStyle w:val="A4"/>
          <w:color w:val="auto"/>
          <w:sz w:val="50"/>
          <w:szCs w:val="50"/>
        </w:rPr>
        <w:t>vodně</w:t>
      </w:r>
    </w:p>
    <w:p w14:paraId="286BA8A3" w14:textId="630999EB" w:rsidR="00D07382" w:rsidRDefault="00D07382" w:rsidP="00D07382">
      <w:pPr>
        <w:rPr>
          <w:rStyle w:val="A4"/>
          <w:color w:val="auto"/>
          <w:sz w:val="32"/>
          <w:szCs w:val="50"/>
        </w:rPr>
      </w:pPr>
      <w:r w:rsidRPr="000437BE">
        <w:rPr>
          <w:rStyle w:val="A4"/>
          <w:color w:val="auto"/>
          <w:sz w:val="32"/>
          <w:szCs w:val="50"/>
        </w:rPr>
        <w:t>pro ČR největší přímé nebezpečí v oblasti přírodních katastrof</w:t>
      </w:r>
      <w:r w:rsidR="00ED61C3">
        <w:rPr>
          <w:rStyle w:val="Znakapoznpodarou"/>
          <w:sz w:val="32"/>
          <w:szCs w:val="50"/>
        </w:rPr>
        <w:footnoteReference w:id="2"/>
      </w:r>
    </w:p>
    <w:p w14:paraId="72A1981F" w14:textId="632F3557" w:rsidR="00F956F5" w:rsidRDefault="00F956F5" w:rsidP="00D07382">
      <w:pPr>
        <w:rPr>
          <w:rStyle w:val="A4"/>
          <w:color w:val="auto"/>
          <w:sz w:val="32"/>
          <w:szCs w:val="50"/>
        </w:rPr>
      </w:pPr>
    </w:p>
    <w:p w14:paraId="251E3348" w14:textId="1C7F7AA6" w:rsidR="00F956F5" w:rsidRDefault="00F956F5" w:rsidP="00D07382">
      <w:pPr>
        <w:rPr>
          <w:rStyle w:val="A4"/>
          <w:color w:val="auto"/>
          <w:sz w:val="32"/>
          <w:szCs w:val="50"/>
        </w:rPr>
      </w:pPr>
    </w:p>
    <w:p w14:paraId="6190ED32" w14:textId="01B8A532" w:rsidR="00F956F5" w:rsidRDefault="00F956F5" w:rsidP="00D07382">
      <w:pPr>
        <w:rPr>
          <w:rStyle w:val="A4"/>
          <w:color w:val="auto"/>
          <w:sz w:val="32"/>
          <w:szCs w:val="50"/>
        </w:rPr>
      </w:pPr>
    </w:p>
    <w:p w14:paraId="23A6215E" w14:textId="77777777" w:rsidR="00F956F5" w:rsidRDefault="00F956F5" w:rsidP="00D07382">
      <w:pPr>
        <w:rPr>
          <w:rStyle w:val="A4"/>
          <w:color w:val="auto"/>
          <w:sz w:val="32"/>
          <w:szCs w:val="5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43E28" w14:paraId="25E35788" w14:textId="77777777" w:rsidTr="00B86124">
        <w:trPr>
          <w:trHeight w:val="1807"/>
        </w:trPr>
        <w:tc>
          <w:tcPr>
            <w:tcW w:w="3020" w:type="dxa"/>
          </w:tcPr>
          <w:p w14:paraId="7D3615DC" w14:textId="47C0B896" w:rsidR="00143E28" w:rsidRDefault="004E1F5D" w:rsidP="009E03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10</w:t>
            </w:r>
          </w:p>
          <w:p w14:paraId="1EF192D5" w14:textId="77777777" w:rsidR="00143E28" w:rsidRDefault="00143E28" w:rsidP="009E03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69550A">
              <w:rPr>
                <w:rFonts w:ascii="Calibri" w:hAnsi="Calibri" w:cs="Calibri"/>
                <w:b/>
                <w:bCs/>
                <w:color w:val="000000"/>
                <w:szCs w:val="40"/>
              </w:rPr>
              <w:t>významných povodní</w:t>
            </w:r>
          </w:p>
          <w:p w14:paraId="349ABD3C" w14:textId="17A1FADE" w:rsidR="00143E28" w:rsidRDefault="006E0E7F" w:rsidP="009E0344">
            <w:pPr>
              <w:jc w:val="center"/>
            </w:pPr>
            <w:r>
              <w:t>v letech</w:t>
            </w:r>
            <w:r w:rsidR="00143E28">
              <w:t xml:space="preserve"> 1997 a</w:t>
            </w:r>
            <w:r w:rsidR="007B2EB8">
              <w:t>ž</w:t>
            </w:r>
            <w:r w:rsidR="00143E28">
              <w:t xml:space="preserve"> </w:t>
            </w:r>
            <w:r w:rsidR="00143E28" w:rsidRPr="00055D3A">
              <w:t>201</w:t>
            </w:r>
            <w:r w:rsidR="00143E28">
              <w:t>3</w:t>
            </w:r>
            <w:r w:rsidR="00143E28">
              <w:rPr>
                <w:rStyle w:val="Znakapoznpodarou"/>
              </w:rPr>
              <w:footnoteReference w:id="3"/>
            </w:r>
          </w:p>
          <w:p w14:paraId="2E079125" w14:textId="77777777" w:rsidR="00143E28" w:rsidRDefault="00143E28" w:rsidP="009E0344">
            <w:pPr>
              <w:rPr>
                <w:rStyle w:val="A1"/>
                <w:rFonts w:ascii="Calibri" w:hAnsi="Calibri" w:cs="Calibri"/>
                <w:b/>
                <w:bCs/>
                <w:sz w:val="40"/>
                <w:szCs w:val="40"/>
              </w:rPr>
            </w:pPr>
          </w:p>
          <w:p w14:paraId="6179CC25" w14:textId="77777777" w:rsidR="00F956F5" w:rsidRDefault="00F956F5" w:rsidP="009E0344">
            <w:pPr>
              <w:rPr>
                <w:rStyle w:val="A1"/>
                <w:rFonts w:ascii="Calibri" w:hAnsi="Calibri" w:cs="Calibri"/>
                <w:b/>
                <w:bCs/>
                <w:sz w:val="40"/>
                <w:szCs w:val="40"/>
              </w:rPr>
            </w:pPr>
          </w:p>
          <w:p w14:paraId="2F5A880E" w14:textId="378AA49C" w:rsidR="00143E28" w:rsidRPr="0069550A" w:rsidRDefault="00143E28" w:rsidP="009E0344">
            <w:pPr>
              <w:rPr>
                <w:rStyle w:val="A1"/>
                <w:rFonts w:ascii="Calibri" w:hAnsi="Calibri" w:cs="Calibri"/>
                <w:b/>
                <w:bCs/>
                <w:sz w:val="40"/>
                <w:szCs w:val="40"/>
              </w:rPr>
            </w:pPr>
          </w:p>
        </w:tc>
        <w:tc>
          <w:tcPr>
            <w:tcW w:w="3021" w:type="dxa"/>
          </w:tcPr>
          <w:p w14:paraId="3F225215" w14:textId="606C55D4" w:rsidR="00143E28" w:rsidRDefault="00143E28" w:rsidP="009E0344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123</w:t>
            </w:r>
            <w:r w:rsidR="004E1F5D">
              <w:rPr>
                <w:rStyle w:val="A5"/>
              </w:rPr>
              <w:t xml:space="preserve"> až 135</w:t>
            </w:r>
          </w:p>
          <w:p w14:paraId="22B3D708" w14:textId="73FE9621" w:rsidR="00143E28" w:rsidRPr="0069550A" w:rsidRDefault="00143E28" w:rsidP="009E0344">
            <w:pPr>
              <w:jc w:val="center"/>
              <w:rPr>
                <w:rStyle w:val="A5"/>
                <w:sz w:val="20"/>
              </w:rPr>
            </w:pPr>
            <w:r w:rsidRPr="0069550A">
              <w:rPr>
                <w:rStyle w:val="A5"/>
                <w:sz w:val="20"/>
              </w:rPr>
              <w:t>lidských obětí</w:t>
            </w:r>
            <w:r w:rsidR="004E1F5D">
              <w:rPr>
                <w:rStyle w:val="A5"/>
                <w:sz w:val="20"/>
              </w:rPr>
              <w:t xml:space="preserve"> </w:t>
            </w:r>
          </w:p>
          <w:p w14:paraId="3AA00CDF" w14:textId="4FE52E10" w:rsidR="00B86124" w:rsidRDefault="006E0E7F" w:rsidP="00B86124">
            <w:pPr>
              <w:jc w:val="center"/>
            </w:pPr>
            <w:r>
              <w:t xml:space="preserve">v letech </w:t>
            </w:r>
            <w:r w:rsidR="00B86124">
              <w:t>1997 a</w:t>
            </w:r>
            <w:r w:rsidR="007B2EB8">
              <w:t>ž</w:t>
            </w:r>
            <w:r w:rsidR="00B86124">
              <w:t xml:space="preserve"> </w:t>
            </w:r>
            <w:r w:rsidR="00B86124" w:rsidRPr="00055D3A">
              <w:t>201</w:t>
            </w:r>
            <w:r w:rsidR="00B86124">
              <w:t>3</w:t>
            </w:r>
          </w:p>
          <w:p w14:paraId="684D1ADB" w14:textId="77777777" w:rsidR="00143E28" w:rsidRPr="00315B98" w:rsidRDefault="00143E28" w:rsidP="009E0344">
            <w:pPr>
              <w:jc w:val="center"/>
              <w:rPr>
                <w:rStyle w:val="A1"/>
                <w:b/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21" w:type="dxa"/>
          </w:tcPr>
          <w:p w14:paraId="710C324D" w14:textId="2F4F2799" w:rsidR="00143E28" w:rsidRDefault="00143E28" w:rsidP="009E03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186</w:t>
            </w:r>
            <w:r w:rsidR="00A06D64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,4</w:t>
            </w: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 mld. Kč</w:t>
            </w:r>
          </w:p>
          <w:p w14:paraId="260F4961" w14:textId="77777777" w:rsidR="00143E28" w:rsidRDefault="00143E28" w:rsidP="009E0344">
            <w:pPr>
              <w:jc w:val="center"/>
              <w:rPr>
                <w:b/>
              </w:rPr>
            </w:pPr>
            <w:r>
              <w:rPr>
                <w:b/>
              </w:rPr>
              <w:t>vyčíslená škoda na majetku</w:t>
            </w:r>
          </w:p>
          <w:p w14:paraId="205B5DF5" w14:textId="06720721" w:rsidR="00B86124" w:rsidRDefault="006E0E7F" w:rsidP="00B86124">
            <w:pPr>
              <w:jc w:val="center"/>
            </w:pPr>
            <w:r>
              <w:t>v letech</w:t>
            </w:r>
            <w:r w:rsidR="00B86124">
              <w:t xml:space="preserve"> 1997 a</w:t>
            </w:r>
            <w:r w:rsidR="007B2EB8">
              <w:t>ž</w:t>
            </w:r>
            <w:r w:rsidR="00B86124">
              <w:t xml:space="preserve"> </w:t>
            </w:r>
            <w:r w:rsidR="00B86124" w:rsidRPr="00055D3A">
              <w:t>201</w:t>
            </w:r>
            <w:r w:rsidR="00B86124">
              <w:t>3</w:t>
            </w:r>
          </w:p>
          <w:p w14:paraId="7BF29FA4" w14:textId="19BA95BE" w:rsidR="00B86124" w:rsidRPr="002D0F91" w:rsidRDefault="00B86124" w:rsidP="009E0344">
            <w:pPr>
              <w:jc w:val="center"/>
              <w:rPr>
                <w:rStyle w:val="A1"/>
                <w:rFonts w:ascii="Calibri Light" w:hAnsi="Calibri Light" w:cs="Calibri Light"/>
              </w:rPr>
            </w:pPr>
          </w:p>
        </w:tc>
      </w:tr>
      <w:tr w:rsidR="00143E28" w:rsidRPr="002D0F91" w14:paraId="3575D61C" w14:textId="77777777" w:rsidTr="00B86124">
        <w:trPr>
          <w:trHeight w:val="1807"/>
        </w:trPr>
        <w:tc>
          <w:tcPr>
            <w:tcW w:w="3020" w:type="dxa"/>
          </w:tcPr>
          <w:p w14:paraId="653A9FD2" w14:textId="01CFF052" w:rsidR="00143E28" w:rsidRDefault="00143E28" w:rsidP="00143E28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4,2 mld. Kč</w:t>
            </w:r>
          </w:p>
          <w:p w14:paraId="62605AAE" w14:textId="25E9845A" w:rsidR="00143E28" w:rsidRPr="0069550A" w:rsidRDefault="00143E28" w:rsidP="00C8161B">
            <w:pPr>
              <w:jc w:val="center"/>
              <w:rPr>
                <w:rStyle w:val="A1"/>
                <w:rFonts w:ascii="Calibri" w:hAnsi="Calibri" w:cs="Calibri"/>
                <w:b/>
                <w:bCs/>
                <w:sz w:val="40"/>
                <w:szCs w:val="40"/>
              </w:rPr>
            </w:pPr>
            <w:r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odhad </w:t>
            </w:r>
            <w:r w:rsidR="00A06D64"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MŽP a MZe </w:t>
            </w:r>
            <w:r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průměrných ročních </w:t>
            </w:r>
            <w:r w:rsidR="00FD0DAB"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potřeb </w:t>
            </w:r>
            <w:r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finančních </w:t>
            </w:r>
            <w:r w:rsidR="00FD0DAB"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zdrojů </w:t>
            </w:r>
            <w:r>
              <w:rPr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na zavádění technických a přírodě blízkých </w:t>
            </w:r>
            <w:r w:rsidR="00CC1DF2">
              <w:rPr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protipovodňových </w:t>
            </w:r>
            <w:r>
              <w:rPr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opatření</w:t>
            </w:r>
          </w:p>
        </w:tc>
        <w:tc>
          <w:tcPr>
            <w:tcW w:w="3021" w:type="dxa"/>
          </w:tcPr>
          <w:p w14:paraId="2583B96D" w14:textId="41A43D9F" w:rsidR="00143E28" w:rsidRDefault="00143E28" w:rsidP="009E0344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1,4 mld. Kč</w:t>
            </w:r>
          </w:p>
          <w:p w14:paraId="496D59DF" w14:textId="0629199F" w:rsidR="00143E28" w:rsidRPr="00315B98" w:rsidRDefault="00143E28" w:rsidP="009F16DD">
            <w:pPr>
              <w:jc w:val="center"/>
              <w:rPr>
                <w:rStyle w:val="A1"/>
                <w:b/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</w:t>
            </w:r>
            <w:r w:rsidRPr="00055D3A"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ostředky vynaložené </w:t>
            </w:r>
            <w:r w:rsidR="009F16DD"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MŽP a </w:t>
            </w:r>
            <w:r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MZe </w:t>
            </w:r>
            <w:r w:rsidR="009F16DD"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průměrně za rok </w:t>
            </w:r>
            <w:r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 programy prevence před povodněmi</w:t>
            </w:r>
            <w:r w:rsidRPr="00055D3A"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55D3A"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055D3A">
              <w:rPr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 letech 201</w:t>
            </w:r>
            <w:r>
              <w:rPr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6 až </w:t>
            </w:r>
            <w:r w:rsidRPr="00055D3A">
              <w:rPr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201</w:t>
            </w:r>
            <w:r>
              <w:rPr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3021" w:type="dxa"/>
          </w:tcPr>
          <w:p w14:paraId="69DCAD57" w14:textId="258119BB" w:rsidR="00143E28" w:rsidRDefault="00143E28" w:rsidP="00143E28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245 mil. Kč</w:t>
            </w:r>
          </w:p>
          <w:p w14:paraId="51F2D3D2" w14:textId="14952C93" w:rsidR="00143E28" w:rsidRDefault="00143E28" w:rsidP="00143E28">
            <w:pPr>
              <w:jc w:val="center"/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kontrolovaný objem peněžních prostředků</w:t>
            </w:r>
            <w:r w:rsidR="0048542D">
              <w:rPr>
                <w:b/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u příjemců podpory</w:t>
            </w:r>
          </w:p>
          <w:p w14:paraId="730F8532" w14:textId="6BB50ABC" w:rsidR="00143E28" w:rsidRPr="002D0F91" w:rsidRDefault="00143E28" w:rsidP="00143E28">
            <w:pPr>
              <w:jc w:val="center"/>
              <w:rPr>
                <w:rStyle w:val="A1"/>
                <w:rFonts w:ascii="Calibri Light" w:hAnsi="Calibri Light" w:cs="Calibri Light"/>
              </w:rPr>
            </w:pPr>
            <w:r>
              <w:rPr>
                <w:color w:val="000000" w:themeColor="text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(11 kontrolovaných projektů)</w:t>
            </w:r>
          </w:p>
        </w:tc>
      </w:tr>
    </w:tbl>
    <w:p w14:paraId="160BB699" w14:textId="32E3CA5D" w:rsidR="00F956F5" w:rsidRDefault="00F956F5" w:rsidP="00D41D54">
      <w:pPr>
        <w:pStyle w:val="Text"/>
        <w:tabs>
          <w:tab w:val="left" w:pos="2696"/>
          <w:tab w:val="center" w:pos="4536"/>
        </w:tabs>
        <w:spacing w:before="0"/>
        <w:jc w:val="left"/>
        <w:rPr>
          <w:sz w:val="32"/>
        </w:rPr>
      </w:pPr>
    </w:p>
    <w:p w14:paraId="67D72F25" w14:textId="7DBCD961" w:rsidR="00F956F5" w:rsidRDefault="00F956F5" w:rsidP="00D41D54">
      <w:pPr>
        <w:pStyle w:val="Text"/>
        <w:tabs>
          <w:tab w:val="left" w:pos="2696"/>
          <w:tab w:val="center" w:pos="4536"/>
        </w:tabs>
        <w:spacing w:before="0"/>
        <w:jc w:val="left"/>
        <w:rPr>
          <w:sz w:val="32"/>
        </w:rPr>
      </w:pPr>
    </w:p>
    <w:p w14:paraId="15A261E9" w14:textId="4C667A44" w:rsidR="00F956F5" w:rsidRPr="0048542D" w:rsidRDefault="006A2B03" w:rsidP="006A2B03">
      <w:pPr>
        <w:pStyle w:val="Text"/>
        <w:tabs>
          <w:tab w:val="left" w:pos="2696"/>
          <w:tab w:val="center" w:pos="4536"/>
        </w:tabs>
        <w:spacing w:before="0"/>
        <w:jc w:val="center"/>
        <w:rPr>
          <w:b/>
        </w:rPr>
      </w:pPr>
      <w:r>
        <w:rPr>
          <w:b/>
        </w:rPr>
        <w:t xml:space="preserve">Rozsah oblastí s významným povodňovým rizikem dle aktuálně platných </w:t>
      </w:r>
      <w:r w:rsidRPr="007F5880">
        <w:rPr>
          <w:b/>
          <w:i/>
        </w:rPr>
        <w:t>plánů pro zvládání povodňových rizik</w:t>
      </w:r>
      <w:r>
        <w:rPr>
          <w:b/>
        </w:rPr>
        <w:t xml:space="preserve"> zveřejněných v roce 2015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2"/>
        <w:gridCol w:w="1855"/>
        <w:gridCol w:w="1856"/>
        <w:gridCol w:w="1858"/>
        <w:gridCol w:w="2121"/>
      </w:tblGrid>
      <w:tr w:rsidR="00F66E6E" w:rsidRPr="00AE3D9E" w14:paraId="4C24D93A" w14:textId="77777777" w:rsidTr="001E23B0">
        <w:trPr>
          <w:trHeight w:val="358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1B840B55" w14:textId="3F4F318D" w:rsidR="00F66E6E" w:rsidRPr="00AE3D9E" w:rsidRDefault="00F66E6E" w:rsidP="009E03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3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Česká část mezinárodních povodí</w:t>
            </w:r>
          </w:p>
        </w:tc>
        <w:tc>
          <w:tcPr>
            <w:tcW w:w="30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36EC5D83" w14:textId="60E0FD75" w:rsidR="00F66E6E" w:rsidRDefault="00F66E6E" w:rsidP="00C509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Oblasti s významným povodňovým rizikem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F1FF"/>
            <w:vAlign w:val="center"/>
          </w:tcPr>
          <w:p w14:paraId="386FA2CB" w14:textId="77777777" w:rsidR="00F66E6E" w:rsidRDefault="00F66E6E" w:rsidP="009E03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3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obyvatel</w:t>
            </w:r>
          </w:p>
          <w:p w14:paraId="24CC494D" w14:textId="6521D7B4" w:rsidR="00F66E6E" w:rsidRPr="00AE3D9E" w:rsidRDefault="00F66E6E" w:rsidP="009E03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3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 nepřijatelném riziku</w:t>
            </w:r>
            <w:r w:rsidR="000A6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povodňového ohrožení</w:t>
            </w:r>
          </w:p>
        </w:tc>
      </w:tr>
      <w:tr w:rsidR="00F66E6E" w:rsidRPr="00AE3D9E" w14:paraId="7139FE7A" w14:textId="77777777" w:rsidTr="001E23B0">
        <w:trPr>
          <w:trHeight w:val="419"/>
        </w:trPr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B5D5"/>
            <w:vAlign w:val="center"/>
            <w:hideMark/>
          </w:tcPr>
          <w:p w14:paraId="2BBB584F" w14:textId="708BD3F4" w:rsidR="00F66E6E" w:rsidRPr="00AE3D9E" w:rsidRDefault="00F66E6E" w:rsidP="009E03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242F8AEA" w14:textId="457050CA" w:rsidR="00F66E6E" w:rsidRPr="007F5880" w:rsidRDefault="00F66E6E" w:rsidP="00E327C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Délka vodních toků </w:t>
            </w:r>
            <w:r w:rsidR="00E327C5" w:rsidRPr="007F5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6E0E7F" w:rsidRPr="007F5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 </w:t>
            </w:r>
            <w:r w:rsidRPr="007F5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km</w:t>
            </w:r>
            <w:r w:rsidR="00E327C5" w:rsidRPr="007F5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AA88F0B" w14:textId="5CE22D68" w:rsidR="00F66E6E" w:rsidRPr="00AE3D9E" w:rsidRDefault="00F66E6E" w:rsidP="00F66E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3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obcí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CFBCAF0" w14:textId="24040805" w:rsidR="00F66E6E" w:rsidRPr="00AE3D9E" w:rsidRDefault="00F66E6E" w:rsidP="00F66E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obyvatel</w:t>
            </w:r>
          </w:p>
        </w:tc>
        <w:tc>
          <w:tcPr>
            <w:tcW w:w="11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B213" w14:textId="1EAB9B40" w:rsidR="00F66E6E" w:rsidRPr="00AE3D9E" w:rsidRDefault="00F66E6E" w:rsidP="009E03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509C2" w:rsidRPr="00AE3D9E" w14:paraId="530689FB" w14:textId="77777777" w:rsidTr="001E23B0">
        <w:trPr>
          <w:trHeight w:val="300"/>
        </w:trPr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8E48096" w14:textId="77777777" w:rsidR="00C509C2" w:rsidRPr="00AE3D9E" w:rsidRDefault="00C509C2" w:rsidP="009E034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3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Dunaj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3775D" w14:textId="084F0468" w:rsidR="00C509C2" w:rsidRPr="00AE3D9E" w:rsidRDefault="00C509C2" w:rsidP="000A6075">
            <w:pPr>
              <w:ind w:right="17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617,30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D47B" w14:textId="4EF0F77E" w:rsidR="00C509C2" w:rsidRPr="00AE3D9E" w:rsidRDefault="00C509C2" w:rsidP="000A6075">
            <w:pPr>
              <w:ind w:right="17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3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524B" w14:textId="77777777" w:rsidR="00C509C2" w:rsidRPr="00AE3D9E" w:rsidRDefault="00C509C2" w:rsidP="000A6075">
            <w:pPr>
              <w:ind w:right="17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3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1 531 539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D864" w14:textId="77777777" w:rsidR="00C509C2" w:rsidRPr="00AE3D9E" w:rsidRDefault="00C509C2" w:rsidP="000A6075">
            <w:pPr>
              <w:ind w:right="17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3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106 545</w:t>
            </w:r>
          </w:p>
        </w:tc>
      </w:tr>
      <w:tr w:rsidR="00C509C2" w:rsidRPr="00AE3D9E" w14:paraId="70229164" w14:textId="77777777" w:rsidTr="001E23B0">
        <w:trPr>
          <w:trHeight w:val="300"/>
        </w:trPr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CE83953" w14:textId="77777777" w:rsidR="00C509C2" w:rsidRPr="00AE3D9E" w:rsidRDefault="00C509C2" w:rsidP="009E034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3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Labe 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1BA0D" w14:textId="3B1CDAD5" w:rsidR="00C509C2" w:rsidRPr="00AE3D9E" w:rsidRDefault="00C509C2" w:rsidP="000A6075">
            <w:pPr>
              <w:ind w:right="17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2 047,00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0882" w14:textId="5616F56A" w:rsidR="00C509C2" w:rsidRPr="00AE3D9E" w:rsidRDefault="00C509C2" w:rsidP="000A6075">
            <w:pPr>
              <w:ind w:right="17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3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3786" w14:textId="77777777" w:rsidR="00C509C2" w:rsidRPr="00AE3D9E" w:rsidRDefault="00C509C2" w:rsidP="000A6075">
            <w:pPr>
              <w:ind w:right="17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3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3 973 130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D06B" w14:textId="77777777" w:rsidR="00C509C2" w:rsidRPr="00AE3D9E" w:rsidRDefault="00C509C2" w:rsidP="000A6075">
            <w:pPr>
              <w:ind w:right="17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3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56 112</w:t>
            </w:r>
          </w:p>
        </w:tc>
      </w:tr>
      <w:tr w:rsidR="00C509C2" w:rsidRPr="00AE3D9E" w14:paraId="787D64E7" w14:textId="77777777" w:rsidTr="001E23B0">
        <w:trPr>
          <w:trHeight w:val="300"/>
        </w:trPr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9308B8E" w14:textId="77777777" w:rsidR="00C509C2" w:rsidRPr="00AE3D9E" w:rsidRDefault="00C509C2" w:rsidP="009E034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3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Odra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9B991" w14:textId="35F9F298" w:rsidR="00C509C2" w:rsidRPr="00AE3D9E" w:rsidRDefault="00C509C2" w:rsidP="000A6075">
            <w:pPr>
              <w:ind w:right="17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295,20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CBE2" w14:textId="0DDB56B3" w:rsidR="00C509C2" w:rsidRPr="00AE3D9E" w:rsidRDefault="00C509C2" w:rsidP="000A6075">
            <w:pPr>
              <w:ind w:right="17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3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7C56" w14:textId="77777777" w:rsidR="00C509C2" w:rsidRPr="00AE3D9E" w:rsidRDefault="00C509C2" w:rsidP="000A6075">
            <w:pPr>
              <w:ind w:right="17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3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901 206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C3EA" w14:textId="77777777" w:rsidR="00C509C2" w:rsidRPr="00AE3D9E" w:rsidRDefault="00C509C2" w:rsidP="000A6075">
            <w:pPr>
              <w:ind w:right="17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3D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14 347</w:t>
            </w:r>
          </w:p>
        </w:tc>
      </w:tr>
      <w:tr w:rsidR="00C509C2" w:rsidRPr="00AE3D9E" w14:paraId="60D92A27" w14:textId="77777777" w:rsidTr="001E23B0">
        <w:trPr>
          <w:trHeight w:val="300"/>
        </w:trPr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D94F304" w14:textId="77777777" w:rsidR="00C509C2" w:rsidRPr="00AE3D9E" w:rsidRDefault="00C509C2" w:rsidP="009E034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3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9AF1F" w14:textId="3A6E29E4" w:rsidR="00C509C2" w:rsidRPr="00AE3D9E" w:rsidRDefault="00C509C2" w:rsidP="000A6075">
            <w:pPr>
              <w:ind w:right="17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2 959,50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DF75" w14:textId="4E70AD6B" w:rsidR="00C509C2" w:rsidRPr="00AE3D9E" w:rsidRDefault="00C509C2" w:rsidP="000A6075">
            <w:pPr>
              <w:ind w:right="17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3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990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60D9" w14:textId="77777777" w:rsidR="00C509C2" w:rsidRPr="00AE3D9E" w:rsidRDefault="00C509C2" w:rsidP="000A6075">
            <w:pPr>
              <w:ind w:right="17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3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6 405 875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3A67" w14:textId="77777777" w:rsidR="00C509C2" w:rsidRPr="00AE3D9E" w:rsidRDefault="00C509C2" w:rsidP="000A6075">
            <w:pPr>
              <w:ind w:right="17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3D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177 004</w:t>
            </w:r>
          </w:p>
        </w:tc>
      </w:tr>
    </w:tbl>
    <w:p w14:paraId="2CD0D6C1" w14:textId="5FEA9816" w:rsidR="004D3ACD" w:rsidRDefault="00D41D54" w:rsidP="00516190">
      <w:pPr>
        <w:pStyle w:val="Text"/>
        <w:spacing w:before="0"/>
        <w:ind w:left="567" w:hanging="567"/>
        <w:jc w:val="left"/>
      </w:pPr>
      <w:r w:rsidRPr="009E61F0">
        <w:rPr>
          <w:b/>
          <w:sz w:val="20"/>
        </w:rPr>
        <w:t>Zdroj:</w:t>
      </w:r>
      <w:r w:rsidRPr="00D41D54">
        <w:rPr>
          <w:sz w:val="20"/>
        </w:rPr>
        <w:t xml:space="preserve"> </w:t>
      </w:r>
      <w:r w:rsidR="00516190">
        <w:rPr>
          <w:sz w:val="20"/>
        </w:rPr>
        <w:tab/>
      </w:r>
      <w:r w:rsidRPr="007F5880">
        <w:rPr>
          <w:i/>
          <w:sz w:val="20"/>
        </w:rPr>
        <w:t>Plán pro zvládání povodňových rizik v povodí Dunaje pro období 2015</w:t>
      </w:r>
      <w:r w:rsidR="00516190">
        <w:rPr>
          <w:i/>
          <w:sz w:val="20"/>
        </w:rPr>
        <w:t>–</w:t>
      </w:r>
      <w:r w:rsidRPr="007F5880">
        <w:rPr>
          <w:i/>
          <w:sz w:val="20"/>
        </w:rPr>
        <w:t>2021</w:t>
      </w:r>
      <w:r w:rsidR="00A21E2C">
        <w:rPr>
          <w:sz w:val="20"/>
        </w:rPr>
        <w:t xml:space="preserve">, </w:t>
      </w:r>
      <w:r w:rsidR="00A21E2C" w:rsidRPr="007F5880">
        <w:rPr>
          <w:i/>
          <w:sz w:val="20"/>
        </w:rPr>
        <w:t>Plán pro zvládání povodňových rizik v povodí Labe pro období 2015</w:t>
      </w:r>
      <w:r w:rsidR="00516190">
        <w:rPr>
          <w:i/>
          <w:sz w:val="20"/>
        </w:rPr>
        <w:t>–</w:t>
      </w:r>
      <w:r w:rsidR="00A21E2C" w:rsidRPr="007F5880">
        <w:rPr>
          <w:i/>
          <w:sz w:val="20"/>
        </w:rPr>
        <w:t>2021</w:t>
      </w:r>
      <w:r w:rsidR="00516190">
        <w:rPr>
          <w:sz w:val="20"/>
        </w:rPr>
        <w:t xml:space="preserve">, </w:t>
      </w:r>
      <w:r w:rsidR="00516190" w:rsidRPr="007F5880">
        <w:rPr>
          <w:i/>
          <w:sz w:val="20"/>
        </w:rPr>
        <w:t>Plán pro zvládání povodňových rizik v povodí Odry pro období 2015</w:t>
      </w:r>
      <w:r w:rsidR="00516190">
        <w:rPr>
          <w:i/>
          <w:sz w:val="20"/>
        </w:rPr>
        <w:t>–</w:t>
      </w:r>
      <w:r w:rsidR="00516190" w:rsidRPr="007F5880">
        <w:rPr>
          <w:i/>
          <w:sz w:val="20"/>
        </w:rPr>
        <w:t>2021</w:t>
      </w:r>
      <w:r w:rsidR="00516190">
        <w:rPr>
          <w:sz w:val="20"/>
        </w:rPr>
        <w:t xml:space="preserve"> (dále </w:t>
      </w:r>
      <w:r w:rsidR="00090042">
        <w:rPr>
          <w:sz w:val="20"/>
        </w:rPr>
        <w:t>také</w:t>
      </w:r>
      <w:r w:rsidR="00516190">
        <w:rPr>
          <w:sz w:val="20"/>
        </w:rPr>
        <w:t xml:space="preserve"> „</w:t>
      </w:r>
      <w:r w:rsidR="00516190" w:rsidRPr="006E0E7F">
        <w:rPr>
          <w:sz w:val="20"/>
        </w:rPr>
        <w:t>plány pro zvládání povodňových rizik</w:t>
      </w:r>
      <w:r w:rsidR="00516190">
        <w:rPr>
          <w:sz w:val="20"/>
        </w:rPr>
        <w:t>“ nebo „PpZPR“)</w:t>
      </w:r>
      <w:r w:rsidR="000136D8">
        <w:rPr>
          <w:sz w:val="20"/>
        </w:rPr>
        <w:t>.</w:t>
      </w:r>
      <w:r w:rsidR="004D3ACD">
        <w:br w:type="page"/>
      </w:r>
    </w:p>
    <w:p w14:paraId="62CB6C59" w14:textId="01C12F4A" w:rsidR="00395345" w:rsidRDefault="0034463B" w:rsidP="00395345">
      <w:pPr>
        <w:pStyle w:val="Nadpis1"/>
        <w:numPr>
          <w:ilvl w:val="0"/>
          <w:numId w:val="0"/>
        </w:numPr>
        <w:ind w:left="432" w:hanging="432"/>
        <w:jc w:val="center"/>
      </w:pPr>
      <w:r>
        <w:lastRenderedPageBreak/>
        <w:t xml:space="preserve">I. </w:t>
      </w:r>
      <w:r w:rsidR="00395345">
        <w:t>Shrnutí a vyhodnocení</w:t>
      </w:r>
    </w:p>
    <w:p w14:paraId="3108820D" w14:textId="6599A2C5" w:rsidR="00F71774" w:rsidRDefault="00466E6F" w:rsidP="0097400A">
      <w:pPr>
        <w:pStyle w:val="TextKP"/>
      </w:pPr>
      <w:r w:rsidRPr="00D31844">
        <w:t>NKÚ provedl kontrolu</w:t>
      </w:r>
      <w:r w:rsidR="000201D0">
        <w:t xml:space="preserve"> nastavení</w:t>
      </w:r>
      <w:r>
        <w:t xml:space="preserve"> systému </w:t>
      </w:r>
      <w:r w:rsidR="00032A77">
        <w:t xml:space="preserve">podpory protipovodňových </w:t>
      </w:r>
      <w:r>
        <w:t>opatření</w:t>
      </w:r>
      <w:r w:rsidR="006077B8">
        <w:t xml:space="preserve"> </w:t>
      </w:r>
      <w:r w:rsidR="006077B8" w:rsidRPr="006077B8">
        <w:t>(dále také „PPO“).</w:t>
      </w:r>
      <w:r w:rsidR="00032A77">
        <w:t xml:space="preserve"> </w:t>
      </w:r>
      <w:r w:rsidR="000D7B36">
        <w:t>Kontrole bylo podrobeno poskytování peněžních pro</w:t>
      </w:r>
      <w:r w:rsidR="005135C6">
        <w:t xml:space="preserve">středků </w:t>
      </w:r>
      <w:r w:rsidR="00C8161B">
        <w:t>ze státního rozpočtu</w:t>
      </w:r>
      <w:r w:rsidR="000201D0">
        <w:t xml:space="preserve"> a</w:t>
      </w:r>
      <w:r w:rsidR="00943753">
        <w:t xml:space="preserve"> </w:t>
      </w:r>
      <w:r w:rsidR="000D7B36">
        <w:t>z</w:t>
      </w:r>
      <w:r w:rsidR="00943753">
        <w:t>e zdrojů</w:t>
      </w:r>
      <w:r w:rsidR="00DA17B5">
        <w:t xml:space="preserve"> Evropské unie, konkrétně</w:t>
      </w:r>
      <w:r w:rsidR="00484B88">
        <w:t xml:space="preserve"> </w:t>
      </w:r>
      <w:r w:rsidR="00943753">
        <w:t xml:space="preserve">z </w:t>
      </w:r>
      <w:r w:rsidR="004821E0" w:rsidRPr="00EC4BDB">
        <w:t>o</w:t>
      </w:r>
      <w:r w:rsidR="00484B88" w:rsidRPr="00EC4BDB">
        <w:t>peračního programu</w:t>
      </w:r>
      <w:r w:rsidR="00484B88" w:rsidRPr="006077B8">
        <w:rPr>
          <w:i/>
        </w:rPr>
        <w:t xml:space="preserve"> Životní prostředí</w:t>
      </w:r>
      <w:r w:rsidR="00484B88">
        <w:rPr>
          <w:rStyle w:val="Znakapoznpodarou"/>
        </w:rPr>
        <w:footnoteReference w:id="4"/>
      </w:r>
      <w:r w:rsidR="00943753">
        <w:rPr>
          <w:i/>
        </w:rPr>
        <w:t xml:space="preserve"> </w:t>
      </w:r>
      <w:r w:rsidR="00DB28BD">
        <w:rPr>
          <w:i/>
        </w:rPr>
        <w:t>2014–</w:t>
      </w:r>
      <w:r w:rsidR="00484B88" w:rsidRPr="006077B8">
        <w:rPr>
          <w:i/>
        </w:rPr>
        <w:t>2020</w:t>
      </w:r>
      <w:r w:rsidR="00DA17B5">
        <w:t>,</w:t>
      </w:r>
      <w:r w:rsidR="00484B88">
        <w:t xml:space="preserve"> </w:t>
      </w:r>
      <w:r w:rsidR="00943753">
        <w:t>vydávaných</w:t>
      </w:r>
      <w:r w:rsidR="000201D0">
        <w:t xml:space="preserve"> </w:t>
      </w:r>
      <w:r w:rsidR="00943753">
        <w:t>M</w:t>
      </w:r>
      <w:r w:rsidR="00C8161B">
        <w:t>inisterstvem životního prostředí</w:t>
      </w:r>
      <w:r w:rsidR="000201D0" w:rsidRPr="000201D0">
        <w:t xml:space="preserve"> </w:t>
      </w:r>
      <w:r w:rsidR="000201D0">
        <w:t xml:space="preserve">a </w:t>
      </w:r>
      <w:r w:rsidR="00943753">
        <w:t>M</w:t>
      </w:r>
      <w:r w:rsidR="00C8161B">
        <w:t xml:space="preserve">inisterstvem </w:t>
      </w:r>
      <w:r w:rsidR="000201D0">
        <w:t xml:space="preserve">zemědělství </w:t>
      </w:r>
      <w:r w:rsidR="00484B88">
        <w:t>na</w:t>
      </w:r>
      <w:r w:rsidR="00B82DDB">
        <w:t xml:space="preserve"> </w:t>
      </w:r>
      <w:r w:rsidR="000201D0">
        <w:t xml:space="preserve">podporu protipovodňových opatření. </w:t>
      </w:r>
      <w:r w:rsidR="001E48B1">
        <w:t xml:space="preserve">Kontrolní akce </w:t>
      </w:r>
      <w:r w:rsidR="00484B88">
        <w:t>byla zaměřena na posouzení, zda</w:t>
      </w:r>
      <w:r w:rsidR="00B82DDB">
        <w:t xml:space="preserve"> </w:t>
      </w:r>
      <w:r w:rsidR="001E48B1">
        <w:t>pe</w:t>
      </w:r>
      <w:r w:rsidR="00766535">
        <w:t>něžní prostředky poskytované na</w:t>
      </w:r>
      <w:r w:rsidR="003B276C">
        <w:t xml:space="preserve"> </w:t>
      </w:r>
      <w:r w:rsidR="001E48B1">
        <w:t xml:space="preserve">protipovodňová opatření byly vynakládány účelně, hospodárně </w:t>
      </w:r>
      <w:r w:rsidR="0095134C">
        <w:br/>
      </w:r>
      <w:r w:rsidR="001E48B1">
        <w:t>a</w:t>
      </w:r>
      <w:r w:rsidR="00B82DDB">
        <w:t xml:space="preserve"> </w:t>
      </w:r>
      <w:r w:rsidR="001E48B1">
        <w:t>v souladu s</w:t>
      </w:r>
      <w:r w:rsidR="00F32A7E">
        <w:t> </w:t>
      </w:r>
      <w:r w:rsidR="001E48B1">
        <w:t>právními</w:t>
      </w:r>
      <w:r w:rsidR="00F32A7E">
        <w:t xml:space="preserve"> předpisy</w:t>
      </w:r>
      <w:r w:rsidR="001E48B1">
        <w:t xml:space="preserve"> a</w:t>
      </w:r>
      <w:r w:rsidR="00F32A7E">
        <w:t xml:space="preserve"> zda realizovaná</w:t>
      </w:r>
      <w:r w:rsidR="00F71774">
        <w:t xml:space="preserve"> protipovodňová opatření vytvářejí předpoklady p</w:t>
      </w:r>
      <w:r w:rsidR="000201D0">
        <w:t>ro předcházení vzniku povodní a</w:t>
      </w:r>
      <w:r w:rsidR="003B276C">
        <w:t xml:space="preserve"> </w:t>
      </w:r>
      <w:r w:rsidR="00F71774">
        <w:t>minimaliz</w:t>
      </w:r>
      <w:r w:rsidR="001E48B1">
        <w:t>aci škod způsobených povodněmi.</w:t>
      </w:r>
    </w:p>
    <w:p w14:paraId="535F0A1C" w14:textId="05CCAF95" w:rsidR="00AD0309" w:rsidRDefault="000D6519" w:rsidP="00FB49F7">
      <w:pPr>
        <w:pStyle w:val="TextKP"/>
        <w:rPr>
          <w:b/>
        </w:rPr>
      </w:pPr>
      <w:r>
        <w:rPr>
          <w:b/>
          <w:lang w:eastAsia="cs-CZ"/>
        </w:rPr>
        <w:t>Kontrolou</w:t>
      </w:r>
      <w:r w:rsidR="00C72D75" w:rsidRPr="000704E1">
        <w:rPr>
          <w:b/>
          <w:lang w:eastAsia="cs-CZ"/>
        </w:rPr>
        <w:t xml:space="preserve"> u MŽP, </w:t>
      </w:r>
      <w:r w:rsidR="00AA4BFA">
        <w:rPr>
          <w:b/>
          <w:lang w:eastAsia="cs-CZ"/>
        </w:rPr>
        <w:t xml:space="preserve">MZe a čtyř </w:t>
      </w:r>
      <w:r w:rsidR="00C72D75" w:rsidRPr="000704E1">
        <w:rPr>
          <w:b/>
          <w:lang w:eastAsia="cs-CZ"/>
        </w:rPr>
        <w:t xml:space="preserve">státních podniků povodí </w:t>
      </w:r>
      <w:r w:rsidR="006C7814" w:rsidRPr="000704E1">
        <w:rPr>
          <w:b/>
          <w:lang w:eastAsia="cs-CZ"/>
        </w:rPr>
        <w:t xml:space="preserve">zjistil </w:t>
      </w:r>
      <w:r w:rsidRPr="000704E1">
        <w:rPr>
          <w:b/>
          <w:lang w:eastAsia="cs-CZ"/>
        </w:rPr>
        <w:t xml:space="preserve">NKÚ </w:t>
      </w:r>
      <w:r w:rsidR="006C7814" w:rsidRPr="000704E1">
        <w:rPr>
          <w:b/>
          <w:lang w:eastAsia="cs-CZ"/>
        </w:rPr>
        <w:t>systémové nedostatky v</w:t>
      </w:r>
      <w:r>
        <w:rPr>
          <w:b/>
          <w:lang w:eastAsia="cs-CZ"/>
        </w:rPr>
        <w:t> </w:t>
      </w:r>
      <w:r w:rsidR="006C7814" w:rsidRPr="000704E1">
        <w:rPr>
          <w:b/>
          <w:lang w:eastAsia="cs-CZ"/>
        </w:rPr>
        <w:t>podpoře protipovodňových opatření.</w:t>
      </w:r>
      <w:r w:rsidR="00C72D75" w:rsidRPr="000704E1">
        <w:rPr>
          <w:b/>
        </w:rPr>
        <w:t xml:space="preserve"> V</w:t>
      </w:r>
      <w:r w:rsidR="00515903" w:rsidRPr="000704E1">
        <w:rPr>
          <w:b/>
        </w:rPr>
        <w:t> </w:t>
      </w:r>
      <w:r w:rsidR="00C72D75" w:rsidRPr="000704E1">
        <w:rPr>
          <w:b/>
        </w:rPr>
        <w:t>Č</w:t>
      </w:r>
      <w:r w:rsidR="00515903" w:rsidRPr="000704E1">
        <w:rPr>
          <w:b/>
        </w:rPr>
        <w:t>eské republice</w:t>
      </w:r>
      <w:r w:rsidR="00C72D75" w:rsidRPr="000704E1">
        <w:rPr>
          <w:b/>
        </w:rPr>
        <w:t xml:space="preserve"> nejsou vytvářeny předpoklady pro předcházení vzniku povodní a</w:t>
      </w:r>
      <w:r w:rsidR="003B276C">
        <w:rPr>
          <w:b/>
        </w:rPr>
        <w:t xml:space="preserve"> </w:t>
      </w:r>
      <w:r w:rsidR="00C72D75" w:rsidRPr="000704E1">
        <w:rPr>
          <w:b/>
        </w:rPr>
        <w:t xml:space="preserve">minimalizaci </w:t>
      </w:r>
      <w:r>
        <w:rPr>
          <w:b/>
        </w:rPr>
        <w:t xml:space="preserve">jejich </w:t>
      </w:r>
      <w:r w:rsidR="00C72D75" w:rsidRPr="000704E1">
        <w:rPr>
          <w:b/>
        </w:rPr>
        <w:t>škod dle požadavků koncepčních a</w:t>
      </w:r>
      <w:r>
        <w:rPr>
          <w:b/>
        </w:rPr>
        <w:t> </w:t>
      </w:r>
      <w:r w:rsidR="00C72D75" w:rsidRPr="000704E1">
        <w:rPr>
          <w:b/>
        </w:rPr>
        <w:t xml:space="preserve">strategických dokumentů. Hlavní příčiny </w:t>
      </w:r>
      <w:r w:rsidR="00FB49F7" w:rsidRPr="000704E1">
        <w:rPr>
          <w:b/>
        </w:rPr>
        <w:t>shledává NKÚ v</w:t>
      </w:r>
      <w:r w:rsidR="00AD0309">
        <w:rPr>
          <w:b/>
        </w:rPr>
        <w:t>e</w:t>
      </w:r>
      <w:r w:rsidR="004821E0">
        <w:rPr>
          <w:b/>
        </w:rPr>
        <w:t xml:space="preserve"> </w:t>
      </w:r>
      <w:r w:rsidR="00C72D75" w:rsidRPr="000704E1">
        <w:rPr>
          <w:b/>
        </w:rPr>
        <w:t>zpoždění realizace protipovodňových opatření,</w:t>
      </w:r>
      <w:r w:rsidR="00FB49F7" w:rsidRPr="000704E1">
        <w:rPr>
          <w:b/>
        </w:rPr>
        <w:t xml:space="preserve"> v </w:t>
      </w:r>
      <w:r w:rsidR="00C72D75" w:rsidRPr="000704E1">
        <w:rPr>
          <w:b/>
        </w:rPr>
        <w:t>mal</w:t>
      </w:r>
      <w:r w:rsidR="00FB49F7" w:rsidRPr="000704E1">
        <w:rPr>
          <w:b/>
        </w:rPr>
        <w:t>ém</w:t>
      </w:r>
      <w:r w:rsidR="00C72D75" w:rsidRPr="000704E1">
        <w:rPr>
          <w:b/>
        </w:rPr>
        <w:t xml:space="preserve"> rozsah</w:t>
      </w:r>
      <w:r w:rsidR="00FB49F7" w:rsidRPr="000704E1">
        <w:rPr>
          <w:b/>
        </w:rPr>
        <w:t>u</w:t>
      </w:r>
      <w:r w:rsidR="00C72D75" w:rsidRPr="000704E1">
        <w:rPr>
          <w:b/>
        </w:rPr>
        <w:t xml:space="preserve"> prosazování přírodě blízkých opatření a</w:t>
      </w:r>
      <w:r w:rsidR="00FB49F7" w:rsidRPr="000704E1">
        <w:rPr>
          <w:b/>
        </w:rPr>
        <w:t xml:space="preserve"> v realizaci </w:t>
      </w:r>
      <w:r w:rsidR="00C72D75" w:rsidRPr="000704E1">
        <w:rPr>
          <w:b/>
        </w:rPr>
        <w:t>výstavb</w:t>
      </w:r>
      <w:r w:rsidR="00FB49F7" w:rsidRPr="000704E1">
        <w:rPr>
          <w:b/>
        </w:rPr>
        <w:t>y</w:t>
      </w:r>
      <w:r w:rsidR="00C72D75" w:rsidRPr="000704E1">
        <w:rPr>
          <w:b/>
        </w:rPr>
        <w:t xml:space="preserve"> v aktivních zónách záplavového území</w:t>
      </w:r>
      <w:r w:rsidR="00FB49F7" w:rsidRPr="000704E1">
        <w:rPr>
          <w:b/>
        </w:rPr>
        <w:t>.</w:t>
      </w:r>
    </w:p>
    <w:p w14:paraId="42E0C52A" w14:textId="7B8338FF" w:rsidR="00203C00" w:rsidRDefault="00203C00" w:rsidP="00203C00">
      <w:pPr>
        <w:pStyle w:val="TextKP"/>
        <w:numPr>
          <w:ilvl w:val="0"/>
          <w:numId w:val="21"/>
        </w:numPr>
        <w:spacing w:before="60"/>
        <w:ind w:left="284" w:hanging="284"/>
        <w:rPr>
          <w:b/>
        </w:rPr>
      </w:pPr>
      <w:r w:rsidRPr="008E0B08">
        <w:rPr>
          <w:b/>
          <w:lang w:eastAsia="cs-CZ"/>
        </w:rPr>
        <w:t>Více než 50 % konkrétních opatření navržených</w:t>
      </w:r>
      <w:r w:rsidR="00FB49F7">
        <w:rPr>
          <w:b/>
          <w:lang w:eastAsia="cs-CZ"/>
        </w:rPr>
        <w:t xml:space="preserve"> MŽP a MZe</w:t>
      </w:r>
      <w:r w:rsidRPr="008E0B08">
        <w:rPr>
          <w:b/>
          <w:lang w:eastAsia="cs-CZ"/>
        </w:rPr>
        <w:t xml:space="preserve"> v </w:t>
      </w:r>
      <w:r w:rsidR="00A21E2C" w:rsidRPr="000D6519">
        <w:rPr>
          <w:b/>
          <w:i/>
          <w:lang w:eastAsia="cs-CZ"/>
        </w:rPr>
        <w:t>p</w:t>
      </w:r>
      <w:r w:rsidRPr="000D6519">
        <w:rPr>
          <w:b/>
          <w:i/>
          <w:lang w:eastAsia="cs-CZ"/>
        </w:rPr>
        <w:t>lánech pro zvládání povodňových rizik</w:t>
      </w:r>
      <w:r w:rsidRPr="008E0B08">
        <w:rPr>
          <w:b/>
          <w:lang w:eastAsia="cs-CZ"/>
        </w:rPr>
        <w:t xml:space="preserve"> pro období let 2015 až 2021 nebude do konce </w:t>
      </w:r>
      <w:r w:rsidR="000D6519">
        <w:rPr>
          <w:b/>
          <w:lang w:eastAsia="cs-CZ"/>
        </w:rPr>
        <w:t>tohoto</w:t>
      </w:r>
      <w:r w:rsidRPr="008E0B08">
        <w:rPr>
          <w:b/>
          <w:lang w:eastAsia="cs-CZ"/>
        </w:rPr>
        <w:t xml:space="preserve"> období ani</w:t>
      </w:r>
      <w:r w:rsidR="004821E0">
        <w:rPr>
          <w:b/>
          <w:lang w:eastAsia="cs-CZ"/>
        </w:rPr>
        <w:t xml:space="preserve"> </w:t>
      </w:r>
      <w:r>
        <w:rPr>
          <w:b/>
          <w:lang w:eastAsia="cs-CZ"/>
        </w:rPr>
        <w:t>zahájeno</w:t>
      </w:r>
      <w:r w:rsidR="000D6519">
        <w:rPr>
          <w:b/>
          <w:lang w:eastAsia="cs-CZ"/>
        </w:rPr>
        <w:t>.</w:t>
      </w:r>
    </w:p>
    <w:p w14:paraId="43F8B68C" w14:textId="36D4BAC1" w:rsidR="00203C00" w:rsidRDefault="00203C00" w:rsidP="00203C00">
      <w:pPr>
        <w:pStyle w:val="TextKP"/>
        <w:numPr>
          <w:ilvl w:val="0"/>
          <w:numId w:val="21"/>
        </w:numPr>
        <w:spacing w:before="60"/>
        <w:ind w:left="284" w:hanging="284"/>
        <w:rPr>
          <w:b/>
        </w:rPr>
      </w:pPr>
      <w:r w:rsidRPr="008E0B08">
        <w:rPr>
          <w:b/>
          <w:lang w:eastAsia="cs-CZ"/>
        </w:rPr>
        <w:t xml:space="preserve">V </w:t>
      </w:r>
      <w:r>
        <w:rPr>
          <w:b/>
          <w:lang w:eastAsia="cs-CZ"/>
        </w:rPr>
        <w:t>případě stavebních projektů byl</w:t>
      </w:r>
      <w:r w:rsidR="00D6412F">
        <w:rPr>
          <w:b/>
          <w:lang w:eastAsia="cs-CZ"/>
        </w:rPr>
        <w:t>a provedena</w:t>
      </w:r>
      <w:r w:rsidRPr="008E0B08">
        <w:rPr>
          <w:b/>
          <w:lang w:eastAsia="cs-CZ"/>
        </w:rPr>
        <w:t xml:space="preserve"> zejména technická opatření </w:t>
      </w:r>
      <w:r w:rsidR="00515903">
        <w:rPr>
          <w:b/>
          <w:lang w:eastAsia="cs-CZ"/>
        </w:rPr>
        <w:t>podpořená z kapitoly</w:t>
      </w:r>
      <w:r w:rsidR="00FB49F7">
        <w:rPr>
          <w:b/>
          <w:lang w:eastAsia="cs-CZ"/>
        </w:rPr>
        <w:t xml:space="preserve"> státního rozpočtu</w:t>
      </w:r>
      <w:r w:rsidRPr="008E0B08">
        <w:rPr>
          <w:b/>
          <w:lang w:eastAsia="cs-CZ"/>
        </w:rPr>
        <w:t xml:space="preserve"> </w:t>
      </w:r>
      <w:r w:rsidR="00B32623">
        <w:rPr>
          <w:b/>
          <w:lang w:eastAsia="cs-CZ"/>
        </w:rPr>
        <w:t xml:space="preserve">329 – </w:t>
      </w:r>
      <w:r w:rsidR="00B32623" w:rsidRPr="00EC4BDB">
        <w:rPr>
          <w:b/>
          <w:i/>
          <w:lang w:eastAsia="cs-CZ"/>
        </w:rPr>
        <w:t>Ministerstvo zemědělství</w:t>
      </w:r>
      <w:r w:rsidR="000704E1">
        <w:rPr>
          <w:b/>
          <w:lang w:eastAsia="cs-CZ"/>
        </w:rPr>
        <w:t xml:space="preserve">, naproti tomu </w:t>
      </w:r>
      <w:r w:rsidRPr="008E0B08">
        <w:rPr>
          <w:b/>
          <w:lang w:eastAsia="cs-CZ"/>
        </w:rPr>
        <w:t xml:space="preserve">přírodě </w:t>
      </w:r>
      <w:r w:rsidR="00B32623">
        <w:rPr>
          <w:b/>
          <w:lang w:eastAsia="cs-CZ"/>
        </w:rPr>
        <w:br/>
      </w:r>
      <w:r w:rsidRPr="008E0B08">
        <w:rPr>
          <w:b/>
          <w:lang w:eastAsia="cs-CZ"/>
        </w:rPr>
        <w:t>blízk</w:t>
      </w:r>
      <w:r w:rsidR="000704E1">
        <w:rPr>
          <w:b/>
          <w:lang w:eastAsia="cs-CZ"/>
        </w:rPr>
        <w:t>á</w:t>
      </w:r>
      <w:r w:rsidRPr="008E0B08">
        <w:rPr>
          <w:b/>
          <w:lang w:eastAsia="cs-CZ"/>
        </w:rPr>
        <w:t xml:space="preserve"> protipovodňov</w:t>
      </w:r>
      <w:r w:rsidR="000704E1">
        <w:rPr>
          <w:b/>
          <w:lang w:eastAsia="cs-CZ"/>
        </w:rPr>
        <w:t>á</w:t>
      </w:r>
      <w:r w:rsidRPr="008E0B08">
        <w:rPr>
          <w:b/>
          <w:lang w:eastAsia="cs-CZ"/>
        </w:rPr>
        <w:t xml:space="preserve"> opatření (dále také „PBPO“)</w:t>
      </w:r>
      <w:r w:rsidR="00515903">
        <w:rPr>
          <w:b/>
          <w:lang w:eastAsia="cs-CZ"/>
        </w:rPr>
        <w:t xml:space="preserve"> podporovaná z evropských fondů </w:t>
      </w:r>
      <w:r w:rsidR="000704E1">
        <w:rPr>
          <w:b/>
          <w:lang w:eastAsia="cs-CZ"/>
        </w:rPr>
        <w:t>pr</w:t>
      </w:r>
      <w:r w:rsidR="00515903">
        <w:rPr>
          <w:b/>
          <w:lang w:eastAsia="cs-CZ"/>
        </w:rPr>
        <w:t>ostřednictvím MŽP</w:t>
      </w:r>
      <w:r w:rsidR="000704E1">
        <w:rPr>
          <w:b/>
          <w:lang w:eastAsia="cs-CZ"/>
        </w:rPr>
        <w:t xml:space="preserve"> byla realizována minimálně</w:t>
      </w:r>
      <w:r w:rsidR="000D6519">
        <w:rPr>
          <w:b/>
          <w:lang w:eastAsia="cs-CZ"/>
        </w:rPr>
        <w:t>.</w:t>
      </w:r>
    </w:p>
    <w:p w14:paraId="377FEDFB" w14:textId="2E3A61CC" w:rsidR="00203C00" w:rsidRPr="006C7814" w:rsidRDefault="00203C00" w:rsidP="00203C00">
      <w:pPr>
        <w:pStyle w:val="TextKP"/>
        <w:numPr>
          <w:ilvl w:val="0"/>
          <w:numId w:val="21"/>
        </w:numPr>
        <w:spacing w:before="60"/>
        <w:ind w:left="284" w:hanging="284"/>
        <w:rPr>
          <w:b/>
        </w:rPr>
      </w:pPr>
      <w:r>
        <w:rPr>
          <w:b/>
        </w:rPr>
        <w:t>MŽP a MZe vynaložily v letech 2016 až 2018 na</w:t>
      </w:r>
      <w:r w:rsidR="003B276C">
        <w:rPr>
          <w:b/>
        </w:rPr>
        <w:t xml:space="preserve"> </w:t>
      </w:r>
      <w:r>
        <w:rPr>
          <w:b/>
        </w:rPr>
        <w:t xml:space="preserve">protipovodňová opatření </w:t>
      </w:r>
      <w:r w:rsidR="009C435B">
        <w:rPr>
          <w:b/>
        </w:rPr>
        <w:t xml:space="preserve">ročně </w:t>
      </w:r>
      <w:r>
        <w:rPr>
          <w:b/>
        </w:rPr>
        <w:t>v průměru 1,4 mld. Kč, což však představuje jen jednu třetinu předpokládaných</w:t>
      </w:r>
      <w:r w:rsidR="00FD0DAB">
        <w:rPr>
          <w:b/>
        </w:rPr>
        <w:t xml:space="preserve"> potřeb</w:t>
      </w:r>
      <w:r>
        <w:rPr>
          <w:b/>
        </w:rPr>
        <w:t xml:space="preserve"> finančních </w:t>
      </w:r>
      <w:r w:rsidR="00FD0DAB">
        <w:rPr>
          <w:b/>
        </w:rPr>
        <w:t>zdrojů</w:t>
      </w:r>
      <w:r w:rsidR="000D6519">
        <w:rPr>
          <w:b/>
        </w:rPr>
        <w:t>.</w:t>
      </w:r>
    </w:p>
    <w:p w14:paraId="41D976D9" w14:textId="77777777" w:rsidR="00203C00" w:rsidRPr="008E0B08" w:rsidRDefault="00203C00" w:rsidP="00203C00">
      <w:pPr>
        <w:pStyle w:val="TextKP"/>
        <w:numPr>
          <w:ilvl w:val="0"/>
          <w:numId w:val="21"/>
        </w:numPr>
        <w:spacing w:before="60"/>
        <w:ind w:left="284" w:hanging="284"/>
        <w:rPr>
          <w:b/>
        </w:rPr>
      </w:pPr>
      <w:r w:rsidRPr="008E0B08">
        <w:rPr>
          <w:b/>
        </w:rPr>
        <w:t>Vodním zákonem</w:t>
      </w:r>
      <w:r>
        <w:rPr>
          <w:rStyle w:val="Znakapoznpodarou"/>
          <w:b/>
        </w:rPr>
        <w:footnoteReference w:id="5"/>
      </w:r>
      <w:r w:rsidRPr="008E0B08">
        <w:rPr>
          <w:b/>
        </w:rPr>
        <w:t xml:space="preserve"> je zakázáno umísťovat, povolovat a provádět stavby ve vymezených aktivních zónách záplavových území, přesto stále dochází k realizaci výstavby v těchto oblastech.</w:t>
      </w:r>
    </w:p>
    <w:p w14:paraId="42A84D17" w14:textId="718E08C0" w:rsidR="00E83095" w:rsidRDefault="00E83095" w:rsidP="00E83095">
      <w:pPr>
        <w:pStyle w:val="TextKP"/>
        <w:rPr>
          <w:b/>
        </w:rPr>
      </w:pPr>
      <w:r>
        <w:rPr>
          <w:b/>
          <w:lang w:eastAsia="cs-CZ"/>
        </w:rPr>
        <w:t xml:space="preserve">V případě kontrolou prověřených projektů zaměřených na </w:t>
      </w:r>
      <w:r w:rsidR="003B44DA">
        <w:rPr>
          <w:b/>
          <w:lang w:eastAsia="cs-CZ"/>
        </w:rPr>
        <w:t xml:space="preserve">ochranu před </w:t>
      </w:r>
      <w:r>
        <w:rPr>
          <w:b/>
          <w:lang w:eastAsia="cs-CZ"/>
        </w:rPr>
        <w:t>povod</w:t>
      </w:r>
      <w:r w:rsidR="003B44DA">
        <w:rPr>
          <w:b/>
          <w:lang w:eastAsia="cs-CZ"/>
        </w:rPr>
        <w:t>němi</w:t>
      </w:r>
      <w:r>
        <w:rPr>
          <w:b/>
          <w:lang w:eastAsia="cs-CZ"/>
        </w:rPr>
        <w:t xml:space="preserve"> nebylo zjištěno porušení právních předpisů ani neúčelné a nehospodárné použití peněžních prostředků. Kontrolováno bylo celkem 11 projektů, z toho 8 projektů financovaných z</w:t>
      </w:r>
      <w:r w:rsidR="00A94E6F">
        <w:rPr>
          <w:b/>
          <w:lang w:eastAsia="cs-CZ"/>
        </w:rPr>
        <w:t> </w:t>
      </w:r>
      <w:r>
        <w:rPr>
          <w:b/>
          <w:lang w:eastAsia="cs-CZ"/>
        </w:rPr>
        <w:t>kapitoly</w:t>
      </w:r>
      <w:r w:rsidR="00A94E6F">
        <w:rPr>
          <w:b/>
          <w:lang w:eastAsia="cs-CZ"/>
        </w:rPr>
        <w:t xml:space="preserve"> státního rozpočtu</w:t>
      </w:r>
      <w:r>
        <w:rPr>
          <w:b/>
          <w:lang w:eastAsia="cs-CZ"/>
        </w:rPr>
        <w:t xml:space="preserve"> </w:t>
      </w:r>
      <w:r w:rsidR="003B44DA">
        <w:rPr>
          <w:b/>
          <w:lang w:eastAsia="cs-CZ"/>
        </w:rPr>
        <w:t xml:space="preserve">329 – </w:t>
      </w:r>
      <w:r w:rsidR="003B44DA" w:rsidRPr="00B40C77">
        <w:rPr>
          <w:b/>
          <w:i/>
          <w:lang w:eastAsia="cs-CZ"/>
        </w:rPr>
        <w:t>Ministerstvo zemědělství</w:t>
      </w:r>
      <w:r w:rsidR="003B44DA">
        <w:rPr>
          <w:b/>
          <w:lang w:eastAsia="cs-CZ"/>
        </w:rPr>
        <w:t xml:space="preserve"> </w:t>
      </w:r>
      <w:r>
        <w:rPr>
          <w:b/>
          <w:lang w:eastAsia="cs-CZ"/>
        </w:rPr>
        <w:t>a 3 projekty financovan</w:t>
      </w:r>
      <w:r w:rsidR="00DB28BD">
        <w:rPr>
          <w:b/>
          <w:lang w:eastAsia="cs-CZ"/>
        </w:rPr>
        <w:t>é z OPŽP</w:t>
      </w:r>
      <w:r w:rsidR="003B44DA">
        <w:rPr>
          <w:b/>
          <w:lang w:eastAsia="cs-CZ"/>
        </w:rPr>
        <w:t> </w:t>
      </w:r>
      <w:r w:rsidR="00DB28BD">
        <w:rPr>
          <w:b/>
          <w:lang w:eastAsia="cs-CZ"/>
        </w:rPr>
        <w:t>2014–</w:t>
      </w:r>
      <w:r>
        <w:rPr>
          <w:b/>
          <w:lang w:eastAsia="cs-CZ"/>
        </w:rPr>
        <w:t>2020. Kontrolovaný objem finančních prostředků činil 245 mil. Kč.</w:t>
      </w:r>
    </w:p>
    <w:p w14:paraId="741085A4" w14:textId="21B0E8B5" w:rsidR="005B7742" w:rsidRPr="00050B20" w:rsidRDefault="004E2B59" w:rsidP="0097400A">
      <w:pPr>
        <w:pStyle w:val="TextKP"/>
      </w:pPr>
      <w:r>
        <w:t>V</w:t>
      </w:r>
      <w:r w:rsidR="005B7742" w:rsidRPr="00050B20">
        <w:t>yhodnocení vyplývá z těchto zjištěných nedostatků:</w:t>
      </w:r>
    </w:p>
    <w:p w14:paraId="647786FE" w14:textId="6AFD7492" w:rsidR="00766535" w:rsidRPr="005A0C9A" w:rsidRDefault="00451FE3" w:rsidP="002C2F25">
      <w:pPr>
        <w:pStyle w:val="Nadpis2"/>
        <w:numPr>
          <w:ilvl w:val="0"/>
          <w:numId w:val="22"/>
        </w:numPr>
        <w:ind w:left="284" w:hanging="284"/>
      </w:pPr>
      <w:r w:rsidRPr="005A0C9A">
        <w:t xml:space="preserve">Realizace </w:t>
      </w:r>
      <w:r w:rsidR="000F3E8D">
        <w:t xml:space="preserve">konkrétních </w:t>
      </w:r>
      <w:r w:rsidRPr="005A0C9A">
        <w:t xml:space="preserve">PPO </w:t>
      </w:r>
      <w:r w:rsidR="000F3E8D">
        <w:t>neprobíhá v souladu se schváleným</w:t>
      </w:r>
      <w:r w:rsidR="000E49DC">
        <w:t>i</w:t>
      </w:r>
      <w:r w:rsidR="000F3E8D">
        <w:t xml:space="preserve"> PpZPR</w:t>
      </w:r>
    </w:p>
    <w:p w14:paraId="2F8A8FC4" w14:textId="6FBC9532" w:rsidR="005A0C9A" w:rsidRDefault="00912D76" w:rsidP="00766535">
      <w:pPr>
        <w:pStyle w:val="TextKP"/>
      </w:pPr>
      <w:r>
        <w:t xml:space="preserve">Pro </w:t>
      </w:r>
      <w:r w:rsidR="005A0C9A">
        <w:t>oblast</w:t>
      </w:r>
      <w:r>
        <w:t>i</w:t>
      </w:r>
      <w:r w:rsidR="005A0C9A">
        <w:t xml:space="preserve"> s významným povodňovým rizikem</w:t>
      </w:r>
      <w:r>
        <w:t xml:space="preserve"> je v PpZPR </w:t>
      </w:r>
      <w:r w:rsidRPr="00766535">
        <w:t>schválen</w:t>
      </w:r>
      <w:r>
        <w:t>ých</w:t>
      </w:r>
      <w:r w:rsidRPr="00766535">
        <w:t xml:space="preserve"> vlád</w:t>
      </w:r>
      <w:r>
        <w:t>ou ČR pro období let 2015 až 2021 navrženo k realizaci 135 konkrétních opatření</w:t>
      </w:r>
      <w:r w:rsidR="000D5ED2">
        <w:t>. Kontrolou bylo zjištěno, že</w:t>
      </w:r>
      <w:r w:rsidR="004821E0">
        <w:t xml:space="preserve"> </w:t>
      </w:r>
      <w:r w:rsidR="001E481F">
        <w:t xml:space="preserve">minimálně 68 navržených opatření nebude do konce </w:t>
      </w:r>
      <w:r w:rsidR="006555C1">
        <w:t>tohoto</w:t>
      </w:r>
      <w:r w:rsidR="001E481F">
        <w:t xml:space="preserve"> období ani zahájeno, což</w:t>
      </w:r>
      <w:r w:rsidR="00117981">
        <w:t xml:space="preserve"> </w:t>
      </w:r>
      <w:r w:rsidR="001E481F">
        <w:t>je více než 50 % z celkového počtu navržených opatření.</w:t>
      </w:r>
    </w:p>
    <w:p w14:paraId="529A3CC0" w14:textId="0D73AF99" w:rsidR="001B4465" w:rsidRDefault="001B4465" w:rsidP="002C2F25">
      <w:pPr>
        <w:pStyle w:val="Nadpis2"/>
        <w:numPr>
          <w:ilvl w:val="0"/>
          <w:numId w:val="22"/>
        </w:numPr>
        <w:ind w:left="284" w:hanging="284"/>
      </w:pPr>
      <w:r>
        <w:lastRenderedPageBreak/>
        <w:t xml:space="preserve">Přírodě blízká protipovodňová opatření </w:t>
      </w:r>
      <w:r w:rsidR="006555C1">
        <w:t>jsou</w:t>
      </w:r>
      <w:r>
        <w:t xml:space="preserve"> realiz</w:t>
      </w:r>
      <w:r w:rsidR="006555C1">
        <w:t>ována</w:t>
      </w:r>
      <w:r>
        <w:t xml:space="preserve"> v malém rozsahu</w:t>
      </w:r>
    </w:p>
    <w:p w14:paraId="705C2290" w14:textId="13567EB5" w:rsidR="001B4465" w:rsidRDefault="001B4465" w:rsidP="001B4465">
      <w:pPr>
        <w:pStyle w:val="TextKP"/>
      </w:pPr>
      <w:r w:rsidRPr="00F76C82">
        <w:t>V letech 2010</w:t>
      </w:r>
      <w:r>
        <w:t xml:space="preserve"> až </w:t>
      </w:r>
      <w:r w:rsidRPr="00F76C82">
        <w:t>201</w:t>
      </w:r>
      <w:r>
        <w:t>8</w:t>
      </w:r>
      <w:r w:rsidRPr="00F76C82">
        <w:t xml:space="preserve"> realizovaly </w:t>
      </w:r>
      <w:r>
        <w:t>kontrolované státní podniky 166</w:t>
      </w:r>
      <w:r w:rsidRPr="00F76C82">
        <w:t xml:space="preserve"> PPO, z toho </w:t>
      </w:r>
      <w:r>
        <w:t>145</w:t>
      </w:r>
      <w:r w:rsidRPr="00F76C82">
        <w:t xml:space="preserve"> PPO (</w:t>
      </w:r>
      <w:r>
        <w:t>87</w:t>
      </w:r>
      <w:r w:rsidR="00954A4D">
        <w:t> </w:t>
      </w:r>
      <w:r w:rsidRPr="00F76C82">
        <w:t xml:space="preserve">%) bylo technického charakteru a pouze </w:t>
      </w:r>
      <w:r>
        <w:t>6</w:t>
      </w:r>
      <w:r w:rsidRPr="00F76C82">
        <w:t xml:space="preserve"> PPO (</w:t>
      </w:r>
      <w:r>
        <w:t>4</w:t>
      </w:r>
      <w:r w:rsidRPr="00F76C82">
        <w:t xml:space="preserve"> %) mělo povahu </w:t>
      </w:r>
      <w:r>
        <w:t>PBPO</w:t>
      </w:r>
      <w:r w:rsidRPr="00F76C82">
        <w:t>. Zbývající</w:t>
      </w:r>
      <w:r>
        <w:t>ch 15</w:t>
      </w:r>
      <w:r w:rsidR="00DB28BD">
        <w:t> </w:t>
      </w:r>
      <w:r w:rsidRPr="00F76C82">
        <w:t>PPO</w:t>
      </w:r>
      <w:r>
        <w:t xml:space="preserve"> (9</w:t>
      </w:r>
      <w:r w:rsidR="00954A4D">
        <w:t> </w:t>
      </w:r>
      <w:r>
        <w:t>%)</w:t>
      </w:r>
      <w:r w:rsidRPr="00F76C82">
        <w:t xml:space="preserve"> mělo kombinovaný charakter (kombinace technick</w:t>
      </w:r>
      <w:r w:rsidR="00954A4D">
        <w:t>ých</w:t>
      </w:r>
      <w:r w:rsidRPr="00F76C82">
        <w:t xml:space="preserve"> </w:t>
      </w:r>
      <w:r w:rsidR="00954A4D">
        <w:t xml:space="preserve">opatření </w:t>
      </w:r>
      <w:r w:rsidRPr="00F76C82">
        <w:t xml:space="preserve">a </w:t>
      </w:r>
      <w:r>
        <w:t>PBPO</w:t>
      </w:r>
      <w:r w:rsidRPr="00F76C82">
        <w:t>).</w:t>
      </w:r>
    </w:p>
    <w:p w14:paraId="19A6D7BD" w14:textId="013B4D78" w:rsidR="001B4465" w:rsidRPr="005356ED" w:rsidRDefault="001B4465" w:rsidP="001B4465">
      <w:pPr>
        <w:pStyle w:val="TextKP"/>
        <w:rPr>
          <w:lang w:eastAsia="cs-CZ"/>
        </w:rPr>
      </w:pPr>
      <w:r w:rsidRPr="005356ED">
        <w:t>Povodí Labe, Povodí Moravy, Povodí Odry a</w:t>
      </w:r>
      <w:r w:rsidR="003B276C">
        <w:t xml:space="preserve"> </w:t>
      </w:r>
      <w:r w:rsidRPr="005356ED">
        <w:t>Povodí Vltavy (dále také „</w:t>
      </w:r>
      <w:r>
        <w:t>kontrolované</w:t>
      </w:r>
      <w:r w:rsidRPr="005356ED">
        <w:t xml:space="preserve"> státní podniky povodí“) v kontrolovaném období </w:t>
      </w:r>
      <w:r>
        <w:t>nerealizovaly PBPO a nevyužily spolufinancování z</w:t>
      </w:r>
      <w:r w:rsidR="003B276C">
        <w:t> </w:t>
      </w:r>
      <w:r>
        <w:t>prostředků</w:t>
      </w:r>
      <w:r w:rsidR="003B276C">
        <w:t xml:space="preserve"> </w:t>
      </w:r>
      <w:r w:rsidR="00DB28BD">
        <w:t>OPŽP 2014–</w:t>
      </w:r>
      <w:r w:rsidRPr="005356ED">
        <w:t>2020</w:t>
      </w:r>
      <w:r>
        <w:t xml:space="preserve"> na realizaci PPO stavebního charakteru</w:t>
      </w:r>
      <w:r w:rsidRPr="005356ED">
        <w:t xml:space="preserve">. V letech 2016 až 2018 vynaložily </w:t>
      </w:r>
      <w:r>
        <w:t>kontrolované</w:t>
      </w:r>
      <w:r w:rsidRPr="005356ED">
        <w:t xml:space="preserve"> státní podniky povodí na realizaci PPO stavebního charakteru peněžní prostředky ve výši 2,1 mld. Kč, přičemž z 83 % se</w:t>
      </w:r>
      <w:r w:rsidR="003B276C">
        <w:t xml:space="preserve"> </w:t>
      </w:r>
      <w:r>
        <w:t>jednalo o</w:t>
      </w:r>
      <w:r w:rsidR="003B276C">
        <w:t xml:space="preserve"> </w:t>
      </w:r>
      <w:r w:rsidRPr="005356ED">
        <w:t>prostředky poskytnuté z rozpočtu kapitoly MZe, z</w:t>
      </w:r>
      <w:r w:rsidR="004A5108">
        <w:t xml:space="preserve">e </w:t>
      </w:r>
      <w:r w:rsidRPr="005356ED">
        <w:t xml:space="preserve">14 % o vlastní prostředky </w:t>
      </w:r>
      <w:r w:rsidR="004A5108">
        <w:t xml:space="preserve">státních podniků </w:t>
      </w:r>
      <w:r w:rsidRPr="005356ED">
        <w:t>a 3 % tvořila spoluúčast třetích osob</w:t>
      </w:r>
      <w:r w:rsidR="004A5108">
        <w:t>,</w:t>
      </w:r>
      <w:r w:rsidRPr="005356ED">
        <w:t xml:space="preserve"> především územních sam</w:t>
      </w:r>
      <w:r>
        <w:t>osprávn</w:t>
      </w:r>
      <w:r w:rsidR="004A5108">
        <w:t>ý</w:t>
      </w:r>
      <w:r>
        <w:t xml:space="preserve">ch celků. </w:t>
      </w:r>
      <w:r w:rsidRPr="005356ED">
        <w:t xml:space="preserve">Z údajů o čerpání peněžních prostředků na </w:t>
      </w:r>
      <w:r>
        <w:t xml:space="preserve">ochranu </w:t>
      </w:r>
      <w:r w:rsidR="004A5108">
        <w:t xml:space="preserve">před povodněmi </w:t>
      </w:r>
      <w:r w:rsidRPr="005356ED">
        <w:t>a</w:t>
      </w:r>
      <w:r w:rsidR="003B276C">
        <w:t xml:space="preserve"> </w:t>
      </w:r>
      <w:r w:rsidRPr="005356ED">
        <w:t>z podkladů o</w:t>
      </w:r>
      <w:r w:rsidR="003B276C">
        <w:t xml:space="preserve"> </w:t>
      </w:r>
      <w:r w:rsidRPr="005356ED">
        <w:t>realizaci PPO v letech 2010 až</w:t>
      </w:r>
      <w:r w:rsidR="000F76C4">
        <w:t xml:space="preserve"> </w:t>
      </w:r>
      <w:r w:rsidRPr="005356ED">
        <w:t xml:space="preserve">2018 vyplývá, že v ČR převládá realizace technických PPO. MŽP se dlouhodobě nedaří prosazovat vyšší míru realizace </w:t>
      </w:r>
      <w:r>
        <w:t>PBPO</w:t>
      </w:r>
      <w:r w:rsidRPr="005356ED">
        <w:t xml:space="preserve">. Z pohledu Evropské agentury pro životní prostředí (dále také „EEA“) představují </w:t>
      </w:r>
      <w:r>
        <w:t>PBPO</w:t>
      </w:r>
      <w:r w:rsidRPr="005356ED">
        <w:t xml:space="preserve"> nákladově efektivní snižování rizika povodní</w:t>
      </w:r>
      <w:r w:rsidRPr="005356ED">
        <w:rPr>
          <w:rStyle w:val="Znakapoznpodarou"/>
        </w:rPr>
        <w:footnoteReference w:id="6"/>
      </w:r>
      <w:r w:rsidRPr="005356ED">
        <w:t>.</w:t>
      </w:r>
    </w:p>
    <w:p w14:paraId="058C21B1" w14:textId="6170DC01" w:rsidR="001B4465" w:rsidRPr="00515903" w:rsidRDefault="001B4465" w:rsidP="001B0FFC">
      <w:pPr>
        <w:pStyle w:val="Nadpis2"/>
        <w:numPr>
          <w:ilvl w:val="0"/>
          <w:numId w:val="22"/>
        </w:numPr>
        <w:ind w:left="284" w:hanging="284"/>
        <w:jc w:val="left"/>
      </w:pPr>
      <w:r w:rsidRPr="00515903">
        <w:t>Objem peněžních prostředků vynakládaných MŽP a M</w:t>
      </w:r>
      <w:r w:rsidR="002C2F25" w:rsidRPr="00515903">
        <w:t xml:space="preserve">Ze na PPO je významně nižší než </w:t>
      </w:r>
      <w:r w:rsidRPr="00515903">
        <w:t>potřeb</w:t>
      </w:r>
      <w:r w:rsidR="00BC4EAC" w:rsidRPr="00515903">
        <w:t>y</w:t>
      </w:r>
      <w:r w:rsidR="00FD0DAB" w:rsidRPr="00515903">
        <w:t xml:space="preserve"> finančních zdrojů</w:t>
      </w:r>
      <w:r w:rsidR="00BC4EAC" w:rsidRPr="00515903">
        <w:t xml:space="preserve"> specifikované MŽP a MZe v PpZPR</w:t>
      </w:r>
    </w:p>
    <w:p w14:paraId="47F4A94F" w14:textId="57AD47A8" w:rsidR="001B4465" w:rsidRPr="005356ED" w:rsidRDefault="001B4465" w:rsidP="001B4465">
      <w:pPr>
        <w:pStyle w:val="TextKP"/>
      </w:pPr>
      <w:r w:rsidRPr="00515903">
        <w:t>V roce 2010 odhad</w:t>
      </w:r>
      <w:r w:rsidR="004A5108">
        <w:t>ovaly</w:t>
      </w:r>
      <w:r w:rsidRPr="00515903">
        <w:t xml:space="preserve"> MŽP a MZe průměrnou roční potřebu finančních zdrojů na</w:t>
      </w:r>
      <w:r w:rsidR="003B276C">
        <w:t xml:space="preserve"> </w:t>
      </w:r>
      <w:r w:rsidRPr="00515903">
        <w:t>zavádění technických a přírodě blízkých protipovodňových opatření v průběhu realizace PpZPR v</w:t>
      </w:r>
      <w:r w:rsidR="003B276C">
        <w:t> </w:t>
      </w:r>
      <w:r w:rsidRPr="00515903">
        <w:t>celkové</w:t>
      </w:r>
      <w:r w:rsidR="003B276C">
        <w:t xml:space="preserve"> </w:t>
      </w:r>
      <w:r w:rsidRPr="00515903">
        <w:t>výši 4,2</w:t>
      </w:r>
      <w:r w:rsidR="0095134C">
        <w:t xml:space="preserve"> </w:t>
      </w:r>
      <w:r w:rsidRPr="00515903">
        <w:t>mld.</w:t>
      </w:r>
      <w:r w:rsidR="0095134C">
        <w:t xml:space="preserve"> </w:t>
      </w:r>
      <w:r w:rsidRPr="00515903">
        <w:t>Kč. V roce 2015 MŽP a</w:t>
      </w:r>
      <w:r w:rsidR="003B276C">
        <w:t xml:space="preserve"> </w:t>
      </w:r>
      <w:r w:rsidRPr="00515903">
        <w:t xml:space="preserve">MZe upřesnily odhad nákladů na realizaci </w:t>
      </w:r>
      <w:r w:rsidR="0095134C">
        <w:br/>
      </w:r>
      <w:r w:rsidRPr="00515903">
        <w:t>130 konkrétních opatření uvedených v PpZPR na</w:t>
      </w:r>
      <w:r w:rsidR="003B276C">
        <w:t xml:space="preserve"> </w:t>
      </w:r>
      <w:r w:rsidRPr="00515903">
        <w:t>29</w:t>
      </w:r>
      <w:r w:rsidR="0095134C">
        <w:t xml:space="preserve"> </w:t>
      </w:r>
      <w:r w:rsidRPr="00515903">
        <w:t>mld.</w:t>
      </w:r>
      <w:r w:rsidR="0095134C">
        <w:t xml:space="preserve"> </w:t>
      </w:r>
      <w:r w:rsidRPr="00515903">
        <w:t>Kč</w:t>
      </w:r>
      <w:r w:rsidRPr="00515903">
        <w:rPr>
          <w:rStyle w:val="Znakapoznpodarou"/>
        </w:rPr>
        <w:footnoteReference w:id="7"/>
      </w:r>
      <w:r w:rsidR="00CF791A" w:rsidRPr="00515903">
        <w:t xml:space="preserve">, přičemž </w:t>
      </w:r>
      <w:r w:rsidR="002C0227" w:rsidRPr="00515903">
        <w:t>k odhadovaným nákladům ve výši</w:t>
      </w:r>
      <w:r w:rsidR="00CF791A" w:rsidRPr="00515903">
        <w:t xml:space="preserve"> 27 mld. Kč</w:t>
      </w:r>
      <w:r w:rsidR="002C0227" w:rsidRPr="00515903">
        <w:t xml:space="preserve"> na</w:t>
      </w:r>
      <w:r w:rsidR="003B276C">
        <w:t xml:space="preserve"> </w:t>
      </w:r>
      <w:r w:rsidR="002C0227" w:rsidRPr="00515903">
        <w:t>realizaci 120 opatření byl předpokládaný zdroj financování specifikován</w:t>
      </w:r>
      <w:r w:rsidR="00CF791A" w:rsidRPr="00515903">
        <w:t>.</w:t>
      </w:r>
      <w:r w:rsidR="002C0227" w:rsidRPr="00515903">
        <w:t xml:space="preserve"> </w:t>
      </w:r>
      <w:r w:rsidRPr="00515903">
        <w:t>Ve</w:t>
      </w:r>
      <w:r w:rsidR="003B276C">
        <w:t xml:space="preserve"> </w:t>
      </w:r>
      <w:r w:rsidRPr="00515903">
        <w:t>skutečno</w:t>
      </w:r>
      <w:r w:rsidR="0032611E" w:rsidRPr="00515903">
        <w:t>sti MŽP a</w:t>
      </w:r>
      <w:r w:rsidR="003B276C">
        <w:t xml:space="preserve"> </w:t>
      </w:r>
      <w:r w:rsidRPr="00515903">
        <w:t>MZe vynaložily na</w:t>
      </w:r>
      <w:r w:rsidR="003B276C">
        <w:t xml:space="preserve"> </w:t>
      </w:r>
      <w:r w:rsidRPr="00515903">
        <w:t xml:space="preserve">podporu povodňové ochrany v kontrolovaných letech 2016 až 2018 průměrně ročně pouze 1,4 mld. Kč, tj. jednu třetinu odhadovaných </w:t>
      </w:r>
      <w:r w:rsidR="009F16DD" w:rsidRPr="00515903">
        <w:t xml:space="preserve">potřeb </w:t>
      </w:r>
      <w:r w:rsidRPr="00515903">
        <w:t xml:space="preserve">finančních </w:t>
      </w:r>
      <w:r w:rsidR="009F16DD" w:rsidRPr="00515903">
        <w:t>zdrojů</w:t>
      </w:r>
      <w:r w:rsidRPr="00515903">
        <w:t>.</w:t>
      </w:r>
    </w:p>
    <w:p w14:paraId="707D8000" w14:textId="15BDD339" w:rsidR="00F138E3" w:rsidRDefault="00F138E3" w:rsidP="00F138E3">
      <w:pPr>
        <w:pStyle w:val="TextKP"/>
      </w:pPr>
      <w:r w:rsidRPr="00DB28BD">
        <w:t>V současné době se v ČR snižuje tlak na realizaci PPO, přestože povodně představují největší přímé nebezpečí v oblasti přírodních katastrof a</w:t>
      </w:r>
      <w:r w:rsidR="003B276C">
        <w:t xml:space="preserve"> </w:t>
      </w:r>
      <w:r w:rsidRPr="00DB28BD">
        <w:t>byly identifikovány jako jeden z hlavních projevů změny klimatu pro území ČR</w:t>
      </w:r>
      <w:r w:rsidRPr="00DB28BD">
        <w:rPr>
          <w:rStyle w:val="Znakapoznpodarou"/>
        </w:rPr>
        <w:footnoteReference w:id="8"/>
      </w:r>
      <w:r w:rsidRPr="00DB28BD">
        <w:t>.</w:t>
      </w:r>
    </w:p>
    <w:p w14:paraId="7A5E47A5" w14:textId="2E9DDF96" w:rsidR="006B696D" w:rsidRDefault="006B696D" w:rsidP="002C2F25">
      <w:pPr>
        <w:pStyle w:val="Nadpis2"/>
        <w:numPr>
          <w:ilvl w:val="0"/>
          <w:numId w:val="22"/>
        </w:numPr>
        <w:ind w:left="284" w:hanging="284"/>
      </w:pPr>
      <w:r>
        <w:t>Nejsou plněn</w:t>
      </w:r>
      <w:r w:rsidR="005862AD">
        <w:t>a</w:t>
      </w:r>
      <w:r>
        <w:t xml:space="preserve"> opatření v oblasti podpory revitalizačních přístupů k vodním tokům</w:t>
      </w:r>
    </w:p>
    <w:p w14:paraId="3CE678C8" w14:textId="5B18C72E" w:rsidR="00693514" w:rsidRPr="005356ED" w:rsidRDefault="0015568C" w:rsidP="00693514">
      <w:pPr>
        <w:pStyle w:val="TextKP"/>
      </w:pPr>
      <w:r w:rsidRPr="005356ED">
        <w:t xml:space="preserve">S problematikou povodňové ochrany úzce souvisí také revitalizační přístupy k vodním tokům v blízkosti sídel, které podporují ochranu zástavby před povodněmi </w:t>
      </w:r>
      <w:r w:rsidR="00084C92" w:rsidRPr="005356ED">
        <w:t>a</w:t>
      </w:r>
      <w:r w:rsidRPr="005356ED">
        <w:t xml:space="preserve"> současně zlepšují </w:t>
      </w:r>
      <w:r w:rsidR="00084C92" w:rsidRPr="005356ED">
        <w:t xml:space="preserve">ekologický </w:t>
      </w:r>
      <w:r w:rsidRPr="005356ED">
        <w:t xml:space="preserve">stav </w:t>
      </w:r>
      <w:r w:rsidR="000C6AFC" w:rsidRPr="005356ED">
        <w:t xml:space="preserve">vodních </w:t>
      </w:r>
      <w:r w:rsidRPr="005356ED">
        <w:t>toků a jejich niv.</w:t>
      </w:r>
      <w:r w:rsidR="0057418D" w:rsidRPr="005356ED">
        <w:t xml:space="preserve"> Komplexní revitalizace</w:t>
      </w:r>
      <w:r w:rsidR="0057418D" w:rsidRPr="005356ED">
        <w:rPr>
          <w:rStyle w:val="Znakapoznpodarou"/>
        </w:rPr>
        <w:footnoteReference w:id="9"/>
      </w:r>
      <w:r w:rsidR="0057418D" w:rsidRPr="005356ED">
        <w:t xml:space="preserve"> vodních toků a niv</w:t>
      </w:r>
      <w:r w:rsidR="000C6AFC" w:rsidRPr="005356ED">
        <w:t xml:space="preserve"> a</w:t>
      </w:r>
      <w:r w:rsidR="003B276C">
        <w:t xml:space="preserve"> </w:t>
      </w:r>
      <w:r w:rsidR="0057418D" w:rsidRPr="005356ED">
        <w:t>podpora samovolné renaturace</w:t>
      </w:r>
      <w:r w:rsidR="0057418D" w:rsidRPr="005356ED">
        <w:rPr>
          <w:rStyle w:val="Znakapoznpodarou"/>
        </w:rPr>
        <w:footnoteReference w:id="10"/>
      </w:r>
      <w:r w:rsidR="000C6AFC" w:rsidRPr="005356ED">
        <w:t xml:space="preserve"> j</w:t>
      </w:r>
      <w:r w:rsidR="004A5108">
        <w:t>sou</w:t>
      </w:r>
      <w:r w:rsidR="000C6AFC" w:rsidRPr="005356ED">
        <w:t xml:space="preserve"> také jedin</w:t>
      </w:r>
      <w:r w:rsidR="004A5108">
        <w:t>á dvě</w:t>
      </w:r>
      <w:r w:rsidR="000C6AFC" w:rsidRPr="005356ED">
        <w:t xml:space="preserve"> adaptační opatření </w:t>
      </w:r>
      <w:r w:rsidR="0097400A" w:rsidRPr="005356ED">
        <w:t>definovan</w:t>
      </w:r>
      <w:r w:rsidR="004A5108">
        <w:t>á</w:t>
      </w:r>
      <w:r w:rsidR="0097400A" w:rsidRPr="005356ED">
        <w:t xml:space="preserve"> v </w:t>
      </w:r>
      <w:r w:rsidR="000C6AFC" w:rsidRPr="00A10590">
        <w:rPr>
          <w:i/>
        </w:rPr>
        <w:t xml:space="preserve">Národním </w:t>
      </w:r>
      <w:r w:rsidR="000C6AFC" w:rsidRPr="00A10590">
        <w:rPr>
          <w:i/>
        </w:rPr>
        <w:lastRenderedPageBreak/>
        <w:t>akčním plánu adaptace na změnu klimatu</w:t>
      </w:r>
      <w:r w:rsidR="000C6AFC" w:rsidRPr="005356ED">
        <w:t xml:space="preserve"> (dále také „NAP“) k zajištění cíle</w:t>
      </w:r>
      <w:r w:rsidR="0097400A" w:rsidRPr="005356ED">
        <w:t xml:space="preserve"> v podobě z</w:t>
      </w:r>
      <w:r w:rsidR="000C6AFC" w:rsidRPr="005356ED">
        <w:t>výšení přirozené retenční schopnosti vodních toků a niv.</w:t>
      </w:r>
      <w:r w:rsidR="00D6277C" w:rsidRPr="005356ED">
        <w:t xml:space="preserve"> </w:t>
      </w:r>
      <w:r w:rsidR="00377350" w:rsidRPr="005356ED">
        <w:t xml:space="preserve">Z </w:t>
      </w:r>
      <w:r w:rsidR="00D6277C" w:rsidRPr="005356ED">
        <w:t>analýzy potřeb</w:t>
      </w:r>
      <w:r w:rsidR="00D6277C" w:rsidRPr="005356ED">
        <w:rPr>
          <w:rStyle w:val="Znakapoznpodarou"/>
        </w:rPr>
        <w:footnoteReference w:id="11"/>
      </w:r>
      <w:r w:rsidR="00D6277C" w:rsidRPr="005356ED">
        <w:t xml:space="preserve"> </w:t>
      </w:r>
      <w:r w:rsidR="00377350" w:rsidRPr="005356ED">
        <w:t>vyplývá</w:t>
      </w:r>
      <w:r w:rsidR="00D6277C" w:rsidRPr="005356ED">
        <w:t xml:space="preserve">, že celková délka vodních toků </w:t>
      </w:r>
      <w:r w:rsidR="00377350" w:rsidRPr="005356ED">
        <w:t>vhodná</w:t>
      </w:r>
      <w:r w:rsidR="00D6277C" w:rsidRPr="005356ED">
        <w:t xml:space="preserve"> k</w:t>
      </w:r>
      <w:r w:rsidR="00377350" w:rsidRPr="005356ED">
        <w:t> </w:t>
      </w:r>
      <w:r w:rsidR="00D6277C" w:rsidRPr="005356ED">
        <w:t>revitaliza</w:t>
      </w:r>
      <w:r w:rsidR="00377350" w:rsidRPr="005356ED">
        <w:t>čním opatřením</w:t>
      </w:r>
      <w:r w:rsidR="00D6277C" w:rsidRPr="005356ED">
        <w:t xml:space="preserve"> </w:t>
      </w:r>
      <w:r w:rsidR="00377350" w:rsidRPr="005356ED">
        <w:t>činí</w:t>
      </w:r>
      <w:r w:rsidR="00D6277C" w:rsidRPr="005356ED">
        <w:t xml:space="preserve"> cca 9 tis. km. </w:t>
      </w:r>
      <w:r w:rsidR="00377350" w:rsidRPr="005356ED">
        <w:t>Dle</w:t>
      </w:r>
      <w:r w:rsidR="003B276C">
        <w:t xml:space="preserve"> </w:t>
      </w:r>
      <w:r w:rsidR="00EE189B" w:rsidRPr="005356ED">
        <w:t>sledovaných indikátorů</w:t>
      </w:r>
      <w:r w:rsidR="00EE189B" w:rsidRPr="005356ED">
        <w:rPr>
          <w:rStyle w:val="Znakapoznpodarou"/>
        </w:rPr>
        <w:footnoteReference w:id="12"/>
      </w:r>
      <w:r w:rsidR="00EE189B" w:rsidRPr="005356ED">
        <w:t xml:space="preserve"> OPŽP byl</w:t>
      </w:r>
      <w:r w:rsidR="00693514" w:rsidRPr="005356ED">
        <w:t>y</w:t>
      </w:r>
      <w:r w:rsidR="00EE189B" w:rsidRPr="005356ED">
        <w:t xml:space="preserve"> z prostředků EU ke dni 23.</w:t>
      </w:r>
      <w:r w:rsidR="00693514" w:rsidRPr="005356ED">
        <w:t> 7. </w:t>
      </w:r>
      <w:r w:rsidR="00EE189B" w:rsidRPr="005356ED">
        <w:t>2019 revitalizovány vodní toky v celkové délce 245,6</w:t>
      </w:r>
      <w:r w:rsidR="00532E42">
        <w:t>9</w:t>
      </w:r>
      <w:r w:rsidR="00EE189B" w:rsidRPr="005356ED">
        <w:t xml:space="preserve"> km</w:t>
      </w:r>
      <w:r w:rsidR="00693514" w:rsidRPr="005356ED">
        <w:t xml:space="preserve">. </w:t>
      </w:r>
      <w:r w:rsidR="002B7690">
        <w:t>Kontrolované</w:t>
      </w:r>
      <w:r w:rsidR="00180186" w:rsidRPr="005356ED">
        <w:t xml:space="preserve"> státní podniky povodí </w:t>
      </w:r>
      <w:r w:rsidRPr="005356ED">
        <w:t>provedly</w:t>
      </w:r>
      <w:r w:rsidR="00084C92" w:rsidRPr="005356ED">
        <w:t xml:space="preserve"> </w:t>
      </w:r>
      <w:r w:rsidR="004A5108">
        <w:t>v letech</w:t>
      </w:r>
      <w:r w:rsidR="00084C92" w:rsidRPr="005356ED">
        <w:t xml:space="preserve"> 2010 a</w:t>
      </w:r>
      <w:r w:rsidR="004A5108">
        <w:t>ž</w:t>
      </w:r>
      <w:r w:rsidR="00084C92" w:rsidRPr="005356ED">
        <w:t xml:space="preserve"> 201</w:t>
      </w:r>
      <w:r w:rsidR="00766535" w:rsidRPr="005356ED">
        <w:t>8</w:t>
      </w:r>
      <w:r w:rsidRPr="005356ED">
        <w:t xml:space="preserve"> celkem </w:t>
      </w:r>
      <w:r w:rsidR="00766535" w:rsidRPr="005356ED">
        <w:t>4</w:t>
      </w:r>
      <w:r w:rsidRPr="005356ED">
        <w:t>8 revitalizac</w:t>
      </w:r>
      <w:r w:rsidR="005020B9" w:rsidRPr="005356ED">
        <w:t>í</w:t>
      </w:r>
      <w:r w:rsidR="0057418D" w:rsidRPr="005356ED">
        <w:t xml:space="preserve"> </w:t>
      </w:r>
      <w:r w:rsidR="005020B9" w:rsidRPr="005356ED">
        <w:t>vodních toků o</w:t>
      </w:r>
      <w:r w:rsidR="003B276C">
        <w:t xml:space="preserve"> </w:t>
      </w:r>
      <w:r w:rsidRPr="005356ED">
        <w:t xml:space="preserve">celkové délce </w:t>
      </w:r>
      <w:r w:rsidR="00766535" w:rsidRPr="005356ED">
        <w:t>6</w:t>
      </w:r>
      <w:r w:rsidRPr="005356ED">
        <w:t>1,</w:t>
      </w:r>
      <w:r w:rsidR="00766535" w:rsidRPr="005356ED">
        <w:t>3</w:t>
      </w:r>
      <w:r w:rsidRPr="005356ED">
        <w:t xml:space="preserve"> km, na které vynaložily celkem </w:t>
      </w:r>
      <w:r w:rsidR="00766535" w:rsidRPr="005356ED">
        <w:t>0</w:t>
      </w:r>
      <w:r w:rsidRPr="005356ED">
        <w:t>,</w:t>
      </w:r>
      <w:r w:rsidR="00766535" w:rsidRPr="005356ED">
        <w:t>7</w:t>
      </w:r>
      <w:r w:rsidRPr="005356ED">
        <w:t xml:space="preserve"> mld. Kč, což představuje průmě</w:t>
      </w:r>
      <w:r w:rsidR="00146DDB" w:rsidRPr="005356ED">
        <w:t xml:space="preserve">rné roční výdaje </w:t>
      </w:r>
      <w:r w:rsidR="0017569E" w:rsidRPr="005356ED">
        <w:t xml:space="preserve">pouze </w:t>
      </w:r>
      <w:r w:rsidR="00146DDB" w:rsidRPr="005356ED">
        <w:t xml:space="preserve">ve výši </w:t>
      </w:r>
      <w:r w:rsidR="00766535" w:rsidRPr="005356ED">
        <w:t>78</w:t>
      </w:r>
      <w:r w:rsidR="00146DDB" w:rsidRPr="005356ED">
        <w:t xml:space="preserve"> mil. Kč.</w:t>
      </w:r>
    </w:p>
    <w:p w14:paraId="17907EE0" w14:textId="2DC98AE4" w:rsidR="00836FB2" w:rsidRPr="005356ED" w:rsidRDefault="0097400A" w:rsidP="0097400A">
      <w:pPr>
        <w:pStyle w:val="TextKP"/>
      </w:pPr>
      <w:r w:rsidRPr="005356ED">
        <w:t xml:space="preserve">V NAP je také definován konkrétní </w:t>
      </w:r>
      <w:r w:rsidR="00E26DFD" w:rsidRPr="005356ED">
        <w:t xml:space="preserve">úkol </w:t>
      </w:r>
      <w:r w:rsidRPr="005356ED">
        <w:t>„</w:t>
      </w:r>
      <w:r w:rsidR="004A5108" w:rsidRPr="00871272">
        <w:rPr>
          <w:i/>
        </w:rPr>
        <w:t>r</w:t>
      </w:r>
      <w:r w:rsidR="00E26DFD" w:rsidRPr="00871272">
        <w:rPr>
          <w:i/>
        </w:rPr>
        <w:t>ealizovat pilotní projekt renaturace vodního toku v každém dílčím povodí</w:t>
      </w:r>
      <w:r w:rsidRPr="005356ED">
        <w:t>“</w:t>
      </w:r>
      <w:r w:rsidR="00E26DFD" w:rsidRPr="005356ED">
        <w:t xml:space="preserve"> s termínem plnění v roce 2017.</w:t>
      </w:r>
      <w:r w:rsidR="008F08C2">
        <w:t xml:space="preserve"> Gestorem tohoto úkolu je MZe spolu se </w:t>
      </w:r>
      <w:r w:rsidR="009C4FDF">
        <w:t>sp</w:t>
      </w:r>
      <w:r w:rsidR="005D02AB">
        <w:t>rávci povodí.</w:t>
      </w:r>
      <w:r w:rsidR="00E26DFD" w:rsidRPr="005356ED">
        <w:rPr>
          <w:i/>
        </w:rPr>
        <w:t xml:space="preserve"> </w:t>
      </w:r>
      <w:r w:rsidRPr="005356ED">
        <w:t xml:space="preserve">Kontrolou bylo zjištěno, že </w:t>
      </w:r>
      <w:r w:rsidR="00354088" w:rsidRPr="005356ED">
        <w:t>Povodí Labe dokončilo renaturaci na 14 úsecích vodních toků v celkové délce 14,4 km a na dalších 13 úsecích v</w:t>
      </w:r>
      <w:r w:rsidR="00D8014F">
        <w:t>odních toků v celkové délce 9,4 </w:t>
      </w:r>
      <w:r w:rsidR="00354088" w:rsidRPr="005356ED">
        <w:t>km renaturac</w:t>
      </w:r>
      <w:r w:rsidR="00B52144" w:rsidRPr="005356ED">
        <w:t>e probíhají</w:t>
      </w:r>
      <w:r w:rsidR="00354088" w:rsidRPr="005356ED">
        <w:t xml:space="preserve">. V působnosti Povodí Moravy probíhá renaturace na </w:t>
      </w:r>
      <w:r w:rsidR="00290960">
        <w:t>jednom</w:t>
      </w:r>
      <w:r w:rsidR="00354088" w:rsidRPr="005356ED">
        <w:t xml:space="preserve"> úseku vodního toku</w:t>
      </w:r>
      <w:r w:rsidRPr="005356ED">
        <w:t xml:space="preserve">, </w:t>
      </w:r>
      <w:r w:rsidR="00354088" w:rsidRPr="005356ED">
        <w:t>a</w:t>
      </w:r>
      <w:r w:rsidRPr="005356ED">
        <w:t>však v působnosti Povodí Odry a</w:t>
      </w:r>
      <w:r w:rsidR="003B276C">
        <w:t xml:space="preserve"> </w:t>
      </w:r>
      <w:r w:rsidR="00354088" w:rsidRPr="005356ED">
        <w:t xml:space="preserve">Povodí Vltavy </w:t>
      </w:r>
      <w:r w:rsidRPr="005356ED">
        <w:t xml:space="preserve">dosud </w:t>
      </w:r>
      <w:r w:rsidR="00354088" w:rsidRPr="005356ED">
        <w:t>nebyly provedeny an</w:t>
      </w:r>
      <w:r w:rsidR="00E26DFD" w:rsidRPr="005356ED">
        <w:t>i neprobíhají žádné renaturace.</w:t>
      </w:r>
      <w:r w:rsidR="009C4FDF">
        <w:t xml:space="preserve"> Z uvedeného vyplývá, že MZe, Povodí Odry a Povodí Vltavy nesplnily v požadovaném rozsahu a ve stanoveném termínu</w:t>
      </w:r>
      <w:r w:rsidR="008F08C2">
        <w:t xml:space="preserve"> jeden z definovaných úkolů NAP</w:t>
      </w:r>
      <w:r w:rsidR="009C4FDF">
        <w:t>.</w:t>
      </w:r>
    </w:p>
    <w:p w14:paraId="7ED8A1AC" w14:textId="27E21789" w:rsidR="000E49DC" w:rsidRDefault="00515903" w:rsidP="00871272">
      <w:pPr>
        <w:pStyle w:val="Nadpis2"/>
        <w:numPr>
          <w:ilvl w:val="0"/>
          <w:numId w:val="22"/>
        </w:numPr>
        <w:ind w:left="284" w:hanging="284"/>
        <w:jc w:val="left"/>
      </w:pPr>
      <w:r>
        <w:t xml:space="preserve">Na </w:t>
      </w:r>
      <w:r w:rsidR="004A5108">
        <w:t xml:space="preserve">některých </w:t>
      </w:r>
      <w:r>
        <w:t xml:space="preserve">úsecích vodních toků </w:t>
      </w:r>
      <w:r w:rsidR="00721EAF">
        <w:t>v oblastech s významným povodňovým rizikem nejsou dosud stanovena záplavová území nebo nejsou stanoveny jejich aktivní zóny</w:t>
      </w:r>
    </w:p>
    <w:p w14:paraId="2D4F8CC5" w14:textId="6011891B" w:rsidR="00445819" w:rsidRPr="005356ED" w:rsidRDefault="00061FD0" w:rsidP="0097400A">
      <w:pPr>
        <w:pStyle w:val="TextKP"/>
      </w:pPr>
      <w:r w:rsidRPr="005356ED">
        <w:t xml:space="preserve">Významným aspektem ochrany před povodněmi je také stanovování záplavových území a jejich aktivních zón, ve kterých je </w:t>
      </w:r>
      <w:r w:rsidR="00932355">
        <w:t xml:space="preserve">vodním </w:t>
      </w:r>
      <w:r w:rsidRPr="005356ED">
        <w:t xml:space="preserve">zákonem zakázána nová výstavba s cílem nezvyšovat počet ohrožených osob a </w:t>
      </w:r>
      <w:r w:rsidR="00E124D9" w:rsidRPr="005356ED">
        <w:t xml:space="preserve">hodnotu ohroženého </w:t>
      </w:r>
      <w:r w:rsidRPr="005356ED">
        <w:t xml:space="preserve">majetku v rizikových oblastech. </w:t>
      </w:r>
      <w:r w:rsidR="004E63C1">
        <w:t>Na</w:t>
      </w:r>
      <w:r w:rsidR="003B276C">
        <w:t xml:space="preserve"> </w:t>
      </w:r>
      <w:r w:rsidR="00515903">
        <w:t>základě informací předložených kontrolovanými státními podniky povodí bylo zjištěno, že</w:t>
      </w:r>
      <w:r w:rsidR="003B276C">
        <w:t xml:space="preserve"> </w:t>
      </w:r>
      <w:r w:rsidRPr="005356ED">
        <w:t>minimálně ve čtyřech obcích</w:t>
      </w:r>
      <w:r w:rsidR="00E43407" w:rsidRPr="005356ED">
        <w:t xml:space="preserve"> </w:t>
      </w:r>
      <w:r w:rsidRPr="005356ED">
        <w:t>s nepřija</w:t>
      </w:r>
      <w:r w:rsidR="002B7690">
        <w:t xml:space="preserve">telným povodňovým rizikem </w:t>
      </w:r>
      <w:r w:rsidR="005E165F" w:rsidRPr="005356ED">
        <w:t xml:space="preserve">v územní působnosti Povodí Labe </w:t>
      </w:r>
      <w:r w:rsidR="002B7690">
        <w:t>nebyla do ukončení kontroly stanovena</w:t>
      </w:r>
      <w:r w:rsidRPr="005356ED">
        <w:t xml:space="preserve"> záplavová území</w:t>
      </w:r>
      <w:r w:rsidR="00F97FF6" w:rsidRPr="005356ED">
        <w:t xml:space="preserve"> včetně aktivní</w:t>
      </w:r>
      <w:r w:rsidR="004A5108">
        <w:t>ch</w:t>
      </w:r>
      <w:r w:rsidR="00F97FF6" w:rsidRPr="005356ED">
        <w:t xml:space="preserve"> zón</w:t>
      </w:r>
      <w:r w:rsidR="004E63C1">
        <w:t xml:space="preserve"> a </w:t>
      </w:r>
      <w:r w:rsidRPr="005356ED">
        <w:t xml:space="preserve">v 36 obcích s nepřijatelným povodňovým rizikem v územní působnosti Povodí Moravy </w:t>
      </w:r>
      <w:r w:rsidR="007526EC" w:rsidRPr="005356ED">
        <w:t>j</w:t>
      </w:r>
      <w:r w:rsidR="002B7690">
        <w:t>sou sice stanovena záplavová</w:t>
      </w:r>
      <w:r w:rsidR="007526EC" w:rsidRPr="005356ED">
        <w:t xml:space="preserve"> území, ale dosud v n</w:t>
      </w:r>
      <w:r w:rsidR="00F97FF6" w:rsidRPr="005356ED">
        <w:t>ich ne</w:t>
      </w:r>
      <w:r w:rsidR="004A5108">
        <w:t>jsou</w:t>
      </w:r>
      <w:r w:rsidR="00F97FF6" w:rsidRPr="005356ED">
        <w:t xml:space="preserve"> vymezen</w:t>
      </w:r>
      <w:r w:rsidR="004A5108">
        <w:t>y</w:t>
      </w:r>
      <w:r w:rsidR="00F97FF6" w:rsidRPr="005356ED">
        <w:t xml:space="preserve"> aktivní zón</w:t>
      </w:r>
      <w:r w:rsidR="004A5108">
        <w:t>y</w:t>
      </w:r>
      <w:r w:rsidR="00693514" w:rsidRPr="005356ED">
        <w:t>, kter</w:t>
      </w:r>
      <w:r w:rsidR="004A5108">
        <w:t>é</w:t>
      </w:r>
      <w:r w:rsidR="00693514" w:rsidRPr="005356ED">
        <w:t xml:space="preserve"> by omezoval</w:t>
      </w:r>
      <w:r w:rsidR="004A5108">
        <w:t>y</w:t>
      </w:r>
      <w:r w:rsidR="00693514" w:rsidRPr="005356ED">
        <w:t xml:space="preserve"> povolování nové výstavby</w:t>
      </w:r>
      <w:r w:rsidR="00E43407" w:rsidRPr="005356ED">
        <w:rPr>
          <w:rStyle w:val="Znakapoznpodarou"/>
        </w:rPr>
        <w:footnoteReference w:id="13"/>
      </w:r>
      <w:r w:rsidR="007526EC" w:rsidRPr="005356ED">
        <w:t>.</w:t>
      </w:r>
    </w:p>
    <w:p w14:paraId="675CF7AB" w14:textId="228E881D" w:rsidR="00721EAF" w:rsidRDefault="00721EAF" w:rsidP="002C2F25">
      <w:pPr>
        <w:pStyle w:val="Nadpis2"/>
        <w:numPr>
          <w:ilvl w:val="0"/>
          <w:numId w:val="22"/>
        </w:numPr>
        <w:ind w:left="284" w:hanging="284"/>
      </w:pPr>
      <w:r>
        <w:t>V aktivních zónách záplavových území dochází nadále k nové výstavbě</w:t>
      </w:r>
    </w:p>
    <w:p w14:paraId="5F8CB505" w14:textId="1D4755F8" w:rsidR="0086344B" w:rsidRPr="005356ED" w:rsidRDefault="00DD297D" w:rsidP="00696A7F">
      <w:pPr>
        <w:pStyle w:val="TextKP"/>
        <w:rPr>
          <w:highlight w:val="cyan"/>
        </w:rPr>
      </w:pPr>
      <w:r w:rsidRPr="005356ED">
        <w:t xml:space="preserve">Kontrolní akce se </w:t>
      </w:r>
      <w:r w:rsidR="00FE171A" w:rsidRPr="005356ED">
        <w:t xml:space="preserve">dále </w:t>
      </w:r>
      <w:r w:rsidRPr="005356ED">
        <w:t xml:space="preserve">zaměřila na vydávání stanovisek správců povodí k záměrům výstavby v záplavových územích vodních toků. </w:t>
      </w:r>
      <w:r w:rsidR="00F138E3" w:rsidRPr="00D8014F">
        <w:t>Cílem PpZPR je zabraňování vzniku nového rizika a</w:t>
      </w:r>
      <w:r w:rsidR="00DD797C">
        <w:t> </w:t>
      </w:r>
      <w:r w:rsidR="00F138E3" w:rsidRPr="00D8014F">
        <w:t>snižování ploch v nepřijatelném riziku povodňového ohrožení. Kontrolou však bylo zjištěno, že</w:t>
      </w:r>
      <w:r w:rsidR="003B276C">
        <w:t xml:space="preserve"> </w:t>
      </w:r>
      <w:r w:rsidR="00F138E3" w:rsidRPr="00D8014F">
        <w:t>v aktivních zónách záplavového území stále dochází k nové výstavbě.</w:t>
      </w:r>
      <w:r w:rsidR="00F138E3">
        <w:t xml:space="preserve"> Na</w:t>
      </w:r>
      <w:r w:rsidR="003B276C">
        <w:t xml:space="preserve"> </w:t>
      </w:r>
      <w:r w:rsidR="00691F3D">
        <w:t>vzorku 40</w:t>
      </w:r>
      <w:r w:rsidR="00696A7F" w:rsidRPr="005356ED">
        <w:t xml:space="preserve"> staveb dokončených v letech 2015 až 2018</w:t>
      </w:r>
      <w:r w:rsidR="00691F3D">
        <w:t xml:space="preserve"> bylo kontrolou vydávání stanovisek správců povodí </w:t>
      </w:r>
      <w:r w:rsidR="00710FAE">
        <w:t>mj. zjištěno, že:</w:t>
      </w:r>
    </w:p>
    <w:p w14:paraId="7B74C9C1" w14:textId="2CA2470E" w:rsidR="0086344B" w:rsidRPr="00715875" w:rsidRDefault="00092ACE" w:rsidP="00696A7F">
      <w:pPr>
        <w:pStyle w:val="TextKP"/>
        <w:numPr>
          <w:ilvl w:val="0"/>
          <w:numId w:val="3"/>
        </w:numPr>
        <w:spacing w:before="60"/>
        <w:ind w:left="284" w:hanging="284"/>
      </w:pPr>
      <w:r>
        <w:t>v</w:t>
      </w:r>
      <w:r w:rsidR="003B276C">
        <w:t xml:space="preserve"> </w:t>
      </w:r>
      <w:r>
        <w:t xml:space="preserve">9 případech </w:t>
      </w:r>
      <w:r w:rsidR="00DD297D" w:rsidRPr="00715875">
        <w:t>nebyl správce povodí ani požádán o stanovisko k </w:t>
      </w:r>
      <w:r w:rsidR="00D57025" w:rsidRPr="00715875">
        <w:t xml:space="preserve">záměrům </w:t>
      </w:r>
      <w:r w:rsidR="00DD297D" w:rsidRPr="00715875">
        <w:t>stav</w:t>
      </w:r>
      <w:r w:rsidR="00D57025" w:rsidRPr="00715875">
        <w:t>e</w:t>
      </w:r>
      <w:r w:rsidR="00DD297D" w:rsidRPr="00715875">
        <w:t>b situovan</w:t>
      </w:r>
      <w:r w:rsidR="00D57025" w:rsidRPr="00715875">
        <w:t>ý</w:t>
      </w:r>
      <w:r w:rsidR="00102A29">
        <w:t>ch</w:t>
      </w:r>
      <w:r w:rsidR="00DD297D" w:rsidRPr="00715875">
        <w:t xml:space="preserve"> zcela nebo částečně v aktivní zóně</w:t>
      </w:r>
      <w:r w:rsidR="00D57025" w:rsidRPr="00715875">
        <w:t xml:space="preserve"> záplavového území</w:t>
      </w:r>
      <w:r w:rsidR="0086344B" w:rsidRPr="00715875">
        <w:t>;</w:t>
      </w:r>
    </w:p>
    <w:p w14:paraId="12686339" w14:textId="610E2656" w:rsidR="0086344B" w:rsidRPr="00715875" w:rsidRDefault="0086344B" w:rsidP="00696A7F">
      <w:pPr>
        <w:pStyle w:val="TextKP"/>
        <w:numPr>
          <w:ilvl w:val="0"/>
          <w:numId w:val="3"/>
        </w:numPr>
        <w:spacing w:before="60"/>
        <w:ind w:left="284" w:hanging="284"/>
      </w:pPr>
      <w:r w:rsidRPr="00715875">
        <w:t>v</w:t>
      </w:r>
      <w:r w:rsidR="00A76B89" w:rsidRPr="00715875">
        <w:t xml:space="preserve">e </w:t>
      </w:r>
      <w:r w:rsidR="00092ACE">
        <w:t>3</w:t>
      </w:r>
      <w:r w:rsidR="00A76B89" w:rsidRPr="00715875">
        <w:t xml:space="preserve"> případech byly stavby realizovány navzdory nesouhlasu či nedoporučuj</w:t>
      </w:r>
      <w:r w:rsidRPr="00715875">
        <w:t>ícímu stanovisku správce povodí;</w:t>
      </w:r>
    </w:p>
    <w:p w14:paraId="47D50849" w14:textId="2EBDF409" w:rsidR="0086344B" w:rsidRPr="00715875" w:rsidRDefault="00A76B89" w:rsidP="00696A7F">
      <w:pPr>
        <w:pStyle w:val="TextKP"/>
        <w:numPr>
          <w:ilvl w:val="0"/>
          <w:numId w:val="3"/>
        </w:numPr>
        <w:spacing w:before="60"/>
        <w:ind w:left="284" w:hanging="284"/>
      </w:pPr>
      <w:r w:rsidRPr="00715875">
        <w:lastRenderedPageBreak/>
        <w:t xml:space="preserve">ve </w:t>
      </w:r>
      <w:r w:rsidR="00092ACE">
        <w:t>2</w:t>
      </w:r>
      <w:r w:rsidRPr="00715875">
        <w:t xml:space="preserve"> případech správce povodí pouze upozornil na skutečnost, že posuzovaný záměr </w:t>
      </w:r>
      <w:r w:rsidR="00102A29">
        <w:t xml:space="preserve">situuje stavbu do </w:t>
      </w:r>
      <w:r w:rsidRPr="00715875">
        <w:t>aktivní zón</w:t>
      </w:r>
      <w:r w:rsidR="00102A29">
        <w:t>y</w:t>
      </w:r>
      <w:r w:rsidR="00D57025" w:rsidRPr="00715875">
        <w:t xml:space="preserve"> záplavového území </w:t>
      </w:r>
      <w:r w:rsidRPr="00715875">
        <w:t xml:space="preserve">či </w:t>
      </w:r>
      <w:r w:rsidR="00102A29">
        <w:t xml:space="preserve">do </w:t>
      </w:r>
      <w:r w:rsidRPr="00715875">
        <w:t xml:space="preserve">území s vysokým </w:t>
      </w:r>
      <w:r w:rsidR="00102A29">
        <w:t>nebo</w:t>
      </w:r>
      <w:r w:rsidRPr="00715875">
        <w:t xml:space="preserve"> středním povodňovým rizikem, avšak výslovně neu</w:t>
      </w:r>
      <w:r w:rsidR="0086344B" w:rsidRPr="00715875">
        <w:t>vedl nedoporučující stanovisko;</w:t>
      </w:r>
    </w:p>
    <w:p w14:paraId="50040AB5" w14:textId="2C168512" w:rsidR="004E63C1" w:rsidRDefault="0086344B" w:rsidP="004E63C1">
      <w:pPr>
        <w:pStyle w:val="TextKP"/>
        <w:numPr>
          <w:ilvl w:val="0"/>
          <w:numId w:val="3"/>
        </w:numPr>
        <w:spacing w:before="60"/>
        <w:ind w:left="284" w:hanging="284"/>
      </w:pPr>
      <w:r w:rsidRPr="00715875">
        <w:t>v</w:t>
      </w:r>
      <w:r w:rsidR="00092ACE">
        <w:t xml:space="preserve"> 11 případech </w:t>
      </w:r>
      <w:r w:rsidR="00102A29">
        <w:t>nebylo</w:t>
      </w:r>
      <w:r w:rsidR="00A76B89" w:rsidRPr="00715875">
        <w:t xml:space="preserve"> </w:t>
      </w:r>
      <w:r w:rsidR="00D57025" w:rsidRPr="00715875">
        <w:t xml:space="preserve">v době vydání stanoviska správce povodí </w:t>
      </w:r>
      <w:r w:rsidR="00102A29">
        <w:t>stanoveno</w:t>
      </w:r>
      <w:r w:rsidR="00102A29" w:rsidRPr="00715875">
        <w:t xml:space="preserve"> </w:t>
      </w:r>
      <w:r w:rsidR="00D57025" w:rsidRPr="00715875">
        <w:t>záplavové území včetně aktivní zóny, z toho ve dvou případech nebylo v dané obci záplavové území včetně aktivní zóny stanov</w:t>
      </w:r>
      <w:r w:rsidR="008D3839" w:rsidRPr="00715875">
        <w:t xml:space="preserve">eno </w:t>
      </w:r>
      <w:r w:rsidR="002B7690">
        <w:t xml:space="preserve">ani </w:t>
      </w:r>
      <w:r w:rsidR="008D3839" w:rsidRPr="00715875">
        <w:t>do</w:t>
      </w:r>
      <w:r w:rsidR="00102A29">
        <w:t xml:space="preserve"> </w:t>
      </w:r>
      <w:r w:rsidRPr="00715875">
        <w:t>ukončení</w:t>
      </w:r>
      <w:r w:rsidR="00EB50CE">
        <w:t xml:space="preserve"> kontrolní akce;</w:t>
      </w:r>
    </w:p>
    <w:p w14:paraId="501425F6" w14:textId="6A5A9CEC" w:rsidR="004E63C1" w:rsidRPr="00710FAE" w:rsidRDefault="00EB50CE" w:rsidP="008A6F06">
      <w:pPr>
        <w:pStyle w:val="TextKP"/>
        <w:numPr>
          <w:ilvl w:val="0"/>
          <w:numId w:val="3"/>
        </w:numPr>
        <w:spacing w:before="60"/>
        <w:ind w:left="284" w:hanging="284"/>
      </w:pPr>
      <w:r>
        <w:t>v</w:t>
      </w:r>
      <w:r w:rsidR="004E63C1">
        <w:t xml:space="preserve"> 6 </w:t>
      </w:r>
      <w:r w:rsidR="004E63C1" w:rsidRPr="005356ED">
        <w:t>případech</w:t>
      </w:r>
      <w:r w:rsidR="004E63C1">
        <w:t xml:space="preserve"> byl zjištěn</w:t>
      </w:r>
      <w:r w:rsidR="004E63C1" w:rsidRPr="005356ED">
        <w:t xml:space="preserve"> nesoulad </w:t>
      </w:r>
      <w:r w:rsidR="004E63C1">
        <w:t>vyznačení aktivní zóny</w:t>
      </w:r>
      <w:r w:rsidR="004E63C1" w:rsidRPr="005356ED">
        <w:t xml:space="preserve"> záplavového území </w:t>
      </w:r>
      <w:r w:rsidR="004E63C1">
        <w:t xml:space="preserve">v mapovém podkladu </w:t>
      </w:r>
      <w:r w:rsidR="004E63C1" w:rsidRPr="005356ED">
        <w:t>mezi dokumentací vymezení záplavového území vydan</w:t>
      </w:r>
      <w:r w:rsidR="00102A29">
        <w:t>ou</w:t>
      </w:r>
      <w:r w:rsidR="004E63C1" w:rsidRPr="005356ED">
        <w:t xml:space="preserve"> příslušným vodo</w:t>
      </w:r>
      <w:r w:rsidR="004E63C1">
        <w:t>právním</w:t>
      </w:r>
      <w:r w:rsidR="004E63C1" w:rsidRPr="005356ED">
        <w:t xml:space="preserve"> úřadem</w:t>
      </w:r>
      <w:r w:rsidR="004E63C1">
        <w:rPr>
          <w:rStyle w:val="Znakapoznpodarou"/>
        </w:rPr>
        <w:footnoteReference w:id="14"/>
      </w:r>
      <w:r w:rsidR="004E63C1" w:rsidRPr="005356ED">
        <w:t xml:space="preserve"> a </w:t>
      </w:r>
      <w:r w:rsidR="004E63C1">
        <w:t>mapami zveřejněnými v</w:t>
      </w:r>
      <w:r w:rsidR="008A6F06">
        <w:t> </w:t>
      </w:r>
      <w:r w:rsidR="008A6F06" w:rsidRPr="004D1023">
        <w:rPr>
          <w:i/>
        </w:rPr>
        <w:t>Povodňovém informačním systému</w:t>
      </w:r>
      <w:r w:rsidR="008A6F06">
        <w:t xml:space="preserve"> (dále také „</w:t>
      </w:r>
      <w:r w:rsidR="004E63C1">
        <w:t>POVIS</w:t>
      </w:r>
      <w:r w:rsidR="008A6F06">
        <w:t>“)</w:t>
      </w:r>
      <w:r w:rsidR="004E63C1">
        <w:t xml:space="preserve">. </w:t>
      </w:r>
      <w:r w:rsidR="008A6F06">
        <w:t>MŽP tak nezveřejňuje v POVIS přesná g</w:t>
      </w:r>
      <w:r w:rsidR="008A6F06" w:rsidRPr="00710FAE">
        <w:t>eoprostorová data určující záplavová území a aktivní zóny</w:t>
      </w:r>
      <w:r w:rsidR="008A6F06">
        <w:t xml:space="preserve">, ačkoliv </w:t>
      </w:r>
      <w:r w:rsidR="004E63C1">
        <w:t>má dle vodního zákona povinnost zajišťovat vedení dokumentace o</w:t>
      </w:r>
      <w:r w:rsidR="003B276C">
        <w:t xml:space="preserve"> </w:t>
      </w:r>
      <w:r w:rsidR="004E63C1">
        <w:t xml:space="preserve">stanovených záplavových územích na území ČR poskytnuté vodoprávními úřady </w:t>
      </w:r>
      <w:r w:rsidR="008A6F06">
        <w:t>a</w:t>
      </w:r>
      <w:r w:rsidR="003B276C">
        <w:t xml:space="preserve"> </w:t>
      </w:r>
      <w:r w:rsidR="004E63C1">
        <w:t>zabezpečovat jejich evidenci v informačním systému veřejné správy.</w:t>
      </w:r>
    </w:p>
    <w:p w14:paraId="746707D3" w14:textId="77E43D10" w:rsidR="00185AF9" w:rsidRDefault="00185AF9" w:rsidP="002C2F25">
      <w:pPr>
        <w:pStyle w:val="Nadpis2"/>
        <w:numPr>
          <w:ilvl w:val="0"/>
          <w:numId w:val="22"/>
        </w:numPr>
        <w:ind w:left="284" w:hanging="284"/>
      </w:pPr>
      <w:r>
        <w:t>Realizaci PPO zpožďuje proces pozemkových úprav</w:t>
      </w:r>
    </w:p>
    <w:p w14:paraId="2623B490" w14:textId="57E72C45" w:rsidR="00043B3E" w:rsidRDefault="00043B3E" w:rsidP="00043B3E">
      <w:pPr>
        <w:pStyle w:val="TextKP"/>
      </w:pPr>
      <w:r>
        <w:t>Pozemkové úpravy přispívají k řešení ochrany před povodněmi</w:t>
      </w:r>
      <w:r w:rsidR="00472265">
        <w:t>, pomáhají</w:t>
      </w:r>
      <w:r>
        <w:t xml:space="preserve"> uspořád</w:t>
      </w:r>
      <w:r w:rsidR="00472265">
        <w:t>at</w:t>
      </w:r>
      <w:r>
        <w:t xml:space="preserve"> vlastnick</w:t>
      </w:r>
      <w:r w:rsidR="00472265">
        <w:t>é</w:t>
      </w:r>
      <w:r>
        <w:t xml:space="preserve"> vztah</w:t>
      </w:r>
      <w:r w:rsidR="00472265">
        <w:t>y</w:t>
      </w:r>
      <w:r>
        <w:t xml:space="preserve"> k pozemkům a umož</w:t>
      </w:r>
      <w:r w:rsidR="00472265">
        <w:t>ňují</w:t>
      </w:r>
      <w:r>
        <w:t xml:space="preserve"> výstavbu protipovodňových staveb, nicméně při nesouhlasu vlastníků více než 40 % výměr</w:t>
      </w:r>
      <w:r w:rsidR="00472265">
        <w:t>y</w:t>
      </w:r>
      <w:r>
        <w:t xml:space="preserve"> pozemků není možné pozemkové úpravy vůbec realizovat</w:t>
      </w:r>
      <w:r w:rsidR="00F138E3">
        <w:rPr>
          <w:rStyle w:val="Znakapoznpodarou"/>
        </w:rPr>
        <w:footnoteReference w:id="15"/>
      </w:r>
      <w:r>
        <w:t xml:space="preserve">. </w:t>
      </w:r>
      <w:r w:rsidRPr="00715875">
        <w:t xml:space="preserve">V roce 2008 </w:t>
      </w:r>
      <w:r>
        <w:t>nabyla účinnosti novela</w:t>
      </w:r>
      <w:r w:rsidRPr="00715875">
        <w:t xml:space="preserve"> vodního zákona</w:t>
      </w:r>
      <w:r>
        <w:rPr>
          <w:rStyle w:val="Znakapoznpodarou"/>
        </w:rPr>
        <w:footnoteReference w:id="16"/>
      </w:r>
      <w:r w:rsidRPr="00715875">
        <w:t>, která poskytla správcům povodí možnost odejmout nebo omezit práva k pozemkům a stavbám potřebným pro realizaci veřejně prospěšných staveb na</w:t>
      </w:r>
      <w:r w:rsidR="003B276C">
        <w:t xml:space="preserve"> </w:t>
      </w:r>
      <w:r w:rsidRPr="00715875">
        <w:t>ochranu před povodněmi</w:t>
      </w:r>
      <w:r w:rsidRPr="00092ACE">
        <w:t xml:space="preserve"> </w:t>
      </w:r>
      <w:r>
        <w:t>postupem podle zákona o </w:t>
      </w:r>
      <w:r w:rsidRPr="00715875">
        <w:t>vyvlastnění</w:t>
      </w:r>
      <w:r>
        <w:rPr>
          <w:rStyle w:val="Znakapoznpodarou"/>
        </w:rPr>
        <w:footnoteReference w:id="17"/>
      </w:r>
      <w:r>
        <w:t>.</w:t>
      </w:r>
      <w:r w:rsidRPr="00026DA6">
        <w:t xml:space="preserve"> </w:t>
      </w:r>
      <w:r>
        <w:t>Dle</w:t>
      </w:r>
      <w:r w:rsidR="003B276C">
        <w:t xml:space="preserve"> </w:t>
      </w:r>
      <w:r>
        <w:t xml:space="preserve">důvodové zprávy k této novele zákona MZe </w:t>
      </w:r>
      <w:r w:rsidRPr="00715875">
        <w:t>předpokl</w:t>
      </w:r>
      <w:r>
        <w:t>ádalo</w:t>
      </w:r>
      <w:r w:rsidRPr="00715875">
        <w:t xml:space="preserve"> vybudování asi 10 tis. ha území </w:t>
      </w:r>
      <w:r>
        <w:t xml:space="preserve">určených </w:t>
      </w:r>
      <w:r w:rsidRPr="00715875">
        <w:t>k řízeným rozlivům povodní</w:t>
      </w:r>
      <w:r>
        <w:t xml:space="preserve"> do</w:t>
      </w:r>
      <w:r w:rsidR="003B276C">
        <w:t xml:space="preserve"> </w:t>
      </w:r>
      <w:r>
        <w:t>roku 2015. Z</w:t>
      </w:r>
      <w:r w:rsidR="00472265">
        <w:t xml:space="preserve"> informací </w:t>
      </w:r>
      <w:r>
        <w:t xml:space="preserve">MZe </w:t>
      </w:r>
      <w:r w:rsidRPr="00715875">
        <w:t>však vyplývá, že</w:t>
      </w:r>
      <w:r w:rsidR="003B276C">
        <w:t xml:space="preserve"> </w:t>
      </w:r>
      <w:r w:rsidRPr="00715875">
        <w:t>do 1. 1. 2019 přibylo pouze cca 3 tis. ha ploch těchto zátopových území</w:t>
      </w:r>
      <w:r>
        <w:t>.</w:t>
      </w:r>
    </w:p>
    <w:p w14:paraId="1F65F1DB" w14:textId="7501DFC5" w:rsidR="009B26B4" w:rsidRPr="009B26B4" w:rsidRDefault="00232B6C" w:rsidP="004D1023">
      <w:pPr>
        <w:pStyle w:val="Nadpis2"/>
        <w:numPr>
          <w:ilvl w:val="0"/>
          <w:numId w:val="22"/>
        </w:numPr>
        <w:ind w:left="284" w:hanging="284"/>
        <w:jc w:val="left"/>
      </w:pPr>
      <w:r>
        <w:t xml:space="preserve">MZe nesleduje </w:t>
      </w:r>
      <w:r w:rsidR="00284124">
        <w:t xml:space="preserve">plnění </w:t>
      </w:r>
      <w:r>
        <w:t>zákonn</w:t>
      </w:r>
      <w:r w:rsidR="003D2F39">
        <w:t>é</w:t>
      </w:r>
      <w:r>
        <w:t xml:space="preserve"> podmínky pro vyplácení náhrad</w:t>
      </w:r>
      <w:r w:rsidR="003D2F39">
        <w:t xml:space="preserve"> </w:t>
      </w:r>
      <w:r>
        <w:t>škod</w:t>
      </w:r>
      <w:r w:rsidR="003D2F39">
        <w:t xml:space="preserve"> vzniklých</w:t>
      </w:r>
      <w:r>
        <w:t xml:space="preserve"> řízeným</w:t>
      </w:r>
      <w:r w:rsidR="00DA4FCB">
        <w:t>i</w:t>
      </w:r>
      <w:r>
        <w:t xml:space="preserve"> rozliv</w:t>
      </w:r>
      <w:r w:rsidR="00DA4FCB">
        <w:t xml:space="preserve">y </w:t>
      </w:r>
      <w:r>
        <w:t>povodní</w:t>
      </w:r>
    </w:p>
    <w:p w14:paraId="1FEC5F25" w14:textId="7415F5FF" w:rsidR="00E42825" w:rsidRDefault="009B26B4" w:rsidP="006A63AD">
      <w:pPr>
        <w:pStyle w:val="TextKP"/>
      </w:pPr>
      <w:r w:rsidRPr="005356ED">
        <w:t xml:space="preserve">Za </w:t>
      </w:r>
      <w:r w:rsidR="00232B6C" w:rsidRPr="005356ED">
        <w:t xml:space="preserve">účelem </w:t>
      </w:r>
      <w:r w:rsidR="00472265">
        <w:t>uhrazení</w:t>
      </w:r>
      <w:r w:rsidR="00232B6C" w:rsidRPr="005356ED">
        <w:t xml:space="preserve"> </w:t>
      </w:r>
      <w:r w:rsidRPr="005356ED">
        <w:t>škod vznikl</w:t>
      </w:r>
      <w:r w:rsidR="00232B6C" w:rsidRPr="005356ED">
        <w:t>ých</w:t>
      </w:r>
      <w:r w:rsidRPr="005356ED">
        <w:t xml:space="preserve"> </w:t>
      </w:r>
      <w:r w:rsidR="00232B6C" w:rsidRPr="005356ED">
        <w:t>řízeným rozlivem p</w:t>
      </w:r>
      <w:r w:rsidR="00DA4FCB" w:rsidRPr="005356ED">
        <w:t>o</w:t>
      </w:r>
      <w:r w:rsidR="00232B6C" w:rsidRPr="005356ED">
        <w:t xml:space="preserve">vodní na půdě, polních plodinách, lesních porostech a stavbách v územích </w:t>
      </w:r>
      <w:r w:rsidR="00DA4FCB" w:rsidRPr="005356ED">
        <w:t xml:space="preserve">určených k řízenému rozlivu povodní vede MZe </w:t>
      </w:r>
      <w:r w:rsidR="00472265">
        <w:rPr>
          <w:i/>
        </w:rPr>
        <w:t>s</w:t>
      </w:r>
      <w:r w:rsidR="00DA4FCB" w:rsidRPr="00A10590">
        <w:rPr>
          <w:i/>
        </w:rPr>
        <w:t>eznam suchých nádrží v ČR pro uplatňování náhrady škod</w:t>
      </w:r>
      <w:r w:rsidR="00DA4FCB" w:rsidRPr="005356ED">
        <w:t xml:space="preserve">. Kontrolou </w:t>
      </w:r>
      <w:r w:rsidR="00534D1C" w:rsidRPr="005356ED">
        <w:t xml:space="preserve">však </w:t>
      </w:r>
      <w:r w:rsidR="00DA4FCB" w:rsidRPr="005356ED">
        <w:t>bylo zjištěno, že</w:t>
      </w:r>
      <w:r w:rsidR="003B276C">
        <w:t xml:space="preserve"> </w:t>
      </w:r>
      <w:r w:rsidR="00046498" w:rsidRPr="005356ED">
        <w:t>MZe nesleduje a neověřuje</w:t>
      </w:r>
      <w:r w:rsidR="00CD5005" w:rsidRPr="005356ED">
        <w:t xml:space="preserve"> zákonnou podmínku</w:t>
      </w:r>
      <w:r w:rsidR="00534D1C" w:rsidRPr="005356ED">
        <w:t xml:space="preserve"> pro uplatnění náhrad</w:t>
      </w:r>
      <w:r w:rsidR="001D15C4" w:rsidRPr="005356ED">
        <w:t>y</w:t>
      </w:r>
      <w:r w:rsidR="00534D1C" w:rsidRPr="005356ED">
        <w:t xml:space="preserve"> škod,</w:t>
      </w:r>
      <w:r w:rsidR="001D15C4" w:rsidRPr="005356ED">
        <w:t xml:space="preserve"> tj.</w:t>
      </w:r>
      <w:r w:rsidR="003B276C">
        <w:t xml:space="preserve"> </w:t>
      </w:r>
      <w:r w:rsidR="00534D1C" w:rsidRPr="005356ED">
        <w:t xml:space="preserve">zda </w:t>
      </w:r>
      <w:r w:rsidR="001D15C4" w:rsidRPr="005356ED">
        <w:t>evidovaná území</w:t>
      </w:r>
      <w:r w:rsidR="00092ACE" w:rsidRPr="005356ED">
        <w:t xml:space="preserve"> určená k řízeným rozlivům</w:t>
      </w:r>
      <w:r w:rsidR="001D15C4" w:rsidRPr="005356ED">
        <w:t xml:space="preserve"> jsou </w:t>
      </w:r>
      <w:r w:rsidR="00534D1C" w:rsidRPr="005356ED">
        <w:t>vymezen</w:t>
      </w:r>
      <w:r w:rsidR="001D15C4" w:rsidRPr="005356ED">
        <w:t>a</w:t>
      </w:r>
      <w:r w:rsidR="00534D1C" w:rsidRPr="005356ED">
        <w:t xml:space="preserve"> ve vydané územně plánovací dokumentaci jako </w:t>
      </w:r>
      <w:r w:rsidR="00CD5005" w:rsidRPr="005356ED">
        <w:t>veřejně prospěšn</w:t>
      </w:r>
      <w:r w:rsidR="001D15C4" w:rsidRPr="005356ED">
        <w:t>é</w:t>
      </w:r>
      <w:r w:rsidR="00CD5005" w:rsidRPr="005356ED">
        <w:t xml:space="preserve"> stavb</w:t>
      </w:r>
      <w:r w:rsidR="001D15C4" w:rsidRPr="005356ED">
        <w:t>y na ochranu před povodněmi.</w:t>
      </w:r>
    </w:p>
    <w:p w14:paraId="7CDECDB7" w14:textId="77777777" w:rsidR="00AC758D" w:rsidRDefault="00AC758D" w:rsidP="00AC758D">
      <w:pPr>
        <w:ind w:left="624" w:hanging="624"/>
        <w:jc w:val="both"/>
        <w:rPr>
          <w:rFonts w:cs="Calibri"/>
          <w:b/>
          <w:sz w:val="20"/>
          <w:szCs w:val="20"/>
        </w:rPr>
      </w:pPr>
    </w:p>
    <w:p w14:paraId="367D406F" w14:textId="425974B3" w:rsidR="00AC758D" w:rsidRDefault="00AC758D" w:rsidP="00AC758D">
      <w:pPr>
        <w:ind w:left="624" w:hanging="624"/>
        <w:jc w:val="both"/>
        <w:rPr>
          <w:rFonts w:cs="Calibri"/>
          <w:lang w:eastAsia="cs-CZ"/>
        </w:rPr>
      </w:pPr>
      <w:r w:rsidRPr="00673AEF">
        <w:rPr>
          <w:rFonts w:cs="Calibri"/>
          <w:b/>
          <w:sz w:val="20"/>
          <w:szCs w:val="20"/>
        </w:rPr>
        <w:t>Pozn.:</w:t>
      </w:r>
      <w:r w:rsidRPr="00673AEF">
        <w:rPr>
          <w:rFonts w:cs="Calibri"/>
          <w:sz w:val="20"/>
          <w:szCs w:val="20"/>
        </w:rPr>
        <w:t xml:space="preserve"> </w:t>
      </w:r>
      <w:r w:rsidRPr="00673AEF">
        <w:rPr>
          <w:rFonts w:cs="Calibri"/>
          <w:sz w:val="20"/>
          <w:szCs w:val="20"/>
        </w:rPr>
        <w:tab/>
        <w:t xml:space="preserve">Všechny právní předpisy uvedené v tomto kontrolním závěru jsou </w:t>
      </w:r>
      <w:r>
        <w:rPr>
          <w:rFonts w:cs="Calibri"/>
          <w:sz w:val="20"/>
          <w:szCs w:val="20"/>
        </w:rPr>
        <w:t>aplikovány ve znění účinném pro kontrolované období.</w:t>
      </w:r>
    </w:p>
    <w:p w14:paraId="2D44CC9A" w14:textId="77777777" w:rsidR="000F01A8" w:rsidRDefault="000F01A8" w:rsidP="00AC758D">
      <w:pPr>
        <w:pStyle w:val="Nadpis1"/>
        <w:numPr>
          <w:ilvl w:val="0"/>
          <w:numId w:val="0"/>
        </w:numPr>
        <w:spacing w:before="360"/>
        <w:jc w:val="left"/>
      </w:pPr>
      <w:r>
        <w:br w:type="page"/>
      </w:r>
    </w:p>
    <w:p w14:paraId="4A0AE489" w14:textId="0C5B7FDC" w:rsidR="00395345" w:rsidRDefault="00395345" w:rsidP="0027442A">
      <w:pPr>
        <w:pStyle w:val="Nadpis1"/>
        <w:numPr>
          <w:ilvl w:val="0"/>
          <w:numId w:val="0"/>
        </w:numPr>
        <w:spacing w:before="360"/>
        <w:ind w:left="431" w:hanging="431"/>
        <w:jc w:val="center"/>
      </w:pPr>
      <w:r>
        <w:lastRenderedPageBreak/>
        <w:t xml:space="preserve">II. </w:t>
      </w:r>
      <w:r w:rsidRPr="000D66DD">
        <w:t>Informace</w:t>
      </w:r>
      <w:r>
        <w:t xml:space="preserve"> o kontrolované oblasti</w:t>
      </w:r>
    </w:p>
    <w:p w14:paraId="499F0848" w14:textId="526B7956" w:rsidR="00DB463F" w:rsidRDefault="00DB463F" w:rsidP="00DB463F">
      <w:pPr>
        <w:pStyle w:val="TextKP"/>
      </w:pPr>
      <w:r>
        <w:t>Od</w:t>
      </w:r>
      <w:r w:rsidR="000F01A8">
        <w:t xml:space="preserve"> </w:t>
      </w:r>
      <w:r>
        <w:t>začátku devadesátých let minulého století j</w:t>
      </w:r>
      <w:r w:rsidR="006915F7">
        <w:t>sou</w:t>
      </w:r>
      <w:r>
        <w:t xml:space="preserve"> Česká republika i </w:t>
      </w:r>
      <w:r w:rsidR="006915F7">
        <w:t>další</w:t>
      </w:r>
      <w:r>
        <w:t xml:space="preserve"> zem</w:t>
      </w:r>
      <w:r w:rsidR="006915F7">
        <w:t>ě</w:t>
      </w:r>
      <w:r>
        <w:t xml:space="preserve"> Evropy zasahován</w:t>
      </w:r>
      <w:r w:rsidR="006915F7">
        <w:t>y</w:t>
      </w:r>
      <w:r>
        <w:t xml:space="preserve"> zvýšeným počtem extrémních povodní. Zákla</w:t>
      </w:r>
      <w:r w:rsidR="00990E65">
        <w:t>dními druhy povodní, kterými je</w:t>
      </w:r>
      <w:r w:rsidR="000F01A8">
        <w:t xml:space="preserve"> </w:t>
      </w:r>
      <w:r>
        <w:t xml:space="preserve">ohroženo území ČR, jsou povodně letní, přívalové, zimní, jarní, povodně způsobené ledovými jevy a zvláštní povodně (způsobené </w:t>
      </w:r>
      <w:r w:rsidR="00284124">
        <w:t xml:space="preserve">např. </w:t>
      </w:r>
      <w:r>
        <w:t>umělými jevy při stavbě či provozu vodních děl).</w:t>
      </w:r>
    </w:p>
    <w:p w14:paraId="163A19A7" w14:textId="1CBE2F54" w:rsidR="00DB463F" w:rsidRDefault="00DB463F" w:rsidP="00DB463F">
      <w:pPr>
        <w:pStyle w:val="TextKP"/>
      </w:pPr>
      <w:r>
        <w:t>Základním</w:t>
      </w:r>
      <w:r w:rsidR="00284124">
        <w:t>i</w:t>
      </w:r>
      <w:r>
        <w:t xml:space="preserve"> legislativním</w:t>
      </w:r>
      <w:r w:rsidR="00284124">
        <w:t>i</w:t>
      </w:r>
      <w:r>
        <w:t xml:space="preserve"> dokument</w:t>
      </w:r>
      <w:r w:rsidR="00284124">
        <w:t>y</w:t>
      </w:r>
      <w:r>
        <w:t xml:space="preserve"> pro řízení ochrany před povodněmi na národní úrovni j</w:t>
      </w:r>
      <w:r w:rsidR="00826FD2">
        <w:t>sou</w:t>
      </w:r>
      <w:r>
        <w:t xml:space="preserve"> vodní zákon a jeho prováděcí právní předpisy. Povodní se dle vodního zákona rozumí přechodné výrazné zvýšení hladiny vodních toků nebo jiných povrchových vod, při kterém voda zaplavuje území mimo koryto vodního toku a může způsobit škody.</w:t>
      </w:r>
      <w:r w:rsidRPr="00495425">
        <w:t xml:space="preserve"> </w:t>
      </w:r>
      <w:r>
        <w:t>Ochrana před povodněmi zahrnuje činnosti a opatření k předcházení a zvládnutí povodňového rizika v ohroženém území. Zajišťuje se systematickou prev</w:t>
      </w:r>
      <w:r w:rsidR="00CF554B">
        <w:t>encí a operativními opatřeními.</w:t>
      </w:r>
    </w:p>
    <w:p w14:paraId="7088C3B9" w14:textId="3F91B895" w:rsidR="00352298" w:rsidRDefault="00352298" w:rsidP="00495425">
      <w:pPr>
        <w:pStyle w:val="TextKP"/>
      </w:pPr>
      <w:r w:rsidRPr="006A63AD">
        <w:t xml:space="preserve">Preventivní opatření </w:t>
      </w:r>
      <w:r w:rsidR="00ED04D9">
        <w:t>na</w:t>
      </w:r>
      <w:r w:rsidRPr="006A63AD">
        <w:t xml:space="preserve"> ochranu před povodněmi jsou nejefektivnější formou ochrany, </w:t>
      </w:r>
      <w:r>
        <w:t>nicméně povodním nelze zcela zabránit. P</w:t>
      </w:r>
      <w:r w:rsidRPr="006A63AD">
        <w:t xml:space="preserve">ři </w:t>
      </w:r>
      <w:r w:rsidR="005020B5">
        <w:t>navrhování</w:t>
      </w:r>
      <w:r w:rsidRPr="006A63AD">
        <w:t xml:space="preserve"> </w:t>
      </w:r>
      <w:r w:rsidR="00ED04D9">
        <w:t>PPO</w:t>
      </w:r>
      <w:r w:rsidR="000A33BD">
        <w:t xml:space="preserve"> je dle zásad prevence před povodněmi</w:t>
      </w:r>
      <w:r w:rsidR="00E1568E">
        <w:rPr>
          <w:rStyle w:val="Znakapoznpodarou"/>
        </w:rPr>
        <w:footnoteReference w:id="18"/>
      </w:r>
      <w:r w:rsidR="000A33BD">
        <w:t xml:space="preserve"> třeba</w:t>
      </w:r>
      <w:r w:rsidRPr="006A63AD">
        <w:t xml:space="preserve"> hled</w:t>
      </w:r>
      <w:r>
        <w:t>at vhodnou kombinaci opatření v </w:t>
      </w:r>
      <w:r w:rsidRPr="006A63AD">
        <w:t>krajině i v urbanizovaném území zvyšující přirozenou akumu</w:t>
      </w:r>
      <w:r w:rsidR="00ED04D9">
        <w:t>laci a retardaci vody v </w:t>
      </w:r>
      <w:r>
        <w:t>území a</w:t>
      </w:r>
      <w:r w:rsidR="000F01A8">
        <w:t xml:space="preserve"> </w:t>
      </w:r>
      <w:r w:rsidRPr="006A63AD">
        <w:t>technických opatření ovlivňujících průtoky a objemy povodňových vln.</w:t>
      </w:r>
    </w:p>
    <w:p w14:paraId="11661667" w14:textId="621D6D22" w:rsidR="00922D93" w:rsidRPr="00922D93" w:rsidRDefault="00922D93" w:rsidP="00495425">
      <w:pPr>
        <w:pStyle w:val="TextKP"/>
      </w:pPr>
      <w:r>
        <w:t>Preventivní opatření na ochranu před povodněmi jsou podporována zejména z prostředků Evropské unie, resp. z prioritní osy 1 (dále také „PO 1“) OPŽP 2014</w:t>
      </w:r>
      <w:r w:rsidR="000F01A8">
        <w:t>–</w:t>
      </w:r>
      <w:r>
        <w:t xml:space="preserve">2020, </w:t>
      </w:r>
      <w:r w:rsidR="005020B5">
        <w:t xml:space="preserve">a to v rámci </w:t>
      </w:r>
      <w:r>
        <w:t>specifick</w:t>
      </w:r>
      <w:r w:rsidR="005020B5">
        <w:t>ých</w:t>
      </w:r>
      <w:r>
        <w:t xml:space="preserve"> </w:t>
      </w:r>
      <w:r w:rsidR="00A94E6F">
        <w:t>cíl</w:t>
      </w:r>
      <w:r w:rsidR="005020B5">
        <w:t>ů</w:t>
      </w:r>
      <w:r w:rsidR="00A94E6F">
        <w:t xml:space="preserve"> (dále také „SC“) 1.3 a 1.4,</w:t>
      </w:r>
      <w:r>
        <w:t xml:space="preserve"> a</w:t>
      </w:r>
      <w:r w:rsidR="003A2BBF">
        <w:t xml:space="preserve"> </w:t>
      </w:r>
      <w:r w:rsidR="005020B5">
        <w:t>současně j</w:t>
      </w:r>
      <w:r w:rsidR="005F3B4D">
        <w:t>sou</w:t>
      </w:r>
      <w:r w:rsidR="005020B5">
        <w:t xml:space="preserve"> podporován</w:t>
      </w:r>
      <w:r w:rsidR="005F3B4D">
        <w:t xml:space="preserve">a </w:t>
      </w:r>
      <w:r>
        <w:t>z prostředků státního rozpočtu (kapitol</w:t>
      </w:r>
      <w:r w:rsidR="005020B5">
        <w:t>a</w:t>
      </w:r>
      <w:r>
        <w:t xml:space="preserve"> MZe), </w:t>
      </w:r>
      <w:r w:rsidR="005020B5">
        <w:t xml:space="preserve">konkrétně z </w:t>
      </w:r>
      <w:r>
        <w:t>program</w:t>
      </w:r>
      <w:r w:rsidR="005020B5">
        <w:t>u</w:t>
      </w:r>
      <w:r>
        <w:t xml:space="preserve"> 129 260</w:t>
      </w:r>
      <w:r>
        <w:rPr>
          <w:i/>
        </w:rPr>
        <w:t xml:space="preserve">. </w:t>
      </w:r>
      <w:r>
        <w:t>Schválená alokace peněžních prostředků pro SC 1.3 a</w:t>
      </w:r>
      <w:r w:rsidR="005020B5">
        <w:t xml:space="preserve"> </w:t>
      </w:r>
      <w:r>
        <w:t>1.4 PO 1 OPŽP 2014</w:t>
      </w:r>
      <w:r w:rsidR="000F01A8">
        <w:t>–</w:t>
      </w:r>
      <w:r>
        <w:t>2020 byla ke dni 30. 6. 2019 v celkové výši 4,9</w:t>
      </w:r>
      <w:r w:rsidR="00B725FD">
        <w:t>1</w:t>
      </w:r>
      <w:r w:rsidR="005020B5">
        <w:t> </w:t>
      </w:r>
      <w:r>
        <w:t>mld. Kč a ke stejnému dni byl platný schválený finanční rámec programu 129 260 ve výši 4,65 mld. Kč.</w:t>
      </w:r>
    </w:p>
    <w:p w14:paraId="56860949" w14:textId="5B21315A" w:rsidR="00495425" w:rsidRDefault="00495425" w:rsidP="00495425">
      <w:pPr>
        <w:pStyle w:val="TextKP"/>
      </w:pPr>
      <w:r>
        <w:t xml:space="preserve">Od roku 1997 do roku 2013 zasáhlo území ČR dle klasifikace povodní v rámci předběžného vyhodnocení povodňových rizik </w:t>
      </w:r>
      <w:r w:rsidR="004E1F5D">
        <w:t>10</w:t>
      </w:r>
      <w:r>
        <w:t xml:space="preserve"> významných povodní. V důsledku těchto povodní je známo minimálně 12</w:t>
      </w:r>
      <w:r w:rsidR="0091498D">
        <w:t>3</w:t>
      </w:r>
      <w:r w:rsidR="003F1985">
        <w:t xml:space="preserve"> lidských obětí. Š</w:t>
      </w:r>
      <w:r>
        <w:t xml:space="preserve">koda na majetku </w:t>
      </w:r>
      <w:r w:rsidR="005020B5">
        <w:t>způsobená těmito</w:t>
      </w:r>
      <w:r>
        <w:t xml:space="preserve"> povodně</w:t>
      </w:r>
      <w:r w:rsidR="005020B5">
        <w:t>mi</w:t>
      </w:r>
      <w:r>
        <w:t xml:space="preserve"> </w:t>
      </w:r>
      <w:r w:rsidR="003F1985">
        <w:t>byla vyčíslena</w:t>
      </w:r>
      <w:r>
        <w:t xml:space="preserve"> ve výši 186,4 mld. Kč.</w:t>
      </w:r>
      <w:r w:rsidR="00F30D9E">
        <w:t xml:space="preserve"> Přehled významných povodní je uveden </w:t>
      </w:r>
      <w:r w:rsidR="00F30D9E" w:rsidRPr="00A10590">
        <w:t>v příloze č. 1</w:t>
      </w:r>
      <w:r w:rsidR="00F30D9E">
        <w:t xml:space="preserve"> tohoto kontrolního závěru.</w:t>
      </w:r>
    </w:p>
    <w:p w14:paraId="7EE73EBB" w14:textId="2D6E3D36" w:rsidR="00495425" w:rsidRDefault="00495425" w:rsidP="00C10A41">
      <w:pPr>
        <w:pStyle w:val="TextKP"/>
      </w:pPr>
      <w:r>
        <w:t xml:space="preserve">Díky geografické poloze ČR je ochrana </w:t>
      </w:r>
      <w:r w:rsidR="005020B5">
        <w:t xml:space="preserve">před povodněmi </w:t>
      </w:r>
      <w:r>
        <w:t>vedena v mezinárodním kontextu. Území ČR náleží do tř</w:t>
      </w:r>
      <w:r w:rsidR="005020B5">
        <w:t>í</w:t>
      </w:r>
      <w:r>
        <w:t xml:space="preserve"> mezinárodních oblastí povodí: do mezinárodní oblasti povodí Labe, mezinárodní oblasti povodí Odry a do mezinárodní oblasti povodí Dunaje. ČR je členem mezinárodních komisí pro ochranu </w:t>
      </w:r>
      <w:r w:rsidR="0046148F">
        <w:t>Dunaj</w:t>
      </w:r>
      <w:r w:rsidR="005020B5">
        <w:t>e</w:t>
      </w:r>
      <w:r w:rsidR="0046148F">
        <w:t xml:space="preserve">, </w:t>
      </w:r>
      <w:r w:rsidR="00CF554B">
        <w:t xml:space="preserve">Labe </w:t>
      </w:r>
      <w:r w:rsidR="009A523A">
        <w:t xml:space="preserve">a </w:t>
      </w:r>
      <w:r w:rsidR="00CF554B">
        <w:t>Odr</w:t>
      </w:r>
      <w:r w:rsidR="005020B5">
        <w:t>y</w:t>
      </w:r>
      <w:r w:rsidR="00CF554B">
        <w:t>.</w:t>
      </w:r>
    </w:p>
    <w:p w14:paraId="1A5DA59C" w14:textId="41D4F319" w:rsidR="007B7F62" w:rsidRDefault="00A23633" w:rsidP="007B7F62">
      <w:pPr>
        <w:pStyle w:val="TextKP"/>
      </w:pPr>
      <w:r>
        <w:t xml:space="preserve">Právní řád ČR </w:t>
      </w:r>
      <w:r w:rsidR="00C167FF">
        <w:t>zahrnuje mj. též požadavky právních předpisů E</w:t>
      </w:r>
      <w:r w:rsidR="0046148F">
        <w:t>U. Pro oblast vodní politiky se</w:t>
      </w:r>
      <w:r w:rsidR="000F01A8">
        <w:t xml:space="preserve"> </w:t>
      </w:r>
      <w:r w:rsidR="00C167FF">
        <w:t>jedná zejména o směrnici Evropského parlamentu a Rady 2000/60/ES</w:t>
      </w:r>
      <w:r w:rsidR="009B6C3D">
        <w:rPr>
          <w:rStyle w:val="Znakapoznpodarou"/>
        </w:rPr>
        <w:footnoteReference w:id="19"/>
      </w:r>
      <w:r w:rsidR="00C167FF">
        <w:t xml:space="preserve"> (dále také „rámcová směrnice o vodách“) a</w:t>
      </w:r>
      <w:r w:rsidR="00C167FF" w:rsidRPr="00C167FF">
        <w:t xml:space="preserve"> </w:t>
      </w:r>
      <w:r w:rsidR="00C167FF">
        <w:t>směrnici Evropského parlamentu a Rady 2007/60/ES</w:t>
      </w:r>
      <w:r w:rsidR="00445C1A">
        <w:rPr>
          <w:rStyle w:val="Znakapoznpodarou"/>
        </w:rPr>
        <w:footnoteReference w:id="20"/>
      </w:r>
      <w:r w:rsidR="00C167FF">
        <w:t xml:space="preserve"> (dále také „povodňová směrnice“). I když byla rámcová směrnice o vodách přijata mj. za účelem přispět ke zmírnění účinků povodní, tak omezení rizika povodní nepatří k hlavním cílům této směrnice</w:t>
      </w:r>
      <w:r w:rsidR="0046148F">
        <w:t>. P</w:t>
      </w:r>
      <w:r w:rsidR="00C167FF">
        <w:t xml:space="preserve">roto byla </w:t>
      </w:r>
      <w:r w:rsidR="0046148F">
        <w:t xml:space="preserve">následně </w:t>
      </w:r>
      <w:r w:rsidR="00C167FF">
        <w:t>přijata povodňová směrnice, která na rámcovou směrnici</w:t>
      </w:r>
      <w:r w:rsidR="00C22E9A">
        <w:t xml:space="preserve"> o vodách</w:t>
      </w:r>
      <w:r w:rsidR="00C167FF">
        <w:t xml:space="preserve"> navazuje. </w:t>
      </w:r>
      <w:r w:rsidR="001C747A">
        <w:t>Účelem povodňové směrnice je stanovit rámec pro vyhodnocování a</w:t>
      </w:r>
      <w:r w:rsidR="000F01A8">
        <w:t xml:space="preserve"> </w:t>
      </w:r>
      <w:r w:rsidR="001C747A">
        <w:t xml:space="preserve">zvládání </w:t>
      </w:r>
      <w:r w:rsidR="001C747A">
        <w:lastRenderedPageBreak/>
        <w:t xml:space="preserve">povodňových rizik s cílem snížit nepříznivé účinky, které souvisejí s povodněmi. </w:t>
      </w:r>
      <w:r w:rsidR="007B7F62">
        <w:t xml:space="preserve">Povodňovým rizikem se </w:t>
      </w:r>
      <w:r w:rsidR="001C747A">
        <w:t xml:space="preserve">dle povodňové směrnice </w:t>
      </w:r>
      <w:r w:rsidR="007B7F62">
        <w:t>rozumí kombinace pra</w:t>
      </w:r>
      <w:r w:rsidR="00C10A41">
        <w:t>vděpodobnosti výskytu povodní a </w:t>
      </w:r>
      <w:r w:rsidR="007B7F62">
        <w:t>jejich možných nepříznivých účinků na lidské zdraví, životní prostředí, kulturní dědictví a</w:t>
      </w:r>
      <w:r w:rsidR="00C10A41">
        <w:t> </w:t>
      </w:r>
      <w:r w:rsidR="007B7F62">
        <w:t>hospod</w:t>
      </w:r>
      <w:r w:rsidR="001C747A">
        <w:t>ářskou činnost.</w:t>
      </w:r>
    </w:p>
    <w:p w14:paraId="21E9F1AF" w14:textId="7FE41204" w:rsidR="0032066F" w:rsidRDefault="00C10A41" w:rsidP="00D93CCD">
      <w:pPr>
        <w:pStyle w:val="TextKP"/>
      </w:pPr>
      <w:r>
        <w:t xml:space="preserve">Proces plánování v oblasti vod probíhá v šestiletých cyklech. Po nabytí účinnosti povodňové směrnice byly </w:t>
      </w:r>
      <w:r w:rsidR="003F1985">
        <w:t>zpracovány</w:t>
      </w:r>
      <w:r>
        <w:t xml:space="preserve"> dva ty</w:t>
      </w:r>
      <w:r w:rsidR="00B973B0">
        <w:t>py plánů. Prvním typem jsou tzv. „plány povodí</w:t>
      </w:r>
      <w:r w:rsidR="0046148F">
        <w:t>“ podle rámcové směrnice o</w:t>
      </w:r>
      <w:r w:rsidR="000F01A8">
        <w:t xml:space="preserve"> </w:t>
      </w:r>
      <w:r w:rsidR="00B973B0">
        <w:t>vodách</w:t>
      </w:r>
      <w:r w:rsidR="0046148F">
        <w:rPr>
          <w:rStyle w:val="Znakapoznpodarou"/>
        </w:rPr>
        <w:footnoteReference w:id="21"/>
      </w:r>
      <w:r w:rsidR="003F1985">
        <w:t>, d</w:t>
      </w:r>
      <w:r w:rsidR="00B973B0">
        <w:t>ruhým typem</w:t>
      </w:r>
      <w:r w:rsidR="00ED04D9">
        <w:t xml:space="preserve"> jsou</w:t>
      </w:r>
      <w:r w:rsidR="00B973B0">
        <w:t xml:space="preserve"> plány pro zv</w:t>
      </w:r>
      <w:r w:rsidR="00E46C4E">
        <w:t>ládání povodňových rizik, které</w:t>
      </w:r>
      <w:r w:rsidR="000F01A8">
        <w:t xml:space="preserve"> </w:t>
      </w:r>
      <w:r w:rsidR="00B973B0">
        <w:t>byly pořízeny podle povodňové směrnice. PpZPR jsou n</w:t>
      </w:r>
      <w:r w:rsidR="00B973B0" w:rsidRPr="00B973B0">
        <w:t xml:space="preserve">ástrojem k dosažení zmírnění možných nepříznivých účinků povodní </w:t>
      </w:r>
      <w:r w:rsidR="0046148F">
        <w:t>v </w:t>
      </w:r>
      <w:r w:rsidR="00B973B0" w:rsidRPr="00B973B0">
        <w:t>oblast</w:t>
      </w:r>
      <w:r w:rsidR="00B973B0">
        <w:t>ech</w:t>
      </w:r>
      <w:r w:rsidR="00445C1A">
        <w:t xml:space="preserve"> s </w:t>
      </w:r>
      <w:r w:rsidR="00B973B0" w:rsidRPr="00B973B0">
        <w:t>významným povodňovým rizikem</w:t>
      </w:r>
      <w:r w:rsidR="00B973B0">
        <w:t xml:space="preserve"> a</w:t>
      </w:r>
      <w:r w:rsidR="000F01A8">
        <w:t xml:space="preserve"> </w:t>
      </w:r>
      <w:r w:rsidR="00B973B0" w:rsidRPr="00B973B0">
        <w:t>vycházejí z map povodňového nebezpečí a</w:t>
      </w:r>
      <w:r w:rsidR="000F01A8">
        <w:t xml:space="preserve"> </w:t>
      </w:r>
      <w:r w:rsidR="00B973B0" w:rsidRPr="00B973B0">
        <w:t>map povodňových rizik.</w:t>
      </w:r>
      <w:r w:rsidR="00ED04D9">
        <w:t xml:space="preserve"> PpZPR pořizuj</w:t>
      </w:r>
      <w:r w:rsidR="009A523A">
        <w:t>í</w:t>
      </w:r>
      <w:r w:rsidR="00ED04D9">
        <w:t xml:space="preserve"> MŽP a</w:t>
      </w:r>
      <w:r w:rsidR="000F01A8">
        <w:t xml:space="preserve"> </w:t>
      </w:r>
      <w:r w:rsidR="00ED04D9">
        <w:t>MZe ve spolupráci</w:t>
      </w:r>
      <w:r w:rsidR="003F1985">
        <w:t xml:space="preserve"> s </w:t>
      </w:r>
      <w:r w:rsidR="00445C1A">
        <w:t>příslušnými správci povodí a</w:t>
      </w:r>
      <w:r w:rsidR="000F01A8">
        <w:t xml:space="preserve"> </w:t>
      </w:r>
      <w:r w:rsidR="00ED04D9">
        <w:t xml:space="preserve">místně příslušnými krajskými úřady. Podkladem pro PpZPR </w:t>
      </w:r>
      <w:r w:rsidR="00445C1A">
        <w:t>byl</w:t>
      </w:r>
      <w:r w:rsidR="00A10590">
        <w:t>a</w:t>
      </w:r>
      <w:r w:rsidR="00445C1A">
        <w:t xml:space="preserve"> tzv. </w:t>
      </w:r>
      <w:r w:rsidR="009A523A">
        <w:rPr>
          <w:i/>
        </w:rPr>
        <w:t>d</w:t>
      </w:r>
      <w:r w:rsidR="00445C1A" w:rsidRPr="00A10590">
        <w:rPr>
          <w:i/>
        </w:rPr>
        <w:t>okumentace oblastí s </w:t>
      </w:r>
      <w:r w:rsidR="00ED04D9" w:rsidRPr="00A10590">
        <w:rPr>
          <w:i/>
        </w:rPr>
        <w:t>významným povodňovým rizikem</w:t>
      </w:r>
      <w:r w:rsidR="00ED04D9">
        <w:t xml:space="preserve"> (dále také „DOsVPR“) obsahující listy jednotlivých navrhovaných opatření. Tato dokumentace je</w:t>
      </w:r>
      <w:r w:rsidR="000F01A8">
        <w:t xml:space="preserve"> </w:t>
      </w:r>
      <w:r w:rsidR="00ED04D9">
        <w:t xml:space="preserve">součástí plánů dílčích povodí, které </w:t>
      </w:r>
      <w:r>
        <w:t>pořizují správci</w:t>
      </w:r>
      <w:r w:rsidR="00FA6D43">
        <w:t xml:space="preserve"> povodí podle své působnosti ve</w:t>
      </w:r>
      <w:r w:rsidR="000F01A8">
        <w:t xml:space="preserve"> </w:t>
      </w:r>
      <w:r>
        <w:t>spolupráci s p</w:t>
      </w:r>
      <w:r w:rsidR="009038D2">
        <w:t>říslušnými krajskými úřady a</w:t>
      </w:r>
      <w:r w:rsidR="00B63FF1">
        <w:t xml:space="preserve"> </w:t>
      </w:r>
      <w:r w:rsidR="009038D2">
        <w:t>ve</w:t>
      </w:r>
      <w:r w:rsidR="000F01A8">
        <w:t xml:space="preserve"> </w:t>
      </w:r>
      <w:r>
        <w:t>spolupráci s ústředními vodoprávními úřady</w:t>
      </w:r>
      <w:r w:rsidR="005B2C86">
        <w:rPr>
          <w:rStyle w:val="Znakapoznpodarou"/>
        </w:rPr>
        <w:footnoteReference w:id="22"/>
      </w:r>
      <w:r>
        <w:t>.</w:t>
      </w:r>
    </w:p>
    <w:p w14:paraId="7800D83C" w14:textId="059D1620" w:rsidR="00015532" w:rsidRDefault="0032066F" w:rsidP="00015532">
      <w:pPr>
        <w:pStyle w:val="TextKP"/>
      </w:pPr>
      <w:r>
        <w:t>Pořízení PpZPR předchází proces předběžného vyhodnoc</w:t>
      </w:r>
      <w:r w:rsidR="009A523A">
        <w:t>ová</w:t>
      </w:r>
      <w:r>
        <w:t>ní povodňových rizik, jehož výsledkem je vymezení tzv. oblastí s významným povodňovým rizikem</w:t>
      </w:r>
      <w:r w:rsidR="00015532">
        <w:rPr>
          <w:rStyle w:val="Znakapoznpodarou"/>
        </w:rPr>
        <w:footnoteReference w:id="23"/>
      </w:r>
      <w:r>
        <w:t xml:space="preserve">. </w:t>
      </w:r>
      <w:r w:rsidR="00015532">
        <w:t>Pro tyto oblasti jsou následně zpracovány mapy povodňového nebezpečí zahrnující scénáře možného zaplavení a</w:t>
      </w:r>
      <w:r w:rsidR="000531CB">
        <w:t> </w:t>
      </w:r>
      <w:r w:rsidR="00015532">
        <w:t xml:space="preserve">mapy povodňových rizik </w:t>
      </w:r>
      <w:r w:rsidR="00BD5652">
        <w:t>vyznačující</w:t>
      </w:r>
      <w:r w:rsidR="00015532">
        <w:t xml:space="preserve"> potenciální nepřízniv</w:t>
      </w:r>
      <w:r w:rsidR="00BD5652">
        <w:t>é</w:t>
      </w:r>
      <w:r w:rsidR="00015532">
        <w:t xml:space="preserve"> následk</w:t>
      </w:r>
      <w:r w:rsidR="00BD5652">
        <w:t>y</w:t>
      </w:r>
      <w:r w:rsidR="00015532">
        <w:t xml:space="preserve"> spojen</w:t>
      </w:r>
      <w:r w:rsidR="00BD5652">
        <w:t>é</w:t>
      </w:r>
      <w:r w:rsidR="00015532">
        <w:t xml:space="preserve"> s povodněmi.</w:t>
      </w:r>
      <w:r w:rsidR="00BD5652">
        <w:t xml:space="preserve"> PpZPR pak zahrnují zejména opatření, jejichž účelem je </w:t>
      </w:r>
      <w:r w:rsidR="00B1722E">
        <w:t>dosáhnout cílů stanovených ke</w:t>
      </w:r>
      <w:r w:rsidR="000531CB">
        <w:t xml:space="preserve"> </w:t>
      </w:r>
      <w:r w:rsidR="00BD5652">
        <w:t>zmírnění možných nepříznivých účinků povodní.</w:t>
      </w:r>
    </w:p>
    <w:p w14:paraId="7AD9C3F4" w14:textId="013E6093" w:rsidR="00D93CCD" w:rsidRDefault="00D93CCD" w:rsidP="00BD5652">
      <w:pPr>
        <w:pStyle w:val="TextKP"/>
      </w:pPr>
      <w:r w:rsidRPr="00495425">
        <w:t>Celková délka vodních toků v</w:t>
      </w:r>
      <w:r>
        <w:t xml:space="preserve"> ČR </w:t>
      </w:r>
      <w:r w:rsidRPr="00495425">
        <w:t>je cca 98 900 km</w:t>
      </w:r>
      <w:r>
        <w:t xml:space="preserve"> (s povodím nad 5 km</w:t>
      </w:r>
      <w:r w:rsidRPr="00495425">
        <w:rPr>
          <w:vertAlign w:val="superscript"/>
        </w:rPr>
        <w:t>2</w:t>
      </w:r>
      <w:r>
        <w:t>)</w:t>
      </w:r>
      <w:r w:rsidR="00301FEC">
        <w:t xml:space="preserve">, </w:t>
      </w:r>
      <w:r>
        <w:t>z </w:t>
      </w:r>
      <w:r w:rsidRPr="00495425">
        <w:t>toho 16</w:t>
      </w:r>
      <w:r>
        <w:t xml:space="preserve"> 762 km </w:t>
      </w:r>
      <w:r w:rsidR="00301FEC">
        <w:t xml:space="preserve">tvoří </w:t>
      </w:r>
      <w:r>
        <w:t>tzv.</w:t>
      </w:r>
      <w:r w:rsidR="009A523A">
        <w:t xml:space="preserve"> </w:t>
      </w:r>
      <w:r w:rsidRPr="00495425">
        <w:t>významn</w:t>
      </w:r>
      <w:r>
        <w:t>é</w:t>
      </w:r>
      <w:r w:rsidRPr="00495425">
        <w:t xml:space="preserve"> vodní tok</w:t>
      </w:r>
      <w:r>
        <w:t>y definova</w:t>
      </w:r>
      <w:r w:rsidRPr="00495425">
        <w:t>n</w:t>
      </w:r>
      <w:r>
        <w:t>é vyhláškou č. 178/2012 Sb.</w:t>
      </w:r>
      <w:r>
        <w:rPr>
          <w:rStyle w:val="Znakapoznpodarou"/>
        </w:rPr>
        <w:footnoteReference w:id="24"/>
      </w:r>
      <w:r>
        <w:t xml:space="preserve"> </w:t>
      </w:r>
      <w:r w:rsidR="00BD5652">
        <w:t>V rámci předběžného vyhodnocení povodňových rizik bylo v roce 2011 v ČR vymezeno 2 959,50 km oblastí s významným povodňovým rizikem.</w:t>
      </w:r>
      <w:r w:rsidR="00BD5652" w:rsidRPr="00BD5652">
        <w:t xml:space="preserve"> </w:t>
      </w:r>
      <w:r w:rsidR="00BD5652">
        <w:t>Pro výběr oblastí s potenciálně významným povodňovým rizikem byla pro každou hodnocenou obec použita dvě základní kritéria: počet obyvatel obce dotčených povodňovým nebezpečím za rok a hodnota majetku dotčeného povodňovým nebezpečím za rok.</w:t>
      </w:r>
      <w:r w:rsidR="00B1722E">
        <w:t xml:space="preserve"> V roce 2018</w:t>
      </w:r>
      <w:r w:rsidR="00301FEC">
        <w:t xml:space="preserve"> </w:t>
      </w:r>
      <w:r w:rsidR="004A5322">
        <w:t xml:space="preserve">byla zveřejněna </w:t>
      </w:r>
      <w:r w:rsidR="00301FEC">
        <w:t>aktualizac</w:t>
      </w:r>
      <w:r w:rsidR="004A5322">
        <w:t>e</w:t>
      </w:r>
      <w:r w:rsidR="00301FEC">
        <w:t xml:space="preserve"> předběžného vyhodnocení povod</w:t>
      </w:r>
      <w:r w:rsidR="001D23A5">
        <w:t>ňových rizik. Nově bylo v České republice vymezeno celkem 2 827,4 km vodních toků s významným povodňovým rizikem.</w:t>
      </w:r>
    </w:p>
    <w:p w14:paraId="1EEE2A4C" w14:textId="15DB9036" w:rsidR="00A92C84" w:rsidRDefault="00C10A41" w:rsidP="00D519C1">
      <w:pPr>
        <w:pStyle w:val="TextKP"/>
        <w:spacing w:after="240"/>
      </w:pPr>
      <w:r>
        <w:t>PpZPR byly schváleny usnesení</w:t>
      </w:r>
      <w:r w:rsidR="00D312AA">
        <w:t>m</w:t>
      </w:r>
      <w:r>
        <w:t xml:space="preserve"> vlády </w:t>
      </w:r>
      <w:r w:rsidR="00385622">
        <w:t xml:space="preserve">ČR </w:t>
      </w:r>
      <w:r>
        <w:t>ze</w:t>
      </w:r>
      <w:r w:rsidR="001D23A5">
        <w:t xml:space="preserve"> dne 21. prosince 2015 č. 1082. MŽP</w:t>
      </w:r>
      <w:r>
        <w:t xml:space="preserve"> následně</w:t>
      </w:r>
      <w:r w:rsidR="00385622">
        <w:t xml:space="preserve"> vydalo v souladu s ustanovením vodního zákona </w:t>
      </w:r>
      <w:r w:rsidR="001D23A5">
        <w:t xml:space="preserve">PpZPR </w:t>
      </w:r>
      <w:r w:rsidR="00385622">
        <w:t>jako</w:t>
      </w:r>
      <w:r w:rsidR="001D23A5">
        <w:t xml:space="preserve"> </w:t>
      </w:r>
      <w:r>
        <w:t>opatření obecné po</w:t>
      </w:r>
      <w:r w:rsidR="001D23A5">
        <w:t xml:space="preserve">vahy. </w:t>
      </w:r>
      <w:r>
        <w:t xml:space="preserve">PpZPR ponechávají v platnosti rámcové cíle vymezené předchozími dokumenty, jakož i zásady </w:t>
      </w:r>
      <w:r>
        <w:lastRenderedPageBreak/>
        <w:t>správných postupů</w:t>
      </w:r>
      <w:r w:rsidR="001A64B7">
        <w:t xml:space="preserve"> formulované již ve</w:t>
      </w:r>
      <w:r>
        <w:t xml:space="preserve"> </w:t>
      </w:r>
      <w:r w:rsidRPr="00314120">
        <w:rPr>
          <w:i/>
        </w:rPr>
        <w:t>Strategi</w:t>
      </w:r>
      <w:r w:rsidR="001A64B7" w:rsidRPr="00314120">
        <w:rPr>
          <w:i/>
        </w:rPr>
        <w:t>i</w:t>
      </w:r>
      <w:r w:rsidR="001D23A5" w:rsidRPr="00314120">
        <w:rPr>
          <w:i/>
        </w:rPr>
        <w:t xml:space="preserve"> ochrany před povodněmi</w:t>
      </w:r>
      <w:r w:rsidR="001D23A5">
        <w:t xml:space="preserve"> z roku 2000</w:t>
      </w:r>
      <w:r w:rsidR="001A64B7" w:rsidRPr="001A64B7">
        <w:rPr>
          <w:vertAlign w:val="superscript"/>
        </w:rPr>
        <w:t>1</w:t>
      </w:r>
      <w:r w:rsidR="00314120">
        <w:rPr>
          <w:vertAlign w:val="superscript"/>
        </w:rPr>
        <w:t>7</w:t>
      </w:r>
      <w:r>
        <w:t xml:space="preserve"> PpZPR se zabývají pouze oblastmi s významnými povodňovými riziky. </w:t>
      </w:r>
      <w:r w:rsidR="004A5322">
        <w:t xml:space="preserve">Pro ostatní ohrožená území, která nebyla vymezena jako oblasti s významným povodňovým rizikem, jsou opatření a cíle </w:t>
      </w:r>
      <w:r w:rsidR="00647028">
        <w:t xml:space="preserve">stanoveny </w:t>
      </w:r>
      <w:r w:rsidR="004A5322">
        <w:t>v p</w:t>
      </w:r>
      <w:r>
        <w:t>lán</w:t>
      </w:r>
      <w:r w:rsidR="004A5322">
        <w:t>ech</w:t>
      </w:r>
      <w:r>
        <w:t xml:space="preserve"> dílčích povodí</w:t>
      </w:r>
      <w:r w:rsidR="001D23A5">
        <w:t>.</w:t>
      </w:r>
    </w:p>
    <w:p w14:paraId="39BE2F37" w14:textId="6BC80CAD" w:rsidR="001D23A5" w:rsidRDefault="000A7DC6" w:rsidP="001D23A5">
      <w:pPr>
        <w:pStyle w:val="TextKP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 wp14:anchorId="749B39C3" wp14:editId="236234D8">
            <wp:extent cx="5760000" cy="3704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7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18E7D" w14:textId="68A1BE05" w:rsidR="00CB6E02" w:rsidRDefault="00DE707F" w:rsidP="00DE707F">
      <w:pPr>
        <w:pStyle w:val="Zdrojapozn"/>
      </w:pPr>
      <w:r w:rsidRPr="002D5C5D">
        <w:rPr>
          <w:b/>
        </w:rPr>
        <w:t>Zdroj:</w:t>
      </w:r>
      <w:r>
        <w:t xml:space="preserve"> </w:t>
      </w:r>
      <w:r w:rsidRPr="001A64B7">
        <w:rPr>
          <w:i/>
        </w:rPr>
        <w:t>Aktualizace a přezkum předběžného vyhodnocení povodňových rizik v České republice</w:t>
      </w:r>
      <w:r w:rsidR="00647028">
        <w:t>,</w:t>
      </w:r>
      <w:r>
        <w:t xml:space="preserve"> 2018, verze 1.0</w:t>
      </w:r>
      <w:r w:rsidR="002D5C5D">
        <w:t>.</w:t>
      </w:r>
    </w:p>
    <w:p w14:paraId="31D966E0" w14:textId="42DDF957" w:rsidR="00395345" w:rsidRDefault="00395345" w:rsidP="00F24777">
      <w:pPr>
        <w:pStyle w:val="Nadpis1"/>
        <w:keepNext w:val="0"/>
        <w:keepLines w:val="0"/>
        <w:numPr>
          <w:ilvl w:val="0"/>
          <w:numId w:val="0"/>
        </w:numPr>
        <w:spacing w:before="360" w:after="120" w:line="264" w:lineRule="auto"/>
        <w:ind w:left="431" w:hanging="431"/>
        <w:jc w:val="center"/>
      </w:pPr>
      <w:r>
        <w:t>I</w:t>
      </w:r>
      <w:r w:rsidR="0066696A">
        <w:t>I</w:t>
      </w:r>
      <w:r>
        <w:t>I. Rozsah kontroly</w:t>
      </w:r>
    </w:p>
    <w:p w14:paraId="4FBCA523" w14:textId="0F2AD535" w:rsidR="00A20F93" w:rsidRPr="00C55969" w:rsidRDefault="00385622" w:rsidP="008842A6">
      <w:pPr>
        <w:pStyle w:val="TextKP"/>
        <w:rPr>
          <w:bCs/>
        </w:rPr>
      </w:pPr>
      <w:r w:rsidRPr="00C55969">
        <w:t>Cílem kontroly bylo prověřit, zda byly peněžní prostředky na protipovodňová opatření vynakládány účelně, hospodárně a v souladu s právními předpisy.</w:t>
      </w:r>
      <w:r>
        <w:t xml:space="preserve"> </w:t>
      </w:r>
      <w:r w:rsidR="00352298">
        <w:t xml:space="preserve">Kontrolní akce </w:t>
      </w:r>
      <w:r>
        <w:t xml:space="preserve">se zaměřila na nastavení a implementaci dotačních programů na protipovodňová opatření </w:t>
      </w:r>
      <w:r w:rsidR="004C7C45">
        <w:t>financovaných</w:t>
      </w:r>
      <w:r>
        <w:t xml:space="preserve"> z kapitoly MZe a z </w:t>
      </w:r>
      <w:r w:rsidR="004C7C45" w:rsidRPr="00F24777">
        <w:t>o</w:t>
      </w:r>
      <w:r w:rsidRPr="00F24777">
        <w:t>peračního programu</w:t>
      </w:r>
      <w:r w:rsidRPr="001A64B7">
        <w:rPr>
          <w:i/>
        </w:rPr>
        <w:t xml:space="preserve"> Životní prostředí 2014</w:t>
      </w:r>
      <w:r w:rsidR="00B82DDB">
        <w:rPr>
          <w:i/>
        </w:rPr>
        <w:t>–</w:t>
      </w:r>
      <w:r w:rsidRPr="001A64B7">
        <w:rPr>
          <w:i/>
        </w:rPr>
        <w:t>2020</w:t>
      </w:r>
      <w:r w:rsidR="004C7C45" w:rsidRPr="00F24777">
        <w:t>.</w:t>
      </w:r>
      <w:r>
        <w:rPr>
          <w:i/>
        </w:rPr>
        <w:t xml:space="preserve"> </w:t>
      </w:r>
      <w:r>
        <w:t xml:space="preserve">Kontrolováno bylo rovněž </w:t>
      </w:r>
      <w:r w:rsidR="00352298">
        <w:t xml:space="preserve">plnění </w:t>
      </w:r>
      <w:r w:rsidR="00F71ABE">
        <w:t>opatření a úkolů v</w:t>
      </w:r>
      <w:r w:rsidR="00352298">
        <w:t xml:space="preserve"> oblasti ochrany před povodněmi</w:t>
      </w:r>
      <w:r w:rsidR="00F71ABE">
        <w:t xml:space="preserve"> v působnosti MŽP, MZe a</w:t>
      </w:r>
      <w:r w:rsidR="00460D39">
        <w:t> </w:t>
      </w:r>
      <w:r w:rsidR="00F71ABE">
        <w:t>kontrolovaných státních podniků povodí</w:t>
      </w:r>
      <w:r>
        <w:t>.</w:t>
      </w:r>
      <w:r w:rsidR="00352298">
        <w:t xml:space="preserve"> </w:t>
      </w:r>
      <w:r w:rsidR="00A20F93" w:rsidRPr="00C55969">
        <w:rPr>
          <w:bCs/>
        </w:rPr>
        <w:t>Kontrolované období</w:t>
      </w:r>
      <w:r w:rsidR="00A20F93">
        <w:rPr>
          <w:bCs/>
        </w:rPr>
        <w:t xml:space="preserve"> představovaly roky </w:t>
      </w:r>
      <w:r w:rsidR="00A20F93" w:rsidRPr="00C55969">
        <w:rPr>
          <w:bCs/>
        </w:rPr>
        <w:t>2016</w:t>
      </w:r>
      <w:r w:rsidR="00F71ABE">
        <w:rPr>
          <w:bCs/>
        </w:rPr>
        <w:t xml:space="preserve"> až</w:t>
      </w:r>
      <w:r w:rsidR="000F01A8">
        <w:rPr>
          <w:bCs/>
        </w:rPr>
        <w:t xml:space="preserve"> </w:t>
      </w:r>
      <w:r w:rsidR="00A20F93">
        <w:rPr>
          <w:bCs/>
        </w:rPr>
        <w:t>2</w:t>
      </w:r>
      <w:r w:rsidR="00A20F93" w:rsidRPr="00C55969">
        <w:rPr>
          <w:bCs/>
        </w:rPr>
        <w:t>018, v případě věcných souvislost</w:t>
      </w:r>
      <w:r w:rsidR="008842A6">
        <w:rPr>
          <w:bCs/>
        </w:rPr>
        <w:t>í</w:t>
      </w:r>
      <w:r w:rsidR="00A20F93" w:rsidRPr="00C55969">
        <w:rPr>
          <w:bCs/>
        </w:rPr>
        <w:t xml:space="preserve"> i období předcházející a</w:t>
      </w:r>
      <w:r w:rsidR="00B82DDB">
        <w:rPr>
          <w:bCs/>
        </w:rPr>
        <w:t xml:space="preserve"> </w:t>
      </w:r>
      <w:r w:rsidR="00A20F93" w:rsidRPr="00C55969">
        <w:rPr>
          <w:bCs/>
        </w:rPr>
        <w:t>období do ukončení kontroly.</w:t>
      </w:r>
    </w:p>
    <w:p w14:paraId="3BA4312D" w14:textId="5E938058" w:rsidR="00C864EE" w:rsidRDefault="00C864EE" w:rsidP="008842A6">
      <w:pPr>
        <w:pStyle w:val="TextKP"/>
      </w:pPr>
      <w:r>
        <w:t>Na systémové úrovni se kontrola zaměřila mj. na prověření poskyt</w:t>
      </w:r>
      <w:r w:rsidR="003F1985">
        <w:t>ování</w:t>
      </w:r>
      <w:r>
        <w:t xml:space="preserve"> peněžních prostředků na konkrétní projekty z úrovně poskytovatelů podpory</w:t>
      </w:r>
      <w:r w:rsidR="00CB6E02">
        <w:t xml:space="preserve">. </w:t>
      </w:r>
      <w:r w:rsidR="0054378F">
        <w:t>Kontrolní vzorek obsah</w:t>
      </w:r>
      <w:r w:rsidR="002D5C5D">
        <w:t>oval 20 </w:t>
      </w:r>
      <w:r w:rsidR="0054378F">
        <w:t>projektů podpořených z OPŽP 2014</w:t>
      </w:r>
      <w:r w:rsidR="00B82DDB">
        <w:t>–</w:t>
      </w:r>
      <w:r w:rsidR="0054378F">
        <w:t>2020 prověřených u</w:t>
      </w:r>
      <w:r>
        <w:t xml:space="preserve"> SFŽP jakožto zprostředkujícího orgánu OPŽP 2014</w:t>
      </w:r>
      <w:r w:rsidR="00B82DDB">
        <w:t>–</w:t>
      </w:r>
      <w:r>
        <w:t xml:space="preserve">2020 a </w:t>
      </w:r>
      <w:r w:rsidR="0054378F">
        <w:t>10 projektů z</w:t>
      </w:r>
      <w:r w:rsidR="001A64B7">
        <w:t> </w:t>
      </w:r>
      <w:r w:rsidR="0054378F">
        <w:t>programu</w:t>
      </w:r>
      <w:r w:rsidR="001A64B7">
        <w:t xml:space="preserve"> </w:t>
      </w:r>
      <w:r w:rsidR="0054378F" w:rsidRPr="001A64B7">
        <w:rPr>
          <w:i/>
        </w:rPr>
        <w:t>Podpora prevence před povodněmi III</w:t>
      </w:r>
      <w:r w:rsidR="001A64B7">
        <w:t xml:space="preserve"> </w:t>
      </w:r>
      <w:r w:rsidR="0054378F">
        <w:t>spravované</w:t>
      </w:r>
      <w:r w:rsidR="00460D39">
        <w:t>ho</w:t>
      </w:r>
      <w:r w:rsidR="0054378F">
        <w:t xml:space="preserve"> </w:t>
      </w:r>
      <w:r>
        <w:t>M</w:t>
      </w:r>
      <w:r w:rsidR="00460D39">
        <w:t>inisterstvem zemědělství</w:t>
      </w:r>
      <w:r>
        <w:t>. Kontrol</w:t>
      </w:r>
      <w:r w:rsidR="001461E1">
        <w:t>ou</w:t>
      </w:r>
      <w:r>
        <w:t xml:space="preserve"> byly na úrovni poskytovatelů podpory na PPO prověřeny peněžní prostředky v celkové výši </w:t>
      </w:r>
      <w:r w:rsidR="00633FDD">
        <w:t xml:space="preserve">861,17 </w:t>
      </w:r>
      <w:r w:rsidR="00633FDD" w:rsidRPr="001A64B7">
        <w:t>mil. Kč</w:t>
      </w:r>
      <w:r w:rsidR="00416C84" w:rsidRPr="001A64B7">
        <w:t>,</w:t>
      </w:r>
      <w:r w:rsidR="00633FDD" w:rsidRPr="001A64B7">
        <w:t xml:space="preserve"> z toho 648,59 mil. Kč </w:t>
      </w:r>
      <w:r w:rsidR="0054378F" w:rsidRPr="001A64B7">
        <w:t>u</w:t>
      </w:r>
      <w:r w:rsidR="00460D39">
        <w:t> </w:t>
      </w:r>
      <w:r w:rsidR="0054378F" w:rsidRPr="001A64B7">
        <w:t>SFŽP</w:t>
      </w:r>
      <w:r w:rsidR="00633FDD" w:rsidRPr="001A64B7">
        <w:t xml:space="preserve"> a</w:t>
      </w:r>
      <w:r w:rsidR="000F01A8">
        <w:t xml:space="preserve"> </w:t>
      </w:r>
      <w:r w:rsidR="00633FDD" w:rsidRPr="001A64B7">
        <w:t>2</w:t>
      </w:r>
      <w:r w:rsidR="00150CFB">
        <w:t>10</w:t>
      </w:r>
      <w:r w:rsidR="00633FDD" w:rsidRPr="001A64B7">
        <w:t>,5</w:t>
      </w:r>
      <w:r w:rsidR="00150CFB">
        <w:t>2</w:t>
      </w:r>
      <w:r w:rsidR="00633FDD" w:rsidRPr="001A64B7">
        <w:t xml:space="preserve"> mil</w:t>
      </w:r>
      <w:r w:rsidR="001A64B7" w:rsidRPr="001A64B7">
        <w:t>.</w:t>
      </w:r>
      <w:r w:rsidR="00633FDD" w:rsidRPr="001A64B7">
        <w:t xml:space="preserve"> Kč u MZe.</w:t>
      </w:r>
      <w:r w:rsidR="001E23B0" w:rsidRPr="001A64B7">
        <w:t xml:space="preserve"> Přehled kontrolovaných projektů na úrovni poskytovatelů podpory je uveden v přílo</w:t>
      </w:r>
      <w:r w:rsidR="001A64B7" w:rsidRPr="001A64B7">
        <w:t>hách</w:t>
      </w:r>
      <w:r w:rsidR="001E23B0" w:rsidRPr="001A64B7">
        <w:t xml:space="preserve"> č.</w:t>
      </w:r>
      <w:r w:rsidR="00636E71" w:rsidRPr="001A64B7">
        <w:t xml:space="preserve"> 2 a 3 </w:t>
      </w:r>
      <w:r w:rsidR="001E23B0" w:rsidRPr="001A64B7">
        <w:t>tohoto kontrolního závěru.</w:t>
      </w:r>
    </w:p>
    <w:p w14:paraId="65733FC4" w14:textId="6D01CE87" w:rsidR="00CB6E02" w:rsidRDefault="00633FDD" w:rsidP="00CB6E02">
      <w:pPr>
        <w:pStyle w:val="TextKP"/>
      </w:pPr>
      <w:r>
        <w:t xml:space="preserve">Na úrovni příjemců podpory </w:t>
      </w:r>
      <w:r w:rsidR="00460D39">
        <w:t>(</w:t>
      </w:r>
      <w:r>
        <w:t>kontrolovaných státních podniků povodí</w:t>
      </w:r>
      <w:r w:rsidR="00460D39">
        <w:t>)</w:t>
      </w:r>
      <w:r>
        <w:t xml:space="preserve"> bylo zkontrolováno 11 projektů a peněžní prostředky v celkové výši </w:t>
      </w:r>
      <w:r w:rsidR="00416C84">
        <w:t>245 mil.</w:t>
      </w:r>
      <w:r>
        <w:t xml:space="preserve"> Kč</w:t>
      </w:r>
      <w:r w:rsidR="00416C84">
        <w:t>,</w:t>
      </w:r>
      <w:r w:rsidR="00416C84" w:rsidRPr="00416C84">
        <w:t xml:space="preserve"> z toho </w:t>
      </w:r>
      <w:r w:rsidR="00416C84">
        <w:t xml:space="preserve">dotace </w:t>
      </w:r>
      <w:r w:rsidR="00416C84" w:rsidRPr="00416C84">
        <w:t xml:space="preserve">ze </w:t>
      </w:r>
      <w:r w:rsidR="00416C84">
        <w:t>státního rozpočtu</w:t>
      </w:r>
      <w:r w:rsidR="00416C84" w:rsidRPr="00416C84">
        <w:t xml:space="preserve"> 200</w:t>
      </w:r>
      <w:r w:rsidR="00416C84">
        <w:t>,</w:t>
      </w:r>
      <w:r w:rsidR="00416C84" w:rsidRPr="00416C84">
        <w:t>82</w:t>
      </w:r>
      <w:r w:rsidR="00416C84">
        <w:t xml:space="preserve"> mil. </w:t>
      </w:r>
      <w:r w:rsidR="00416C84" w:rsidRPr="00416C84">
        <w:t>Kč</w:t>
      </w:r>
      <w:r w:rsidR="00460D39">
        <w:t>,</w:t>
      </w:r>
      <w:r w:rsidR="00416C84">
        <w:t xml:space="preserve"> </w:t>
      </w:r>
      <w:r w:rsidR="00416C84" w:rsidRPr="00416C84">
        <w:t>z EU 4</w:t>
      </w:r>
      <w:r w:rsidR="00416C84">
        <w:t>,</w:t>
      </w:r>
      <w:r w:rsidR="00416C84" w:rsidRPr="00416C84">
        <w:t>24</w:t>
      </w:r>
      <w:r w:rsidR="00416C84">
        <w:t xml:space="preserve"> mil.</w:t>
      </w:r>
      <w:r w:rsidR="00416C84" w:rsidRPr="00416C84">
        <w:t xml:space="preserve"> Kč</w:t>
      </w:r>
      <w:r w:rsidR="00460D39">
        <w:t>,</w:t>
      </w:r>
      <w:r w:rsidR="00416C84">
        <w:t xml:space="preserve"> peněžní prostředky</w:t>
      </w:r>
      <w:r w:rsidR="00416C84" w:rsidRPr="00416C84">
        <w:t xml:space="preserve"> z vlastních zdrojů</w:t>
      </w:r>
      <w:r w:rsidR="00416C84">
        <w:t xml:space="preserve"> kontrolovaných státních </w:t>
      </w:r>
      <w:r w:rsidR="00416C84">
        <w:lastRenderedPageBreak/>
        <w:t>podniků povodí</w:t>
      </w:r>
      <w:r w:rsidR="00BB12D6">
        <w:t xml:space="preserve"> ve výši</w:t>
      </w:r>
      <w:r w:rsidR="00416C84" w:rsidRPr="00416C84">
        <w:t xml:space="preserve"> 32</w:t>
      </w:r>
      <w:r w:rsidR="00416C84">
        <w:t>,</w:t>
      </w:r>
      <w:r w:rsidR="00416C84" w:rsidRPr="00416C84">
        <w:t>63</w:t>
      </w:r>
      <w:r w:rsidR="00416C84">
        <w:t xml:space="preserve"> mil. Kč a peněžní prostředky poskytnuté</w:t>
      </w:r>
      <w:r w:rsidR="00BB12D6">
        <w:t xml:space="preserve"> na realizaci PPO</w:t>
      </w:r>
      <w:r w:rsidR="00416C84">
        <w:t xml:space="preserve"> </w:t>
      </w:r>
      <w:r w:rsidR="00E42825">
        <w:t>od</w:t>
      </w:r>
      <w:r w:rsidR="00AE5843">
        <w:t xml:space="preserve"> </w:t>
      </w:r>
      <w:r w:rsidR="00416C84">
        <w:t>třetích osob (územní samosprávné celky</w:t>
      </w:r>
      <w:r w:rsidR="00416C84" w:rsidRPr="00416C84">
        <w:t xml:space="preserve">) </w:t>
      </w:r>
      <w:r w:rsidR="00BB12D6">
        <w:t xml:space="preserve">ve výši </w:t>
      </w:r>
      <w:r w:rsidR="00416C84" w:rsidRPr="00416C84">
        <w:t>7</w:t>
      </w:r>
      <w:r w:rsidR="00416C84">
        <w:t>,</w:t>
      </w:r>
      <w:r w:rsidR="00416C84" w:rsidRPr="00416C84">
        <w:t>31</w:t>
      </w:r>
      <w:r w:rsidR="00416C84">
        <w:t xml:space="preserve"> mil. </w:t>
      </w:r>
      <w:r w:rsidR="00416C84" w:rsidRPr="00416C84">
        <w:t>Kč</w:t>
      </w:r>
      <w:r w:rsidR="00416C84">
        <w:t>.</w:t>
      </w:r>
      <w:r w:rsidR="005E749B">
        <w:t xml:space="preserve"> </w:t>
      </w:r>
      <w:r w:rsidR="005E749B" w:rsidRPr="005E749B">
        <w:t xml:space="preserve">Kontrola prověřila veřejné zakázky v celkové hodnotě </w:t>
      </w:r>
      <w:r w:rsidR="005E749B">
        <w:t>356</w:t>
      </w:r>
      <w:r w:rsidR="005E749B" w:rsidRPr="005E749B">
        <w:t>,9</w:t>
      </w:r>
      <w:r w:rsidR="005E749B">
        <w:t>3</w:t>
      </w:r>
      <w:r w:rsidR="005E749B" w:rsidRPr="005E749B">
        <w:t xml:space="preserve"> mil. Kč bez DPH</w:t>
      </w:r>
      <w:r w:rsidR="005E749B">
        <w:t>.</w:t>
      </w:r>
      <w:r w:rsidR="001E23B0" w:rsidRPr="001E23B0">
        <w:t xml:space="preserve"> </w:t>
      </w:r>
      <w:r w:rsidR="001E23B0">
        <w:t xml:space="preserve">Přehled </w:t>
      </w:r>
      <w:r w:rsidR="00460D39">
        <w:t xml:space="preserve">projektů </w:t>
      </w:r>
      <w:r w:rsidR="001E23B0">
        <w:t>kontrolovaných na úrovni příjemců podpory je uveden v </w:t>
      </w:r>
      <w:r w:rsidR="001E23B0" w:rsidRPr="00DB24B8">
        <w:t>příloze č.</w:t>
      </w:r>
      <w:r w:rsidR="00636E71" w:rsidRPr="00DB24B8">
        <w:t xml:space="preserve"> 4</w:t>
      </w:r>
      <w:r w:rsidR="001E23B0" w:rsidRPr="00DB24B8">
        <w:t xml:space="preserve"> tohoto</w:t>
      </w:r>
      <w:r w:rsidR="001E23B0">
        <w:t xml:space="preserve"> kontrolního závěru.</w:t>
      </w:r>
    </w:p>
    <w:p w14:paraId="1846D908" w14:textId="2FA20280" w:rsidR="00D90CB8" w:rsidRDefault="00BB12D6" w:rsidP="008842A6">
      <w:pPr>
        <w:pStyle w:val="TextKP"/>
      </w:pPr>
      <w:r>
        <w:t xml:space="preserve">Rozsah kontroly </w:t>
      </w:r>
      <w:r w:rsidR="00CB6E02" w:rsidRPr="00EE6C18">
        <w:t xml:space="preserve">umožnil analyzovat data a informace o realizaci protipovodňových opatření </w:t>
      </w:r>
      <w:r w:rsidR="009038D2">
        <w:t>v území</w:t>
      </w:r>
      <w:r w:rsidR="00DB24B8">
        <w:t>ch</w:t>
      </w:r>
      <w:r w:rsidR="009038D2">
        <w:t xml:space="preserve"> spadající</w:t>
      </w:r>
      <w:r w:rsidR="00DB24B8">
        <w:t>ch</w:t>
      </w:r>
      <w:r w:rsidR="009038D2">
        <w:t xml:space="preserve"> do </w:t>
      </w:r>
      <w:r w:rsidR="00DB24B8">
        <w:t>územní působnosti</w:t>
      </w:r>
      <w:r w:rsidR="009038D2">
        <w:t xml:space="preserve"> kontrolovaných státních podniků povodí </w:t>
      </w:r>
      <w:r w:rsidR="00CB6E02" w:rsidRPr="00EE6C18">
        <w:t>zahrnující 85 % délky významných vodních toků a 41 % d</w:t>
      </w:r>
      <w:r w:rsidR="00DB24B8">
        <w:t>élky drobných vodních toků. Tyto</w:t>
      </w:r>
      <w:r w:rsidR="00AE5843">
        <w:t xml:space="preserve"> </w:t>
      </w:r>
      <w:r w:rsidR="00DB24B8">
        <w:t xml:space="preserve">úseky vodních toků zahrnují také </w:t>
      </w:r>
      <w:r w:rsidR="00CB6E02" w:rsidRPr="00EE6C18">
        <w:t>88 % délky</w:t>
      </w:r>
      <w:r w:rsidR="00DB24B8">
        <w:t xml:space="preserve"> vymezených</w:t>
      </w:r>
      <w:r w:rsidR="00CB6E02" w:rsidRPr="00EE6C18">
        <w:t xml:space="preserve"> oblastí s významným povodňovým rizikem.</w:t>
      </w:r>
      <w:r w:rsidR="00CB6E02">
        <w:t xml:space="preserve"> </w:t>
      </w:r>
      <w:r w:rsidR="009038D2">
        <w:t>Kontrolou tak bylo možné</w:t>
      </w:r>
      <w:r w:rsidR="00CB6E02" w:rsidRPr="00EE6C18">
        <w:t xml:space="preserve"> ověřit stav realizace 126 </w:t>
      </w:r>
      <w:r w:rsidR="009038D2">
        <w:t xml:space="preserve">ze 135 </w:t>
      </w:r>
      <w:r w:rsidR="00CB6E02" w:rsidRPr="00EE6C18">
        <w:t xml:space="preserve">navrhovaných </w:t>
      </w:r>
      <w:r w:rsidR="009038D2">
        <w:t xml:space="preserve">konkrétních </w:t>
      </w:r>
      <w:r w:rsidR="00CB6E02" w:rsidRPr="00EE6C18">
        <w:t>opatření</w:t>
      </w:r>
      <w:r w:rsidR="009038D2">
        <w:t xml:space="preserve"> dle PpZPR</w:t>
      </w:r>
      <w:r w:rsidR="00CB6E02" w:rsidRPr="00EE6C18">
        <w:t>, tj. 93 % navržených konkrétních opatření.</w:t>
      </w:r>
    </w:p>
    <w:p w14:paraId="7100CE69" w14:textId="77777777" w:rsidR="00395345" w:rsidRDefault="00395345" w:rsidP="00FF695A">
      <w:pPr>
        <w:pStyle w:val="Nadpis1"/>
        <w:numPr>
          <w:ilvl w:val="0"/>
          <w:numId w:val="0"/>
        </w:numPr>
        <w:spacing w:before="360" w:line="264" w:lineRule="auto"/>
        <w:ind w:left="431" w:hanging="431"/>
        <w:jc w:val="center"/>
      </w:pPr>
      <w:r>
        <w:t>IV. Podrobné skutečnosti zjištěné kontrolou</w:t>
      </w:r>
    </w:p>
    <w:p w14:paraId="0A0AF13C" w14:textId="0B657546" w:rsidR="00352298" w:rsidRPr="005A0C9A" w:rsidRDefault="00352298" w:rsidP="00352298">
      <w:pPr>
        <w:pStyle w:val="Nadpis2"/>
        <w:numPr>
          <w:ilvl w:val="0"/>
          <w:numId w:val="6"/>
        </w:numPr>
        <w:ind w:left="284" w:hanging="284"/>
      </w:pPr>
      <w:r w:rsidRPr="005A0C9A">
        <w:t xml:space="preserve">Realizace </w:t>
      </w:r>
      <w:r>
        <w:t xml:space="preserve">konkrétních </w:t>
      </w:r>
      <w:r w:rsidRPr="005A0C9A">
        <w:t xml:space="preserve">PPO </w:t>
      </w:r>
      <w:r>
        <w:t>neprobíhá v souladu se schválenými PpZPR</w:t>
      </w:r>
      <w:r w:rsidRPr="005A0C9A">
        <w:t xml:space="preserve"> </w:t>
      </w:r>
    </w:p>
    <w:p w14:paraId="17EBF24D" w14:textId="7C34326D" w:rsidR="00763D22" w:rsidRDefault="002B6C3E" w:rsidP="008842A6">
      <w:pPr>
        <w:pStyle w:val="TextKP"/>
      </w:pPr>
      <w:r w:rsidRPr="002B6C3E">
        <w:t xml:space="preserve">PpZPR </w:t>
      </w:r>
      <w:r w:rsidR="003A2CBF">
        <w:t xml:space="preserve">pro období let 2015 až 2021 </w:t>
      </w:r>
      <w:r>
        <w:t>vydalo MŽP formou</w:t>
      </w:r>
      <w:r w:rsidRPr="002B6C3E">
        <w:t xml:space="preserve"> opatření obecné povahy</w:t>
      </w:r>
      <w:r w:rsidR="008F2A19">
        <w:t>, jejich</w:t>
      </w:r>
      <w:r w:rsidR="00AE5843">
        <w:t xml:space="preserve"> </w:t>
      </w:r>
      <w:r>
        <w:t xml:space="preserve">závaznou </w:t>
      </w:r>
      <w:r w:rsidR="00460D39">
        <w:t>sou</w:t>
      </w:r>
      <w:r>
        <w:t xml:space="preserve">částí jsou </w:t>
      </w:r>
      <w:r w:rsidRPr="008842A6">
        <w:t>stanovené</w:t>
      </w:r>
      <w:r>
        <w:t xml:space="preserve"> cíle a souhrny opatření uvedené v přílohách č. 1 a 2 vydaných opatření obecné povahy. </w:t>
      </w:r>
      <w:r w:rsidR="00763D22">
        <w:t>Pro období platnosti PpZPR byly stanoveny následující tři cíle</w:t>
      </w:r>
      <w:r w:rsidR="003A2CBF">
        <w:t xml:space="preserve"> v</w:t>
      </w:r>
      <w:r w:rsidR="00AE5843">
        <w:t> </w:t>
      </w:r>
      <w:r w:rsidR="003A2CBF">
        <w:t xml:space="preserve">oblasti povodňové prevence </w:t>
      </w:r>
      <w:r w:rsidR="003A2CBF" w:rsidRPr="003A2CBF">
        <w:t>a</w:t>
      </w:r>
      <w:r w:rsidR="00AE5843">
        <w:t xml:space="preserve"> </w:t>
      </w:r>
      <w:r w:rsidR="00763D22" w:rsidRPr="003A2CBF">
        <w:t>připravenosti</w:t>
      </w:r>
      <w:r w:rsidR="00763D22">
        <w:t>:</w:t>
      </w:r>
    </w:p>
    <w:p w14:paraId="51BB2F77" w14:textId="797F6892" w:rsidR="00763D22" w:rsidRDefault="00460D39" w:rsidP="00763D22">
      <w:pPr>
        <w:pStyle w:val="TextKP"/>
        <w:numPr>
          <w:ilvl w:val="0"/>
          <w:numId w:val="8"/>
        </w:numPr>
        <w:spacing w:before="60"/>
        <w:ind w:left="284" w:hanging="284"/>
      </w:pPr>
      <w:r>
        <w:t>z</w:t>
      </w:r>
      <w:r w:rsidR="00763D22">
        <w:t>abránění vzniku nového rizika a snížení rozsahu ploch v nepřijatelném riziku;</w:t>
      </w:r>
    </w:p>
    <w:p w14:paraId="6E555E8A" w14:textId="27DB9550" w:rsidR="00763D22" w:rsidRDefault="00460D39" w:rsidP="00763D22">
      <w:pPr>
        <w:pStyle w:val="TextKP"/>
        <w:numPr>
          <w:ilvl w:val="0"/>
          <w:numId w:val="8"/>
        </w:numPr>
        <w:spacing w:before="60"/>
        <w:ind w:left="284" w:hanging="284"/>
      </w:pPr>
      <w:r>
        <w:t>s</w:t>
      </w:r>
      <w:r w:rsidR="00763D22">
        <w:t>nížení míry povodňového nebezpečí;</w:t>
      </w:r>
    </w:p>
    <w:p w14:paraId="21FC3EF0" w14:textId="2DFBE3AC" w:rsidR="00763D22" w:rsidRDefault="00460D39" w:rsidP="00352298">
      <w:pPr>
        <w:pStyle w:val="TextKP"/>
        <w:numPr>
          <w:ilvl w:val="0"/>
          <w:numId w:val="8"/>
        </w:numPr>
        <w:spacing w:before="60"/>
        <w:ind w:left="284" w:hanging="284"/>
      </w:pPr>
      <w:r>
        <w:t>z</w:t>
      </w:r>
      <w:r w:rsidR="00763D22">
        <w:t>výšení připravenosti obyvatel a odolnosti staveb, objektů infrastruktury, hospodářských a jiných aktivit vůči negativním účinkům povodní.</w:t>
      </w:r>
    </w:p>
    <w:p w14:paraId="14CD2FA9" w14:textId="20C50DC5" w:rsidR="00C43D12" w:rsidRDefault="00037D34" w:rsidP="007625CB">
      <w:pPr>
        <w:pStyle w:val="TextKP"/>
      </w:pPr>
      <w:r w:rsidRPr="00037D34">
        <w:t>K naplnění těchto cílů byl</w:t>
      </w:r>
      <w:r w:rsidR="007F03EF">
        <w:t>a</w:t>
      </w:r>
      <w:r w:rsidRPr="00037D34">
        <w:t xml:space="preserve"> v PpZPR navržena obecná </w:t>
      </w:r>
      <w:r w:rsidR="00460D39">
        <w:t>i</w:t>
      </w:r>
      <w:r w:rsidRPr="00037D34">
        <w:t xml:space="preserve"> ko</w:t>
      </w:r>
      <w:r>
        <w:t>nkrétní opatření vycházející ze</w:t>
      </w:r>
      <w:r w:rsidR="00460D39">
        <w:t xml:space="preserve"> </w:t>
      </w:r>
      <w:r w:rsidRPr="00037D34">
        <w:t>znalosti rizik a dopadů povodňových situací v jednotlivých oblastech s významným povodňovým rizikem.</w:t>
      </w:r>
    </w:p>
    <w:p w14:paraId="1D237A3F" w14:textId="26847DA9" w:rsidR="009D24A5" w:rsidRDefault="009D24A5" w:rsidP="009D24A5">
      <w:pPr>
        <w:pStyle w:val="TextKP"/>
      </w:pPr>
      <w:r>
        <w:t>V PpZPR bylo navrženo pro devět dílčích povodí</w:t>
      </w:r>
      <w:r>
        <w:rPr>
          <w:rStyle w:val="Znakapoznpodarou"/>
        </w:rPr>
        <w:footnoteReference w:id="25"/>
      </w:r>
      <w:r>
        <w:t xml:space="preserve"> celkem 75 obecných opatření, z toho sada sedmi obecných opatření byla pro </w:t>
      </w:r>
      <w:r w:rsidR="00F71ABE">
        <w:t xml:space="preserve">tato </w:t>
      </w:r>
      <w:r>
        <w:t>dílčí povodí shodná</w:t>
      </w:r>
      <w:r w:rsidR="006F38BF">
        <w:t xml:space="preserve">. </w:t>
      </w:r>
      <w:r w:rsidR="0094354B">
        <w:t>P</w:t>
      </w:r>
      <w:r>
        <w:t xml:space="preserve">ouze u </w:t>
      </w:r>
      <w:r w:rsidR="0094354B">
        <w:t xml:space="preserve">osmi obecných opatření z celkového počtu 75 </w:t>
      </w:r>
      <w:r>
        <w:t xml:space="preserve">byly vyčísleny </w:t>
      </w:r>
      <w:r w:rsidR="0094354B">
        <w:t>p</w:t>
      </w:r>
      <w:r>
        <w:t>ředpokládané náklady na jejich realizaci</w:t>
      </w:r>
      <w:r w:rsidR="00460D39">
        <w:t xml:space="preserve">, dosáhnout měly </w:t>
      </w:r>
      <w:r>
        <w:t>celkové výš</w:t>
      </w:r>
      <w:r w:rsidR="00460D39">
        <w:t>e</w:t>
      </w:r>
      <w:r>
        <w:t xml:space="preserve"> 76,5 mil. Kč.</w:t>
      </w:r>
    </w:p>
    <w:p w14:paraId="11B429A0" w14:textId="43D5891F" w:rsidR="00FA5812" w:rsidRDefault="008F2A19" w:rsidP="00AA5E87">
      <w:pPr>
        <w:pStyle w:val="TextKP"/>
      </w:pPr>
      <w:r>
        <w:t xml:space="preserve">Celkem bylo </w:t>
      </w:r>
      <w:r w:rsidR="007625CB">
        <w:t>navrženo k realizaci 135 konkrétních opatření.</w:t>
      </w:r>
      <w:r w:rsidR="00C06288">
        <w:t xml:space="preserve"> Náklady byly odhadnuty pro 130 ze 135 konkrétních opatření v celkové výši </w:t>
      </w:r>
      <w:r w:rsidR="00031E0D">
        <w:t>29 mld. Kč.</w:t>
      </w:r>
      <w:r w:rsidR="007625CB">
        <w:t xml:space="preserve"> </w:t>
      </w:r>
      <w:r>
        <w:t xml:space="preserve">Kontrolou </w:t>
      </w:r>
      <w:r w:rsidR="00AA5E87">
        <w:t>u čtyř</w:t>
      </w:r>
      <w:r>
        <w:t xml:space="preserve"> státních podniků povodí bylo možné ověřit stav realizace 126</w:t>
      </w:r>
      <w:r w:rsidR="00FA5812">
        <w:t xml:space="preserve"> konkrétních opatření. Výsledky znázorňuje následující graf.</w:t>
      </w:r>
    </w:p>
    <w:p w14:paraId="343200D8" w14:textId="77777777" w:rsidR="002D5C5D" w:rsidRDefault="002D5C5D">
      <w:pPr>
        <w:rPr>
          <w:rFonts w:cstheme="minorHAnsi"/>
          <w:iCs/>
          <w:szCs w:val="18"/>
        </w:rPr>
      </w:pPr>
      <w:r>
        <w:br w:type="page"/>
      </w:r>
    </w:p>
    <w:p w14:paraId="1270BB6D" w14:textId="1BD7D304" w:rsidR="00DC774D" w:rsidRPr="00103D24" w:rsidRDefault="00DC774D" w:rsidP="00DC774D">
      <w:pPr>
        <w:pStyle w:val="Titulek"/>
        <w:rPr>
          <w:b/>
        </w:rPr>
      </w:pPr>
      <w:r w:rsidRPr="002D5C5D">
        <w:rPr>
          <w:b/>
        </w:rPr>
        <w:lastRenderedPageBreak/>
        <w:t>Graf č</w:t>
      </w:r>
      <w:r w:rsidRPr="00BB49AB">
        <w:t>.</w:t>
      </w:r>
      <w:r w:rsidRPr="00460D39">
        <w:t xml:space="preserve"> </w:t>
      </w:r>
      <w:r w:rsidR="00472265" w:rsidRPr="00103D24">
        <w:rPr>
          <w:b/>
        </w:rPr>
        <w:fldChar w:fldCharType="begin"/>
      </w:r>
      <w:r w:rsidR="00472265" w:rsidRPr="00103D24">
        <w:rPr>
          <w:b/>
        </w:rPr>
        <w:instrText xml:space="preserve"> SEQ Graf_č. \* ARABIC </w:instrText>
      </w:r>
      <w:r w:rsidR="00472265" w:rsidRPr="00103D24">
        <w:rPr>
          <w:b/>
        </w:rPr>
        <w:fldChar w:fldCharType="separate"/>
      </w:r>
      <w:r w:rsidR="002C2F03">
        <w:rPr>
          <w:b/>
          <w:noProof/>
        </w:rPr>
        <w:t>1</w:t>
      </w:r>
      <w:r w:rsidR="00472265" w:rsidRPr="00103D24">
        <w:rPr>
          <w:b/>
          <w:noProof/>
        </w:rPr>
        <w:fldChar w:fldCharType="end"/>
      </w:r>
      <w:r w:rsidRPr="00103D24">
        <w:rPr>
          <w:b/>
        </w:rPr>
        <w:t>:</w:t>
      </w:r>
      <w:r>
        <w:t xml:space="preserve"> Stav realizace</w:t>
      </w:r>
      <w:r w:rsidR="00E46C4E">
        <w:t xml:space="preserve"> 126</w:t>
      </w:r>
      <w:r>
        <w:t xml:space="preserve"> konkrétních opatření (</w:t>
      </w:r>
      <w:r w:rsidR="00CA7490">
        <w:t xml:space="preserve">k </w:t>
      </w:r>
      <w:r w:rsidR="002E63FE">
        <w:t>30. 6. 2</w:t>
      </w:r>
      <w:r>
        <w:t>019)</w:t>
      </w:r>
    </w:p>
    <w:p w14:paraId="31ECA38C" w14:textId="333F6DDD" w:rsidR="001461E1" w:rsidRDefault="00253896" w:rsidP="00AA5E87">
      <w:pPr>
        <w:pStyle w:val="TextKP"/>
      </w:pPr>
      <w:r>
        <w:rPr>
          <w:noProof/>
          <w:lang w:eastAsia="cs-CZ"/>
        </w:rPr>
        <w:drawing>
          <wp:inline distT="0" distB="0" distL="0" distR="0" wp14:anchorId="44E3F115" wp14:editId="3CCE6D13">
            <wp:extent cx="5760720" cy="2616200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2B85EF7" w14:textId="5F07DB05" w:rsidR="001461E1" w:rsidRDefault="001461E1" w:rsidP="001461E1">
      <w:pPr>
        <w:pStyle w:val="Zdrojapozn"/>
      </w:pPr>
      <w:r w:rsidRPr="002D5C5D">
        <w:rPr>
          <w:b/>
        </w:rPr>
        <w:t>Zdroj:</w:t>
      </w:r>
      <w:r>
        <w:t xml:space="preserve"> informace kontrolovaných státních podniků povodí</w:t>
      </w:r>
      <w:r w:rsidR="002D5C5D">
        <w:t>.</w:t>
      </w:r>
    </w:p>
    <w:p w14:paraId="2F2DA4C3" w14:textId="0E1D7DA9" w:rsidR="00C06288" w:rsidRDefault="00C43D12" w:rsidP="00AA5E87">
      <w:pPr>
        <w:pStyle w:val="TextKP"/>
      </w:pPr>
      <w:r>
        <w:t>Z </w:t>
      </w:r>
      <w:r w:rsidR="008F2A19">
        <w:t xml:space="preserve">celkového počtu 126 konkrétních opatření navržených v PpZPR </w:t>
      </w:r>
      <w:r w:rsidR="00CA7490">
        <w:t>pro</w:t>
      </w:r>
      <w:r w:rsidR="008F2A19">
        <w:t xml:space="preserve"> povodí Labe,</w:t>
      </w:r>
      <w:r w:rsidR="00AA5E87">
        <w:t xml:space="preserve"> povodí Odry a povodí Dunaje</w:t>
      </w:r>
      <w:r w:rsidR="008F2A19">
        <w:t xml:space="preserve"> v územní působnosti </w:t>
      </w:r>
      <w:r w:rsidR="00AA5E87">
        <w:t xml:space="preserve">kontrolovaných </w:t>
      </w:r>
      <w:r w:rsidR="008F2A19">
        <w:t xml:space="preserve">státních podniků bylo k 30. 6. 2019 dokončeno </w:t>
      </w:r>
      <w:r w:rsidR="00AA5E87">
        <w:t>16 navržených opatření (</w:t>
      </w:r>
      <w:r w:rsidR="008F2A19">
        <w:t>1</w:t>
      </w:r>
      <w:r w:rsidR="00AA5E87">
        <w:t>2,7 %</w:t>
      </w:r>
      <w:r w:rsidR="008F2A19">
        <w:t xml:space="preserve">), </w:t>
      </w:r>
      <w:r w:rsidR="00AA5E87">
        <w:t>stejný počet navržených opatření bylo k témuž datu v </w:t>
      </w:r>
      <w:r w:rsidR="008F2A19">
        <w:t xml:space="preserve">realizaci a </w:t>
      </w:r>
      <w:r w:rsidR="00AA5E87">
        <w:t xml:space="preserve">u 26 navržených opatření </w:t>
      </w:r>
      <w:r w:rsidR="0094354B">
        <w:t xml:space="preserve">(20,6 %) </w:t>
      </w:r>
      <w:r w:rsidR="008F2A19">
        <w:t>je plánov</w:t>
      </w:r>
      <w:r w:rsidR="009E0344">
        <w:t>áno zahájit jejich realizac</w:t>
      </w:r>
      <w:r w:rsidR="00CA7490">
        <w:t>i</w:t>
      </w:r>
      <w:r w:rsidR="009E0344">
        <w:t xml:space="preserve"> do</w:t>
      </w:r>
      <w:r w:rsidR="00AE5843">
        <w:t xml:space="preserve"> </w:t>
      </w:r>
      <w:r w:rsidR="008F2A19">
        <w:t>31.</w:t>
      </w:r>
      <w:r w:rsidR="00AA5E87">
        <w:t> 12. 2021, tj.</w:t>
      </w:r>
      <w:r w:rsidR="00AE5843">
        <w:t xml:space="preserve"> </w:t>
      </w:r>
      <w:r w:rsidR="00AA5E87">
        <w:t>do</w:t>
      </w:r>
      <w:r w:rsidR="00AE5843">
        <w:t xml:space="preserve"> </w:t>
      </w:r>
      <w:r w:rsidR="008F2A19">
        <w:t>konce plánovacího období PpZPR.</w:t>
      </w:r>
      <w:r w:rsidR="00AA5E87">
        <w:t xml:space="preserve"> Z uvedeného vyplývá, že</w:t>
      </w:r>
      <w:r w:rsidR="00AE5843">
        <w:t xml:space="preserve"> </w:t>
      </w:r>
      <w:r w:rsidR="00AA5E87">
        <w:t xml:space="preserve">minimálně </w:t>
      </w:r>
      <w:r w:rsidR="00CB30E5">
        <w:br/>
      </w:r>
      <w:r w:rsidR="00AA5E87">
        <w:t>68 navržených opatření nebude do konce plánovacího období a</w:t>
      </w:r>
      <w:r w:rsidR="002E63FE">
        <w:t>ni zahájeno, což</w:t>
      </w:r>
      <w:r w:rsidR="00AE5843">
        <w:t xml:space="preserve"> </w:t>
      </w:r>
      <w:r w:rsidR="002E63FE">
        <w:t>je více než 50 </w:t>
      </w:r>
      <w:r w:rsidR="00AA5E87">
        <w:t xml:space="preserve">% z celkového počtu </w:t>
      </w:r>
      <w:r>
        <w:t xml:space="preserve">135 </w:t>
      </w:r>
      <w:r w:rsidR="00AA5E87">
        <w:t xml:space="preserve">navržených </w:t>
      </w:r>
      <w:r w:rsidR="009E0344">
        <w:t xml:space="preserve">konkrétních </w:t>
      </w:r>
      <w:r w:rsidR="00AA5E87">
        <w:t>opatření.</w:t>
      </w:r>
    </w:p>
    <w:p w14:paraId="627FAE92" w14:textId="0009F698" w:rsidR="00AA5E87" w:rsidRDefault="007C1BDF" w:rsidP="00AA5E87">
      <w:pPr>
        <w:pStyle w:val="TextKP"/>
      </w:pPr>
      <w:r>
        <w:t xml:space="preserve">Naproti tomu </w:t>
      </w:r>
      <w:r w:rsidR="00CA7490">
        <w:t xml:space="preserve">v oblastech s významným povodňovým rizikem </w:t>
      </w:r>
      <w:r>
        <w:t>dochází</w:t>
      </w:r>
      <w:r w:rsidR="00F71ABE">
        <w:t xml:space="preserve"> zejména na návrh obcí</w:t>
      </w:r>
      <w:r w:rsidR="00222767">
        <w:t xml:space="preserve"> a </w:t>
      </w:r>
      <w:r w:rsidR="00CA7490">
        <w:t xml:space="preserve">za </w:t>
      </w:r>
      <w:r w:rsidR="00222767">
        <w:t xml:space="preserve">jejich finanční spoluúčasti </w:t>
      </w:r>
      <w:r>
        <w:t>k realizaci PPO</w:t>
      </w:r>
      <w:r w:rsidR="00F02B1C">
        <w:t>, která</w:t>
      </w:r>
      <w:r w:rsidR="00AE5843">
        <w:t xml:space="preserve"> </w:t>
      </w:r>
      <w:r>
        <w:t>nejsou ve</w:t>
      </w:r>
      <w:r w:rsidR="00AE5843">
        <w:t xml:space="preserve"> </w:t>
      </w:r>
      <w:r>
        <w:t xml:space="preserve">schválených PpZPR obsažena. </w:t>
      </w:r>
      <w:r w:rsidR="009E0344" w:rsidRPr="009E0344">
        <w:t>Nad rámec PpZPR některé</w:t>
      </w:r>
      <w:r w:rsidR="00222767">
        <w:t xml:space="preserve"> kontrolované</w:t>
      </w:r>
      <w:r w:rsidR="009E0344" w:rsidRPr="009E0344">
        <w:t xml:space="preserve"> státní podniky </w:t>
      </w:r>
      <w:r w:rsidR="00222767">
        <w:t xml:space="preserve">povodí </w:t>
      </w:r>
      <w:r w:rsidR="009E0344" w:rsidRPr="009E0344">
        <w:t>(</w:t>
      </w:r>
      <w:r w:rsidR="009E0344">
        <w:t xml:space="preserve">Povodí </w:t>
      </w:r>
      <w:r w:rsidR="009E0344" w:rsidRPr="009E0344">
        <w:t>Labe a</w:t>
      </w:r>
      <w:r w:rsidR="009E0344">
        <w:t xml:space="preserve"> Povodí Vltava) realizovaly </w:t>
      </w:r>
      <w:r w:rsidR="00CA7490">
        <w:t xml:space="preserve">celkem </w:t>
      </w:r>
      <w:r w:rsidR="009E0344">
        <w:t>20 PPO v oblastech</w:t>
      </w:r>
      <w:r>
        <w:t xml:space="preserve"> s významným povodňovým rizikem, přičemž 18 z nich není obsaženo ani v </w:t>
      </w:r>
      <w:r w:rsidR="00CA7490">
        <w:rPr>
          <w:i/>
        </w:rPr>
        <w:t>d</w:t>
      </w:r>
      <w:r w:rsidRPr="00222767">
        <w:rPr>
          <w:i/>
        </w:rPr>
        <w:t>okumentaci oblastí s významným povodňovým rizikem</w:t>
      </w:r>
      <w:r>
        <w:t>, která je součástí plánů dílčích pov</w:t>
      </w:r>
      <w:r w:rsidR="00222767">
        <w:t>odí a byla podkladem pro PpZPR.</w:t>
      </w:r>
    </w:p>
    <w:p w14:paraId="7FD626B3" w14:textId="0593D462" w:rsidR="008A01FE" w:rsidRDefault="007C1BDF" w:rsidP="008A01FE">
      <w:pPr>
        <w:pStyle w:val="TextKP"/>
      </w:pPr>
      <w:r>
        <w:rPr>
          <w:lang w:eastAsia="cs-CZ"/>
        </w:rPr>
        <w:t xml:space="preserve">Kontrola se zaměřila </w:t>
      </w:r>
      <w:r w:rsidR="00031E0D">
        <w:rPr>
          <w:lang w:eastAsia="cs-CZ"/>
        </w:rPr>
        <w:t xml:space="preserve">také </w:t>
      </w:r>
      <w:r>
        <w:rPr>
          <w:lang w:eastAsia="cs-CZ"/>
        </w:rPr>
        <w:t>na způsob výběru konkrétních opatření</w:t>
      </w:r>
      <w:r w:rsidR="00031E0D">
        <w:rPr>
          <w:lang w:eastAsia="cs-CZ"/>
        </w:rPr>
        <w:t xml:space="preserve"> a způsob </w:t>
      </w:r>
      <w:r>
        <w:rPr>
          <w:lang w:eastAsia="cs-CZ"/>
        </w:rPr>
        <w:t xml:space="preserve">stanovení odpovědnosti </w:t>
      </w:r>
      <w:r w:rsidRPr="007C1BDF">
        <w:t>za</w:t>
      </w:r>
      <w:r w:rsidR="00AE5843">
        <w:t xml:space="preserve"> </w:t>
      </w:r>
      <w:r w:rsidR="008A01FE" w:rsidRPr="007C1BDF">
        <w:t>realizaci</w:t>
      </w:r>
      <w:r w:rsidR="008A01FE">
        <w:rPr>
          <w:lang w:eastAsia="cs-CZ"/>
        </w:rPr>
        <w:t xml:space="preserve"> </w:t>
      </w:r>
      <w:r w:rsidR="00C43D12">
        <w:rPr>
          <w:lang w:eastAsia="cs-CZ"/>
        </w:rPr>
        <w:t>jednotlivých</w:t>
      </w:r>
      <w:r w:rsidR="008A01FE">
        <w:rPr>
          <w:lang w:eastAsia="cs-CZ"/>
        </w:rPr>
        <w:t xml:space="preserve"> opatření. </w:t>
      </w:r>
      <w:r w:rsidR="00EB489F">
        <w:rPr>
          <w:lang w:eastAsia="cs-CZ"/>
        </w:rPr>
        <w:t>Obsah plánů povodí a</w:t>
      </w:r>
      <w:r w:rsidR="00AE5843">
        <w:rPr>
          <w:lang w:eastAsia="cs-CZ"/>
        </w:rPr>
        <w:t xml:space="preserve"> </w:t>
      </w:r>
      <w:r w:rsidR="00EB489F">
        <w:rPr>
          <w:lang w:eastAsia="cs-CZ"/>
        </w:rPr>
        <w:t>plánů pro zvládání povodňových rizik je stanoven vyhláškou č. 24/2011 Sb.</w:t>
      </w:r>
      <w:r w:rsidR="00EB489F">
        <w:rPr>
          <w:rStyle w:val="Znakapoznpodarou"/>
          <w:lang w:eastAsia="cs-CZ"/>
        </w:rPr>
        <w:footnoteReference w:id="26"/>
      </w:r>
      <w:r w:rsidR="00EB489F" w:rsidRPr="00770065">
        <w:t xml:space="preserve"> </w:t>
      </w:r>
      <w:r w:rsidR="00EB489F">
        <w:rPr>
          <w:lang w:eastAsia="cs-CZ"/>
        </w:rPr>
        <w:t>H</w:t>
      </w:r>
      <w:r w:rsidR="00EB489F" w:rsidRPr="00EB489F">
        <w:rPr>
          <w:lang w:eastAsia="cs-CZ"/>
        </w:rPr>
        <w:t>lavním podkladem pro sestavení PpZPR</w:t>
      </w:r>
      <w:r w:rsidR="00EB489F">
        <w:rPr>
          <w:lang w:eastAsia="cs-CZ"/>
        </w:rPr>
        <w:t xml:space="preserve"> je </w:t>
      </w:r>
      <w:r w:rsidR="00CA7490">
        <w:rPr>
          <w:i/>
          <w:lang w:eastAsia="cs-CZ"/>
        </w:rPr>
        <w:t>d</w:t>
      </w:r>
      <w:r w:rsidR="00EB489F" w:rsidRPr="00E46C4E">
        <w:rPr>
          <w:i/>
          <w:lang w:eastAsia="cs-CZ"/>
        </w:rPr>
        <w:t>okumentace oblastí</w:t>
      </w:r>
      <w:r w:rsidR="008A292D" w:rsidRPr="00E46C4E">
        <w:rPr>
          <w:i/>
          <w:lang w:eastAsia="cs-CZ"/>
        </w:rPr>
        <w:t xml:space="preserve"> s </w:t>
      </w:r>
      <w:r w:rsidR="00EB489F" w:rsidRPr="00E46C4E">
        <w:rPr>
          <w:i/>
          <w:lang w:eastAsia="cs-CZ"/>
        </w:rPr>
        <w:t>významným povodňovým rizikem</w:t>
      </w:r>
      <w:r w:rsidR="00EB489F">
        <w:rPr>
          <w:lang w:eastAsia="cs-CZ"/>
        </w:rPr>
        <w:t>, která je dle přílohy č. 3 vyhlášky č. 24/2011 Sb</w:t>
      </w:r>
      <w:r w:rsidR="008A292D">
        <w:rPr>
          <w:lang w:eastAsia="cs-CZ"/>
        </w:rPr>
        <w:t>.</w:t>
      </w:r>
      <w:r w:rsidR="0094354B">
        <w:rPr>
          <w:lang w:eastAsia="cs-CZ"/>
        </w:rPr>
        <w:t xml:space="preserve"> součástí plánů dílčích povodí a </w:t>
      </w:r>
      <w:r w:rsidR="00055860">
        <w:rPr>
          <w:lang w:eastAsia="cs-CZ"/>
        </w:rPr>
        <w:t>obsahuje mj.</w:t>
      </w:r>
      <w:r w:rsidR="008A292D">
        <w:rPr>
          <w:lang w:eastAsia="cs-CZ"/>
        </w:rPr>
        <w:t xml:space="preserve"> listy jednotlivých opatření. Listy opatření </w:t>
      </w:r>
      <w:r w:rsidR="00031E0D">
        <w:rPr>
          <w:lang w:eastAsia="cs-CZ"/>
        </w:rPr>
        <w:t>obsahují p</w:t>
      </w:r>
      <w:r w:rsidR="00031E0D">
        <w:t>odrobný popis opatření</w:t>
      </w:r>
      <w:r w:rsidR="008A292D">
        <w:t xml:space="preserve"> včetně uvedení </w:t>
      </w:r>
      <w:r w:rsidR="00031E0D">
        <w:t xml:space="preserve">nositele opatření, priority, stavu implementace (přípravy) opatření a ve většině případů </w:t>
      </w:r>
      <w:r w:rsidR="00CA7490">
        <w:t xml:space="preserve">uvádějí </w:t>
      </w:r>
      <w:r w:rsidR="00031E0D">
        <w:t>také odhad nákladů.</w:t>
      </w:r>
      <w:r w:rsidR="008A292D">
        <w:t xml:space="preserve"> </w:t>
      </w:r>
      <w:r w:rsidR="00055860" w:rsidRPr="00C43D12">
        <w:t>DOsVPR a zejména listy opatření navržených v PpZPR nejsou součástí schválených PpZPR vydaných formou opatření obecné povahy</w:t>
      </w:r>
      <w:r w:rsidR="00055860">
        <w:t xml:space="preserve"> a ani</w:t>
      </w:r>
      <w:r w:rsidR="00055860" w:rsidRPr="00C43D12">
        <w:rPr>
          <w:lang w:eastAsia="cs-CZ"/>
        </w:rPr>
        <w:t xml:space="preserve"> </w:t>
      </w:r>
      <w:r w:rsidR="00055860">
        <w:rPr>
          <w:lang w:eastAsia="cs-CZ"/>
        </w:rPr>
        <w:t>v</w:t>
      </w:r>
      <w:r w:rsidR="008A01FE" w:rsidRPr="00C43D12">
        <w:rPr>
          <w:lang w:eastAsia="cs-CZ"/>
        </w:rPr>
        <w:t xml:space="preserve">odní zákon </w:t>
      </w:r>
      <w:r w:rsidR="00055860">
        <w:rPr>
          <w:lang w:eastAsia="cs-CZ"/>
        </w:rPr>
        <w:t>či</w:t>
      </w:r>
      <w:r w:rsidR="008A01FE" w:rsidRPr="00C43D12">
        <w:rPr>
          <w:lang w:eastAsia="cs-CZ"/>
        </w:rPr>
        <w:t xml:space="preserve"> vyhláška č. 24/2011 Sb. neuvádí, že</w:t>
      </w:r>
      <w:r w:rsidR="00AE5843">
        <w:rPr>
          <w:lang w:eastAsia="cs-CZ"/>
        </w:rPr>
        <w:t xml:space="preserve"> </w:t>
      </w:r>
      <w:r w:rsidR="008A01FE" w:rsidRPr="00C43D12">
        <w:rPr>
          <w:lang w:eastAsia="cs-CZ"/>
        </w:rPr>
        <w:t>by</w:t>
      </w:r>
      <w:r w:rsidR="00AE5843">
        <w:rPr>
          <w:lang w:eastAsia="cs-CZ"/>
        </w:rPr>
        <w:t xml:space="preserve"> </w:t>
      </w:r>
      <w:r w:rsidR="008A292D">
        <w:rPr>
          <w:lang w:eastAsia="cs-CZ"/>
        </w:rPr>
        <w:t>DOsVPR</w:t>
      </w:r>
      <w:r w:rsidR="008A01FE" w:rsidRPr="00C43D12">
        <w:rPr>
          <w:lang w:eastAsia="cs-CZ"/>
        </w:rPr>
        <w:t xml:space="preserve"> byla součástí </w:t>
      </w:r>
      <w:r w:rsidR="008A292D">
        <w:rPr>
          <w:lang w:eastAsia="cs-CZ"/>
        </w:rPr>
        <w:t>PpZPR</w:t>
      </w:r>
      <w:r w:rsidR="008A01FE" w:rsidRPr="00C43D12">
        <w:rPr>
          <w:lang w:eastAsia="cs-CZ"/>
        </w:rPr>
        <w:t>.</w:t>
      </w:r>
    </w:p>
    <w:p w14:paraId="26AE93A9" w14:textId="1E3257EB" w:rsidR="008A01FE" w:rsidRPr="00314A9B" w:rsidRDefault="008A01FE" w:rsidP="00064465">
      <w:pPr>
        <w:pStyle w:val="TextKP"/>
      </w:pPr>
      <w:r>
        <w:rPr>
          <w:lang w:eastAsia="cs-CZ"/>
        </w:rPr>
        <w:t>Dále bylo kontrolou ověřováno,</w:t>
      </w:r>
      <w:r w:rsidR="00867320">
        <w:rPr>
          <w:lang w:eastAsia="cs-CZ"/>
        </w:rPr>
        <w:t xml:space="preserve"> zda PpZPR obsahují všechny náležitosti v souladu s vyhláškou č. 24/2011 Sb.</w:t>
      </w:r>
      <w:r>
        <w:rPr>
          <w:lang w:eastAsia="cs-CZ"/>
        </w:rPr>
        <w:t xml:space="preserve"> </w:t>
      </w:r>
      <w:r w:rsidR="00064465" w:rsidRPr="00314A9B">
        <w:t xml:space="preserve">Kontrolou bylo zjištěno, že </w:t>
      </w:r>
      <w:r w:rsidRPr="00314A9B">
        <w:t>MŽP nepostupovalo v souladu s ustanovením §</w:t>
      </w:r>
      <w:r w:rsidR="0095134C">
        <w:t> </w:t>
      </w:r>
      <w:r w:rsidRPr="00314A9B">
        <w:t xml:space="preserve">18 </w:t>
      </w:r>
      <w:r w:rsidR="00064465" w:rsidRPr="00314A9B">
        <w:t>odst. 2</w:t>
      </w:r>
      <w:r w:rsidR="00AE5843">
        <w:t xml:space="preserve"> </w:t>
      </w:r>
      <w:r w:rsidRPr="00314A9B">
        <w:t xml:space="preserve">vyhlášky č. 24/2011 Sb., </w:t>
      </w:r>
      <w:r w:rsidR="00CA7490">
        <w:t>neboť nestanovilo pro všechna</w:t>
      </w:r>
      <w:r w:rsidRPr="00314A9B">
        <w:t xml:space="preserve"> opatření navrhovan</w:t>
      </w:r>
      <w:r w:rsidR="00CA7490">
        <w:t>á</w:t>
      </w:r>
      <w:r w:rsidRPr="00314A9B">
        <w:t xml:space="preserve"> v plánech pro zvládání </w:t>
      </w:r>
      <w:r w:rsidR="00CA7490">
        <w:t xml:space="preserve">povodňových </w:t>
      </w:r>
      <w:r w:rsidRPr="00314A9B">
        <w:t>r</w:t>
      </w:r>
      <w:r w:rsidR="00064465" w:rsidRPr="00314A9B">
        <w:t xml:space="preserve">izik odhad nákladů </w:t>
      </w:r>
      <w:r w:rsidR="00CA7490">
        <w:t xml:space="preserve">a </w:t>
      </w:r>
      <w:r w:rsidR="00CA7490" w:rsidRPr="00314A9B">
        <w:t xml:space="preserve">neuvedlo v PpZPR </w:t>
      </w:r>
      <w:r w:rsidRPr="00314A9B">
        <w:t xml:space="preserve">u </w:t>
      </w:r>
      <w:r w:rsidR="00CA7490">
        <w:t xml:space="preserve">všech </w:t>
      </w:r>
      <w:r w:rsidRPr="00314A9B">
        <w:t xml:space="preserve">navrhovaných </w:t>
      </w:r>
      <w:r w:rsidRPr="00314A9B">
        <w:lastRenderedPageBreak/>
        <w:t xml:space="preserve">konkrétních opatření </w:t>
      </w:r>
      <w:r w:rsidR="00064465" w:rsidRPr="00314A9B">
        <w:t xml:space="preserve">zhodnocení jejich účinnosti a </w:t>
      </w:r>
      <w:r w:rsidRPr="00314A9B">
        <w:t>odhad</w:t>
      </w:r>
      <w:r w:rsidR="00064465" w:rsidRPr="00314A9B">
        <w:t xml:space="preserve"> </w:t>
      </w:r>
      <w:r w:rsidR="002732FD">
        <w:t xml:space="preserve">předpokládané </w:t>
      </w:r>
      <w:r w:rsidR="00064465" w:rsidRPr="00314A9B">
        <w:t xml:space="preserve">doby </w:t>
      </w:r>
      <w:r w:rsidR="00CA7490">
        <w:t xml:space="preserve">jejich </w:t>
      </w:r>
      <w:r w:rsidR="002732FD">
        <w:t>přípravy a</w:t>
      </w:r>
      <w:r w:rsidR="00CA7490">
        <w:t xml:space="preserve"> </w:t>
      </w:r>
      <w:r w:rsidR="002732FD">
        <w:t>realizace.</w:t>
      </w:r>
    </w:p>
    <w:p w14:paraId="60D54C48" w14:textId="7D652D09" w:rsidR="00314A9B" w:rsidRDefault="008A01FE" w:rsidP="00352298">
      <w:pPr>
        <w:pStyle w:val="TextKP"/>
      </w:pPr>
      <w:r w:rsidRPr="00314A9B">
        <w:t>Systém sledování pokroku při provádění PpZPR je nastaven tak, že účinnost provedených opatření je hodnocena v jednotlivých oblastech s významným povodňovým rizikem v rámci přezkoumání map povodňového nebezpečí a map povodňového rizika na konci plánovacího období</w:t>
      </w:r>
      <w:r w:rsidR="00064465" w:rsidRPr="00314A9B">
        <w:t xml:space="preserve"> (v letech 20</w:t>
      </w:r>
      <w:r w:rsidR="002908D8">
        <w:t>20</w:t>
      </w:r>
      <w:r w:rsidR="00314A9B">
        <w:t xml:space="preserve"> a</w:t>
      </w:r>
      <w:r w:rsidR="002908D8">
        <w:t>ž</w:t>
      </w:r>
      <w:r w:rsidR="00064465" w:rsidRPr="00314A9B">
        <w:t xml:space="preserve"> 2021)</w:t>
      </w:r>
      <w:r w:rsidRPr="00314A9B">
        <w:t>.</w:t>
      </w:r>
    </w:p>
    <w:p w14:paraId="09F237A9" w14:textId="58B17D9E" w:rsidR="009F16DD" w:rsidRDefault="009F16DD" w:rsidP="009F16DD">
      <w:pPr>
        <w:pStyle w:val="Nadpis2"/>
        <w:numPr>
          <w:ilvl w:val="0"/>
          <w:numId w:val="6"/>
        </w:numPr>
        <w:ind w:left="284" w:hanging="284"/>
      </w:pPr>
      <w:r>
        <w:t xml:space="preserve">Přírodě blízká protipovodňová opatření </w:t>
      </w:r>
      <w:r w:rsidR="006555C1">
        <w:t>jsou</w:t>
      </w:r>
      <w:r>
        <w:t xml:space="preserve"> realiz</w:t>
      </w:r>
      <w:r w:rsidR="006555C1">
        <w:t>ována</w:t>
      </w:r>
      <w:r>
        <w:t xml:space="preserve"> v malém rozsahu</w:t>
      </w:r>
    </w:p>
    <w:p w14:paraId="2C4DFFEC" w14:textId="5F948ED1" w:rsidR="009F16DD" w:rsidRDefault="009F16DD" w:rsidP="009F16DD">
      <w:pPr>
        <w:pStyle w:val="TextKP"/>
      </w:pPr>
      <w:r>
        <w:t>Jeden z hlavních nástrojů k podpoře reali</w:t>
      </w:r>
      <w:r w:rsidR="002D5C5D">
        <w:t>zace PBPO představuje OPŽP 2014–</w:t>
      </w:r>
      <w:r>
        <w:t xml:space="preserve">2020, konkrétně </w:t>
      </w:r>
      <w:r w:rsidR="00B35419">
        <w:t>p</w:t>
      </w:r>
      <w:r>
        <w:t xml:space="preserve">rioritní osa 1: </w:t>
      </w:r>
      <w:r w:rsidRPr="00D60360">
        <w:rPr>
          <w:i/>
        </w:rPr>
        <w:t>Zlepšování kvality vod a snižování rizika povodní</w:t>
      </w:r>
      <w:r>
        <w:t xml:space="preserve"> </w:t>
      </w:r>
      <w:r w:rsidR="00B35419">
        <w:t xml:space="preserve">a její </w:t>
      </w:r>
      <w:r>
        <w:t xml:space="preserve">specifický cíl 1.3 </w:t>
      </w:r>
      <w:r w:rsidRPr="00D60360">
        <w:rPr>
          <w:i/>
        </w:rPr>
        <w:t>Zajistit povodňovou ochranu intravilánu a hospodaření se srážkovými vodami</w:t>
      </w:r>
      <w:r>
        <w:t xml:space="preserve"> a specifický cíl 1.4 </w:t>
      </w:r>
      <w:r w:rsidRPr="00D60360">
        <w:rPr>
          <w:i/>
        </w:rPr>
        <w:t>Podpořit preventivní protipovodňová opatření</w:t>
      </w:r>
      <w:r>
        <w:t>. SC 1.3 je</w:t>
      </w:r>
      <w:r w:rsidR="00B82DDB">
        <w:t xml:space="preserve"> </w:t>
      </w:r>
      <w:r>
        <w:t xml:space="preserve">zaměřen zejména na </w:t>
      </w:r>
      <w:r w:rsidRPr="00AC6902">
        <w:t>opatření</w:t>
      </w:r>
      <w:r w:rsidR="00B35419">
        <w:t>, která budou realizována</w:t>
      </w:r>
      <w:r w:rsidRPr="00AC6902">
        <w:t xml:space="preserve"> v intravilánu a extravilánu</w:t>
      </w:r>
      <w:r>
        <w:rPr>
          <w:rStyle w:val="Znakapoznpodarou"/>
        </w:rPr>
        <w:footnoteReference w:id="27"/>
      </w:r>
      <w:r w:rsidRPr="00AC6902">
        <w:t xml:space="preserve"> </w:t>
      </w:r>
      <w:r w:rsidR="00B35419" w:rsidRPr="00AC6902">
        <w:t xml:space="preserve">obcí </w:t>
      </w:r>
      <w:r w:rsidR="00B35419">
        <w:t>a budou</w:t>
      </w:r>
      <w:r w:rsidRPr="00AC6902">
        <w:t xml:space="preserve"> mít pozitivní </w:t>
      </w:r>
      <w:r w:rsidR="00B35419">
        <w:t>vliv</w:t>
      </w:r>
      <w:r w:rsidRPr="00AC6902">
        <w:t xml:space="preserve"> na zmenšení rozsahu zaplaveného území v obcích a snížení počtu zaplavených nemovitostí,</w:t>
      </w:r>
      <w:r>
        <w:t xml:space="preserve"> a </w:t>
      </w:r>
      <w:r w:rsidR="00D05264">
        <w:t>tudíž</w:t>
      </w:r>
      <w:r>
        <w:t xml:space="preserve"> snížení povodňových škod. V rámci SC 1.3 jsou tak podporovány zejména aktivity stavebního charakteru</w:t>
      </w:r>
      <w:r>
        <w:rPr>
          <w:rStyle w:val="Znakapoznpodarou"/>
        </w:rPr>
        <w:footnoteReference w:id="28"/>
      </w:r>
      <w:r>
        <w:t>. Naproti tomu SC 1.4 je zaměřen na</w:t>
      </w:r>
      <w:r w:rsidRPr="00AC6902">
        <w:t xml:space="preserve"> podpor</w:t>
      </w:r>
      <w:r>
        <w:t>u</w:t>
      </w:r>
      <w:r w:rsidRPr="00AC6902">
        <w:t xml:space="preserve"> preventivních protipovodňových opatření a ochran</w:t>
      </w:r>
      <w:r>
        <w:t>u</w:t>
      </w:r>
      <w:r w:rsidRPr="00AC6902">
        <w:t xml:space="preserve"> obyvatel před účinky povodní.</w:t>
      </w:r>
      <w:r>
        <w:t xml:space="preserve"> Oblast podpory je</w:t>
      </w:r>
      <w:r w:rsidR="00D05264">
        <w:t xml:space="preserve"> </w:t>
      </w:r>
      <w:r>
        <w:t>zaměřena zejména na</w:t>
      </w:r>
      <w:r w:rsidR="00D05264">
        <w:t xml:space="preserve"> to,</w:t>
      </w:r>
      <w:r>
        <w:t xml:space="preserve"> </w:t>
      </w:r>
      <w:r w:rsidR="00D05264">
        <w:t xml:space="preserve">aby se u </w:t>
      </w:r>
      <w:r>
        <w:t>obyvatel</w:t>
      </w:r>
      <w:r w:rsidR="00D05264">
        <w:t>,</w:t>
      </w:r>
      <w:r>
        <w:t xml:space="preserve"> státní správy </w:t>
      </w:r>
      <w:r w:rsidR="00D05264">
        <w:t>i</w:t>
      </w:r>
      <w:r>
        <w:t xml:space="preserve"> sam</w:t>
      </w:r>
      <w:r w:rsidR="002D5C5D">
        <w:t xml:space="preserve">osprávy </w:t>
      </w:r>
      <w:r w:rsidR="00D05264">
        <w:t xml:space="preserve">zlepšily znalosti </w:t>
      </w:r>
      <w:r w:rsidR="002D5C5D">
        <w:t>o povodňovém ohrožení a </w:t>
      </w:r>
      <w:r>
        <w:t>povodňových rizicích, jedná se o podporu</w:t>
      </w:r>
      <w:r w:rsidRPr="009D789F">
        <w:t xml:space="preserve"> soubor</w:t>
      </w:r>
      <w:r>
        <w:t>u nestrukturálních opatření.</w:t>
      </w:r>
      <w:r>
        <w:rPr>
          <w:rStyle w:val="Znakapoznpodarou"/>
        </w:rPr>
        <w:footnoteReference w:id="29"/>
      </w:r>
      <w:r>
        <w:t xml:space="preserve"> </w:t>
      </w:r>
    </w:p>
    <w:p w14:paraId="475FDD0C" w14:textId="1376CE20" w:rsidR="009F16DD" w:rsidRDefault="009F16DD" w:rsidP="009F16DD">
      <w:pPr>
        <w:pStyle w:val="TextKP"/>
      </w:pPr>
      <w:r>
        <w:t xml:space="preserve">Původně stanovená alokace peněžních prostředků z příspěvku EU pro SC 1.3 a 1.4 byla ve výši 307,51 mil. </w:t>
      </w:r>
      <w:r w:rsidR="00D05264">
        <w:t>€</w:t>
      </w:r>
      <w:r>
        <w:t>.</w:t>
      </w:r>
      <w:r w:rsidRPr="00BA0ED5">
        <w:t xml:space="preserve"> Tato alokace byla v kontrolovaném období dvakrát změněna</w:t>
      </w:r>
      <w:r>
        <w:t xml:space="preserve"> </w:t>
      </w:r>
      <w:r w:rsidR="00D05264">
        <w:t>(</w:t>
      </w:r>
      <w:r>
        <w:t>resp. snížena</w:t>
      </w:r>
      <w:r w:rsidR="00D05264">
        <w:t>)</w:t>
      </w:r>
      <w:r>
        <w:t xml:space="preserve"> na</w:t>
      </w:r>
      <w:r w:rsidR="00AE5843">
        <w:t xml:space="preserve"> </w:t>
      </w:r>
      <w:r>
        <w:t xml:space="preserve">aktuální hodnotu 190,02 mil. </w:t>
      </w:r>
      <w:r w:rsidR="00D05264">
        <w:t>€</w:t>
      </w:r>
      <w:r>
        <w:t>, což představuje snížení příspěvku EU určeného na podporu PPO o 38,2 %. Ke snížení o 30 % došlo zejména v důsledku nízkého zájmu ze strany žadatelů</w:t>
      </w:r>
      <w:r>
        <w:rPr>
          <w:rStyle w:val="Znakapoznpodarou"/>
        </w:rPr>
        <w:footnoteReference w:id="30"/>
      </w:r>
      <w:r>
        <w:t xml:space="preserve"> od počátku programového období.</w:t>
      </w:r>
      <w:r w:rsidRPr="002A7415">
        <w:t xml:space="preserve"> </w:t>
      </w:r>
      <w:r>
        <w:t>Alokace peněžních prostředků určených na PPO v dělení dle SC a informace o průběžném čerpání ke dni 30. 6. 2019 jsou uvedeny v následující tabulce.</w:t>
      </w:r>
    </w:p>
    <w:p w14:paraId="4BF691F4" w14:textId="77777777" w:rsidR="001058D2" w:rsidRDefault="001058D2">
      <w:pPr>
        <w:rPr>
          <w:rFonts w:cstheme="minorHAnsi"/>
          <w:b/>
          <w:iCs/>
          <w:szCs w:val="18"/>
        </w:rPr>
      </w:pPr>
      <w:r>
        <w:rPr>
          <w:b/>
        </w:rPr>
        <w:br w:type="page"/>
      </w:r>
    </w:p>
    <w:p w14:paraId="43AFE6CE" w14:textId="4F01F84F" w:rsidR="009F16DD" w:rsidRPr="00C168CA" w:rsidRDefault="009F16DD" w:rsidP="00C37439">
      <w:pPr>
        <w:pStyle w:val="Titulek"/>
        <w:tabs>
          <w:tab w:val="clear" w:pos="7938"/>
        </w:tabs>
        <w:ind w:left="1304" w:hanging="1304"/>
      </w:pPr>
      <w:r w:rsidRPr="002D5C5D">
        <w:rPr>
          <w:b/>
        </w:rPr>
        <w:lastRenderedPageBreak/>
        <w:t xml:space="preserve">Tabulka č. </w:t>
      </w:r>
      <w:r w:rsidR="00D55E78" w:rsidRPr="002D5C5D">
        <w:rPr>
          <w:b/>
        </w:rPr>
        <w:fldChar w:fldCharType="begin"/>
      </w:r>
      <w:r w:rsidR="00D55E78" w:rsidRPr="002D5C5D">
        <w:rPr>
          <w:b/>
        </w:rPr>
        <w:instrText xml:space="preserve"> SEQ Tabulka_č. \* ARABIC </w:instrText>
      </w:r>
      <w:r w:rsidR="00D55E78" w:rsidRPr="002D5C5D">
        <w:rPr>
          <w:b/>
        </w:rPr>
        <w:fldChar w:fldCharType="separate"/>
      </w:r>
      <w:r w:rsidR="002C2F03">
        <w:rPr>
          <w:b/>
          <w:noProof/>
        </w:rPr>
        <w:t>1</w:t>
      </w:r>
      <w:r w:rsidR="00D55E78" w:rsidRPr="002D5C5D">
        <w:rPr>
          <w:b/>
          <w:noProof/>
        </w:rPr>
        <w:fldChar w:fldCharType="end"/>
      </w:r>
      <w:r w:rsidRPr="002D5C5D">
        <w:rPr>
          <w:b/>
        </w:rPr>
        <w:t>:</w:t>
      </w:r>
      <w:r w:rsidRPr="00C168CA">
        <w:t xml:space="preserve"> </w:t>
      </w:r>
      <w:r w:rsidR="001058D2">
        <w:tab/>
      </w:r>
      <w:r w:rsidR="00A138D9">
        <w:t>Přehled čerpání p</w:t>
      </w:r>
      <w:r w:rsidRPr="007D48FA">
        <w:t>říspěv</w:t>
      </w:r>
      <w:r w:rsidR="00A138D9">
        <w:t>ku</w:t>
      </w:r>
      <w:r w:rsidRPr="007D48FA">
        <w:t xml:space="preserve"> EU</w:t>
      </w:r>
      <w:r w:rsidR="002D5C5D">
        <w:t xml:space="preserve"> </w:t>
      </w:r>
      <w:r w:rsidR="00A138D9">
        <w:t xml:space="preserve">na </w:t>
      </w:r>
      <w:r w:rsidR="002D5C5D">
        <w:t>OPŽP 2014–</w:t>
      </w:r>
      <w:r>
        <w:t>2020</w:t>
      </w:r>
      <w:r w:rsidRPr="007D48FA">
        <w:t xml:space="preserve"> k 30. 6. 2019</w:t>
      </w:r>
    </w:p>
    <w:tbl>
      <w:tblPr>
        <w:tblW w:w="91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842"/>
        <w:gridCol w:w="863"/>
        <w:gridCol w:w="1037"/>
        <w:gridCol w:w="956"/>
        <w:gridCol w:w="867"/>
        <w:gridCol w:w="1007"/>
        <w:gridCol w:w="921"/>
        <w:gridCol w:w="698"/>
        <w:gridCol w:w="979"/>
      </w:tblGrid>
      <w:tr w:rsidR="009F16DD" w14:paraId="74AADF10" w14:textId="77777777" w:rsidTr="00C72D75">
        <w:tc>
          <w:tcPr>
            <w:tcW w:w="963" w:type="dxa"/>
            <w:vMerge w:val="restart"/>
            <w:shd w:val="clear" w:color="auto" w:fill="E5F1FF"/>
            <w:vAlign w:val="center"/>
            <w:hideMark/>
          </w:tcPr>
          <w:p w14:paraId="4E3657AF" w14:textId="77777777" w:rsidR="009F16DD" w:rsidRPr="00AD72CD" w:rsidRDefault="009F16DD" w:rsidP="00C72D7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Specifický cíl</w:t>
            </w:r>
          </w:p>
        </w:tc>
        <w:tc>
          <w:tcPr>
            <w:tcW w:w="842" w:type="dxa"/>
            <w:shd w:val="clear" w:color="auto" w:fill="E5F1FF"/>
            <w:vAlign w:val="center"/>
            <w:hideMark/>
          </w:tcPr>
          <w:p w14:paraId="15CEAF2A" w14:textId="77777777" w:rsidR="009F16DD" w:rsidRPr="00AD72CD" w:rsidRDefault="009F16DD" w:rsidP="00C72D7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Celková alokace</w:t>
            </w:r>
          </w:p>
        </w:tc>
        <w:tc>
          <w:tcPr>
            <w:tcW w:w="2856" w:type="dxa"/>
            <w:gridSpan w:val="3"/>
            <w:shd w:val="clear" w:color="auto" w:fill="E5F1FF"/>
            <w:vAlign w:val="center"/>
            <w:hideMark/>
          </w:tcPr>
          <w:p w14:paraId="3522A8E3" w14:textId="77777777" w:rsidR="009F16DD" w:rsidRDefault="009F16DD" w:rsidP="00C72D7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Finanční prostředky</w:t>
            </w:r>
          </w:p>
          <w:p w14:paraId="0DB5E303" w14:textId="77777777" w:rsidR="009F16DD" w:rsidRDefault="009F16DD" w:rsidP="00C72D7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v zaregistrovaných žádostech</w:t>
            </w:r>
          </w:p>
          <w:p w14:paraId="15D295B3" w14:textId="77777777" w:rsidR="009F16DD" w:rsidRPr="00AD72CD" w:rsidRDefault="009F16DD" w:rsidP="00C72D7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o podporu</w:t>
            </w:r>
          </w:p>
        </w:tc>
        <w:tc>
          <w:tcPr>
            <w:tcW w:w="2795" w:type="dxa"/>
            <w:gridSpan w:val="3"/>
            <w:shd w:val="clear" w:color="auto" w:fill="E5F1FF"/>
            <w:vAlign w:val="center"/>
            <w:hideMark/>
          </w:tcPr>
          <w:p w14:paraId="4AC5C2ED" w14:textId="17B40537" w:rsidR="009F16DD" w:rsidRPr="00AD72CD" w:rsidRDefault="009F16DD" w:rsidP="00A138D9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Finanční prostředky v právních aktech o poskytnutí/převodu podpory</w:t>
            </w:r>
          </w:p>
        </w:tc>
        <w:tc>
          <w:tcPr>
            <w:tcW w:w="1677" w:type="dxa"/>
            <w:gridSpan w:val="2"/>
            <w:shd w:val="clear" w:color="auto" w:fill="E5F1FF"/>
            <w:vAlign w:val="center"/>
            <w:hideMark/>
          </w:tcPr>
          <w:p w14:paraId="1FD3E234" w14:textId="77777777" w:rsidR="009F16DD" w:rsidRDefault="009F16DD" w:rsidP="00C72D7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Finanční prostředky proplacené</w:t>
            </w:r>
          </w:p>
          <w:p w14:paraId="1E99B225" w14:textId="77777777" w:rsidR="009F16DD" w:rsidRDefault="009F16DD" w:rsidP="00C72D7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AD72C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žádostech</w:t>
            </w:r>
          </w:p>
          <w:p w14:paraId="0953F356" w14:textId="77777777" w:rsidR="009F16DD" w:rsidRPr="00AD72CD" w:rsidRDefault="009F16DD" w:rsidP="00C72D7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o platbu</w:t>
            </w:r>
          </w:p>
        </w:tc>
      </w:tr>
      <w:tr w:rsidR="009F16DD" w14:paraId="5E4A3EA7" w14:textId="77777777" w:rsidTr="00C72D75">
        <w:tc>
          <w:tcPr>
            <w:tcW w:w="963" w:type="dxa"/>
            <w:vMerge/>
            <w:vAlign w:val="center"/>
            <w:hideMark/>
          </w:tcPr>
          <w:p w14:paraId="5A3C6B30" w14:textId="77777777" w:rsidR="009F16DD" w:rsidRPr="00AD72CD" w:rsidRDefault="009F16DD" w:rsidP="00C72D75">
            <w:pP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5AE8EC60" w14:textId="77777777" w:rsidR="009F16DD" w:rsidRPr="00AD72CD" w:rsidRDefault="009F16DD" w:rsidP="00C72D7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mil. Kč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34C0F3D8" w14:textId="77777777" w:rsidR="009F16DD" w:rsidRPr="00AD72CD" w:rsidRDefault="009F16DD" w:rsidP="00C72D7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mil. Kč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9577E8E" w14:textId="77777777" w:rsidR="009F16DD" w:rsidRPr="00AD72CD" w:rsidRDefault="009F16DD" w:rsidP="00C72D7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% k celkové alokaci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C9F0CAA" w14:textId="77777777" w:rsidR="009F16DD" w:rsidRPr="00AD72CD" w:rsidRDefault="009F16DD" w:rsidP="00C72D7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počet projektů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CB5B1FE" w14:textId="77777777" w:rsidR="009F16DD" w:rsidRPr="00AD72CD" w:rsidRDefault="009F16DD" w:rsidP="00C72D7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mil. Kč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17A4E1E" w14:textId="77777777" w:rsidR="009F16DD" w:rsidRPr="00AD72CD" w:rsidRDefault="009F16DD" w:rsidP="00C72D7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% k celkové alokaci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0C139D82" w14:textId="77777777" w:rsidR="009F16DD" w:rsidRPr="00AD72CD" w:rsidRDefault="009F16DD" w:rsidP="00C72D7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počet projektů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678E3813" w14:textId="77777777" w:rsidR="009F16DD" w:rsidRPr="00AD72CD" w:rsidRDefault="009F16DD" w:rsidP="00C72D7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mil. Kč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60A256A" w14:textId="77777777" w:rsidR="009F16DD" w:rsidRPr="00AD72CD" w:rsidRDefault="009F16DD" w:rsidP="00C72D7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% k celkové alokaci</w:t>
            </w:r>
          </w:p>
        </w:tc>
      </w:tr>
      <w:tr w:rsidR="009F16DD" w14:paraId="488B8C81" w14:textId="77777777" w:rsidTr="00C72D75">
        <w:tc>
          <w:tcPr>
            <w:tcW w:w="963" w:type="dxa"/>
            <w:shd w:val="clear" w:color="auto" w:fill="E5F1FF"/>
            <w:vAlign w:val="center"/>
            <w:hideMark/>
          </w:tcPr>
          <w:p w14:paraId="61528321" w14:textId="77777777" w:rsidR="009F16DD" w:rsidRPr="00AD72CD" w:rsidRDefault="009F16DD" w:rsidP="00C72D7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SC </w:t>
            </w:r>
            <w:r w:rsidRPr="00AD72C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1.3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357D697F" w14:textId="77777777" w:rsidR="009F16DD" w:rsidRPr="00AD72CD" w:rsidRDefault="009F16DD" w:rsidP="00C72D75">
            <w:pPr>
              <w:ind w:left="-57" w:righ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color w:val="000000"/>
                <w:sz w:val="20"/>
                <w:szCs w:val="20"/>
                <w:lang w:eastAsia="cs-CZ"/>
              </w:rPr>
              <w:t>2 923,38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745052E" w14:textId="77777777" w:rsidR="009F16DD" w:rsidRPr="00AD72CD" w:rsidRDefault="009F16DD" w:rsidP="00C72D75">
            <w:pPr>
              <w:ind w:left="-57" w:righ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color w:val="000000"/>
                <w:sz w:val="20"/>
                <w:szCs w:val="20"/>
                <w:lang w:eastAsia="cs-CZ"/>
              </w:rPr>
              <w:t>1 662,51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1DE47999" w14:textId="77777777" w:rsidR="009F16DD" w:rsidRPr="00AD72CD" w:rsidRDefault="009F16DD" w:rsidP="00C72D75">
            <w:pPr>
              <w:ind w:left="-57"/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color w:val="000000"/>
                <w:sz w:val="20"/>
                <w:szCs w:val="20"/>
                <w:lang w:eastAsia="cs-CZ"/>
              </w:rPr>
              <w:t>56,87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119ABC9" w14:textId="77777777" w:rsidR="009F16DD" w:rsidRPr="00AD72CD" w:rsidRDefault="009F16DD" w:rsidP="00C72D75">
            <w:pPr>
              <w:ind w:left="-57" w:righ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color w:val="000000"/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0E0299E" w14:textId="77777777" w:rsidR="009F16DD" w:rsidRPr="00AD72CD" w:rsidRDefault="009F16DD" w:rsidP="001D5DE3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color w:val="000000"/>
                <w:sz w:val="20"/>
                <w:szCs w:val="20"/>
                <w:lang w:eastAsia="cs-CZ"/>
              </w:rPr>
              <w:t>940,43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2A965F2" w14:textId="77777777" w:rsidR="009F16DD" w:rsidRPr="00AD72CD" w:rsidRDefault="009F16DD" w:rsidP="00C72D75">
            <w:pPr>
              <w:ind w:left="-57"/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color w:val="000000"/>
                <w:sz w:val="20"/>
                <w:szCs w:val="20"/>
                <w:lang w:eastAsia="cs-CZ"/>
              </w:rPr>
              <w:t>32,17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57B8BCB2" w14:textId="77777777" w:rsidR="009F16DD" w:rsidRPr="00AD72CD" w:rsidRDefault="009F16DD" w:rsidP="00C72D75">
            <w:pPr>
              <w:ind w:left="-57" w:righ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652BD2F3" w14:textId="77777777" w:rsidR="009F16DD" w:rsidRPr="00AD72CD" w:rsidRDefault="009F16DD" w:rsidP="00C72D75">
            <w:pPr>
              <w:ind w:left="-57" w:righ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color w:val="000000"/>
                <w:sz w:val="20"/>
                <w:szCs w:val="20"/>
                <w:lang w:eastAsia="cs-CZ"/>
              </w:rPr>
              <w:t>344,24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D48AFC2" w14:textId="77777777" w:rsidR="009F16DD" w:rsidRPr="00AD72CD" w:rsidRDefault="009F16DD" w:rsidP="00C72D75">
            <w:pPr>
              <w:ind w:left="-57"/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color w:val="000000"/>
                <w:sz w:val="20"/>
                <w:szCs w:val="20"/>
                <w:lang w:eastAsia="cs-CZ"/>
              </w:rPr>
              <w:t>11,78</w:t>
            </w:r>
          </w:p>
        </w:tc>
      </w:tr>
      <w:tr w:rsidR="009F16DD" w14:paraId="42C814E6" w14:textId="77777777" w:rsidTr="00C72D75">
        <w:tc>
          <w:tcPr>
            <w:tcW w:w="963" w:type="dxa"/>
            <w:shd w:val="clear" w:color="auto" w:fill="E5F1FF"/>
            <w:vAlign w:val="center"/>
            <w:hideMark/>
          </w:tcPr>
          <w:p w14:paraId="2C9A0156" w14:textId="77777777" w:rsidR="009F16DD" w:rsidRPr="00AD72CD" w:rsidRDefault="009F16DD" w:rsidP="00C72D7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SC </w:t>
            </w:r>
            <w:r w:rsidRPr="00AD72CD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1.4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2B321D3B" w14:textId="77777777" w:rsidR="009F16DD" w:rsidRPr="00AD72CD" w:rsidRDefault="009F16DD" w:rsidP="00C72D75">
            <w:pPr>
              <w:ind w:left="-57" w:righ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color w:val="000000"/>
                <w:sz w:val="20"/>
                <w:szCs w:val="20"/>
                <w:lang w:eastAsia="cs-CZ"/>
              </w:rPr>
              <w:t>1 984,76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3C9823DF" w14:textId="77777777" w:rsidR="009F16DD" w:rsidRPr="00AD72CD" w:rsidRDefault="009F16DD" w:rsidP="00C72D75">
            <w:pPr>
              <w:ind w:left="-57" w:righ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color w:val="000000"/>
                <w:sz w:val="20"/>
                <w:szCs w:val="20"/>
                <w:lang w:eastAsia="cs-CZ"/>
              </w:rPr>
              <w:t>1 816,63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3A4E7C5" w14:textId="77777777" w:rsidR="009F16DD" w:rsidRPr="00AD72CD" w:rsidRDefault="009F16DD" w:rsidP="00C72D75">
            <w:pPr>
              <w:ind w:left="-57"/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color w:val="000000"/>
                <w:sz w:val="20"/>
                <w:szCs w:val="20"/>
                <w:lang w:eastAsia="cs-CZ"/>
              </w:rPr>
              <w:t>91,53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85C4E86" w14:textId="77777777" w:rsidR="009F16DD" w:rsidRPr="00AD72CD" w:rsidRDefault="009F16DD" w:rsidP="00C72D75">
            <w:pPr>
              <w:ind w:left="-57" w:righ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color w:val="000000"/>
                <w:sz w:val="20"/>
                <w:szCs w:val="20"/>
                <w:lang w:eastAsia="cs-CZ"/>
              </w:rPr>
              <w:t>648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83D6257" w14:textId="77777777" w:rsidR="009F16DD" w:rsidRPr="00AD72CD" w:rsidRDefault="009F16DD" w:rsidP="001D5DE3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color w:val="000000"/>
                <w:sz w:val="20"/>
                <w:szCs w:val="20"/>
                <w:lang w:eastAsia="cs-CZ"/>
              </w:rPr>
              <w:t>1 251,69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5F28085" w14:textId="77777777" w:rsidR="009F16DD" w:rsidRPr="00AD72CD" w:rsidRDefault="009F16DD" w:rsidP="00C72D75">
            <w:pPr>
              <w:ind w:left="-57"/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color w:val="000000"/>
                <w:sz w:val="20"/>
                <w:szCs w:val="20"/>
                <w:lang w:eastAsia="cs-CZ"/>
              </w:rPr>
              <w:t>63,07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13392AC9" w14:textId="77777777" w:rsidR="009F16DD" w:rsidRPr="00AD72CD" w:rsidRDefault="009F16DD" w:rsidP="00C72D75">
            <w:pPr>
              <w:ind w:left="-57" w:righ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color w:val="000000"/>
                <w:sz w:val="20"/>
                <w:szCs w:val="20"/>
                <w:lang w:eastAsia="cs-CZ"/>
              </w:rPr>
              <w:t>454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132B2AE7" w14:textId="77777777" w:rsidR="009F16DD" w:rsidRPr="00AD72CD" w:rsidRDefault="009F16DD" w:rsidP="00C72D75">
            <w:pPr>
              <w:ind w:left="-57" w:right="-57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color w:val="000000"/>
                <w:sz w:val="20"/>
                <w:szCs w:val="20"/>
                <w:lang w:eastAsia="cs-CZ"/>
              </w:rPr>
              <w:t>641,66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A199723" w14:textId="77777777" w:rsidR="009F16DD" w:rsidRPr="00AD72CD" w:rsidRDefault="009F16DD" w:rsidP="00C72D75">
            <w:pPr>
              <w:ind w:left="-57"/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AD72CD">
              <w:rPr>
                <w:rFonts w:cstheme="minorHAnsi"/>
                <w:color w:val="000000"/>
                <w:sz w:val="20"/>
                <w:szCs w:val="20"/>
                <w:lang w:eastAsia="cs-CZ"/>
              </w:rPr>
              <w:t>32,33</w:t>
            </w:r>
          </w:p>
        </w:tc>
      </w:tr>
      <w:tr w:rsidR="009F16DD" w14:paraId="655EF9CB" w14:textId="77777777" w:rsidTr="00C72D75">
        <w:tc>
          <w:tcPr>
            <w:tcW w:w="963" w:type="dxa"/>
            <w:shd w:val="clear" w:color="auto" w:fill="E5F1FF"/>
            <w:vAlign w:val="center"/>
            <w:hideMark/>
          </w:tcPr>
          <w:p w14:paraId="10D686B6" w14:textId="77777777" w:rsidR="009F16DD" w:rsidRPr="00CD7949" w:rsidRDefault="009F16DD" w:rsidP="00C72D75">
            <w:pP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10FAAEB7" w14:textId="77777777" w:rsidR="009F16DD" w:rsidRPr="00CD7949" w:rsidRDefault="009F16DD" w:rsidP="00C72D75">
            <w:pPr>
              <w:ind w:left="-57" w:right="-57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949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4 908,14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7C0D579A" w14:textId="77777777" w:rsidR="009F16DD" w:rsidRPr="00CD7949" w:rsidRDefault="009F16DD" w:rsidP="00C72D75">
            <w:pPr>
              <w:ind w:left="-57" w:right="-57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949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3 479,1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6E6A6D5" w14:textId="77777777" w:rsidR="009F16DD" w:rsidRPr="00CD7949" w:rsidRDefault="009F16DD" w:rsidP="00C72D75">
            <w:pPr>
              <w:ind w:left="-57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949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70,88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799B04D4" w14:textId="77777777" w:rsidR="009F16DD" w:rsidRPr="00CD7949" w:rsidRDefault="009F16DD" w:rsidP="00C72D75">
            <w:pPr>
              <w:ind w:left="-57" w:right="-57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949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860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B1535D9" w14:textId="77777777" w:rsidR="009F16DD" w:rsidRPr="00CD7949" w:rsidRDefault="009F16DD" w:rsidP="001D5DE3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949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2 192,12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7BF90FD" w14:textId="77777777" w:rsidR="009F16DD" w:rsidRPr="00CD7949" w:rsidRDefault="009F16DD" w:rsidP="00C72D75">
            <w:pPr>
              <w:ind w:left="-57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949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44,66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5B29F481" w14:textId="77777777" w:rsidR="009F16DD" w:rsidRPr="00CD7949" w:rsidRDefault="009F16DD" w:rsidP="00C72D75">
            <w:pPr>
              <w:ind w:left="-57" w:right="-57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949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559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7395D459" w14:textId="77777777" w:rsidR="009F16DD" w:rsidRPr="00CD7949" w:rsidRDefault="009F16DD" w:rsidP="00C72D75">
            <w:pPr>
              <w:ind w:left="-57" w:right="-57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949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985,9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6005237" w14:textId="77777777" w:rsidR="009F16DD" w:rsidRPr="00CD7949" w:rsidRDefault="009F16DD" w:rsidP="00C72D75">
            <w:pPr>
              <w:ind w:left="-57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949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20,09</w:t>
            </w:r>
          </w:p>
        </w:tc>
      </w:tr>
    </w:tbl>
    <w:p w14:paraId="07A1DD95" w14:textId="7038CDB1" w:rsidR="009F16DD" w:rsidRPr="00B94C51" w:rsidRDefault="009F16DD" w:rsidP="009F16DD">
      <w:pPr>
        <w:pStyle w:val="Zdrojapozn"/>
      </w:pPr>
      <w:r w:rsidRPr="00A243A0">
        <w:rPr>
          <w:b/>
        </w:rPr>
        <w:t>Zdroj:</w:t>
      </w:r>
      <w:r w:rsidRPr="00CD7949">
        <w:t xml:space="preserve"> </w:t>
      </w:r>
      <w:r w:rsidR="00A138D9">
        <w:t>m</w:t>
      </w:r>
      <w:r>
        <w:t xml:space="preserve">onitorovací systém </w:t>
      </w:r>
      <w:r w:rsidRPr="00CD7949">
        <w:t>MS2014+,</w:t>
      </w:r>
      <w:r>
        <w:t xml:space="preserve"> podklady SFŽP.</w:t>
      </w:r>
    </w:p>
    <w:p w14:paraId="67BE41C4" w14:textId="1F2372EE" w:rsidR="009F16DD" w:rsidRDefault="009F16DD" w:rsidP="009F16DD">
      <w:pPr>
        <w:pStyle w:val="TextKP"/>
      </w:pPr>
      <w:r>
        <w:t>Ke dni 30. 6. 2019 bylo v rámci podpory poskytované prostřednictvím</w:t>
      </w:r>
      <w:r w:rsidRPr="00C168CA">
        <w:t xml:space="preserve"> SC 1.3 </w:t>
      </w:r>
      <w:r w:rsidR="00A138D9" w:rsidRPr="00C168CA">
        <w:t xml:space="preserve">vyhrazeno </w:t>
      </w:r>
      <w:r w:rsidR="00A138D9">
        <w:t xml:space="preserve">pro </w:t>
      </w:r>
      <w:r w:rsidRPr="00C168CA">
        <w:t>projekt</w:t>
      </w:r>
      <w:r w:rsidR="00A138D9">
        <w:t>y</w:t>
      </w:r>
      <w:r>
        <w:t xml:space="preserve"> s vydaným právním aktem o poskytnutí podpory </w:t>
      </w:r>
      <w:r w:rsidRPr="00C168CA">
        <w:t>pouze 32 % aktuální alokace</w:t>
      </w:r>
      <w:r>
        <w:t xml:space="preserve"> peněžních prostředků, která byla navíc v kontrolovaném období z důvodu nezájmu žadatelů snižována. Ke dni 30. 6. 2019 nebylo </w:t>
      </w:r>
      <w:r w:rsidRPr="006A1FC7">
        <w:t xml:space="preserve">zazávazkováno 68 % aktuální alokace </w:t>
      </w:r>
      <w:r>
        <w:t xml:space="preserve">peněžních prostředků pro </w:t>
      </w:r>
      <w:r w:rsidRPr="006A1FC7">
        <w:t>SC 1.3</w:t>
      </w:r>
      <w:r>
        <w:t xml:space="preserve">. Ke stejnému dni projekty se </w:t>
      </w:r>
      <w:r w:rsidRPr="00FA3C27">
        <w:t>zaregistrovan</w:t>
      </w:r>
      <w:r>
        <w:t>ou</w:t>
      </w:r>
      <w:r w:rsidRPr="00FA3C27">
        <w:t xml:space="preserve"> žádost</w:t>
      </w:r>
      <w:r>
        <w:t xml:space="preserve">í </w:t>
      </w:r>
      <w:r w:rsidRPr="00FA3C27">
        <w:t xml:space="preserve">o podporu </w:t>
      </w:r>
      <w:r>
        <w:t>pokrývaly</w:t>
      </w:r>
      <w:r w:rsidRPr="00FA3C27">
        <w:t xml:space="preserve"> </w:t>
      </w:r>
      <w:r w:rsidRPr="006A1FC7">
        <w:t xml:space="preserve">57 % </w:t>
      </w:r>
      <w:r>
        <w:t>alokace</w:t>
      </w:r>
      <w:r w:rsidRPr="006A1FC7">
        <w:t>.</w:t>
      </w:r>
      <w:r>
        <w:t xml:space="preserve"> Dle</w:t>
      </w:r>
      <w:r w:rsidRPr="00A702E9">
        <w:t xml:space="preserve"> </w:t>
      </w:r>
      <w:r w:rsidR="00A138D9" w:rsidRPr="001D5DE3">
        <w:t>p</w:t>
      </w:r>
      <w:r w:rsidRPr="001D5DE3">
        <w:t>rogramového dokumentu OPŽP 2014</w:t>
      </w:r>
      <w:r w:rsidR="00A138D9">
        <w:t>–</w:t>
      </w:r>
      <w:r w:rsidRPr="001D5DE3">
        <w:t>2020</w:t>
      </w:r>
      <w:r w:rsidRPr="00A702E9">
        <w:t xml:space="preserve"> má být nejméně polovina částky alokované </w:t>
      </w:r>
      <w:r>
        <w:t>pro</w:t>
      </w:r>
      <w:r w:rsidRPr="00A702E9">
        <w:t xml:space="preserve"> SC 1.3 určena na </w:t>
      </w:r>
      <w:r>
        <w:t xml:space="preserve">aktivitu 1.3.1 </w:t>
      </w:r>
      <w:r w:rsidRPr="00FA3C27">
        <w:rPr>
          <w:i/>
        </w:rPr>
        <w:t>Zprůtočnění nebo zvýšení retenčního potenciálu koryt vodních toků a přilehlých niv a zlepšení přirozených rozlivů</w:t>
      </w:r>
      <w:r>
        <w:t>, nicméně z podkladů SFŽP a</w:t>
      </w:r>
      <w:r w:rsidR="001058D2">
        <w:t xml:space="preserve"> </w:t>
      </w:r>
      <w:r>
        <w:t>MS2014+ vyplývá, že ke dni 30. 6. 2019 bylo v rámci této aktivity podpořeno pouze 6 projektů s celkovou přidělenou výší příspěvku EU 377,5</w:t>
      </w:r>
      <w:r w:rsidR="000531CB">
        <w:t xml:space="preserve"> </w:t>
      </w:r>
      <w:r>
        <w:t>mil.</w:t>
      </w:r>
      <w:r w:rsidR="000531CB">
        <w:t xml:space="preserve"> </w:t>
      </w:r>
      <w:r>
        <w:t>Kč, což</w:t>
      </w:r>
      <w:r w:rsidR="000531CB">
        <w:t xml:space="preserve"> </w:t>
      </w:r>
      <w:r>
        <w:t>představuje pouze 13 % peněžních prostředků vyčleněných pro SC 1.3.</w:t>
      </w:r>
    </w:p>
    <w:p w14:paraId="08EDF597" w14:textId="0EF18824" w:rsidR="009F16DD" w:rsidRDefault="009F16DD" w:rsidP="009F16DD">
      <w:pPr>
        <w:pStyle w:val="Titulek"/>
      </w:pPr>
      <w:r w:rsidRPr="00A243A0">
        <w:rPr>
          <w:b/>
        </w:rPr>
        <w:t xml:space="preserve">Tabulka č. </w:t>
      </w:r>
      <w:r w:rsidR="00D55E78" w:rsidRPr="00A243A0">
        <w:rPr>
          <w:b/>
        </w:rPr>
        <w:fldChar w:fldCharType="begin"/>
      </w:r>
      <w:r w:rsidR="00D55E78" w:rsidRPr="00A243A0">
        <w:rPr>
          <w:b/>
        </w:rPr>
        <w:instrText xml:space="preserve"> SEQ Tabulka_č. \* ARABIC </w:instrText>
      </w:r>
      <w:r w:rsidR="00D55E78" w:rsidRPr="00A243A0">
        <w:rPr>
          <w:b/>
        </w:rPr>
        <w:fldChar w:fldCharType="separate"/>
      </w:r>
      <w:r w:rsidR="002C2F03">
        <w:rPr>
          <w:b/>
          <w:noProof/>
        </w:rPr>
        <w:t>2</w:t>
      </w:r>
      <w:r w:rsidR="00D55E78" w:rsidRPr="00A243A0">
        <w:rPr>
          <w:b/>
          <w:noProof/>
        </w:rPr>
        <w:fldChar w:fldCharType="end"/>
      </w:r>
      <w:r w:rsidRPr="00A243A0">
        <w:rPr>
          <w:b/>
        </w:rPr>
        <w:t>:</w:t>
      </w:r>
      <w:r>
        <w:t xml:space="preserve"> Vybrané indikátory výstupu SC 1.3 a 1.4 OPŽP 2014</w:t>
      </w:r>
      <w:r w:rsidR="00A138D9">
        <w:t>–</w:t>
      </w:r>
      <w:r>
        <w:t>2020 ke dni</w:t>
      </w:r>
      <w:r w:rsidR="00F67BD9">
        <w:t xml:space="preserve"> </w:t>
      </w:r>
      <w:r>
        <w:t>30. 6. 2019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598"/>
        <w:gridCol w:w="1225"/>
        <w:gridCol w:w="1066"/>
        <w:gridCol w:w="776"/>
        <w:gridCol w:w="955"/>
        <w:gridCol w:w="955"/>
        <w:gridCol w:w="810"/>
        <w:gridCol w:w="993"/>
        <w:gridCol w:w="1270"/>
      </w:tblGrid>
      <w:tr w:rsidR="009F16DD" w:rsidRPr="00CF2C70" w14:paraId="3355E5EF" w14:textId="77777777" w:rsidTr="00C72D75">
        <w:trPr>
          <w:trHeight w:val="51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2BF35F39" w14:textId="77777777" w:rsidR="009F16DD" w:rsidRPr="00782D43" w:rsidRDefault="009F16DD" w:rsidP="00C72D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2C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SC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3298DE7B" w14:textId="77777777" w:rsidR="009F16DD" w:rsidRPr="00782D43" w:rsidRDefault="009F16DD" w:rsidP="00C72D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F2C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1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2D9BE72E" w14:textId="77777777" w:rsidR="009F16DD" w:rsidRPr="00782D43" w:rsidRDefault="009F16DD" w:rsidP="00C72D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Název indikátoru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100A906" w14:textId="77777777" w:rsidR="009F16DD" w:rsidRPr="00782D43" w:rsidRDefault="009F16DD" w:rsidP="00C72D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Cílová hodnota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216138CD" w14:textId="77777777" w:rsidR="009F16DD" w:rsidRPr="00782D43" w:rsidRDefault="009F16DD" w:rsidP="00C72D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Dosažená hodnota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29CCE059" w14:textId="77777777" w:rsidR="009F16DD" w:rsidRPr="00782D43" w:rsidRDefault="009F16DD" w:rsidP="00C72D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Závazek příjemců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33C781F0" w14:textId="77777777" w:rsidR="009F16DD" w:rsidRPr="00782D43" w:rsidRDefault="009F16DD" w:rsidP="00C72D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Měrná jednotka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07D0923B" w14:textId="77777777" w:rsidR="009F16DD" w:rsidRPr="00782D43" w:rsidRDefault="009F16DD" w:rsidP="00C72D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% plnění (DH/CH)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6786A431" w14:textId="77777777" w:rsidR="009F16DD" w:rsidRPr="00782D43" w:rsidRDefault="009F16DD" w:rsidP="00C72D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% plnění (závazek /CH)</w:t>
            </w:r>
          </w:p>
        </w:tc>
      </w:tr>
      <w:tr w:rsidR="009F16DD" w:rsidRPr="00CF2C70" w14:paraId="60B4112F" w14:textId="77777777" w:rsidTr="00C72D75">
        <w:trPr>
          <w:trHeight w:val="263"/>
        </w:trPr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162DE84" w14:textId="77777777" w:rsidR="009F16DD" w:rsidRPr="00CF2C70" w:rsidRDefault="009F16DD" w:rsidP="00C72D7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1.3</w:t>
            </w:r>
          </w:p>
          <w:p w14:paraId="48FF1584" w14:textId="77777777" w:rsidR="009F16DD" w:rsidRPr="00782D43" w:rsidRDefault="009F16DD" w:rsidP="00C72D7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1.4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3F32" w14:textId="77777777" w:rsidR="009F16DD" w:rsidRPr="00782D43" w:rsidRDefault="009F16DD" w:rsidP="00C72D7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43200</w:t>
            </w:r>
          </w:p>
        </w:tc>
        <w:tc>
          <w:tcPr>
            <w:tcW w:w="1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A4918" w14:textId="77777777" w:rsidR="009F16DD" w:rsidRPr="00782D43" w:rsidRDefault="009F16DD" w:rsidP="00C72D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Počet obyvatel chráněných opatřeními proti povodním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CECC" w14:textId="77777777" w:rsidR="009F16DD" w:rsidRPr="00782D43" w:rsidRDefault="009F16DD" w:rsidP="00C72D7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65</w:t>
            </w:r>
            <w:r w:rsidRPr="00CF2C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637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40F9" w14:textId="77777777" w:rsidR="009F16DD" w:rsidRPr="00782D43" w:rsidRDefault="009F16DD" w:rsidP="00C72D7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145 256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7AA1" w14:textId="77777777" w:rsidR="009F16DD" w:rsidRPr="00782D43" w:rsidRDefault="009F16DD" w:rsidP="00C72D7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241 268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5B17" w14:textId="77777777" w:rsidR="009F16DD" w:rsidRPr="00782D43" w:rsidRDefault="009F16DD" w:rsidP="00C72D7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2C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osoby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4AB7" w14:textId="4EA966D7" w:rsidR="009F16DD" w:rsidRPr="00782D43" w:rsidRDefault="009F16DD" w:rsidP="00C72D7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221,30</w:t>
            </w:r>
            <w:r w:rsidR="00A138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FB4A" w14:textId="4986C629" w:rsidR="009F16DD" w:rsidRPr="00782D43" w:rsidRDefault="009F16DD" w:rsidP="00C72D7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367,58</w:t>
            </w:r>
            <w:r w:rsidR="00A138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9F16DD" w:rsidRPr="00CF2C70" w14:paraId="5E0912B9" w14:textId="77777777" w:rsidTr="00C72D75">
        <w:trPr>
          <w:trHeight w:val="56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70426F7" w14:textId="77777777" w:rsidR="009F16DD" w:rsidRPr="00782D43" w:rsidRDefault="009F16DD" w:rsidP="00C72D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7CB56" w14:textId="77777777" w:rsidR="009F16DD" w:rsidRPr="00782D43" w:rsidRDefault="009F16DD" w:rsidP="00C72D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9AF4" w14:textId="398018C0" w:rsidR="009F16DD" w:rsidRPr="00782D43" w:rsidRDefault="009F16DD" w:rsidP="00B82DD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2C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 toho: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4E18" w14:textId="77777777" w:rsidR="009F16DD" w:rsidRPr="00782D43" w:rsidRDefault="009F16DD" w:rsidP="00C72D7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SC 1.3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C530" w14:textId="77777777" w:rsidR="009F16DD" w:rsidRPr="00782D43" w:rsidRDefault="009F16DD" w:rsidP="00C72D7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</w:t>
            </w:r>
            <w:r w:rsidRPr="00CF2C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637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8D72" w14:textId="77777777" w:rsidR="009F16DD" w:rsidRPr="00782D43" w:rsidRDefault="009F16DD" w:rsidP="00C72D7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1 249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FB13" w14:textId="77777777" w:rsidR="009F16DD" w:rsidRPr="00782D43" w:rsidRDefault="009F16DD" w:rsidP="00C72D7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4 616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C546" w14:textId="77777777" w:rsidR="009F16DD" w:rsidRPr="00782D43" w:rsidRDefault="009F16DD" w:rsidP="00C72D7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2C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osoby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B8D7" w14:textId="2A88C9A7" w:rsidR="009F16DD" w:rsidRPr="00782D43" w:rsidRDefault="009F16DD" w:rsidP="00C72D7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6,05</w:t>
            </w:r>
            <w:r w:rsidR="00A138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E29B" w14:textId="40A837F3" w:rsidR="009F16DD" w:rsidRPr="00782D43" w:rsidRDefault="009F16DD" w:rsidP="00C72D7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22,37</w:t>
            </w:r>
            <w:r w:rsidR="00A138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9F16DD" w:rsidRPr="00CF2C70" w14:paraId="3C7F9900" w14:textId="77777777" w:rsidTr="00C72D75">
        <w:trPr>
          <w:trHeight w:val="56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D2028D0" w14:textId="77777777" w:rsidR="009F16DD" w:rsidRPr="00782D43" w:rsidRDefault="009F16DD" w:rsidP="00C72D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A72B9" w14:textId="77777777" w:rsidR="009F16DD" w:rsidRPr="00782D43" w:rsidRDefault="009F16DD" w:rsidP="00C72D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02821" w14:textId="77777777" w:rsidR="009F16DD" w:rsidRPr="00CF2C70" w:rsidRDefault="009F16DD" w:rsidP="00C72D7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305CD3" w14:textId="77777777" w:rsidR="009F16DD" w:rsidRPr="00782D43" w:rsidRDefault="009F16DD" w:rsidP="00C72D7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SC 1.4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AE3F" w14:textId="77777777" w:rsidR="009F16DD" w:rsidRPr="00782D43" w:rsidRDefault="009F16DD" w:rsidP="00C72D7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45</w:t>
            </w:r>
            <w:r w:rsidRPr="00CF2C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6513" w14:textId="77777777" w:rsidR="009F16DD" w:rsidRPr="00782D43" w:rsidRDefault="009F16DD" w:rsidP="00C72D7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144 007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80F7" w14:textId="77777777" w:rsidR="009F16DD" w:rsidRPr="00782D43" w:rsidRDefault="009F16DD" w:rsidP="00C72D7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236 652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4F56" w14:textId="77777777" w:rsidR="009F16DD" w:rsidRPr="00782D43" w:rsidRDefault="009F16DD" w:rsidP="00C72D7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F2C7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osoby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5448" w14:textId="187C236B" w:rsidR="009F16DD" w:rsidRPr="00782D43" w:rsidRDefault="009F16DD" w:rsidP="00C72D7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320,02</w:t>
            </w:r>
            <w:r w:rsidR="00A138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3748" w14:textId="5D1EFA61" w:rsidR="009F16DD" w:rsidRPr="00782D43" w:rsidRDefault="009F16DD" w:rsidP="00C72D7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525,89</w:t>
            </w:r>
            <w:r w:rsidR="00A138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9F16DD" w:rsidRPr="00CF2C70" w14:paraId="4143BDEF" w14:textId="77777777" w:rsidTr="00C72D75">
        <w:trPr>
          <w:trHeight w:val="67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61D78A9" w14:textId="77777777" w:rsidR="009F16DD" w:rsidRPr="00782D43" w:rsidRDefault="009F16DD" w:rsidP="00C72D7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8ED6" w14:textId="77777777" w:rsidR="009F16DD" w:rsidRPr="00782D43" w:rsidRDefault="009F16DD" w:rsidP="00C72D7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43300</w:t>
            </w:r>
          </w:p>
        </w:tc>
        <w:tc>
          <w:tcPr>
            <w:tcW w:w="1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7E5C" w14:textId="77777777" w:rsidR="009F16DD" w:rsidRPr="00782D43" w:rsidRDefault="009F16DD" w:rsidP="00C72D7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Délka řešených kilometrů toků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685D" w14:textId="77777777" w:rsidR="009F16DD" w:rsidRPr="00782D43" w:rsidRDefault="009F16DD" w:rsidP="00C72D7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236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8290" w14:textId="77777777" w:rsidR="009F16DD" w:rsidRPr="00782D43" w:rsidRDefault="009F16DD" w:rsidP="00C72D7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B2CB" w14:textId="77777777" w:rsidR="009F16DD" w:rsidRPr="00782D43" w:rsidRDefault="009F16DD" w:rsidP="00C72D7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4,96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DF7B" w14:textId="77777777" w:rsidR="009F16DD" w:rsidRPr="00782D43" w:rsidRDefault="009F16DD" w:rsidP="00C72D7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1AF8" w14:textId="74950438" w:rsidR="009F16DD" w:rsidRPr="00782D43" w:rsidRDefault="009F16DD" w:rsidP="00C72D7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0,10</w:t>
            </w:r>
            <w:r w:rsidR="00A138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7928" w14:textId="3F152F6A" w:rsidR="009F16DD" w:rsidRPr="00782D43" w:rsidRDefault="009F16DD" w:rsidP="00C72D75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2,10</w:t>
            </w:r>
            <w:r w:rsidR="00A138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82D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</w:tbl>
    <w:p w14:paraId="5EDA61D3" w14:textId="77777777" w:rsidR="009F16DD" w:rsidRDefault="009F16DD" w:rsidP="009F16DD">
      <w:pPr>
        <w:pStyle w:val="Zdrojapozn"/>
      </w:pPr>
      <w:r w:rsidRPr="00A243A0">
        <w:rPr>
          <w:b/>
        </w:rPr>
        <w:t>Zdroj:</w:t>
      </w:r>
      <w:r>
        <w:t xml:space="preserve"> MS2014+.</w:t>
      </w:r>
    </w:p>
    <w:p w14:paraId="7AE7B9FC" w14:textId="77777777" w:rsidR="009F16DD" w:rsidRPr="00CF2C70" w:rsidRDefault="009F16DD" w:rsidP="009F16DD">
      <w:pPr>
        <w:pStyle w:val="Zdrojapozn"/>
      </w:pPr>
      <w:r w:rsidRPr="00A243A0">
        <w:rPr>
          <w:b/>
        </w:rPr>
        <w:t>Pozn.:</w:t>
      </w:r>
      <w:r>
        <w:t xml:space="preserve"> </w:t>
      </w:r>
      <w:r w:rsidRPr="00CF2C70">
        <w:t>CH = cílová hodnota indikátoru, DH = dosažená hodnota indikátoru</w:t>
      </w:r>
      <w:r>
        <w:t>.</w:t>
      </w:r>
    </w:p>
    <w:p w14:paraId="26D6ECB0" w14:textId="6525B17F" w:rsidR="009F16DD" w:rsidRDefault="009F16DD" w:rsidP="009F16DD">
      <w:pPr>
        <w:pStyle w:val="TextKP"/>
      </w:pPr>
      <w:r>
        <w:t>Pro hodnocení implementace OPŽP 2014</w:t>
      </w:r>
      <w:r w:rsidR="00A138D9">
        <w:t>–</w:t>
      </w:r>
      <w:r>
        <w:t xml:space="preserve">2020 byl pro SC 1.3 stanoven mj. indikátor výstupu 43300 </w:t>
      </w:r>
      <w:r w:rsidRPr="004334BC">
        <w:rPr>
          <w:i/>
        </w:rPr>
        <w:t xml:space="preserve">Délka řešených kilometrů toků </w:t>
      </w:r>
      <w:r w:rsidRPr="001D5DE3">
        <w:t>s cílovou hodnotou</w:t>
      </w:r>
      <w:r w:rsidRPr="004334BC">
        <w:rPr>
          <w:i/>
        </w:rPr>
        <w:t xml:space="preserve"> </w:t>
      </w:r>
      <w:r>
        <w:t>236 km. Ke dni 30. 6. 2019 byla dle MS2014+ dosažena hodnota 0,23 km (plnění na 0,1 %) a hodnota závazku příjemců podpory ke stejnému dni byla 4,96 km, což představuje 2,1</w:t>
      </w:r>
      <w:r w:rsidR="00A138D9">
        <w:t> </w:t>
      </w:r>
      <w:r>
        <w:t>% cílové hodnoty indikátoru.</w:t>
      </w:r>
    </w:p>
    <w:p w14:paraId="1E42E465" w14:textId="022C538F" w:rsidR="009F16DD" w:rsidRDefault="009F16DD" w:rsidP="009F16DD">
      <w:pPr>
        <w:pStyle w:val="TextKP"/>
      </w:pPr>
      <w:r>
        <w:t>Dále byl pro hodnocení implementace OPŽP 2014</w:t>
      </w:r>
      <w:r w:rsidR="00A138D9">
        <w:t>–</w:t>
      </w:r>
      <w:r>
        <w:t xml:space="preserve">2020 stanoven pro SC 1.3 a 1.4 společný indikátor 43200 </w:t>
      </w:r>
      <w:r w:rsidRPr="004334BC">
        <w:rPr>
          <w:i/>
        </w:rPr>
        <w:t>Počet obyvatel chráněných opatřeními proti povodním</w:t>
      </w:r>
      <w:r>
        <w:t xml:space="preserve"> s cílovou hodnotou 65 637 obyvatel. Ke dni 30. 6. 2019 byla dle MS2014+ dosažena hodnota 145 256 obyvatel (plnění na 221 %) a hodnota závazku příjemců podpory ke stejnému dni činila 241 268 obyvatel, což představuje 368% plnění cílové hodnoty indikátoru. Kontrolou však bylo zjištěno, že na hodnotě tohoto indikátoru dosažené ke dni 30. 6. 2019 se SC 1.3 podílí pouze z 1 % a 99 % hodnoty indikátoru zajišťuje SC 1.4 </w:t>
      </w:r>
      <w:r w:rsidRPr="00613D49">
        <w:t>(v hodnotě závazku k</w:t>
      </w:r>
      <w:r>
        <w:t>e dni</w:t>
      </w:r>
      <w:r w:rsidRPr="00613D49">
        <w:t xml:space="preserve"> 30. 6. 2019 pak SC</w:t>
      </w:r>
      <w:r w:rsidR="00F5627F">
        <w:t> </w:t>
      </w:r>
      <w:r>
        <w:t>1.3 představuje pouze 2 % a SC 1.4</w:t>
      </w:r>
      <w:r w:rsidRPr="00613D49">
        <w:t xml:space="preserve"> </w:t>
      </w:r>
      <w:r>
        <w:t xml:space="preserve">zajišťuje </w:t>
      </w:r>
      <w:r w:rsidRPr="00613D49">
        <w:t>98 % z celkové hodnoty závazku indikátoru</w:t>
      </w:r>
      <w:r>
        <w:t>)</w:t>
      </w:r>
      <w:r w:rsidRPr="00613D49">
        <w:t>.</w:t>
      </w:r>
    </w:p>
    <w:p w14:paraId="0740C2F9" w14:textId="368B4C24" w:rsidR="009F16DD" w:rsidRDefault="009F16DD" w:rsidP="009F16DD">
      <w:pPr>
        <w:pStyle w:val="TextKP"/>
      </w:pPr>
      <w:r w:rsidRPr="007B2F0C">
        <w:t>V přílo</w:t>
      </w:r>
      <w:r w:rsidR="00BF42A4">
        <w:t>hách</w:t>
      </w:r>
      <w:r w:rsidRPr="007B2F0C">
        <w:t xml:space="preserve"> k PpZPR bylo navrženo 13 konkrétních opatření, u kterých je jako zdr</w:t>
      </w:r>
      <w:r w:rsidR="00A243A0">
        <w:t>oj financování uveden OPŽP 2014–</w:t>
      </w:r>
      <w:r w:rsidRPr="007B2F0C">
        <w:t>2020</w:t>
      </w:r>
      <w:r>
        <w:t>.</w:t>
      </w:r>
      <w:r w:rsidRPr="007B2F0C">
        <w:t xml:space="preserve"> </w:t>
      </w:r>
      <w:r>
        <w:t>N</w:t>
      </w:r>
      <w:r w:rsidRPr="007B2F0C">
        <w:t>áklady</w:t>
      </w:r>
      <w:r>
        <w:t xml:space="preserve"> na t</w:t>
      </w:r>
      <w:r w:rsidR="00EA48AD">
        <w:t>a</w:t>
      </w:r>
      <w:r>
        <w:t>to opatření</w:t>
      </w:r>
      <w:r w:rsidRPr="007B2F0C">
        <w:t xml:space="preserve"> byly vyčísleny na více než 7 mld. Kč. </w:t>
      </w:r>
      <w:r w:rsidRPr="007B2F0C">
        <w:lastRenderedPageBreak/>
        <w:t xml:space="preserve">Z podkladů SFŽP a MS2014+ vyplývá, že ke dni 31. 8. 2019 byly </w:t>
      </w:r>
      <w:r w:rsidR="00EA48AD">
        <w:t>s</w:t>
      </w:r>
      <w:r w:rsidRPr="007B2F0C">
        <w:t xml:space="preserve"> podporou OPŽP realizovány pouze 2 projekty odpovídající </w:t>
      </w:r>
      <w:r>
        <w:t>navrhovaným</w:t>
      </w:r>
      <w:r w:rsidRPr="007B2F0C">
        <w:t xml:space="preserve"> opatřením s celkovými způsobilými výdaji jen 384,39 mil. Kč</w:t>
      </w:r>
      <w:r>
        <w:t>.</w:t>
      </w:r>
    </w:p>
    <w:p w14:paraId="5A847A7C" w14:textId="79825F6A" w:rsidR="009F16DD" w:rsidRDefault="009F16DD" w:rsidP="009F16DD">
      <w:pPr>
        <w:pStyle w:val="TextKP"/>
      </w:pPr>
      <w:r>
        <w:t>Z údajů o průběžném čerpání a z vývoje stanovených indikátorů j</w:t>
      </w:r>
      <w:r w:rsidR="00EA48AD">
        <w:t>sou</w:t>
      </w:r>
      <w:r>
        <w:t xml:space="preserve"> </w:t>
      </w:r>
      <w:r w:rsidR="00F67BD9">
        <w:t>zřejmé</w:t>
      </w:r>
      <w:r w:rsidR="00EA48AD">
        <w:t xml:space="preserve"> tyto skutečnosti:</w:t>
      </w:r>
    </w:p>
    <w:p w14:paraId="275BD172" w14:textId="7EB76291" w:rsidR="009F16DD" w:rsidRDefault="00EA48AD" w:rsidP="009F16DD">
      <w:pPr>
        <w:pStyle w:val="TextKP"/>
        <w:numPr>
          <w:ilvl w:val="0"/>
          <w:numId w:val="11"/>
        </w:numPr>
        <w:spacing w:before="60"/>
        <w:ind w:left="284" w:hanging="284"/>
      </w:pPr>
      <w:r>
        <w:t>V</w:t>
      </w:r>
      <w:r w:rsidR="009F16DD" w:rsidRPr="00E155D3">
        <w:t> případě</w:t>
      </w:r>
      <w:r w:rsidR="00A243A0">
        <w:t xml:space="preserve"> peněžních prostředků OPŽP 2014–</w:t>
      </w:r>
      <w:r w:rsidR="009F16DD" w:rsidRPr="00E155D3">
        <w:t>2020 určených na</w:t>
      </w:r>
      <w:r w:rsidR="001058D2">
        <w:t xml:space="preserve"> </w:t>
      </w:r>
      <w:r w:rsidR="009F16DD" w:rsidRPr="00E155D3">
        <w:t>realizaci PBPO se</w:t>
      </w:r>
      <w:r w:rsidR="000760A8">
        <w:t xml:space="preserve"> </w:t>
      </w:r>
      <w:r w:rsidR="009F16DD" w:rsidRPr="00E155D3">
        <w:t>dlouhodobě nedaří naplňovat absorpční kapacitu. SC 1</w:t>
      </w:r>
      <w:r w:rsidR="009F16DD">
        <w:t>.3 vykazuje velmi nízk</w:t>
      </w:r>
      <w:r w:rsidR="00A23AD3">
        <w:t>ou</w:t>
      </w:r>
      <w:r w:rsidR="009F16DD">
        <w:t xml:space="preserve"> </w:t>
      </w:r>
      <w:r w:rsidR="009F16DD" w:rsidRPr="00E155D3">
        <w:t xml:space="preserve">hodnotu </w:t>
      </w:r>
      <w:r w:rsidR="00A23AD3">
        <w:t xml:space="preserve">prostředků </w:t>
      </w:r>
      <w:r w:rsidR="009F16DD" w:rsidRPr="00E155D3">
        <w:t xml:space="preserve">ve vydaných </w:t>
      </w:r>
      <w:r w:rsidR="009F16DD">
        <w:t>r</w:t>
      </w:r>
      <w:r w:rsidR="009F16DD" w:rsidRPr="00E155D3">
        <w:t>ozhodnutích o</w:t>
      </w:r>
      <w:r w:rsidR="001058D2">
        <w:t xml:space="preserve"> </w:t>
      </w:r>
      <w:r w:rsidR="009F16DD" w:rsidRPr="00E155D3">
        <w:t xml:space="preserve">poskytnutí podpory (pouze 32 % alokace </w:t>
      </w:r>
      <w:r w:rsidR="009F16DD">
        <w:t>peněžních prostředků pro SC</w:t>
      </w:r>
      <w:r w:rsidR="009F16DD" w:rsidRPr="00E155D3">
        <w:t xml:space="preserve"> 1.3)</w:t>
      </w:r>
      <w:r w:rsidR="00A23AD3">
        <w:t>,</w:t>
      </w:r>
      <w:r w:rsidR="009F16DD" w:rsidRPr="00877D7C">
        <w:t xml:space="preserve"> </w:t>
      </w:r>
      <w:r w:rsidR="009F16DD" w:rsidRPr="00E155D3">
        <w:t>existuje t</w:t>
      </w:r>
      <w:r w:rsidR="00A23AD3">
        <w:t>edy</w:t>
      </w:r>
      <w:r w:rsidR="009F16DD" w:rsidRPr="00E155D3">
        <w:t xml:space="preserve"> riziko, že prostředky v tomto cíli nebudou vyčerpány a nenastanou výsledné efekty v rámci specifického cíle 1.3 stanovené </w:t>
      </w:r>
      <w:r w:rsidR="009F16DD">
        <w:t>programovým dokumentem</w:t>
      </w:r>
      <w:r w:rsidR="009F16DD" w:rsidRPr="00E155D3">
        <w:t>.</w:t>
      </w:r>
    </w:p>
    <w:p w14:paraId="087ED98F" w14:textId="5C4D5447" w:rsidR="009F16DD" w:rsidRDefault="00EA48AD" w:rsidP="009F16DD">
      <w:pPr>
        <w:pStyle w:val="TextKP"/>
        <w:numPr>
          <w:ilvl w:val="0"/>
          <w:numId w:val="11"/>
        </w:numPr>
        <w:spacing w:before="60"/>
        <w:ind w:left="284" w:hanging="284"/>
      </w:pPr>
      <w:r>
        <w:t>N</w:t>
      </w:r>
      <w:r w:rsidR="009F16DD" w:rsidRPr="007B2F0C">
        <w:t xml:space="preserve">ěkterá </w:t>
      </w:r>
      <w:r w:rsidR="009F16DD">
        <w:t>z konkrétních</w:t>
      </w:r>
      <w:r w:rsidR="009F16DD" w:rsidRPr="007B2F0C">
        <w:t xml:space="preserve"> opatření </w:t>
      </w:r>
      <w:r w:rsidR="009F16DD">
        <w:t>navržených</w:t>
      </w:r>
      <w:r w:rsidR="009F16DD" w:rsidRPr="007B2F0C">
        <w:t xml:space="preserve"> v PpZPR, u kterých byl předpoklad financování z</w:t>
      </w:r>
      <w:r w:rsidR="009F16DD">
        <w:t> </w:t>
      </w:r>
      <w:r w:rsidR="009F16DD" w:rsidRPr="007B2F0C">
        <w:t>OPŽP</w:t>
      </w:r>
      <w:r w:rsidR="00A243A0">
        <w:t xml:space="preserve"> 2014–</w:t>
      </w:r>
      <w:r w:rsidR="009F16DD">
        <w:t>2020</w:t>
      </w:r>
      <w:r w:rsidR="009F16DD" w:rsidRPr="007B2F0C">
        <w:t>, se zatím nedaří realizovat</w:t>
      </w:r>
      <w:r w:rsidR="009F16DD">
        <w:t xml:space="preserve"> a </w:t>
      </w:r>
      <w:r w:rsidR="009F16DD" w:rsidRPr="007B2F0C">
        <w:t>existuje riziko, že OPŽP</w:t>
      </w:r>
      <w:r w:rsidR="00A243A0">
        <w:t xml:space="preserve"> 2014–</w:t>
      </w:r>
      <w:r w:rsidR="009F16DD">
        <w:t xml:space="preserve">2020 </w:t>
      </w:r>
      <w:r w:rsidR="009F16DD" w:rsidRPr="007B2F0C">
        <w:t>nebude významně přispívat k naplnění cílů 1 a 2 PpZPR</w:t>
      </w:r>
      <w:r w:rsidR="009F16DD">
        <w:t>, zejména ke</w:t>
      </w:r>
      <w:r w:rsidR="009F16DD" w:rsidRPr="007B2F0C">
        <w:t xml:space="preserve"> snížení ploch v nepřijatelném riziku nebo </w:t>
      </w:r>
      <w:r w:rsidR="009F16DD">
        <w:t xml:space="preserve">ke </w:t>
      </w:r>
      <w:r w:rsidR="009F16DD" w:rsidRPr="007B2F0C">
        <w:t>snížení míry povodňového nebezpečí.</w:t>
      </w:r>
    </w:p>
    <w:p w14:paraId="41A394D8" w14:textId="6590EBA1" w:rsidR="009F16DD" w:rsidRDefault="009F16DD" w:rsidP="009F16DD">
      <w:pPr>
        <w:pStyle w:val="TextKP"/>
        <w:spacing w:before="80"/>
      </w:pPr>
      <w:r>
        <w:t xml:space="preserve">NKÚ také zjistil, že kontrolované státní podniky povodí </w:t>
      </w:r>
      <w:r w:rsidRPr="005356ED">
        <w:t xml:space="preserve">v kontrolovaném období </w:t>
      </w:r>
      <w:r>
        <w:t>nerealizovaly PBPO a nevyužily spolufinancování z prostředků SC 1.3</w:t>
      </w:r>
      <w:r w:rsidR="000760A8">
        <w:t xml:space="preserve"> </w:t>
      </w:r>
      <w:r w:rsidRPr="005356ED">
        <w:t>OPŽP 2014</w:t>
      </w:r>
      <w:r w:rsidR="00A243A0">
        <w:t>–</w:t>
      </w:r>
      <w:r w:rsidRPr="005356ED">
        <w:t>2020</w:t>
      </w:r>
      <w:r>
        <w:t xml:space="preserve"> na realizaci PPO stavebního charakteru</w:t>
      </w:r>
      <w:r w:rsidRPr="005356ED">
        <w:t xml:space="preserve">. V letech 2016 až 2018 vynaložily </w:t>
      </w:r>
      <w:r>
        <w:t>kontrolované</w:t>
      </w:r>
      <w:r w:rsidRPr="005356ED">
        <w:t xml:space="preserve"> státní podniky povodí na realizaci PPO stavebního charakteru peněžní prostředky ve výši 2,1 mld. Kč, přičemž z 83 % se</w:t>
      </w:r>
      <w:r w:rsidR="001058D2">
        <w:t xml:space="preserve"> </w:t>
      </w:r>
      <w:r>
        <w:t>jednalo o</w:t>
      </w:r>
      <w:r w:rsidR="001058D2">
        <w:t xml:space="preserve"> </w:t>
      </w:r>
      <w:r w:rsidRPr="005356ED">
        <w:t>prostředky poskytnuté z rozpočtu kapitoly MZe, z</w:t>
      </w:r>
      <w:r w:rsidR="00A23AD3">
        <w:t xml:space="preserve">e </w:t>
      </w:r>
      <w:r w:rsidRPr="005356ED">
        <w:t>14 % o vlastní prostředky a</w:t>
      </w:r>
      <w:r w:rsidR="000760A8">
        <w:t> </w:t>
      </w:r>
      <w:r w:rsidRPr="005356ED">
        <w:t>3</w:t>
      </w:r>
      <w:r w:rsidR="000760A8">
        <w:t> </w:t>
      </w:r>
      <w:r w:rsidRPr="005356ED">
        <w:t>% tvořila spoluúčast třetích osob</w:t>
      </w:r>
      <w:r w:rsidR="00A23AD3">
        <w:t>,</w:t>
      </w:r>
      <w:r w:rsidRPr="005356ED">
        <w:t xml:space="preserve"> především územních sam</w:t>
      </w:r>
      <w:r>
        <w:t>osprávn</w:t>
      </w:r>
      <w:r w:rsidR="00A23AD3">
        <w:t>ý</w:t>
      </w:r>
      <w:r>
        <w:t>ch celků.</w:t>
      </w:r>
    </w:p>
    <w:p w14:paraId="3B920992" w14:textId="03F4EAE5" w:rsidR="009F16DD" w:rsidRDefault="009F16DD" w:rsidP="009F16DD">
      <w:pPr>
        <w:pStyle w:val="TextKP"/>
        <w:spacing w:before="80"/>
      </w:pPr>
      <w:r w:rsidRPr="00F76C82">
        <w:t>V letech 2010</w:t>
      </w:r>
      <w:r>
        <w:t xml:space="preserve"> až </w:t>
      </w:r>
      <w:r w:rsidRPr="00F76C82">
        <w:t>201</w:t>
      </w:r>
      <w:r>
        <w:t>8</w:t>
      </w:r>
      <w:r w:rsidRPr="00F76C82">
        <w:t xml:space="preserve"> realizovaly </w:t>
      </w:r>
      <w:r>
        <w:t>kontrolované státní podniky 166</w:t>
      </w:r>
      <w:r w:rsidRPr="00F76C82">
        <w:t xml:space="preserve"> PPO, z toho </w:t>
      </w:r>
      <w:r>
        <w:t>145</w:t>
      </w:r>
      <w:r w:rsidRPr="00F76C82">
        <w:t xml:space="preserve"> PPO (</w:t>
      </w:r>
      <w:r>
        <w:t>87</w:t>
      </w:r>
      <w:r w:rsidR="000760A8">
        <w:t> </w:t>
      </w:r>
      <w:r w:rsidRPr="00F76C82">
        <w:t xml:space="preserve">%) bylo technického charakteru a pouze </w:t>
      </w:r>
      <w:r>
        <w:t>6</w:t>
      </w:r>
      <w:r w:rsidRPr="00F76C82">
        <w:t xml:space="preserve"> PPO (</w:t>
      </w:r>
      <w:r>
        <w:t>4</w:t>
      </w:r>
      <w:r w:rsidRPr="00F76C82">
        <w:t xml:space="preserve"> %) mělo povahu </w:t>
      </w:r>
      <w:r>
        <w:t>PBPO</w:t>
      </w:r>
      <w:r w:rsidRPr="00F76C82">
        <w:t>. Zbývající</w:t>
      </w:r>
      <w:r>
        <w:t>ch 15</w:t>
      </w:r>
      <w:r w:rsidRPr="00F76C82">
        <w:t xml:space="preserve"> PPO</w:t>
      </w:r>
      <w:r>
        <w:t xml:space="preserve"> (9</w:t>
      </w:r>
      <w:r w:rsidR="000760A8">
        <w:t> </w:t>
      </w:r>
      <w:r>
        <w:t>%)</w:t>
      </w:r>
      <w:r w:rsidRPr="00F76C82">
        <w:t xml:space="preserve"> mělo kombinovaný charakter (kombinace technick</w:t>
      </w:r>
      <w:r w:rsidR="000760A8">
        <w:t xml:space="preserve">ých </w:t>
      </w:r>
      <w:r w:rsidRPr="00F76C82">
        <w:t xml:space="preserve">a </w:t>
      </w:r>
      <w:r w:rsidR="000760A8">
        <w:t>přírodě blízkých protipovodňových opatření</w:t>
      </w:r>
      <w:r w:rsidRPr="00F76C82">
        <w:t>).</w:t>
      </w:r>
    </w:p>
    <w:p w14:paraId="71DC5CEA" w14:textId="35CDC7A0" w:rsidR="00352298" w:rsidRPr="00EE4CB1" w:rsidRDefault="002C2F25" w:rsidP="00352298">
      <w:pPr>
        <w:pStyle w:val="Nadpis2"/>
        <w:numPr>
          <w:ilvl w:val="0"/>
          <w:numId w:val="6"/>
        </w:numPr>
        <w:ind w:left="284" w:hanging="284"/>
      </w:pPr>
      <w:r w:rsidRPr="00EE4CB1">
        <w:t>Objem peněžních prostředků vynakládaných MŽP a MZe na PPO je významně nižší než potřeby</w:t>
      </w:r>
      <w:r w:rsidR="009F16DD" w:rsidRPr="00EE4CB1">
        <w:t xml:space="preserve"> finančních zdrojů</w:t>
      </w:r>
      <w:r w:rsidRPr="00EE4CB1">
        <w:t xml:space="preserve"> specifikované MŽP a MZe v PpZPR</w:t>
      </w:r>
    </w:p>
    <w:p w14:paraId="5E9A6DAB" w14:textId="092D856B" w:rsidR="00661115" w:rsidRDefault="00E37029" w:rsidP="00352298">
      <w:pPr>
        <w:pStyle w:val="TextKP"/>
      </w:pPr>
      <w:r w:rsidRPr="00AB3FDC">
        <w:rPr>
          <w:i/>
        </w:rPr>
        <w:t>Koncepce řešení problematiky ochrany před povodněmi v České republice s využitím technických a přírodě</w:t>
      </w:r>
      <w:r w:rsidR="00E92628" w:rsidRPr="00AB3FDC">
        <w:rPr>
          <w:i/>
        </w:rPr>
        <w:t xml:space="preserve"> blízkých opatření</w:t>
      </w:r>
      <w:r w:rsidR="00D60360">
        <w:t xml:space="preserve"> (dále také „K</w:t>
      </w:r>
      <w:r w:rsidR="00E92628">
        <w:t>oncepce</w:t>
      </w:r>
      <w:r w:rsidR="00393C7B">
        <w:t xml:space="preserve"> 2010</w:t>
      </w:r>
      <w:r w:rsidRPr="00E37029">
        <w:t>“) by</w:t>
      </w:r>
      <w:r w:rsidR="002A6917">
        <w:t>la schválen</w:t>
      </w:r>
      <w:r w:rsidR="000760A8">
        <w:t>a</w:t>
      </w:r>
      <w:r w:rsidR="002A6917">
        <w:t xml:space="preserve"> usnesením vlády </w:t>
      </w:r>
      <w:r w:rsidR="00DD5D42">
        <w:t xml:space="preserve">ČR </w:t>
      </w:r>
      <w:r w:rsidR="002A6917">
        <w:t>ze</w:t>
      </w:r>
      <w:r w:rsidR="001058D2">
        <w:t xml:space="preserve"> </w:t>
      </w:r>
      <w:r w:rsidRPr="00E37029">
        <w:t>dne 10. listopadu 2010 č. 799.</w:t>
      </w:r>
      <w:r>
        <w:t xml:space="preserve"> </w:t>
      </w:r>
      <w:r w:rsidRPr="00E37029">
        <w:t xml:space="preserve">V </w:t>
      </w:r>
      <w:r w:rsidR="00D60360">
        <w:t>K</w:t>
      </w:r>
      <w:r w:rsidR="00E92628">
        <w:t>oncepci</w:t>
      </w:r>
      <w:r w:rsidRPr="00E37029">
        <w:t xml:space="preserve"> </w:t>
      </w:r>
      <w:r w:rsidR="00393C7B">
        <w:t xml:space="preserve">2010 </w:t>
      </w:r>
      <w:r w:rsidRPr="00E37029">
        <w:t xml:space="preserve">byla stanovena finanční strategie </w:t>
      </w:r>
      <w:r w:rsidR="0042409A">
        <w:t>(</w:t>
      </w:r>
      <w:r w:rsidRPr="00E37029">
        <w:t>včetně finančních nároků</w:t>
      </w:r>
      <w:r w:rsidR="0042409A">
        <w:t>)</w:t>
      </w:r>
      <w:r w:rsidRPr="00E37029">
        <w:t xml:space="preserve"> s časovým rámcem dvou šestiletých období realizace </w:t>
      </w:r>
      <w:r w:rsidR="00BF42A4">
        <w:t>plánů pro zvládání povodňových rizik</w:t>
      </w:r>
      <w:r w:rsidRPr="00E37029">
        <w:t xml:space="preserve"> do roku 2027. MZe</w:t>
      </w:r>
      <w:r>
        <w:t xml:space="preserve"> ve spolupráci </w:t>
      </w:r>
      <w:r w:rsidRPr="00E37029">
        <w:t>se správci povodí a vodních toků odhadl</w:t>
      </w:r>
      <w:r>
        <w:t>o</w:t>
      </w:r>
      <w:r w:rsidRPr="00E37029">
        <w:t xml:space="preserve"> potřebu finančních zdrojů </w:t>
      </w:r>
      <w:r w:rsidR="0042409A">
        <w:t>ve svém</w:t>
      </w:r>
      <w:r w:rsidRPr="00E37029">
        <w:t xml:space="preserve"> resortu na 25 mld. Kč. MŽP předpokl</w:t>
      </w:r>
      <w:r w:rsidR="002A6917">
        <w:t>ádalo stejné finanční nároky na</w:t>
      </w:r>
      <w:r w:rsidR="001058D2">
        <w:t xml:space="preserve"> </w:t>
      </w:r>
      <w:r w:rsidRPr="00E37029">
        <w:t xml:space="preserve">zavedení </w:t>
      </w:r>
      <w:r>
        <w:t>PBPO</w:t>
      </w:r>
      <w:r w:rsidRPr="00E37029">
        <w:t xml:space="preserve">. </w:t>
      </w:r>
      <w:r>
        <w:t>Celkově tak odhad pro stanovené období činil 50 mld. Kč, což představuje</w:t>
      </w:r>
      <w:r w:rsidRPr="00E37029">
        <w:t xml:space="preserve"> průměrnou roční potřebu finančn</w:t>
      </w:r>
      <w:r>
        <w:t>ích zdrojů na zavádění PPO v </w:t>
      </w:r>
      <w:r w:rsidRPr="00E37029">
        <w:t>souhrnu ve výši cca 4,2 mld. Kč.</w:t>
      </w:r>
      <w:r w:rsidR="00661115">
        <w:t xml:space="preserve"> </w:t>
      </w:r>
      <w:r w:rsidR="00352298">
        <w:t>V roce 2015 MŽP a</w:t>
      </w:r>
      <w:r w:rsidR="0042409A">
        <w:t xml:space="preserve"> </w:t>
      </w:r>
      <w:r w:rsidR="00352298">
        <w:t xml:space="preserve">MZe upřesnily </w:t>
      </w:r>
      <w:r w:rsidR="008776F4" w:rsidRPr="005356ED">
        <w:t>v</w:t>
      </w:r>
      <w:r w:rsidR="008776F4">
        <w:t xml:space="preserve"> prvních </w:t>
      </w:r>
      <w:r w:rsidR="0042409A">
        <w:t>plánech pro zvládání povodňových rizik</w:t>
      </w:r>
      <w:r w:rsidR="008776F4">
        <w:t xml:space="preserve"> pro období let 2015 až 2021</w:t>
      </w:r>
      <w:r w:rsidR="008776F4" w:rsidRPr="005356ED">
        <w:t xml:space="preserve"> </w:t>
      </w:r>
      <w:r w:rsidR="00352298">
        <w:t>odhad nákladů</w:t>
      </w:r>
      <w:r w:rsidR="00352298" w:rsidRPr="005356ED">
        <w:t xml:space="preserve"> na realizaci 130</w:t>
      </w:r>
      <w:r w:rsidR="00DD5D42">
        <w:t xml:space="preserve"> ze 135 navržených</w:t>
      </w:r>
      <w:r w:rsidR="00352298" w:rsidRPr="005356ED">
        <w:t xml:space="preserve"> konkrétních opatření </w:t>
      </w:r>
      <w:r w:rsidR="00352298">
        <w:t>na</w:t>
      </w:r>
      <w:r w:rsidR="001058D2">
        <w:t xml:space="preserve"> </w:t>
      </w:r>
      <w:r w:rsidR="00352298" w:rsidRPr="005356ED">
        <w:t>29</w:t>
      </w:r>
      <w:r w:rsidR="001058D2">
        <w:t xml:space="preserve"> </w:t>
      </w:r>
      <w:r w:rsidR="00352298" w:rsidRPr="005356ED">
        <w:t>mld.</w:t>
      </w:r>
      <w:r w:rsidR="001058D2">
        <w:t xml:space="preserve"> </w:t>
      </w:r>
      <w:r w:rsidR="00352298" w:rsidRPr="005356ED">
        <w:t>Kč</w:t>
      </w:r>
      <w:r w:rsidR="004626E7">
        <w:t>, což</w:t>
      </w:r>
      <w:r w:rsidR="001058D2">
        <w:t xml:space="preserve"> </w:t>
      </w:r>
      <w:r w:rsidR="00661115">
        <w:t>představuje zhruba stejné průměrné roční finanční nároky, cca 4,14 mld. Kč.</w:t>
      </w:r>
      <w:r w:rsidR="00DD5D42">
        <w:t xml:space="preserve"> </w:t>
      </w:r>
      <w:r w:rsidR="00C6141E">
        <w:t xml:space="preserve">Přehled peněžních prostředků </w:t>
      </w:r>
      <w:r w:rsidR="00DD5D42">
        <w:t xml:space="preserve">skutečně </w:t>
      </w:r>
      <w:r w:rsidR="00C6141E">
        <w:t xml:space="preserve">vynaložených </w:t>
      </w:r>
      <w:r w:rsidR="0009489D">
        <w:t xml:space="preserve">MŽP a MZe </w:t>
      </w:r>
      <w:r w:rsidR="002A6917">
        <w:t xml:space="preserve">na </w:t>
      </w:r>
      <w:r w:rsidR="00DD5D42">
        <w:t xml:space="preserve">PPO v letech 2016 až 2018 </w:t>
      </w:r>
      <w:r w:rsidR="0009489D">
        <w:t xml:space="preserve">je uveden </w:t>
      </w:r>
      <w:r w:rsidR="002A6917">
        <w:t>v následující tabulce</w:t>
      </w:r>
      <w:r w:rsidR="00E34BDB">
        <w:t>.</w:t>
      </w:r>
    </w:p>
    <w:p w14:paraId="0AECB017" w14:textId="77777777" w:rsidR="001058D2" w:rsidRDefault="001058D2">
      <w:pPr>
        <w:rPr>
          <w:rFonts w:cstheme="minorHAnsi"/>
          <w:b/>
          <w:iCs/>
          <w:szCs w:val="18"/>
        </w:rPr>
      </w:pPr>
      <w:bookmarkStart w:id="0" w:name="_Ref29965409"/>
      <w:r>
        <w:rPr>
          <w:b/>
        </w:rPr>
        <w:br w:type="page"/>
      </w:r>
    </w:p>
    <w:p w14:paraId="5BEDBF3F" w14:textId="6F51A7F5" w:rsidR="001C621E" w:rsidRDefault="00BB4B6C" w:rsidP="00FC2CC1">
      <w:pPr>
        <w:pStyle w:val="Titulek"/>
        <w:tabs>
          <w:tab w:val="clear" w:pos="7938"/>
        </w:tabs>
      </w:pPr>
      <w:r w:rsidRPr="00A243A0">
        <w:rPr>
          <w:b/>
        </w:rPr>
        <w:lastRenderedPageBreak/>
        <w:t xml:space="preserve">Tabulka č. </w:t>
      </w:r>
      <w:r w:rsidR="00D55E78" w:rsidRPr="00A243A0">
        <w:rPr>
          <w:b/>
        </w:rPr>
        <w:fldChar w:fldCharType="begin"/>
      </w:r>
      <w:r w:rsidR="00D55E78" w:rsidRPr="00A243A0">
        <w:rPr>
          <w:b/>
        </w:rPr>
        <w:instrText xml:space="preserve"> SEQ Tabulka_č. \* ARABIC </w:instrText>
      </w:r>
      <w:r w:rsidR="00D55E78" w:rsidRPr="00A243A0">
        <w:rPr>
          <w:b/>
        </w:rPr>
        <w:fldChar w:fldCharType="separate"/>
      </w:r>
      <w:r w:rsidR="002C2F03">
        <w:rPr>
          <w:b/>
          <w:noProof/>
        </w:rPr>
        <w:t>3</w:t>
      </w:r>
      <w:r w:rsidR="00D55E78" w:rsidRPr="00A243A0">
        <w:rPr>
          <w:b/>
          <w:noProof/>
        </w:rPr>
        <w:fldChar w:fldCharType="end"/>
      </w:r>
      <w:r w:rsidRPr="00A243A0">
        <w:rPr>
          <w:b/>
        </w:rPr>
        <w:t>:</w:t>
      </w:r>
      <w:r>
        <w:t xml:space="preserve"> Peněžní prostředky vynaložené na podporu PPO v letech 2016 až 2018</w:t>
      </w:r>
      <w:r w:rsidR="00B725FD">
        <w:t xml:space="preserve"> </w:t>
      </w:r>
      <w:r w:rsidR="000B4E40">
        <w:t>(</w:t>
      </w:r>
      <w:r w:rsidR="00FC2CC1">
        <w:t xml:space="preserve">v </w:t>
      </w:r>
      <w:r w:rsidR="000B4E40">
        <w:t>mil. Kč)</w:t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4255"/>
        <w:gridCol w:w="643"/>
        <w:gridCol w:w="776"/>
        <w:gridCol w:w="776"/>
        <w:gridCol w:w="775"/>
      </w:tblGrid>
      <w:tr w:rsidR="006E1AC9" w:rsidRPr="00DE617A" w14:paraId="3677FAA9" w14:textId="77777777" w:rsidTr="001E23B0">
        <w:trPr>
          <w:trHeight w:val="65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344C42F" w14:textId="42A8C7D1" w:rsidR="005203F6" w:rsidRPr="00DE617A" w:rsidRDefault="005203F6" w:rsidP="005203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Zdroj</w:t>
            </w:r>
            <w:r w:rsidR="00065E56" w:rsidRPr="00DE61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podpory</w:t>
            </w:r>
          </w:p>
        </w:tc>
        <w:tc>
          <w:tcPr>
            <w:tcW w:w="2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0271CF5" w14:textId="77777777" w:rsidR="005203F6" w:rsidRPr="00DE617A" w:rsidRDefault="005203F6" w:rsidP="005203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Název oblasti podpory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78ED3B2" w14:textId="77777777" w:rsidR="005203F6" w:rsidRPr="00DE617A" w:rsidRDefault="005203F6" w:rsidP="005203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D5C34B3" w14:textId="77777777" w:rsidR="005203F6" w:rsidRPr="00DE617A" w:rsidRDefault="005203F6" w:rsidP="005203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55E731E" w14:textId="77777777" w:rsidR="005203F6" w:rsidRPr="00DE617A" w:rsidRDefault="005203F6" w:rsidP="005203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37339AA" w14:textId="77777777" w:rsidR="005203F6" w:rsidRPr="00DE617A" w:rsidRDefault="005203F6" w:rsidP="005203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</w:tr>
      <w:tr w:rsidR="005203F6" w:rsidRPr="00DE617A" w14:paraId="3FC3838B" w14:textId="77777777" w:rsidTr="001E23B0">
        <w:trPr>
          <w:trHeight w:val="56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3D7FF4F" w14:textId="340098E1" w:rsidR="005203F6" w:rsidRPr="00DE617A" w:rsidRDefault="005203F6" w:rsidP="00A8657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OPŽP 2007</w:t>
            </w:r>
            <w:r w:rsidR="00A865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–</w:t>
            </w: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2013 PO 1 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5258" w14:textId="77777777" w:rsidR="005203F6" w:rsidRPr="00DE617A" w:rsidRDefault="005203F6" w:rsidP="00520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1.3 </w:t>
            </w:r>
            <w:r w:rsidRPr="00DE617A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Omezování rizika povodní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A8E1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16,30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67FA" w14:textId="77777777" w:rsidR="005203F6" w:rsidRPr="00DE617A" w:rsidRDefault="005203F6" w:rsidP="00AB3F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B58E" w14:textId="77777777" w:rsidR="005203F6" w:rsidRPr="00DE617A" w:rsidRDefault="005203F6" w:rsidP="00AB3F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CE91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16,30</w:t>
            </w:r>
          </w:p>
        </w:tc>
      </w:tr>
      <w:tr w:rsidR="005203F6" w:rsidRPr="00DE617A" w14:paraId="0EEBD67D" w14:textId="77777777" w:rsidTr="001E23B0">
        <w:trPr>
          <w:trHeight w:val="56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A9A3081" w14:textId="15F5CC21" w:rsidR="005203F6" w:rsidRPr="00DE617A" w:rsidRDefault="005203F6" w:rsidP="00A8657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OPŽP 2007</w:t>
            </w:r>
            <w:r w:rsidR="00A865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–</w:t>
            </w: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2013 PO 6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A9DF" w14:textId="77777777" w:rsidR="005203F6" w:rsidRPr="00DE617A" w:rsidRDefault="005203F6" w:rsidP="00520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6.4 </w:t>
            </w:r>
            <w:r w:rsidRPr="00DE617A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Optimalizace vodního režimu krajiny</w:t>
            </w: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7DCA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31,90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ADE9" w14:textId="77777777" w:rsidR="005203F6" w:rsidRPr="00DE617A" w:rsidRDefault="005203F6" w:rsidP="00AB3F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A37A" w14:textId="77777777" w:rsidR="005203F6" w:rsidRPr="00DE617A" w:rsidRDefault="005203F6" w:rsidP="00AB3F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6560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31,90</w:t>
            </w:r>
          </w:p>
        </w:tc>
      </w:tr>
      <w:tr w:rsidR="005203F6" w:rsidRPr="00DE617A" w14:paraId="15740A05" w14:textId="77777777" w:rsidTr="001E23B0">
        <w:trPr>
          <w:trHeight w:val="88"/>
        </w:trPr>
        <w:tc>
          <w:tcPr>
            <w:tcW w:w="10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8903F3F" w14:textId="11A4C00B" w:rsidR="005203F6" w:rsidRPr="00DE617A" w:rsidRDefault="005203F6" w:rsidP="00A8657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OPŽP 2014</w:t>
            </w:r>
            <w:r w:rsidR="00A865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–</w:t>
            </w: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2020 PO 1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F7D8" w14:textId="34BF9384" w:rsidR="00BB4B6C" w:rsidRPr="00DE617A" w:rsidRDefault="000B4E40" w:rsidP="005203F6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1.3</w:t>
            </w:r>
            <w:r w:rsidR="005203F6"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5203F6" w:rsidRPr="00DE617A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Zajistit povodňovou ochranu intravilánu</w:t>
            </w:r>
          </w:p>
          <w:p w14:paraId="20D71274" w14:textId="46F6CF8C" w:rsidR="005203F6" w:rsidRPr="00DE617A" w:rsidRDefault="005203F6" w:rsidP="00A8657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a hospodaření se srážkovými vodami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B950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3,40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35B5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125,04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6680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169,19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1F2F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297,63</w:t>
            </w:r>
          </w:p>
        </w:tc>
      </w:tr>
      <w:tr w:rsidR="005203F6" w:rsidRPr="00DE617A" w14:paraId="665D0527" w14:textId="77777777" w:rsidTr="001E23B0">
        <w:trPr>
          <w:trHeight w:val="67"/>
        </w:trPr>
        <w:tc>
          <w:tcPr>
            <w:tcW w:w="10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FB12148" w14:textId="77777777" w:rsidR="005203F6" w:rsidRPr="00DE617A" w:rsidRDefault="005203F6" w:rsidP="00520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9B39" w14:textId="32D4FA40" w:rsidR="005203F6" w:rsidRPr="00DE617A" w:rsidRDefault="000B4E40" w:rsidP="00520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1.4</w:t>
            </w:r>
            <w:r w:rsidR="005203F6"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5203F6" w:rsidRPr="00DE617A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Podpořit preventivní protipovodňová opatření</w:t>
            </w:r>
            <w:r w:rsidR="005203F6"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D244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1,69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5E81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227,78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78F8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350,99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908C" w14:textId="55505E25" w:rsidR="005203F6" w:rsidRPr="00DE617A" w:rsidRDefault="005203F6" w:rsidP="00DC08D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58</w:t>
            </w:r>
            <w:r w:rsidR="00DC08DE"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</w:t>
            </w:r>
            <w:r w:rsidR="00DC08DE"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46</w:t>
            </w:r>
          </w:p>
        </w:tc>
      </w:tr>
      <w:tr w:rsidR="005203F6" w:rsidRPr="00DE617A" w14:paraId="14F21C69" w14:textId="77777777" w:rsidTr="001E23B0">
        <w:trPr>
          <w:trHeight w:val="7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99B8F26" w14:textId="7868265B" w:rsidR="005203F6" w:rsidRPr="00DE617A" w:rsidRDefault="005203F6" w:rsidP="00A8657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OPŽP 2014</w:t>
            </w:r>
            <w:r w:rsidR="00A865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–</w:t>
            </w: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2020 PO 4 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6072" w14:textId="3BAB7E48" w:rsidR="005203F6" w:rsidRPr="00DE617A" w:rsidRDefault="005203F6" w:rsidP="000B4E4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4.3 </w:t>
            </w:r>
            <w:r w:rsidRPr="00DE617A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Posílit přirozené funkce krajiny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E5BB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1,87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1B8F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26,45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3AFA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74,98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76BE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103,30</w:t>
            </w:r>
          </w:p>
        </w:tc>
      </w:tr>
      <w:tr w:rsidR="005203F6" w:rsidRPr="00DE617A" w14:paraId="16AAFA88" w14:textId="77777777" w:rsidTr="001E23B0">
        <w:trPr>
          <w:trHeight w:val="314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738A344" w14:textId="77777777" w:rsidR="005203F6" w:rsidRPr="00DE617A" w:rsidRDefault="005203F6" w:rsidP="00520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Programové financování z kapitoly MŽP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273E" w14:textId="5BECCC19" w:rsidR="005203F6" w:rsidRPr="00DE617A" w:rsidRDefault="005203F6" w:rsidP="00520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115180 </w:t>
            </w:r>
            <w:r w:rsidRPr="00DE617A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Informační podpora adaptačních opatření na extrémní hydrometeorologické jevy - povodně a jakost vody (ADAPT)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5090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7263" w14:textId="77777777" w:rsidR="005203F6" w:rsidRPr="00DE617A" w:rsidRDefault="005203F6" w:rsidP="00AB3F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2425" w14:textId="77777777" w:rsidR="005203F6" w:rsidRPr="00DE617A" w:rsidRDefault="005203F6" w:rsidP="00AB3F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73A9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1,70</w:t>
            </w:r>
          </w:p>
        </w:tc>
      </w:tr>
      <w:tr w:rsidR="005203F6" w:rsidRPr="00DE617A" w14:paraId="5EF0AF14" w14:textId="77777777" w:rsidTr="001E23B0">
        <w:trPr>
          <w:trHeight w:val="56"/>
        </w:trPr>
        <w:tc>
          <w:tcPr>
            <w:tcW w:w="3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859E89B" w14:textId="4E947262" w:rsidR="005203F6" w:rsidRPr="00DE617A" w:rsidRDefault="005203F6" w:rsidP="00A86576">
            <w:pP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Celk</w:t>
            </w:r>
            <w:r w:rsidR="00E46FA1" w:rsidRPr="00DE617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 xml:space="preserve">em peněžní prostředky z kapitoly </w:t>
            </w:r>
            <w:r w:rsidRPr="00DE617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MŽP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5ACC" w14:textId="61A1385F" w:rsidR="005203F6" w:rsidRPr="00DE617A" w:rsidRDefault="005203F6" w:rsidP="00DC08DE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5</w:t>
            </w:r>
            <w:r w:rsidR="00DC08DE" w:rsidRPr="00DE617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6</w:t>
            </w:r>
            <w:r w:rsidRPr="00DE617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,</w:t>
            </w:r>
            <w:r w:rsidR="00DC08DE" w:rsidRPr="00DE617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31CF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379,27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82AD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595,16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14B1" w14:textId="1D0548E7" w:rsidR="005203F6" w:rsidRPr="00DE617A" w:rsidRDefault="005203F6" w:rsidP="00DC08DE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1 0</w:t>
            </w:r>
            <w:r w:rsidR="00DC08DE" w:rsidRPr="00DE617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31</w:t>
            </w:r>
            <w:r w:rsidRPr="00DE617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,</w:t>
            </w:r>
            <w:r w:rsidR="00DC08DE" w:rsidRPr="00DE617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29</w:t>
            </w:r>
          </w:p>
        </w:tc>
      </w:tr>
      <w:tr w:rsidR="005203F6" w:rsidRPr="00DE617A" w14:paraId="648A9D3B" w14:textId="77777777" w:rsidTr="001E23B0">
        <w:trPr>
          <w:trHeight w:val="114"/>
        </w:trPr>
        <w:tc>
          <w:tcPr>
            <w:tcW w:w="10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F624D6A" w14:textId="7A303DC4" w:rsidR="005203F6" w:rsidRPr="00DE617A" w:rsidRDefault="006E1AC9" w:rsidP="006E1AC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Programové financování z kapitoly MZe</w:t>
            </w: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E18D" w14:textId="69A35298" w:rsidR="005203F6" w:rsidRPr="00DE617A" w:rsidRDefault="005203F6" w:rsidP="00520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129 260 </w:t>
            </w:r>
            <w:r w:rsidRPr="00DE617A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Podpora prevence před povodněmi III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DCC7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491,59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9032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655,29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6FBB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817,98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412A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1 964,86</w:t>
            </w:r>
          </w:p>
        </w:tc>
      </w:tr>
      <w:tr w:rsidR="005203F6" w:rsidRPr="00DE617A" w14:paraId="6C400DA4" w14:textId="77777777" w:rsidTr="001E23B0">
        <w:trPr>
          <w:trHeight w:val="174"/>
        </w:trPr>
        <w:tc>
          <w:tcPr>
            <w:tcW w:w="10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6AA0E2E" w14:textId="77777777" w:rsidR="005203F6" w:rsidRPr="00DE617A" w:rsidRDefault="005203F6" w:rsidP="00520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786A" w14:textId="77777777" w:rsidR="006E1AC9" w:rsidRPr="00DE617A" w:rsidRDefault="005203F6" w:rsidP="005203F6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129 280 </w:t>
            </w:r>
            <w:r w:rsidRPr="00DE617A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Podpora retence vody v krajině – rybníky</w:t>
            </w:r>
          </w:p>
          <w:p w14:paraId="64EECC75" w14:textId="0128670F" w:rsidR="005203F6" w:rsidRPr="00DE617A" w:rsidRDefault="005203F6" w:rsidP="00520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a vodní nádrže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84DD" w14:textId="77777777" w:rsidR="005203F6" w:rsidRPr="00DE617A" w:rsidRDefault="005203F6" w:rsidP="00AB3F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DC64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30,85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B474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154,26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B4F5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185,11</w:t>
            </w:r>
          </w:p>
        </w:tc>
      </w:tr>
      <w:tr w:rsidR="005203F6" w:rsidRPr="00DE617A" w14:paraId="5809B1F3" w14:textId="77777777" w:rsidTr="001E23B0">
        <w:trPr>
          <w:trHeight w:val="293"/>
        </w:trPr>
        <w:tc>
          <w:tcPr>
            <w:tcW w:w="10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0584955" w14:textId="77777777" w:rsidR="005203F6" w:rsidRPr="00DE617A" w:rsidRDefault="005203F6" w:rsidP="00520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0A1E" w14:textId="77777777" w:rsidR="006E1AC9" w:rsidRPr="00DE617A" w:rsidRDefault="005203F6" w:rsidP="005203F6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129 290 </w:t>
            </w:r>
            <w:r w:rsidR="00BB4B6C" w:rsidRPr="00DE617A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Podpora opatření na drobných vodních tocích</w:t>
            </w:r>
          </w:p>
          <w:p w14:paraId="06022C5B" w14:textId="413711A0" w:rsidR="005203F6" w:rsidRPr="00DE617A" w:rsidRDefault="00BB4B6C" w:rsidP="005203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a malých vodních nádržích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56E2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120,33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DBF2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518,93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7D19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479,71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0C0A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1 118,97</w:t>
            </w:r>
          </w:p>
        </w:tc>
      </w:tr>
      <w:tr w:rsidR="005203F6" w:rsidRPr="00DE617A" w14:paraId="4345C9E1" w14:textId="77777777" w:rsidTr="001E23B0">
        <w:trPr>
          <w:trHeight w:val="56"/>
        </w:trPr>
        <w:tc>
          <w:tcPr>
            <w:tcW w:w="3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6FC9AB6" w14:textId="2FF50739" w:rsidR="005203F6" w:rsidRPr="00DE617A" w:rsidRDefault="005203F6" w:rsidP="00A86576">
            <w:pP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Celk</w:t>
            </w:r>
            <w:r w:rsidR="00E46FA1" w:rsidRPr="00DE617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 xml:space="preserve">em peněžní prostředky z kapitoly </w:t>
            </w:r>
            <w:r w:rsidRPr="00DE617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MZe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ED05" w14:textId="0C9A40E1" w:rsidR="005203F6" w:rsidRPr="00DE617A" w:rsidRDefault="005203F6" w:rsidP="00DC08DE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611,9</w:t>
            </w:r>
            <w:r w:rsidR="00DC08DE" w:rsidRPr="00DE617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956F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1 205,07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9B23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1 451,95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896C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cs-CZ"/>
              </w:rPr>
              <w:t>3 268,94</w:t>
            </w:r>
          </w:p>
        </w:tc>
      </w:tr>
      <w:tr w:rsidR="005203F6" w:rsidRPr="00DE617A" w14:paraId="3C688F74" w14:textId="77777777" w:rsidTr="001E23B0">
        <w:trPr>
          <w:trHeight w:val="56"/>
        </w:trPr>
        <w:tc>
          <w:tcPr>
            <w:tcW w:w="3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75E87D0" w14:textId="77777777" w:rsidR="005203F6" w:rsidRPr="00DE617A" w:rsidRDefault="005203F6" w:rsidP="005203F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 peněžní prostředky na podporu PPO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36EA" w14:textId="6C5C46D3" w:rsidR="005203F6" w:rsidRPr="00DE617A" w:rsidRDefault="005203F6" w:rsidP="00DC08D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66</w:t>
            </w:r>
            <w:r w:rsidR="00DC08DE" w:rsidRPr="00DE61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  <w:r w:rsidRPr="00DE61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,</w:t>
            </w:r>
            <w:r w:rsidR="00DC08DE" w:rsidRPr="00DE61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8E9E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1 584,34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148C" w14:textId="77777777" w:rsidR="005203F6" w:rsidRPr="00DE617A" w:rsidRDefault="005203F6" w:rsidP="005203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2 047,11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0DD5" w14:textId="6B7D7C8A" w:rsidR="005203F6" w:rsidRPr="00DE617A" w:rsidRDefault="005203F6" w:rsidP="00DC08D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4 </w:t>
            </w:r>
            <w:r w:rsidR="00DC08DE" w:rsidRPr="00DE61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300</w:t>
            </w:r>
            <w:r w:rsidRPr="00DE61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,</w:t>
            </w:r>
            <w:r w:rsidR="00DC08DE" w:rsidRPr="00DE61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23</w:t>
            </w:r>
          </w:p>
        </w:tc>
      </w:tr>
    </w:tbl>
    <w:p w14:paraId="0FD0314B" w14:textId="6622E594" w:rsidR="005203F6" w:rsidRDefault="00E34BDB" w:rsidP="00E34BDB">
      <w:pPr>
        <w:pStyle w:val="Zdrojapozn"/>
      </w:pPr>
      <w:r w:rsidRPr="00A243A0">
        <w:rPr>
          <w:b/>
        </w:rPr>
        <w:t>Zdroj:</w:t>
      </w:r>
      <w:r>
        <w:t xml:space="preserve"> </w:t>
      </w:r>
      <w:r w:rsidR="00A86576">
        <w:t>d</w:t>
      </w:r>
      <w:r w:rsidR="000B4E40">
        <w:t>okumentace programů</w:t>
      </w:r>
      <w:r w:rsidR="000B4E40" w:rsidRPr="001D5DE3">
        <w:rPr>
          <w:i/>
        </w:rPr>
        <w:t xml:space="preserve">, </w:t>
      </w:r>
      <w:r w:rsidR="00494BC1" w:rsidRPr="001D5DE3">
        <w:rPr>
          <w:i/>
        </w:rPr>
        <w:t>Evidenční dotační systém</w:t>
      </w:r>
      <w:r w:rsidR="00494BC1">
        <w:t xml:space="preserve"> (dále také „EDS“),</w:t>
      </w:r>
      <w:r w:rsidR="000B4E40">
        <w:t xml:space="preserve"> monitorovací systém MS2014</w:t>
      </w:r>
      <w:r w:rsidR="008D5EB1">
        <w:t>+</w:t>
      </w:r>
      <w:r w:rsidR="000136D8">
        <w:t>.</w:t>
      </w:r>
    </w:p>
    <w:p w14:paraId="0BC2FC4E" w14:textId="12FAC232" w:rsidR="00494BC1" w:rsidRDefault="008D5EB1" w:rsidP="00352298">
      <w:pPr>
        <w:pStyle w:val="TextKP"/>
      </w:pPr>
      <w:r w:rsidRPr="008D5EB1">
        <w:t>Pro zohlednění cyklů financování, tj. ukončování starých dotačních programů a náběh nových dotačních titulů, bylo sle</w:t>
      </w:r>
      <w:r w:rsidR="00C37A06">
        <w:t xml:space="preserve">dováno také širší časové období </w:t>
      </w:r>
      <w:r w:rsidR="00F020B0">
        <w:t xml:space="preserve">od roku </w:t>
      </w:r>
      <w:r w:rsidRPr="008D5EB1">
        <w:t xml:space="preserve">2014 </w:t>
      </w:r>
      <w:r w:rsidR="00F020B0">
        <w:t>do 30. 6. 2019</w:t>
      </w:r>
      <w:r w:rsidRPr="008D5EB1">
        <w:t>. V</w:t>
      </w:r>
      <w:r w:rsidR="002A6917">
        <w:t xml:space="preserve"> tomto období MŽP a MZe </w:t>
      </w:r>
      <w:r w:rsidR="00F020B0">
        <w:t>vynaložily</w:t>
      </w:r>
      <w:r w:rsidRPr="008D5EB1">
        <w:t xml:space="preserve"> na </w:t>
      </w:r>
      <w:r w:rsidR="00F020B0">
        <w:t>opatření související s ochranou před povodněmi</w:t>
      </w:r>
      <w:r w:rsidRPr="008D5EB1">
        <w:t xml:space="preserve"> peněžní prost</w:t>
      </w:r>
      <w:r>
        <w:t>ředky v</w:t>
      </w:r>
      <w:r w:rsidR="00F020B0">
        <w:t> celkové výši 8 mld. Kč</w:t>
      </w:r>
      <w:r w:rsidR="00F020B0">
        <w:rPr>
          <w:rStyle w:val="Znakapoznpodarou"/>
        </w:rPr>
        <w:footnoteReference w:id="31"/>
      </w:r>
      <w:r w:rsidR="00F020B0">
        <w:t xml:space="preserve">, z toho MŽP 4,5 mld. Kč a MZe 3,5 mld. Kč. </w:t>
      </w:r>
      <w:r w:rsidR="009F16DD">
        <w:t>MŽP a MZe vynaložily v letech 2014 až 2018 průměrně za rok</w:t>
      </w:r>
      <w:r w:rsidR="00F020B0">
        <w:t xml:space="preserve"> peněžní prostředky </w:t>
      </w:r>
      <w:r w:rsidR="009F16DD">
        <w:t>ve</w:t>
      </w:r>
      <w:r w:rsidR="00906286">
        <w:t xml:space="preserve"> výši</w:t>
      </w:r>
      <w:r>
        <w:t xml:space="preserve"> 1,6 </w:t>
      </w:r>
      <w:r w:rsidRPr="008D5EB1">
        <w:t>mld. Kč</w:t>
      </w:r>
      <w:r w:rsidR="009F16DD">
        <w:t>.</w:t>
      </w:r>
    </w:p>
    <w:p w14:paraId="068DD99A" w14:textId="38E74110" w:rsidR="00494BC1" w:rsidRPr="00D155AB" w:rsidRDefault="00A86576" w:rsidP="00D155AB">
      <w:pPr>
        <w:pStyle w:val="TextKP"/>
      </w:pPr>
      <w:r>
        <w:t xml:space="preserve">Pro </w:t>
      </w:r>
      <w:r w:rsidR="00D838BF">
        <w:t>p</w:t>
      </w:r>
      <w:r w:rsidR="00494BC1">
        <w:t>rogram</w:t>
      </w:r>
      <w:r>
        <w:t xml:space="preserve"> Ministerstva zemědělství</w:t>
      </w:r>
      <w:r w:rsidR="00494BC1">
        <w:t xml:space="preserve"> 129 260 </w:t>
      </w:r>
      <w:r w:rsidR="00494BC1" w:rsidRPr="00AB3FDC">
        <w:rPr>
          <w:i/>
        </w:rPr>
        <w:t>Podpora prevence před povodněmi III</w:t>
      </w:r>
      <w:r w:rsidR="00494BC1">
        <w:t xml:space="preserve"> </w:t>
      </w:r>
      <w:r w:rsidR="00D838BF">
        <w:t>byl v roce 2014 schválen finanční rámec v celkové výši 4,65 mld. Kč. Z dokumentace programu a</w:t>
      </w:r>
      <w:r>
        <w:t> </w:t>
      </w:r>
      <w:r w:rsidR="00D838BF">
        <w:t>z EDS vyplývá</w:t>
      </w:r>
      <w:r w:rsidR="00494BC1" w:rsidRPr="00494BC1">
        <w:t>, že na základě akcí zařazených do programu nebude dle závěrečných vyhodnocení akcí a vydaných rozhodnutí o poskytnutí dotace naplněn schválený výchozí finanční rámec programu a</w:t>
      </w:r>
      <w:r>
        <w:t>ni</w:t>
      </w:r>
      <w:r w:rsidR="00494BC1" w:rsidRPr="00494BC1">
        <w:t xml:space="preserve"> některé původně stanovené závazné hodnoty parametr</w:t>
      </w:r>
      <w:r w:rsidR="00D838BF">
        <w:t>ů</w:t>
      </w:r>
      <w:r w:rsidR="00494BC1" w:rsidRPr="00494BC1">
        <w:t xml:space="preserve"> programu.</w:t>
      </w:r>
      <w:r w:rsidR="00D838BF">
        <w:t xml:space="preserve"> Ke dni 30. 6. 2019 byly v rámci tohoto programu poskytnuty peněžní prostředky v celkové výši </w:t>
      </w:r>
      <w:r w:rsidR="00D155AB">
        <w:t>2,2 mld. Kč a p</w:t>
      </w:r>
      <w:r w:rsidR="00D155AB" w:rsidRPr="00D155AB">
        <w:t>ředpokládané čerpán</w:t>
      </w:r>
      <w:r w:rsidR="00CD4CBF">
        <w:t>í programu 129 260 činí cca 2,8 </w:t>
      </w:r>
      <w:r w:rsidR="00D155AB" w:rsidRPr="00D155AB">
        <w:t>mld. Kč</w:t>
      </w:r>
      <w:r w:rsidR="00AB3FDC">
        <w:rPr>
          <w:rStyle w:val="Znakapoznpodarou"/>
        </w:rPr>
        <w:footnoteReference w:id="32"/>
      </w:r>
      <w:r w:rsidR="00D155AB" w:rsidRPr="00D155AB">
        <w:t>.</w:t>
      </w:r>
    </w:p>
    <w:p w14:paraId="5D469C6C" w14:textId="24B34D23" w:rsidR="002A6917" w:rsidRDefault="00110E1C" w:rsidP="00352298">
      <w:pPr>
        <w:pStyle w:val="TextKP"/>
      </w:pPr>
      <w:r>
        <w:t>V PpZPR je uvedeno</w:t>
      </w:r>
      <w:r w:rsidR="004626E7">
        <w:t>, že</w:t>
      </w:r>
      <w:r w:rsidR="001058D2">
        <w:t xml:space="preserve"> </w:t>
      </w:r>
      <w:r w:rsidR="004626E7">
        <w:t xml:space="preserve">povodně představují </w:t>
      </w:r>
      <w:r w:rsidR="00E92628" w:rsidRPr="00E92628">
        <w:t>pro ČR největší přímé nebezpečí v obl</w:t>
      </w:r>
      <w:r w:rsidR="009C24FE">
        <w:t>asti přírodních katastrof</w:t>
      </w:r>
      <w:r w:rsidR="00A86576">
        <w:t>,</w:t>
      </w:r>
      <w:r w:rsidR="009C24FE">
        <w:t xml:space="preserve"> a</w:t>
      </w:r>
      <w:r w:rsidR="001058D2">
        <w:t xml:space="preserve"> </w:t>
      </w:r>
      <w:r w:rsidR="009C24FE" w:rsidRPr="00D60360">
        <w:rPr>
          <w:i/>
        </w:rPr>
        <w:t>Komplexní studie dopadů, zranitelnosti a zdrojů rizik souvisej</w:t>
      </w:r>
      <w:r w:rsidR="002E63FE">
        <w:rPr>
          <w:i/>
        </w:rPr>
        <w:t>ících se</w:t>
      </w:r>
      <w:r w:rsidR="001058D2">
        <w:rPr>
          <w:i/>
        </w:rPr>
        <w:t xml:space="preserve"> </w:t>
      </w:r>
      <w:r w:rsidR="009C24FE" w:rsidRPr="00D60360">
        <w:rPr>
          <w:i/>
        </w:rPr>
        <w:t>změnou klimatu v ČR</w:t>
      </w:r>
      <w:r w:rsidR="004E43C9" w:rsidRPr="001D5DE3">
        <w:rPr>
          <w:rStyle w:val="Znakapoznpodarou"/>
        </w:rPr>
        <w:footnoteReference w:id="33"/>
      </w:r>
      <w:r w:rsidR="009C24FE">
        <w:t xml:space="preserve"> identifikovala mimo jiné povodně a přívalové povodně jako jeden z hlavních projevů změny klimatu pro území ČR</w:t>
      </w:r>
      <w:r w:rsidR="004740BE">
        <w:rPr>
          <w:rStyle w:val="Znakapoznpodarou"/>
        </w:rPr>
        <w:footnoteReference w:id="34"/>
      </w:r>
      <w:r w:rsidR="004740BE">
        <w:t xml:space="preserve">. </w:t>
      </w:r>
      <w:r w:rsidR="00156352">
        <w:t>Přes uvedené skutečnosti z údajů o čerpání peněžních prostředků na PPO oproti vyčísleným potřebám vyplývá, že se ply</w:t>
      </w:r>
      <w:r w:rsidR="00E92628" w:rsidRPr="00E92628">
        <w:t xml:space="preserve">nutím času od poslední významné povodně v roce 2013 projevuje </w:t>
      </w:r>
      <w:r w:rsidR="00A26B0D">
        <w:t>„</w:t>
      </w:r>
      <w:r w:rsidR="00E92628" w:rsidRPr="00E92628">
        <w:t>krátkodobá paměť“ společno</w:t>
      </w:r>
      <w:r w:rsidR="00A26B0D">
        <w:t xml:space="preserve">sti </w:t>
      </w:r>
      <w:r w:rsidR="00A86576">
        <w:t xml:space="preserve">ohledně </w:t>
      </w:r>
      <w:r w:rsidR="00E92628" w:rsidRPr="00E92628">
        <w:t>důsledk</w:t>
      </w:r>
      <w:r w:rsidR="00A86576">
        <w:t>ů</w:t>
      </w:r>
      <w:r w:rsidR="00E92628" w:rsidRPr="00E92628">
        <w:t xml:space="preserve"> konkrétní povodně a snižuje se tlak na realizaci PPO.</w:t>
      </w:r>
    </w:p>
    <w:p w14:paraId="471933C5" w14:textId="7A46E55C" w:rsidR="00352298" w:rsidRDefault="00352298" w:rsidP="00393C7B">
      <w:pPr>
        <w:pStyle w:val="Nadpis2"/>
        <w:numPr>
          <w:ilvl w:val="0"/>
          <w:numId w:val="0"/>
        </w:numPr>
        <w:ind w:left="284" w:hanging="284"/>
      </w:pPr>
      <w:r>
        <w:lastRenderedPageBreak/>
        <w:t>4. Nejsou plněna opatření v oblasti podpory revitalizačních přístupů k vodním tokům</w:t>
      </w:r>
    </w:p>
    <w:p w14:paraId="6CD7992B" w14:textId="67A4AB9C" w:rsidR="00A04BD6" w:rsidRDefault="00AC5CD5" w:rsidP="005C3FF4">
      <w:pPr>
        <w:pStyle w:val="TextKP"/>
        <w:spacing w:before="100"/>
      </w:pPr>
      <w:r w:rsidRPr="00CD4CBF">
        <w:rPr>
          <w:i/>
          <w:lang w:eastAsia="cs-CZ"/>
        </w:rPr>
        <w:t>Národní akční plán adaptace na změnu klimatu</w:t>
      </w:r>
      <w:r w:rsidRPr="00021872">
        <w:rPr>
          <w:lang w:eastAsia="cs-CZ"/>
        </w:rPr>
        <w:t xml:space="preserve"> </w:t>
      </w:r>
      <w:r w:rsidR="00DF35C9">
        <w:t xml:space="preserve">byl schválen usnesením vlády ČR ze dne 16. ledna 2017 č. 34, </w:t>
      </w:r>
      <w:r w:rsidR="00DF35C9" w:rsidRPr="00571E9A">
        <w:t xml:space="preserve">kterým bylo členům vlády uloženo </w:t>
      </w:r>
      <w:r w:rsidR="00DF35C9">
        <w:t>realizovat úkoly obsažené v</w:t>
      </w:r>
      <w:r w:rsidR="00C12CB8">
        <w:t> </w:t>
      </w:r>
      <w:r w:rsidR="00DF35C9">
        <w:t>NAP</w:t>
      </w:r>
      <w:r w:rsidR="00C12CB8">
        <w:t xml:space="preserve"> </w:t>
      </w:r>
      <w:r w:rsidR="00D06702">
        <w:t>a v </w:t>
      </w:r>
      <w:r w:rsidR="00C12CB8">
        <w:t xml:space="preserve">implementačním dokumentu </w:t>
      </w:r>
      <w:r w:rsidR="00C12CB8" w:rsidRPr="00CD4CBF">
        <w:rPr>
          <w:i/>
        </w:rPr>
        <w:t>Strategie přizpůsobení se změně klimatu v podmínkách ČR</w:t>
      </w:r>
      <w:r w:rsidR="00DF35C9" w:rsidRPr="00C12CB8">
        <w:t>.</w:t>
      </w:r>
      <w:r w:rsidR="00DF35C9">
        <w:t xml:space="preserve"> </w:t>
      </w:r>
      <w:r w:rsidR="0046630B">
        <w:t>Pro</w:t>
      </w:r>
      <w:r w:rsidR="001058D2">
        <w:t xml:space="preserve"> </w:t>
      </w:r>
      <w:r w:rsidR="0024274D">
        <w:t>hlavní identifikované projevy změny klimat</w:t>
      </w:r>
      <w:r w:rsidR="00D06702">
        <w:t>u</w:t>
      </w:r>
      <w:r w:rsidR="0024274D">
        <w:t xml:space="preserve"> pro území ČR jsou v NAP definovány relevantní spec</w:t>
      </w:r>
      <w:r w:rsidR="0046630B">
        <w:t>ifické cíle a opatření</w:t>
      </w:r>
      <w:r w:rsidR="00D06702">
        <w:t>,</w:t>
      </w:r>
      <w:r w:rsidR="0046630B">
        <w:t xml:space="preserve"> pomocí nichž má být cílů dosaženo. Stanovená opatření se rozpadají na konkrétní úkoly. </w:t>
      </w:r>
      <w:r w:rsidR="00D06702">
        <w:t>Pro k</w:t>
      </w:r>
      <w:r w:rsidR="0046630B">
        <w:t xml:space="preserve">aždý úkol </w:t>
      </w:r>
      <w:r w:rsidR="00D06702">
        <w:t>je</w:t>
      </w:r>
      <w:r w:rsidR="0046630B">
        <w:t xml:space="preserve"> stanoven termín a subjekt zodpovědný za jeho splnění, tzv. gestor.</w:t>
      </w:r>
      <w:r w:rsidR="00A04BD6">
        <w:t xml:space="preserve"> </w:t>
      </w:r>
    </w:p>
    <w:p w14:paraId="12DC865A" w14:textId="4B07CE15" w:rsidR="00C12CB8" w:rsidRDefault="00A04BD6" w:rsidP="005C3FF4">
      <w:pPr>
        <w:pStyle w:val="TextKP"/>
        <w:spacing w:before="80"/>
      </w:pPr>
      <w:r>
        <w:t xml:space="preserve">Jedním z hlavních identifikovaných projevů změny klimatu pro území ČR jsou povodně a přívalové povodně, pro </w:t>
      </w:r>
      <w:r w:rsidR="005C3FF4">
        <w:t>které</w:t>
      </w:r>
      <w:r>
        <w:t xml:space="preserve"> </w:t>
      </w:r>
      <w:r w:rsidR="0046630B">
        <w:t>jsou relevantní</w:t>
      </w:r>
      <w:r>
        <w:t xml:space="preserve"> mj. </w:t>
      </w:r>
      <w:r w:rsidR="0046630B">
        <w:t>specifick</w:t>
      </w:r>
      <w:r>
        <w:t>é</w:t>
      </w:r>
      <w:r w:rsidR="0046630B">
        <w:t xml:space="preserve"> cíl</w:t>
      </w:r>
      <w:r>
        <w:t>e</w:t>
      </w:r>
      <w:r w:rsidR="0046630B">
        <w:t xml:space="preserve"> </w:t>
      </w:r>
      <w:r w:rsidR="00D06702">
        <w:t>„</w:t>
      </w:r>
      <w:r w:rsidR="00D06702">
        <w:rPr>
          <w:i/>
        </w:rPr>
        <w:t>z</w:t>
      </w:r>
      <w:r w:rsidR="00C12CB8" w:rsidRPr="00CD4CBF">
        <w:rPr>
          <w:i/>
        </w:rPr>
        <w:t>astavení degradace půdy nadměrnou erozí, vyčerpáním živin, ztrátou organické hmoty a utužením</w:t>
      </w:r>
      <w:r w:rsidR="00D06702" w:rsidRPr="006874C9">
        <w:t>“</w:t>
      </w:r>
      <w:r w:rsidR="00C12CB8" w:rsidRPr="00C12CB8">
        <w:t xml:space="preserve"> (SC 5)</w:t>
      </w:r>
      <w:r w:rsidR="00C12CB8">
        <w:t xml:space="preserve"> a </w:t>
      </w:r>
      <w:r w:rsidR="00D06702">
        <w:t>„</w:t>
      </w:r>
      <w:r w:rsidR="00D06702">
        <w:rPr>
          <w:i/>
        </w:rPr>
        <w:t>z</w:t>
      </w:r>
      <w:r w:rsidR="00DF35C9" w:rsidRPr="00CD4CBF">
        <w:rPr>
          <w:i/>
        </w:rPr>
        <w:t>výšení přirozené retenční schopnosti vodních toků a niv</w:t>
      </w:r>
      <w:r w:rsidR="00D06702">
        <w:t>“</w:t>
      </w:r>
      <w:r w:rsidR="00C12CB8">
        <w:t xml:space="preserve"> (SC 11)</w:t>
      </w:r>
      <w:r w:rsidR="00DF35C9">
        <w:t>.</w:t>
      </w:r>
      <w:r w:rsidR="00C12CB8">
        <w:t xml:space="preserve"> </w:t>
      </w:r>
      <w:r w:rsidR="003D1ABC">
        <w:t xml:space="preserve">Pro SC 5 </w:t>
      </w:r>
      <w:r w:rsidR="00D9223F">
        <w:t xml:space="preserve">je v NAP </w:t>
      </w:r>
      <w:r w:rsidR="003D1ABC">
        <w:t>stanoven</w:t>
      </w:r>
      <w:r w:rsidR="00D9223F">
        <w:t>o</w:t>
      </w:r>
      <w:r w:rsidR="003D1ABC">
        <w:t xml:space="preserve"> </w:t>
      </w:r>
      <w:r w:rsidR="00D9223F">
        <w:t>mj.</w:t>
      </w:r>
      <w:r w:rsidR="005C3FF4">
        <w:t> </w:t>
      </w:r>
      <w:r w:rsidR="003D1ABC">
        <w:t xml:space="preserve">opatření </w:t>
      </w:r>
      <w:r w:rsidR="00D06702">
        <w:t>„</w:t>
      </w:r>
      <w:r w:rsidR="00D06702">
        <w:rPr>
          <w:i/>
        </w:rPr>
        <w:t>o</w:t>
      </w:r>
      <w:r w:rsidR="003D1ABC" w:rsidRPr="00CD4CBF">
        <w:rPr>
          <w:i/>
        </w:rPr>
        <w:t>mezování vodní a větrné eroze zemědělské půdy</w:t>
      </w:r>
      <w:r w:rsidR="00D06702">
        <w:t>“</w:t>
      </w:r>
      <w:r w:rsidR="003D1ABC">
        <w:t xml:space="preserve"> (o5_1) a pro SC 11 je v NAP </w:t>
      </w:r>
      <w:r w:rsidR="00ED2586">
        <w:t>stanove</w:t>
      </w:r>
      <w:r w:rsidR="003D1ABC">
        <w:t>no opatření</w:t>
      </w:r>
      <w:r w:rsidR="003D1ABC" w:rsidRPr="00DF35C9">
        <w:rPr>
          <w:lang w:eastAsia="cs-CZ"/>
        </w:rPr>
        <w:t xml:space="preserve"> </w:t>
      </w:r>
      <w:r w:rsidR="00D06702">
        <w:rPr>
          <w:lang w:eastAsia="cs-CZ"/>
        </w:rPr>
        <w:t>„</w:t>
      </w:r>
      <w:r w:rsidR="00D06702">
        <w:rPr>
          <w:i/>
          <w:lang w:eastAsia="cs-CZ"/>
        </w:rPr>
        <w:t>k</w:t>
      </w:r>
      <w:r w:rsidR="003D1ABC" w:rsidRPr="005C3FF4">
        <w:rPr>
          <w:i/>
          <w:lang w:eastAsia="cs-CZ"/>
        </w:rPr>
        <w:t xml:space="preserve">omplexní revitalizace </w:t>
      </w:r>
      <w:r w:rsidR="00D9223F" w:rsidRPr="005C3FF4">
        <w:rPr>
          <w:i/>
          <w:lang w:eastAsia="cs-CZ"/>
        </w:rPr>
        <w:t>vodních toků a niv a</w:t>
      </w:r>
      <w:r w:rsidR="00B27C80">
        <w:rPr>
          <w:i/>
          <w:lang w:eastAsia="cs-CZ"/>
        </w:rPr>
        <w:t xml:space="preserve"> </w:t>
      </w:r>
      <w:r w:rsidR="003D1ABC" w:rsidRPr="005C3FF4">
        <w:rPr>
          <w:i/>
          <w:lang w:eastAsia="cs-CZ"/>
        </w:rPr>
        <w:t xml:space="preserve">podpora </w:t>
      </w:r>
      <w:r w:rsidR="00ED2586" w:rsidRPr="005C3FF4">
        <w:rPr>
          <w:i/>
          <w:lang w:eastAsia="cs-CZ"/>
        </w:rPr>
        <w:t>samovolné renaturace</w:t>
      </w:r>
      <w:r w:rsidR="00D06702">
        <w:rPr>
          <w:lang w:eastAsia="cs-CZ"/>
        </w:rPr>
        <w:t>“</w:t>
      </w:r>
      <w:r w:rsidR="00ED2586">
        <w:rPr>
          <w:lang w:eastAsia="cs-CZ"/>
        </w:rPr>
        <w:t xml:space="preserve"> (o11_1).</w:t>
      </w:r>
    </w:p>
    <w:p w14:paraId="475FB1AA" w14:textId="18ADDF6E" w:rsidR="00ED2586" w:rsidRDefault="003D1ABC" w:rsidP="005C3FF4">
      <w:pPr>
        <w:pStyle w:val="TextKP"/>
        <w:spacing w:before="80"/>
      </w:pPr>
      <w:r>
        <w:t>NKÚ kontrolou zjistil, že aktuální stav plnění některých úkolů</w:t>
      </w:r>
      <w:r w:rsidR="00ED2586">
        <w:t xml:space="preserve"> stanovených ke splnění relevantních specifických cílů 5 a 11</w:t>
      </w:r>
      <w:r>
        <w:t xml:space="preserve"> se odchyluje od předem definovaného požadovaného výsledku s ohledem na stanovený termín.</w:t>
      </w:r>
      <w:r w:rsidR="00ED2586">
        <w:t xml:space="preserve"> Přehled těchto úkolů</w:t>
      </w:r>
      <w:r w:rsidR="00B57A9C">
        <w:t xml:space="preserve"> a jejich hodnocení</w:t>
      </w:r>
      <w:r w:rsidR="00ED2586">
        <w:t xml:space="preserve"> je uveden v následující tabulce.</w:t>
      </w:r>
    </w:p>
    <w:p w14:paraId="2A5969C6" w14:textId="060BF18F" w:rsidR="006975B9" w:rsidRPr="006975B9" w:rsidRDefault="006975B9" w:rsidP="007C0A4E">
      <w:pPr>
        <w:pStyle w:val="Titulek"/>
      </w:pPr>
      <w:r w:rsidRPr="00A243A0">
        <w:rPr>
          <w:b/>
        </w:rPr>
        <w:t xml:space="preserve">Tabulka č. </w:t>
      </w:r>
      <w:r w:rsidR="00D55E78" w:rsidRPr="00A243A0">
        <w:rPr>
          <w:b/>
        </w:rPr>
        <w:fldChar w:fldCharType="begin"/>
      </w:r>
      <w:r w:rsidR="00D55E78" w:rsidRPr="00A243A0">
        <w:rPr>
          <w:b/>
        </w:rPr>
        <w:instrText xml:space="preserve"> SEQ Tabulka_č. \* ARABIC </w:instrText>
      </w:r>
      <w:r w:rsidR="00D55E78" w:rsidRPr="00A243A0">
        <w:rPr>
          <w:b/>
        </w:rPr>
        <w:fldChar w:fldCharType="separate"/>
      </w:r>
      <w:r w:rsidR="002C2F03">
        <w:rPr>
          <w:b/>
          <w:noProof/>
        </w:rPr>
        <w:t>4</w:t>
      </w:r>
      <w:r w:rsidR="00D55E78" w:rsidRPr="00A243A0">
        <w:rPr>
          <w:b/>
          <w:noProof/>
        </w:rPr>
        <w:fldChar w:fldCharType="end"/>
      </w:r>
      <w:r w:rsidRPr="00A243A0">
        <w:rPr>
          <w:b/>
        </w:rPr>
        <w:t>:</w:t>
      </w:r>
      <w:r>
        <w:t xml:space="preserve"> </w:t>
      </w:r>
      <w:r w:rsidR="00B57A9C">
        <w:t>Přehled a hodnocení</w:t>
      </w:r>
      <w:r w:rsidR="00B47102">
        <w:t xml:space="preserve"> vybraných</w:t>
      </w:r>
      <w:r w:rsidR="00B57A9C">
        <w:t xml:space="preserve"> relevantních </w:t>
      </w:r>
      <w:r w:rsidR="001568DE">
        <w:t>úkolů NAP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4841"/>
        <w:gridCol w:w="653"/>
        <w:gridCol w:w="830"/>
        <w:gridCol w:w="2095"/>
      </w:tblGrid>
      <w:tr w:rsidR="00DB768B" w:rsidRPr="00DE617A" w14:paraId="4776CC2E" w14:textId="77777777" w:rsidTr="00DB768B">
        <w:trPr>
          <w:trHeight w:val="5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8BC813E" w14:textId="77777777" w:rsidR="006975B9" w:rsidRPr="00DE617A" w:rsidRDefault="006975B9" w:rsidP="006975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2B6D502" w14:textId="77777777" w:rsidR="006975B9" w:rsidRPr="00DE617A" w:rsidRDefault="006975B9" w:rsidP="006975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Úkol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B166B05" w14:textId="77777777" w:rsidR="006975B9" w:rsidRPr="00DE617A" w:rsidRDefault="006975B9" w:rsidP="006975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Gestor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614689E" w14:textId="77777777" w:rsidR="006975B9" w:rsidRPr="00DE617A" w:rsidRDefault="006975B9" w:rsidP="006975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Termín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7FE7262" w14:textId="77777777" w:rsidR="006975B9" w:rsidRPr="00DE617A" w:rsidRDefault="006975B9" w:rsidP="006975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Hodnocení</w:t>
            </w:r>
          </w:p>
        </w:tc>
      </w:tr>
      <w:tr w:rsidR="00DE617A" w:rsidRPr="00DE617A" w14:paraId="63784D59" w14:textId="77777777" w:rsidTr="00DB768B">
        <w:trPr>
          <w:trHeight w:val="41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383CB7E" w14:textId="77777777" w:rsidR="006975B9" w:rsidRPr="00DE617A" w:rsidRDefault="006975B9" w:rsidP="006975B9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5_1.1</w:t>
            </w:r>
          </w:p>
        </w:tc>
        <w:tc>
          <w:tcPr>
            <w:tcW w:w="2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5EE3" w14:textId="77777777" w:rsidR="006975B9" w:rsidRPr="00DE617A" w:rsidRDefault="006975B9" w:rsidP="006975B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Připravit a uvést do praxe protierozní vyhlášku jako komplexní nástroj kvalitativní ochrany půdy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1A8E" w14:textId="49890D37" w:rsidR="006975B9" w:rsidRPr="00DE617A" w:rsidRDefault="006975B9" w:rsidP="006975B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MŽP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AF9A" w14:textId="77777777" w:rsidR="006975B9" w:rsidRPr="00DE617A" w:rsidRDefault="006975B9" w:rsidP="006975B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5DA4" w14:textId="25FE6DD0" w:rsidR="006975B9" w:rsidRPr="00DE617A" w:rsidRDefault="006975B9" w:rsidP="00D067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Do ukončení kontroly </w:t>
            </w:r>
            <w:r w:rsidR="0070173D"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(září 2019) </w:t>
            </w: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nebyla protierozní vyhlášk</w:t>
            </w:r>
            <w:r w:rsidR="00D067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</w:t>
            </w: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schválena</w:t>
            </w:r>
          </w:p>
        </w:tc>
      </w:tr>
      <w:tr w:rsidR="00DB768B" w:rsidRPr="00DE617A" w14:paraId="09CE343D" w14:textId="77777777" w:rsidTr="00DB768B">
        <w:trPr>
          <w:trHeight w:val="14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93C27FA" w14:textId="77777777" w:rsidR="006975B9" w:rsidRPr="00DE617A" w:rsidRDefault="006975B9" w:rsidP="006975B9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11_1.1</w:t>
            </w:r>
          </w:p>
        </w:tc>
        <w:tc>
          <w:tcPr>
            <w:tcW w:w="2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50BA" w14:textId="5298D9BA" w:rsidR="006975B9" w:rsidRPr="00DE617A" w:rsidRDefault="006975B9" w:rsidP="006975B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Zpracovat metodické postupy pro překonávání obtíží při realizaci revitalizací a renaturací vodních toků a niv 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BE2C" w14:textId="7A660DEA" w:rsidR="006975B9" w:rsidRPr="00DE617A" w:rsidRDefault="006975B9" w:rsidP="006975B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MŽP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6638" w14:textId="77777777" w:rsidR="006975B9" w:rsidRPr="00DE617A" w:rsidRDefault="006975B9" w:rsidP="006975B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1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29B7" w14:textId="2CC79869" w:rsidR="006975B9" w:rsidRPr="00DE617A" w:rsidRDefault="006975B9" w:rsidP="006975B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Do ukončení kontroly </w:t>
            </w:r>
            <w:r w:rsidR="0070173D"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(září 2019) </w:t>
            </w: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nebyly metodické postupy zpracovány</w:t>
            </w:r>
          </w:p>
        </w:tc>
      </w:tr>
      <w:tr w:rsidR="00DB768B" w:rsidRPr="00DE617A" w14:paraId="22AD9FAD" w14:textId="77777777" w:rsidTr="00DB768B">
        <w:trPr>
          <w:trHeight w:val="5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6B6CB12" w14:textId="77777777" w:rsidR="006975B9" w:rsidRPr="00DE617A" w:rsidRDefault="006975B9" w:rsidP="006975B9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11_1.2</w:t>
            </w:r>
          </w:p>
        </w:tc>
        <w:tc>
          <w:tcPr>
            <w:tcW w:w="2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33E" w14:textId="77777777" w:rsidR="006975B9" w:rsidRPr="00DE617A" w:rsidRDefault="006975B9" w:rsidP="006975B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Zpracovat metodické postupy pro vytipování úseků vodních toků a niv vhodných k samovolné nebo iniciované renaturaci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6C55" w14:textId="77777777" w:rsidR="006975B9" w:rsidRPr="00DE617A" w:rsidRDefault="006975B9" w:rsidP="006975B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C7A0" w14:textId="77777777" w:rsidR="006975B9" w:rsidRPr="00DE617A" w:rsidRDefault="006975B9" w:rsidP="006975B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41A8" w14:textId="77777777" w:rsidR="006975B9" w:rsidRPr="00DE617A" w:rsidRDefault="006975B9" w:rsidP="006975B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DB768B" w:rsidRPr="00DE617A" w14:paraId="118A8094" w14:textId="77777777" w:rsidTr="00DB768B">
        <w:trPr>
          <w:trHeight w:val="8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9D37AEC" w14:textId="77777777" w:rsidR="006975B9" w:rsidRPr="00DE617A" w:rsidRDefault="006975B9" w:rsidP="006975B9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11_1.3</w:t>
            </w:r>
          </w:p>
        </w:tc>
        <w:tc>
          <w:tcPr>
            <w:tcW w:w="2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B016" w14:textId="77777777" w:rsidR="006975B9" w:rsidRPr="00DE617A" w:rsidRDefault="006975B9" w:rsidP="006975B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Realizovat pilotní projekt renaturace vodního toku v každém dílčím povodí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1BAC" w14:textId="19A7BCFB" w:rsidR="006975B9" w:rsidRPr="00DE617A" w:rsidRDefault="006975B9" w:rsidP="006975B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MZe, správci povodí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93F7" w14:textId="77777777" w:rsidR="006975B9" w:rsidRPr="00DE617A" w:rsidRDefault="006975B9" w:rsidP="006975B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3596" w14:textId="002EB171" w:rsidR="006975B9" w:rsidRPr="00DE617A" w:rsidRDefault="006975B9" w:rsidP="006975B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Plnění úkolu v malém rozsahu</w:t>
            </w:r>
          </w:p>
        </w:tc>
      </w:tr>
      <w:tr w:rsidR="00DB768B" w:rsidRPr="00DE617A" w14:paraId="1F6B8281" w14:textId="77777777" w:rsidTr="00DB768B">
        <w:trPr>
          <w:trHeight w:val="8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9737361" w14:textId="77777777" w:rsidR="006975B9" w:rsidRPr="00DE617A" w:rsidRDefault="006975B9" w:rsidP="006975B9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11_1.5</w:t>
            </w:r>
          </w:p>
        </w:tc>
        <w:tc>
          <w:tcPr>
            <w:tcW w:w="2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F9E6" w14:textId="77777777" w:rsidR="006975B9" w:rsidRPr="00DE617A" w:rsidRDefault="006975B9" w:rsidP="006975B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Podporovat komplexní revitalizace a samovolné renaturace toků a niv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C617" w14:textId="76BD9DD5" w:rsidR="006975B9" w:rsidRPr="00DE617A" w:rsidRDefault="006975B9" w:rsidP="006975B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MŽP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62E1" w14:textId="77777777" w:rsidR="006975B9" w:rsidRPr="00DE617A" w:rsidRDefault="006975B9" w:rsidP="006975B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Průběžně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3BC4" w14:textId="1A59DF7F" w:rsidR="006975B9" w:rsidRPr="00DE617A" w:rsidRDefault="006975B9" w:rsidP="006874C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Plnění úkolu v malém rozsahu</w:t>
            </w:r>
          </w:p>
        </w:tc>
      </w:tr>
      <w:tr w:rsidR="00DB768B" w:rsidRPr="00DE617A" w14:paraId="67FA53EF" w14:textId="77777777" w:rsidTr="00DB768B">
        <w:trPr>
          <w:trHeight w:val="107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A7A6075" w14:textId="77777777" w:rsidR="006975B9" w:rsidRPr="00DE617A" w:rsidRDefault="006975B9" w:rsidP="006975B9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11_1.7</w:t>
            </w:r>
          </w:p>
        </w:tc>
        <w:tc>
          <w:tcPr>
            <w:tcW w:w="2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614A" w14:textId="04DFBB65" w:rsidR="006975B9" w:rsidRPr="00DE617A" w:rsidRDefault="006975B9" w:rsidP="00B82DD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Aktualizovat metodický pokyn o povodňových prohlídkách a</w:t>
            </w:r>
            <w:r w:rsidR="001058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nápravě povodňových škod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263B" w14:textId="0C012045" w:rsidR="006975B9" w:rsidRPr="00DE617A" w:rsidRDefault="006975B9" w:rsidP="006975B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MŽP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70D0" w14:textId="77777777" w:rsidR="006975B9" w:rsidRPr="00DE617A" w:rsidRDefault="006975B9" w:rsidP="006975B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AB0F" w14:textId="1624D2A3" w:rsidR="006975B9" w:rsidRPr="00DE617A" w:rsidRDefault="006975B9" w:rsidP="006975B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Do ukončení kontroly </w:t>
            </w:r>
            <w:r w:rsidR="0070173D"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(září 2019) </w:t>
            </w:r>
            <w:r w:rsidRPr="00DE61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nebyl metodický pokyn aktualizován</w:t>
            </w:r>
          </w:p>
        </w:tc>
      </w:tr>
    </w:tbl>
    <w:p w14:paraId="15B4B3BE" w14:textId="4E5091D2" w:rsidR="006975B9" w:rsidRDefault="00175BAC" w:rsidP="00175BAC">
      <w:pPr>
        <w:pStyle w:val="Zdrojapozn"/>
      </w:pPr>
      <w:r w:rsidRPr="00A243A0">
        <w:rPr>
          <w:b/>
        </w:rPr>
        <w:t>Zdroj:</w:t>
      </w:r>
      <w:r w:rsidR="0056635C">
        <w:t xml:space="preserve"> NAP, podklady MŽP, SFŽP</w:t>
      </w:r>
      <w:r w:rsidR="001568DE">
        <w:t>, MZe</w:t>
      </w:r>
      <w:r w:rsidR="0056635C">
        <w:t xml:space="preserve"> a kontrolovaných státních podniků povodí, MS2014+</w:t>
      </w:r>
      <w:r w:rsidR="000136D8">
        <w:t>.</w:t>
      </w:r>
    </w:p>
    <w:p w14:paraId="5BD4F552" w14:textId="1DB1850D" w:rsidR="00175BAC" w:rsidRDefault="00175BAC" w:rsidP="006975B9">
      <w:pPr>
        <w:pStyle w:val="TextKP"/>
      </w:pPr>
      <w:r>
        <w:t>K úkolům 11_1.3 a 11_1.5, u kterých NKÚ vyhodnotil, že jsou plněn</w:t>
      </w:r>
      <w:r w:rsidR="00D06702">
        <w:t>y</w:t>
      </w:r>
      <w:r>
        <w:t xml:space="preserve"> v malém rozsahu,</w:t>
      </w:r>
      <w:r w:rsidR="00B57A9C">
        <w:t xml:space="preserve"> NKÚ </w:t>
      </w:r>
      <w:r>
        <w:t>uvádí:</w:t>
      </w:r>
    </w:p>
    <w:p w14:paraId="0AD4BDF6" w14:textId="7DCB26B7" w:rsidR="00393C7B" w:rsidRDefault="00F03789" w:rsidP="007B1312">
      <w:pPr>
        <w:pStyle w:val="TextKP"/>
        <w:numPr>
          <w:ilvl w:val="0"/>
          <w:numId w:val="17"/>
        </w:numPr>
        <w:spacing w:before="60"/>
        <w:ind w:left="284" w:hanging="284"/>
      </w:pPr>
      <w:r>
        <w:t xml:space="preserve">V roce 2015 byl ukončen projekt </w:t>
      </w:r>
      <w:r w:rsidRPr="005C3FF4">
        <w:rPr>
          <w:i/>
        </w:rPr>
        <w:t>Strategie ochrany před negativními dopady povodní a erozními jevy přírodě blízkými opatřeními v České republice</w:t>
      </w:r>
      <w:r>
        <w:t xml:space="preserve"> vedený Výzkumným ústavem vodohospodářským T.</w:t>
      </w:r>
      <w:r w:rsidR="00FB170A">
        <w:t> </w:t>
      </w:r>
      <w:r>
        <w:t>G. Masaryka, v.</w:t>
      </w:r>
      <w:r w:rsidR="00FB170A">
        <w:t> </w:t>
      </w:r>
      <w:r>
        <w:t>v.</w:t>
      </w:r>
      <w:r w:rsidR="00FB170A">
        <w:t> </w:t>
      </w:r>
      <w:r>
        <w:t>i. Projekt byl realizován k plnění značné části úkolů stanovených v</w:t>
      </w:r>
      <w:r w:rsidR="00393C7B">
        <w:t> </w:t>
      </w:r>
      <w:r w:rsidR="00D06702">
        <w:t>K</w:t>
      </w:r>
      <w:r w:rsidR="00393C7B">
        <w:t xml:space="preserve">oncepci 2010 a </w:t>
      </w:r>
      <w:r w:rsidR="00D06702">
        <w:t xml:space="preserve">navrhl </w:t>
      </w:r>
      <w:r w:rsidR="00393C7B" w:rsidRPr="00393C7B">
        <w:t>přírodě blízk</w:t>
      </w:r>
      <w:r w:rsidR="00D06702">
        <w:t>á</w:t>
      </w:r>
      <w:r w:rsidR="00393C7B" w:rsidRPr="00393C7B">
        <w:t xml:space="preserve"> opatření zahrnující revitalizace vodních toků a niv pro území s velmi vysokou mírou ohroženosti na celkové délce vodních toků 8 838 km</w:t>
      </w:r>
      <w:r w:rsidR="00393C7B">
        <w:t>.</w:t>
      </w:r>
    </w:p>
    <w:p w14:paraId="31679443" w14:textId="3CA8744A" w:rsidR="007635E1" w:rsidRDefault="00F03789" w:rsidP="007635E1">
      <w:pPr>
        <w:pStyle w:val="TextKP"/>
        <w:numPr>
          <w:ilvl w:val="0"/>
          <w:numId w:val="17"/>
        </w:numPr>
        <w:spacing w:before="60"/>
        <w:ind w:left="284" w:hanging="284"/>
      </w:pPr>
      <w:r w:rsidRPr="00F03789">
        <w:t>Dle sledovaných indikátorů OPŽP byly z prostředků EU ke dni 23. 7. 2019 revitalizovány vodní toky v celkové délce 245,6</w:t>
      </w:r>
      <w:r w:rsidR="005C467A">
        <w:t>9</w:t>
      </w:r>
      <w:r w:rsidRPr="00F03789">
        <w:t xml:space="preserve"> km</w:t>
      </w:r>
      <w:r w:rsidR="005C467A">
        <w:t>, z toho</w:t>
      </w:r>
      <w:r w:rsidR="005C467A" w:rsidRPr="005C467A">
        <w:t xml:space="preserve"> </w:t>
      </w:r>
      <w:r w:rsidR="005C467A">
        <w:t xml:space="preserve">236,92 km </w:t>
      </w:r>
      <w:r w:rsidR="00D06702">
        <w:t xml:space="preserve">tvoří </w:t>
      </w:r>
      <w:r w:rsidR="005C467A">
        <w:t xml:space="preserve">dosažená </w:t>
      </w:r>
      <w:r w:rsidR="005C467A" w:rsidRPr="005C467A">
        <w:t xml:space="preserve">hodnota indikátoru 250300 </w:t>
      </w:r>
      <w:r w:rsidR="005C467A" w:rsidRPr="005C3FF4">
        <w:rPr>
          <w:i/>
        </w:rPr>
        <w:t>Celková délka revitalizovaného toku</w:t>
      </w:r>
      <w:r w:rsidR="005C467A" w:rsidRPr="005C467A">
        <w:t xml:space="preserve"> </w:t>
      </w:r>
      <w:r w:rsidR="00A243A0">
        <w:t>(OPŽP 2007–</w:t>
      </w:r>
      <w:r w:rsidR="005C467A" w:rsidRPr="005C467A">
        <w:t>2013)</w:t>
      </w:r>
      <w:r w:rsidR="005C467A">
        <w:t xml:space="preserve"> a 8,77 km průběžně </w:t>
      </w:r>
      <w:r w:rsidR="005C467A">
        <w:lastRenderedPageBreak/>
        <w:t xml:space="preserve">dosažená </w:t>
      </w:r>
      <w:r w:rsidR="005C467A" w:rsidRPr="005C467A">
        <w:t xml:space="preserve">hodnota indikátoru 46505 </w:t>
      </w:r>
      <w:r w:rsidR="005C467A" w:rsidRPr="005C3FF4">
        <w:rPr>
          <w:i/>
        </w:rPr>
        <w:t>Délka revitalizovaných vodních toků</w:t>
      </w:r>
      <w:r w:rsidR="005C467A" w:rsidRPr="005C467A">
        <w:t xml:space="preserve"> ke dni 23. 7. 2019</w:t>
      </w:r>
      <w:r w:rsidR="005C467A">
        <w:t xml:space="preserve"> </w:t>
      </w:r>
      <w:r w:rsidR="00A243A0">
        <w:t>(OPŽP 2014–</w:t>
      </w:r>
      <w:r w:rsidR="005C467A" w:rsidRPr="005C467A">
        <w:t>2020)</w:t>
      </w:r>
      <w:r w:rsidR="007635E1">
        <w:t>.</w:t>
      </w:r>
    </w:p>
    <w:p w14:paraId="503BDF82" w14:textId="30CD2074" w:rsidR="007635E1" w:rsidRDefault="00A243A0" w:rsidP="007635E1">
      <w:pPr>
        <w:pStyle w:val="TextKP"/>
        <w:numPr>
          <w:ilvl w:val="0"/>
          <w:numId w:val="17"/>
        </w:numPr>
        <w:spacing w:before="60"/>
        <w:ind w:left="284" w:hanging="284"/>
      </w:pPr>
      <w:r>
        <w:t>Relevantní indikátor OPŽP 2014–</w:t>
      </w:r>
      <w:r w:rsidR="007635E1" w:rsidRPr="007635E1">
        <w:t>2020 ke dni 23. 7. 2019 vyk</w:t>
      </w:r>
      <w:r w:rsidR="007635E1">
        <w:t>azoval nízké plnění ve vztahu k </w:t>
      </w:r>
      <w:r w:rsidR="007635E1" w:rsidRPr="007635E1">
        <w:t xml:space="preserve">cílové hodnotě. Indikátor 46505 </w:t>
      </w:r>
      <w:r w:rsidR="007635E1" w:rsidRPr="005C3FF4">
        <w:rPr>
          <w:i/>
        </w:rPr>
        <w:t>Délka revitalizovaných vodních toků</w:t>
      </w:r>
      <w:r w:rsidR="007635E1" w:rsidRPr="007635E1">
        <w:t xml:space="preserve"> vykazoval 4 % cílové hodnoty a závazek příjemců byl </w:t>
      </w:r>
      <w:r w:rsidR="007635E1">
        <w:t xml:space="preserve">17 % cílové hodnoty </w:t>
      </w:r>
      <w:r w:rsidR="00D06702">
        <w:t xml:space="preserve">tohoto </w:t>
      </w:r>
      <w:r w:rsidR="007635E1">
        <w:t>indikátoru.</w:t>
      </w:r>
    </w:p>
    <w:p w14:paraId="1BF417B6" w14:textId="131F838D" w:rsidR="00F03789" w:rsidRDefault="00F03789" w:rsidP="005C467A">
      <w:pPr>
        <w:pStyle w:val="TextKP"/>
        <w:numPr>
          <w:ilvl w:val="0"/>
          <w:numId w:val="17"/>
        </w:numPr>
        <w:spacing w:before="60"/>
        <w:ind w:left="284" w:hanging="284"/>
      </w:pPr>
      <w:r w:rsidRPr="00F03789">
        <w:t xml:space="preserve">Kontrolované státní podniky povodí provedly </w:t>
      </w:r>
      <w:r w:rsidR="00D06702">
        <w:t>v letech</w:t>
      </w:r>
      <w:r w:rsidRPr="00F03789">
        <w:t xml:space="preserve"> 2010 a</w:t>
      </w:r>
      <w:r w:rsidR="00D06702">
        <w:t>ž</w:t>
      </w:r>
      <w:r w:rsidRPr="00F03789">
        <w:t xml:space="preserve"> 2018 celkem 48 revitalizací vodních toků o celkové délce 61,3 km, na které vyn</w:t>
      </w:r>
      <w:r w:rsidR="005C467A">
        <w:t>aložily celkem 0,7 mld. Kč, což</w:t>
      </w:r>
      <w:r w:rsidR="009211E4">
        <w:t xml:space="preserve"> </w:t>
      </w:r>
      <w:r w:rsidRPr="00F03789">
        <w:t>představuje průměrné roční výdaje pouze ve výši 78 mil. Kč.</w:t>
      </w:r>
    </w:p>
    <w:p w14:paraId="5FD7EE93" w14:textId="7DA488D5" w:rsidR="007635E1" w:rsidRDefault="00A243A0" w:rsidP="00B57A9C">
      <w:pPr>
        <w:pStyle w:val="TextKP"/>
        <w:numPr>
          <w:ilvl w:val="0"/>
          <w:numId w:val="17"/>
        </w:numPr>
        <w:spacing w:before="60"/>
        <w:ind w:left="284" w:hanging="284"/>
      </w:pPr>
      <w:r>
        <w:t>V rámci OPŽP 2014–</w:t>
      </w:r>
      <w:r w:rsidR="006975B9">
        <w:t>2020 byly ke dni 30. 6. 2019 podpořeny zatím pouze dva projekty za</w:t>
      </w:r>
      <w:r w:rsidR="00175BAC">
        <w:t>měřené na samovolnou renaturaci.</w:t>
      </w:r>
    </w:p>
    <w:p w14:paraId="77DE1EAF" w14:textId="60C6DF61" w:rsidR="007635E1" w:rsidRDefault="00B57A9C" w:rsidP="007635E1">
      <w:pPr>
        <w:pStyle w:val="TextKP"/>
        <w:numPr>
          <w:ilvl w:val="0"/>
          <w:numId w:val="17"/>
        </w:numPr>
        <w:spacing w:before="60"/>
        <w:ind w:left="284" w:hanging="284"/>
      </w:pPr>
      <w:r>
        <w:t xml:space="preserve">Povodí Labe dokončilo renaturaci na 14 úsecích vodních toků v celkové délce 14,4 km a na dalších 13 úsecích vodních toků v celkové délce 9,4 km renaturace probíhají. V působnosti Povodí Moravy </w:t>
      </w:r>
      <w:r w:rsidR="00B24CEB">
        <w:t>je realizována</w:t>
      </w:r>
      <w:r>
        <w:t xml:space="preserve"> renaturace na </w:t>
      </w:r>
      <w:r w:rsidR="00384716">
        <w:t>jednom</w:t>
      </w:r>
      <w:r>
        <w:t xml:space="preserve"> úseku vodního toku, avšak v</w:t>
      </w:r>
      <w:r w:rsidR="00F52CC6">
        <w:t> </w:t>
      </w:r>
      <w:r>
        <w:t>působnosti Povodí Odry a Povodí Vltavy dosud nebyly provedeny ani neprobíhají žádné renaturace.</w:t>
      </w:r>
    </w:p>
    <w:p w14:paraId="7EFAF108" w14:textId="712D5686" w:rsidR="008F08C2" w:rsidRDefault="008F08C2" w:rsidP="008F08C2">
      <w:pPr>
        <w:pStyle w:val="TextKP"/>
        <w:spacing w:before="60"/>
      </w:pPr>
      <w:r>
        <w:t>Z uvedeného vyplývá, že MŽP, MZe, Povodí Odry a Povodí Vltavy nesplnily v požadovaném rozsahu a termínu vybrané úkoly NAP</w:t>
      </w:r>
      <w:r w:rsidR="00514FC1">
        <w:t xml:space="preserve"> nebo</w:t>
      </w:r>
      <w:r w:rsidR="00F52CC6">
        <w:t xml:space="preserve"> plnily příslušné</w:t>
      </w:r>
      <w:r w:rsidR="00514FC1">
        <w:t xml:space="preserve"> úkoly v malém rozsahu</w:t>
      </w:r>
      <w:r>
        <w:t>.</w:t>
      </w:r>
    </w:p>
    <w:p w14:paraId="128EB597" w14:textId="28EA1FE0" w:rsidR="00352298" w:rsidRDefault="00352298" w:rsidP="00352298">
      <w:pPr>
        <w:pStyle w:val="Nadpis2"/>
        <w:numPr>
          <w:ilvl w:val="0"/>
          <w:numId w:val="0"/>
        </w:numPr>
        <w:ind w:left="284" w:hanging="284"/>
      </w:pPr>
      <w:r>
        <w:t xml:space="preserve">5. </w:t>
      </w:r>
      <w:r w:rsidR="00515903" w:rsidRPr="00515903">
        <w:t xml:space="preserve">Na </w:t>
      </w:r>
      <w:r w:rsidR="00F52CC6" w:rsidRPr="00515903">
        <w:t xml:space="preserve">některých </w:t>
      </w:r>
      <w:r w:rsidR="00515903" w:rsidRPr="00515903">
        <w:t>úsecích vodních toků v oblastech s významným povodňovým rizikem nejsou dosud stanovena záplavová území nebo nejsou stanoveny jejich aktivní zóny</w:t>
      </w:r>
    </w:p>
    <w:p w14:paraId="4984E151" w14:textId="29693805" w:rsidR="00DF4CCF" w:rsidRDefault="00461BA0" w:rsidP="00DF4CCF">
      <w:pPr>
        <w:pStyle w:val="TextKP"/>
      </w:pPr>
      <w:r>
        <w:t>Z</w:t>
      </w:r>
      <w:r w:rsidR="00DF4CCF">
        <w:t xml:space="preserve">áplavová území </w:t>
      </w:r>
      <w:r>
        <w:t xml:space="preserve">jsou </w:t>
      </w:r>
      <w:r w:rsidR="00DF4CCF">
        <w:t>administrativně určená území, která</w:t>
      </w:r>
      <w:r w:rsidR="001058D2">
        <w:rPr>
          <w:lang w:eastAsia="cs-CZ"/>
        </w:rPr>
        <w:t xml:space="preserve"> </w:t>
      </w:r>
      <w:r w:rsidR="00DF4CCF">
        <w:t xml:space="preserve">mohou být při výskytu přirozené povodně zaplavena vodou. Jejich rozsah je </w:t>
      </w:r>
      <w:r w:rsidR="008A4780">
        <w:t xml:space="preserve">dle vodního zákona </w:t>
      </w:r>
      <w:r w:rsidR="00DF4CCF">
        <w:t>povinen stanovit na návrh správce vodního toku</w:t>
      </w:r>
      <w:r>
        <w:rPr>
          <w:rStyle w:val="Znakapoznpodarou"/>
        </w:rPr>
        <w:footnoteReference w:id="35"/>
      </w:r>
      <w:r w:rsidR="00DF4CCF">
        <w:t xml:space="preserve"> vodoprávní úřad (obec s rozšířenou působností)</w:t>
      </w:r>
      <w:r w:rsidR="00D46ABB">
        <w:t xml:space="preserve">, který má současně povinnost vymezit na návrh správce </w:t>
      </w:r>
      <w:r>
        <w:t>vodního toku</w:t>
      </w:r>
      <w:r w:rsidR="00D46ABB">
        <w:t xml:space="preserve"> </w:t>
      </w:r>
      <w:r w:rsidR="00DF4CCF">
        <w:t>tzv.</w:t>
      </w:r>
      <w:r w:rsidR="00DF4CCF">
        <w:rPr>
          <w:lang w:eastAsia="cs-CZ"/>
        </w:rPr>
        <w:t> </w:t>
      </w:r>
      <w:r w:rsidR="00DF4CCF">
        <w:t>aktivní zónu záplavového území podle nebezpečnosti povodňových průtoků</w:t>
      </w:r>
      <w:r w:rsidR="001058D2">
        <w:t>,</w:t>
      </w:r>
      <w:r w:rsidR="00DF4CCF">
        <w:t xml:space="preserve"> a</w:t>
      </w:r>
      <w:r w:rsidR="001058D2">
        <w:rPr>
          <w:lang w:eastAsia="cs-CZ"/>
        </w:rPr>
        <w:t xml:space="preserve"> </w:t>
      </w:r>
      <w:r w:rsidR="00DF4CCF">
        <w:t>to</w:t>
      </w:r>
      <w:r w:rsidR="001058D2">
        <w:rPr>
          <w:lang w:eastAsia="cs-CZ"/>
        </w:rPr>
        <w:t xml:space="preserve"> </w:t>
      </w:r>
      <w:r w:rsidR="00DF4CCF">
        <w:t>v zastavěných územích, v zastav</w:t>
      </w:r>
      <w:r w:rsidR="00F52CC6">
        <w:t>itelných</w:t>
      </w:r>
      <w:r w:rsidR="00DF4CCF">
        <w:t xml:space="preserve"> plochách podle územně plánovací dokumentace</w:t>
      </w:r>
      <w:r w:rsidR="001058D2">
        <w:t>,</w:t>
      </w:r>
      <w:r w:rsidR="00DF4CCF">
        <w:t xml:space="preserve"> případně podle potřeby v dalších územích. Záplavová území a jejich aktivní zóny se stanovují formou opatření obecné povahy.</w:t>
      </w:r>
      <w:r w:rsidR="00D46ABB">
        <w:t xml:space="preserve"> </w:t>
      </w:r>
      <w:r w:rsidR="008A4780">
        <w:t xml:space="preserve">V </w:t>
      </w:r>
      <w:r w:rsidR="00D46ABB">
        <w:t xml:space="preserve">aktivních zónách záplavového území </w:t>
      </w:r>
      <w:r w:rsidR="008A4780">
        <w:t xml:space="preserve">se dle vodního zákona nesmí </w:t>
      </w:r>
      <w:r w:rsidR="00DF4CCF">
        <w:t xml:space="preserve">umísťovat, povolovat </w:t>
      </w:r>
      <w:r w:rsidR="008A4780">
        <w:t>ani</w:t>
      </w:r>
      <w:r w:rsidR="00DF4CCF">
        <w:t xml:space="preserve"> provádět stavby s výjimkou staveb taxativně vymezených</w:t>
      </w:r>
      <w:r w:rsidR="008A4780">
        <w:t>, např. vodní díla, jimiž se provádějí opatření na</w:t>
      </w:r>
      <w:r w:rsidR="001058D2">
        <w:t xml:space="preserve"> </w:t>
      </w:r>
      <w:r w:rsidR="008A4780">
        <w:t>ochranu před povodněmi.</w:t>
      </w:r>
    </w:p>
    <w:p w14:paraId="1843FFEE" w14:textId="4496E78A" w:rsidR="00494BC1" w:rsidRDefault="00D155AB" w:rsidP="00494BC1">
      <w:pPr>
        <w:pStyle w:val="TextKP"/>
      </w:pPr>
      <w:r>
        <w:t>Dle informací MŽP je</w:t>
      </w:r>
      <w:r w:rsidR="00494BC1">
        <w:t xml:space="preserve"> v současnosti administrativně stanoveno jako záplavové území celkem 13 800 km vodních toků</w:t>
      </w:r>
      <w:r w:rsidR="00F52CC6">
        <w:t>,</w:t>
      </w:r>
      <w:r w:rsidR="00494BC1">
        <w:t xml:space="preserve"> z toho cca 12 100 km na úsecích významných vodních toků, kterých je v ČR dle vyhlášky č. 178/2012 Sb. definováno celkem 16 762 km. Celková délka vodních toků v ČR s povodím nad 5 km</w:t>
      </w:r>
      <w:r w:rsidR="00494BC1" w:rsidRPr="0070173D">
        <w:rPr>
          <w:vertAlign w:val="superscript"/>
        </w:rPr>
        <w:t>2</w:t>
      </w:r>
      <w:r w:rsidR="00494BC1">
        <w:t xml:space="preserve"> je pak cca 98 900 km. Záplavov</w:t>
      </w:r>
      <w:r w:rsidR="005C3FF4">
        <w:t>á</w:t>
      </w:r>
      <w:r w:rsidR="00494BC1">
        <w:t xml:space="preserve"> území j</w:t>
      </w:r>
      <w:r w:rsidR="005C3FF4">
        <w:t>sou tak administrativně stanovena</w:t>
      </w:r>
      <w:r w:rsidR="00494BC1">
        <w:t xml:space="preserve"> pro 72 % </w:t>
      </w:r>
      <w:r w:rsidR="00B60E76">
        <w:t xml:space="preserve">délky </w:t>
      </w:r>
      <w:r w:rsidR="005E2EE0">
        <w:t>významných vodních toků, resp.</w:t>
      </w:r>
      <w:r w:rsidR="00494BC1">
        <w:t xml:space="preserve"> pro 1</w:t>
      </w:r>
      <w:r w:rsidR="001E2BCD">
        <w:t>4</w:t>
      </w:r>
      <w:r w:rsidR="00494BC1">
        <w:t xml:space="preserve"> % </w:t>
      </w:r>
      <w:r w:rsidR="005E2EE0">
        <w:t xml:space="preserve">celkové délky </w:t>
      </w:r>
      <w:r w:rsidR="00494BC1">
        <w:t xml:space="preserve">vodních toků v ČR. </w:t>
      </w:r>
      <w:r>
        <w:t>V</w:t>
      </w:r>
      <w:r w:rsidR="00494BC1">
        <w:t xml:space="preserve"> roce 2017 bylo administrativně stanovenými záplavovými územími </w:t>
      </w:r>
      <w:r w:rsidR="00F52CC6">
        <w:t>dotčeno</w:t>
      </w:r>
      <w:r w:rsidR="00494BC1">
        <w:t xml:space="preserve"> území obcí, v nichž žije 88 % obyvatel České republiky.</w:t>
      </w:r>
    </w:p>
    <w:p w14:paraId="603CAE21" w14:textId="61943C39" w:rsidR="00990E65" w:rsidRDefault="00990E65" w:rsidP="00990E65">
      <w:pPr>
        <w:pStyle w:val="TextKP"/>
      </w:pPr>
      <w:r w:rsidRPr="005356ED">
        <w:t xml:space="preserve">Kontrolou bylo zjištěno, že minimálně ve čtyřech obcích </w:t>
      </w:r>
      <w:r w:rsidR="005E2EE0" w:rsidRPr="005356ED">
        <w:t>s nepřija</w:t>
      </w:r>
      <w:r w:rsidR="005E2EE0">
        <w:t xml:space="preserve">telným povodňovým rizikem povodňového ohrožení </w:t>
      </w:r>
      <w:r>
        <w:t xml:space="preserve">na vodním toku Šembera </w:t>
      </w:r>
      <w:r w:rsidRPr="005356ED">
        <w:t xml:space="preserve">v územní působnosti Povodí Labe </w:t>
      </w:r>
      <w:r w:rsidR="005E2EE0">
        <w:t>nebyla do</w:t>
      </w:r>
      <w:r w:rsidR="001058D2">
        <w:t xml:space="preserve"> </w:t>
      </w:r>
      <w:r>
        <w:t>ukončení kontroly stanovena</w:t>
      </w:r>
      <w:r w:rsidRPr="005356ED">
        <w:t xml:space="preserve"> záplavová území včetně aktivní</w:t>
      </w:r>
      <w:r w:rsidR="00F52CC6">
        <w:t>ch</w:t>
      </w:r>
      <w:r w:rsidRPr="005356ED">
        <w:t xml:space="preserve"> zón</w:t>
      </w:r>
      <w:r w:rsidR="00514FC1">
        <w:t>, i když bylo záplavové území Povodím Labe vymezeno a předloženo vodoprávnímu úřadu</w:t>
      </w:r>
      <w:r w:rsidR="00954DE5">
        <w:t>,</w:t>
      </w:r>
      <w:r w:rsidRPr="005356ED">
        <w:t xml:space="preserve"> a v 36 obcích s nepřijatelným povodňovým rizikem</w:t>
      </w:r>
      <w:r>
        <w:t xml:space="preserve"> povodňového ohrožení</w:t>
      </w:r>
      <w:r w:rsidRPr="005356ED">
        <w:t xml:space="preserve"> </w:t>
      </w:r>
      <w:r w:rsidR="00024AAE">
        <w:t>na vodních tocích Kyjovka</w:t>
      </w:r>
      <w:r w:rsidR="00F52CC6">
        <w:t>,</w:t>
      </w:r>
      <w:r w:rsidR="00024AAE">
        <w:t xml:space="preserve"> Svratka</w:t>
      </w:r>
      <w:r w:rsidR="00F52CC6">
        <w:t xml:space="preserve"> –</w:t>
      </w:r>
      <w:r w:rsidR="00024AAE">
        <w:t xml:space="preserve"> Bílý potok</w:t>
      </w:r>
      <w:r w:rsidR="00F52CC6">
        <w:t>,</w:t>
      </w:r>
      <w:r w:rsidR="00024AAE">
        <w:t xml:space="preserve"> Morava v Olomouckém kraji</w:t>
      </w:r>
      <w:r w:rsidR="00F52CC6">
        <w:t>,</w:t>
      </w:r>
      <w:r w:rsidR="003542B9">
        <w:t xml:space="preserve"> Rožnovská Bečva</w:t>
      </w:r>
      <w:r w:rsidR="00F52CC6">
        <w:t>,</w:t>
      </w:r>
      <w:r w:rsidR="003542B9">
        <w:t xml:space="preserve"> Vsetínská Bečva a Senice</w:t>
      </w:r>
      <w:r w:rsidR="00024AAE">
        <w:t xml:space="preserve"> </w:t>
      </w:r>
      <w:r w:rsidRPr="005356ED">
        <w:lastRenderedPageBreak/>
        <w:t>v územní působnosti Povodí Moravy j</w:t>
      </w:r>
      <w:r>
        <w:t>sou sice stanovena záplavová</w:t>
      </w:r>
      <w:r w:rsidRPr="005356ED">
        <w:t xml:space="preserve"> území, ale dosud v nich ne</w:t>
      </w:r>
      <w:r w:rsidR="00F52CC6">
        <w:t>jsou</w:t>
      </w:r>
      <w:r w:rsidRPr="005356ED">
        <w:t xml:space="preserve"> vymezen</w:t>
      </w:r>
      <w:r w:rsidR="00F52CC6">
        <w:t>y</w:t>
      </w:r>
      <w:r w:rsidRPr="005356ED">
        <w:t xml:space="preserve"> aktivní zón</w:t>
      </w:r>
      <w:r w:rsidR="00F52CC6">
        <w:t>y</w:t>
      </w:r>
      <w:r w:rsidRPr="005356ED">
        <w:t>, kter</w:t>
      </w:r>
      <w:r w:rsidR="00F52CC6">
        <w:t>é</w:t>
      </w:r>
      <w:r w:rsidRPr="005356ED">
        <w:t xml:space="preserve"> by omez</w:t>
      </w:r>
      <w:r w:rsidR="00F52CC6">
        <w:t>ily</w:t>
      </w:r>
      <w:r w:rsidRPr="005356ED">
        <w:t xml:space="preserve"> povolování nové výstavby.</w:t>
      </w:r>
      <w:r w:rsidR="00954DE5">
        <w:t xml:space="preserve"> Dle Povodí Moravy probíhají přípravy jejich vymezení. </w:t>
      </w:r>
      <w:r w:rsidR="003542B9">
        <w:t>Stanovování záplavových území včetně vymezování aktivních zón záplavových území je v kompetenci příslušných vodo</w:t>
      </w:r>
      <w:r w:rsidR="00B03816">
        <w:t>právní</w:t>
      </w:r>
      <w:r w:rsidR="003542B9">
        <w:t>ch úřadů, MŽP ani MZe nemohou ovlivnit zjištěnou skutečnost.</w:t>
      </w:r>
    </w:p>
    <w:p w14:paraId="1061C30A" w14:textId="4A927C1C" w:rsidR="004C091C" w:rsidRDefault="00C20138" w:rsidP="00641A28">
      <w:pPr>
        <w:pStyle w:val="TextKP"/>
      </w:pPr>
      <w:r>
        <w:t xml:space="preserve">Na problematiku omezování výstavby </w:t>
      </w:r>
      <w:r w:rsidR="007B1312" w:rsidRPr="007B1312">
        <w:t xml:space="preserve">v záplavových územích </w:t>
      </w:r>
      <w:r>
        <w:t>se zaměřují také PpZPR. Pro</w:t>
      </w:r>
      <w:r w:rsidR="004821E0">
        <w:t xml:space="preserve"> </w:t>
      </w:r>
      <w:r w:rsidR="007B1312">
        <w:t xml:space="preserve">oblasti s významným povodňovým rizikem byly zpracovány mapy povodňového nebezpečí a povodňových rizik. Mapy povodňového nebezpečí zobrazují tři základní charakteristiky povodně, a to rozsah rozlivu, hloubky zaplavení a rychlosti proudění pro zvolené povodňové scénáře </w:t>
      </w:r>
      <w:r w:rsidR="007B1312" w:rsidRPr="00FF25FF">
        <w:t xml:space="preserve">(standardně pro </w:t>
      </w:r>
      <w:r w:rsidR="00F52CC6">
        <w:t>intervaly</w:t>
      </w:r>
      <w:r w:rsidR="007B1312" w:rsidRPr="00FF25FF">
        <w:t xml:space="preserve"> o</w:t>
      </w:r>
      <w:r w:rsidR="007B1312">
        <w:t>pakování</w:t>
      </w:r>
      <w:r w:rsidR="00F52CC6">
        <w:t xml:space="preserve"> v délce</w:t>
      </w:r>
      <w:r w:rsidR="007B1312">
        <w:t xml:space="preserve"> 5, 20, 100 a 500</w:t>
      </w:r>
      <w:r w:rsidR="00B60E76">
        <w:t xml:space="preserve"> let). Z těchto map vycházejí m</w:t>
      </w:r>
      <w:r w:rsidR="007B1312">
        <w:t>apy povodňového ohrožení a povodňových rizik. Povodňové ohrožení se</w:t>
      </w:r>
      <w:r w:rsidR="007A0AFD">
        <w:t xml:space="preserve"> </w:t>
      </w:r>
      <w:r w:rsidR="007B1312">
        <w:t xml:space="preserve">stanovuje plošně pro celé záplavové území bez ohledu na to, jaká aktivita se v něm </w:t>
      </w:r>
      <w:r w:rsidR="00D71E05">
        <w:t>uskutečňuje</w:t>
      </w:r>
      <w:r w:rsidR="007B1312">
        <w:t>. Míra ohrožení se vyjadřuje v čtyřstupňové</w:t>
      </w:r>
      <w:r w:rsidR="007C6106">
        <w:t xml:space="preserve"> barevné</w:t>
      </w:r>
      <w:r w:rsidR="007B1312">
        <w:t xml:space="preserve"> škále</w:t>
      </w:r>
      <w:r w:rsidR="007C6106">
        <w:t xml:space="preserve"> pro </w:t>
      </w:r>
      <w:r w:rsidR="007B1312">
        <w:t>vysoké, střední, nízké a</w:t>
      </w:r>
      <w:r w:rsidR="007A0AFD">
        <w:t xml:space="preserve"> </w:t>
      </w:r>
      <w:r w:rsidR="007B1312">
        <w:t xml:space="preserve">zbytkové ohrožení. </w:t>
      </w:r>
      <w:r w:rsidR="007B1312" w:rsidRPr="009A4833">
        <w:t>Hodnocení povodňového rizika spočívá v propojení informací o</w:t>
      </w:r>
      <w:r w:rsidR="007A0AFD">
        <w:t xml:space="preserve"> </w:t>
      </w:r>
      <w:r w:rsidR="007B1312" w:rsidRPr="009A4833">
        <w:t>míře povodňového ohrožení a míře zranitelnosti území. Základním podkladem pro stanovení</w:t>
      </w:r>
      <w:r w:rsidR="007B1312">
        <w:t xml:space="preserve"> zranitelnosti byly informace o </w:t>
      </w:r>
      <w:r w:rsidR="007B1312" w:rsidRPr="009A4833">
        <w:t>způsobu využití území z územně plánovací dokumentace. K</w:t>
      </w:r>
      <w:r w:rsidR="007B1312">
        <w:t> </w:t>
      </w:r>
      <w:r w:rsidR="007B1312" w:rsidRPr="009A4833">
        <w:t>sestavení mapy povodňov</w:t>
      </w:r>
      <w:r w:rsidR="00D71E05">
        <w:t>ých</w:t>
      </w:r>
      <w:r w:rsidR="007B1312" w:rsidRPr="009A4833">
        <w:t xml:space="preserve"> rizik byly definovány kategorie zranitelnosti a k</w:t>
      </w:r>
      <w:r w:rsidR="007B1312">
        <w:t> </w:t>
      </w:r>
      <w:r w:rsidR="007B1312" w:rsidRPr="009A4833">
        <w:t>nim</w:t>
      </w:r>
      <w:r w:rsidR="007B1312">
        <w:t xml:space="preserve"> </w:t>
      </w:r>
      <w:r w:rsidR="007B1312" w:rsidRPr="009A4833">
        <w:t>přiřazeny přijatelné úrovně povodňového ohrožení.</w:t>
      </w:r>
      <w:r w:rsidR="007B1312">
        <w:t xml:space="preserve"> Mapy povodňov</w:t>
      </w:r>
      <w:r w:rsidR="00D71E05">
        <w:t>ých</w:t>
      </w:r>
      <w:r w:rsidR="007B1312">
        <w:t xml:space="preserve"> rizik zobrazují plochy jednotlivých kategorií využití, u kterých je překročena míra přijatelného </w:t>
      </w:r>
      <w:r w:rsidR="00641A28">
        <w:t xml:space="preserve">povodňového </w:t>
      </w:r>
      <w:r w:rsidR="007B1312">
        <w:t>ohrožení.</w:t>
      </w:r>
      <w:r>
        <w:t xml:space="preserve"> Cílem PpZPR je pak </w:t>
      </w:r>
      <w:r w:rsidR="004C091C">
        <w:t>snížení rozsahu ploch v nepřijatelném riziku</w:t>
      </w:r>
      <w:r w:rsidR="00B60E76">
        <w:t xml:space="preserve"> povodňového ohrožení</w:t>
      </w:r>
      <w:r w:rsidR="004C091C">
        <w:t xml:space="preserve">. </w:t>
      </w:r>
    </w:p>
    <w:p w14:paraId="2A8A4FF7" w14:textId="5DC2A959" w:rsidR="007C6106" w:rsidRPr="007C6106" w:rsidRDefault="004C091C" w:rsidP="003679C7">
      <w:pPr>
        <w:pStyle w:val="TextKP"/>
      </w:pPr>
      <w:r>
        <w:t>PpZPR uvádějí d</w:t>
      </w:r>
      <w:r w:rsidR="00641A28" w:rsidRPr="00FF25FF">
        <w:t xml:space="preserve">oporučená pravidla pro využití území </w:t>
      </w:r>
      <w:r w:rsidR="00641A28">
        <w:t>dle míry ohrožení</w:t>
      </w:r>
      <w:r>
        <w:t xml:space="preserve">. Pro území s vysokou mírou ohrožení doporučují nepovolovat novou ani nerozšiřovat stávající zástavbu. V území se střední mírou ohrožení je </w:t>
      </w:r>
      <w:r w:rsidR="007C6106">
        <w:t>doporučováno omezení nové výstavby vycházející z podrobného posouzení nezbytnosti funkce objektů v ohroženém území a míry jejich ohrožení povodněmi.</w:t>
      </w:r>
      <w:r w:rsidR="0015119B">
        <w:t xml:space="preserve"> </w:t>
      </w:r>
      <w:r w:rsidR="007C6106" w:rsidRPr="007C6106">
        <w:t xml:space="preserve">PpZPR </w:t>
      </w:r>
      <w:r w:rsidR="007C6106">
        <w:t xml:space="preserve">jsou dle vodního zákona </w:t>
      </w:r>
      <w:r w:rsidR="007C6106" w:rsidRPr="007C6106">
        <w:t>podkladem pro výkon veřejné správy, zejména pro územní plánování a vodoprávní řízení</w:t>
      </w:r>
      <w:r w:rsidR="00462818">
        <w:t>. Výsledné mapy ohrožení, resp.</w:t>
      </w:r>
      <w:r w:rsidR="00486BFB">
        <w:t xml:space="preserve"> </w:t>
      </w:r>
      <w:r w:rsidR="007C6106" w:rsidRPr="007C6106">
        <w:t>záplavová území rozčleněn</w:t>
      </w:r>
      <w:r w:rsidR="00DC0C72">
        <w:t>á</w:t>
      </w:r>
      <w:r w:rsidR="007C6106" w:rsidRPr="007C6106">
        <w:t xml:space="preserve"> z</w:t>
      </w:r>
      <w:r w:rsidR="00486BFB">
        <w:t> </w:t>
      </w:r>
      <w:r w:rsidR="007C6106" w:rsidRPr="007C6106">
        <w:t>hlediska povodňového ohrožení dle barevné škály</w:t>
      </w:r>
      <w:r w:rsidR="00486BFB">
        <w:t>,</w:t>
      </w:r>
      <w:r w:rsidR="007C6106" w:rsidRPr="007C6106">
        <w:t xml:space="preserve"> slouží k posouzení vhodnosti stávajícího nebo budoucího funkčního využití ploch a mají doporučující charakter </w:t>
      </w:r>
      <w:r w:rsidR="00486BFB">
        <w:t xml:space="preserve">ohledně </w:t>
      </w:r>
      <w:r w:rsidR="007C6106" w:rsidRPr="007C6106">
        <w:t>omezení případných aktivit v daných lokalitách.</w:t>
      </w:r>
      <w:r w:rsidR="003679C7" w:rsidRPr="003679C7">
        <w:t xml:space="preserve"> </w:t>
      </w:r>
      <w:r w:rsidR="003679C7">
        <w:t>Přehl</w:t>
      </w:r>
      <w:r w:rsidR="003679C7" w:rsidRPr="002E0630">
        <w:t xml:space="preserve">ed doporučených pravidel je </w:t>
      </w:r>
      <w:r w:rsidR="00486BFB">
        <w:t xml:space="preserve">uveden </w:t>
      </w:r>
      <w:r w:rsidR="003679C7" w:rsidRPr="002E0630">
        <w:t>v příloze č.</w:t>
      </w:r>
      <w:r w:rsidR="00486BFB">
        <w:t> </w:t>
      </w:r>
      <w:r w:rsidR="003679C7" w:rsidRPr="002E0630">
        <w:t>5 tohoto kontrolního závěru.</w:t>
      </w:r>
    </w:p>
    <w:p w14:paraId="786CDF92" w14:textId="544CC362" w:rsidR="00B32967" w:rsidRDefault="00B32967" w:rsidP="00B32967">
      <w:pPr>
        <w:pStyle w:val="TextKP"/>
      </w:pPr>
      <w:r>
        <w:t>Nová vyhláška</w:t>
      </w:r>
      <w:r w:rsidR="00785EB6">
        <w:t xml:space="preserve"> č.</w:t>
      </w:r>
      <w:r>
        <w:t xml:space="preserve"> 79/2018 Sb.</w:t>
      </w:r>
      <w:r w:rsidR="00B03816">
        <w:rPr>
          <w:rStyle w:val="Znakapoznpodarou"/>
        </w:rPr>
        <w:footnoteReference w:id="36"/>
      </w:r>
      <w:r>
        <w:t xml:space="preserve"> stanovila jednotný přístup k</w:t>
      </w:r>
      <w:r w:rsidR="00785EB6">
        <w:t>e stanov</w:t>
      </w:r>
      <w:r w:rsidR="00486BFB">
        <w:t>ová</w:t>
      </w:r>
      <w:r w:rsidR="00785EB6">
        <w:t>ní záplavového území a</w:t>
      </w:r>
      <w:r w:rsidR="00206162">
        <w:t xml:space="preserve"> </w:t>
      </w:r>
      <w:r>
        <w:t xml:space="preserve">jeho aktivní zóny na základě principů užitých v povodňovém mapování dle povodňové směrnice. Součástí nově vymezovaných aktivních zón záplavového území jsou </w:t>
      </w:r>
      <w:r w:rsidR="00785EB6">
        <w:t>také</w:t>
      </w:r>
      <w:r>
        <w:t xml:space="preserve"> další plochy vymezené na mapě povodňovéh</w:t>
      </w:r>
      <w:r w:rsidR="00785EB6">
        <w:t xml:space="preserve">o ohrožení jako </w:t>
      </w:r>
      <w:r w:rsidR="008F7FC9">
        <w:t xml:space="preserve">území s </w:t>
      </w:r>
      <w:r w:rsidR="00785EB6">
        <w:t>vysok</w:t>
      </w:r>
      <w:r w:rsidR="008F7FC9">
        <w:t>ým</w:t>
      </w:r>
      <w:r w:rsidR="00785EB6">
        <w:t xml:space="preserve"> ohrožení</w:t>
      </w:r>
      <w:r w:rsidR="008F7FC9">
        <w:t>m</w:t>
      </w:r>
      <w:r w:rsidR="00785EB6">
        <w:t xml:space="preserve"> </w:t>
      </w:r>
      <w:r w:rsidR="008F7FC9">
        <w:t>nebo území se</w:t>
      </w:r>
      <w:r>
        <w:t xml:space="preserve"> střední</w:t>
      </w:r>
      <w:r w:rsidR="008F7FC9">
        <w:t>m</w:t>
      </w:r>
      <w:r>
        <w:t xml:space="preserve"> ohrožení</w:t>
      </w:r>
      <w:r w:rsidR="008F7FC9">
        <w:t>m, a to</w:t>
      </w:r>
      <w:r>
        <w:t xml:space="preserve"> v místech, kde je současně splněna n</w:t>
      </w:r>
      <w:r w:rsidR="00785EB6">
        <w:t>ěkterá z</w:t>
      </w:r>
      <w:r w:rsidR="00462818">
        <w:t> </w:t>
      </w:r>
      <w:r w:rsidR="008F7FC9">
        <w:t xml:space="preserve">podmínek stanovených </w:t>
      </w:r>
      <w:r w:rsidR="00462818">
        <w:t>vyhláškou.</w:t>
      </w:r>
    </w:p>
    <w:p w14:paraId="09300E0E" w14:textId="2CB93F33" w:rsidR="00B32967" w:rsidRDefault="00B32967" w:rsidP="007B1312">
      <w:pPr>
        <w:pStyle w:val="TextKP"/>
      </w:pPr>
      <w:r w:rsidRPr="00B32967">
        <w:t xml:space="preserve">NKÚ zjistil, že 99 % záplavových území v územní působnosti kontrolovaných státních podniků je stanoveno dle dříve platných právních předpisů, v důsledku čehož současná záplavová území a jejich aktivní zóny </w:t>
      </w:r>
      <w:r w:rsidR="003679C7">
        <w:t xml:space="preserve">zatím </w:t>
      </w:r>
      <w:r w:rsidRPr="00B32967">
        <w:t>nemusí splňovat požadavky na stanovení aktivních zón záplavových území dle aktuálně účinné právní úpravy vycházející nově ze zpracovaných map povodňového nebezpečí a povodňového ohrožení.</w:t>
      </w:r>
      <w:r w:rsidR="003679C7">
        <w:t xml:space="preserve"> Kontrolované státní podniky povodí v rámci </w:t>
      </w:r>
      <w:r w:rsidR="00954718">
        <w:t xml:space="preserve">svých </w:t>
      </w:r>
      <w:r w:rsidR="003679C7">
        <w:t xml:space="preserve">kompetencí průběžně předkládají </w:t>
      </w:r>
      <w:r w:rsidR="00954718">
        <w:t xml:space="preserve">příslušným vodoprávním úřadům </w:t>
      </w:r>
      <w:r w:rsidR="003679C7">
        <w:t xml:space="preserve">návrhy </w:t>
      </w:r>
      <w:r w:rsidR="00954718">
        <w:t>na vymezení či aktualizace záplavových území.</w:t>
      </w:r>
    </w:p>
    <w:p w14:paraId="2687F99F" w14:textId="73FC1996" w:rsidR="00641A28" w:rsidRDefault="00463366" w:rsidP="007B1312">
      <w:pPr>
        <w:pStyle w:val="TextKP"/>
      </w:pPr>
      <w:r>
        <w:lastRenderedPageBreak/>
        <w:t>Ve vymezených oblastech s významným povodňovým rizikem na území ČR je</w:t>
      </w:r>
      <w:r w:rsidR="007A0AFD">
        <w:t xml:space="preserve"> </w:t>
      </w:r>
      <w:r>
        <w:t>v intravilánu obcí dotčeno povodní se střední pravděpodobností výskytu (Q</w:t>
      </w:r>
      <w:r w:rsidRPr="005A1CC9">
        <w:rPr>
          <w:vertAlign w:val="subscript"/>
        </w:rPr>
        <w:t>100</w:t>
      </w:r>
      <w:r>
        <w:t>) 233 km</w:t>
      </w:r>
      <w:r w:rsidRPr="005A1CC9">
        <w:rPr>
          <w:vertAlign w:val="superscript"/>
        </w:rPr>
        <w:t>2</w:t>
      </w:r>
      <w:r>
        <w:t xml:space="preserve"> z</w:t>
      </w:r>
      <w:r w:rsidRPr="00463366">
        <w:t xml:space="preserve">astavěné </w:t>
      </w:r>
      <w:r>
        <w:t>či</w:t>
      </w:r>
      <w:r w:rsidRPr="00463366">
        <w:t xml:space="preserve"> zastavitelné plochy</w:t>
      </w:r>
      <w:r>
        <w:t>, přičemž 122 km</w:t>
      </w:r>
      <w:r w:rsidRPr="005A1CC9">
        <w:rPr>
          <w:vertAlign w:val="superscript"/>
        </w:rPr>
        <w:t>2</w:t>
      </w:r>
      <w:r>
        <w:t xml:space="preserve"> zastavěné či zastavitelné plochy je v nepřijatelném riziku povodňového ohrožení. Povodní se střední pravděpodobností výskytu (Q</w:t>
      </w:r>
      <w:r w:rsidRPr="005A1CC9">
        <w:rPr>
          <w:vertAlign w:val="subscript"/>
        </w:rPr>
        <w:t>100</w:t>
      </w:r>
      <w:r>
        <w:t>) je dotčeno celkem 313 tisíc obyvatel,</w:t>
      </w:r>
      <w:r w:rsidRPr="00DD5A53">
        <w:t xml:space="preserve"> </w:t>
      </w:r>
      <w:r>
        <w:t>což představuje 5 % obyvatel žijících v těchto oblastech</w:t>
      </w:r>
      <w:r w:rsidR="00205C63">
        <w:rPr>
          <w:rStyle w:val="Znakapoznpodarou"/>
        </w:rPr>
        <w:footnoteReference w:id="37"/>
      </w:r>
      <w:r>
        <w:t xml:space="preserve">. V území s nepřijatelným rizikem povodňového ohrožení trvale bydlí 177 tisíc obyvatel (3 %). </w:t>
      </w:r>
      <w:r w:rsidR="004F611A">
        <w:t xml:space="preserve">Rozsah </w:t>
      </w:r>
      <w:r w:rsidR="00641A28">
        <w:t xml:space="preserve">zastavěných a zastavitelných </w:t>
      </w:r>
      <w:r w:rsidR="004F611A">
        <w:t xml:space="preserve">ploch </w:t>
      </w:r>
      <w:r w:rsidR="00486BFB">
        <w:t>ohrožených</w:t>
      </w:r>
      <w:r w:rsidR="004F611A">
        <w:t xml:space="preserve"> povodní</w:t>
      </w:r>
      <w:r w:rsidR="00641A28">
        <w:t xml:space="preserve"> a </w:t>
      </w:r>
      <w:r w:rsidR="004F611A">
        <w:t>p</w:t>
      </w:r>
      <w:r w:rsidR="004F611A" w:rsidRPr="005F4890">
        <w:t>oč</w:t>
      </w:r>
      <w:r w:rsidR="00641A28">
        <w:t>e</w:t>
      </w:r>
      <w:r w:rsidR="004F611A" w:rsidRPr="005F4890">
        <w:t xml:space="preserve">t obyvatel </w:t>
      </w:r>
      <w:r w:rsidR="00486BFB">
        <w:t>ohrožených</w:t>
      </w:r>
      <w:r w:rsidR="004F611A" w:rsidRPr="005F4890">
        <w:t xml:space="preserve"> povodní</w:t>
      </w:r>
      <w:r w:rsidR="00641A28">
        <w:t xml:space="preserve"> v členění </w:t>
      </w:r>
      <w:r w:rsidR="004F611A">
        <w:t>dle jednotlivých povodí uv</w:t>
      </w:r>
      <w:r w:rsidR="00486BFB">
        <w:t>ádějí</w:t>
      </w:r>
      <w:r w:rsidR="004F611A">
        <w:t xml:space="preserve"> </w:t>
      </w:r>
      <w:r w:rsidR="004F611A" w:rsidRPr="00820F49">
        <w:t>přílo</w:t>
      </w:r>
      <w:r w:rsidR="00820F49" w:rsidRPr="00820F49">
        <w:t>h</w:t>
      </w:r>
      <w:r w:rsidR="00486BFB">
        <w:t>y</w:t>
      </w:r>
      <w:r w:rsidR="004F611A" w:rsidRPr="00820F49">
        <w:t xml:space="preserve"> č.</w:t>
      </w:r>
      <w:r w:rsidR="00820F49" w:rsidRPr="00820F49">
        <w:t xml:space="preserve"> 6 a 7</w:t>
      </w:r>
      <w:r w:rsidR="00641A28">
        <w:t> </w:t>
      </w:r>
      <w:r w:rsidR="004F611A">
        <w:t>tohoto kontrolního závěru.</w:t>
      </w:r>
      <w:r w:rsidR="00641A28">
        <w:t xml:space="preserve"> </w:t>
      </w:r>
    </w:p>
    <w:p w14:paraId="09F7CEDF" w14:textId="21E316E8" w:rsidR="00494BC1" w:rsidRDefault="00954718" w:rsidP="00494BC1">
      <w:pPr>
        <w:pStyle w:val="TextKP"/>
      </w:pPr>
      <w:r>
        <w:t>V</w:t>
      </w:r>
      <w:r w:rsidR="00494BC1">
        <w:t>yhodnocení</w:t>
      </w:r>
      <w:r>
        <w:t xml:space="preserve"> a aktualizace údajů o vymezených oblastech s významným povodňovým rizikem na území ČR</w:t>
      </w:r>
      <w:r w:rsidR="00494BC1">
        <w:t xml:space="preserve"> bud</w:t>
      </w:r>
      <w:r w:rsidR="00486BFB">
        <w:t>ou</w:t>
      </w:r>
      <w:r w:rsidR="00494BC1">
        <w:t xml:space="preserve"> proveden</w:t>
      </w:r>
      <w:r w:rsidR="00486BFB">
        <w:t>y</w:t>
      </w:r>
      <w:r w:rsidR="00494BC1">
        <w:t xml:space="preserve"> v návaznosti na aktualiz</w:t>
      </w:r>
      <w:r>
        <w:t>aci map povodňového nebezpečí a </w:t>
      </w:r>
      <w:r w:rsidR="00494BC1">
        <w:t xml:space="preserve">povodňových rizik v </w:t>
      </w:r>
      <w:r>
        <w:t>roce</w:t>
      </w:r>
      <w:r w:rsidR="00494BC1">
        <w:t xml:space="preserve"> </w:t>
      </w:r>
      <w:r>
        <w:t>2021</w:t>
      </w:r>
      <w:r w:rsidR="00494BC1">
        <w:t xml:space="preserve">, tedy v pravidelném </w:t>
      </w:r>
      <w:r>
        <w:t>šestiletém cyklu vycházejícím z </w:t>
      </w:r>
      <w:r w:rsidR="00494BC1">
        <w:t>legislativních požadavků povodňové směrnice.</w:t>
      </w:r>
    </w:p>
    <w:p w14:paraId="2F14040B" w14:textId="1FEECF23" w:rsidR="00352298" w:rsidRDefault="0091498D" w:rsidP="0091498D">
      <w:pPr>
        <w:pStyle w:val="Nadpis2"/>
        <w:numPr>
          <w:ilvl w:val="0"/>
          <w:numId w:val="0"/>
        </w:numPr>
        <w:ind w:left="576" w:hanging="576"/>
      </w:pPr>
      <w:r>
        <w:t xml:space="preserve">6. </w:t>
      </w:r>
      <w:r w:rsidR="00352298">
        <w:t>V aktivních zónách záplavových území dochází nadále k nové výstavbě</w:t>
      </w:r>
    </w:p>
    <w:p w14:paraId="2DEBDDE2" w14:textId="3BE3B657" w:rsidR="00352298" w:rsidRPr="005356ED" w:rsidRDefault="00BB2181" w:rsidP="00392F6E">
      <w:pPr>
        <w:pStyle w:val="TextKP"/>
        <w:rPr>
          <w:highlight w:val="cyan"/>
        </w:rPr>
      </w:pPr>
      <w:r>
        <w:t xml:space="preserve">NKÚ se zaměřil také </w:t>
      </w:r>
      <w:r w:rsidR="009378F5" w:rsidRPr="009378F5">
        <w:t>na kontrolu stanovisek</w:t>
      </w:r>
      <w:r w:rsidR="00A50C68">
        <w:t xml:space="preserve">, </w:t>
      </w:r>
      <w:r w:rsidR="00613A0A">
        <w:t xml:space="preserve">která byla vydána </w:t>
      </w:r>
      <w:r w:rsidR="00E32460">
        <w:t>ke stavebním záměrům</w:t>
      </w:r>
      <w:r w:rsidR="009378F5" w:rsidRPr="009378F5">
        <w:t xml:space="preserve"> </w:t>
      </w:r>
      <w:r w:rsidR="009378F5">
        <w:t>kontrolovan</w:t>
      </w:r>
      <w:r w:rsidR="00613A0A">
        <w:t>ými</w:t>
      </w:r>
      <w:r w:rsidR="009378F5">
        <w:t xml:space="preserve"> státní</w:t>
      </w:r>
      <w:r w:rsidR="00613A0A">
        <w:t>mi</w:t>
      </w:r>
      <w:r w:rsidR="009378F5">
        <w:t xml:space="preserve"> podniky</w:t>
      </w:r>
      <w:r w:rsidR="009378F5" w:rsidRPr="009378F5">
        <w:t xml:space="preserve"> </w:t>
      </w:r>
      <w:r w:rsidR="00C63583">
        <w:t>povodí</w:t>
      </w:r>
      <w:r>
        <w:t xml:space="preserve"> </w:t>
      </w:r>
      <w:r w:rsidR="00A50C68">
        <w:t>(</w:t>
      </w:r>
      <w:r>
        <w:t>jakožto správc</w:t>
      </w:r>
      <w:r w:rsidR="00A50C68">
        <w:t>i</w:t>
      </w:r>
      <w:r>
        <w:t xml:space="preserve"> povodí</w:t>
      </w:r>
      <w:r w:rsidR="00A50C68">
        <w:t>)</w:t>
      </w:r>
      <w:r w:rsidR="00C63583">
        <w:t xml:space="preserve"> </w:t>
      </w:r>
      <w:r w:rsidR="009378F5" w:rsidRPr="009378F5">
        <w:t>na základě vodního zákona</w:t>
      </w:r>
      <w:r w:rsidR="00613A0A">
        <w:t xml:space="preserve"> a týkala se staveb dokončených v letech 2015 až 2018</w:t>
      </w:r>
      <w:r w:rsidR="009378F5" w:rsidRPr="009378F5">
        <w:t>. Pro účely výběru kont</w:t>
      </w:r>
      <w:r w:rsidR="00820F49">
        <w:t xml:space="preserve">rolního vzorku NKÚ zpracoval </w:t>
      </w:r>
      <w:r w:rsidR="00820F49" w:rsidRPr="00820F49">
        <w:rPr>
          <w:i/>
        </w:rPr>
        <w:t>Analýz</w:t>
      </w:r>
      <w:r w:rsidR="00820F49">
        <w:rPr>
          <w:i/>
        </w:rPr>
        <w:t>u</w:t>
      </w:r>
      <w:r w:rsidR="00820F49" w:rsidRPr="00820F49">
        <w:rPr>
          <w:i/>
        </w:rPr>
        <w:t xml:space="preserve"> záplavových území</w:t>
      </w:r>
      <w:r w:rsidR="009378F5" w:rsidRPr="009378F5">
        <w:t xml:space="preserve">. Analýza vycházela z údajů uvedených v </w:t>
      </w:r>
      <w:r w:rsidR="009378F5" w:rsidRPr="00820F49">
        <w:rPr>
          <w:i/>
        </w:rPr>
        <w:t>Regis</w:t>
      </w:r>
      <w:r w:rsidR="00E32460" w:rsidRPr="00820F49">
        <w:rPr>
          <w:i/>
        </w:rPr>
        <w:t>tru územní identifikace adres a</w:t>
      </w:r>
      <w:r w:rsidR="007A0AFD">
        <w:rPr>
          <w:i/>
        </w:rPr>
        <w:t xml:space="preserve"> </w:t>
      </w:r>
      <w:r w:rsidR="009378F5" w:rsidRPr="00820F49">
        <w:rPr>
          <w:i/>
        </w:rPr>
        <w:t>nemovitostí</w:t>
      </w:r>
      <w:r w:rsidR="009378F5" w:rsidRPr="009378F5">
        <w:t xml:space="preserve"> (RÚIAN) ve stavu k 1. 6. 2019, zejména</w:t>
      </w:r>
      <w:r w:rsidR="00820F49">
        <w:t xml:space="preserve"> z informací </w:t>
      </w:r>
      <w:r w:rsidR="001A6747">
        <w:br/>
      </w:r>
      <w:r w:rsidR="00820F49">
        <w:t>o</w:t>
      </w:r>
      <w:r w:rsidR="00613A0A">
        <w:t xml:space="preserve"> </w:t>
      </w:r>
      <w:r w:rsidR="009378F5" w:rsidRPr="009378F5">
        <w:t>stavebních objektech. Geoprostorová data určující záplavová ú</w:t>
      </w:r>
      <w:r w:rsidR="00075E1E">
        <w:t>zemí a aktivní zóny byla převzata</w:t>
      </w:r>
      <w:r w:rsidR="009378F5" w:rsidRPr="009378F5">
        <w:t xml:space="preserve"> z</w:t>
      </w:r>
      <w:r w:rsidR="00E32460">
        <w:t xml:space="preserve"> POVIS </w:t>
      </w:r>
      <w:r w:rsidR="009378F5" w:rsidRPr="009378F5">
        <w:t>ve stavu k</w:t>
      </w:r>
      <w:r w:rsidR="00613A0A">
        <w:t> </w:t>
      </w:r>
      <w:r w:rsidR="009378F5" w:rsidRPr="009378F5">
        <w:t>30.</w:t>
      </w:r>
      <w:r w:rsidR="008D232B">
        <w:t xml:space="preserve"> </w:t>
      </w:r>
      <w:r w:rsidR="009378F5" w:rsidRPr="009378F5">
        <w:t>3. 2019 (po</w:t>
      </w:r>
      <w:r w:rsidR="00F74AEA">
        <w:t>užita vrstva pro aktivní zóny).</w:t>
      </w:r>
      <w:r w:rsidR="006E1DE4" w:rsidRPr="006E1DE4">
        <w:t xml:space="preserve"> </w:t>
      </w:r>
      <w:r w:rsidR="00352298" w:rsidRPr="005356ED">
        <w:t>Kontrolou bylo zjištěno, že v aktivních zónách záplavov</w:t>
      </w:r>
      <w:r w:rsidR="00A155C8">
        <w:t>ých</w:t>
      </w:r>
      <w:r w:rsidR="00352298" w:rsidRPr="005356ED">
        <w:t xml:space="preserve"> území stále dochází k nové výstavbě</w:t>
      </w:r>
      <w:r w:rsidR="006E1DE4">
        <w:t>,</w:t>
      </w:r>
      <w:r w:rsidR="00392F6E">
        <w:t xml:space="preserve"> čímž </w:t>
      </w:r>
      <w:r w:rsidR="00A155C8">
        <w:t>se zvyšuje</w:t>
      </w:r>
      <w:r w:rsidR="00392F6E">
        <w:t xml:space="preserve"> poč</w:t>
      </w:r>
      <w:r w:rsidR="00A155C8">
        <w:t>e</w:t>
      </w:r>
      <w:r w:rsidR="00392F6E">
        <w:t xml:space="preserve">t ohrožených osob </w:t>
      </w:r>
      <w:r w:rsidR="003E4C3E">
        <w:t>i</w:t>
      </w:r>
      <w:r w:rsidR="00613A0A">
        <w:t xml:space="preserve"> </w:t>
      </w:r>
      <w:r w:rsidR="00392F6E">
        <w:t>hodnot</w:t>
      </w:r>
      <w:r w:rsidR="00A155C8">
        <w:t>a</w:t>
      </w:r>
      <w:r w:rsidR="00392F6E">
        <w:t xml:space="preserve"> majetku v oblastech s</w:t>
      </w:r>
      <w:r w:rsidR="00387F5D">
        <w:t> </w:t>
      </w:r>
      <w:r w:rsidR="00392F6E">
        <w:t>nepři</w:t>
      </w:r>
      <w:r w:rsidR="00387F5D">
        <w:t xml:space="preserve">jatelným </w:t>
      </w:r>
      <w:r w:rsidR="00392F6E">
        <w:t xml:space="preserve">rizikem povodňového ohrožení. </w:t>
      </w:r>
      <w:r w:rsidR="00F05D3E">
        <w:t xml:space="preserve">Prověřením </w:t>
      </w:r>
      <w:r w:rsidR="00392F6E">
        <w:t>případ</w:t>
      </w:r>
      <w:r w:rsidR="00F05D3E">
        <w:t>ů</w:t>
      </w:r>
      <w:r w:rsidR="00392F6E" w:rsidRPr="00392F6E">
        <w:t xml:space="preserve"> 4</w:t>
      </w:r>
      <w:r w:rsidR="00691F3D">
        <w:t>0</w:t>
      </w:r>
      <w:r w:rsidR="00392F6E" w:rsidRPr="00392F6E">
        <w:t xml:space="preserve"> s</w:t>
      </w:r>
      <w:r w:rsidR="00A243A0">
        <w:t>taveb dokončených v letech 2015–</w:t>
      </w:r>
      <w:r w:rsidR="00392F6E" w:rsidRPr="00392F6E">
        <w:t xml:space="preserve">2018, které se dle </w:t>
      </w:r>
      <w:r w:rsidR="00392F6E" w:rsidRPr="005924C1">
        <w:t>analýzy</w:t>
      </w:r>
      <w:r w:rsidR="00392F6E" w:rsidRPr="00392F6E">
        <w:rPr>
          <w:i/>
        </w:rPr>
        <w:t xml:space="preserve"> </w:t>
      </w:r>
      <w:r w:rsidR="00392F6E" w:rsidRPr="00392F6E">
        <w:t>NKÚ nacházejí v</w:t>
      </w:r>
      <w:r w:rsidR="00613A0A">
        <w:t> </w:t>
      </w:r>
      <w:r w:rsidR="00392F6E" w:rsidRPr="00392F6E">
        <w:t>aktivní</w:t>
      </w:r>
      <w:r w:rsidR="00A155C8">
        <w:t>ch</w:t>
      </w:r>
      <w:r w:rsidR="00392F6E" w:rsidRPr="00392F6E">
        <w:t xml:space="preserve"> zón</w:t>
      </w:r>
      <w:r w:rsidR="00A155C8">
        <w:t>ách</w:t>
      </w:r>
      <w:r w:rsidR="00392F6E" w:rsidRPr="00392F6E">
        <w:t xml:space="preserve"> záplavov</w:t>
      </w:r>
      <w:r w:rsidR="00A155C8">
        <w:t>ých</w:t>
      </w:r>
      <w:r w:rsidR="00392F6E" w:rsidRPr="00392F6E">
        <w:t xml:space="preserve"> území, </w:t>
      </w:r>
      <w:r w:rsidR="00F05D3E">
        <w:t>byly zjištěny tyto skutečnosti:</w:t>
      </w:r>
    </w:p>
    <w:p w14:paraId="3CD9ED89" w14:textId="69AEE237" w:rsidR="00820F49" w:rsidRDefault="00F05D3E" w:rsidP="00820F49">
      <w:pPr>
        <w:pStyle w:val="Odstavecseseznamem"/>
        <w:numPr>
          <w:ilvl w:val="0"/>
          <w:numId w:val="18"/>
        </w:numPr>
        <w:spacing w:before="60"/>
        <w:ind w:left="284" w:hanging="284"/>
        <w:contextualSpacing w:val="0"/>
        <w:jc w:val="both"/>
      </w:pPr>
      <w:r>
        <w:t>V</w:t>
      </w:r>
      <w:r w:rsidR="007A0AFD">
        <w:t xml:space="preserve"> </w:t>
      </w:r>
      <w:r w:rsidR="00C63583">
        <w:t>9 případech (2</w:t>
      </w:r>
      <w:r w:rsidR="00691F3D">
        <w:t>2</w:t>
      </w:r>
      <w:r w:rsidR="00C63583">
        <w:t>,</w:t>
      </w:r>
      <w:r w:rsidR="00691F3D">
        <w:t>5</w:t>
      </w:r>
      <w:r w:rsidR="00C63583">
        <w:t xml:space="preserve"> %) staveb situovaných zcela nebo částečně v aktivní zóně záplavového území nebyl správce povodí požádán o stanovisko k danému stavebnímu záměru a stavby byly v aktivní</w:t>
      </w:r>
      <w:r w:rsidR="0071046F">
        <w:t>ch</w:t>
      </w:r>
      <w:r w:rsidR="00C63583">
        <w:t xml:space="preserve"> zón</w:t>
      </w:r>
      <w:r w:rsidR="0071046F">
        <w:t>ách</w:t>
      </w:r>
      <w:r w:rsidR="00C63583">
        <w:t xml:space="preserve"> záplavov</w:t>
      </w:r>
      <w:r w:rsidR="0071046F">
        <w:t>ých</w:t>
      </w:r>
      <w:r w:rsidR="00C63583">
        <w:t xml:space="preserve"> území</w:t>
      </w:r>
      <w:r w:rsidR="00C63583" w:rsidRPr="004C6B1A">
        <w:t xml:space="preserve"> </w:t>
      </w:r>
      <w:r w:rsidR="00820F49">
        <w:t>realizovány</w:t>
      </w:r>
      <w:r>
        <w:t>.</w:t>
      </w:r>
    </w:p>
    <w:p w14:paraId="76DECA8A" w14:textId="4BA7D196" w:rsidR="00820F49" w:rsidRDefault="00F05D3E" w:rsidP="00820F49">
      <w:pPr>
        <w:pStyle w:val="Odstavecseseznamem"/>
        <w:numPr>
          <w:ilvl w:val="0"/>
          <w:numId w:val="18"/>
        </w:numPr>
        <w:spacing w:before="60"/>
        <w:ind w:left="284" w:hanging="284"/>
        <w:contextualSpacing w:val="0"/>
        <w:jc w:val="both"/>
      </w:pPr>
      <w:r>
        <w:t>V</w:t>
      </w:r>
      <w:r w:rsidR="00820F49" w:rsidRPr="00820F49">
        <w:t>e 3 případech</w:t>
      </w:r>
      <w:r w:rsidR="00820F49">
        <w:t xml:space="preserve"> (7,</w:t>
      </w:r>
      <w:r w:rsidR="00691F3D">
        <w:t>5</w:t>
      </w:r>
      <w:r w:rsidR="00820F49">
        <w:t xml:space="preserve"> %)</w:t>
      </w:r>
      <w:r w:rsidR="00820F49" w:rsidRPr="00820F49">
        <w:t xml:space="preserve"> byly stavby realizovány navzdory nesouhlasu či nedoporučujícímu stanovisku správce povodí</w:t>
      </w:r>
      <w:r>
        <w:t>.</w:t>
      </w:r>
    </w:p>
    <w:p w14:paraId="7D4ECA97" w14:textId="57DE7EAC" w:rsidR="00820F49" w:rsidRDefault="00F05D3E" w:rsidP="00820F49">
      <w:pPr>
        <w:pStyle w:val="Odstavecseseznamem"/>
        <w:numPr>
          <w:ilvl w:val="0"/>
          <w:numId w:val="18"/>
        </w:numPr>
        <w:spacing w:before="60"/>
        <w:ind w:left="284" w:hanging="284"/>
        <w:contextualSpacing w:val="0"/>
        <w:jc w:val="both"/>
      </w:pPr>
      <w:r>
        <w:t>V</w:t>
      </w:r>
      <w:r w:rsidR="00820F49" w:rsidRPr="00820F49">
        <w:t xml:space="preserve">e 2 </w:t>
      </w:r>
      <w:r w:rsidR="009F075C" w:rsidRPr="00820F49">
        <w:t xml:space="preserve">případech </w:t>
      </w:r>
      <w:r w:rsidR="00686612">
        <w:t>(</w:t>
      </w:r>
      <w:r w:rsidR="00691F3D">
        <w:t>5</w:t>
      </w:r>
      <w:r w:rsidR="00686612">
        <w:t xml:space="preserve"> %) </w:t>
      </w:r>
      <w:r w:rsidR="00820F49" w:rsidRPr="00820F49">
        <w:t xml:space="preserve">správce povodí pouze upozornil na skutečnost, že posuzovaný záměr </w:t>
      </w:r>
      <w:r w:rsidR="009F075C">
        <w:t xml:space="preserve">situuje stavbu do </w:t>
      </w:r>
      <w:r w:rsidR="00820F49" w:rsidRPr="00820F49">
        <w:t>aktivní zón</w:t>
      </w:r>
      <w:r w:rsidR="009F075C">
        <w:t>y</w:t>
      </w:r>
      <w:r w:rsidR="00820F49" w:rsidRPr="00820F49">
        <w:t xml:space="preserve"> záplavového území či </w:t>
      </w:r>
      <w:r w:rsidR="009F075C">
        <w:t>do</w:t>
      </w:r>
      <w:r w:rsidR="00820F49" w:rsidRPr="00820F49">
        <w:t xml:space="preserve"> území s vysokým </w:t>
      </w:r>
      <w:r w:rsidR="004B7180">
        <w:t>nebo</w:t>
      </w:r>
      <w:r w:rsidR="00820F49" w:rsidRPr="00820F49">
        <w:t xml:space="preserve"> středním povodňovým rizikem, avšak výslovně neuvedl nedoporučující stanovisko</w:t>
      </w:r>
      <w:r>
        <w:t>.</w:t>
      </w:r>
    </w:p>
    <w:p w14:paraId="324AC235" w14:textId="3871DA16" w:rsidR="00C63583" w:rsidRPr="00987A84" w:rsidRDefault="00F05D3E" w:rsidP="00C63583">
      <w:pPr>
        <w:pStyle w:val="Odstavecseseznamem"/>
        <w:numPr>
          <w:ilvl w:val="0"/>
          <w:numId w:val="18"/>
        </w:numPr>
        <w:spacing w:before="60"/>
        <w:ind w:left="284" w:hanging="284"/>
        <w:contextualSpacing w:val="0"/>
        <w:jc w:val="both"/>
      </w:pPr>
      <w:r>
        <w:t>V</w:t>
      </w:r>
      <w:r w:rsidR="00C63583">
        <w:t xml:space="preserve"> 1 případě (2,</w:t>
      </w:r>
      <w:r w:rsidR="00691F3D">
        <w:t>5</w:t>
      </w:r>
      <w:r w:rsidR="00C63583">
        <w:t xml:space="preserve"> %) se stavba v současné době nachází v aktivní zóně záplavového území, avšak u správce povodí nelze dohledat, zda v době vydání stanoviska </w:t>
      </w:r>
      <w:r w:rsidR="009F075C">
        <w:t xml:space="preserve">situoval </w:t>
      </w:r>
      <w:r w:rsidR="00C63583">
        <w:t xml:space="preserve">záměr </w:t>
      </w:r>
      <w:r w:rsidR="009F075C">
        <w:t xml:space="preserve">stavbu do </w:t>
      </w:r>
      <w:r w:rsidR="00C63583">
        <w:t>stanovené aktivní zón</w:t>
      </w:r>
      <w:r w:rsidR="009F075C">
        <w:t>y</w:t>
      </w:r>
      <w:r w:rsidR="00C63583">
        <w:t xml:space="preserve"> záplavov</w:t>
      </w:r>
      <w:r w:rsidR="00686612">
        <w:t>ého území</w:t>
      </w:r>
      <w:r w:rsidR="0021522A">
        <w:t>, neboť v době vydání stanoviska nebyla kontrolovaná osoba správcem příslušného vodního toku</w:t>
      </w:r>
      <w:r>
        <w:t>.</w:t>
      </w:r>
    </w:p>
    <w:p w14:paraId="79093F8C" w14:textId="1255A35A" w:rsidR="00C63583" w:rsidRPr="00987A84" w:rsidRDefault="00F05D3E" w:rsidP="00C63583">
      <w:pPr>
        <w:pStyle w:val="Odstavecseseznamem"/>
        <w:numPr>
          <w:ilvl w:val="0"/>
          <w:numId w:val="18"/>
        </w:numPr>
        <w:spacing w:before="60"/>
        <w:ind w:left="284" w:hanging="284"/>
        <w:contextualSpacing w:val="0"/>
        <w:jc w:val="both"/>
      </w:pPr>
      <w:r>
        <w:t>V</w:t>
      </w:r>
      <w:r w:rsidR="00C63583" w:rsidRPr="00987A84">
        <w:t>e 4 případech (</w:t>
      </w:r>
      <w:r w:rsidR="00691F3D">
        <w:t>10</w:t>
      </w:r>
      <w:r w:rsidR="00C63583" w:rsidRPr="00987A84">
        <w:t xml:space="preserve"> %) investor dolož</w:t>
      </w:r>
      <w:r>
        <w:t>il</w:t>
      </w:r>
      <w:r w:rsidR="00C63583" w:rsidRPr="00987A84">
        <w:t xml:space="preserve">, že se nový objekt bude nacházet nad hladinou </w:t>
      </w:r>
      <w:r w:rsidR="004B7180">
        <w:br/>
      </w:r>
      <w:r w:rsidR="00C63583" w:rsidRPr="00987A84">
        <w:t>n-letého průtoku rozhodného pro stanovenou</w:t>
      </w:r>
      <w:r w:rsidR="00686612">
        <w:t xml:space="preserve"> aktivní zónu záplavového území</w:t>
      </w:r>
      <w:r>
        <w:t>.</w:t>
      </w:r>
    </w:p>
    <w:p w14:paraId="72D7C4F5" w14:textId="0ED3BDDB" w:rsidR="00C63583" w:rsidRDefault="00F05D3E" w:rsidP="00C63583">
      <w:pPr>
        <w:pStyle w:val="Odstavecseseznamem"/>
        <w:numPr>
          <w:ilvl w:val="0"/>
          <w:numId w:val="18"/>
        </w:numPr>
        <w:spacing w:before="60"/>
        <w:ind w:left="284" w:hanging="284"/>
        <w:contextualSpacing w:val="0"/>
        <w:jc w:val="both"/>
      </w:pPr>
      <w:r>
        <w:t>V</w:t>
      </w:r>
      <w:r w:rsidR="00C63583" w:rsidRPr="00987A84">
        <w:t>e 4 případech (</w:t>
      </w:r>
      <w:r w:rsidR="00691F3D">
        <w:t>10</w:t>
      </w:r>
      <w:r w:rsidR="00C63583" w:rsidRPr="00987A84">
        <w:t xml:space="preserve"> %) </w:t>
      </w:r>
      <w:r w:rsidR="00C63583">
        <w:t>se jednalo o rekonstrukci či jinou stavební úpravu již existující stavby v původním půdorysu, čím</w:t>
      </w:r>
      <w:r w:rsidR="00686612">
        <w:t>ž</w:t>
      </w:r>
      <w:r w:rsidR="00C63583">
        <w:t xml:space="preserve"> došlo ke</w:t>
      </w:r>
      <w:r w:rsidR="007A0AFD">
        <w:t xml:space="preserve"> </w:t>
      </w:r>
      <w:r w:rsidR="00C63583">
        <w:t xml:space="preserve">zvýšení </w:t>
      </w:r>
      <w:r w:rsidR="00C63583" w:rsidRPr="00CF5002">
        <w:t xml:space="preserve">hodnoty majetku </w:t>
      </w:r>
      <w:r w:rsidR="00C63583">
        <w:t>v</w:t>
      </w:r>
      <w:r w:rsidR="00686612">
        <w:t> aktivní</w:t>
      </w:r>
      <w:r w:rsidR="008D232B">
        <w:t>ch</w:t>
      </w:r>
      <w:r w:rsidR="00686612">
        <w:t xml:space="preserve"> zón</w:t>
      </w:r>
      <w:r w:rsidR="008D232B">
        <w:t>ách</w:t>
      </w:r>
      <w:r w:rsidR="00686612">
        <w:t xml:space="preserve"> záplavov</w:t>
      </w:r>
      <w:r w:rsidR="008D232B">
        <w:t>ých</w:t>
      </w:r>
      <w:r w:rsidR="00686612">
        <w:t xml:space="preserve"> území</w:t>
      </w:r>
      <w:r>
        <w:t>.</w:t>
      </w:r>
    </w:p>
    <w:p w14:paraId="09F4D3F5" w14:textId="2F0F82B3" w:rsidR="00C63583" w:rsidRDefault="00F05D3E" w:rsidP="001C747A">
      <w:pPr>
        <w:pStyle w:val="Odstavecseseznamem"/>
        <w:numPr>
          <w:ilvl w:val="0"/>
          <w:numId w:val="18"/>
        </w:numPr>
        <w:spacing w:before="60"/>
        <w:ind w:left="284" w:hanging="284"/>
        <w:contextualSpacing w:val="0"/>
        <w:jc w:val="both"/>
      </w:pPr>
      <w:r>
        <w:lastRenderedPageBreak/>
        <w:t>V</w:t>
      </w:r>
      <w:r w:rsidR="00C63583">
        <w:t> 6 případech (</w:t>
      </w:r>
      <w:r w:rsidR="00691F3D">
        <w:t>15</w:t>
      </w:r>
      <w:r w:rsidR="00C63583">
        <w:t xml:space="preserve"> %) byla stavba realizována mimo aktivní zónu záplavového území vymezenou opatřením obecné povahy, </w:t>
      </w:r>
      <w:r w:rsidR="00C63583" w:rsidRPr="0011088F">
        <w:t>avšak dle údajů v POVIS</w:t>
      </w:r>
      <w:r w:rsidR="00C63583">
        <w:t xml:space="preserve"> se stavby nacházejí v</w:t>
      </w:r>
      <w:r w:rsidR="00686612">
        <w:t> aktivní</w:t>
      </w:r>
      <w:r w:rsidR="00D3227B">
        <w:t>ch</w:t>
      </w:r>
      <w:r w:rsidR="00686612">
        <w:t xml:space="preserve"> zón</w:t>
      </w:r>
      <w:r w:rsidR="00D3227B">
        <w:t>ách</w:t>
      </w:r>
      <w:r w:rsidR="00686612">
        <w:t xml:space="preserve"> záplavov</w:t>
      </w:r>
      <w:r w:rsidR="00D3227B">
        <w:t>ých</w:t>
      </w:r>
      <w:r w:rsidR="00686612">
        <w:t xml:space="preserve"> území</w:t>
      </w:r>
      <w:r>
        <w:t>.</w:t>
      </w:r>
    </w:p>
    <w:p w14:paraId="122AB5B8" w14:textId="0115E898" w:rsidR="00686612" w:rsidRDefault="00F05D3E" w:rsidP="00686612">
      <w:pPr>
        <w:pStyle w:val="Odstavecseseznamem"/>
        <w:numPr>
          <w:ilvl w:val="0"/>
          <w:numId w:val="18"/>
        </w:numPr>
        <w:spacing w:before="60"/>
        <w:ind w:left="284" w:hanging="284"/>
        <w:contextualSpacing w:val="0"/>
        <w:jc w:val="both"/>
      </w:pPr>
      <w:r>
        <w:t>V</w:t>
      </w:r>
      <w:r w:rsidR="00686612" w:rsidRPr="00500DC1">
        <w:t> 11 případech</w:t>
      </w:r>
      <w:r w:rsidR="00686612" w:rsidRPr="00987A84">
        <w:t xml:space="preserve"> (2</w:t>
      </w:r>
      <w:r w:rsidR="00691F3D">
        <w:t>7,5</w:t>
      </w:r>
      <w:r w:rsidR="00686612" w:rsidRPr="00987A84">
        <w:t xml:space="preserve"> %) </w:t>
      </w:r>
      <w:r w:rsidR="00686612">
        <w:t>ne</w:t>
      </w:r>
      <w:r w:rsidR="00686612" w:rsidRPr="00987A84">
        <w:t>byl</w:t>
      </w:r>
      <w:r w:rsidR="00686612">
        <w:t>o v době vydání stanoviska správce povodí</w:t>
      </w:r>
      <w:r w:rsidR="00686612" w:rsidRPr="00987A84">
        <w:t xml:space="preserve"> </w:t>
      </w:r>
      <w:r w:rsidR="00686612">
        <w:t>záplavové</w:t>
      </w:r>
      <w:r w:rsidR="00686612" w:rsidRPr="00987A84">
        <w:t xml:space="preserve"> území</w:t>
      </w:r>
      <w:r w:rsidR="00686612">
        <w:t xml:space="preserve"> včetně</w:t>
      </w:r>
      <w:r w:rsidR="00686612" w:rsidRPr="00987A84">
        <w:t xml:space="preserve"> aktivní zón</w:t>
      </w:r>
      <w:r w:rsidR="00686612">
        <w:t>y</w:t>
      </w:r>
      <w:r w:rsidR="00686612" w:rsidRPr="00987A84">
        <w:t xml:space="preserve"> stanoven</w:t>
      </w:r>
      <w:r w:rsidR="00686612">
        <w:t>o, z toho v 9 případech bylo záplavové území včetně aktivní zóny v době</w:t>
      </w:r>
      <w:r w:rsidR="00686612" w:rsidRPr="00500DC1">
        <w:t xml:space="preserve"> </w:t>
      </w:r>
      <w:r w:rsidR="00686612" w:rsidRPr="00987A84">
        <w:t>po vydání stanoviska správce povodí</w:t>
      </w:r>
      <w:r w:rsidR="00686612">
        <w:t xml:space="preserve"> stanoveno a ve 2 případech do ukončení kontroly stanoveno nebylo, avšak dle údajů v POVIS se stavby nacházejí v aktivní zóně.</w:t>
      </w:r>
    </w:p>
    <w:p w14:paraId="5A0912D6" w14:textId="4088C159" w:rsidR="009378F5" w:rsidRDefault="00404A23" w:rsidP="00CE7929">
      <w:pPr>
        <w:pStyle w:val="TextKP"/>
      </w:pPr>
      <w:r w:rsidRPr="00686612">
        <w:rPr>
          <w:i/>
        </w:rPr>
        <w:t>Politika ú</w:t>
      </w:r>
      <w:r w:rsidR="00964C60" w:rsidRPr="00686612">
        <w:rPr>
          <w:i/>
        </w:rPr>
        <w:t>zemního rozvoje České republiky</w:t>
      </w:r>
      <w:r w:rsidRPr="00686612">
        <w:rPr>
          <w:i/>
        </w:rPr>
        <w:t xml:space="preserve"> ve znění </w:t>
      </w:r>
      <w:r w:rsidR="008D232B">
        <w:rPr>
          <w:i/>
        </w:rPr>
        <w:t>a</w:t>
      </w:r>
      <w:r w:rsidRPr="00686612">
        <w:rPr>
          <w:i/>
        </w:rPr>
        <w:t>ktualizace č. 1</w:t>
      </w:r>
      <w:r>
        <w:t xml:space="preserve"> (dále také „PÚR ČR“) byla schválena usnesením vlády ČR</w:t>
      </w:r>
      <w:r w:rsidRPr="00404A23">
        <w:t xml:space="preserve"> ze dne 15. dubna 2015 č. 276</w:t>
      </w:r>
      <w:r>
        <w:t>.</w:t>
      </w:r>
      <w:r w:rsidR="00CE7929">
        <w:t xml:space="preserve"> </w:t>
      </w:r>
      <w:r w:rsidR="00163D4B">
        <w:t>M</w:t>
      </w:r>
      <w:r w:rsidR="00CE7929">
        <w:t>ezi republikové priority patří také v</w:t>
      </w:r>
      <w:r w:rsidR="009378F5" w:rsidRPr="003A75FF">
        <w:t>ymezovat zastavitelné plochy v záplavových územích a umisťovat do nich veřejnou infrastrukturu jen ve zcela výjimečných a zvlášť odůvodněných případech</w:t>
      </w:r>
      <w:r w:rsidR="00CE7929">
        <w:t xml:space="preserve"> a</w:t>
      </w:r>
      <w:r w:rsidR="009378F5" w:rsidRPr="003A75FF">
        <w:t xml:space="preserve"> </w:t>
      </w:r>
      <w:r w:rsidR="00CE7929">
        <w:t>v</w:t>
      </w:r>
      <w:r w:rsidR="009378F5" w:rsidRPr="003A75FF">
        <w:t>ymezovat a</w:t>
      </w:r>
      <w:r w:rsidR="009378F5">
        <w:t> </w:t>
      </w:r>
      <w:r w:rsidR="009378F5" w:rsidRPr="003A75FF">
        <w:t>chránit zastavitelné plochy pro přemístění zástavby z území s vysokou mírou rizika vzniku povodňových škod</w:t>
      </w:r>
      <w:r w:rsidR="009378F5">
        <w:t>.</w:t>
      </w:r>
    </w:p>
    <w:p w14:paraId="52FED614" w14:textId="1C9D63BC" w:rsidR="00CE7929" w:rsidRDefault="00641A28" w:rsidP="00F94AB4">
      <w:pPr>
        <w:pStyle w:val="TextKP"/>
      </w:pPr>
      <w:r>
        <w:t xml:space="preserve">Nejčastěji zastoupenou kategorií funkčního využití území v nepřijatelném riziku </w:t>
      </w:r>
      <w:r w:rsidR="00CE7929">
        <w:t xml:space="preserve">povodňového ohrožení </w:t>
      </w:r>
      <w:r>
        <w:t>jsou plochy pro bydlení (32,5 %) a výrobní a skladovací plochy (25,3 %), které tedy společně tvoří téměř 58 % všech ploch v</w:t>
      </w:r>
      <w:r w:rsidR="00CE7929">
        <w:t xml:space="preserve"> nepřijatelném </w:t>
      </w:r>
      <w:r>
        <w:t>riziku</w:t>
      </w:r>
      <w:r w:rsidR="00CE7929">
        <w:t xml:space="preserve"> povodňového ohrožení</w:t>
      </w:r>
      <w:r>
        <w:t>.</w:t>
      </w:r>
      <w:r w:rsidR="00C4362A">
        <w:t xml:space="preserve"> </w:t>
      </w:r>
      <w:r w:rsidR="00CE7929">
        <w:t xml:space="preserve">Z údajů uvedených v PpZPR vyplývá, </w:t>
      </w:r>
      <w:r w:rsidR="00CE7929" w:rsidRPr="00CE7929">
        <w:t>že p</w:t>
      </w:r>
      <w:r w:rsidRPr="00CE7929">
        <w:t xml:space="preserve">okud </w:t>
      </w:r>
      <w:r w:rsidR="00C4362A">
        <w:t>územn</w:t>
      </w:r>
      <w:r w:rsidR="008D232B">
        <w:t>í</w:t>
      </w:r>
      <w:r w:rsidR="00C4362A">
        <w:t xml:space="preserve"> samosprávn</w:t>
      </w:r>
      <w:r w:rsidR="008D232B">
        <w:t>é</w:t>
      </w:r>
      <w:r w:rsidR="00C4362A">
        <w:t xml:space="preserve"> celky</w:t>
      </w:r>
      <w:r w:rsidRPr="00CE7929">
        <w:t xml:space="preserve"> </w:t>
      </w:r>
      <w:r w:rsidR="008D232B">
        <w:t>ne</w:t>
      </w:r>
      <w:r w:rsidRPr="00CE7929">
        <w:t>přehodno</w:t>
      </w:r>
      <w:r w:rsidR="008D232B">
        <w:t>tí</w:t>
      </w:r>
      <w:r w:rsidRPr="00CE7929">
        <w:t xml:space="preserve"> součas</w:t>
      </w:r>
      <w:r w:rsidR="00C4362A">
        <w:t>n</w:t>
      </w:r>
      <w:r w:rsidR="008D232B">
        <w:t>é</w:t>
      </w:r>
      <w:r w:rsidR="00C4362A">
        <w:t xml:space="preserve"> záměr</w:t>
      </w:r>
      <w:r w:rsidR="008D232B">
        <w:t>y</w:t>
      </w:r>
      <w:r w:rsidR="00C4362A">
        <w:t xml:space="preserve"> </w:t>
      </w:r>
      <w:r w:rsidR="00057521">
        <w:t>(</w:t>
      </w:r>
      <w:r w:rsidR="00C4362A">
        <w:t>uveden</w:t>
      </w:r>
      <w:r w:rsidR="008D232B">
        <w:t>é</w:t>
      </w:r>
      <w:r w:rsidR="00C4362A">
        <w:t xml:space="preserve"> v </w:t>
      </w:r>
      <w:r w:rsidRPr="00CE7929">
        <w:t>územně plánovacích dokumentací</w:t>
      </w:r>
      <w:r w:rsidR="00C4362A">
        <w:t>ch</w:t>
      </w:r>
      <w:r w:rsidR="00057521">
        <w:t>)</w:t>
      </w:r>
      <w:r w:rsidRPr="00CE7929">
        <w:t xml:space="preserve"> </w:t>
      </w:r>
      <w:r w:rsidR="008D232B">
        <w:t>využívat v budoucnu</w:t>
      </w:r>
      <w:r w:rsidR="00CE7929">
        <w:t xml:space="preserve"> území v oblastech s </w:t>
      </w:r>
      <w:r w:rsidRPr="00CE7929">
        <w:t>významným povodňovým rizikem,</w:t>
      </w:r>
      <w:r w:rsidR="00C4362A">
        <w:t xml:space="preserve"> lze očekávat rozšíření ploch v </w:t>
      </w:r>
      <w:r w:rsidRPr="00CE7929">
        <w:t>nepřijatelném riziku</w:t>
      </w:r>
      <w:r w:rsidR="00F94AB4">
        <w:t xml:space="preserve"> povodňového ohrožení</w:t>
      </w:r>
      <w:r w:rsidRPr="00CE7929">
        <w:t xml:space="preserve"> zhruba o 32 %</w:t>
      </w:r>
      <w:r w:rsidR="00C4362A">
        <w:rPr>
          <w:rStyle w:val="Znakapoznpodarou"/>
        </w:rPr>
        <w:footnoteReference w:id="38"/>
      </w:r>
      <w:r w:rsidRPr="005F4890">
        <w:t>.</w:t>
      </w:r>
    </w:p>
    <w:p w14:paraId="23B034EE" w14:textId="33154B84" w:rsidR="00352298" w:rsidRDefault="0091498D" w:rsidP="00DC1F9F">
      <w:pPr>
        <w:pStyle w:val="Nadpis2"/>
        <w:numPr>
          <w:ilvl w:val="0"/>
          <w:numId w:val="0"/>
        </w:numPr>
        <w:spacing w:before="240"/>
        <w:ind w:left="576" w:hanging="576"/>
      </w:pPr>
      <w:r>
        <w:t xml:space="preserve">7. </w:t>
      </w:r>
      <w:r w:rsidR="00352298">
        <w:t>Realizaci PPO zpožďuje proces pozemkových úprav</w:t>
      </w:r>
    </w:p>
    <w:p w14:paraId="22824276" w14:textId="05FAB1BF" w:rsidR="00163D4B" w:rsidRDefault="00163D4B" w:rsidP="00163D4B">
      <w:pPr>
        <w:pStyle w:val="TextKP"/>
      </w:pPr>
      <w:r>
        <w:t xml:space="preserve">Mezi </w:t>
      </w:r>
      <w:r w:rsidR="00686612">
        <w:t xml:space="preserve">relevantní </w:t>
      </w:r>
      <w:r>
        <w:t>republikové priority</w:t>
      </w:r>
      <w:r w:rsidR="007407AB">
        <w:t xml:space="preserve"> uvedené v PÚR ČR</w:t>
      </w:r>
      <w:r>
        <w:t xml:space="preserve"> patří </w:t>
      </w:r>
      <w:r w:rsidR="00686612">
        <w:t xml:space="preserve">dále </w:t>
      </w:r>
      <w:r>
        <w:t>vytváření podmínek pro preventivní ochranu území a obyvatelstva před potenciálními riziky a přírodními katastrofami v území s cílem minim</w:t>
      </w:r>
      <w:r w:rsidR="001D05FC">
        <w:t>a</w:t>
      </w:r>
      <w:r w:rsidR="003726E3">
        <w:t>lizovat rozsah případných škod</w:t>
      </w:r>
      <w:r w:rsidR="004509A0">
        <w:t xml:space="preserve">. </w:t>
      </w:r>
      <w:r w:rsidR="00333E6B">
        <w:t>Z</w:t>
      </w:r>
      <w:r w:rsidR="003726E3">
        <w:t xml:space="preserve">ejména </w:t>
      </w:r>
      <w:r w:rsidR="00333E6B">
        <w:t xml:space="preserve">je třeba </w:t>
      </w:r>
      <w:r w:rsidR="003726E3">
        <w:t>z</w:t>
      </w:r>
      <w:r>
        <w:t>aji</w:t>
      </w:r>
      <w:r w:rsidR="00333E6B">
        <w:t>stit</w:t>
      </w:r>
      <w:r>
        <w:t xml:space="preserve"> územní ochran</w:t>
      </w:r>
      <w:r w:rsidR="00333E6B">
        <w:t>u</w:t>
      </w:r>
      <w:r>
        <w:t xml:space="preserve"> ploch potřebných pro umísťování staveb</w:t>
      </w:r>
      <w:r w:rsidR="00333E6B">
        <w:t>, ploch pro</w:t>
      </w:r>
      <w:r>
        <w:t xml:space="preserve"> opatření na</w:t>
      </w:r>
      <w:r w:rsidR="007A0AFD">
        <w:t xml:space="preserve"> </w:t>
      </w:r>
      <w:r>
        <w:t xml:space="preserve">ochranu před povodněmi a </w:t>
      </w:r>
      <w:r w:rsidR="00333E6B">
        <w:t>ploch</w:t>
      </w:r>
      <w:r>
        <w:t xml:space="preserve"> urče</w:t>
      </w:r>
      <w:r w:rsidR="004509A0">
        <w:t>ných k řízeným rozlivům povodní a v</w:t>
      </w:r>
      <w:r>
        <w:t>ytváře</w:t>
      </w:r>
      <w:r w:rsidR="00333E6B">
        <w:t>t</w:t>
      </w:r>
      <w:r>
        <w:t xml:space="preserve"> podmín</w:t>
      </w:r>
      <w:r w:rsidR="00333E6B">
        <w:t>ky</w:t>
      </w:r>
      <w:r>
        <w:t xml:space="preserve"> pro zvýšení přirozené retence srážkových vod v území s ohledem na</w:t>
      </w:r>
      <w:r w:rsidR="00333E6B">
        <w:t xml:space="preserve"> </w:t>
      </w:r>
      <w:r>
        <w:t>strukturu osídlení a kulturní krajinu jako alternativy k umělé akumulaci vod.</w:t>
      </w:r>
    </w:p>
    <w:p w14:paraId="0C21B847" w14:textId="2A44BCE0" w:rsidR="00FE67EF" w:rsidRDefault="00352298" w:rsidP="00352298">
      <w:pPr>
        <w:pStyle w:val="TextKP"/>
      </w:pPr>
      <w:r>
        <w:t>Pozemkové úpravy přispívají k řešení ochrany před povodněmi</w:t>
      </w:r>
      <w:r w:rsidR="008075EB">
        <w:t>,</w:t>
      </w:r>
      <w:r>
        <w:t xml:space="preserve"> uspořádá</w:t>
      </w:r>
      <w:r w:rsidR="008075EB">
        <w:t>vají</w:t>
      </w:r>
      <w:r>
        <w:t xml:space="preserve"> vlastnick</w:t>
      </w:r>
      <w:r w:rsidR="008075EB">
        <w:t>é</w:t>
      </w:r>
      <w:r>
        <w:t xml:space="preserve"> vztah</w:t>
      </w:r>
      <w:r w:rsidR="008075EB">
        <w:t>y</w:t>
      </w:r>
      <w:r>
        <w:t xml:space="preserve"> k pozemkům a umož</w:t>
      </w:r>
      <w:r w:rsidR="008075EB">
        <w:t>ňují</w:t>
      </w:r>
      <w:r>
        <w:t xml:space="preserve"> výstavbu protipovodňových staveb a realizaci plánů společných zařízení, v rámci kterých se mimo jiné realizují i vodohospodářská a protierozní opatření</w:t>
      </w:r>
      <w:r w:rsidR="007525E1">
        <w:rPr>
          <w:rStyle w:val="Znakapoznpodarou"/>
        </w:rPr>
        <w:footnoteReference w:id="39"/>
      </w:r>
      <w:r>
        <w:t>. Při nesouhlasu vlastníků více než 40 % výměr</w:t>
      </w:r>
      <w:r w:rsidR="008075EB">
        <w:t>y</w:t>
      </w:r>
      <w:r>
        <w:t xml:space="preserve"> pozemků </w:t>
      </w:r>
      <w:r w:rsidR="006B1BC2">
        <w:t xml:space="preserve">však </w:t>
      </w:r>
      <w:r>
        <w:t>není možné pozemkové úpravy, vč.</w:t>
      </w:r>
      <w:r w:rsidR="008075EB">
        <w:t> </w:t>
      </w:r>
      <w:r>
        <w:t>navržených společných zařízení, vůbec realizovat.</w:t>
      </w:r>
    </w:p>
    <w:p w14:paraId="6A87C969" w14:textId="198499B2" w:rsidR="001C64AB" w:rsidRDefault="00075E1E" w:rsidP="00352298">
      <w:pPr>
        <w:pStyle w:val="TextKP"/>
      </w:pPr>
      <w:r w:rsidRPr="00551282">
        <w:t>Dne 1. 7. 2008 nabyla účinnosti novela vodního zákona</w:t>
      </w:r>
      <w:r w:rsidR="00516E19" w:rsidRPr="00551282">
        <w:rPr>
          <w:vertAlign w:val="superscript"/>
        </w:rPr>
        <w:t>1</w:t>
      </w:r>
      <w:r w:rsidR="00F138E3" w:rsidRPr="00551282">
        <w:rPr>
          <w:vertAlign w:val="superscript"/>
        </w:rPr>
        <w:t>5</w:t>
      </w:r>
      <w:r w:rsidR="00516E19" w:rsidRPr="00551282">
        <w:t>, která poskytla mj. správcům povodí možnost odejmout nebo omezit práva k pozemkům a stavbám potřebným pro realizaci veřejně prospěšných staveb na</w:t>
      </w:r>
      <w:r w:rsidR="007A0AFD">
        <w:t xml:space="preserve"> </w:t>
      </w:r>
      <w:r w:rsidR="00516E19" w:rsidRPr="00551282">
        <w:t>ochranu před povodněmi postupem podle zákona o vyvlastnění</w:t>
      </w:r>
      <w:r w:rsidR="00516E19" w:rsidRPr="00551282">
        <w:rPr>
          <w:vertAlign w:val="superscript"/>
        </w:rPr>
        <w:t>1</w:t>
      </w:r>
      <w:r w:rsidR="00F138E3" w:rsidRPr="00551282">
        <w:rPr>
          <w:vertAlign w:val="superscript"/>
        </w:rPr>
        <w:t>6</w:t>
      </w:r>
      <w:r w:rsidR="00516E19" w:rsidRPr="00551282">
        <w:t>. Do</w:t>
      </w:r>
      <w:r w:rsidR="00516E19">
        <w:t xml:space="preserve"> té doby právní úprava neřešila důsledně případné prosazení realizace</w:t>
      </w:r>
      <w:r w:rsidR="00516E19" w:rsidRPr="00516E19">
        <w:t xml:space="preserve"> </w:t>
      </w:r>
      <w:r w:rsidR="00516E19" w:rsidRPr="004D3F62">
        <w:lastRenderedPageBreak/>
        <w:t>protipovodňové ochrany ve veřejném zájmu</w:t>
      </w:r>
      <w:r w:rsidR="008075EB">
        <w:t>.</w:t>
      </w:r>
      <w:r w:rsidR="00516E19">
        <w:rPr>
          <w:rStyle w:val="Znakapoznpodarou"/>
        </w:rPr>
        <w:footnoteReference w:id="40"/>
      </w:r>
      <w:r w:rsidR="00516E19">
        <w:t xml:space="preserve"> V důvodové zprávě k této novele je</w:t>
      </w:r>
      <w:r w:rsidR="007A0AFD">
        <w:t xml:space="preserve"> </w:t>
      </w:r>
      <w:r w:rsidR="00516E19">
        <w:t>mj. uveden odhad, že do roku 2015 bude realizováno asi 10 tis. ha území určených k řízeným rozlivům povodní. Z</w:t>
      </w:r>
      <w:r w:rsidR="00DC1F9F">
        <w:t xml:space="preserve"> dat </w:t>
      </w:r>
      <w:r w:rsidR="00516E19">
        <w:t xml:space="preserve">MZe </w:t>
      </w:r>
      <w:r w:rsidR="00DC1F9F">
        <w:t>však</w:t>
      </w:r>
      <w:r w:rsidR="00516E19" w:rsidRPr="00715875">
        <w:t xml:space="preserve"> vyplývá, že</w:t>
      </w:r>
      <w:r w:rsidR="00516E19">
        <w:t xml:space="preserve"> v období od nabytí účinnosti změny vodního zákona do</w:t>
      </w:r>
      <w:r w:rsidR="00DC1F9F">
        <w:t xml:space="preserve"> </w:t>
      </w:r>
      <w:r w:rsidR="00516E19">
        <w:t>1. 1. </w:t>
      </w:r>
      <w:r w:rsidR="00516E19" w:rsidRPr="00715875">
        <w:t>2019 přibylo pouze cca 3 tis. ha ploch těchto zátopových území</w:t>
      </w:r>
      <w:r w:rsidR="00516E19">
        <w:t>.</w:t>
      </w:r>
    </w:p>
    <w:p w14:paraId="0C1E7C4E" w14:textId="0F090601" w:rsidR="001F3314" w:rsidRDefault="001F3314" w:rsidP="001F3314">
      <w:pPr>
        <w:pStyle w:val="TextKP"/>
      </w:pPr>
      <w:r>
        <w:t>Povodí Vltavy, Povodí Odry a Povodí Moravy dokončil</w:t>
      </w:r>
      <w:r w:rsidR="008F501C">
        <w:t>y</w:t>
      </w:r>
      <w:r>
        <w:t xml:space="preserve"> do 31. 12. 2018 celkem 6 území určených k řízeným rozlivům</w:t>
      </w:r>
      <w:r w:rsidR="004509A0">
        <w:t xml:space="preserve"> povodní</w:t>
      </w:r>
      <w:r>
        <w:t xml:space="preserve"> o celkovém retenčním objemu 211</w:t>
      </w:r>
      <w:r w:rsidR="00CA3485">
        <w:t xml:space="preserve"> tis.</w:t>
      </w:r>
      <w:r>
        <w:t xml:space="preserve"> m</w:t>
      </w:r>
      <w:r w:rsidRPr="00D136A8">
        <w:rPr>
          <w:vertAlign w:val="superscript"/>
        </w:rPr>
        <w:t>3</w:t>
      </w:r>
      <w:r>
        <w:t xml:space="preserve"> a celkovém rozsahu plochy </w:t>
      </w:r>
      <w:r w:rsidR="00CA3485">
        <w:t>10</w:t>
      </w:r>
      <w:r>
        <w:t xml:space="preserve"> ha. Celková výše peněžních prostředků </w:t>
      </w:r>
      <w:r w:rsidR="000056AE">
        <w:t xml:space="preserve">vynaložených </w:t>
      </w:r>
      <w:r>
        <w:t xml:space="preserve">na </w:t>
      </w:r>
      <w:r w:rsidR="004509A0">
        <w:t xml:space="preserve">tato </w:t>
      </w:r>
      <w:r>
        <w:t xml:space="preserve">území </w:t>
      </w:r>
      <w:r w:rsidR="00CA3485">
        <w:t xml:space="preserve">určená </w:t>
      </w:r>
      <w:r>
        <w:t>k řízeným rozlivům</w:t>
      </w:r>
      <w:r w:rsidR="00CA3485">
        <w:t xml:space="preserve"> povodní</w:t>
      </w:r>
      <w:r>
        <w:t xml:space="preserve"> činí 75</w:t>
      </w:r>
      <w:r w:rsidR="00CA3485">
        <w:t>,81 mil.</w:t>
      </w:r>
      <w:r>
        <w:t xml:space="preserve"> Kč (z toho 70</w:t>
      </w:r>
      <w:r w:rsidR="00CA3485">
        <w:t>,</w:t>
      </w:r>
      <w:r>
        <w:t>9</w:t>
      </w:r>
      <w:r w:rsidR="00CA3485">
        <w:t>7 mil.</w:t>
      </w:r>
      <w:r>
        <w:t xml:space="preserve"> Kč z dotace), z toho náklady na omezení vlastnického práva k pozemkům činí 9</w:t>
      </w:r>
      <w:r w:rsidR="00CA3485">
        <w:t>,</w:t>
      </w:r>
      <w:r>
        <w:t>19</w:t>
      </w:r>
      <w:r w:rsidR="00CA3485">
        <w:t xml:space="preserve"> mil.</w:t>
      </w:r>
      <w:r>
        <w:t xml:space="preserve"> Kč (8</w:t>
      </w:r>
      <w:r w:rsidR="00CA3485">
        <w:t>,</w:t>
      </w:r>
      <w:r>
        <w:t>5</w:t>
      </w:r>
      <w:r w:rsidR="00CA3485">
        <w:t xml:space="preserve"> mil.</w:t>
      </w:r>
      <w:r>
        <w:t xml:space="preserve"> Kč z dotace).</w:t>
      </w:r>
    </w:p>
    <w:p w14:paraId="08936AB8" w14:textId="6B23371C" w:rsidR="001F3314" w:rsidRDefault="001F3314" w:rsidP="001F3314">
      <w:pPr>
        <w:pStyle w:val="TextKP"/>
      </w:pPr>
      <w:r>
        <w:t>Povodí Vltavy a Povodí Odry v roce 2019 dokonč</w:t>
      </w:r>
      <w:r w:rsidR="000056AE">
        <w:t>ovaly</w:t>
      </w:r>
      <w:r>
        <w:t xml:space="preserve"> </w:t>
      </w:r>
      <w:r w:rsidR="000056AE">
        <w:t>úpravy</w:t>
      </w:r>
      <w:r w:rsidR="00CA3485">
        <w:t xml:space="preserve"> </w:t>
      </w:r>
      <w:r w:rsidR="004509A0">
        <w:t>čtyř</w:t>
      </w:r>
      <w:r w:rsidR="00CA3485">
        <w:t xml:space="preserve"> území k řízeným rozlivům </w:t>
      </w:r>
      <w:r w:rsidR="004509A0">
        <w:t xml:space="preserve">povodní </w:t>
      </w:r>
      <w:r w:rsidR="00CA3485">
        <w:t>o</w:t>
      </w:r>
      <w:r w:rsidR="007A0AFD">
        <w:t xml:space="preserve"> </w:t>
      </w:r>
      <w:r>
        <w:t>celkovém retenčním objemu 1</w:t>
      </w:r>
      <w:r w:rsidR="00CA3485">
        <w:t> </w:t>
      </w:r>
      <w:r>
        <w:t>058</w:t>
      </w:r>
      <w:r w:rsidR="00CA3485">
        <w:t xml:space="preserve"> tis.</w:t>
      </w:r>
      <w:r>
        <w:t xml:space="preserve"> m</w:t>
      </w:r>
      <w:r w:rsidRPr="00D136A8">
        <w:rPr>
          <w:vertAlign w:val="superscript"/>
        </w:rPr>
        <w:t>3</w:t>
      </w:r>
      <w:r>
        <w:t xml:space="preserve"> a celkovém rozsahu plochy 93 ha. Předpokládaná výše peněžních prostředků na j</w:t>
      </w:r>
      <w:r w:rsidR="00CA3485">
        <w:t>ejich realizaci činí</w:t>
      </w:r>
      <w:r>
        <w:t xml:space="preserve"> 260</w:t>
      </w:r>
      <w:r w:rsidR="00CA3485">
        <w:t>,</w:t>
      </w:r>
      <w:r>
        <w:t>25</w:t>
      </w:r>
      <w:r w:rsidR="00CA3485">
        <w:t xml:space="preserve"> mil.</w:t>
      </w:r>
      <w:r>
        <w:t xml:space="preserve"> Kč (z toho 225</w:t>
      </w:r>
      <w:r w:rsidR="00CA3485">
        <w:t>,</w:t>
      </w:r>
      <w:r>
        <w:t>63</w:t>
      </w:r>
      <w:r w:rsidR="004509A0">
        <w:t> </w:t>
      </w:r>
      <w:r w:rsidR="00CA3485">
        <w:t>mil.</w:t>
      </w:r>
      <w:r>
        <w:t xml:space="preserve"> Kč z dotace), z toho </w:t>
      </w:r>
      <w:r w:rsidR="00CA3485">
        <w:t xml:space="preserve">odhad </w:t>
      </w:r>
      <w:r>
        <w:t>náklad</w:t>
      </w:r>
      <w:r w:rsidR="00CA3485">
        <w:t>ů</w:t>
      </w:r>
      <w:r>
        <w:t xml:space="preserve"> na omezení vlastnického práva k pozemkům </w:t>
      </w:r>
      <w:r w:rsidR="00CA3485">
        <w:t>činí</w:t>
      </w:r>
      <w:r>
        <w:t xml:space="preserve"> 4</w:t>
      </w:r>
      <w:r w:rsidR="00CA3485">
        <w:t>,</w:t>
      </w:r>
      <w:r>
        <w:t>13</w:t>
      </w:r>
      <w:r w:rsidR="00CA3485">
        <w:t xml:space="preserve"> mil.</w:t>
      </w:r>
      <w:r>
        <w:t xml:space="preserve"> Kč (úhrada pouze z vlastních zdrojů).</w:t>
      </w:r>
    </w:p>
    <w:p w14:paraId="5DC128D9" w14:textId="281C40EE" w:rsidR="00982CBA" w:rsidRDefault="00982CBA" w:rsidP="00982CBA">
      <w:pPr>
        <w:pStyle w:val="TextKP"/>
      </w:pPr>
      <w:r>
        <w:t>D</w:t>
      </w:r>
      <w:r w:rsidRPr="00185AF9">
        <w:t>o</w:t>
      </w:r>
      <w:r w:rsidR="007A0AFD">
        <w:t xml:space="preserve"> </w:t>
      </w:r>
      <w:r w:rsidRPr="00185AF9">
        <w:t xml:space="preserve">ukončení kontroly </w:t>
      </w:r>
      <w:r>
        <w:t>využilo možnost vyvlastnění pozemků</w:t>
      </w:r>
      <w:r w:rsidRPr="00185AF9">
        <w:t xml:space="preserve"> </w:t>
      </w:r>
      <w:r>
        <w:t>ze</w:t>
      </w:r>
      <w:r w:rsidR="007A0AFD">
        <w:t xml:space="preserve"> </w:t>
      </w:r>
      <w:r>
        <w:t xml:space="preserve">státních podniků povodí </w:t>
      </w:r>
      <w:r w:rsidRPr="00185AF9">
        <w:t>pouze Povodí Labe</w:t>
      </w:r>
      <w:r w:rsidR="007A0AFD">
        <w:t>,</w:t>
      </w:r>
      <w:r w:rsidRPr="00185AF9">
        <w:t xml:space="preserve"> a</w:t>
      </w:r>
      <w:r w:rsidR="007A0AFD">
        <w:t xml:space="preserve"> </w:t>
      </w:r>
      <w:r w:rsidRPr="00185AF9">
        <w:t xml:space="preserve">to </w:t>
      </w:r>
      <w:r>
        <w:t>v souvislosti s realizací území určených k řízeným rozlivům povodní o plánovaném retenčním objemu 12 144 tis. m</w:t>
      </w:r>
      <w:r w:rsidRPr="00982CBA">
        <w:rPr>
          <w:vertAlign w:val="superscript"/>
        </w:rPr>
        <w:t>3</w:t>
      </w:r>
      <w:r>
        <w:t xml:space="preserve"> a plánované rozloze 521 ha. Vlastnické právo bylo omezeno k pozemkům o </w:t>
      </w:r>
      <w:r w:rsidRPr="00185AF9">
        <w:t>celkové rozloze 0,3 ha.</w:t>
      </w:r>
    </w:p>
    <w:p w14:paraId="1C9FC6A0" w14:textId="78D0A8D8" w:rsidR="001F3314" w:rsidRDefault="001F3314" w:rsidP="001F3314">
      <w:pPr>
        <w:pStyle w:val="TextKP"/>
      </w:pPr>
      <w:r>
        <w:t>V územní působnosti Povodí Labe, Povodí Vltavy, Povodí Odry a Povodí Moravy se nalézá celkem 339 suchých nádrží, z toho 85 suchých nádr</w:t>
      </w:r>
      <w:r w:rsidR="000D1446">
        <w:t xml:space="preserve">ží je ve vlastnictví </w:t>
      </w:r>
      <w:r w:rsidR="007E6415">
        <w:t>těchto</w:t>
      </w:r>
      <w:r w:rsidR="000D1446">
        <w:t xml:space="preserve"> podniků</w:t>
      </w:r>
      <w:r>
        <w:t>.</w:t>
      </w:r>
    </w:p>
    <w:p w14:paraId="156C5666" w14:textId="4C09C017" w:rsidR="00352298" w:rsidRPr="009B26B4" w:rsidRDefault="0091498D" w:rsidP="00DC1F9F">
      <w:pPr>
        <w:pStyle w:val="Nadpis2"/>
        <w:numPr>
          <w:ilvl w:val="0"/>
          <w:numId w:val="0"/>
        </w:numPr>
        <w:spacing w:before="240"/>
        <w:ind w:left="284" w:hanging="284"/>
        <w:jc w:val="left"/>
      </w:pPr>
      <w:r>
        <w:t xml:space="preserve">8. </w:t>
      </w:r>
      <w:r w:rsidR="00352298">
        <w:t>MZe nesleduje zákonné podmínky pro vyplácení náhrad škod vzniklých řízenými rozlivy povodní</w:t>
      </w:r>
    </w:p>
    <w:p w14:paraId="21CF9827" w14:textId="6E5C763A" w:rsidR="009572B8" w:rsidRDefault="008F501C" w:rsidP="009572B8">
      <w:pPr>
        <w:pStyle w:val="TextKP"/>
      </w:pPr>
      <w:r w:rsidRPr="00C55969">
        <w:t>Za území určená k řízeným rozlivům povodní se</w:t>
      </w:r>
      <w:r>
        <w:t xml:space="preserve"> dle vodního zákona</w:t>
      </w:r>
      <w:r w:rsidRPr="00C55969">
        <w:t xml:space="preserve"> považují pozemky nezbytné pro vzdouvání, popřípadě akumulaci povrchových vod </w:t>
      </w:r>
      <w:r w:rsidRPr="00C55969">
        <w:rPr>
          <w:bCs/>
        </w:rPr>
        <w:t>veřejně prospěšnými stavbami na ochranu před povodněmi</w:t>
      </w:r>
      <w:r w:rsidRPr="00C55969">
        <w:t>, k nimž bylo omezeno vlastnické právo dohodou nebo postupem podle</w:t>
      </w:r>
      <w:r>
        <w:t xml:space="preserve"> zákona o vyvlastnění</w:t>
      </w:r>
      <w:r w:rsidRPr="00C55969">
        <w:t>.</w:t>
      </w:r>
      <w:r>
        <w:t xml:space="preserve"> </w:t>
      </w:r>
      <w:r w:rsidRPr="00C55969">
        <w:t>Za škodu vzniklou řízeným rozlivem povodní na půdě, polních plodinách, lesních porostech a stavbách v</w:t>
      </w:r>
      <w:r>
        <w:t> </w:t>
      </w:r>
      <w:r w:rsidRPr="00C55969">
        <w:t>území</w:t>
      </w:r>
      <w:r>
        <w:t>ch určených k řízenému rozlivu povodní</w:t>
      </w:r>
      <w:r w:rsidRPr="00C55969">
        <w:t xml:space="preserve"> náleží poškozenému náhrada, kterou poskytuje v peně</w:t>
      </w:r>
      <w:r w:rsidR="007E6415">
        <w:t>žní</w:t>
      </w:r>
      <w:r w:rsidRPr="00C55969">
        <w:t xml:space="preserve"> </w:t>
      </w:r>
      <w:r w:rsidR="007E6415">
        <w:t xml:space="preserve">formě </w:t>
      </w:r>
      <w:r w:rsidRPr="00C55969">
        <w:t>stát zastoupený Ministerstvem zemědělství.</w:t>
      </w:r>
      <w:r>
        <w:t xml:space="preserve"> Dle</w:t>
      </w:r>
      <w:r w:rsidR="007E6415">
        <w:t xml:space="preserve"> </w:t>
      </w:r>
      <w:r>
        <w:t>přechodn</w:t>
      </w:r>
      <w:r w:rsidR="00964C60">
        <w:t>ých</w:t>
      </w:r>
      <w:r>
        <w:t xml:space="preserve"> ustanovení zákona č. 181/2008 Sb. </w:t>
      </w:r>
      <w:r w:rsidR="009572B8">
        <w:t xml:space="preserve">náleží náhrada poškozenému také v případě škody vzniklé na zemědělsky obhospodařovaných pozemcích v zátopách suchých nádrží sloužících k ochraně území obce, kraje nebo státu, vybudovaných přede dnem nabytí účinnosti tohoto zákona (1. </w:t>
      </w:r>
      <w:r w:rsidR="009572B8">
        <w:rPr>
          <w:rFonts w:eastAsia="Calibri"/>
          <w:lang w:eastAsia="ar-SA"/>
        </w:rPr>
        <w:t>7. 2008).</w:t>
      </w:r>
      <w:r w:rsidR="00A01792">
        <w:rPr>
          <w:rFonts w:eastAsia="Calibri"/>
          <w:lang w:eastAsia="ar-SA"/>
        </w:rPr>
        <w:t xml:space="preserve"> </w:t>
      </w:r>
      <w:r w:rsidR="009572B8" w:rsidRPr="005356ED">
        <w:t xml:space="preserve">Za účelem vyplácení </w:t>
      </w:r>
      <w:r w:rsidR="007E6415">
        <w:t xml:space="preserve">náhrad </w:t>
      </w:r>
      <w:r w:rsidR="009572B8" w:rsidRPr="005356ED">
        <w:t xml:space="preserve">škod vede MZe </w:t>
      </w:r>
      <w:r w:rsidR="007E6415">
        <w:rPr>
          <w:i/>
        </w:rPr>
        <w:t>s</w:t>
      </w:r>
      <w:r w:rsidR="009572B8" w:rsidRPr="004509A0">
        <w:rPr>
          <w:i/>
        </w:rPr>
        <w:t>eznam suchých nádrží v ČR</w:t>
      </w:r>
      <w:r w:rsidR="00A01792" w:rsidRPr="004509A0">
        <w:rPr>
          <w:i/>
        </w:rPr>
        <w:t xml:space="preserve"> pro uplatňování náhrady škod</w:t>
      </w:r>
      <w:r w:rsidR="00A01792">
        <w:t>.</w:t>
      </w:r>
      <w:r w:rsidR="00FB577C">
        <w:t xml:space="preserve"> </w:t>
      </w:r>
    </w:p>
    <w:p w14:paraId="5BA8CAA9" w14:textId="2A556329" w:rsidR="000158A3" w:rsidRDefault="00FB577C" w:rsidP="000158A3">
      <w:pPr>
        <w:pStyle w:val="TextKP"/>
      </w:pPr>
      <w:r w:rsidRPr="005356ED">
        <w:t>Kontrolou bylo zjištěno, že</w:t>
      </w:r>
      <w:r w:rsidR="007A0AFD">
        <w:t xml:space="preserve"> </w:t>
      </w:r>
      <w:r w:rsidRPr="005356ED">
        <w:t>MZe nesleduje a</w:t>
      </w:r>
      <w:r w:rsidR="007E6415">
        <w:t>ni</w:t>
      </w:r>
      <w:r w:rsidRPr="005356ED">
        <w:t xml:space="preserve"> neověřuje zákonn</w:t>
      </w:r>
      <w:r w:rsidR="00407C6D">
        <w:t>ou</w:t>
      </w:r>
      <w:r w:rsidRPr="005356ED">
        <w:t xml:space="preserve"> podmínk</w:t>
      </w:r>
      <w:r w:rsidR="00407C6D">
        <w:t>u</w:t>
      </w:r>
      <w:r w:rsidRPr="005356ED">
        <w:t xml:space="preserve"> pro uplatnění </w:t>
      </w:r>
      <w:r w:rsidR="007E6415">
        <w:t xml:space="preserve">nároku na </w:t>
      </w:r>
      <w:r w:rsidRPr="005356ED">
        <w:t>náhrad</w:t>
      </w:r>
      <w:r w:rsidR="007E6415">
        <w:t>u</w:t>
      </w:r>
      <w:r w:rsidRPr="005356ED">
        <w:t xml:space="preserve"> škod</w:t>
      </w:r>
      <w:r w:rsidR="007E6415">
        <w:t>y</w:t>
      </w:r>
      <w:r w:rsidRPr="005356ED">
        <w:t>, tj.</w:t>
      </w:r>
      <w:r w:rsidR="007A0AFD">
        <w:t xml:space="preserve"> </w:t>
      </w:r>
      <w:r w:rsidRPr="005356ED">
        <w:t>zda evidovaná</w:t>
      </w:r>
      <w:r>
        <w:t xml:space="preserve"> území určená k řízeným rozlivům</w:t>
      </w:r>
      <w:r w:rsidR="004509A0">
        <w:t xml:space="preserve"> povodní vybudovaná po</w:t>
      </w:r>
      <w:r w:rsidR="007E6415">
        <w:t xml:space="preserve"> </w:t>
      </w:r>
      <w:r>
        <w:t>nabytí účinnosti zákona č. 181/2008 Sb.</w:t>
      </w:r>
      <w:r w:rsidRPr="005356ED">
        <w:t xml:space="preserve"> jsou vymezena ve vydané územně plánovací dokumentaci jako veřejně prospěšné stavby na ochranu před povodněmi.</w:t>
      </w:r>
      <w:r>
        <w:t xml:space="preserve"> </w:t>
      </w:r>
      <w:r w:rsidR="000158A3">
        <w:t>Informaci o tom, zda se jedná o veřejně prospěšnou stavbu, sledují Povodí Labe a Povodí Odry pouze u</w:t>
      </w:r>
      <w:r w:rsidR="007E6415">
        <w:t> </w:t>
      </w:r>
      <w:r w:rsidR="000158A3">
        <w:t>suchých nádrží v</w:t>
      </w:r>
      <w:r w:rsidR="007E6415">
        <w:t>e svém</w:t>
      </w:r>
      <w:r w:rsidR="000158A3">
        <w:t xml:space="preserve"> vlastnictví. Povodí Vltavy uvedlo, že tento parametr nesleduje a jeho </w:t>
      </w:r>
      <w:r w:rsidR="000158A3">
        <w:lastRenderedPageBreak/>
        <w:t>sledování nebylo doposud požadováno. Povodí Odry uvedlo, že MZe tento údaj po</w:t>
      </w:r>
      <w:r w:rsidR="007A0AFD">
        <w:t xml:space="preserve"> </w:t>
      </w:r>
      <w:r w:rsidR="000158A3">
        <w:t>povodí nevyžaduje.</w:t>
      </w:r>
    </w:p>
    <w:p w14:paraId="491EAD93" w14:textId="012BBCDA" w:rsidR="00FB577C" w:rsidRPr="00A01792" w:rsidRDefault="00FB577C" w:rsidP="00FB577C">
      <w:pPr>
        <w:pStyle w:val="TextKP"/>
        <w:rPr>
          <w:rFonts w:eastAsia="Calibri"/>
          <w:lang w:eastAsia="ar-SA"/>
        </w:rPr>
      </w:pPr>
      <w:r w:rsidRPr="00A01792">
        <w:rPr>
          <w:rFonts w:eastAsia="Calibri"/>
          <w:lang w:eastAsia="ar-SA"/>
        </w:rPr>
        <w:t xml:space="preserve">MZe pro </w:t>
      </w:r>
      <w:r w:rsidR="007E6415">
        <w:rPr>
          <w:rFonts w:eastAsia="Calibri"/>
          <w:lang w:eastAsia="ar-SA"/>
        </w:rPr>
        <w:t xml:space="preserve">účely </w:t>
      </w:r>
      <w:r w:rsidRPr="00A01792">
        <w:rPr>
          <w:rFonts w:eastAsia="Calibri"/>
          <w:lang w:eastAsia="ar-SA"/>
        </w:rPr>
        <w:t>pos</w:t>
      </w:r>
      <w:r w:rsidR="007E6415">
        <w:rPr>
          <w:rFonts w:eastAsia="Calibri"/>
          <w:lang w:eastAsia="ar-SA"/>
        </w:rPr>
        <w:t>uzování</w:t>
      </w:r>
      <w:r w:rsidRPr="00A01792">
        <w:rPr>
          <w:rFonts w:eastAsia="Calibri"/>
          <w:lang w:eastAsia="ar-SA"/>
        </w:rPr>
        <w:t xml:space="preserve"> nároku na náhradu škod vznikl</w:t>
      </w:r>
      <w:r w:rsidR="007E6415">
        <w:rPr>
          <w:rFonts w:eastAsia="Calibri"/>
          <w:lang w:eastAsia="ar-SA"/>
        </w:rPr>
        <w:t>ých</w:t>
      </w:r>
      <w:r w:rsidRPr="00A01792">
        <w:rPr>
          <w:rFonts w:eastAsia="Calibri"/>
          <w:lang w:eastAsia="ar-SA"/>
        </w:rPr>
        <w:t xml:space="preserve"> řízeným rozlivem povodní považuje </w:t>
      </w:r>
      <w:r w:rsidR="005C18BD">
        <w:rPr>
          <w:rFonts w:eastAsia="Calibri"/>
          <w:lang w:eastAsia="ar-SA"/>
        </w:rPr>
        <w:t>za veřejně prospěšné stavby</w:t>
      </w:r>
      <w:r w:rsidR="005C18BD" w:rsidRPr="00A01792">
        <w:rPr>
          <w:rFonts w:eastAsia="Calibri"/>
          <w:lang w:eastAsia="ar-SA"/>
        </w:rPr>
        <w:t xml:space="preserve"> </w:t>
      </w:r>
      <w:r w:rsidRPr="00A01792">
        <w:rPr>
          <w:rFonts w:eastAsia="Calibri"/>
          <w:lang w:eastAsia="ar-SA"/>
        </w:rPr>
        <w:t xml:space="preserve">všechna území určená k řízeným rozlivům povodní uvedená v </w:t>
      </w:r>
      <w:r w:rsidR="005C18BD">
        <w:rPr>
          <w:rFonts w:eastAsia="Calibri"/>
          <w:i/>
          <w:lang w:eastAsia="ar-SA"/>
        </w:rPr>
        <w:t>s</w:t>
      </w:r>
      <w:r w:rsidRPr="004509A0">
        <w:rPr>
          <w:rFonts w:eastAsia="Calibri"/>
          <w:i/>
          <w:lang w:eastAsia="ar-SA"/>
        </w:rPr>
        <w:t>eznam</w:t>
      </w:r>
      <w:r w:rsidR="004E3720" w:rsidRPr="004509A0">
        <w:rPr>
          <w:rFonts w:eastAsia="Calibri"/>
          <w:i/>
          <w:lang w:eastAsia="ar-SA"/>
        </w:rPr>
        <w:t>u</w:t>
      </w:r>
      <w:r w:rsidRPr="004509A0">
        <w:rPr>
          <w:rFonts w:eastAsia="Calibri"/>
          <w:i/>
          <w:lang w:eastAsia="ar-SA"/>
        </w:rPr>
        <w:t xml:space="preserve"> suchých nádrží v ČR pro uplatňování náhrady škod</w:t>
      </w:r>
      <w:r w:rsidR="004E3720">
        <w:rPr>
          <w:rFonts w:eastAsia="Calibri"/>
          <w:lang w:eastAsia="ar-SA"/>
        </w:rPr>
        <w:t xml:space="preserve">. </w:t>
      </w:r>
      <w:r w:rsidR="009F39B2">
        <w:rPr>
          <w:rFonts w:eastAsia="Calibri"/>
          <w:lang w:eastAsia="ar-SA"/>
        </w:rPr>
        <w:t>MZe k</w:t>
      </w:r>
      <w:r w:rsidR="004E3720">
        <w:rPr>
          <w:rFonts w:eastAsia="Calibri"/>
          <w:lang w:eastAsia="ar-SA"/>
        </w:rPr>
        <w:t xml:space="preserve">e každoroční aktualizaci </w:t>
      </w:r>
      <w:r w:rsidR="004509A0">
        <w:rPr>
          <w:rFonts w:eastAsia="Calibri"/>
          <w:lang w:eastAsia="ar-SA"/>
        </w:rPr>
        <w:t xml:space="preserve">tohoto </w:t>
      </w:r>
      <w:r w:rsidR="004E3720">
        <w:rPr>
          <w:rFonts w:eastAsia="Calibri"/>
          <w:lang w:eastAsia="ar-SA"/>
        </w:rPr>
        <w:t>seznamu pověřilo</w:t>
      </w:r>
      <w:r>
        <w:rPr>
          <w:rFonts w:eastAsia="Calibri"/>
          <w:lang w:eastAsia="ar-SA"/>
        </w:rPr>
        <w:t xml:space="preserve"> státní podniky povodí.</w:t>
      </w:r>
      <w:r w:rsidRPr="00A01792">
        <w:rPr>
          <w:rFonts w:eastAsia="Calibri"/>
          <w:lang w:eastAsia="ar-SA"/>
        </w:rPr>
        <w:t xml:space="preserve"> Kontrolu seznam</w:t>
      </w:r>
      <w:r w:rsidR="009F39B2">
        <w:rPr>
          <w:rFonts w:eastAsia="Calibri"/>
          <w:lang w:eastAsia="ar-SA"/>
        </w:rPr>
        <w:t>u však MZe neprovádí. MZe</w:t>
      </w:r>
      <w:r w:rsidR="007A0AFD">
        <w:rPr>
          <w:rFonts w:eastAsia="Calibri"/>
          <w:lang w:eastAsia="ar-SA"/>
        </w:rPr>
        <w:t xml:space="preserve"> </w:t>
      </w:r>
      <w:r w:rsidRPr="00A01792">
        <w:rPr>
          <w:rFonts w:eastAsia="Calibri"/>
          <w:lang w:eastAsia="ar-SA"/>
        </w:rPr>
        <w:t xml:space="preserve">nemá nastaven kontrolní systém </w:t>
      </w:r>
      <w:r w:rsidR="005C18BD">
        <w:rPr>
          <w:rFonts w:eastAsia="Calibri"/>
          <w:lang w:eastAsia="ar-SA"/>
        </w:rPr>
        <w:t xml:space="preserve">pro sledování plnění této </w:t>
      </w:r>
      <w:r w:rsidR="00AC6CC3">
        <w:rPr>
          <w:rFonts w:eastAsia="Calibri"/>
          <w:lang w:eastAsia="ar-SA"/>
        </w:rPr>
        <w:t xml:space="preserve">zákonné podmínky ani v rámci procesu </w:t>
      </w:r>
      <w:r w:rsidRPr="00A01792">
        <w:rPr>
          <w:rFonts w:eastAsia="Calibri"/>
          <w:lang w:eastAsia="ar-SA"/>
        </w:rPr>
        <w:t>přijímání žádostí</w:t>
      </w:r>
      <w:r>
        <w:rPr>
          <w:rFonts w:eastAsia="Calibri"/>
          <w:lang w:eastAsia="ar-SA"/>
        </w:rPr>
        <w:t xml:space="preserve"> o</w:t>
      </w:r>
      <w:r w:rsidR="00BC7B65"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>poskytnutí náhrady škod způsoben</w:t>
      </w:r>
      <w:r w:rsidR="00AC6CC3">
        <w:rPr>
          <w:rFonts w:eastAsia="Calibri"/>
          <w:lang w:eastAsia="ar-SA"/>
        </w:rPr>
        <w:t>ých</w:t>
      </w:r>
      <w:r>
        <w:rPr>
          <w:rFonts w:eastAsia="Calibri"/>
          <w:lang w:eastAsia="ar-SA"/>
        </w:rPr>
        <w:t xml:space="preserve"> řízeným rozlivem povodně.</w:t>
      </w:r>
    </w:p>
    <w:p w14:paraId="5044D614" w14:textId="43F96514" w:rsidR="00DB768B" w:rsidRDefault="00FB577C" w:rsidP="004758F0">
      <w:pPr>
        <w:pStyle w:val="TextKP"/>
      </w:pPr>
      <w:r>
        <w:t>MZe</w:t>
      </w:r>
      <w:r w:rsidR="007A0AFD">
        <w:t xml:space="preserve"> </w:t>
      </w:r>
      <w:r>
        <w:t>ke</w:t>
      </w:r>
      <w:r w:rsidR="007A0AFD">
        <w:t xml:space="preserve"> </w:t>
      </w:r>
      <w:r>
        <w:t xml:space="preserve">dni 17. 9. 2019 poskytlo celkem devět náhrad škod na plodinách v územích </w:t>
      </w:r>
      <w:r w:rsidR="00AC6CC3">
        <w:t xml:space="preserve">určených k řízeným rozlivům povodní </w:t>
      </w:r>
      <w:r>
        <w:t xml:space="preserve">v celkové výši 6,92 mil. Kč, u nichž byly zákonné podmínky splněny. </w:t>
      </w:r>
      <w:r w:rsidR="000158A3">
        <w:rPr>
          <w:rFonts w:eastAsia="Calibri"/>
          <w:lang w:eastAsia="ar-SA"/>
        </w:rPr>
        <w:t>NKÚ</w:t>
      </w:r>
      <w:r>
        <w:rPr>
          <w:rFonts w:eastAsia="Calibri"/>
          <w:lang w:eastAsia="ar-SA"/>
        </w:rPr>
        <w:t xml:space="preserve"> </w:t>
      </w:r>
      <w:r w:rsidRPr="00A01792">
        <w:rPr>
          <w:rFonts w:eastAsia="Calibri"/>
          <w:lang w:eastAsia="ar-SA"/>
        </w:rPr>
        <w:t>nezjistil vyplacení náhrady škod v rozporu s vodním zákonem</w:t>
      </w:r>
      <w:r w:rsidR="000158A3">
        <w:rPr>
          <w:rFonts w:eastAsia="Calibri"/>
          <w:lang w:eastAsia="ar-SA"/>
        </w:rPr>
        <w:t>, nicméně upozorňuje na</w:t>
      </w:r>
      <w:r w:rsidR="007A0AFD"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>nedo</w:t>
      </w:r>
      <w:r w:rsidR="000158A3">
        <w:rPr>
          <w:rFonts w:eastAsia="Calibri"/>
          <w:lang w:eastAsia="ar-SA"/>
        </w:rPr>
        <w:t>statek v kontrolním systému MZe, neboť</w:t>
      </w:r>
      <w:r w:rsidR="000158A3" w:rsidRPr="000158A3">
        <w:rPr>
          <w:i/>
        </w:rPr>
        <w:t xml:space="preserve"> </w:t>
      </w:r>
      <w:r w:rsidR="005C18BD">
        <w:rPr>
          <w:i/>
        </w:rPr>
        <w:t>s</w:t>
      </w:r>
      <w:r w:rsidR="000158A3" w:rsidRPr="009F39B2">
        <w:rPr>
          <w:i/>
        </w:rPr>
        <w:t>eznam suchých nádrží v ČR pro uplatňování náhrady škod</w:t>
      </w:r>
      <w:r w:rsidR="000158A3">
        <w:t xml:space="preserve"> v územích určených k řízeným rozlivům povodní podle ustanovení § 68 vodního zákona platný ke dni</w:t>
      </w:r>
      <w:r w:rsidR="007A0AFD">
        <w:t xml:space="preserve"> </w:t>
      </w:r>
      <w:r w:rsidR="000158A3">
        <w:t xml:space="preserve">1. 1. 2019 </w:t>
      </w:r>
      <w:r w:rsidR="000158A3" w:rsidRPr="009F39B2">
        <w:t>a</w:t>
      </w:r>
      <w:r w:rsidR="007A0AFD">
        <w:t xml:space="preserve"> </w:t>
      </w:r>
      <w:r w:rsidR="000158A3" w:rsidRPr="009F39B2">
        <w:t>uveřejněný</w:t>
      </w:r>
      <w:r w:rsidR="000158A3">
        <w:t xml:space="preserve"> na webových stránkách MZe obsahuje minimálně jednu suchou nádrž vybudovanou Povodím Vltavy a dvě suché nádrže vybudované Povodím Moravy po nabytí účinnosti zákona č. 181/2008 Sb., které nejsou vymezen</w:t>
      </w:r>
      <w:r w:rsidR="005C18BD">
        <w:t>y</w:t>
      </w:r>
      <w:r w:rsidR="000158A3">
        <w:t xml:space="preserve"> v platné územní dokumentaci jako veřejně prospěšné stavby.</w:t>
      </w:r>
      <w:r w:rsidR="00DB768B">
        <w:br w:type="page"/>
      </w:r>
    </w:p>
    <w:p w14:paraId="5DA87BEB" w14:textId="5F866E0A" w:rsidR="00395345" w:rsidRDefault="00395345" w:rsidP="00A36661">
      <w:pPr>
        <w:pStyle w:val="Nadpis1"/>
        <w:numPr>
          <w:ilvl w:val="0"/>
          <w:numId w:val="0"/>
        </w:numPr>
        <w:spacing w:before="0" w:after="0"/>
      </w:pPr>
      <w:r w:rsidRPr="009E506C">
        <w:lastRenderedPageBreak/>
        <w:t>Seznam zkratek a pojmů</w:t>
      </w:r>
    </w:p>
    <w:p w14:paraId="23A6C6CE" w14:textId="77777777" w:rsidR="00A36661" w:rsidRDefault="00A36661" w:rsidP="00B03816">
      <w:pPr>
        <w:pStyle w:val="Text"/>
        <w:tabs>
          <w:tab w:val="left" w:pos="1418"/>
        </w:tabs>
        <w:spacing w:before="0"/>
      </w:pPr>
    </w:p>
    <w:p w14:paraId="67FABC31" w14:textId="77777777" w:rsidR="0059405F" w:rsidRDefault="0059405F" w:rsidP="00BB49AB">
      <w:pPr>
        <w:pStyle w:val="Text"/>
        <w:tabs>
          <w:tab w:val="left" w:pos="2268"/>
        </w:tabs>
        <w:spacing w:before="0" w:after="100"/>
        <w:jc w:val="left"/>
      </w:pPr>
      <w:r>
        <w:t>ČR</w:t>
      </w:r>
      <w:r>
        <w:tab/>
        <w:t>Česká republika</w:t>
      </w:r>
    </w:p>
    <w:p w14:paraId="19127FF7" w14:textId="682C6A79" w:rsidR="0059405F" w:rsidRDefault="0059405F" w:rsidP="00BB49AB">
      <w:pPr>
        <w:pStyle w:val="Text"/>
        <w:tabs>
          <w:tab w:val="left" w:pos="2268"/>
        </w:tabs>
        <w:spacing w:before="0" w:after="100"/>
        <w:jc w:val="left"/>
      </w:pPr>
      <w:r>
        <w:t>DOsVPR</w:t>
      </w:r>
      <w:r>
        <w:tab/>
      </w:r>
      <w:r w:rsidRPr="00110BF6">
        <w:t>dokumentace oblastí s významným povodňovým rizikem</w:t>
      </w:r>
    </w:p>
    <w:p w14:paraId="75C3EA3D" w14:textId="77777777" w:rsidR="0059405F" w:rsidRDefault="0059405F" w:rsidP="00BB49AB">
      <w:pPr>
        <w:pStyle w:val="Text"/>
        <w:tabs>
          <w:tab w:val="left" w:pos="2268"/>
        </w:tabs>
        <w:spacing w:before="0" w:after="100"/>
        <w:jc w:val="left"/>
      </w:pPr>
      <w:r>
        <w:t>EDS</w:t>
      </w:r>
      <w:r>
        <w:tab/>
      </w:r>
      <w:r w:rsidRPr="00BB49AB">
        <w:rPr>
          <w:i/>
        </w:rPr>
        <w:t>Evidenční dotační systém</w:t>
      </w:r>
    </w:p>
    <w:p w14:paraId="77FE193F" w14:textId="77777777" w:rsidR="0059405F" w:rsidRDefault="0059405F" w:rsidP="00BB49AB">
      <w:pPr>
        <w:pStyle w:val="Text"/>
        <w:tabs>
          <w:tab w:val="left" w:pos="2268"/>
        </w:tabs>
        <w:spacing w:before="0" w:after="100"/>
        <w:ind w:left="2268" w:hanging="2268"/>
        <w:jc w:val="left"/>
      </w:pPr>
      <w:r>
        <w:t xml:space="preserve">EEA </w:t>
      </w:r>
      <w:r>
        <w:tab/>
        <w:t>Evropská agentura pro životní prostředí (</w:t>
      </w:r>
      <w:r w:rsidRPr="00BB49AB">
        <w:t>European Environment Agency</w:t>
      </w:r>
      <w:r>
        <w:t>)</w:t>
      </w:r>
    </w:p>
    <w:p w14:paraId="6A1B8616" w14:textId="77777777" w:rsidR="0059405F" w:rsidRDefault="0059405F" w:rsidP="00BB49AB">
      <w:pPr>
        <w:pStyle w:val="Text"/>
        <w:tabs>
          <w:tab w:val="left" w:pos="2268"/>
        </w:tabs>
        <w:spacing w:before="0" w:after="100"/>
        <w:jc w:val="left"/>
      </w:pPr>
      <w:r>
        <w:t>EU</w:t>
      </w:r>
      <w:r>
        <w:tab/>
        <w:t>Evropská unie</w:t>
      </w:r>
    </w:p>
    <w:p w14:paraId="3CF3F21A" w14:textId="77777777" w:rsidR="0059405F" w:rsidRDefault="0059405F" w:rsidP="00BB49AB">
      <w:pPr>
        <w:pStyle w:val="Text"/>
        <w:tabs>
          <w:tab w:val="left" w:pos="2268"/>
        </w:tabs>
        <w:spacing w:before="0" w:after="100"/>
        <w:ind w:left="2268" w:hanging="2268"/>
        <w:jc w:val="left"/>
      </w:pPr>
      <w:r>
        <w:t>Koncepce 2010</w:t>
      </w:r>
      <w:r>
        <w:tab/>
      </w:r>
      <w:r w:rsidRPr="00BB49AB">
        <w:rPr>
          <w:i/>
        </w:rPr>
        <w:t>Koncepce řešení problematiky ochrany před povodněmi v České republice s využitím technických a přírodě blízkých opatření</w:t>
      </w:r>
    </w:p>
    <w:p w14:paraId="3F39FFCD" w14:textId="1AE27C0B" w:rsidR="0059405F" w:rsidRDefault="0059405F" w:rsidP="0059405F">
      <w:pPr>
        <w:pStyle w:val="Text"/>
        <w:tabs>
          <w:tab w:val="left" w:pos="2268"/>
        </w:tabs>
        <w:spacing w:before="0"/>
        <w:jc w:val="left"/>
      </w:pPr>
      <w:r>
        <w:t xml:space="preserve">kontrolované státní </w:t>
      </w:r>
      <w:r w:rsidR="00112EE1">
        <w:tab/>
      </w:r>
      <w:r w:rsidR="00112EE1" w:rsidRPr="00B03816">
        <w:t>Povodí Labe, státní podnik</w:t>
      </w:r>
      <w:r w:rsidR="00112EE1">
        <w:t xml:space="preserve">; </w:t>
      </w:r>
      <w:r w:rsidR="00112EE1" w:rsidRPr="00B03816">
        <w:t>Povodí Moravy, s.p.</w:t>
      </w:r>
      <w:r w:rsidR="00112EE1">
        <w:t xml:space="preserve">; </w:t>
      </w:r>
      <w:r w:rsidR="00112EE1" w:rsidRPr="00B03816">
        <w:t xml:space="preserve">Povodí Odry, státní </w:t>
      </w:r>
    </w:p>
    <w:p w14:paraId="759BAFCD" w14:textId="3454B50B" w:rsidR="0059405F" w:rsidRDefault="0059405F" w:rsidP="00BB49AB">
      <w:pPr>
        <w:pStyle w:val="Text"/>
        <w:tabs>
          <w:tab w:val="left" w:pos="2268"/>
        </w:tabs>
        <w:spacing w:before="0" w:after="100"/>
        <w:jc w:val="left"/>
      </w:pPr>
      <w:r>
        <w:t>podniky povodí</w:t>
      </w:r>
      <w:r w:rsidR="00112EE1">
        <w:tab/>
      </w:r>
      <w:r w:rsidR="00112EE1" w:rsidRPr="00B03816">
        <w:t>podnik</w:t>
      </w:r>
      <w:r w:rsidR="00112EE1">
        <w:t xml:space="preserve">; </w:t>
      </w:r>
      <w:r w:rsidR="00112EE1" w:rsidRPr="00B03816">
        <w:t>Povodí Vltavy, státní podnik</w:t>
      </w:r>
    </w:p>
    <w:p w14:paraId="70B43BF0" w14:textId="4BF44B0F" w:rsidR="0059405F" w:rsidRDefault="0059405F" w:rsidP="00BB49AB">
      <w:pPr>
        <w:pStyle w:val="Text"/>
        <w:tabs>
          <w:tab w:val="left" w:pos="2268"/>
        </w:tabs>
        <w:spacing w:before="0" w:after="100"/>
        <w:ind w:left="2268" w:hanging="2268"/>
        <w:jc w:val="left"/>
      </w:pPr>
      <w:r>
        <w:t>MS2014+</w:t>
      </w:r>
      <w:r>
        <w:tab/>
        <w:t>monitorovací systém evropských fondů pro programové období 2014–2020</w:t>
      </w:r>
    </w:p>
    <w:p w14:paraId="4D6C58C1" w14:textId="77777777" w:rsidR="0059405F" w:rsidRDefault="0059405F" w:rsidP="00BB49AB">
      <w:pPr>
        <w:pStyle w:val="Text"/>
        <w:tabs>
          <w:tab w:val="left" w:pos="2268"/>
        </w:tabs>
        <w:spacing w:before="0" w:after="100"/>
        <w:jc w:val="left"/>
      </w:pPr>
      <w:r>
        <w:t>MZe</w:t>
      </w:r>
      <w:r>
        <w:tab/>
        <w:t>Ministerstvo zemědělství</w:t>
      </w:r>
    </w:p>
    <w:p w14:paraId="5095B39D" w14:textId="18F7CBAE" w:rsidR="0059405F" w:rsidRDefault="0059405F" w:rsidP="00BB49AB">
      <w:pPr>
        <w:pStyle w:val="Text"/>
        <w:tabs>
          <w:tab w:val="left" w:pos="2268"/>
        </w:tabs>
        <w:spacing w:before="0" w:after="100"/>
        <w:jc w:val="left"/>
      </w:pPr>
      <w:r>
        <w:t>MŽP</w:t>
      </w:r>
      <w:r>
        <w:tab/>
        <w:t>Ministerstvo životního prostředí</w:t>
      </w:r>
    </w:p>
    <w:p w14:paraId="1A185D29" w14:textId="799BDB57" w:rsidR="0059405F" w:rsidRDefault="0059405F" w:rsidP="00BB49AB">
      <w:pPr>
        <w:pStyle w:val="Text"/>
        <w:tabs>
          <w:tab w:val="left" w:pos="2268"/>
        </w:tabs>
        <w:spacing w:before="0" w:after="100"/>
        <w:jc w:val="left"/>
      </w:pPr>
      <w:r>
        <w:t>NAP</w:t>
      </w:r>
      <w:r>
        <w:tab/>
      </w:r>
      <w:r w:rsidRPr="00BB49AB">
        <w:rPr>
          <w:i/>
        </w:rPr>
        <w:t>Národní akční plán adaptace na změnu klimatu</w:t>
      </w:r>
    </w:p>
    <w:p w14:paraId="33BAC08B" w14:textId="77777777" w:rsidR="0059405F" w:rsidRDefault="0059405F" w:rsidP="00BB49AB">
      <w:pPr>
        <w:pStyle w:val="Text"/>
        <w:tabs>
          <w:tab w:val="left" w:pos="2268"/>
        </w:tabs>
        <w:spacing w:before="0" w:after="100"/>
        <w:jc w:val="left"/>
      </w:pPr>
      <w:r>
        <w:t>NKÚ</w:t>
      </w:r>
      <w:r>
        <w:tab/>
        <w:t>Nejvyšší kontrolní úřad</w:t>
      </w:r>
    </w:p>
    <w:p w14:paraId="1E795563" w14:textId="75F05178" w:rsidR="0059405F" w:rsidRDefault="0059405F" w:rsidP="00BB49AB">
      <w:pPr>
        <w:pStyle w:val="Text"/>
        <w:tabs>
          <w:tab w:val="left" w:pos="2268"/>
        </w:tabs>
        <w:spacing w:before="0" w:after="100"/>
        <w:jc w:val="left"/>
      </w:pPr>
      <w:r>
        <w:t>OPŽP</w:t>
      </w:r>
      <w:r>
        <w:tab/>
        <w:t>o</w:t>
      </w:r>
      <w:r w:rsidRPr="00964C60">
        <w:t xml:space="preserve">perační program </w:t>
      </w:r>
      <w:r w:rsidRPr="00BB49AB">
        <w:rPr>
          <w:i/>
        </w:rPr>
        <w:t>Životní prostředí</w:t>
      </w:r>
    </w:p>
    <w:p w14:paraId="2FCD75FB" w14:textId="1F724C53" w:rsidR="0059405F" w:rsidRDefault="0059405F" w:rsidP="00BB49AB">
      <w:pPr>
        <w:pStyle w:val="Text"/>
        <w:tabs>
          <w:tab w:val="left" w:pos="2268"/>
        </w:tabs>
        <w:spacing w:before="0" w:after="100"/>
        <w:jc w:val="left"/>
      </w:pPr>
      <w:r>
        <w:t>PBPO</w:t>
      </w:r>
      <w:r>
        <w:tab/>
        <w:t>přírodě blízká protipovodňová opatření</w:t>
      </w:r>
    </w:p>
    <w:p w14:paraId="7833EECE" w14:textId="7EE6DCFF" w:rsidR="0059405F" w:rsidRDefault="0059405F" w:rsidP="00BB49AB">
      <w:pPr>
        <w:pStyle w:val="Text"/>
        <w:tabs>
          <w:tab w:val="left" w:pos="2268"/>
        </w:tabs>
        <w:spacing w:before="0" w:after="100"/>
        <w:jc w:val="left"/>
      </w:pPr>
      <w:r>
        <w:t>PO</w:t>
      </w:r>
      <w:r>
        <w:tab/>
        <w:t>prioritní osa/oblast</w:t>
      </w:r>
    </w:p>
    <w:p w14:paraId="7B5D3FC1" w14:textId="1ED72B84" w:rsidR="0059405F" w:rsidRDefault="0059405F" w:rsidP="00BB49AB">
      <w:pPr>
        <w:pStyle w:val="Text"/>
        <w:tabs>
          <w:tab w:val="left" w:pos="2268"/>
        </w:tabs>
        <w:spacing w:before="0" w:after="100"/>
        <w:jc w:val="left"/>
      </w:pPr>
      <w:r>
        <w:t>POVIS</w:t>
      </w:r>
      <w:r>
        <w:tab/>
      </w:r>
      <w:r w:rsidRPr="00BB49AB">
        <w:rPr>
          <w:i/>
        </w:rPr>
        <w:t>Povodňový informační systém</w:t>
      </w:r>
      <w:r>
        <w:t>, informační systém veřejné správy</w:t>
      </w:r>
    </w:p>
    <w:p w14:paraId="4363D71C" w14:textId="07534E89" w:rsidR="0059405F" w:rsidRDefault="0059405F" w:rsidP="00BB49AB">
      <w:pPr>
        <w:pStyle w:val="Text"/>
        <w:tabs>
          <w:tab w:val="left" w:pos="2268"/>
        </w:tabs>
        <w:spacing w:before="0" w:after="100"/>
        <w:jc w:val="left"/>
      </w:pPr>
      <w:r>
        <w:t>Povodí Labe</w:t>
      </w:r>
      <w:r>
        <w:tab/>
      </w:r>
      <w:r w:rsidRPr="00B03816">
        <w:t>Povodí Labe, státní podnik</w:t>
      </w:r>
    </w:p>
    <w:p w14:paraId="68401AB8" w14:textId="77777777" w:rsidR="0059405F" w:rsidRDefault="0059405F" w:rsidP="00BB49AB">
      <w:pPr>
        <w:pStyle w:val="Text"/>
        <w:tabs>
          <w:tab w:val="left" w:pos="1418"/>
          <w:tab w:val="left" w:pos="2268"/>
        </w:tabs>
        <w:spacing w:before="0" w:after="100"/>
        <w:jc w:val="left"/>
      </w:pPr>
      <w:r>
        <w:t>Povodí Moravy</w:t>
      </w:r>
      <w:r>
        <w:tab/>
      </w:r>
      <w:r w:rsidRPr="00B03816">
        <w:t>Povodí Moravy, s.p.</w:t>
      </w:r>
    </w:p>
    <w:p w14:paraId="7E4E04F8" w14:textId="4CAC9633" w:rsidR="0059405F" w:rsidRDefault="0059405F" w:rsidP="00BB49AB">
      <w:pPr>
        <w:pStyle w:val="Text"/>
        <w:tabs>
          <w:tab w:val="left" w:pos="2268"/>
        </w:tabs>
        <w:spacing w:before="0" w:after="100"/>
        <w:jc w:val="left"/>
      </w:pPr>
      <w:r>
        <w:t>Povodí Odry</w:t>
      </w:r>
      <w:r>
        <w:tab/>
      </w:r>
      <w:r w:rsidRPr="00B03816">
        <w:t>Povodí Odry, státní podnik</w:t>
      </w:r>
    </w:p>
    <w:p w14:paraId="12218F2A" w14:textId="2A7FAFF5" w:rsidR="0059405F" w:rsidRDefault="0059405F" w:rsidP="00BB49AB">
      <w:pPr>
        <w:pStyle w:val="Text"/>
        <w:tabs>
          <w:tab w:val="left" w:pos="2268"/>
        </w:tabs>
        <w:spacing w:before="0" w:after="100"/>
        <w:jc w:val="left"/>
      </w:pPr>
      <w:r>
        <w:t>Povodí Vltavy</w:t>
      </w:r>
      <w:r>
        <w:tab/>
      </w:r>
      <w:r w:rsidRPr="00B03816">
        <w:t>Povodí Vltavy, státní podnik</w:t>
      </w:r>
    </w:p>
    <w:p w14:paraId="2C7DF57B" w14:textId="312FA4B6" w:rsidR="0059405F" w:rsidRDefault="0059405F" w:rsidP="00BB49AB">
      <w:pPr>
        <w:pStyle w:val="Text"/>
        <w:tabs>
          <w:tab w:val="left" w:pos="2268"/>
        </w:tabs>
        <w:spacing w:before="0" w:after="100"/>
        <w:jc w:val="left"/>
      </w:pPr>
      <w:r>
        <w:t>PPO</w:t>
      </w:r>
      <w:r>
        <w:tab/>
        <w:t>protipovodňová opatření</w:t>
      </w:r>
    </w:p>
    <w:p w14:paraId="773F4480" w14:textId="02759E60" w:rsidR="0059405F" w:rsidRDefault="0059405F" w:rsidP="00BB49AB">
      <w:pPr>
        <w:pStyle w:val="Text"/>
        <w:tabs>
          <w:tab w:val="left" w:pos="2268"/>
        </w:tabs>
        <w:spacing w:before="0" w:after="100"/>
        <w:jc w:val="left"/>
      </w:pPr>
      <w:r>
        <w:t>PpZPR</w:t>
      </w:r>
      <w:r>
        <w:tab/>
        <w:t>plány pro zvládání povodňových rizik</w:t>
      </w:r>
    </w:p>
    <w:p w14:paraId="5133D404" w14:textId="23C7C3A0" w:rsidR="0059405F" w:rsidRPr="00820F49" w:rsidRDefault="0059405F" w:rsidP="00BB49AB">
      <w:pPr>
        <w:pStyle w:val="Text"/>
        <w:tabs>
          <w:tab w:val="left" w:pos="2268"/>
        </w:tabs>
        <w:spacing w:before="0" w:after="100"/>
        <w:jc w:val="left"/>
      </w:pPr>
      <w:r>
        <w:t>PÚR ČR</w:t>
      </w:r>
      <w:r>
        <w:tab/>
      </w:r>
      <w:r w:rsidRPr="00BB49AB">
        <w:rPr>
          <w:i/>
        </w:rPr>
        <w:t xml:space="preserve">Politika územního rozvoje České republiky ve znění </w:t>
      </w:r>
      <w:r>
        <w:rPr>
          <w:i/>
        </w:rPr>
        <w:t>a</w:t>
      </w:r>
      <w:r w:rsidRPr="00BB49AB">
        <w:rPr>
          <w:i/>
        </w:rPr>
        <w:t>ktualizace č. 1</w:t>
      </w:r>
    </w:p>
    <w:p w14:paraId="20563D81" w14:textId="7A35FBCF" w:rsidR="0059405F" w:rsidRDefault="0059405F" w:rsidP="00BB49AB">
      <w:pPr>
        <w:pStyle w:val="Text"/>
        <w:tabs>
          <w:tab w:val="left" w:pos="2268"/>
        </w:tabs>
        <w:spacing w:before="0" w:after="100"/>
        <w:jc w:val="left"/>
      </w:pPr>
      <w:r w:rsidRPr="009378F5">
        <w:t>RÚIAN</w:t>
      </w:r>
      <w:r>
        <w:tab/>
      </w:r>
      <w:r w:rsidRPr="00BB49AB">
        <w:rPr>
          <w:i/>
        </w:rPr>
        <w:t>Registr územní identifikace adres a nemovitostí</w:t>
      </w:r>
    </w:p>
    <w:p w14:paraId="27824B44" w14:textId="3FDE82D9" w:rsidR="0059405F" w:rsidRDefault="0059405F" w:rsidP="00BB49AB">
      <w:pPr>
        <w:pStyle w:val="Text"/>
        <w:tabs>
          <w:tab w:val="left" w:pos="2268"/>
        </w:tabs>
        <w:spacing w:before="0" w:after="100"/>
        <w:jc w:val="left"/>
      </w:pPr>
      <w:r>
        <w:t>SC</w:t>
      </w:r>
      <w:r>
        <w:tab/>
        <w:t>specifický cíl (v rámci OPŽP)</w:t>
      </w:r>
    </w:p>
    <w:p w14:paraId="4C8E3B88" w14:textId="58EE3C7A" w:rsidR="0059405F" w:rsidRDefault="0059405F" w:rsidP="00BB49AB">
      <w:pPr>
        <w:pStyle w:val="Text"/>
        <w:tabs>
          <w:tab w:val="left" w:pos="2268"/>
        </w:tabs>
        <w:spacing w:before="0" w:after="100"/>
        <w:jc w:val="left"/>
      </w:pPr>
      <w:r>
        <w:t>SFŽP</w:t>
      </w:r>
      <w:r>
        <w:tab/>
        <w:t>Státní fond životního prostředí České republiky</w:t>
      </w:r>
    </w:p>
    <w:p w14:paraId="4692F80D" w14:textId="4875CD19" w:rsidR="00710653" w:rsidRDefault="00710653" w:rsidP="00BB49AB">
      <w:pPr>
        <w:pStyle w:val="Text"/>
        <w:tabs>
          <w:tab w:val="left" w:pos="2268"/>
        </w:tabs>
        <w:spacing w:before="0"/>
        <w:jc w:val="left"/>
      </w:pPr>
    </w:p>
    <w:p w14:paraId="6A4A033C" w14:textId="7A2CC3F7" w:rsidR="00710653" w:rsidRDefault="00710653" w:rsidP="00BB49AB">
      <w:pPr>
        <w:pStyle w:val="Text"/>
        <w:tabs>
          <w:tab w:val="left" w:pos="2268"/>
        </w:tabs>
        <w:spacing w:before="0"/>
        <w:jc w:val="left"/>
      </w:pPr>
    </w:p>
    <w:p w14:paraId="1B715C19" w14:textId="1E7FA8B5" w:rsidR="00710653" w:rsidRDefault="00710653" w:rsidP="00A05A93">
      <w:pPr>
        <w:pStyle w:val="Text"/>
        <w:tabs>
          <w:tab w:val="left" w:pos="2268"/>
        </w:tabs>
        <w:spacing w:before="0" w:after="100"/>
        <w:jc w:val="left"/>
      </w:pPr>
      <w:r w:rsidRPr="00BB49AB">
        <w:rPr>
          <w:b/>
        </w:rPr>
        <w:t>povodňová směrnice</w:t>
      </w:r>
      <w:r w:rsidR="00684192">
        <w:t xml:space="preserve"> – směrnice</w:t>
      </w:r>
      <w:bookmarkStart w:id="1" w:name="_GoBack"/>
      <w:bookmarkEnd w:id="1"/>
      <w:r>
        <w:t xml:space="preserve"> Evropského parlamentu a Rady 2007/60/ES</w:t>
      </w:r>
    </w:p>
    <w:p w14:paraId="66E6DDF5" w14:textId="12AA48EE" w:rsidR="00710653" w:rsidRDefault="00710653" w:rsidP="00710653">
      <w:pPr>
        <w:pStyle w:val="Text"/>
        <w:tabs>
          <w:tab w:val="left" w:pos="2268"/>
        </w:tabs>
        <w:spacing w:before="0" w:after="100"/>
        <w:jc w:val="left"/>
      </w:pPr>
      <w:r w:rsidRPr="00BB49AB">
        <w:rPr>
          <w:b/>
        </w:rPr>
        <w:t>rámcová směrnice o vodách</w:t>
      </w:r>
      <w:r>
        <w:t xml:space="preserve"> – směrnice</w:t>
      </w:r>
      <w:r w:rsidRPr="00710653">
        <w:t xml:space="preserve"> </w:t>
      </w:r>
      <w:r>
        <w:t>Evropského parlamentu a Rady 2000/60/ES</w:t>
      </w:r>
    </w:p>
    <w:p w14:paraId="48CC3498" w14:textId="3B358727" w:rsidR="00395345" w:rsidRDefault="00395345" w:rsidP="00416C84">
      <w:pPr>
        <w:pStyle w:val="Text"/>
        <w:tabs>
          <w:tab w:val="left" w:pos="1276"/>
        </w:tabs>
        <w:spacing w:before="0" w:after="80"/>
        <w:jc w:val="left"/>
      </w:pPr>
      <w:r>
        <w:br w:type="page"/>
      </w:r>
    </w:p>
    <w:p w14:paraId="0926EEF5" w14:textId="23CF52C2" w:rsidR="0091498D" w:rsidRPr="009B1C76" w:rsidRDefault="00395345" w:rsidP="002C65A9">
      <w:pPr>
        <w:pStyle w:val="Nadpis1"/>
        <w:numPr>
          <w:ilvl w:val="0"/>
          <w:numId w:val="0"/>
        </w:numPr>
        <w:tabs>
          <w:tab w:val="left" w:pos="1985"/>
        </w:tabs>
        <w:spacing w:before="120" w:after="0"/>
        <w:ind w:left="431" w:hanging="431"/>
        <w:rPr>
          <w:sz w:val="24"/>
          <w:lang w:eastAsia="cs-CZ"/>
        </w:rPr>
      </w:pPr>
      <w:r w:rsidRPr="00CD31F9">
        <w:rPr>
          <w:sz w:val="24"/>
          <w:lang w:eastAsia="cs-CZ"/>
        </w:rPr>
        <w:lastRenderedPageBreak/>
        <w:t>Příloh</w:t>
      </w:r>
      <w:r w:rsidR="001E23B0">
        <w:rPr>
          <w:sz w:val="24"/>
          <w:lang w:eastAsia="cs-CZ"/>
        </w:rPr>
        <w:t>a č. 1</w:t>
      </w:r>
      <w:r w:rsidR="009B1C76">
        <w:rPr>
          <w:sz w:val="24"/>
          <w:lang w:eastAsia="cs-CZ"/>
        </w:rPr>
        <w:t xml:space="preserve">: </w:t>
      </w:r>
      <w:r w:rsidR="0091498D" w:rsidRPr="00BB49AB">
        <w:rPr>
          <w:b w:val="0"/>
          <w:sz w:val="24"/>
        </w:rPr>
        <w:t>Přehled významných povodní a jej</w:t>
      </w:r>
      <w:r w:rsidR="006E0E7F" w:rsidRPr="00BB49AB">
        <w:rPr>
          <w:b w:val="0"/>
          <w:sz w:val="24"/>
        </w:rPr>
        <w:t>i</w:t>
      </w:r>
      <w:r w:rsidR="0091498D" w:rsidRPr="00BB49AB">
        <w:rPr>
          <w:b w:val="0"/>
          <w:sz w:val="24"/>
        </w:rPr>
        <w:t>ch známých důsledků v letech 1997 až 2013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1498D" w:rsidRPr="009B1C76" w14:paraId="2B085B2B" w14:textId="77777777" w:rsidTr="009B1C76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4D07B7D" w14:textId="7AFCC03C" w:rsidR="0091498D" w:rsidRPr="009B1C76" w:rsidRDefault="009B1C76" w:rsidP="009B1C7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Povodeň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D1E2201" w14:textId="075BD580" w:rsidR="0091498D" w:rsidRPr="009B1C76" w:rsidRDefault="0091498D" w:rsidP="009B1C7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Škody na majetku (</w:t>
            </w:r>
            <w:r w:rsidR="006E0E7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v </w:t>
            </w:r>
            <w:r w:rsidRPr="009B1C7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mld. Kč)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80B7806" w14:textId="77777777" w:rsidR="0091498D" w:rsidRPr="009B1C76" w:rsidRDefault="0091498D" w:rsidP="009B1C7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Lidské oběti</w:t>
            </w:r>
          </w:p>
        </w:tc>
      </w:tr>
      <w:tr w:rsidR="0091498D" w:rsidRPr="009B1C76" w14:paraId="2F146326" w14:textId="77777777" w:rsidTr="009B1C76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A9E440E" w14:textId="77777777" w:rsidR="0091498D" w:rsidRPr="009B1C76" w:rsidRDefault="0091498D" w:rsidP="0091498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Červenec 1997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B936" w14:textId="77777777" w:rsidR="0091498D" w:rsidRPr="009B1C76" w:rsidRDefault="0091498D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62,6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044B" w14:textId="160F74CB" w:rsidR="0091498D" w:rsidRPr="009B1C76" w:rsidRDefault="0091498D" w:rsidP="006E0E7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</w:t>
            </w:r>
            <w:r w:rsidR="006E0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–</w:t>
            </w: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</w:t>
            </w:r>
          </w:p>
        </w:tc>
      </w:tr>
      <w:tr w:rsidR="0091498D" w:rsidRPr="009B1C76" w14:paraId="04EF4DFD" w14:textId="77777777" w:rsidTr="009B1C76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C2C8198" w14:textId="77777777" w:rsidR="0091498D" w:rsidRPr="009B1C76" w:rsidRDefault="0091498D" w:rsidP="0091498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Červenec 1998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876D" w14:textId="77777777" w:rsidR="0091498D" w:rsidRPr="009B1C76" w:rsidRDefault="0091498D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1,8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26F5" w14:textId="77777777" w:rsidR="0091498D" w:rsidRPr="009B1C76" w:rsidRDefault="0091498D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91498D" w:rsidRPr="009B1C76" w14:paraId="2A8C5B18" w14:textId="77777777" w:rsidTr="009B1C76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B8F933D" w14:textId="77777777" w:rsidR="0091498D" w:rsidRPr="009B1C76" w:rsidRDefault="0091498D" w:rsidP="0091498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Březen 2000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6B11" w14:textId="77777777" w:rsidR="0091498D" w:rsidRPr="009B1C76" w:rsidRDefault="0091498D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3,8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5832" w14:textId="77777777" w:rsidR="0091498D" w:rsidRPr="009B1C76" w:rsidRDefault="0091498D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91498D" w:rsidRPr="009B1C76" w14:paraId="3EAE8920" w14:textId="77777777" w:rsidTr="009B1C76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58F74E5" w14:textId="77777777" w:rsidR="0091498D" w:rsidRPr="009B1C76" w:rsidRDefault="0091498D" w:rsidP="0091498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Srpen 2002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527A" w14:textId="77777777" w:rsidR="0091498D" w:rsidRPr="009B1C76" w:rsidRDefault="0091498D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73,1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F1A1" w14:textId="048947F6" w:rsidR="0091498D" w:rsidRPr="009B1C76" w:rsidRDefault="0091498D" w:rsidP="006E0E7F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</w:t>
            </w:r>
            <w:r w:rsidR="006E0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–</w:t>
            </w: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</w:t>
            </w:r>
          </w:p>
        </w:tc>
      </w:tr>
      <w:tr w:rsidR="0091498D" w:rsidRPr="009B1C76" w14:paraId="18D7C722" w14:textId="77777777" w:rsidTr="009B1C76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8CF7015" w14:textId="77777777" w:rsidR="0091498D" w:rsidRPr="009B1C76" w:rsidRDefault="0091498D" w:rsidP="0091498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Březen/duben 2006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BF34" w14:textId="77777777" w:rsidR="0091498D" w:rsidRPr="009B1C76" w:rsidRDefault="0091498D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051C" w14:textId="77777777" w:rsidR="0091498D" w:rsidRPr="009B1C76" w:rsidRDefault="0091498D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  <w:tr w:rsidR="0091498D" w:rsidRPr="009B1C76" w14:paraId="1CE64B67" w14:textId="77777777" w:rsidTr="009B1C76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8FF3387" w14:textId="77777777" w:rsidR="0091498D" w:rsidRPr="009B1C76" w:rsidRDefault="0091498D" w:rsidP="0091498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Červen 2006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8327" w14:textId="2D016B8E" w:rsidR="0091498D" w:rsidRPr="009B1C76" w:rsidRDefault="006E0E7F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</w:t>
            </w:r>
            <w:r w:rsidR="0091498D"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ejsou známy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6975" w14:textId="2A87E275" w:rsidR="0091498D" w:rsidRPr="009B1C76" w:rsidRDefault="006E0E7F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</w:t>
            </w:r>
            <w:r w:rsidR="0091498D"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ejsou známy</w:t>
            </w:r>
          </w:p>
        </w:tc>
      </w:tr>
      <w:tr w:rsidR="0091498D" w:rsidRPr="009B1C76" w14:paraId="38961C7F" w14:textId="77777777" w:rsidTr="009B1C76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9E7741A" w14:textId="77777777" w:rsidR="0091498D" w:rsidRPr="009B1C76" w:rsidRDefault="0091498D" w:rsidP="0091498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Červen/červenec 2009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EBF0" w14:textId="77777777" w:rsidR="0091498D" w:rsidRPr="009B1C76" w:rsidRDefault="0091498D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8,5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3A4A" w14:textId="77777777" w:rsidR="0091498D" w:rsidRPr="009B1C76" w:rsidRDefault="0091498D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</w:t>
            </w:r>
          </w:p>
        </w:tc>
      </w:tr>
      <w:tr w:rsidR="0091498D" w:rsidRPr="009B1C76" w14:paraId="21A93D8A" w14:textId="77777777" w:rsidTr="009B1C76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1D01863" w14:textId="77777777" w:rsidR="0091498D" w:rsidRPr="009B1C76" w:rsidRDefault="0091498D" w:rsidP="0091498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Květen/červen 2010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8F84" w14:textId="77777777" w:rsidR="0091498D" w:rsidRPr="009B1C76" w:rsidRDefault="0091498D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5,1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9709" w14:textId="77777777" w:rsidR="0091498D" w:rsidRPr="009B1C76" w:rsidRDefault="0091498D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91498D" w:rsidRPr="009B1C76" w14:paraId="75405FDF" w14:textId="77777777" w:rsidTr="009B1C76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4AAA7FA" w14:textId="77777777" w:rsidR="0091498D" w:rsidRPr="009B1C76" w:rsidRDefault="0091498D" w:rsidP="0091498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Srpen 2010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21A6" w14:textId="77777777" w:rsidR="0091498D" w:rsidRPr="009B1C76" w:rsidRDefault="0091498D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10,1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B2A6" w14:textId="77777777" w:rsidR="0091498D" w:rsidRPr="009B1C76" w:rsidRDefault="0091498D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91498D" w:rsidRPr="009B1C76" w14:paraId="45C769C3" w14:textId="77777777" w:rsidTr="009B1C76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1AAD87C" w14:textId="77777777" w:rsidR="0091498D" w:rsidRPr="009B1C76" w:rsidRDefault="0091498D" w:rsidP="0091498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Červen 2013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EB3B" w14:textId="77777777" w:rsidR="0091498D" w:rsidRPr="009B1C76" w:rsidRDefault="0091498D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15,4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1CA2" w14:textId="77777777" w:rsidR="0091498D" w:rsidRPr="009B1C76" w:rsidRDefault="0091498D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</w:t>
            </w:r>
          </w:p>
        </w:tc>
      </w:tr>
      <w:tr w:rsidR="0091498D" w:rsidRPr="009B1C76" w14:paraId="5D97DD93" w14:textId="77777777" w:rsidTr="009B1C76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E3141DF" w14:textId="77777777" w:rsidR="0091498D" w:rsidRPr="009B1C76" w:rsidRDefault="0091498D" w:rsidP="0091498D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CE4C" w14:textId="77777777" w:rsidR="0091498D" w:rsidRPr="009B1C76" w:rsidRDefault="0091498D" w:rsidP="009B1C7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186,4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FB9F" w14:textId="3A075B00" w:rsidR="0091498D" w:rsidRPr="009B1C76" w:rsidRDefault="0091498D" w:rsidP="006E0E7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123</w:t>
            </w:r>
            <w:r w:rsidR="006E0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  <w:r w:rsidRPr="009B1C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135</w:t>
            </w:r>
          </w:p>
        </w:tc>
      </w:tr>
    </w:tbl>
    <w:p w14:paraId="24086B86" w14:textId="52388277" w:rsidR="009B1C76" w:rsidRDefault="009B1C76" w:rsidP="009B1C76">
      <w:pPr>
        <w:pStyle w:val="Zdrojapozn"/>
      </w:pPr>
      <w:r w:rsidRPr="00BB49AB">
        <w:rPr>
          <w:b/>
        </w:rPr>
        <w:t>Zdroj:</w:t>
      </w:r>
      <w:r>
        <w:t xml:space="preserve"> Aktualizace a přezkum předběžného vyhodnocení povodňových rizik v ČR 2018, verze 1.0</w:t>
      </w:r>
      <w:r w:rsidR="000136D8">
        <w:t>.</w:t>
      </w:r>
    </w:p>
    <w:p w14:paraId="61C7DF17" w14:textId="172FBE43" w:rsidR="0040458A" w:rsidRPr="009B1C76" w:rsidRDefault="00A61BF5" w:rsidP="00A05A93">
      <w:pPr>
        <w:pStyle w:val="Nadpis1"/>
        <w:numPr>
          <w:ilvl w:val="0"/>
          <w:numId w:val="0"/>
        </w:numPr>
        <w:tabs>
          <w:tab w:val="left" w:pos="1985"/>
          <w:tab w:val="right" w:pos="9072"/>
        </w:tabs>
        <w:spacing w:before="120" w:after="0"/>
        <w:ind w:left="431" w:hanging="431"/>
        <w:rPr>
          <w:sz w:val="24"/>
          <w:lang w:eastAsia="cs-CZ"/>
        </w:rPr>
      </w:pPr>
      <w:r w:rsidRPr="00CD31F9">
        <w:rPr>
          <w:sz w:val="24"/>
          <w:lang w:eastAsia="cs-CZ"/>
        </w:rPr>
        <w:t>Příloh</w:t>
      </w:r>
      <w:r>
        <w:rPr>
          <w:sz w:val="24"/>
          <w:lang w:eastAsia="cs-CZ"/>
        </w:rPr>
        <w:t>a č. 2</w:t>
      </w:r>
      <w:r w:rsidR="009B1C76">
        <w:rPr>
          <w:sz w:val="24"/>
          <w:lang w:eastAsia="cs-CZ"/>
        </w:rPr>
        <w:t xml:space="preserve">: </w:t>
      </w:r>
      <w:r w:rsidR="0040458A" w:rsidRPr="00BB49AB">
        <w:rPr>
          <w:b w:val="0"/>
          <w:sz w:val="24"/>
        </w:rPr>
        <w:t>Projekty kontrolované u SFŽP</w:t>
      </w:r>
      <w:r w:rsidR="002C65A9" w:rsidRPr="00BB49AB">
        <w:rPr>
          <w:b w:val="0"/>
          <w:sz w:val="24"/>
        </w:rPr>
        <w:tab/>
        <w:t>(v Kč)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2832"/>
        <w:gridCol w:w="2179"/>
        <w:gridCol w:w="1840"/>
        <w:gridCol w:w="1840"/>
      </w:tblGrid>
      <w:tr w:rsidR="009B1C76" w:rsidRPr="0040458A" w14:paraId="0DEEAC20" w14:textId="77777777" w:rsidTr="009B1C76">
        <w:trPr>
          <w:trHeight w:val="2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0FBB30A6" w14:textId="77777777" w:rsidR="0040458A" w:rsidRPr="0040458A" w:rsidRDefault="0040458A" w:rsidP="004045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SC</w:t>
            </w: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1B4601FC" w14:textId="77777777" w:rsidR="0040458A" w:rsidRPr="0040458A" w:rsidRDefault="0040458A" w:rsidP="004045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Registrační číslo projektu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67C6E46E" w14:textId="77777777" w:rsidR="0040458A" w:rsidRPr="0040458A" w:rsidRDefault="0040458A" w:rsidP="004045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Žadatel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4363F87" w14:textId="77777777" w:rsidR="0040458A" w:rsidRPr="0040458A" w:rsidRDefault="0040458A" w:rsidP="004045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Příspěvek EU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403009A4" w14:textId="77777777" w:rsidR="0040458A" w:rsidRPr="0040458A" w:rsidRDefault="0040458A" w:rsidP="004045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Proplaceno žadatelům</w:t>
            </w:r>
          </w:p>
        </w:tc>
      </w:tr>
      <w:tr w:rsidR="009B1C76" w:rsidRPr="0040458A" w14:paraId="0BE157B9" w14:textId="77777777" w:rsidTr="009B1C76">
        <w:trPr>
          <w:trHeight w:val="20"/>
        </w:trPr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84E0F69" w14:textId="77777777" w:rsidR="0040458A" w:rsidRPr="0040458A" w:rsidRDefault="0040458A" w:rsidP="004045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1.3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E313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CZ.05.1.24/0.0/0.0/16_034/0002108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FEA9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Obec Otaslavice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5A0E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5 630 901,50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C1EC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5 630 901,44</w:t>
            </w:r>
          </w:p>
        </w:tc>
      </w:tr>
      <w:tr w:rsidR="009B1C76" w:rsidRPr="0040458A" w14:paraId="2F524117" w14:textId="77777777" w:rsidTr="009B1C76">
        <w:trPr>
          <w:trHeight w:val="2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EEF17A4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DAB4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CZ.05.1.24/0.0/0.0/16_034/0002319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E2FD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Obec Vratěnín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D535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2 732 988,25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2F2B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2 732 988,24</w:t>
            </w:r>
          </w:p>
        </w:tc>
      </w:tr>
      <w:tr w:rsidR="009B1C76" w:rsidRPr="0040458A" w14:paraId="433B2E7E" w14:textId="77777777" w:rsidTr="009B1C76">
        <w:trPr>
          <w:trHeight w:val="2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197D93D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B062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CZ.05.1.24/0.0/0.0/16_034/0002335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746B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Město Aš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29DA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4 392 794,91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6922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4 392 692,91</w:t>
            </w:r>
          </w:p>
        </w:tc>
      </w:tr>
      <w:tr w:rsidR="009B1C76" w:rsidRPr="0040458A" w14:paraId="5D2D7BC5" w14:textId="77777777" w:rsidTr="009B1C76">
        <w:trPr>
          <w:trHeight w:val="2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0737C67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5315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CZ.05.1.24/0.0/0.0/17_062/0005927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3A67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Obec Zašová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38F0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1 481 957,82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3FE1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1 481 957,82</w:t>
            </w:r>
          </w:p>
        </w:tc>
      </w:tr>
      <w:tr w:rsidR="009B1C76" w:rsidRPr="0040458A" w14:paraId="5CAA9965" w14:textId="77777777" w:rsidTr="009B1C76">
        <w:trPr>
          <w:trHeight w:val="2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4F21706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0E95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CZ.05.1.24/0.0/0.0/17_062/0005935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35F4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Město Chodov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CAF3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1 739 327,22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A91C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1 739 327,22</w:t>
            </w:r>
          </w:p>
        </w:tc>
      </w:tr>
      <w:tr w:rsidR="009B1C76" w:rsidRPr="0040458A" w14:paraId="729D047E" w14:textId="77777777" w:rsidTr="009B1C76">
        <w:trPr>
          <w:trHeight w:val="2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7CBAC35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3209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CZ.05.1.24/0.0/0.0/16_034/0002269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79BB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Obec Rapotín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DB84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326 054 453,36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35F6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90 873 313,78</w:t>
            </w:r>
          </w:p>
        </w:tc>
      </w:tr>
      <w:tr w:rsidR="009B1C76" w:rsidRPr="0040458A" w14:paraId="7CE81D7D" w14:textId="77777777" w:rsidTr="009B1C76">
        <w:trPr>
          <w:trHeight w:val="2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CC245B8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65B5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CZ.05.1.24/0.0/0.0/17_074/0006441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DA1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AOPK ČR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1144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41 844 426,62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2722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1C76" w:rsidRPr="0040458A" w14:paraId="298BB197" w14:textId="77777777" w:rsidTr="009B1C76">
        <w:trPr>
          <w:trHeight w:val="2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FC031F4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4D0F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CZ.05.1.24/0.0/0.0/17_062/0005901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1630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Město Semily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EBD4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11 968 041,03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0D4A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1C76" w:rsidRPr="0040458A" w14:paraId="4F955BEF" w14:textId="77777777" w:rsidTr="009B1C76">
        <w:trPr>
          <w:trHeight w:val="2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F28C24C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D2A7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CZ.05.1.24/0.0/0.0/17_074/0007051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F9A8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Obec Cehnice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6338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13 558 657,70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363B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2 238 728,30</w:t>
            </w:r>
          </w:p>
        </w:tc>
      </w:tr>
      <w:tr w:rsidR="009B1C76" w:rsidRPr="0040458A" w14:paraId="79E1802E" w14:textId="77777777" w:rsidTr="009B1C76">
        <w:trPr>
          <w:trHeight w:val="2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FF4CC3F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605B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CZ.05.1.24/0.0/0.0/17_074/0006995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6A3C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Obec Zlobice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5E35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12 916 166,59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EC00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8 927 548,39</w:t>
            </w:r>
          </w:p>
        </w:tc>
      </w:tr>
      <w:tr w:rsidR="009B1C76" w:rsidRPr="0040458A" w14:paraId="143A594B" w14:textId="77777777" w:rsidTr="009B1C76">
        <w:trPr>
          <w:trHeight w:val="2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AFF7027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F1FF"/>
            <w:noWrap/>
            <w:vAlign w:val="center"/>
            <w:hideMark/>
          </w:tcPr>
          <w:p w14:paraId="147E635C" w14:textId="79005DA0" w:rsidR="0040458A" w:rsidRPr="0040458A" w:rsidRDefault="0040458A" w:rsidP="006E0E7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</w:t>
            </w:r>
            <w:r w:rsidR="006E0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elkem</w:t>
            </w:r>
            <w:r w:rsidRPr="004045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SC 1.3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7612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422 319 715,00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6C7A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118 017 458,10</w:t>
            </w:r>
          </w:p>
        </w:tc>
      </w:tr>
      <w:tr w:rsidR="009B1C76" w:rsidRPr="0040458A" w14:paraId="690FC035" w14:textId="77777777" w:rsidTr="009B1C76">
        <w:trPr>
          <w:trHeight w:val="20"/>
        </w:trPr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D8044FA" w14:textId="77777777" w:rsidR="0040458A" w:rsidRPr="0040458A" w:rsidRDefault="0040458A" w:rsidP="0040458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1.4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DD2C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CZ.05.1.24/0.0/0.0/15_004/0000544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BD3A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Obce pro Baťův kanál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FE30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18 416 470,10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400A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18 416 469,40</w:t>
            </w:r>
          </w:p>
        </w:tc>
      </w:tr>
      <w:tr w:rsidR="009B1C76" w:rsidRPr="0040458A" w14:paraId="53D064EA" w14:textId="77777777" w:rsidTr="009B1C76">
        <w:trPr>
          <w:trHeight w:val="2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C4DA5C5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3B59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CZ.05.1.24/0.0/0.0/16_035/0002105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BBCB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Statutární město Zlín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3B41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10 729 864,60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04A7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10 729 864,46</w:t>
            </w:r>
          </w:p>
        </w:tc>
      </w:tr>
      <w:tr w:rsidR="009B1C76" w:rsidRPr="0040458A" w14:paraId="6A1F4AC4" w14:textId="77777777" w:rsidTr="009B1C76">
        <w:trPr>
          <w:trHeight w:val="2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CBC5493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76FF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CZ.05.1.24/0.0/0.0/15_004/0000769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0E8B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Město Nymburk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D8A5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9 385 271,00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E5DE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9 341 565,80</w:t>
            </w:r>
          </w:p>
        </w:tc>
      </w:tr>
      <w:tr w:rsidR="009B1C76" w:rsidRPr="0040458A" w14:paraId="174D11B9" w14:textId="77777777" w:rsidTr="009B1C76">
        <w:trPr>
          <w:trHeight w:val="2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D84283B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2FE8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CZ.05.1.24/0.0/0.0/15_004/0000708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B444" w14:textId="7AB94FC4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Jihomoravský kraj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7E81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3 695 400,50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E0A0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3 695 400,50</w:t>
            </w:r>
          </w:p>
        </w:tc>
      </w:tr>
      <w:tr w:rsidR="009B1C76" w:rsidRPr="0040458A" w14:paraId="064EC138" w14:textId="77777777" w:rsidTr="009B1C76">
        <w:trPr>
          <w:trHeight w:val="2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2ADB782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ACC6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CZ.05.1.24/0.0/0.0/15_004/0000274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AC4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Obec Mikulovice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BBBA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3 199 989,80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7CB9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3 199 989,80</w:t>
            </w:r>
          </w:p>
        </w:tc>
      </w:tr>
      <w:tr w:rsidR="009B1C76" w:rsidRPr="0040458A" w14:paraId="6152D9C1" w14:textId="77777777" w:rsidTr="009B1C76">
        <w:trPr>
          <w:trHeight w:val="2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6572623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C74F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CZ.05.1.24/0.0/0.0/18_096/0007472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FD30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Povodí Moravy, s.p.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EBF6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33 395 208,00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7D3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1C76" w:rsidRPr="0040458A" w14:paraId="0C14A985" w14:textId="77777777" w:rsidTr="009B1C76">
        <w:trPr>
          <w:trHeight w:val="2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278B27B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EBB5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CZ.05.1.24/0.0/0.0/17_064/0005338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3C1F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Povodí Labe, státní podnik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420A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32 760 504,50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25C4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4 191 426,50</w:t>
            </w:r>
          </w:p>
        </w:tc>
      </w:tr>
      <w:tr w:rsidR="009B1C76" w:rsidRPr="0040458A" w14:paraId="62265250" w14:textId="77777777" w:rsidTr="009B1C76">
        <w:trPr>
          <w:trHeight w:val="2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FB81A94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4947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CZ.05.1.24/0.0/0.0/17_064/0005368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F465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Povodí Vltavy, státní podnik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AB18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28 045 738,10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A0D8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51 013,60</w:t>
            </w:r>
          </w:p>
        </w:tc>
      </w:tr>
      <w:tr w:rsidR="009B1C76" w:rsidRPr="0040458A" w14:paraId="4B2D1BCE" w14:textId="77777777" w:rsidTr="009B1C76">
        <w:trPr>
          <w:trHeight w:val="2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330AAB7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1EA6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CZ.05.1.24/0.0/0.0/17_063/0005242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9D00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Statutární město Olomouc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C28C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52 422 028,33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3B84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762 744,50</w:t>
            </w:r>
          </w:p>
        </w:tc>
      </w:tr>
      <w:tr w:rsidR="009B1C76" w:rsidRPr="0040458A" w14:paraId="39865CD1" w14:textId="77777777" w:rsidTr="009B1C76">
        <w:trPr>
          <w:trHeight w:val="2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C909A69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692F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CZ.05.1.24/0.0/0.0/18_096/0008315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355F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Povodí Moravy, s.p.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5CBE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34 219 034,61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E00F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B1C76" w:rsidRPr="0040458A" w14:paraId="10B3AFF5" w14:textId="77777777" w:rsidTr="009B1C76">
        <w:trPr>
          <w:trHeight w:val="20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2A38EB2" w14:textId="77777777" w:rsidR="0040458A" w:rsidRPr="0040458A" w:rsidRDefault="0040458A" w:rsidP="0040458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F1FF"/>
            <w:noWrap/>
            <w:vAlign w:val="center"/>
            <w:hideMark/>
          </w:tcPr>
          <w:p w14:paraId="07A63B87" w14:textId="09AD32C8" w:rsidR="0040458A" w:rsidRPr="0040458A" w:rsidRDefault="0040458A" w:rsidP="006E0E7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</w:t>
            </w:r>
            <w:r w:rsidR="006E0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elkem</w:t>
            </w:r>
            <w:r w:rsidRPr="004045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SC 1.4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5D13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226 269 509,54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49C4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50 388 474,56</w:t>
            </w:r>
          </w:p>
        </w:tc>
      </w:tr>
      <w:tr w:rsidR="009B1C76" w:rsidRPr="0040458A" w14:paraId="054AB950" w14:textId="77777777" w:rsidTr="009B1C76">
        <w:trPr>
          <w:trHeight w:val="20"/>
        </w:trPr>
        <w:tc>
          <w:tcPr>
            <w:tcW w:w="29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87215FB" w14:textId="65A16701" w:rsidR="0040458A" w:rsidRPr="0040458A" w:rsidRDefault="0040458A" w:rsidP="006E0E7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</w:t>
            </w:r>
            <w:r w:rsidR="006E0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elkem</w:t>
            </w:r>
            <w:r w:rsidR="002C65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SC 1.3 a 1.4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1F11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648 589 224,54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A3B2" w14:textId="77777777" w:rsidR="0040458A" w:rsidRPr="0040458A" w:rsidRDefault="0040458A" w:rsidP="0040458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045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168 405 932,66</w:t>
            </w:r>
          </w:p>
        </w:tc>
      </w:tr>
    </w:tbl>
    <w:p w14:paraId="525E2A07" w14:textId="1F49D695" w:rsidR="009B1C76" w:rsidRDefault="002E3BAB" w:rsidP="009B1C76">
      <w:pPr>
        <w:pStyle w:val="Zdrojapozn"/>
      </w:pPr>
      <w:r w:rsidRPr="00BB49AB">
        <w:rPr>
          <w:b/>
        </w:rPr>
        <w:t>Zdroj:</w:t>
      </w:r>
      <w:r>
        <w:t xml:space="preserve"> MS</w:t>
      </w:r>
      <w:r w:rsidR="009B1C76">
        <w:t>2014+, podklady SFŽP</w:t>
      </w:r>
      <w:r w:rsidR="000136D8">
        <w:t>.</w:t>
      </w:r>
    </w:p>
    <w:p w14:paraId="49DEEC92" w14:textId="4369963E" w:rsidR="0040458A" w:rsidRPr="009B1C76" w:rsidRDefault="0040458A" w:rsidP="00A05A93">
      <w:pPr>
        <w:pStyle w:val="Nadpis1"/>
        <w:numPr>
          <w:ilvl w:val="0"/>
          <w:numId w:val="0"/>
        </w:numPr>
        <w:tabs>
          <w:tab w:val="left" w:pos="1985"/>
          <w:tab w:val="right" w:pos="9072"/>
        </w:tabs>
        <w:spacing w:before="120" w:after="0"/>
        <w:ind w:left="431" w:hanging="431"/>
        <w:rPr>
          <w:sz w:val="24"/>
          <w:lang w:eastAsia="cs-CZ"/>
        </w:rPr>
      </w:pPr>
      <w:r w:rsidRPr="00CD31F9">
        <w:rPr>
          <w:sz w:val="24"/>
          <w:lang w:eastAsia="cs-CZ"/>
        </w:rPr>
        <w:t>Příloh</w:t>
      </w:r>
      <w:r>
        <w:rPr>
          <w:sz w:val="24"/>
          <w:lang w:eastAsia="cs-CZ"/>
        </w:rPr>
        <w:t xml:space="preserve">a č. </w:t>
      </w:r>
      <w:r w:rsidRPr="009B1C76">
        <w:rPr>
          <w:sz w:val="24"/>
          <w:lang w:eastAsia="cs-CZ"/>
        </w:rPr>
        <w:t>3</w:t>
      </w:r>
      <w:r w:rsidR="009B1C76">
        <w:rPr>
          <w:sz w:val="24"/>
          <w:lang w:eastAsia="cs-CZ"/>
        </w:rPr>
        <w:t xml:space="preserve">: </w:t>
      </w:r>
      <w:r w:rsidRPr="00BB49AB">
        <w:rPr>
          <w:b w:val="0"/>
          <w:sz w:val="24"/>
        </w:rPr>
        <w:t>Projekty kontrolované u MZe</w:t>
      </w:r>
      <w:r w:rsidR="002C65A9" w:rsidRPr="00BB49AB">
        <w:rPr>
          <w:b w:val="0"/>
          <w:sz w:val="24"/>
        </w:rPr>
        <w:tab/>
        <w:t>(v Kč)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1346"/>
        <w:gridCol w:w="2829"/>
        <w:gridCol w:w="2052"/>
        <w:gridCol w:w="2053"/>
      </w:tblGrid>
      <w:tr w:rsidR="009B1C76" w:rsidRPr="009B1C76" w14:paraId="4B9C9F15" w14:textId="77777777" w:rsidTr="009B1C76">
        <w:trPr>
          <w:trHeight w:val="2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90812C5" w14:textId="77777777" w:rsidR="009B1C76" w:rsidRPr="009B1C76" w:rsidRDefault="009B1C76" w:rsidP="009B1C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Program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5C4CF7C" w14:textId="77777777" w:rsidR="009B1C76" w:rsidRPr="009B1C76" w:rsidRDefault="009B1C76" w:rsidP="009B1C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Akce č.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A587933" w14:textId="77777777" w:rsidR="009B1C76" w:rsidRPr="009B1C76" w:rsidRDefault="009B1C76" w:rsidP="009B1C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Žadatel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F2E795C" w14:textId="77777777" w:rsidR="009B1C76" w:rsidRPr="009B1C76" w:rsidRDefault="009B1C76" w:rsidP="009B1C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Příspěvek MZe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4F2A479" w14:textId="77777777" w:rsidR="009B1C76" w:rsidRPr="009B1C76" w:rsidRDefault="009B1C76" w:rsidP="009B1C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Proplaceno žadatelům</w:t>
            </w:r>
          </w:p>
        </w:tc>
      </w:tr>
      <w:tr w:rsidR="009B1C76" w:rsidRPr="009B1C76" w14:paraId="1C77F2AE" w14:textId="77777777" w:rsidTr="009B1C76">
        <w:trPr>
          <w:trHeight w:val="20"/>
        </w:trPr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BC66" w14:textId="77777777" w:rsidR="009B1C76" w:rsidRPr="009B1C76" w:rsidRDefault="009B1C76" w:rsidP="009B1C7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129 260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71BD" w14:textId="77777777" w:rsidR="009B1C76" w:rsidRPr="009B1C76" w:rsidRDefault="009B1C76" w:rsidP="009B1C76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129D262009020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53F3" w14:textId="77777777" w:rsidR="009B1C76" w:rsidRPr="009B1C76" w:rsidRDefault="009B1C76" w:rsidP="009B1C76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Povodí Moravy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6786" w14:textId="77777777" w:rsidR="009B1C76" w:rsidRPr="009B1C76" w:rsidRDefault="009B1C76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1 905 650,00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35C8" w14:textId="77777777" w:rsidR="009B1C76" w:rsidRPr="009B1C76" w:rsidRDefault="009B1C76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1 905 650,00</w:t>
            </w:r>
          </w:p>
        </w:tc>
      </w:tr>
      <w:tr w:rsidR="009B1C76" w:rsidRPr="009B1C76" w14:paraId="42DE5BFF" w14:textId="77777777" w:rsidTr="009B1C76">
        <w:trPr>
          <w:trHeight w:val="20"/>
        </w:trPr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B974" w14:textId="77777777" w:rsidR="009B1C76" w:rsidRPr="009B1C76" w:rsidRDefault="009B1C76" w:rsidP="009B1C7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727B" w14:textId="77777777" w:rsidR="009B1C76" w:rsidRPr="009B1C76" w:rsidRDefault="009B1C76" w:rsidP="009B1C76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129D263009016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9C46" w14:textId="77777777" w:rsidR="009B1C76" w:rsidRPr="009B1C76" w:rsidRDefault="009B1C76" w:rsidP="009B1C76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Povodí Moravy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D6C2" w14:textId="77777777" w:rsidR="009B1C76" w:rsidRPr="009B1C76" w:rsidRDefault="009B1C76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7 790 000,00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CC90" w14:textId="77777777" w:rsidR="009B1C76" w:rsidRPr="009B1C76" w:rsidRDefault="009B1C76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7 790 000,00</w:t>
            </w:r>
          </w:p>
        </w:tc>
      </w:tr>
      <w:tr w:rsidR="009B1C76" w:rsidRPr="009B1C76" w14:paraId="3422D6E9" w14:textId="77777777" w:rsidTr="009B1C76">
        <w:trPr>
          <w:trHeight w:val="20"/>
        </w:trPr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1B81" w14:textId="77777777" w:rsidR="009B1C76" w:rsidRPr="009B1C76" w:rsidRDefault="009B1C76" w:rsidP="009B1C7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03D9" w14:textId="77777777" w:rsidR="009B1C76" w:rsidRPr="009B1C76" w:rsidRDefault="009B1C76" w:rsidP="009B1C76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129D264004002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6975" w14:textId="77777777" w:rsidR="009B1C76" w:rsidRPr="009B1C76" w:rsidRDefault="009B1C76" w:rsidP="009B1C76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Povodí Vltavy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8E3C" w14:textId="77777777" w:rsidR="009B1C76" w:rsidRPr="009B1C76" w:rsidRDefault="009B1C76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70 626 089,10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80BE" w14:textId="77777777" w:rsidR="009B1C76" w:rsidRPr="009B1C76" w:rsidRDefault="009B1C76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70 626 089,10</w:t>
            </w:r>
          </w:p>
        </w:tc>
      </w:tr>
      <w:tr w:rsidR="009B1C76" w:rsidRPr="009B1C76" w14:paraId="2DBEB82B" w14:textId="77777777" w:rsidTr="009B1C76">
        <w:trPr>
          <w:trHeight w:val="20"/>
        </w:trPr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72F9" w14:textId="77777777" w:rsidR="009B1C76" w:rsidRPr="009B1C76" w:rsidRDefault="009B1C76" w:rsidP="009B1C7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9B7D" w14:textId="77777777" w:rsidR="009B1C76" w:rsidRPr="009B1C76" w:rsidRDefault="009B1C76" w:rsidP="009B1C76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129D264005667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ECDD" w14:textId="77777777" w:rsidR="009B1C76" w:rsidRPr="009B1C76" w:rsidRDefault="009B1C76" w:rsidP="009B1C76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Povodí Odry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CE0D" w14:textId="77777777" w:rsidR="009B1C76" w:rsidRPr="009B1C76" w:rsidRDefault="009B1C76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47 946 690,00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948C" w14:textId="77777777" w:rsidR="009B1C76" w:rsidRPr="009B1C76" w:rsidRDefault="009B1C76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47 946 690,00</w:t>
            </w:r>
          </w:p>
        </w:tc>
      </w:tr>
      <w:tr w:rsidR="009B1C76" w:rsidRPr="009B1C76" w14:paraId="668BA299" w14:textId="77777777" w:rsidTr="009B1C76">
        <w:trPr>
          <w:trHeight w:val="20"/>
        </w:trPr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2663" w14:textId="77777777" w:rsidR="009B1C76" w:rsidRPr="009B1C76" w:rsidRDefault="009B1C76" w:rsidP="009B1C7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527F" w14:textId="77777777" w:rsidR="009B1C76" w:rsidRPr="009B1C76" w:rsidRDefault="009B1C76" w:rsidP="009B1C76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129D264006002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A442" w14:textId="77777777" w:rsidR="009B1C76" w:rsidRPr="009B1C76" w:rsidRDefault="009B1C76" w:rsidP="009B1C76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Povodí Labe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54D0" w14:textId="77777777" w:rsidR="009B1C76" w:rsidRPr="009B1C76" w:rsidRDefault="009B1C76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4 433 203,00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8B6D" w14:textId="77777777" w:rsidR="009B1C76" w:rsidRPr="009B1C76" w:rsidRDefault="009B1C76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4 433 203,00</w:t>
            </w:r>
          </w:p>
        </w:tc>
      </w:tr>
      <w:tr w:rsidR="009B1C76" w:rsidRPr="009B1C76" w14:paraId="169658BA" w14:textId="77777777" w:rsidTr="009B1C76">
        <w:trPr>
          <w:trHeight w:val="20"/>
        </w:trPr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A4CC" w14:textId="77777777" w:rsidR="009B1C76" w:rsidRPr="009B1C76" w:rsidRDefault="009B1C76" w:rsidP="009B1C7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D816" w14:textId="77777777" w:rsidR="009B1C76" w:rsidRPr="009B1C76" w:rsidRDefault="009B1C76" w:rsidP="009B1C76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129D264009018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A3BF" w14:textId="77777777" w:rsidR="009B1C76" w:rsidRPr="009B1C76" w:rsidRDefault="009B1C76" w:rsidP="009B1C76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Povodí Moravy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DBD5" w14:textId="77777777" w:rsidR="009B1C76" w:rsidRPr="009B1C76" w:rsidRDefault="009B1C76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4 141 083,00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678D" w14:textId="77777777" w:rsidR="009B1C76" w:rsidRPr="009B1C76" w:rsidRDefault="009B1C76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4 141 083,00</w:t>
            </w:r>
          </w:p>
        </w:tc>
      </w:tr>
      <w:tr w:rsidR="009B1C76" w:rsidRPr="009B1C76" w14:paraId="45526451" w14:textId="77777777" w:rsidTr="009B1C76">
        <w:trPr>
          <w:trHeight w:val="20"/>
        </w:trPr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9C82" w14:textId="77777777" w:rsidR="009B1C76" w:rsidRPr="009B1C76" w:rsidRDefault="009B1C76" w:rsidP="009B1C7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DEE5" w14:textId="77777777" w:rsidR="009B1C76" w:rsidRPr="009B1C76" w:rsidRDefault="009B1C76" w:rsidP="009B1C76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129D265004503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F5D2" w14:textId="77777777" w:rsidR="009B1C76" w:rsidRPr="009B1C76" w:rsidRDefault="009B1C76" w:rsidP="009B1C76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Povodí Vltavy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5214" w14:textId="77777777" w:rsidR="009B1C76" w:rsidRPr="009B1C76" w:rsidRDefault="009B1C76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30 100 000,00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AC78" w14:textId="77777777" w:rsidR="009B1C76" w:rsidRPr="009B1C76" w:rsidRDefault="009B1C76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30 100 000,00</w:t>
            </w:r>
          </w:p>
        </w:tc>
      </w:tr>
      <w:tr w:rsidR="009B1C76" w:rsidRPr="009B1C76" w14:paraId="3E1F5302" w14:textId="77777777" w:rsidTr="009B1C76">
        <w:trPr>
          <w:trHeight w:val="20"/>
        </w:trPr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4069" w14:textId="77777777" w:rsidR="009B1C76" w:rsidRPr="009B1C76" w:rsidRDefault="009B1C76" w:rsidP="009B1C7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AC7A" w14:textId="77777777" w:rsidR="009B1C76" w:rsidRPr="009B1C76" w:rsidRDefault="009B1C76" w:rsidP="009B1C76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129D265006002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7DDE" w14:textId="77777777" w:rsidR="009B1C76" w:rsidRPr="009B1C76" w:rsidRDefault="009B1C76" w:rsidP="009B1C76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Povodí Labe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744F" w14:textId="77777777" w:rsidR="009B1C76" w:rsidRPr="009B1C76" w:rsidRDefault="009B1C76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16 774 222,00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B930" w14:textId="77777777" w:rsidR="009B1C76" w:rsidRPr="009B1C76" w:rsidRDefault="009B1C76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16 774 222,00</w:t>
            </w:r>
          </w:p>
        </w:tc>
      </w:tr>
      <w:tr w:rsidR="009B1C76" w:rsidRPr="009B1C76" w14:paraId="4C4385AA" w14:textId="77777777" w:rsidTr="009B1C76">
        <w:trPr>
          <w:trHeight w:val="20"/>
        </w:trPr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5522" w14:textId="77777777" w:rsidR="009B1C76" w:rsidRPr="009B1C76" w:rsidRDefault="009B1C76" w:rsidP="009B1C7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D849" w14:textId="77777777" w:rsidR="009B1C76" w:rsidRPr="009B1C76" w:rsidRDefault="009B1C76" w:rsidP="009B1C76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129D265005659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47AD" w14:textId="77777777" w:rsidR="009B1C76" w:rsidRPr="009B1C76" w:rsidRDefault="009B1C76" w:rsidP="009B1C76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Povodí Odry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ABEA" w14:textId="77777777" w:rsidR="009B1C76" w:rsidRPr="009B1C76" w:rsidRDefault="009B1C76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15 142 000,00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F16C" w14:textId="77777777" w:rsidR="009B1C76" w:rsidRPr="009B1C76" w:rsidRDefault="009B1C76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15 142 000,00</w:t>
            </w:r>
          </w:p>
        </w:tc>
      </w:tr>
      <w:tr w:rsidR="009B1C76" w:rsidRPr="009B1C76" w14:paraId="597ABE59" w14:textId="77777777" w:rsidTr="009B1C76">
        <w:trPr>
          <w:trHeight w:val="20"/>
        </w:trPr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A4E5" w14:textId="77777777" w:rsidR="009B1C76" w:rsidRPr="009B1C76" w:rsidRDefault="009B1C76" w:rsidP="009B1C7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D2BD" w14:textId="77777777" w:rsidR="009B1C76" w:rsidRPr="009B1C76" w:rsidRDefault="009B1C76" w:rsidP="009B1C76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129D265009502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6590" w14:textId="77777777" w:rsidR="009B1C76" w:rsidRPr="009B1C76" w:rsidRDefault="009B1C76" w:rsidP="009B1C76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Povodí Moravy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3B65" w14:textId="77777777" w:rsidR="009B1C76" w:rsidRPr="009B1C76" w:rsidRDefault="009B1C76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11 661 413,71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9C15" w14:textId="77777777" w:rsidR="009B1C76" w:rsidRPr="009B1C76" w:rsidRDefault="009B1C76" w:rsidP="009B1C76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11 661 413,71</w:t>
            </w:r>
          </w:p>
        </w:tc>
      </w:tr>
      <w:tr w:rsidR="009B1C76" w:rsidRPr="009B1C76" w14:paraId="7D17E4EE" w14:textId="77777777" w:rsidTr="009B1C76">
        <w:trPr>
          <w:trHeight w:val="20"/>
        </w:trPr>
        <w:tc>
          <w:tcPr>
            <w:tcW w:w="2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4BC0" w14:textId="7F68CE56" w:rsidR="009B1C76" w:rsidRPr="009B1C76" w:rsidRDefault="009B1C76" w:rsidP="006E0E7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</w:t>
            </w:r>
            <w:r w:rsidR="006E0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elkem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E268" w14:textId="77777777" w:rsidR="009B1C76" w:rsidRPr="009B1C76" w:rsidRDefault="009B1C76" w:rsidP="009B1C7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210 520 350,81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B1EF" w14:textId="77777777" w:rsidR="009B1C76" w:rsidRPr="009B1C76" w:rsidRDefault="009B1C76" w:rsidP="009B1C7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B1C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210 520 350,81</w:t>
            </w:r>
          </w:p>
        </w:tc>
      </w:tr>
    </w:tbl>
    <w:p w14:paraId="44CADCF2" w14:textId="52777691" w:rsidR="001E23B0" w:rsidRDefault="00364CB8" w:rsidP="00364CB8">
      <w:pPr>
        <w:pStyle w:val="Zdrojapozn"/>
      </w:pPr>
      <w:r w:rsidRPr="00BB49AB">
        <w:rPr>
          <w:b/>
        </w:rPr>
        <w:t>Zdroj:</w:t>
      </w:r>
      <w:r>
        <w:t xml:space="preserve"> EDS, podklady MZe</w:t>
      </w:r>
      <w:r w:rsidR="000136D8">
        <w:t>.</w:t>
      </w:r>
    </w:p>
    <w:p w14:paraId="37C034A7" w14:textId="02CFDF97" w:rsidR="00364CB8" w:rsidRDefault="00364CB8" w:rsidP="00730586">
      <w:pPr>
        <w:pStyle w:val="Titulek"/>
      </w:pPr>
    </w:p>
    <w:p w14:paraId="7BC14FD6" w14:textId="4F7CE341" w:rsidR="00636E71" w:rsidRDefault="00636E71" w:rsidP="00636E71">
      <w:pPr>
        <w:pStyle w:val="Text"/>
      </w:pPr>
    </w:p>
    <w:p w14:paraId="4DDD065A" w14:textId="1060F73F" w:rsidR="00636E71" w:rsidRPr="00BB49AB" w:rsidRDefault="00636E71" w:rsidP="00A05A93">
      <w:pPr>
        <w:pStyle w:val="Nadpis1"/>
        <w:numPr>
          <w:ilvl w:val="0"/>
          <w:numId w:val="0"/>
        </w:numPr>
        <w:tabs>
          <w:tab w:val="left" w:pos="1985"/>
          <w:tab w:val="right" w:pos="9072"/>
        </w:tabs>
        <w:spacing w:before="120" w:after="0"/>
        <w:ind w:left="431" w:hanging="431"/>
        <w:rPr>
          <w:b w:val="0"/>
          <w:sz w:val="24"/>
          <w:lang w:eastAsia="cs-CZ"/>
        </w:rPr>
      </w:pPr>
      <w:r w:rsidRPr="00CD31F9">
        <w:rPr>
          <w:sz w:val="24"/>
          <w:lang w:eastAsia="cs-CZ"/>
        </w:rPr>
        <w:lastRenderedPageBreak/>
        <w:t>Příloh</w:t>
      </w:r>
      <w:r>
        <w:rPr>
          <w:sz w:val="24"/>
          <w:lang w:eastAsia="cs-CZ"/>
        </w:rPr>
        <w:t xml:space="preserve">a č. 4: </w:t>
      </w:r>
      <w:r w:rsidRPr="00BB49AB">
        <w:rPr>
          <w:b w:val="0"/>
          <w:sz w:val="24"/>
        </w:rPr>
        <w:t>Projekty kontrolované u příjemců podpory</w:t>
      </w:r>
      <w:r w:rsidRPr="00BB49AB">
        <w:rPr>
          <w:b w:val="0"/>
          <w:sz w:val="24"/>
        </w:rPr>
        <w:tab/>
        <w:t>(v Kč)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6"/>
        <w:gridCol w:w="2832"/>
        <w:gridCol w:w="2219"/>
        <w:gridCol w:w="1272"/>
        <w:gridCol w:w="1583"/>
      </w:tblGrid>
      <w:tr w:rsidR="00636E71" w:rsidRPr="00636E71" w14:paraId="6695FCDE" w14:textId="77777777" w:rsidTr="00636E71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386DF951" w14:textId="77777777" w:rsidR="00636E71" w:rsidRPr="00636E71" w:rsidRDefault="00636E71" w:rsidP="00636E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Kontrolovaná osoba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6E026BF8" w14:textId="77777777" w:rsidR="00636E71" w:rsidRPr="00636E71" w:rsidRDefault="00636E71" w:rsidP="00636E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Číslo projektu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6DF4F73C" w14:textId="77777777" w:rsidR="00636E71" w:rsidRPr="00636E71" w:rsidRDefault="00636E71" w:rsidP="00636E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Název projektu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69BDB999" w14:textId="77777777" w:rsidR="00636E71" w:rsidRPr="00636E71" w:rsidRDefault="00636E71" w:rsidP="00636E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Kontrolovaný objem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2E8605B7" w14:textId="252D91BB" w:rsidR="00636E71" w:rsidRPr="00636E71" w:rsidRDefault="00636E71" w:rsidP="00636E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Rozpočtované prostředky</w:t>
            </w:r>
            <w:r w:rsidRPr="00636E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vertAlign w:val="superscript"/>
                <w:lang w:eastAsia="cs-CZ"/>
              </w:rPr>
              <w:t>1</w:t>
            </w:r>
          </w:p>
        </w:tc>
      </w:tr>
      <w:tr w:rsidR="00636E71" w:rsidRPr="00636E71" w14:paraId="616AF8BA" w14:textId="77777777" w:rsidTr="00636E71">
        <w:trPr>
          <w:trHeight w:val="20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C41D" w14:textId="77777777" w:rsidR="00636E71" w:rsidRPr="00636E71" w:rsidRDefault="00636E71" w:rsidP="00636E7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Povodí Labe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62DB" w14:textId="77777777" w:rsidR="00636E71" w:rsidRPr="00636E71" w:rsidRDefault="00636E71" w:rsidP="00636E7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129D265006002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28A1" w14:textId="77777777" w:rsidR="00636E71" w:rsidRPr="00636E71" w:rsidRDefault="00636E71" w:rsidP="00636E7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Jizera, Turnov, zvýšení ochrany města rekonstrukcí koryta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5D63" w14:textId="77777777" w:rsidR="00636E71" w:rsidRPr="00636E71" w:rsidRDefault="00636E71" w:rsidP="00636E7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20 840 419,60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81F1" w14:textId="77777777" w:rsidR="00636E71" w:rsidRPr="00636E71" w:rsidRDefault="00636E71" w:rsidP="00636E7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20 837 688,08</w:t>
            </w:r>
          </w:p>
        </w:tc>
      </w:tr>
      <w:tr w:rsidR="00636E71" w:rsidRPr="00636E71" w14:paraId="321710ED" w14:textId="77777777" w:rsidTr="00636E71">
        <w:trPr>
          <w:trHeight w:val="20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4F346" w14:textId="77777777" w:rsidR="00636E71" w:rsidRPr="00636E71" w:rsidRDefault="00636E71" w:rsidP="00636E7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C05D" w14:textId="77777777" w:rsidR="00636E71" w:rsidRPr="00636E71" w:rsidRDefault="00636E71" w:rsidP="00636E7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129D264006002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73E5" w14:textId="77777777" w:rsidR="00636E71" w:rsidRPr="00636E71" w:rsidRDefault="00636E71" w:rsidP="00636E7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VD Neškaredice, zvýšení retenční funkce rekonstrukcí spodních výpustí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F64D" w14:textId="77777777" w:rsidR="00636E71" w:rsidRPr="00636E71" w:rsidRDefault="00636E71" w:rsidP="00636E7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6 491 955,20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C734" w14:textId="77777777" w:rsidR="00636E71" w:rsidRPr="00636E71" w:rsidRDefault="00636E71" w:rsidP="00636E7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6 333 569,03</w:t>
            </w:r>
          </w:p>
        </w:tc>
      </w:tr>
      <w:tr w:rsidR="00636E71" w:rsidRPr="00636E71" w14:paraId="3EFAD5A3" w14:textId="77777777" w:rsidTr="00636E71">
        <w:trPr>
          <w:trHeight w:val="20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11177" w14:textId="77777777" w:rsidR="00636E71" w:rsidRPr="00636E71" w:rsidRDefault="00636E71" w:rsidP="00636E7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D300" w14:textId="77777777" w:rsidR="00636E71" w:rsidRPr="00636E71" w:rsidRDefault="00636E71" w:rsidP="00636E7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CZ.05.1.24/0.0/0.0/17_064/0005338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9FDC" w14:textId="1312505C" w:rsidR="00636E71" w:rsidRPr="00636E71" w:rsidRDefault="00636E71" w:rsidP="006E0E7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Analýza oblastí s</w:t>
            </w:r>
            <w:r w:rsidR="006E0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významným povodňovým rizikem v územní působnosti státního podniku Povodí Labe včetně návrhů možných protipovodňových opatření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9450" w14:textId="77777777" w:rsidR="00636E71" w:rsidRPr="00636E71" w:rsidRDefault="00636E71" w:rsidP="00636E7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4 931 090,00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8F49" w14:textId="77777777" w:rsidR="00636E71" w:rsidRPr="00636E71" w:rsidRDefault="00636E71" w:rsidP="00636E7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38 541 770,00</w:t>
            </w:r>
          </w:p>
        </w:tc>
      </w:tr>
      <w:tr w:rsidR="00636E71" w:rsidRPr="00636E71" w14:paraId="03397847" w14:textId="77777777" w:rsidTr="00636E71">
        <w:trPr>
          <w:trHeight w:val="20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9A31" w14:textId="77777777" w:rsidR="00636E71" w:rsidRPr="00636E71" w:rsidRDefault="00636E71" w:rsidP="00636E7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Povodí Vltavy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2AB0" w14:textId="77777777" w:rsidR="00636E71" w:rsidRPr="00636E71" w:rsidRDefault="00636E71" w:rsidP="00636E7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129D264004002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5019" w14:textId="5BBEF7DF" w:rsidR="00636E71" w:rsidRPr="00636E71" w:rsidRDefault="00636E71" w:rsidP="006E0E7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VD Klabava </w:t>
            </w:r>
            <w:r w:rsidR="006E0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–</w:t>
            </w: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zvýšení retence a zabezpečení VD před účinky velkých vod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7E5D" w14:textId="77777777" w:rsidR="00636E71" w:rsidRPr="00636E71" w:rsidRDefault="00636E71" w:rsidP="00636E7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70 652 375,67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80DE" w14:textId="77777777" w:rsidR="00636E71" w:rsidRPr="00636E71" w:rsidRDefault="00636E71" w:rsidP="00636E7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117 943 828,07</w:t>
            </w:r>
          </w:p>
        </w:tc>
      </w:tr>
      <w:tr w:rsidR="00636E71" w:rsidRPr="00636E71" w14:paraId="536660AC" w14:textId="77777777" w:rsidTr="00636E71">
        <w:trPr>
          <w:trHeight w:val="20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7F50A" w14:textId="77777777" w:rsidR="00636E71" w:rsidRPr="00636E71" w:rsidRDefault="00636E71" w:rsidP="00636E7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5D47" w14:textId="77777777" w:rsidR="00636E71" w:rsidRPr="00636E71" w:rsidRDefault="00636E71" w:rsidP="00636E7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129D265004503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59D0" w14:textId="1CAF5C31" w:rsidR="00636E71" w:rsidRPr="00636E71" w:rsidRDefault="00636E71" w:rsidP="006E0E7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Protipovodňová opatření města Písek, levý břeh Otavy, sídliště Portyč </w:t>
            </w:r>
            <w:r w:rsidR="006E0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–</w:t>
            </w: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ústí potoka Jiher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656B" w14:textId="77777777" w:rsidR="00636E71" w:rsidRPr="00636E71" w:rsidRDefault="00636E71" w:rsidP="00636E7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43 491 991,56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8015" w14:textId="77777777" w:rsidR="00636E71" w:rsidRPr="00636E71" w:rsidRDefault="00636E71" w:rsidP="00636E7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55 553 519,68</w:t>
            </w:r>
          </w:p>
        </w:tc>
      </w:tr>
      <w:tr w:rsidR="00636E71" w:rsidRPr="00636E71" w14:paraId="576E7B7B" w14:textId="77777777" w:rsidTr="00636E71">
        <w:trPr>
          <w:trHeight w:val="20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7856C" w14:textId="77777777" w:rsidR="00636E71" w:rsidRPr="00636E71" w:rsidRDefault="00636E71" w:rsidP="00636E7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3907" w14:textId="77777777" w:rsidR="00636E71" w:rsidRPr="00636E71" w:rsidRDefault="00636E71" w:rsidP="00636E7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CZ.05.1.24/0.0/0.0/17_064/0005368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B59B" w14:textId="3AEC5C55" w:rsidR="00636E71" w:rsidRPr="00636E71" w:rsidRDefault="00636E71" w:rsidP="006E0E7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Analýza oblastí s</w:t>
            </w:r>
            <w:r w:rsidR="006E0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významným povodňovým rizikem v územní působnosti státního podniku Povodí Vltavy včetně návrhů možných protipovodňových opatření (podklad k Plánu pro zvládání povodňových rizik v povodí Labe)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E303" w14:textId="77777777" w:rsidR="00636E71" w:rsidRPr="00636E71" w:rsidRDefault="00636E71" w:rsidP="00636E7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60 016,00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AC8D" w14:textId="77777777" w:rsidR="00636E71" w:rsidRPr="00636E71" w:rsidRDefault="00636E71" w:rsidP="00636E7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32 994 986,00</w:t>
            </w:r>
          </w:p>
        </w:tc>
      </w:tr>
      <w:tr w:rsidR="00636E71" w:rsidRPr="00636E71" w14:paraId="6F77B1A9" w14:textId="77777777" w:rsidTr="00636E71">
        <w:trPr>
          <w:trHeight w:val="20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0ADB" w14:textId="77777777" w:rsidR="00636E71" w:rsidRPr="00636E71" w:rsidRDefault="00636E71" w:rsidP="00636E7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Povodí Odry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3FFD" w14:textId="77777777" w:rsidR="00636E71" w:rsidRPr="00636E71" w:rsidRDefault="00636E71" w:rsidP="00636E7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129D265005659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8ADF" w14:textId="2A02074C" w:rsidR="00636E71" w:rsidRPr="00636E71" w:rsidRDefault="00636E71" w:rsidP="006E0E7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Ostravice, ochranná hráz v ř. km 0,0–3,0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9587" w14:textId="77777777" w:rsidR="00636E71" w:rsidRPr="00636E71" w:rsidRDefault="00636E71" w:rsidP="00636E7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17 888 772,35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5A73" w14:textId="77777777" w:rsidR="00636E71" w:rsidRPr="00636E71" w:rsidRDefault="00636E71" w:rsidP="00636E7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17 844 106,92</w:t>
            </w:r>
          </w:p>
        </w:tc>
      </w:tr>
      <w:tr w:rsidR="00636E71" w:rsidRPr="00636E71" w14:paraId="25ACD0CA" w14:textId="77777777" w:rsidTr="00636E71">
        <w:trPr>
          <w:trHeight w:val="20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78FF6" w14:textId="77777777" w:rsidR="00636E71" w:rsidRPr="00636E71" w:rsidRDefault="00636E71" w:rsidP="00636E7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BC0B" w14:textId="77777777" w:rsidR="00636E71" w:rsidRPr="00636E71" w:rsidRDefault="00636E71" w:rsidP="00636E7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129D264005667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A626" w14:textId="77777777" w:rsidR="00636E71" w:rsidRPr="00636E71" w:rsidRDefault="00636E71" w:rsidP="00636E7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VD Olešná, odtěžení nánosů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C377" w14:textId="77777777" w:rsidR="00636E71" w:rsidRPr="00636E71" w:rsidRDefault="00636E71" w:rsidP="00636E7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52 436 793,19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86E4" w14:textId="77777777" w:rsidR="00636E71" w:rsidRPr="00636E71" w:rsidRDefault="00636E71" w:rsidP="00636E7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51 837 791,75</w:t>
            </w:r>
          </w:p>
        </w:tc>
      </w:tr>
      <w:tr w:rsidR="00636E71" w:rsidRPr="00636E71" w14:paraId="50AE6C04" w14:textId="77777777" w:rsidTr="00636E71">
        <w:trPr>
          <w:trHeight w:val="20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A7E0" w14:textId="77777777" w:rsidR="00636E71" w:rsidRPr="00636E71" w:rsidRDefault="00636E71" w:rsidP="00636E7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Povodí Moravy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3C0E" w14:textId="77777777" w:rsidR="00636E71" w:rsidRPr="00636E71" w:rsidRDefault="00636E71" w:rsidP="00636E7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129D264009018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AC57" w14:textId="77777777" w:rsidR="00636E71" w:rsidRPr="00636E71" w:rsidRDefault="00636E71" w:rsidP="00636E7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Poldr Mysločovice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7BD7" w14:textId="77777777" w:rsidR="00636E71" w:rsidRPr="00636E71" w:rsidRDefault="00636E71" w:rsidP="00636E7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4 472 708,00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D913" w14:textId="77777777" w:rsidR="00636E71" w:rsidRPr="00636E71" w:rsidRDefault="00636E71" w:rsidP="00636E7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4 472 708,00</w:t>
            </w:r>
          </w:p>
        </w:tc>
      </w:tr>
      <w:tr w:rsidR="00636E71" w:rsidRPr="00636E71" w14:paraId="64E0F0A6" w14:textId="77777777" w:rsidTr="00636E71">
        <w:trPr>
          <w:trHeight w:val="20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2C58C" w14:textId="77777777" w:rsidR="00636E71" w:rsidRPr="00636E71" w:rsidRDefault="00636E71" w:rsidP="00636E7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5B83" w14:textId="77777777" w:rsidR="00636E71" w:rsidRPr="00636E71" w:rsidRDefault="00636E71" w:rsidP="00636E7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129D265009502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674A" w14:textId="7480DA44" w:rsidR="00636E71" w:rsidRPr="00636E71" w:rsidRDefault="00636E71" w:rsidP="006E0E7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Protipovodňová opatření v</w:t>
            </w:r>
            <w:r w:rsidR="006E0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Přerově na nábřeží </w:t>
            </w:r>
            <w:r w:rsidR="006E0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</w: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Dr. E. Beneše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4C49" w14:textId="77777777" w:rsidR="00636E71" w:rsidRPr="00636E71" w:rsidRDefault="00636E71" w:rsidP="00636E7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13 020 968,40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7486" w14:textId="77777777" w:rsidR="00636E71" w:rsidRPr="00636E71" w:rsidRDefault="00636E71" w:rsidP="00636E7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13 793 431,11</w:t>
            </w:r>
          </w:p>
        </w:tc>
      </w:tr>
      <w:tr w:rsidR="00636E71" w:rsidRPr="00636E71" w14:paraId="2F4FA16C" w14:textId="77777777" w:rsidTr="00636E71">
        <w:trPr>
          <w:trHeight w:val="20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D0472" w14:textId="77777777" w:rsidR="00636E71" w:rsidRPr="00636E71" w:rsidRDefault="00636E71" w:rsidP="00636E7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51B8" w14:textId="77777777" w:rsidR="00636E71" w:rsidRPr="00636E71" w:rsidRDefault="00636E71" w:rsidP="00636E7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CZ.05.1.24/0.0/0.0/18_096/0007472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E48C" w14:textId="7C1D7012" w:rsidR="00636E71" w:rsidRPr="00636E71" w:rsidRDefault="00636E71" w:rsidP="00A21E2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Analýza oblastí s</w:t>
            </w:r>
            <w:r w:rsidR="00A21E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významným povodňovým rizikem v územní působnosti Povodí Moravy, státního podniku</w:t>
            </w:r>
            <w:r w:rsidR="006E0E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</w:t>
            </w: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včetně návrhů možných protipovodňových opatření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AD7E" w14:textId="77777777" w:rsidR="00636E71" w:rsidRPr="00636E71" w:rsidRDefault="00636E71" w:rsidP="00636E7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10 724 036,40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A46D" w14:textId="77777777" w:rsidR="00636E71" w:rsidRPr="00636E71" w:rsidRDefault="00636E71" w:rsidP="00636E7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39 288 480,00</w:t>
            </w:r>
          </w:p>
        </w:tc>
      </w:tr>
      <w:tr w:rsidR="00636E71" w:rsidRPr="00636E71" w14:paraId="1E7F7C2C" w14:textId="77777777" w:rsidTr="00636E71">
        <w:trPr>
          <w:trHeight w:val="20"/>
        </w:trPr>
        <w:tc>
          <w:tcPr>
            <w:tcW w:w="2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6C9"/>
            <w:vAlign w:val="center"/>
            <w:hideMark/>
          </w:tcPr>
          <w:p w14:paraId="1CF06C13" w14:textId="3AE9078A" w:rsidR="00636E71" w:rsidRPr="00636E71" w:rsidRDefault="00636E71" w:rsidP="006E0E7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</w:t>
            </w:r>
            <w:r w:rsidR="006E0E7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elkem</w:t>
            </w:r>
            <w:r w:rsidRPr="00636E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vAlign w:val="center"/>
            <w:hideMark/>
          </w:tcPr>
          <w:p w14:paraId="4E6EE573" w14:textId="77777777" w:rsidR="00636E71" w:rsidRPr="00636E71" w:rsidRDefault="00636E71" w:rsidP="00636E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0F6550BC" w14:textId="77777777" w:rsidR="00636E71" w:rsidRPr="00636E71" w:rsidRDefault="00636E71" w:rsidP="00636E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245 011 126,37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3CD6FB9D" w14:textId="77777777" w:rsidR="00636E71" w:rsidRPr="00636E71" w:rsidRDefault="00636E71" w:rsidP="00636E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36E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399 441 878,64</w:t>
            </w:r>
          </w:p>
        </w:tc>
      </w:tr>
    </w:tbl>
    <w:p w14:paraId="32E2C41A" w14:textId="7946F5D7" w:rsidR="00636E71" w:rsidRDefault="00636E71" w:rsidP="00636E71">
      <w:pPr>
        <w:pStyle w:val="Zdrojapozn"/>
      </w:pPr>
      <w:r w:rsidRPr="00BB49AB">
        <w:rPr>
          <w:b/>
        </w:rPr>
        <w:t>Zdroj:</w:t>
      </w:r>
      <w:r>
        <w:t xml:space="preserve"> </w:t>
      </w:r>
      <w:r w:rsidR="006E0E7F">
        <w:t>d</w:t>
      </w:r>
      <w:r>
        <w:t>okumentace kontrolovaných projektů</w:t>
      </w:r>
      <w:r w:rsidR="000136D8">
        <w:t>.</w:t>
      </w:r>
    </w:p>
    <w:p w14:paraId="158C49D3" w14:textId="2401C0A9" w:rsidR="007C527E" w:rsidRDefault="00636E71" w:rsidP="006E0E7F">
      <w:pPr>
        <w:pStyle w:val="Zdrojapozn"/>
        <w:ind w:left="142" w:hanging="142"/>
      </w:pPr>
      <w:r w:rsidRPr="00BB49AB">
        <w:rPr>
          <w:b/>
          <w:vertAlign w:val="superscript"/>
        </w:rPr>
        <w:t>1</w:t>
      </w:r>
      <w:r>
        <w:t xml:space="preserve"> </w:t>
      </w:r>
      <w:r w:rsidR="006E0E7F">
        <w:tab/>
      </w:r>
      <w:r>
        <w:t>Rozpočtované prostředky dle</w:t>
      </w:r>
      <w:r w:rsidR="007C527E">
        <w:t xml:space="preserve"> vydaných</w:t>
      </w:r>
      <w:r>
        <w:t xml:space="preserve"> </w:t>
      </w:r>
      <w:r w:rsidR="00B82DDB">
        <w:t>r</w:t>
      </w:r>
      <w:r>
        <w:t>ozhodnutí o poskytnutí dotace</w:t>
      </w:r>
      <w:r w:rsidR="000136D8">
        <w:t>.</w:t>
      </w:r>
      <w:r w:rsidR="007C527E">
        <w:br w:type="page"/>
      </w:r>
    </w:p>
    <w:p w14:paraId="0A8581C8" w14:textId="78D7C662" w:rsidR="00B60E76" w:rsidRDefault="00B60E76" w:rsidP="00B60E76">
      <w:pPr>
        <w:pStyle w:val="Nadpis1"/>
        <w:numPr>
          <w:ilvl w:val="0"/>
          <w:numId w:val="0"/>
        </w:numPr>
        <w:tabs>
          <w:tab w:val="left" w:pos="1985"/>
        </w:tabs>
        <w:spacing w:before="120" w:after="0"/>
        <w:rPr>
          <w:lang w:eastAsia="cs-CZ" w:bidi="cs-CZ"/>
        </w:rPr>
      </w:pPr>
      <w:r w:rsidRPr="00CD31F9">
        <w:rPr>
          <w:sz w:val="24"/>
          <w:lang w:eastAsia="cs-CZ"/>
        </w:rPr>
        <w:lastRenderedPageBreak/>
        <w:t>Příloh</w:t>
      </w:r>
      <w:r>
        <w:rPr>
          <w:sz w:val="24"/>
          <w:lang w:eastAsia="cs-CZ"/>
        </w:rPr>
        <w:t xml:space="preserve">a č. 5: </w:t>
      </w:r>
      <w:r w:rsidRPr="00BB49AB">
        <w:rPr>
          <w:b w:val="0"/>
          <w:sz w:val="24"/>
        </w:rPr>
        <w:t>Kategorie ohrožení a doporučená pravidla pro využití území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5205"/>
        <w:gridCol w:w="2160"/>
      </w:tblGrid>
      <w:tr w:rsidR="00B60E76" w:rsidRPr="00364CB8" w14:paraId="715B4140" w14:textId="77777777" w:rsidTr="00BB49AB">
        <w:trPr>
          <w:trHeight w:val="6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ED093D9" w14:textId="71EBFDF4" w:rsidR="00B60E76" w:rsidRPr="00364CB8" w:rsidRDefault="00B60E76" w:rsidP="00B46F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cs-CZ"/>
              </w:rPr>
              <w:t>Kategorie ohrožení</w:t>
            </w:r>
            <w:r w:rsidR="00B46F85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cs-CZ"/>
              </w:rPr>
              <w:t xml:space="preserve"> </w:t>
            </w: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cs-CZ"/>
              </w:rPr>
              <w:t>/</w:t>
            </w:r>
            <w:r w:rsidR="00B46F85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cs-CZ"/>
              </w:rPr>
              <w:t xml:space="preserve"> p</w:t>
            </w: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cs-CZ"/>
              </w:rPr>
              <w:t xml:space="preserve">řijatelné ohrožení </w:t>
            </w:r>
          </w:p>
        </w:tc>
        <w:tc>
          <w:tcPr>
            <w:tcW w:w="2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2C4BC87" w14:textId="77777777" w:rsidR="00B60E76" w:rsidRPr="00364CB8" w:rsidRDefault="00B60E76" w:rsidP="001B44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cs-CZ"/>
              </w:rPr>
              <w:t>Doporučení pro danou kategorii ohrožení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08178EF" w14:textId="77777777" w:rsidR="00B60E76" w:rsidRPr="00364CB8" w:rsidRDefault="00B60E76" w:rsidP="001B44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cs-CZ"/>
              </w:rPr>
              <w:t>Funkce využití území</w:t>
            </w:r>
          </w:p>
          <w:p w14:paraId="72094642" w14:textId="77777777" w:rsidR="00B60E76" w:rsidRPr="00364CB8" w:rsidRDefault="00B60E76" w:rsidP="001B44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cs-CZ"/>
              </w:rPr>
              <w:t>dle přijatelné úrovně</w:t>
            </w:r>
          </w:p>
          <w:p w14:paraId="68D93F38" w14:textId="77777777" w:rsidR="00B60E76" w:rsidRPr="00364CB8" w:rsidRDefault="00B60E76" w:rsidP="001B44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  <w:lang w:eastAsia="cs-CZ"/>
              </w:rPr>
              <w:t>povodňového ohrožení</w:t>
            </w:r>
          </w:p>
        </w:tc>
      </w:tr>
      <w:tr w:rsidR="00B60E76" w:rsidRPr="00364CB8" w14:paraId="6CE934C7" w14:textId="77777777" w:rsidTr="00BB49AB">
        <w:trPr>
          <w:trHeight w:val="683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7774"/>
            <w:vAlign w:val="center"/>
            <w:hideMark/>
          </w:tcPr>
          <w:p w14:paraId="54E32265" w14:textId="77777777" w:rsidR="00B60E76" w:rsidRPr="00364CB8" w:rsidRDefault="00B60E76" w:rsidP="001B4465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>(4) Vysoké (červená barva)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5722" w14:textId="77777777" w:rsidR="00B60E76" w:rsidRPr="00364CB8" w:rsidRDefault="00B60E76" w:rsidP="001B4465">
            <w:pPr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 xml:space="preserve">Doporučuje se </w:t>
            </w:r>
            <w:r w:rsidRPr="00364CB8">
              <w:rPr>
                <w:rFonts w:ascii="Calibri" w:hAnsi="Calibri" w:cs="Calibri"/>
                <w:b/>
                <w:color w:val="000000"/>
                <w:sz w:val="18"/>
                <w:szCs w:val="20"/>
                <w:u w:val="single"/>
                <w:lang w:eastAsia="cs-CZ"/>
              </w:rPr>
              <w:t>nepovolovat</w:t>
            </w:r>
            <w:r w:rsidRPr="00364CB8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 xml:space="preserve"> novou </w:t>
            </w:r>
            <w:r w:rsidRPr="00364CB8">
              <w:rPr>
                <w:rFonts w:ascii="Calibri" w:hAnsi="Calibri" w:cs="Calibri"/>
                <w:b/>
                <w:color w:val="000000"/>
                <w:sz w:val="18"/>
                <w:szCs w:val="20"/>
                <w:u w:val="single"/>
                <w:lang w:eastAsia="cs-CZ"/>
              </w:rPr>
              <w:t>ani nerozšiřovat</w:t>
            </w:r>
            <w:r w:rsidRPr="00364CB8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 xml:space="preserve"> stávající zástavbu, ve které se zdržují lidé nebo umísťují zvířata. Pro stávající zástavbu je třeba provést návrh povodňových opatření, která zajistí odpovídající snížení rizika, nebo zpracovat program vymístění této zástavby.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700B" w14:textId="77777777" w:rsidR="00B60E76" w:rsidRPr="00364CB8" w:rsidRDefault="00B60E76" w:rsidP="001B4465">
            <w:pPr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>Zeleň</w:t>
            </w:r>
          </w:p>
        </w:tc>
      </w:tr>
      <w:tr w:rsidR="00B60E76" w:rsidRPr="00364CB8" w14:paraId="082AFCC4" w14:textId="77777777" w:rsidTr="00BB49AB">
        <w:trPr>
          <w:trHeight w:val="319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0F8"/>
            <w:vAlign w:val="center"/>
            <w:hideMark/>
          </w:tcPr>
          <w:p w14:paraId="499AADE1" w14:textId="77777777" w:rsidR="00B60E76" w:rsidRPr="00364CB8" w:rsidRDefault="00B60E76" w:rsidP="001B4465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>(3) Střední</w:t>
            </w:r>
            <w:r w:rsidRPr="00364CB8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br/>
              <w:t>(modrá barva)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66AE" w14:textId="77777777" w:rsidR="00B60E76" w:rsidRPr="00364CB8" w:rsidRDefault="00B60E76" w:rsidP="001B4465">
            <w:pPr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 xml:space="preserve">Nová výstavba </w:t>
            </w:r>
            <w:r w:rsidRPr="00364CB8">
              <w:rPr>
                <w:rFonts w:ascii="Calibri" w:hAnsi="Calibri" w:cs="Calibri"/>
                <w:b/>
                <w:color w:val="000000"/>
                <w:sz w:val="18"/>
                <w:szCs w:val="20"/>
                <w:u w:val="single"/>
                <w:lang w:eastAsia="cs-CZ"/>
              </w:rPr>
              <w:t>je možná s omezeními</w:t>
            </w:r>
            <w:r w:rsidRPr="00364CB8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 xml:space="preserve"> vycházejícími z podrobného</w:t>
            </w:r>
            <w:r w:rsidRPr="00364CB8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br/>
              <w:t>posouzení nezbytnosti funkce objektů v ohroženém území a míry jejich ohrožení povodněmi. Nevhodná je výstavba citlivých objektů (např. zdravotnická zařízení, hasiči apod.). Nedoporučuje se rozšiřovat stávající plochy určené pro výstavbu.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0829" w14:textId="77777777" w:rsidR="00B60E76" w:rsidRPr="000136D8" w:rsidRDefault="00B60E76" w:rsidP="001B4465">
            <w:pPr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</w:pPr>
            <w:r w:rsidRPr="000136D8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>Rekreace a sport</w:t>
            </w:r>
            <w:r w:rsidRPr="000136D8">
              <w:rPr>
                <w:rFonts w:ascii="Calibri" w:hAnsi="Calibri" w:cs="Calibri"/>
                <w:color w:val="000000"/>
                <w:sz w:val="18"/>
                <w:szCs w:val="20"/>
                <w:vertAlign w:val="superscript"/>
                <w:lang w:eastAsia="cs-CZ"/>
              </w:rPr>
              <w:t>1</w:t>
            </w:r>
          </w:p>
        </w:tc>
      </w:tr>
      <w:tr w:rsidR="00B60E76" w:rsidRPr="00364CB8" w14:paraId="03B3F8E0" w14:textId="77777777" w:rsidTr="00BB49AB">
        <w:trPr>
          <w:trHeight w:val="601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C15D"/>
            <w:vAlign w:val="center"/>
            <w:hideMark/>
          </w:tcPr>
          <w:p w14:paraId="742FA605" w14:textId="77777777" w:rsidR="00B60E76" w:rsidRPr="00364CB8" w:rsidRDefault="00B60E76" w:rsidP="001B4465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>(2) Nízké</w:t>
            </w:r>
            <w:r w:rsidRPr="00364CB8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br/>
              <w:t>(oranžová barva)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FE35" w14:textId="77777777" w:rsidR="00B60E76" w:rsidRPr="00364CB8" w:rsidRDefault="00B60E76" w:rsidP="001B4465">
            <w:pPr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 xml:space="preserve">Výstavba </w:t>
            </w:r>
            <w:r w:rsidRPr="00364CB8">
              <w:rPr>
                <w:rFonts w:ascii="Calibri" w:hAnsi="Calibri" w:cs="Calibri"/>
                <w:b/>
                <w:color w:val="000000"/>
                <w:sz w:val="18"/>
                <w:szCs w:val="20"/>
                <w:u w:val="single"/>
                <w:lang w:eastAsia="cs-CZ"/>
              </w:rPr>
              <w:t>je možná</w:t>
            </w:r>
            <w:r w:rsidRPr="00364CB8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>, přičemž vlastníci dotčených pozemků a objektů</w:t>
            </w:r>
            <w:r w:rsidRPr="00364CB8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br/>
              <w:t>musí být upozorněni na potenciální ohrožení povodňovým nebezpečím. Pro citlivé objekty je třeba přijmout speciální opatření, např. traumatologický plán ve smyslu krizového řízení.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22C7" w14:textId="0D988BBD" w:rsidR="00B60E76" w:rsidRPr="00364CB8" w:rsidRDefault="00B60E76" w:rsidP="00B46F85">
            <w:pPr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 xml:space="preserve">Bydlení, </w:t>
            </w:r>
            <w:r w:rsidR="00B46F85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>o</w:t>
            </w:r>
            <w:r w:rsidRPr="00364CB8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 xml:space="preserve">bčanská vybavenost, </w:t>
            </w:r>
            <w:r w:rsidR="00B46F85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>s</w:t>
            </w:r>
            <w:r w:rsidRPr="00364CB8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 xml:space="preserve">míšené plochy, </w:t>
            </w:r>
            <w:r w:rsidR="00B46F85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>t</w:t>
            </w:r>
            <w:r w:rsidRPr="00364CB8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 xml:space="preserve">echnická vybavenost, </w:t>
            </w:r>
            <w:r w:rsidR="00B46F85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>d</w:t>
            </w:r>
            <w:r w:rsidRPr="00364CB8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 xml:space="preserve">oprava, </w:t>
            </w:r>
            <w:r w:rsidR="00B46F85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>v</w:t>
            </w:r>
            <w:r w:rsidRPr="00364CB8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>ýroba a skladování</w:t>
            </w:r>
          </w:p>
        </w:tc>
      </w:tr>
      <w:tr w:rsidR="00B60E76" w:rsidRPr="00364CB8" w14:paraId="04D01626" w14:textId="77777777" w:rsidTr="00BB49AB">
        <w:trPr>
          <w:trHeight w:val="621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67A"/>
            <w:vAlign w:val="center"/>
            <w:hideMark/>
          </w:tcPr>
          <w:p w14:paraId="2A5F4EEA" w14:textId="77777777" w:rsidR="00B60E76" w:rsidRPr="00364CB8" w:rsidRDefault="00B60E76" w:rsidP="001B4465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>(1) Zbytkové</w:t>
            </w:r>
            <w:r w:rsidRPr="00364CB8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br/>
              <w:t>(žlutá barva)</w:t>
            </w:r>
          </w:p>
        </w:tc>
        <w:tc>
          <w:tcPr>
            <w:tcW w:w="2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40EC" w14:textId="77777777" w:rsidR="00B60E76" w:rsidRPr="00364CB8" w:rsidRDefault="00B60E76" w:rsidP="001B4465">
            <w:pPr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>Otázky spojené s povodňovou ochranou se zpravidla doporučuje řešit prostřednictvím dlouhodobého územního plánování se zaměřením na zvláště citlivé objekty (zdravotnická zařízení, památkové objekty apod.). Vyhýbat se objektům a zařízením se zvýšeným potenciálem škod.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765F" w14:textId="22D8868D" w:rsidR="00B60E76" w:rsidRPr="00364CB8" w:rsidRDefault="00B46F85" w:rsidP="00B46F85">
            <w:pPr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>N</w:t>
            </w:r>
            <w:r w:rsidR="00B60E76">
              <w:rPr>
                <w:rFonts w:ascii="Calibri" w:hAnsi="Calibri" w:cs="Calibri"/>
                <w:color w:val="000000"/>
                <w:sz w:val="18"/>
                <w:szCs w:val="20"/>
                <w:lang w:eastAsia="cs-CZ"/>
              </w:rPr>
              <w:t>euvedeno</w:t>
            </w:r>
          </w:p>
        </w:tc>
      </w:tr>
    </w:tbl>
    <w:p w14:paraId="3DEE5831" w14:textId="49542C4E" w:rsidR="00B60E76" w:rsidRPr="003D0419" w:rsidRDefault="00B60E76" w:rsidP="00B60E76">
      <w:pPr>
        <w:pStyle w:val="Zdrojapozn"/>
      </w:pPr>
      <w:r w:rsidRPr="00BB49AB">
        <w:rPr>
          <w:b/>
        </w:rPr>
        <w:t>Zdroj:</w:t>
      </w:r>
      <w:r w:rsidRPr="00957196">
        <w:t xml:space="preserve"> </w:t>
      </w:r>
      <w:r w:rsidR="00B46F85">
        <w:t>p</w:t>
      </w:r>
      <w:r>
        <w:t xml:space="preserve">lány pro zvládání povodňových rizik </w:t>
      </w:r>
      <w:r w:rsidR="00B46F85">
        <w:t>–</w:t>
      </w:r>
      <w:r>
        <w:t xml:space="preserve"> </w:t>
      </w:r>
      <w:r w:rsidRPr="001E51F2">
        <w:t>tab</w:t>
      </w:r>
      <w:r>
        <w:t xml:space="preserve">ulky </w:t>
      </w:r>
      <w:r w:rsidRPr="001E51F2">
        <w:t>4.</w:t>
      </w:r>
      <w:r>
        <w:t>1 a 4.2</w:t>
      </w:r>
      <w:r w:rsidR="000136D8">
        <w:t>.</w:t>
      </w:r>
    </w:p>
    <w:p w14:paraId="5FA81FF6" w14:textId="57A7D87E" w:rsidR="00B60E76" w:rsidRDefault="000136D8" w:rsidP="00B46F85">
      <w:pPr>
        <w:pStyle w:val="Zdrojapozn"/>
        <w:ind w:left="284" w:hanging="284"/>
      </w:pPr>
      <w:r w:rsidRPr="00BB49AB">
        <w:rPr>
          <w:b/>
          <w:vertAlign w:val="superscript"/>
        </w:rPr>
        <w:t>1</w:t>
      </w:r>
      <w:r w:rsidRPr="000136D8">
        <w:t xml:space="preserve"> </w:t>
      </w:r>
      <w:r w:rsidR="00B46F85">
        <w:tab/>
      </w:r>
      <w:r w:rsidRPr="000136D8">
        <w:t xml:space="preserve">Do kategorie </w:t>
      </w:r>
      <w:r w:rsidR="00B46F85">
        <w:rPr>
          <w:i/>
        </w:rPr>
        <w:t>r</w:t>
      </w:r>
      <w:r w:rsidRPr="000136D8">
        <w:rPr>
          <w:i/>
        </w:rPr>
        <w:t>ekreace a sport</w:t>
      </w:r>
      <w:r w:rsidRPr="000136D8">
        <w:t xml:space="preserve"> jsou zařazovány plochy jako např. nekrytá sportoviště, veřejná tábořiště, zahrádkářské osady apod. Tělovýchovná a sportovní zařízení (kryté plavecké bazény, zimní stadiony, sportovní haly aj.) patří do kategorie </w:t>
      </w:r>
      <w:r w:rsidR="00B46F85">
        <w:rPr>
          <w:i/>
        </w:rPr>
        <w:t>o</w:t>
      </w:r>
      <w:r w:rsidRPr="000136D8">
        <w:rPr>
          <w:i/>
        </w:rPr>
        <w:t>bčanská vybavenost</w:t>
      </w:r>
      <w:r w:rsidRPr="000136D8">
        <w:t>.</w:t>
      </w:r>
    </w:p>
    <w:p w14:paraId="0838679B" w14:textId="77777777" w:rsidR="000136D8" w:rsidRPr="000136D8" w:rsidRDefault="000136D8" w:rsidP="000136D8">
      <w:pPr>
        <w:pStyle w:val="Text"/>
        <w:rPr>
          <w:lang w:eastAsia="cs-CZ"/>
        </w:rPr>
      </w:pPr>
    </w:p>
    <w:p w14:paraId="03C58204" w14:textId="27AD31A8" w:rsidR="00730586" w:rsidRPr="00364CB8" w:rsidRDefault="00364CB8" w:rsidP="002C65A9">
      <w:pPr>
        <w:pStyle w:val="Nadpis1"/>
        <w:numPr>
          <w:ilvl w:val="0"/>
          <w:numId w:val="0"/>
        </w:numPr>
        <w:tabs>
          <w:tab w:val="left" w:pos="1985"/>
        </w:tabs>
        <w:spacing w:before="120" w:after="0"/>
        <w:ind w:left="431" w:hanging="431"/>
        <w:rPr>
          <w:sz w:val="24"/>
          <w:lang w:eastAsia="cs-CZ"/>
        </w:rPr>
      </w:pPr>
      <w:r w:rsidRPr="00CD31F9">
        <w:rPr>
          <w:sz w:val="24"/>
          <w:lang w:eastAsia="cs-CZ"/>
        </w:rPr>
        <w:t>Příloh</w:t>
      </w:r>
      <w:r>
        <w:rPr>
          <w:sz w:val="24"/>
          <w:lang w:eastAsia="cs-CZ"/>
        </w:rPr>
        <w:t xml:space="preserve">a č. </w:t>
      </w:r>
      <w:r w:rsidR="00B60E76">
        <w:rPr>
          <w:sz w:val="24"/>
          <w:lang w:eastAsia="cs-CZ"/>
        </w:rPr>
        <w:t>6</w:t>
      </w:r>
      <w:r>
        <w:rPr>
          <w:sz w:val="24"/>
          <w:lang w:eastAsia="cs-CZ"/>
        </w:rPr>
        <w:t xml:space="preserve">: </w:t>
      </w:r>
      <w:r w:rsidR="00730586" w:rsidRPr="00BB49AB">
        <w:rPr>
          <w:b w:val="0"/>
          <w:sz w:val="24"/>
        </w:rPr>
        <w:t>Rozsah ploch dotčených povodní a ploch v nepřijatelném riziku</w:t>
      </w:r>
      <w:r w:rsidR="003D0419" w:rsidRPr="00BB49AB">
        <w:rPr>
          <w:b w:val="0"/>
          <w:sz w:val="24"/>
        </w:rPr>
        <w:t xml:space="preserve"> (listopad 2015)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3744"/>
        <w:gridCol w:w="660"/>
        <w:gridCol w:w="770"/>
        <w:gridCol w:w="770"/>
        <w:gridCol w:w="770"/>
        <w:gridCol w:w="1450"/>
      </w:tblGrid>
      <w:tr w:rsidR="00730586" w:rsidRPr="00364CB8" w14:paraId="69D3C21C" w14:textId="77777777" w:rsidTr="001E23B0">
        <w:trPr>
          <w:trHeight w:val="47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B1972D9" w14:textId="77777777" w:rsidR="00730586" w:rsidRPr="00364CB8" w:rsidRDefault="00730586" w:rsidP="001C74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Povodí</w:t>
            </w:r>
          </w:p>
        </w:tc>
        <w:tc>
          <w:tcPr>
            <w:tcW w:w="2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A57CCCB" w14:textId="77777777" w:rsidR="00730586" w:rsidRPr="00364CB8" w:rsidRDefault="00730586" w:rsidP="001C74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Dílčí povodí</w:t>
            </w:r>
          </w:p>
        </w:tc>
        <w:tc>
          <w:tcPr>
            <w:tcW w:w="16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558590C" w14:textId="2B1D0E45" w:rsidR="00730586" w:rsidRPr="00364CB8" w:rsidRDefault="00730586" w:rsidP="00B46F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Zastavěné a zastavitelné plochy dotčené rozlivem s N-letostí </w:t>
            </w:r>
            <w:r w:rsidR="00B46F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(v </w:t>
            </w: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km</w:t>
            </w: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  <w:lang w:eastAsia="cs-CZ"/>
              </w:rPr>
              <w:t>2</w:t>
            </w:r>
            <w:r w:rsidR="00B46F85" w:rsidRPr="0054347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95CD7E9" w14:textId="4F8140DB" w:rsidR="00730586" w:rsidRPr="00364CB8" w:rsidRDefault="00730586" w:rsidP="006E0E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Plocha v</w:t>
            </w:r>
            <w:r w:rsidR="00B46F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nepřijatelném riziku </w:t>
            </w:r>
            <w:r w:rsidR="00B46F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cs-CZ"/>
              </w:rPr>
              <w:t xml:space="preserve">(v </w:t>
            </w:r>
            <w:r w:rsidRPr="0059174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cs-CZ"/>
              </w:rPr>
              <w:t>km</w:t>
            </w:r>
            <w:r w:rsidRPr="0059174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  <w:lang w:val="pl-PL" w:eastAsia="cs-CZ"/>
              </w:rPr>
              <w:t>2</w:t>
            </w:r>
            <w:r w:rsidR="00B46F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pl-PL" w:eastAsia="cs-CZ"/>
              </w:rPr>
              <w:t>)</w:t>
            </w:r>
          </w:p>
        </w:tc>
      </w:tr>
      <w:tr w:rsidR="00730586" w:rsidRPr="00364CB8" w14:paraId="5F63BD75" w14:textId="77777777" w:rsidTr="001C747A">
        <w:trPr>
          <w:trHeight w:val="47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9C69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6C18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A99C" w14:textId="77777777" w:rsidR="00730586" w:rsidRPr="00364CB8" w:rsidRDefault="00730586" w:rsidP="001C74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Q</w:t>
            </w: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bscript"/>
                <w:lang w:eastAsia="cs-CZ"/>
              </w:rPr>
              <w:t>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BE27" w14:textId="77777777" w:rsidR="00730586" w:rsidRPr="00364CB8" w:rsidRDefault="00730586" w:rsidP="001C74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Q</w:t>
            </w: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bscript"/>
                <w:lang w:eastAsia="cs-CZ"/>
              </w:rPr>
              <w:t>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E15E" w14:textId="77777777" w:rsidR="00730586" w:rsidRPr="00364CB8" w:rsidRDefault="00730586" w:rsidP="001C74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Q</w:t>
            </w: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bscript"/>
                <w:lang w:eastAsia="cs-CZ"/>
              </w:rPr>
              <w:t>100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AF16" w14:textId="77777777" w:rsidR="00730586" w:rsidRPr="00364CB8" w:rsidRDefault="00730586" w:rsidP="001C74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Q</w:t>
            </w: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bscript"/>
                <w:lang w:eastAsia="cs-CZ"/>
              </w:rPr>
              <w:t>500</w:t>
            </w: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B3F7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730586" w:rsidRPr="00364CB8" w14:paraId="20925008" w14:textId="77777777" w:rsidTr="001E23B0">
        <w:trPr>
          <w:trHeight w:val="2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0680A39" w14:textId="77777777" w:rsidR="00730586" w:rsidRPr="00364CB8" w:rsidRDefault="00730586" w:rsidP="001C74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Labe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E296" w14:textId="77777777" w:rsidR="00730586" w:rsidRPr="00364CB8" w:rsidRDefault="00730586" w:rsidP="001C747A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Horní a střední Labe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389C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8148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38,42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7202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64,71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A22C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108,13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5DF4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37,56</w:t>
            </w:r>
          </w:p>
        </w:tc>
      </w:tr>
      <w:tr w:rsidR="00730586" w:rsidRPr="00364CB8" w14:paraId="5271EDC0" w14:textId="77777777" w:rsidTr="001E23B0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814F616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5FCA" w14:textId="77777777" w:rsidR="00730586" w:rsidRPr="00364CB8" w:rsidRDefault="00730586" w:rsidP="001C747A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Horní Vltava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B242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2,53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5AB5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6,28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853A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FA1C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19,46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B733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5,83</w:t>
            </w:r>
          </w:p>
        </w:tc>
      </w:tr>
      <w:tr w:rsidR="00730586" w:rsidRPr="00364CB8" w14:paraId="4B3A55FD" w14:textId="77777777" w:rsidTr="001E23B0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7BAD0DD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A0A0" w14:textId="77777777" w:rsidR="00730586" w:rsidRPr="00364CB8" w:rsidRDefault="00730586" w:rsidP="001C747A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Berounka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FB28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1,93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0FFC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4,17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2A76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7,92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CAB5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12,54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536C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3,89</w:t>
            </w:r>
          </w:p>
        </w:tc>
      </w:tr>
      <w:tr w:rsidR="00730586" w:rsidRPr="00364CB8" w14:paraId="4C7BEB13" w14:textId="77777777" w:rsidTr="001E23B0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8019937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7F57" w14:textId="77777777" w:rsidR="00730586" w:rsidRPr="00364CB8" w:rsidRDefault="00730586" w:rsidP="001C747A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Dolní Vltava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F476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5,04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341F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9,45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809F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14,27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3B29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26,79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8735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9,47</w:t>
            </w:r>
          </w:p>
        </w:tc>
      </w:tr>
      <w:tr w:rsidR="00730586" w:rsidRPr="00364CB8" w14:paraId="008400EA" w14:textId="77777777" w:rsidTr="001E23B0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8F6042E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2F1B" w14:textId="5DD7FBF7" w:rsidR="00730586" w:rsidRPr="00364CB8" w:rsidRDefault="00730586" w:rsidP="00B46F85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Ohře, </w:t>
            </w:r>
            <w:r w:rsidR="00B46F8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</w:t>
            </w: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olní Labe a ostatní přítoky Labe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E2D8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7,67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4F9D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14,65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F706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9BD7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44,62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47D8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20,02</w:t>
            </w:r>
          </w:p>
        </w:tc>
      </w:tr>
      <w:tr w:rsidR="00730586" w:rsidRPr="00364CB8" w14:paraId="1EC0EBD6" w14:textId="77777777" w:rsidTr="001E23B0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323C382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3C66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 za povodí Labe</w:t>
            </w: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  <w:lang w:eastAsia="cs-CZ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091D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34,31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ABAC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72,13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D559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123,37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BECE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207,52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A7E5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76,03</w:t>
            </w:r>
          </w:p>
        </w:tc>
      </w:tr>
      <w:tr w:rsidR="00730586" w:rsidRPr="00364CB8" w14:paraId="2268B079" w14:textId="77777777" w:rsidTr="001E23B0">
        <w:trPr>
          <w:trHeight w:val="2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A243D18" w14:textId="77777777" w:rsidR="00730586" w:rsidRPr="00364CB8" w:rsidRDefault="00730586" w:rsidP="001C74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Odra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9F15" w14:textId="77777777" w:rsidR="00730586" w:rsidRPr="00364CB8" w:rsidRDefault="00730586" w:rsidP="001C747A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Horní Odra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A88A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B403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3,09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B6EC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9,95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61C9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37,45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44FE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4,13</w:t>
            </w:r>
          </w:p>
        </w:tc>
      </w:tr>
      <w:tr w:rsidR="00730586" w:rsidRPr="00364CB8" w14:paraId="233B9922" w14:textId="77777777" w:rsidTr="001E23B0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546D086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71DC" w14:textId="77777777" w:rsidR="00730586" w:rsidRPr="00364CB8" w:rsidRDefault="00730586" w:rsidP="001C747A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Lužická Nisa a ostatní přítoky Odry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BBD9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2,94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2CC7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6,07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A9EF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8,94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EEEC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10,95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96F1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5,44</w:t>
            </w:r>
          </w:p>
        </w:tc>
      </w:tr>
      <w:tr w:rsidR="00730586" w:rsidRPr="00364CB8" w14:paraId="125825F5" w14:textId="77777777" w:rsidTr="001E23B0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06E7150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DA3C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 za povodí Odry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1747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4,14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AC59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9,16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BCF5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18,90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C8AF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48,39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DEEE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9,57</w:t>
            </w:r>
          </w:p>
        </w:tc>
      </w:tr>
      <w:tr w:rsidR="00730586" w:rsidRPr="00364CB8" w14:paraId="5DEA2672" w14:textId="77777777" w:rsidTr="001E23B0">
        <w:trPr>
          <w:trHeight w:val="2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AB4E525" w14:textId="77777777" w:rsidR="00730586" w:rsidRPr="00364CB8" w:rsidRDefault="00730586" w:rsidP="001C74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Dunaj</w:t>
            </w: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9EAC" w14:textId="77777777" w:rsidR="00730586" w:rsidRPr="00364CB8" w:rsidRDefault="00730586" w:rsidP="001C747A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Morava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0B58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6,07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0729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28,55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81B6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66,41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30CF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88,71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3B43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24,88</w:t>
            </w:r>
          </w:p>
        </w:tc>
      </w:tr>
      <w:tr w:rsidR="00730586" w:rsidRPr="00364CB8" w14:paraId="4F3868F1" w14:textId="77777777" w:rsidTr="001E23B0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AD1CA96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E143" w14:textId="77777777" w:rsidR="00730586" w:rsidRPr="00364CB8" w:rsidRDefault="00730586" w:rsidP="001C747A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Dyje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C272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79F6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5,61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B772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24,06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6B9B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32,69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CEF5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11,77</w:t>
            </w:r>
          </w:p>
        </w:tc>
      </w:tr>
      <w:tr w:rsidR="00730586" w:rsidRPr="00364CB8" w14:paraId="6A8AD49B" w14:textId="77777777" w:rsidTr="001E23B0">
        <w:trPr>
          <w:trHeight w:val="20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21EBA85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5968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 za povodí Dunaje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C37F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7,57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BB60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34,16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1C5A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90,47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97AA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121,41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2EF8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36,66</w:t>
            </w:r>
          </w:p>
        </w:tc>
      </w:tr>
      <w:tr w:rsidR="00730586" w:rsidRPr="00364CB8" w14:paraId="0F551688" w14:textId="77777777" w:rsidTr="001E23B0">
        <w:trPr>
          <w:trHeight w:val="20"/>
        </w:trPr>
        <w:tc>
          <w:tcPr>
            <w:tcW w:w="2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6B0B2987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1D7A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46,03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877E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115,45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D320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232,73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511D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377,32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7AE2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122,25</w:t>
            </w:r>
          </w:p>
        </w:tc>
      </w:tr>
    </w:tbl>
    <w:p w14:paraId="4E4E29F6" w14:textId="46018D96" w:rsidR="00730586" w:rsidRDefault="00730586" w:rsidP="00730586">
      <w:pPr>
        <w:pStyle w:val="Zdrojapozn"/>
      </w:pPr>
      <w:r w:rsidRPr="00BB49AB">
        <w:rPr>
          <w:b/>
        </w:rPr>
        <w:t>Zdroj:</w:t>
      </w:r>
      <w:r w:rsidRPr="003E0396">
        <w:t xml:space="preserve"> </w:t>
      </w:r>
      <w:r w:rsidR="00B46F85">
        <w:t>p</w:t>
      </w:r>
      <w:r w:rsidR="003D0419">
        <w:t>lány pro zvládání povodňových rizik</w:t>
      </w:r>
      <w:r>
        <w:t xml:space="preserve"> </w:t>
      </w:r>
      <w:r w:rsidR="00B82DDB">
        <w:t xml:space="preserve">– </w:t>
      </w:r>
      <w:r>
        <w:t>tabulk</w:t>
      </w:r>
      <w:r w:rsidR="00B46F85">
        <w:t>a</w:t>
      </w:r>
      <w:r w:rsidRPr="003E0396">
        <w:t xml:space="preserve"> 4.3</w:t>
      </w:r>
      <w:r w:rsidR="000136D8">
        <w:t>.</w:t>
      </w:r>
    </w:p>
    <w:p w14:paraId="2A9124D6" w14:textId="143DF0F7" w:rsidR="00887DC9" w:rsidRDefault="00730586" w:rsidP="00B46F85">
      <w:pPr>
        <w:pStyle w:val="Zdrojapozn"/>
        <w:ind w:left="284" w:hanging="284"/>
      </w:pPr>
      <w:r w:rsidRPr="00BB49AB">
        <w:rPr>
          <w:b/>
          <w:vertAlign w:val="superscript"/>
        </w:rPr>
        <w:t>1</w:t>
      </w:r>
      <w:r>
        <w:t xml:space="preserve"> </w:t>
      </w:r>
      <w:r w:rsidR="00B46F85">
        <w:tab/>
      </w:r>
      <w:r w:rsidR="00B82DDB">
        <w:t>Ú</w:t>
      </w:r>
      <w:r>
        <w:t xml:space="preserve">daj </w:t>
      </w:r>
      <w:r w:rsidR="00B82DDB">
        <w:t>„</w:t>
      </w:r>
      <w:r>
        <w:t>Celkem</w:t>
      </w:r>
      <w:r w:rsidR="00B82DDB">
        <w:t>“</w:t>
      </w:r>
      <w:r>
        <w:t xml:space="preserve"> nesouhlasí se součtem položek za jednotlivá dílčí povodí, protože se dotčené plochy a</w:t>
      </w:r>
      <w:r w:rsidR="00B82DDB">
        <w:t xml:space="preserve"> </w:t>
      </w:r>
      <w:r>
        <w:t>dotčení obyvatelé v soutokové oblasti Labe a Vltavy překrývají</w:t>
      </w:r>
      <w:r w:rsidR="000136D8">
        <w:t>.</w:t>
      </w:r>
    </w:p>
    <w:p w14:paraId="059E21AF" w14:textId="77777777" w:rsidR="00887DC9" w:rsidRPr="00BB49AB" w:rsidRDefault="00887DC9" w:rsidP="00730586">
      <w:pPr>
        <w:pStyle w:val="Zdrojapozn"/>
        <w:rPr>
          <w:b/>
        </w:rPr>
      </w:pPr>
      <w:r w:rsidRPr="00BB49AB">
        <w:rPr>
          <w:b/>
        </w:rPr>
        <w:t xml:space="preserve">Pozn.: </w:t>
      </w:r>
    </w:p>
    <w:p w14:paraId="3FCA2B72" w14:textId="77777777" w:rsidR="00887DC9" w:rsidRPr="00287D34" w:rsidRDefault="00887DC9" w:rsidP="00887DC9">
      <w:pPr>
        <w:rPr>
          <w:sz w:val="20"/>
          <w:szCs w:val="20"/>
        </w:rPr>
      </w:pPr>
      <w:r>
        <w:rPr>
          <w:sz w:val="20"/>
          <w:szCs w:val="20"/>
        </w:rPr>
        <w:t>Q</w:t>
      </w:r>
      <w:r w:rsidRPr="00287D34">
        <w:rPr>
          <w:sz w:val="20"/>
          <w:szCs w:val="20"/>
          <w:vertAlign w:val="subscript"/>
        </w:rPr>
        <w:t>N</w:t>
      </w:r>
      <w:r>
        <w:rPr>
          <w:sz w:val="20"/>
          <w:szCs w:val="20"/>
        </w:rPr>
        <w:t xml:space="preserve"> = </w:t>
      </w:r>
      <w:r w:rsidRPr="00287D34">
        <w:rPr>
          <w:sz w:val="20"/>
          <w:szCs w:val="20"/>
        </w:rPr>
        <w:t xml:space="preserve">N-letý průtok </w:t>
      </w:r>
      <w:r>
        <w:rPr>
          <w:sz w:val="20"/>
          <w:szCs w:val="20"/>
        </w:rPr>
        <w:t>–</w:t>
      </w:r>
      <w:r w:rsidRPr="00287D34">
        <w:rPr>
          <w:sz w:val="20"/>
          <w:szCs w:val="20"/>
        </w:rPr>
        <w:t xml:space="preserve"> je definován jako kulminační průtok, který je dosažen nebo překročen průměrně jednou za N let</w:t>
      </w:r>
      <w:r>
        <w:rPr>
          <w:sz w:val="20"/>
          <w:szCs w:val="20"/>
        </w:rPr>
        <w:t>.</w:t>
      </w:r>
    </w:p>
    <w:p w14:paraId="27AC91F1" w14:textId="47FB0FE8" w:rsidR="00B60E76" w:rsidRDefault="00B60E76" w:rsidP="00730586">
      <w:pPr>
        <w:pStyle w:val="Zdrojapozn"/>
      </w:pPr>
      <w:r>
        <w:br w:type="page"/>
      </w:r>
    </w:p>
    <w:p w14:paraId="7C8AA876" w14:textId="0F62A973" w:rsidR="00730586" w:rsidRPr="00364CB8" w:rsidRDefault="00364CB8" w:rsidP="00BB49AB">
      <w:pPr>
        <w:pStyle w:val="Nadpis1"/>
        <w:numPr>
          <w:ilvl w:val="0"/>
          <w:numId w:val="0"/>
        </w:numPr>
        <w:spacing w:before="120" w:after="0"/>
        <w:ind w:left="1276" w:hanging="1276"/>
        <w:jc w:val="left"/>
        <w:rPr>
          <w:sz w:val="24"/>
          <w:lang w:eastAsia="cs-CZ"/>
        </w:rPr>
      </w:pPr>
      <w:r w:rsidRPr="00CD31F9">
        <w:rPr>
          <w:sz w:val="24"/>
          <w:lang w:eastAsia="cs-CZ"/>
        </w:rPr>
        <w:lastRenderedPageBreak/>
        <w:t>Příloh</w:t>
      </w:r>
      <w:r>
        <w:rPr>
          <w:sz w:val="24"/>
          <w:lang w:eastAsia="cs-CZ"/>
        </w:rPr>
        <w:t xml:space="preserve">a č. </w:t>
      </w:r>
      <w:r w:rsidR="00B60E76">
        <w:rPr>
          <w:sz w:val="24"/>
          <w:lang w:eastAsia="cs-CZ"/>
        </w:rPr>
        <w:t>7</w:t>
      </w:r>
      <w:r>
        <w:rPr>
          <w:sz w:val="24"/>
          <w:lang w:eastAsia="cs-CZ"/>
        </w:rPr>
        <w:t xml:space="preserve">: </w:t>
      </w:r>
      <w:r w:rsidR="00B46F85">
        <w:rPr>
          <w:sz w:val="24"/>
          <w:lang w:eastAsia="cs-CZ"/>
        </w:rPr>
        <w:tab/>
      </w:r>
      <w:r w:rsidR="00730586" w:rsidRPr="00BB49AB">
        <w:rPr>
          <w:b w:val="0"/>
          <w:sz w:val="24"/>
        </w:rPr>
        <w:t xml:space="preserve">Počty obyvatel dotčených povodní a počty obyvatel v nepřijatelném </w:t>
      </w:r>
      <w:r w:rsidR="00B46F85" w:rsidRPr="00BB49AB">
        <w:rPr>
          <w:b w:val="0"/>
          <w:sz w:val="24"/>
        </w:rPr>
        <w:br/>
      </w:r>
      <w:r w:rsidR="00730586" w:rsidRPr="00BB49AB">
        <w:rPr>
          <w:b w:val="0"/>
          <w:sz w:val="24"/>
        </w:rPr>
        <w:t>riziku</w:t>
      </w:r>
      <w:r w:rsidR="003D0419" w:rsidRPr="00BB49AB">
        <w:rPr>
          <w:b w:val="0"/>
          <w:sz w:val="24"/>
        </w:rPr>
        <w:t xml:space="preserve"> (listopad 2015)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2004"/>
        <w:gridCol w:w="833"/>
        <w:gridCol w:w="1181"/>
        <w:gridCol w:w="726"/>
        <w:gridCol w:w="728"/>
        <w:gridCol w:w="808"/>
        <w:gridCol w:w="729"/>
        <w:gridCol w:w="1397"/>
      </w:tblGrid>
      <w:tr w:rsidR="00730586" w:rsidRPr="00364CB8" w14:paraId="662E0CCB" w14:textId="77777777" w:rsidTr="00364CB8">
        <w:trPr>
          <w:trHeight w:val="47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E6DC4DB" w14:textId="77777777" w:rsidR="00730586" w:rsidRPr="00364CB8" w:rsidRDefault="00730586" w:rsidP="001C74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Povodí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425E77E" w14:textId="77777777" w:rsidR="00730586" w:rsidRPr="00364CB8" w:rsidRDefault="00730586" w:rsidP="001C74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Dílčí povodí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D2E8FD6" w14:textId="77777777" w:rsidR="00730586" w:rsidRPr="00364CB8" w:rsidRDefault="00730586" w:rsidP="001C74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Počet obcí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E50CE06" w14:textId="77777777" w:rsidR="00730586" w:rsidRPr="00364CB8" w:rsidRDefault="00730586" w:rsidP="001C74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Počet obyvatel celkem</w:t>
            </w:r>
          </w:p>
        </w:tc>
        <w:tc>
          <w:tcPr>
            <w:tcW w:w="16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CFC8862" w14:textId="5B72AD8B" w:rsidR="00730586" w:rsidRPr="00364CB8" w:rsidRDefault="002E3BAB" w:rsidP="001C74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Počet obyvatel dotčených povodní s N-letostí</w:t>
            </w:r>
            <w:r w:rsidR="00730586"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F08E707" w14:textId="77777777" w:rsidR="00730586" w:rsidRPr="00364CB8" w:rsidRDefault="00730586" w:rsidP="001C74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Počet obyvatel</w:t>
            </w:r>
          </w:p>
          <w:p w14:paraId="5393BFB3" w14:textId="289C5165" w:rsidR="00730586" w:rsidRPr="00364CB8" w:rsidRDefault="00730586" w:rsidP="00364C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 nepřijatelném riziku</w:t>
            </w:r>
          </w:p>
        </w:tc>
      </w:tr>
      <w:tr w:rsidR="00730586" w:rsidRPr="00364CB8" w14:paraId="58A0BDEF" w14:textId="77777777" w:rsidTr="00364CB8">
        <w:trPr>
          <w:trHeight w:val="47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AEA0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F2AA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A229F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F16D0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F65D" w14:textId="77777777" w:rsidR="00730586" w:rsidRPr="00364CB8" w:rsidRDefault="00730586" w:rsidP="001C74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Q</w:t>
            </w: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bscript"/>
                <w:lang w:eastAsia="cs-CZ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2E99" w14:textId="77777777" w:rsidR="00730586" w:rsidRPr="00364CB8" w:rsidRDefault="00730586" w:rsidP="001C74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Q</w:t>
            </w: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bscript"/>
                <w:lang w:eastAsia="cs-CZ"/>
              </w:rPr>
              <w:t>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4AC4" w14:textId="77777777" w:rsidR="00730586" w:rsidRPr="00364CB8" w:rsidRDefault="00730586" w:rsidP="001C74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Q</w:t>
            </w: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bscript"/>
                <w:lang w:eastAsia="cs-CZ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4156" w14:textId="77777777" w:rsidR="00730586" w:rsidRPr="00364CB8" w:rsidRDefault="00730586" w:rsidP="001C74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Q</w:t>
            </w: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bscript"/>
                <w:lang w:eastAsia="cs-CZ"/>
              </w:rPr>
              <w:t>500</w:t>
            </w: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3B96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730586" w:rsidRPr="00364CB8" w14:paraId="0A505F77" w14:textId="77777777" w:rsidTr="00364CB8">
        <w:trPr>
          <w:trHeight w:val="300"/>
        </w:trPr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9A36EDD" w14:textId="77777777" w:rsidR="00730586" w:rsidRPr="00364CB8" w:rsidRDefault="00730586" w:rsidP="001C74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Labe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E37B" w14:textId="77777777" w:rsidR="00730586" w:rsidRPr="00364CB8" w:rsidRDefault="00730586" w:rsidP="001C747A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Horní a střední Labe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E5A9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6786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971 905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656E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2 607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206E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12 736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CBFD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44 371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934F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139 955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14D8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22 611</w:t>
            </w:r>
          </w:p>
        </w:tc>
      </w:tr>
      <w:tr w:rsidR="00730586" w:rsidRPr="00364CB8" w14:paraId="530F1508" w14:textId="77777777" w:rsidTr="00364CB8">
        <w:trPr>
          <w:trHeight w:val="300"/>
        </w:trPr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86B0629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39FF" w14:textId="77777777" w:rsidR="00730586" w:rsidRPr="00364CB8" w:rsidRDefault="00730586" w:rsidP="001C747A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Horní Vltava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C315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AF22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308 870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6F2A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6080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2 085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B17D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13 170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01F1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33 950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77C2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6 136</w:t>
            </w:r>
          </w:p>
        </w:tc>
      </w:tr>
      <w:tr w:rsidR="00730586" w:rsidRPr="00364CB8" w14:paraId="3256586F" w14:textId="77777777" w:rsidTr="00364CB8">
        <w:trPr>
          <w:trHeight w:val="300"/>
        </w:trPr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4A6BFA8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4B27" w14:textId="77777777" w:rsidR="00730586" w:rsidRPr="00364CB8" w:rsidRDefault="00730586" w:rsidP="001C747A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Berounka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D6B5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B8CA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359 009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11D3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8978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1 768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94D0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6 964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CFB2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18 309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BB4D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3 087</w:t>
            </w:r>
          </w:p>
        </w:tc>
      </w:tr>
      <w:tr w:rsidR="00730586" w:rsidRPr="00364CB8" w14:paraId="4A31C59C" w14:textId="77777777" w:rsidTr="00364CB8">
        <w:trPr>
          <w:trHeight w:val="300"/>
        </w:trPr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58B5D89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27FD" w14:textId="77777777" w:rsidR="00730586" w:rsidRPr="00364CB8" w:rsidRDefault="00730586" w:rsidP="001C747A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Dolní Vltava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D8DF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B330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1 438 663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F98D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6A25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2 102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D1B3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8 074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AC14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69 646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2BE4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5 013</w:t>
            </w:r>
          </w:p>
        </w:tc>
      </w:tr>
      <w:tr w:rsidR="00730586" w:rsidRPr="00364CB8" w14:paraId="47DE969A" w14:textId="77777777" w:rsidTr="00364CB8">
        <w:trPr>
          <w:trHeight w:val="47"/>
        </w:trPr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276CE35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AD9B" w14:textId="6BF900CE" w:rsidR="00730586" w:rsidRPr="00364CB8" w:rsidRDefault="00730586" w:rsidP="00B46F85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Ohře, </w:t>
            </w:r>
            <w:r w:rsidR="00B46F8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</w:t>
            </w: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olní Labe a</w:t>
            </w:r>
            <w:r w:rsidR="00B46F8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ostatní přítoky Labe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F1F1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9433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922 837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46B7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9A51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7 941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0C56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32 655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2332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66 819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1AD8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20 730</w:t>
            </w:r>
          </w:p>
        </w:tc>
      </w:tr>
      <w:tr w:rsidR="00730586" w:rsidRPr="00364CB8" w14:paraId="7FDC71C6" w14:textId="77777777" w:rsidTr="00364CB8">
        <w:trPr>
          <w:trHeight w:val="47"/>
        </w:trPr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1446C62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CEA7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 za povodí Labe</w:t>
            </w: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  <w:lang w:eastAsia="cs-CZ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E1D0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705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E038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3 973 130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C79E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4 616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DB3C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26 232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3051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103 104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4AA6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323 942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9720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56 112</w:t>
            </w:r>
          </w:p>
        </w:tc>
      </w:tr>
      <w:tr w:rsidR="00730586" w:rsidRPr="00364CB8" w14:paraId="2116970A" w14:textId="77777777" w:rsidTr="00364CB8">
        <w:trPr>
          <w:trHeight w:val="47"/>
        </w:trPr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705C040" w14:textId="77777777" w:rsidR="00730586" w:rsidRPr="00364CB8" w:rsidRDefault="00730586" w:rsidP="001C74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Odra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32E3" w14:textId="77777777" w:rsidR="00730586" w:rsidRPr="00364CB8" w:rsidRDefault="00730586" w:rsidP="001C747A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Horní Odra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0DED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004E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679 894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ADEA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D455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1 581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910D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21 327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8733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93 089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8373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8 211</w:t>
            </w:r>
          </w:p>
        </w:tc>
      </w:tr>
      <w:tr w:rsidR="00730586" w:rsidRPr="00364CB8" w14:paraId="759152C1" w14:textId="77777777" w:rsidTr="00364CB8">
        <w:trPr>
          <w:trHeight w:val="47"/>
        </w:trPr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AAD2050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9A6A" w14:textId="77777777" w:rsidR="00730586" w:rsidRPr="00364CB8" w:rsidRDefault="00730586" w:rsidP="001C747A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Lužická Nisa a ostatní přítoky Odry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D05E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34B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221 312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F01E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6765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4 331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7162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8 359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9D2F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11 797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F316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6 136</w:t>
            </w:r>
          </w:p>
        </w:tc>
      </w:tr>
      <w:tr w:rsidR="00730586" w:rsidRPr="00364CB8" w14:paraId="2D2C853E" w14:textId="77777777" w:rsidTr="00364CB8">
        <w:trPr>
          <w:trHeight w:val="47"/>
        </w:trPr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320A60E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4F4F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 za povodí Odry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7CF0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EB1C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901 206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8EFA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951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E5C3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5 912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349E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29 686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75E2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104 886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0278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color w:val="FF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sz w:val="18"/>
                <w:szCs w:val="18"/>
                <w:lang w:eastAsia="cs-CZ"/>
              </w:rPr>
              <w:t>14 347</w:t>
            </w:r>
          </w:p>
        </w:tc>
      </w:tr>
      <w:tr w:rsidR="00730586" w:rsidRPr="00364CB8" w14:paraId="6CF5C223" w14:textId="77777777" w:rsidTr="00364CB8">
        <w:trPr>
          <w:trHeight w:val="47"/>
        </w:trPr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0007896" w14:textId="77777777" w:rsidR="00730586" w:rsidRPr="00364CB8" w:rsidRDefault="00730586" w:rsidP="001C74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Dunaj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DCE5" w14:textId="77777777" w:rsidR="00730586" w:rsidRPr="00364CB8" w:rsidRDefault="00730586" w:rsidP="001C747A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Morava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2531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A722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772 538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B77E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4 176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253A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37 215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14B5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128 951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6083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182 119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45B4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74 874</w:t>
            </w:r>
          </w:p>
        </w:tc>
      </w:tr>
      <w:tr w:rsidR="00730586" w:rsidRPr="00364CB8" w14:paraId="6DD06FD1" w14:textId="77777777" w:rsidTr="00364CB8">
        <w:trPr>
          <w:trHeight w:val="47"/>
        </w:trPr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B2597F3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1A05" w14:textId="77777777" w:rsidR="00730586" w:rsidRPr="00364CB8" w:rsidRDefault="00730586" w:rsidP="001C747A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Dyje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1C5E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00DD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759 001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F966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1 241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9318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3 972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0625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51 603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67D3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74 709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CDD7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31 671</w:t>
            </w:r>
          </w:p>
        </w:tc>
      </w:tr>
      <w:tr w:rsidR="00730586" w:rsidRPr="00364CB8" w14:paraId="30488F1A" w14:textId="77777777" w:rsidTr="00364CB8">
        <w:trPr>
          <w:trHeight w:val="47"/>
        </w:trPr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05EA666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9275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 za povodí Dunaje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9901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70A3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1 531 539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FCAD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5 417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3C0F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41 187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E2AA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180 554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7E14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256 828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BBCD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106 545</w:t>
            </w:r>
          </w:p>
        </w:tc>
      </w:tr>
      <w:tr w:rsidR="00730586" w:rsidRPr="00364CB8" w14:paraId="6EB7F036" w14:textId="77777777" w:rsidTr="00364CB8">
        <w:trPr>
          <w:trHeight w:val="47"/>
        </w:trPr>
        <w:tc>
          <w:tcPr>
            <w:tcW w:w="1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AA693F0" w14:textId="77777777" w:rsidR="00730586" w:rsidRPr="00364CB8" w:rsidRDefault="00730586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4092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990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E779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6 405 875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DCE8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10 984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82DB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73 331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C57B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313 344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C2D2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685 656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C28A" w14:textId="77777777" w:rsidR="00730586" w:rsidRPr="00364CB8" w:rsidRDefault="00730586" w:rsidP="001C74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177 004</w:t>
            </w:r>
          </w:p>
        </w:tc>
      </w:tr>
    </w:tbl>
    <w:p w14:paraId="21873DC8" w14:textId="68E04F58" w:rsidR="00730586" w:rsidRPr="001E51F2" w:rsidRDefault="00730586" w:rsidP="00730586">
      <w:pPr>
        <w:pStyle w:val="Zdrojapozn"/>
      </w:pPr>
      <w:r w:rsidRPr="00BB49AB">
        <w:rPr>
          <w:b/>
        </w:rPr>
        <w:t>Zdroj:</w:t>
      </w:r>
      <w:r w:rsidRPr="00957196">
        <w:t xml:space="preserve"> </w:t>
      </w:r>
      <w:r w:rsidR="00B46F85">
        <w:t>p</w:t>
      </w:r>
      <w:r w:rsidR="003D0419">
        <w:t>lány pro zvládání povodňových rizik</w:t>
      </w:r>
      <w:r w:rsidRPr="001E51F2">
        <w:t xml:space="preserve"> </w:t>
      </w:r>
      <w:r w:rsidR="00B46F85">
        <w:t>–</w:t>
      </w:r>
      <w:r w:rsidRPr="001E51F2">
        <w:t xml:space="preserve"> tab</w:t>
      </w:r>
      <w:r w:rsidR="00364CB8">
        <w:t>ulk</w:t>
      </w:r>
      <w:r w:rsidR="00B46F85">
        <w:t>a</w:t>
      </w:r>
      <w:r w:rsidR="00364CB8">
        <w:t xml:space="preserve"> 4.4</w:t>
      </w:r>
      <w:r w:rsidR="000136D8">
        <w:t>.</w:t>
      </w:r>
    </w:p>
    <w:p w14:paraId="5C59E65D" w14:textId="1F7FE609" w:rsidR="007C527E" w:rsidRDefault="00730586" w:rsidP="00B46F85">
      <w:pPr>
        <w:pStyle w:val="Zdrojapozn"/>
        <w:ind w:left="284" w:hanging="284"/>
      </w:pPr>
      <w:r w:rsidRPr="00BB49AB">
        <w:rPr>
          <w:b/>
          <w:vertAlign w:val="superscript"/>
        </w:rPr>
        <w:t>1</w:t>
      </w:r>
      <w:r>
        <w:t xml:space="preserve"> </w:t>
      </w:r>
      <w:r w:rsidR="00B46F85">
        <w:tab/>
      </w:r>
      <w:r w:rsidR="00B82DDB">
        <w:t>Ú</w:t>
      </w:r>
      <w:r>
        <w:t xml:space="preserve">daj </w:t>
      </w:r>
      <w:r w:rsidR="00B82DDB">
        <w:t>„</w:t>
      </w:r>
      <w:r>
        <w:t>Celkem</w:t>
      </w:r>
      <w:r w:rsidR="00B82DDB">
        <w:t>“</w:t>
      </w:r>
      <w:r>
        <w:t xml:space="preserve"> nesouhlasí se součtem položek za jednotlivá dílčí povodí, protože se dotčené plochy a</w:t>
      </w:r>
      <w:r w:rsidR="00B82DDB">
        <w:t xml:space="preserve"> </w:t>
      </w:r>
      <w:r>
        <w:t>dotčení obyvatelé v soutokové oblasti Labe a Vltavy překrývají</w:t>
      </w:r>
      <w:r w:rsidR="000136D8">
        <w:t>.</w:t>
      </w:r>
    </w:p>
    <w:p w14:paraId="256A10D9" w14:textId="77777777" w:rsidR="00B46F85" w:rsidRPr="00C47C5B" w:rsidRDefault="00B46F85" w:rsidP="00B46F85">
      <w:pPr>
        <w:pStyle w:val="Zdrojapozn"/>
        <w:rPr>
          <w:b/>
        </w:rPr>
      </w:pPr>
      <w:r w:rsidRPr="00C47C5B">
        <w:rPr>
          <w:b/>
        </w:rPr>
        <w:t xml:space="preserve">Pozn.: </w:t>
      </w:r>
    </w:p>
    <w:p w14:paraId="711514E5" w14:textId="77777777" w:rsidR="00B46F85" w:rsidRPr="00287D34" w:rsidRDefault="00B46F85" w:rsidP="00B46F85">
      <w:pPr>
        <w:rPr>
          <w:sz w:val="20"/>
          <w:szCs w:val="20"/>
        </w:rPr>
      </w:pPr>
      <w:r>
        <w:rPr>
          <w:sz w:val="20"/>
          <w:szCs w:val="20"/>
        </w:rPr>
        <w:t>Q</w:t>
      </w:r>
      <w:r w:rsidRPr="00287D34">
        <w:rPr>
          <w:sz w:val="20"/>
          <w:szCs w:val="20"/>
          <w:vertAlign w:val="subscript"/>
        </w:rPr>
        <w:t>N</w:t>
      </w:r>
      <w:r>
        <w:rPr>
          <w:sz w:val="20"/>
          <w:szCs w:val="20"/>
        </w:rPr>
        <w:t xml:space="preserve"> = </w:t>
      </w:r>
      <w:r w:rsidRPr="00287D34">
        <w:rPr>
          <w:sz w:val="20"/>
          <w:szCs w:val="20"/>
        </w:rPr>
        <w:t xml:space="preserve">N-letý průtok </w:t>
      </w:r>
      <w:r>
        <w:rPr>
          <w:sz w:val="20"/>
          <w:szCs w:val="20"/>
        </w:rPr>
        <w:t>–</w:t>
      </w:r>
      <w:r w:rsidRPr="00287D34">
        <w:rPr>
          <w:sz w:val="20"/>
          <w:szCs w:val="20"/>
        </w:rPr>
        <w:t xml:space="preserve"> je definován jako kulminační průtok, který je dosažen nebo překročen průměrně jednou za N let</w:t>
      </w:r>
      <w:r>
        <w:rPr>
          <w:sz w:val="20"/>
          <w:szCs w:val="20"/>
        </w:rPr>
        <w:t>.</w:t>
      </w:r>
    </w:p>
    <w:p w14:paraId="0108D9D7" w14:textId="77777777" w:rsidR="00B46F85" w:rsidRPr="00102A29" w:rsidRDefault="00B46F85" w:rsidP="00BB49AB">
      <w:pPr>
        <w:pStyle w:val="Text"/>
      </w:pPr>
    </w:p>
    <w:p w14:paraId="18E571C6" w14:textId="471B59BC" w:rsidR="00CE7929" w:rsidRPr="00BB49AB" w:rsidRDefault="00364CB8" w:rsidP="00BB49AB">
      <w:pPr>
        <w:pStyle w:val="Nadpis1"/>
        <w:numPr>
          <w:ilvl w:val="0"/>
          <w:numId w:val="0"/>
        </w:numPr>
        <w:spacing w:before="120" w:after="0"/>
        <w:ind w:left="1276" w:hanging="1276"/>
        <w:jc w:val="left"/>
        <w:rPr>
          <w:b w:val="0"/>
        </w:rPr>
      </w:pPr>
      <w:r w:rsidRPr="00CD31F9">
        <w:rPr>
          <w:sz w:val="24"/>
          <w:lang w:eastAsia="cs-CZ"/>
        </w:rPr>
        <w:t>Příloh</w:t>
      </w:r>
      <w:r>
        <w:rPr>
          <w:sz w:val="24"/>
          <w:lang w:eastAsia="cs-CZ"/>
        </w:rPr>
        <w:t xml:space="preserve">a č. </w:t>
      </w:r>
      <w:r w:rsidR="00636E71">
        <w:rPr>
          <w:sz w:val="24"/>
          <w:lang w:eastAsia="cs-CZ"/>
        </w:rPr>
        <w:t>8</w:t>
      </w:r>
      <w:r>
        <w:rPr>
          <w:sz w:val="24"/>
          <w:lang w:eastAsia="cs-CZ"/>
        </w:rPr>
        <w:t xml:space="preserve">: </w:t>
      </w:r>
      <w:r w:rsidR="00B46F85">
        <w:rPr>
          <w:sz w:val="24"/>
          <w:lang w:eastAsia="cs-CZ"/>
        </w:rPr>
        <w:tab/>
      </w:r>
      <w:r w:rsidR="00CE7929" w:rsidRPr="00BB49AB">
        <w:rPr>
          <w:b w:val="0"/>
          <w:sz w:val="24"/>
        </w:rPr>
        <w:t>Rozsah ploch v nepřijatelném riziku v členění podle jednotlivých kategorií funkčního využití území</w:t>
      </w:r>
      <w:r w:rsidR="003D0419" w:rsidRPr="00BB49AB">
        <w:rPr>
          <w:b w:val="0"/>
          <w:sz w:val="24"/>
        </w:rPr>
        <w:t xml:space="preserve"> (listopad 2015)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3366"/>
        <w:gridCol w:w="1310"/>
        <w:gridCol w:w="1473"/>
        <w:gridCol w:w="1729"/>
      </w:tblGrid>
      <w:tr w:rsidR="00CE7929" w:rsidRPr="00364CB8" w14:paraId="15DFF60F" w14:textId="77777777" w:rsidTr="001E23B0">
        <w:trPr>
          <w:trHeight w:val="20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54A82BC" w14:textId="77777777" w:rsidR="00CE7929" w:rsidRPr="00364CB8" w:rsidRDefault="00CE7929" w:rsidP="001C74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Povodí</w:t>
            </w:r>
          </w:p>
        </w:tc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6863CEB" w14:textId="77777777" w:rsidR="00CE7929" w:rsidRPr="00364CB8" w:rsidRDefault="00CE7929" w:rsidP="001C74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Kategorie funkčního využití území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6DBB5F2" w14:textId="35151F6F" w:rsidR="00CE7929" w:rsidRPr="00364CB8" w:rsidRDefault="00CE7929" w:rsidP="00B46F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Plochy v nepřijatelném riziku </w:t>
            </w:r>
            <w:r w:rsidR="00B46F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(v </w:t>
            </w: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km</w:t>
            </w: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  <w:lang w:eastAsia="cs-CZ"/>
              </w:rPr>
              <w:t>2</w:t>
            </w:r>
            <w:r w:rsidR="00B46F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</w:tr>
      <w:tr w:rsidR="00CE7929" w:rsidRPr="00364CB8" w14:paraId="40270934" w14:textId="77777777" w:rsidTr="001C747A">
        <w:trPr>
          <w:trHeight w:val="20"/>
        </w:trPr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5B90" w14:textId="77777777" w:rsidR="00CE7929" w:rsidRPr="00364CB8" w:rsidRDefault="00CE7929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9368" w14:textId="77777777" w:rsidR="00CE7929" w:rsidRPr="00364CB8" w:rsidRDefault="00CE7929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CC6E" w14:textId="746D65E6" w:rsidR="00CE7929" w:rsidRPr="00364CB8" w:rsidRDefault="00B46F85" w:rsidP="001C74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</w:t>
            </w:r>
            <w:r w:rsidR="00CE7929"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oučasný stav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7505" w14:textId="5E4A6DC1" w:rsidR="00CE7929" w:rsidRPr="00364CB8" w:rsidRDefault="00B46F85" w:rsidP="001C74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</w:t>
            </w:r>
            <w:r w:rsidR="00CE7929"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ávrhové plochy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3195" w14:textId="42971DE3" w:rsidR="00CE7929" w:rsidRPr="00364CB8" w:rsidRDefault="00B46F85" w:rsidP="001C74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</w:t>
            </w:r>
            <w:r w:rsidR="00CE7929"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ýhledové plochy</w:t>
            </w:r>
          </w:p>
        </w:tc>
      </w:tr>
      <w:tr w:rsidR="00CE7929" w:rsidRPr="00364CB8" w14:paraId="54595B76" w14:textId="77777777" w:rsidTr="001E23B0">
        <w:trPr>
          <w:trHeight w:val="20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498F532" w14:textId="77777777" w:rsidR="00CE7929" w:rsidRPr="00364CB8" w:rsidRDefault="00CE7929" w:rsidP="00364CB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Labe, Odra, Dunaj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48D1" w14:textId="77777777" w:rsidR="00CE7929" w:rsidRPr="00364CB8" w:rsidRDefault="00CE7929" w:rsidP="001C747A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Bydlení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68F7" w14:textId="77777777" w:rsidR="00CE7929" w:rsidRPr="00364CB8" w:rsidRDefault="00CE7929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39,74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D36D" w14:textId="77777777" w:rsidR="00CE7929" w:rsidRPr="00364CB8" w:rsidRDefault="00CE7929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8,58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D4A4" w14:textId="77777777" w:rsidR="00CE7929" w:rsidRPr="00364CB8" w:rsidRDefault="00CE7929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0,86</w:t>
            </w:r>
          </w:p>
        </w:tc>
      </w:tr>
      <w:tr w:rsidR="00CE7929" w:rsidRPr="00364CB8" w14:paraId="24FE1AE0" w14:textId="77777777" w:rsidTr="001E23B0">
        <w:trPr>
          <w:trHeight w:val="2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316AD71" w14:textId="77777777" w:rsidR="00CE7929" w:rsidRPr="00364CB8" w:rsidRDefault="00CE7929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66ED" w14:textId="77777777" w:rsidR="00CE7929" w:rsidRPr="00364CB8" w:rsidRDefault="00CE7929" w:rsidP="001C747A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Výrobní plochy a sklady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3F49" w14:textId="77777777" w:rsidR="00CE7929" w:rsidRPr="00364CB8" w:rsidRDefault="00CE7929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30,97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8BF1" w14:textId="77777777" w:rsidR="00CE7929" w:rsidRPr="00364CB8" w:rsidRDefault="00CE7929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7,86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6DC7" w14:textId="77777777" w:rsidR="00CE7929" w:rsidRPr="00364CB8" w:rsidRDefault="00CE7929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0,97</w:t>
            </w:r>
          </w:p>
        </w:tc>
      </w:tr>
      <w:tr w:rsidR="00CE7929" w:rsidRPr="00364CB8" w14:paraId="39C6119A" w14:textId="77777777" w:rsidTr="001E23B0">
        <w:trPr>
          <w:trHeight w:val="2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359C3F7" w14:textId="77777777" w:rsidR="00CE7929" w:rsidRPr="00364CB8" w:rsidRDefault="00CE7929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A43C" w14:textId="77777777" w:rsidR="00CE7929" w:rsidRPr="00364CB8" w:rsidRDefault="00CE7929" w:rsidP="001C747A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Rekreace a sport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72E8" w14:textId="77777777" w:rsidR="00CE7929" w:rsidRPr="00364CB8" w:rsidRDefault="00CE7929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16,60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F157" w14:textId="77777777" w:rsidR="00CE7929" w:rsidRPr="00364CB8" w:rsidRDefault="00CE7929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3,98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863F" w14:textId="77777777" w:rsidR="00CE7929" w:rsidRPr="00364CB8" w:rsidRDefault="00CE7929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0,57</w:t>
            </w:r>
          </w:p>
        </w:tc>
      </w:tr>
      <w:tr w:rsidR="00CE7929" w:rsidRPr="00364CB8" w14:paraId="08C98914" w14:textId="77777777" w:rsidTr="001E23B0">
        <w:trPr>
          <w:trHeight w:val="2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E9E1E61" w14:textId="77777777" w:rsidR="00CE7929" w:rsidRPr="00364CB8" w:rsidRDefault="00CE7929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5C7D" w14:textId="6BD07027" w:rsidR="00CE7929" w:rsidRPr="00364CB8" w:rsidRDefault="00CE7929" w:rsidP="001C747A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Smíšen</w:t>
            </w:r>
            <w:r w:rsidR="00B46F85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é</w:t>
            </w: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plochy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D498" w14:textId="77777777" w:rsidR="00CE7929" w:rsidRPr="00364CB8" w:rsidRDefault="00CE7929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12,22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92FF" w14:textId="77777777" w:rsidR="00CE7929" w:rsidRPr="00364CB8" w:rsidRDefault="00CE7929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3,14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414A" w14:textId="77777777" w:rsidR="00CE7929" w:rsidRPr="00364CB8" w:rsidRDefault="00CE7929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0,28</w:t>
            </w:r>
          </w:p>
        </w:tc>
      </w:tr>
      <w:tr w:rsidR="00CE7929" w:rsidRPr="00364CB8" w14:paraId="08BEA5BD" w14:textId="77777777" w:rsidTr="001E23B0">
        <w:trPr>
          <w:trHeight w:val="2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69C8BE6" w14:textId="77777777" w:rsidR="00CE7929" w:rsidRPr="00364CB8" w:rsidRDefault="00CE7929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C2E8" w14:textId="77777777" w:rsidR="00CE7929" w:rsidRPr="00364CB8" w:rsidRDefault="00CE7929" w:rsidP="001C747A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Občanská vybavenost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1BA5" w14:textId="77777777" w:rsidR="00CE7929" w:rsidRPr="00364CB8" w:rsidRDefault="00CE7929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10,79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48DB" w14:textId="77777777" w:rsidR="00CE7929" w:rsidRPr="00364CB8" w:rsidRDefault="00CE7929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5,82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D113" w14:textId="77777777" w:rsidR="00CE7929" w:rsidRPr="00364CB8" w:rsidRDefault="00CE7929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0,48</w:t>
            </w:r>
          </w:p>
        </w:tc>
      </w:tr>
      <w:tr w:rsidR="00CE7929" w:rsidRPr="00364CB8" w14:paraId="446D0E28" w14:textId="77777777" w:rsidTr="001E23B0">
        <w:trPr>
          <w:trHeight w:val="2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4E9035A" w14:textId="77777777" w:rsidR="00CE7929" w:rsidRPr="00364CB8" w:rsidRDefault="00CE7929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564E" w14:textId="77777777" w:rsidR="00CE7929" w:rsidRPr="00364CB8" w:rsidRDefault="00CE7929" w:rsidP="001C747A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infrastruktura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DA89" w14:textId="77777777" w:rsidR="00CE7929" w:rsidRPr="00364CB8" w:rsidRDefault="00CE7929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6,46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7856" w14:textId="77777777" w:rsidR="00CE7929" w:rsidRPr="00364CB8" w:rsidRDefault="00CE7929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4,84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486B" w14:textId="77777777" w:rsidR="00CE7929" w:rsidRPr="00364CB8" w:rsidRDefault="00CE7929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0,45</w:t>
            </w:r>
          </w:p>
        </w:tc>
      </w:tr>
      <w:tr w:rsidR="00CE7929" w:rsidRPr="00364CB8" w14:paraId="06024EE9" w14:textId="77777777" w:rsidTr="001E23B0">
        <w:trPr>
          <w:trHeight w:val="2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6C4F3D8" w14:textId="77777777" w:rsidR="00CE7929" w:rsidRPr="00364CB8" w:rsidRDefault="00CE7929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5ABE" w14:textId="77777777" w:rsidR="00CE7929" w:rsidRPr="00364CB8" w:rsidRDefault="00CE7929" w:rsidP="001C747A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Technická infrastruktura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0A7B" w14:textId="77777777" w:rsidR="00CE7929" w:rsidRPr="00364CB8" w:rsidRDefault="00CE7929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5,48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FA68" w14:textId="77777777" w:rsidR="00CE7929" w:rsidRPr="00364CB8" w:rsidRDefault="00CE7929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1,68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4CEF" w14:textId="77777777" w:rsidR="00CE7929" w:rsidRPr="00364CB8" w:rsidRDefault="00CE7929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0,06</w:t>
            </w:r>
          </w:p>
        </w:tc>
      </w:tr>
      <w:tr w:rsidR="00CE7929" w:rsidRPr="00364CB8" w14:paraId="2CB29FD7" w14:textId="77777777" w:rsidTr="00364CB8">
        <w:trPr>
          <w:trHeight w:val="20"/>
        </w:trPr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199EB35" w14:textId="77777777" w:rsidR="00CE7929" w:rsidRPr="00364CB8" w:rsidRDefault="00CE7929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8E10A53" w14:textId="77777777" w:rsidR="00CE7929" w:rsidRPr="00364CB8" w:rsidRDefault="00CE7929" w:rsidP="001C747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E339" w14:textId="2E9BCD7C" w:rsidR="00CE7929" w:rsidRPr="00364CB8" w:rsidRDefault="00CE7929" w:rsidP="00587F9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122,2</w:t>
            </w:r>
            <w:r w:rsidR="00587F9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F013" w14:textId="31B78434" w:rsidR="00CE7929" w:rsidRPr="00364CB8" w:rsidRDefault="00CE7929" w:rsidP="00587F9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35,9</w:t>
            </w:r>
            <w:r w:rsidR="00587F9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F818" w14:textId="470FCE26" w:rsidR="00CE7929" w:rsidRPr="00364CB8" w:rsidRDefault="00CE7929" w:rsidP="00587F9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3,6</w:t>
            </w:r>
            <w:r w:rsidR="00587F9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364CB8" w:rsidRPr="00364CB8" w14:paraId="1526EC14" w14:textId="77777777" w:rsidTr="00364CB8">
        <w:trPr>
          <w:trHeight w:val="20"/>
        </w:trPr>
        <w:tc>
          <w:tcPr>
            <w:tcW w:w="6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5F1FF"/>
            <w:noWrap/>
            <w:hideMark/>
          </w:tcPr>
          <w:p w14:paraId="5BAABCE4" w14:textId="5F4876C5" w:rsidR="00364CB8" w:rsidRPr="00364CB8" w:rsidRDefault="00364CB8" w:rsidP="00364CB8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Z toho: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01D631A" w14:textId="02411318" w:rsidR="00364CB8" w:rsidRPr="0084066B" w:rsidRDefault="00364CB8" w:rsidP="0084066B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4066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Labe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A1FB" w14:textId="77777777" w:rsidR="00364CB8" w:rsidRPr="00364CB8" w:rsidRDefault="00364CB8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76,03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E33D" w14:textId="60E2D9CF" w:rsidR="00364CB8" w:rsidRPr="00364CB8" w:rsidRDefault="00364CB8" w:rsidP="00587F9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18,8</w:t>
            </w:r>
            <w:r w:rsidR="00587F9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78D2" w14:textId="2CB3AF57" w:rsidR="00364CB8" w:rsidRPr="00364CB8" w:rsidRDefault="00364CB8" w:rsidP="00587F9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2,0</w:t>
            </w:r>
            <w:r w:rsidR="00587F9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64CB8" w:rsidRPr="00364CB8" w14:paraId="4A1B507D" w14:textId="77777777" w:rsidTr="00364CB8">
        <w:trPr>
          <w:trHeight w:val="20"/>
        </w:trPr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13B824D" w14:textId="4F76B84C" w:rsidR="00364CB8" w:rsidRPr="00364CB8" w:rsidRDefault="00364CB8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3027EF1" w14:textId="304EB058" w:rsidR="00364CB8" w:rsidRPr="0084066B" w:rsidRDefault="00364CB8" w:rsidP="0084066B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4066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Dunaj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BB85" w14:textId="77777777" w:rsidR="00364CB8" w:rsidRPr="00364CB8" w:rsidRDefault="00364CB8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36,66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9A3C" w14:textId="77777777" w:rsidR="00364CB8" w:rsidRPr="00364CB8" w:rsidRDefault="00364CB8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16,10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BD20" w14:textId="77777777" w:rsidR="00364CB8" w:rsidRPr="00364CB8" w:rsidRDefault="00364CB8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0,99</w:t>
            </w:r>
          </w:p>
        </w:tc>
      </w:tr>
      <w:tr w:rsidR="00364CB8" w:rsidRPr="00364CB8" w14:paraId="2B41A60A" w14:textId="77777777" w:rsidTr="00364CB8">
        <w:trPr>
          <w:trHeight w:val="20"/>
        </w:trPr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4EB996A" w14:textId="18891FB7" w:rsidR="00364CB8" w:rsidRPr="00364CB8" w:rsidRDefault="00364CB8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D692E5B" w14:textId="45716F02" w:rsidR="00364CB8" w:rsidRPr="0084066B" w:rsidRDefault="00364CB8" w:rsidP="0084066B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84066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Odra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3166" w14:textId="77777777" w:rsidR="00364CB8" w:rsidRPr="00364CB8" w:rsidRDefault="00364CB8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9,57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F5D1" w14:textId="77777777" w:rsidR="00364CB8" w:rsidRPr="00364CB8" w:rsidRDefault="00364CB8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0,93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0BA6" w14:textId="77777777" w:rsidR="00364CB8" w:rsidRPr="00364CB8" w:rsidRDefault="00364CB8" w:rsidP="001C74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64CB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0,68</w:t>
            </w:r>
          </w:p>
        </w:tc>
      </w:tr>
    </w:tbl>
    <w:p w14:paraId="53A8E3E0" w14:textId="0C10EBAB" w:rsidR="00CE7929" w:rsidRPr="00730586" w:rsidRDefault="00CE7929" w:rsidP="007C527E">
      <w:pPr>
        <w:pStyle w:val="Zdrojapozn"/>
      </w:pPr>
      <w:r w:rsidRPr="00BB49AB">
        <w:rPr>
          <w:b/>
        </w:rPr>
        <w:t>Zdroj:</w:t>
      </w:r>
      <w:r w:rsidRPr="00957196">
        <w:t xml:space="preserve"> </w:t>
      </w:r>
      <w:r w:rsidR="00B46F85">
        <w:t>p</w:t>
      </w:r>
      <w:r w:rsidR="003D0419">
        <w:t>lány pro zvládání povodňových rizik</w:t>
      </w:r>
      <w:r w:rsidRPr="001E51F2">
        <w:t xml:space="preserve"> </w:t>
      </w:r>
      <w:r w:rsidR="00B82DDB">
        <w:t xml:space="preserve">– </w:t>
      </w:r>
      <w:r w:rsidRPr="001E51F2">
        <w:t>tab</w:t>
      </w:r>
      <w:r w:rsidR="0084066B">
        <w:t>ulk</w:t>
      </w:r>
      <w:r w:rsidR="00B46F85">
        <w:t>a</w:t>
      </w:r>
      <w:r w:rsidR="0084066B">
        <w:t xml:space="preserve"> 4.5</w:t>
      </w:r>
      <w:r w:rsidR="000136D8">
        <w:t>.</w:t>
      </w:r>
    </w:p>
    <w:sectPr w:rsidR="00CE7929" w:rsidRPr="00730586" w:rsidSect="00BF5DA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BB49B" w14:textId="77777777" w:rsidR="000F76C4" w:rsidRDefault="000F76C4">
      <w:r>
        <w:separator/>
      </w:r>
    </w:p>
  </w:endnote>
  <w:endnote w:type="continuationSeparator" w:id="0">
    <w:p w14:paraId="185BA12B" w14:textId="77777777" w:rsidR="000F76C4" w:rsidRDefault="000F76C4">
      <w:r>
        <w:continuationSeparator/>
      </w:r>
    </w:p>
  </w:endnote>
  <w:endnote w:type="continuationNotice" w:id="1">
    <w:p w14:paraId="316D7B6C" w14:textId="77777777" w:rsidR="000F76C4" w:rsidRDefault="000F76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6417663"/>
      <w:docPartObj>
        <w:docPartGallery w:val="Page Numbers (Bottom of Page)"/>
        <w:docPartUnique/>
      </w:docPartObj>
    </w:sdtPr>
    <w:sdtEndPr/>
    <w:sdtContent>
      <w:p w14:paraId="27FDC8FA" w14:textId="2DFCA389" w:rsidR="000F76C4" w:rsidRDefault="000F76C4" w:rsidP="006E3B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F03">
          <w:rPr>
            <w:noProof/>
          </w:rPr>
          <w:t>26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AEE16" w14:textId="77777777" w:rsidR="000F76C4" w:rsidRDefault="000F76C4" w:rsidP="00395345">
      <w:r>
        <w:separator/>
      </w:r>
    </w:p>
  </w:footnote>
  <w:footnote w:type="continuationSeparator" w:id="0">
    <w:p w14:paraId="065CD616" w14:textId="77777777" w:rsidR="000F76C4" w:rsidRDefault="000F76C4" w:rsidP="00395345">
      <w:r>
        <w:continuationSeparator/>
      </w:r>
    </w:p>
  </w:footnote>
  <w:footnote w:type="continuationNotice" w:id="1">
    <w:p w14:paraId="0217DCDE" w14:textId="77777777" w:rsidR="000F76C4" w:rsidRDefault="000F76C4"/>
  </w:footnote>
  <w:footnote w:id="2">
    <w:p w14:paraId="0262AE15" w14:textId="10527850" w:rsidR="000F76C4" w:rsidRDefault="000F76C4" w:rsidP="003B276C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Dle MŽP představují povodně pro Českou republiku největší přímé nebezpečí v oblasti přírodních katastrof a jsou příčinou závažných krizových situací, které provázejí nejenom rozsáhlé materiální škody, ale rovněž ztráty na životech obyvatel postižených území a rozsáhlé devastace kulturní krajiny včetně ekologických škod (</w:t>
      </w:r>
      <w:r w:rsidRPr="007F5880">
        <w:rPr>
          <w:i/>
        </w:rPr>
        <w:t>plány pro zvládání povodňových rizik</w:t>
      </w:r>
      <w:r>
        <w:t>, str. 5).</w:t>
      </w:r>
    </w:p>
  </w:footnote>
  <w:footnote w:id="3">
    <w:p w14:paraId="6CF80193" w14:textId="68A4A981" w:rsidR="000F76C4" w:rsidRDefault="000F76C4" w:rsidP="003B276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Dle k</w:t>
      </w:r>
      <w:r w:rsidRPr="0069550A">
        <w:t>lasifikace povodní v rámci předběžného vyhodnocení povodňových rizik</w:t>
      </w:r>
      <w:r>
        <w:t>.</w:t>
      </w:r>
    </w:p>
  </w:footnote>
  <w:footnote w:id="4">
    <w:p w14:paraId="0606C3EB" w14:textId="7D4E71D8" w:rsidR="000F76C4" w:rsidRDefault="000F76C4" w:rsidP="003B276C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Dále také „OPŽP“.</w:t>
      </w:r>
    </w:p>
  </w:footnote>
  <w:footnote w:id="5">
    <w:p w14:paraId="4EB1334E" w14:textId="70D22836" w:rsidR="000F76C4" w:rsidRDefault="000F76C4" w:rsidP="003B276C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Zákon č. 254/2001 Sb</w:t>
      </w:r>
      <w:r w:rsidRPr="00484B88">
        <w:t>., o vodách a o změně některých zákonů (vodní zákon)</w:t>
      </w:r>
      <w:r>
        <w:t>.</w:t>
      </w:r>
    </w:p>
  </w:footnote>
  <w:footnote w:id="6">
    <w:p w14:paraId="30AF3704" w14:textId="0F2106F7" w:rsidR="000F76C4" w:rsidRDefault="000F76C4" w:rsidP="003B276C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B91D61">
        <w:t>Zpráva EEA č. 14/2017</w:t>
      </w:r>
      <w:r>
        <w:t xml:space="preserve"> –</w:t>
      </w:r>
      <w:r w:rsidRPr="00B91D61">
        <w:t xml:space="preserve"> </w:t>
      </w:r>
      <w:r w:rsidRPr="00BF671A">
        <w:rPr>
          <w:i/>
        </w:rPr>
        <w:t>Green Infrastructure and Flood Management - Promoting cost-efficient flood risk reduction via green infrastructure solutions</w:t>
      </w:r>
      <w:r w:rsidRPr="00B91D61">
        <w:t xml:space="preserve"> (</w:t>
      </w:r>
      <w:r w:rsidRPr="00BF671A">
        <w:rPr>
          <w:i/>
        </w:rPr>
        <w:t>Zelená infrastruktura a zvládání povodní</w:t>
      </w:r>
      <w:r w:rsidRPr="00B91D61">
        <w:t xml:space="preserve"> – </w:t>
      </w:r>
      <w:r w:rsidRPr="00BF671A">
        <w:rPr>
          <w:i/>
        </w:rPr>
        <w:t>Podpora nákladově efektivního snižování rizika povodní prostřednictvím zelené infrastruktury</w:t>
      </w:r>
      <w:r w:rsidRPr="00B91D61">
        <w:t>).</w:t>
      </w:r>
    </w:p>
  </w:footnote>
  <w:footnote w:id="7">
    <w:p w14:paraId="554AB2F7" w14:textId="64F5308C" w:rsidR="000F76C4" w:rsidRDefault="000F76C4" w:rsidP="003B276C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180186">
        <w:t xml:space="preserve">Pro </w:t>
      </w:r>
      <w:r>
        <w:t>5</w:t>
      </w:r>
      <w:r w:rsidRPr="00180186">
        <w:t xml:space="preserve"> </w:t>
      </w:r>
      <w:r>
        <w:t xml:space="preserve">zbývajících </w:t>
      </w:r>
      <w:r w:rsidRPr="00180186">
        <w:t xml:space="preserve">konkrétních opatření </w:t>
      </w:r>
      <w:r>
        <w:t>z celkového počtu 135 opatření nebyly náklady</w:t>
      </w:r>
      <w:r w:rsidRPr="00180186">
        <w:t xml:space="preserve"> na realizaci</w:t>
      </w:r>
      <w:r>
        <w:t xml:space="preserve"> </w:t>
      </w:r>
      <w:r w:rsidRPr="00180186">
        <w:t>odhadnuty.</w:t>
      </w:r>
    </w:p>
  </w:footnote>
  <w:footnote w:id="8">
    <w:p w14:paraId="19A46F0C" w14:textId="06218A60" w:rsidR="000F76C4" w:rsidRPr="006F41F1" w:rsidRDefault="000F76C4" w:rsidP="003B276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Dle </w:t>
      </w:r>
      <w:r w:rsidRPr="006F41F1">
        <w:rPr>
          <w:i/>
        </w:rPr>
        <w:t>Komplexní studie dopadů, zranitelnosti a zdrojů rizik souvisejících se změnou klimatu v</w:t>
      </w:r>
      <w:r>
        <w:rPr>
          <w:i/>
        </w:rPr>
        <w:t> </w:t>
      </w:r>
      <w:r w:rsidRPr="006F41F1">
        <w:rPr>
          <w:i/>
        </w:rPr>
        <w:t>ČR</w:t>
      </w:r>
      <w:r>
        <w:t>.</w:t>
      </w:r>
    </w:p>
  </w:footnote>
  <w:footnote w:id="9">
    <w:p w14:paraId="3FD463FD" w14:textId="55ACB789" w:rsidR="000F76C4" w:rsidRDefault="000F76C4" w:rsidP="003B276C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Revitalizace – vodohospodářská činnost směřující k obnově přirozených tvarů a funkcí vodních toků a jejich niv.</w:t>
      </w:r>
    </w:p>
  </w:footnote>
  <w:footnote w:id="10">
    <w:p w14:paraId="6A1DB882" w14:textId="2F7F0577" w:rsidR="000F76C4" w:rsidRDefault="000F76C4" w:rsidP="003B276C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Renaturace – převážně samovolná obnova přirozených tvarů a funkcí vodních toků a jejich niv, pozvolná nebo povodňová. Na renaturaci se podílí samovolný rozpad technických opevnění, vymílání, zanášení a zarůstání koryt. Renaturační procesy lze podporovat dílčími revitalizačními opatřeními a vhodně orientovanou správou a údržbou vodních toků.</w:t>
      </w:r>
    </w:p>
  </w:footnote>
  <w:footnote w:id="11">
    <w:p w14:paraId="123C30CD" w14:textId="3EE9469E" w:rsidR="000F76C4" w:rsidRPr="000E542F" w:rsidRDefault="000F76C4" w:rsidP="00E33F04">
      <w:pPr>
        <w:pStyle w:val="Text"/>
        <w:spacing w:before="0"/>
        <w:ind w:left="284" w:hanging="284"/>
        <w:rPr>
          <w:sz w:val="20"/>
          <w:szCs w:val="20"/>
        </w:rPr>
      </w:pPr>
      <w:r w:rsidRPr="000E542F">
        <w:rPr>
          <w:rStyle w:val="Znakapoznpodarou"/>
          <w:sz w:val="20"/>
          <w:szCs w:val="20"/>
        </w:rPr>
        <w:footnoteRef/>
      </w:r>
      <w:r w:rsidRPr="000E542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B82DDB">
        <w:rPr>
          <w:rFonts w:ascii="Calibri" w:eastAsia="Times New Roman" w:hAnsi="Calibri" w:cs="Times New Roman"/>
          <w:sz w:val="20"/>
          <w:szCs w:val="20"/>
        </w:rPr>
        <w:t>Výsledky projektu vedeného Výzkumným ústavem vodohospodářským T.</w:t>
      </w:r>
      <w:r>
        <w:rPr>
          <w:rFonts w:ascii="Calibri" w:eastAsia="Times New Roman" w:hAnsi="Calibri" w:cs="Times New Roman"/>
          <w:sz w:val="20"/>
          <w:szCs w:val="20"/>
        </w:rPr>
        <w:t> </w:t>
      </w:r>
      <w:r w:rsidRPr="00B82DDB">
        <w:rPr>
          <w:rFonts w:ascii="Calibri" w:eastAsia="Times New Roman" w:hAnsi="Calibri" w:cs="Times New Roman"/>
          <w:sz w:val="20"/>
          <w:szCs w:val="20"/>
        </w:rPr>
        <w:t>G. Masaryka, v.</w:t>
      </w:r>
      <w:r>
        <w:rPr>
          <w:rFonts w:ascii="Calibri" w:eastAsia="Times New Roman" w:hAnsi="Calibri" w:cs="Times New Roman"/>
          <w:sz w:val="20"/>
          <w:szCs w:val="20"/>
        </w:rPr>
        <w:t> </w:t>
      </w:r>
      <w:r w:rsidRPr="00B82DDB">
        <w:rPr>
          <w:rFonts w:ascii="Calibri" w:eastAsia="Times New Roman" w:hAnsi="Calibri" w:cs="Times New Roman"/>
          <w:sz w:val="20"/>
          <w:szCs w:val="20"/>
        </w:rPr>
        <w:t>v.</w:t>
      </w:r>
      <w:r>
        <w:rPr>
          <w:rFonts w:ascii="Calibri" w:eastAsia="Times New Roman" w:hAnsi="Calibri" w:cs="Times New Roman"/>
          <w:sz w:val="20"/>
          <w:szCs w:val="20"/>
        </w:rPr>
        <w:t> </w:t>
      </w:r>
      <w:r w:rsidRPr="00B82DDB">
        <w:rPr>
          <w:rFonts w:ascii="Calibri" w:eastAsia="Times New Roman" w:hAnsi="Calibri" w:cs="Times New Roman"/>
          <w:sz w:val="20"/>
          <w:szCs w:val="20"/>
        </w:rPr>
        <w:t>i.</w:t>
      </w:r>
      <w:r>
        <w:rPr>
          <w:rFonts w:ascii="Calibri" w:eastAsia="Times New Roman" w:hAnsi="Calibri" w:cs="Times New Roman"/>
          <w:sz w:val="20"/>
          <w:szCs w:val="20"/>
        </w:rPr>
        <w:t>,</w:t>
      </w:r>
      <w:r w:rsidRPr="00B82DDB">
        <w:rPr>
          <w:rFonts w:ascii="Calibri" w:eastAsia="Times New Roman" w:hAnsi="Calibri" w:cs="Times New Roman"/>
          <w:sz w:val="20"/>
          <w:szCs w:val="20"/>
        </w:rPr>
        <w:t xml:space="preserve"> dokončeného v roce 2015 mj. obsahují návrhy přírodě blízkých opatření zahrnující revitalizace vodních toků a niv pro území s velmi vysokou mírou ohroženosti na celkové délce vodních toků 8 838 km.</w:t>
      </w:r>
    </w:p>
  </w:footnote>
  <w:footnote w:id="12">
    <w:p w14:paraId="674DB973" w14:textId="6B3A876B" w:rsidR="000F76C4" w:rsidRPr="00C37439" w:rsidRDefault="000F76C4" w:rsidP="00E33F04">
      <w:pPr>
        <w:pStyle w:val="Textpoznpodarou"/>
        <w:ind w:left="284" w:hanging="284"/>
        <w:jc w:val="both"/>
      </w:pPr>
      <w:r w:rsidRPr="00B82DDB">
        <w:rPr>
          <w:rStyle w:val="Znakapoznpodarou"/>
        </w:rPr>
        <w:footnoteRef/>
      </w:r>
      <w:r w:rsidRPr="00B82DDB">
        <w:t xml:space="preserve"> </w:t>
      </w:r>
      <w:r>
        <w:tab/>
      </w:r>
      <w:r w:rsidRPr="00B82DDB">
        <w:t xml:space="preserve">Dosažená hodnota indikátoru 250300 </w:t>
      </w:r>
      <w:r w:rsidRPr="00B82DDB">
        <w:rPr>
          <w:i/>
        </w:rPr>
        <w:t>Celková délka revitalizovaného toku</w:t>
      </w:r>
      <w:r w:rsidRPr="00B82DDB">
        <w:t xml:space="preserve"> (OPŽP 2007–2013): 236,92 km; dosažená hodnota indikátoru 46505 </w:t>
      </w:r>
      <w:r w:rsidRPr="00C37439">
        <w:rPr>
          <w:i/>
        </w:rPr>
        <w:t>Délka revitalizovaných vodních toků</w:t>
      </w:r>
      <w:r w:rsidRPr="00C37439">
        <w:t xml:space="preserve"> (OPŽP 2014–2020) ke dni 23. 7. 2019: 8,77 km (</w:t>
      </w:r>
      <w:r>
        <w:t>c</w:t>
      </w:r>
      <w:r w:rsidRPr="00C37439">
        <w:t>ílová hodnota indikátoru: 202,08 km).</w:t>
      </w:r>
    </w:p>
  </w:footnote>
  <w:footnote w:id="13">
    <w:p w14:paraId="683FDC46" w14:textId="3F69FD4C" w:rsidR="000F76C4" w:rsidRDefault="000F76C4" w:rsidP="003B276C">
      <w:pPr>
        <w:pStyle w:val="Textpoznpodarou"/>
        <w:ind w:left="284" w:hanging="284"/>
        <w:jc w:val="both"/>
      </w:pPr>
      <w:r w:rsidRPr="00B82DDB">
        <w:rPr>
          <w:rStyle w:val="Znakapoznpodarou"/>
        </w:rPr>
        <w:footnoteRef/>
      </w:r>
      <w:r w:rsidRPr="00B82DDB">
        <w:t xml:space="preserve"> </w:t>
      </w:r>
      <w:r>
        <w:tab/>
      </w:r>
      <w:r w:rsidRPr="00B82DDB">
        <w:t>MŽP ani MZe nemají kompetence ovlivnit zjištěnou skutečnost.</w:t>
      </w:r>
    </w:p>
  </w:footnote>
  <w:footnote w:id="14">
    <w:p w14:paraId="36005205" w14:textId="4F2C96D1" w:rsidR="000F76C4" w:rsidRDefault="000F76C4" w:rsidP="003B276C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Pokud vodní zákon nestanoví jinak, působnost, která přísluší vodoprávním úřadům, vykonávají obecní úřady obcí s rozšířenou působností.</w:t>
      </w:r>
    </w:p>
  </w:footnote>
  <w:footnote w:id="15">
    <w:p w14:paraId="4D50C348" w14:textId="0327CA17" w:rsidR="000F76C4" w:rsidRDefault="000F76C4" w:rsidP="003B276C">
      <w:pPr>
        <w:pStyle w:val="Textpoznpodarou"/>
        <w:ind w:left="284" w:hanging="284"/>
        <w:jc w:val="both"/>
      </w:pPr>
      <w:r w:rsidRPr="002D5C5D">
        <w:rPr>
          <w:rStyle w:val="Znakapoznpodarou"/>
        </w:rPr>
        <w:footnoteRef/>
      </w:r>
      <w:r w:rsidRPr="002D5C5D">
        <w:t xml:space="preserve"> </w:t>
      </w:r>
      <w:r>
        <w:tab/>
      </w:r>
      <w:r w:rsidRPr="002D5C5D">
        <w:t>Ustanovení § 11 odst. 4 zákona č. 139/2002 Sb.</w:t>
      </w:r>
      <w:r>
        <w:t>,</w:t>
      </w:r>
      <w:r w:rsidRPr="002D5C5D">
        <w:t xml:space="preserve"> o pozemkových úpravách a pozemkových úřadech a o změně zákona č. 229/1991 Sb., o úpravě vlastnických vztahů k půdě a jinému zemědělskému majetku, ve znění pozdějších předpisů.</w:t>
      </w:r>
    </w:p>
  </w:footnote>
  <w:footnote w:id="16">
    <w:p w14:paraId="42D2BF58" w14:textId="233DD8BE" w:rsidR="000F76C4" w:rsidRDefault="000F76C4" w:rsidP="003B276C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Zákon č. 181/2008 Sb., </w:t>
      </w:r>
      <w:r w:rsidRPr="001F3314">
        <w:t>kterým se mění zákon č. 254/2001 Sb., o vodách a o změně některých zákonů (vodní zákon), ve znění pozdějších předpisů</w:t>
      </w:r>
      <w:r>
        <w:t>.</w:t>
      </w:r>
    </w:p>
  </w:footnote>
  <w:footnote w:id="17">
    <w:p w14:paraId="2A03744D" w14:textId="68A997C3" w:rsidR="000F76C4" w:rsidRDefault="000F76C4" w:rsidP="003B276C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Zákon č. 184/2006 Sb., o odnětí nebo omezení vlastnického práva k pozemku nebo ke stavbě (zákon o vyvlastnění).</w:t>
      </w:r>
    </w:p>
  </w:footnote>
  <w:footnote w:id="18">
    <w:p w14:paraId="716C10FB" w14:textId="6DF06D84" w:rsidR="000F76C4" w:rsidRDefault="000F76C4" w:rsidP="000F01A8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Zásady prevence před povodněmi formulované ve </w:t>
      </w:r>
      <w:r w:rsidRPr="00A10590">
        <w:rPr>
          <w:i/>
        </w:rPr>
        <w:t>Strategii ochrany před povodněmi na území ČR</w:t>
      </w:r>
      <w:r>
        <w:t xml:space="preserve"> z roku 2000.</w:t>
      </w:r>
    </w:p>
  </w:footnote>
  <w:footnote w:id="19">
    <w:p w14:paraId="05B8EA1D" w14:textId="50843293" w:rsidR="000F76C4" w:rsidRDefault="000F76C4" w:rsidP="000F01A8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Směrnice Evropského parlamentu a Rady 2000/60/ES ze dne 23. října 2000, kterou se stanoví rámec pro činnost Společenství v oblasti vodní politiky.</w:t>
      </w:r>
    </w:p>
  </w:footnote>
  <w:footnote w:id="20">
    <w:p w14:paraId="43F02135" w14:textId="40BA03FA" w:rsidR="000F76C4" w:rsidRDefault="000F76C4" w:rsidP="000F01A8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Směrnice Evropského parlamentu a Rady 2007/60/ES ze dne 23. října 2007, o vyhodnocování a zvládání povodňových rizik.</w:t>
      </w:r>
    </w:p>
  </w:footnote>
  <w:footnote w:id="21">
    <w:p w14:paraId="4616C361" w14:textId="3A5243E3" w:rsidR="000F76C4" w:rsidRDefault="000F76C4" w:rsidP="000F01A8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Plány povodí se zpracovávají ve třech úrovních: </w:t>
      </w:r>
      <w:r>
        <w:rPr>
          <w:i/>
        </w:rPr>
        <w:t>m</w:t>
      </w:r>
      <w:r w:rsidRPr="00A10590">
        <w:rPr>
          <w:i/>
        </w:rPr>
        <w:t>ezinárodní plány povodí</w:t>
      </w:r>
      <w:r>
        <w:t xml:space="preserve"> (pro mezinárodní oblasti povodí), </w:t>
      </w:r>
      <w:r>
        <w:rPr>
          <w:i/>
        </w:rPr>
        <w:t>n</w:t>
      </w:r>
      <w:r w:rsidRPr="00A10590">
        <w:rPr>
          <w:i/>
        </w:rPr>
        <w:t>árodní plány povodí</w:t>
      </w:r>
      <w:r>
        <w:t xml:space="preserve"> (pro části mezinárodních oblastí povodí na území ČR) a </w:t>
      </w:r>
      <w:r>
        <w:rPr>
          <w:i/>
        </w:rPr>
        <w:t>p</w:t>
      </w:r>
      <w:r w:rsidRPr="00A10590">
        <w:rPr>
          <w:i/>
        </w:rPr>
        <w:t>lány dílčích povodí</w:t>
      </w:r>
      <w:r>
        <w:t xml:space="preserve">. Povodí Labe zahrnuje pět dílčích povodí: dílčí povodí </w:t>
      </w:r>
      <w:r>
        <w:rPr>
          <w:i/>
        </w:rPr>
        <w:t>h</w:t>
      </w:r>
      <w:r w:rsidRPr="002E0630">
        <w:rPr>
          <w:i/>
        </w:rPr>
        <w:t>orního a středního Labe</w:t>
      </w:r>
      <w:r>
        <w:t xml:space="preserve">, dílčí povodí </w:t>
      </w:r>
      <w:r>
        <w:rPr>
          <w:i/>
        </w:rPr>
        <w:t>h</w:t>
      </w:r>
      <w:r w:rsidRPr="002E0630">
        <w:rPr>
          <w:i/>
        </w:rPr>
        <w:t>orní Vltavy</w:t>
      </w:r>
      <w:r>
        <w:t xml:space="preserve">, dílčí povodí </w:t>
      </w:r>
      <w:r w:rsidRPr="002E0630">
        <w:rPr>
          <w:i/>
        </w:rPr>
        <w:t>Berounky</w:t>
      </w:r>
      <w:r>
        <w:t xml:space="preserve">, dílčí povodí </w:t>
      </w:r>
      <w:r>
        <w:rPr>
          <w:i/>
        </w:rPr>
        <w:t>d</w:t>
      </w:r>
      <w:r w:rsidRPr="002E0630">
        <w:rPr>
          <w:i/>
        </w:rPr>
        <w:t>olní Vltavy</w:t>
      </w:r>
      <w:r>
        <w:t xml:space="preserve"> a dílčí povodí </w:t>
      </w:r>
      <w:r w:rsidRPr="002E0630">
        <w:rPr>
          <w:i/>
        </w:rPr>
        <w:t xml:space="preserve">Ohře, </w:t>
      </w:r>
      <w:r>
        <w:rPr>
          <w:i/>
        </w:rPr>
        <w:t>d</w:t>
      </w:r>
      <w:r w:rsidRPr="002E0630">
        <w:rPr>
          <w:i/>
        </w:rPr>
        <w:t>olního Labe a ostatních přítoků Labe</w:t>
      </w:r>
      <w:r>
        <w:t xml:space="preserve">; povodí Odry zahrnuje dvě dílčí povodí: dílčí povodí </w:t>
      </w:r>
      <w:r>
        <w:rPr>
          <w:i/>
        </w:rPr>
        <w:t>h</w:t>
      </w:r>
      <w:r w:rsidRPr="002E0630">
        <w:rPr>
          <w:i/>
        </w:rPr>
        <w:t>orní Odry</w:t>
      </w:r>
      <w:r>
        <w:t xml:space="preserve">, dílčí povodí </w:t>
      </w:r>
      <w:r w:rsidRPr="002E0630">
        <w:rPr>
          <w:i/>
        </w:rPr>
        <w:t>Lužické Nisy a ostatních přítoků Odry</w:t>
      </w:r>
      <w:r>
        <w:t xml:space="preserve">; povodí Dunaje zahrnuje tři dílčí povodí: dílčí povodí </w:t>
      </w:r>
      <w:r w:rsidRPr="002E0630">
        <w:rPr>
          <w:i/>
        </w:rPr>
        <w:t>Moravy a přítoků Váhu</w:t>
      </w:r>
      <w:r>
        <w:t xml:space="preserve">, dílčí povodí </w:t>
      </w:r>
      <w:r w:rsidRPr="002E0630">
        <w:rPr>
          <w:i/>
        </w:rPr>
        <w:t>Dyje</w:t>
      </w:r>
      <w:r>
        <w:t xml:space="preserve"> a dílčí povodí </w:t>
      </w:r>
      <w:r>
        <w:rPr>
          <w:i/>
        </w:rPr>
        <w:t>o</w:t>
      </w:r>
      <w:r w:rsidRPr="002E0630">
        <w:rPr>
          <w:i/>
        </w:rPr>
        <w:t>statních přítoků Dunaje</w:t>
      </w:r>
      <w:r>
        <w:t>.</w:t>
      </w:r>
    </w:p>
  </w:footnote>
  <w:footnote w:id="22">
    <w:p w14:paraId="726F7049" w14:textId="720CCF6C" w:rsidR="000F76C4" w:rsidRDefault="000F76C4" w:rsidP="000F01A8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Není-li vodním zákonem stanoveno jinak, vykonává působnost ústředního vodoprávního úřadu MZe; dle ustanovení § 108 odst. 3 písm. o) vodního zákona MŽP vykonává působnost ústředního vodoprávního úřadu ve věci ochrany před povodněmi.</w:t>
      </w:r>
    </w:p>
  </w:footnote>
  <w:footnote w:id="23">
    <w:p w14:paraId="1160C87B" w14:textId="393C3DD4" w:rsidR="000F76C4" w:rsidRDefault="000F76C4" w:rsidP="000F01A8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Oblasti, u kterých se dospělo k závěru, že v nich existují potenciálně významná povodňová rizika nebo že lze výskyt těchto rizik považovat za pravděpodobný.</w:t>
      </w:r>
    </w:p>
  </w:footnote>
  <w:footnote w:id="24">
    <w:p w14:paraId="0F3F6932" w14:textId="0C95AD12" w:rsidR="000F76C4" w:rsidRDefault="000F76C4" w:rsidP="000F01A8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Vyhláška č. 178/2012 Sb., </w:t>
      </w:r>
      <w:r w:rsidRPr="00495425">
        <w:t>kterou se stanoví seznam významných vodních toků a způsob provádění činností souvisejících se správou vodních toků</w:t>
      </w:r>
      <w:r>
        <w:t>.</w:t>
      </w:r>
    </w:p>
  </w:footnote>
  <w:footnote w:id="25">
    <w:p w14:paraId="6E70C78C" w14:textId="556E6ADD" w:rsidR="000F76C4" w:rsidRDefault="000F76C4" w:rsidP="00AE5843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V ČR je vymezeno celkem deset dílčích povodí. V dílčím povodí </w:t>
      </w:r>
      <w:r>
        <w:rPr>
          <w:i/>
        </w:rPr>
        <w:t>o</w:t>
      </w:r>
      <w:r w:rsidRPr="002E0630">
        <w:rPr>
          <w:i/>
        </w:rPr>
        <w:t>statní přítoky Dunaje</w:t>
      </w:r>
      <w:r>
        <w:t xml:space="preserve"> není vymezena žádná oblast s významným povodňovým rizikem.</w:t>
      </w:r>
    </w:p>
  </w:footnote>
  <w:footnote w:id="26">
    <w:p w14:paraId="32F1257B" w14:textId="045EB430" w:rsidR="000F76C4" w:rsidRDefault="000F76C4" w:rsidP="00AE5843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Vyhláška č. 24/2011 Sb., </w:t>
      </w:r>
      <w:r w:rsidRPr="00770065">
        <w:t>o plánech povodí a plánech pro zvládání povodňových rizik</w:t>
      </w:r>
      <w:r>
        <w:t>.</w:t>
      </w:r>
    </w:p>
  </w:footnote>
  <w:footnote w:id="27">
    <w:p w14:paraId="315AA178" w14:textId="515293C8" w:rsidR="000F76C4" w:rsidRDefault="000F76C4" w:rsidP="001058D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Intravilán – zastavěné území obce (zpravidla vymezené územně plánovací dokumentací); extravilán – souhrnné označení pro nezastavěnou část obce, resp. nezastavěnou část jejího katastrálního území. Do extravilánu zpravidla patří lesy, pole, louky, pastviny atd. Vnější hranici extravilánu tvoří katastrální hranice dané obce.</w:t>
      </w:r>
    </w:p>
  </w:footnote>
  <w:footnote w:id="28">
    <w:p w14:paraId="7CF1391B" w14:textId="507BE2B9" w:rsidR="000F76C4" w:rsidRDefault="000F76C4" w:rsidP="001058D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Podporované aktivity v rámci SC 1.3 jsou: 1.3.1 </w:t>
      </w:r>
      <w:r w:rsidRPr="00792442">
        <w:rPr>
          <w:i/>
        </w:rPr>
        <w:t>Zprůtočnění nebo zvýšení retenčního potenciálu koryt vodních toků a přilehlých niv, zlepšení přirozených rozlivů</w:t>
      </w:r>
      <w:r>
        <w:t xml:space="preserve">; 1.3.2 </w:t>
      </w:r>
      <w:r w:rsidRPr="00792442">
        <w:rPr>
          <w:i/>
        </w:rPr>
        <w:t>Hospodaření se srážkovými vodami v intravilánu a</w:t>
      </w:r>
      <w:r>
        <w:rPr>
          <w:i/>
        </w:rPr>
        <w:t> </w:t>
      </w:r>
      <w:r w:rsidRPr="00792442">
        <w:rPr>
          <w:i/>
        </w:rPr>
        <w:t>jejich další využití namísto jejich urychleného odvádění kanalizací do toků</w:t>
      </w:r>
      <w:r>
        <w:t xml:space="preserve">; 1.3.3 </w:t>
      </w:r>
      <w:r w:rsidRPr="00792442">
        <w:rPr>
          <w:i/>
        </w:rPr>
        <w:t>Obnovení, výstavba a</w:t>
      </w:r>
      <w:r>
        <w:rPr>
          <w:i/>
        </w:rPr>
        <w:t> </w:t>
      </w:r>
      <w:r w:rsidRPr="00792442">
        <w:rPr>
          <w:i/>
        </w:rPr>
        <w:t>rekonstrukce, případně modernizace, vodních děl sloužící povodňové ochraně</w:t>
      </w:r>
      <w:r>
        <w:t xml:space="preserve">; 1.3.4 </w:t>
      </w:r>
      <w:r w:rsidRPr="00792442">
        <w:rPr>
          <w:i/>
        </w:rPr>
        <w:t>Stabilizování a sanace svahových nestabilit ohrožujících zdraví, majetek a bezpečnost vyplývajících z „Registru svahových nestabilit“</w:t>
      </w:r>
      <w:r>
        <w:t>.</w:t>
      </w:r>
    </w:p>
  </w:footnote>
  <w:footnote w:id="29">
    <w:p w14:paraId="4D28A9B5" w14:textId="46CA53DB" w:rsidR="000F76C4" w:rsidRDefault="000F76C4" w:rsidP="001058D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Podporované aktivity v rámci SC 1.4 jsou: 1.4.1 </w:t>
      </w:r>
      <w:r w:rsidRPr="00792442">
        <w:rPr>
          <w:i/>
        </w:rPr>
        <w:t>Analýza odtokových poměrů včetně návrhů možných protipovodňových opatření</w:t>
      </w:r>
      <w:r>
        <w:t xml:space="preserve">; 1.4.2 </w:t>
      </w:r>
      <w:r>
        <w:rPr>
          <w:rFonts w:asciiTheme="minorHAnsi" w:hAnsiTheme="minorHAnsi"/>
          <w:i/>
        </w:rPr>
        <w:t>B</w:t>
      </w:r>
      <w:r w:rsidRPr="00273B30">
        <w:rPr>
          <w:rFonts w:asciiTheme="minorHAnsi" w:hAnsiTheme="minorHAnsi"/>
          <w:i/>
        </w:rPr>
        <w:t>udování, rozšíření a zkvalitnění varovných, hlásných, předpovědních a</w:t>
      </w:r>
      <w:r>
        <w:rPr>
          <w:rFonts w:asciiTheme="minorHAnsi" w:hAnsiTheme="minorHAnsi"/>
          <w:i/>
        </w:rPr>
        <w:t> </w:t>
      </w:r>
      <w:r w:rsidRPr="00273B30">
        <w:rPr>
          <w:rFonts w:asciiTheme="minorHAnsi" w:hAnsiTheme="minorHAnsi"/>
          <w:i/>
        </w:rPr>
        <w:t>výstražných systémů na celostátní úrovni, digitální povodňové plány</w:t>
      </w:r>
      <w:r w:rsidRPr="00273B30">
        <w:rPr>
          <w:rFonts w:asciiTheme="minorHAnsi" w:hAnsiTheme="minorHAnsi"/>
        </w:rPr>
        <w:t xml:space="preserve"> </w:t>
      </w:r>
      <w:r>
        <w:t xml:space="preserve">a 1.4.3 </w:t>
      </w:r>
      <w:r w:rsidRPr="00792442">
        <w:rPr>
          <w:i/>
        </w:rPr>
        <w:t xml:space="preserve">Budování </w:t>
      </w:r>
      <w:r>
        <w:rPr>
          <w:i/>
        </w:rPr>
        <w:t xml:space="preserve">a </w:t>
      </w:r>
      <w:r w:rsidRPr="00792442">
        <w:rPr>
          <w:i/>
        </w:rPr>
        <w:t>rozšíření varovných, hlásných, předpovědních a výstražných systémů na lokální úrovni, digitální povodňové plány</w:t>
      </w:r>
      <w:r>
        <w:t>.</w:t>
      </w:r>
    </w:p>
  </w:footnote>
  <w:footnote w:id="30">
    <w:p w14:paraId="2C0369FC" w14:textId="5A72D86E" w:rsidR="000F76C4" w:rsidRDefault="000F76C4" w:rsidP="001058D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Hlavní cílovou skupinu tvoří veřejný sektor, organizace zajišťující technická opatření na vodních tocích (správci toků), Česká republika – prostřednictvím organizačních složek státu a jejich příspěvkových organizací, a v případě aktivity 1.3.3 také podnikající fyzické osoby (vybudování nebo rekonstrukce bezpečnostních přelivů vodních nádrží).</w:t>
      </w:r>
    </w:p>
  </w:footnote>
  <w:footnote w:id="31">
    <w:p w14:paraId="16B2FC3B" w14:textId="2590F441" w:rsidR="000F76C4" w:rsidRDefault="000F76C4" w:rsidP="001058D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Kromě dotačních titulů uvedených v tabulce č. 3 zahrnuje tato částka také předcházející programy MZe 129 120 </w:t>
      </w:r>
      <w:r w:rsidRPr="00D60360">
        <w:rPr>
          <w:i/>
        </w:rPr>
        <w:t>Podpora prevence před povodněmi II</w:t>
      </w:r>
      <w:r>
        <w:t xml:space="preserve"> a 129 130 </w:t>
      </w:r>
      <w:r w:rsidRPr="00D60360">
        <w:rPr>
          <w:i/>
        </w:rPr>
        <w:t>Podpora obnovy, odbahnění a rekonstrukce rybníků a výstavby vodních nádrží</w:t>
      </w:r>
      <w:r>
        <w:t>.</w:t>
      </w:r>
    </w:p>
  </w:footnote>
  <w:footnote w:id="32">
    <w:p w14:paraId="55C73EDE" w14:textId="44F737EE" w:rsidR="000F76C4" w:rsidRDefault="000F76C4" w:rsidP="001058D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Předpoklad vychází z vydaných rozhodnutí o poskytnutí dotace a jejich změn ke dni 30. 6. 2019. Registrace investičních akcí k zařazení do programu již byla ukončena.</w:t>
      </w:r>
    </w:p>
  </w:footnote>
  <w:footnote w:id="33">
    <w:p w14:paraId="76A84FA9" w14:textId="5B2988E4" w:rsidR="000F76C4" w:rsidRPr="004E43C9" w:rsidRDefault="000F76C4" w:rsidP="001058D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36508B">
        <w:rPr>
          <w:i/>
        </w:rPr>
        <w:t>Komplexní studii dopadů, zranitelnosti a zdrojů rizik souvisejících se změnou klimatu v ČR</w:t>
      </w:r>
      <w:r>
        <w:t xml:space="preserve"> jako hlavní </w:t>
      </w:r>
      <w:r w:rsidRPr="004E43C9">
        <w:t>zpracova</w:t>
      </w:r>
      <w:r>
        <w:t xml:space="preserve">lo </w:t>
      </w:r>
      <w:r w:rsidRPr="004E43C9">
        <w:t>na základě zadání MŽP v roce 2015</w:t>
      </w:r>
      <w:r>
        <w:t xml:space="preserve"> Centrum pro životní prostředí a hodnocení krajiny (EKOTOXA s.r.o.).</w:t>
      </w:r>
    </w:p>
  </w:footnote>
  <w:footnote w:id="34">
    <w:p w14:paraId="3F4D9EFC" w14:textId="1EBD727F" w:rsidR="000F76C4" w:rsidRDefault="000F76C4" w:rsidP="001058D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Mezi další identifikované hlavní projevy změny klimatu pro území ČR patří dlouhodobé sucho, zvyšování teplot, extrémní meteorologické jevy a přírodní požáry.</w:t>
      </w:r>
    </w:p>
  </w:footnote>
  <w:footnote w:id="35">
    <w:p w14:paraId="5DABBCF8" w14:textId="4250BA45" w:rsidR="000F76C4" w:rsidRDefault="000F76C4" w:rsidP="001058D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Správu vodních toků vykonávají zejména správci povodí (státní podniky Povodí Labe, Povodí Moravy, Povodí Odry, Povodí Ohře a Povodí Vltavy), významný správce drobných vodních toků je také státní podnik Lesy ČR.</w:t>
      </w:r>
    </w:p>
  </w:footnote>
  <w:footnote w:id="36">
    <w:p w14:paraId="126E6687" w14:textId="6AAD6926" w:rsidR="000F76C4" w:rsidRDefault="000F76C4" w:rsidP="007A0AFD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Vyhláška č. 79/2018 Sb., o způsobu a rozsahu zpracovávání návrhu a stanovování záplavových území a jejich dokumentace.</w:t>
      </w:r>
    </w:p>
  </w:footnote>
  <w:footnote w:id="37">
    <w:p w14:paraId="217A1CB2" w14:textId="323E9807" w:rsidR="000F76C4" w:rsidRDefault="000F76C4" w:rsidP="007A0AFD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Q</w:t>
      </w:r>
      <w:r w:rsidRPr="00205C63">
        <w:rPr>
          <w:vertAlign w:val="subscript"/>
        </w:rPr>
        <w:t>100</w:t>
      </w:r>
      <w:r>
        <w:rPr>
          <w:vertAlign w:val="subscript"/>
        </w:rPr>
        <w:t xml:space="preserve"> – </w:t>
      </w:r>
      <w:r>
        <w:t>o</w:t>
      </w:r>
      <w:r w:rsidRPr="00205C63">
        <w:t xml:space="preserve">značuje povodeň, jejíž kulminační průtok </w:t>
      </w:r>
      <w:r>
        <w:t>(</w:t>
      </w:r>
      <w:r w:rsidRPr="00205C63">
        <w:t>hladina v ose koryta při průtoku</w:t>
      </w:r>
      <w:r>
        <w:t>)</w:t>
      </w:r>
      <w:r w:rsidRPr="00205C63">
        <w:t xml:space="preserve"> je v dlouhodobém průměru dosažen n</w:t>
      </w:r>
      <w:r>
        <w:t>ebo překročen 1krát za 100 let; obdobně to platí pro značení Q</w:t>
      </w:r>
      <w:r w:rsidRPr="00205C63">
        <w:rPr>
          <w:vertAlign w:val="subscript"/>
        </w:rPr>
        <w:t>5</w:t>
      </w:r>
      <w:r>
        <w:t>, Q</w:t>
      </w:r>
      <w:r w:rsidRPr="00205C63">
        <w:rPr>
          <w:vertAlign w:val="subscript"/>
        </w:rPr>
        <w:t>20</w:t>
      </w:r>
      <w:r>
        <w:t>, Q</w:t>
      </w:r>
      <w:r w:rsidRPr="00205C63">
        <w:rPr>
          <w:vertAlign w:val="subscript"/>
        </w:rPr>
        <w:t>500</w:t>
      </w:r>
      <w:r>
        <w:t>.</w:t>
      </w:r>
    </w:p>
  </w:footnote>
  <w:footnote w:id="38">
    <w:p w14:paraId="1683B149" w14:textId="36866EFE" w:rsidR="000F76C4" w:rsidRDefault="000F76C4" w:rsidP="007A0AFD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Předpokládané rozšíření ploch v nepřijatelném povodňovém riziku reprezentují n</w:t>
      </w:r>
      <w:r w:rsidRPr="00CE7929">
        <w:t>á</w:t>
      </w:r>
      <w:r>
        <w:t>vrhové a výhledové plochy, viz příloha č. 8 tohoto kontrolního závěru.</w:t>
      </w:r>
    </w:p>
  </w:footnote>
  <w:footnote w:id="39">
    <w:p w14:paraId="6F4B103F" w14:textId="4C340871" w:rsidR="000F76C4" w:rsidRDefault="000F76C4" w:rsidP="007A0AFD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Např. zatravnění údolnic na erozně ohrožených svazích, stavba či rekonstrukce vodních nádrží a suchých poldrů, revitalizace malých vodních toků.</w:t>
      </w:r>
    </w:p>
  </w:footnote>
  <w:footnote w:id="40">
    <w:p w14:paraId="0EDC453B" w14:textId="4AF1FF45" w:rsidR="000F76C4" w:rsidRDefault="000F76C4" w:rsidP="007A0AFD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Právní úprava n</w:t>
      </w:r>
      <w:r w:rsidRPr="004D3F62">
        <w:t>enabízela vhodné nástroje v situacích nesouhlasu vlastníků dotčených pozemků s</w:t>
      </w:r>
      <w:r>
        <w:t xml:space="preserve"> řešením v </w:t>
      </w:r>
      <w:r w:rsidRPr="004D3F62">
        <w:t xml:space="preserve">soukromoprávní rovině, </w:t>
      </w:r>
      <w:r>
        <w:t>v takových případech pak prakticky neexistovala možnost získat pozemek</w:t>
      </w:r>
      <w:r w:rsidRPr="004D3F62">
        <w:t xml:space="preserve"> (kromě dohody připad</w:t>
      </w:r>
      <w:r>
        <w:t>ala</w:t>
      </w:r>
      <w:r w:rsidRPr="004D3F62">
        <w:t xml:space="preserve"> v úvahu pouze</w:t>
      </w:r>
      <w:r>
        <w:t xml:space="preserve"> výměna pozemku v rámci</w:t>
      </w:r>
      <w:r w:rsidRPr="004D3F62">
        <w:t xml:space="preserve"> pozemkov</w:t>
      </w:r>
      <w:r>
        <w:t>é</w:t>
      </w:r>
      <w:r w:rsidRPr="004D3F62">
        <w:t xml:space="preserve"> úprav</w:t>
      </w:r>
      <w:r>
        <w:t>y</w:t>
      </w:r>
      <w:r w:rsidRPr="004D3F62">
        <w:t>) pro stavbu protipovodňového opatření ve veřejném zájmu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7588C" w14:textId="77777777" w:rsidR="000F76C4" w:rsidRDefault="000F76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49D"/>
    <w:multiLevelType w:val="hybridMultilevel"/>
    <w:tmpl w:val="35CC5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50825"/>
    <w:multiLevelType w:val="hybridMultilevel"/>
    <w:tmpl w:val="4874E9B2"/>
    <w:lvl w:ilvl="0" w:tplc="410A6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CE0E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AA39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E69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201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0625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FC7D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22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8A7C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2523C"/>
    <w:multiLevelType w:val="hybridMultilevel"/>
    <w:tmpl w:val="1B2E0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7B25"/>
    <w:multiLevelType w:val="hybridMultilevel"/>
    <w:tmpl w:val="117ABE00"/>
    <w:lvl w:ilvl="0" w:tplc="5D2CE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EC3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E6C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AA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08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006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2CB2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655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E80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B4F6F"/>
    <w:multiLevelType w:val="hybridMultilevel"/>
    <w:tmpl w:val="44582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D6476"/>
    <w:multiLevelType w:val="hybridMultilevel"/>
    <w:tmpl w:val="AAD082DE"/>
    <w:lvl w:ilvl="0" w:tplc="B7222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E0D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7ABD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075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426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B6A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230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472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F9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E1C34"/>
    <w:multiLevelType w:val="hybridMultilevel"/>
    <w:tmpl w:val="75B65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51DFF"/>
    <w:multiLevelType w:val="hybridMultilevel"/>
    <w:tmpl w:val="06D45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B558E"/>
    <w:multiLevelType w:val="hybridMultilevel"/>
    <w:tmpl w:val="CC9C2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2375D"/>
    <w:multiLevelType w:val="hybridMultilevel"/>
    <w:tmpl w:val="3F9E030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C24F24"/>
    <w:multiLevelType w:val="hybridMultilevel"/>
    <w:tmpl w:val="C5FAC334"/>
    <w:lvl w:ilvl="0" w:tplc="14F2029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00681"/>
    <w:multiLevelType w:val="hybridMultilevel"/>
    <w:tmpl w:val="04882C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3681E"/>
    <w:multiLevelType w:val="hybridMultilevel"/>
    <w:tmpl w:val="0D44632A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243560"/>
    <w:multiLevelType w:val="hybridMultilevel"/>
    <w:tmpl w:val="69F08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F4855"/>
    <w:multiLevelType w:val="hybridMultilevel"/>
    <w:tmpl w:val="E16EED8E"/>
    <w:lvl w:ilvl="0" w:tplc="B816A0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539A1"/>
    <w:multiLevelType w:val="hybridMultilevel"/>
    <w:tmpl w:val="2370E3F4"/>
    <w:lvl w:ilvl="0" w:tplc="8DC2C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ABC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2A9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A4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24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26EE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49D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E8B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805E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E7297"/>
    <w:multiLevelType w:val="hybridMultilevel"/>
    <w:tmpl w:val="42506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A409C"/>
    <w:multiLevelType w:val="hybridMultilevel"/>
    <w:tmpl w:val="B484C5A2"/>
    <w:lvl w:ilvl="0" w:tplc="CEFA0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8F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54C4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CC5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A95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FAFD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612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C35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02E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50F82"/>
    <w:multiLevelType w:val="multilevel"/>
    <w:tmpl w:val="EDFC90B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5FA3D8F"/>
    <w:multiLevelType w:val="hybridMultilevel"/>
    <w:tmpl w:val="8F4A9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C1CE0"/>
    <w:multiLevelType w:val="hybridMultilevel"/>
    <w:tmpl w:val="C9544992"/>
    <w:lvl w:ilvl="0" w:tplc="158E5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065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7A28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AD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6F9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60C1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645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4A4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C6AB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C660C"/>
    <w:multiLevelType w:val="hybridMultilevel"/>
    <w:tmpl w:val="42506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</w:num>
  <w:num w:numId="3">
    <w:abstractNumId w:val="4"/>
  </w:num>
  <w:num w:numId="4">
    <w:abstractNumId w:val="21"/>
  </w:num>
  <w:num w:numId="5">
    <w:abstractNumId w:val="16"/>
  </w:num>
  <w:num w:numId="6">
    <w:abstractNumId w:val="11"/>
  </w:num>
  <w:num w:numId="7">
    <w:abstractNumId w:val="7"/>
  </w:num>
  <w:num w:numId="8">
    <w:abstractNumId w:val="12"/>
  </w:num>
  <w:num w:numId="9">
    <w:abstractNumId w:val="15"/>
  </w:num>
  <w:num w:numId="10">
    <w:abstractNumId w:val="3"/>
  </w:num>
  <w:num w:numId="11">
    <w:abstractNumId w:val="19"/>
  </w:num>
  <w:num w:numId="12">
    <w:abstractNumId w:val="20"/>
  </w:num>
  <w:num w:numId="13">
    <w:abstractNumId w:val="17"/>
  </w:num>
  <w:num w:numId="14">
    <w:abstractNumId w:val="1"/>
  </w:num>
  <w:num w:numId="15">
    <w:abstractNumId w:val="5"/>
  </w:num>
  <w:num w:numId="16">
    <w:abstractNumId w:val="10"/>
  </w:num>
  <w:num w:numId="17">
    <w:abstractNumId w:val="6"/>
  </w:num>
  <w:num w:numId="18">
    <w:abstractNumId w:val="8"/>
  </w:num>
  <w:num w:numId="19">
    <w:abstractNumId w:val="9"/>
  </w:num>
  <w:num w:numId="20">
    <w:abstractNumId w:val="2"/>
  </w:num>
  <w:num w:numId="21">
    <w:abstractNumId w:val="0"/>
  </w:num>
  <w:num w:numId="22">
    <w:abstractNumId w:val="13"/>
  </w:num>
  <w:num w:numId="23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4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7F"/>
    <w:rsid w:val="00000362"/>
    <w:rsid w:val="000056AE"/>
    <w:rsid w:val="00006042"/>
    <w:rsid w:val="000136D8"/>
    <w:rsid w:val="000141A2"/>
    <w:rsid w:val="00015532"/>
    <w:rsid w:val="000158A3"/>
    <w:rsid w:val="00016605"/>
    <w:rsid w:val="00017310"/>
    <w:rsid w:val="000201D0"/>
    <w:rsid w:val="00024AAE"/>
    <w:rsid w:val="000267D7"/>
    <w:rsid w:val="00027770"/>
    <w:rsid w:val="00031E0D"/>
    <w:rsid w:val="00032A77"/>
    <w:rsid w:val="0003551A"/>
    <w:rsid w:val="00037D34"/>
    <w:rsid w:val="000437BE"/>
    <w:rsid w:val="00043B3E"/>
    <w:rsid w:val="00046498"/>
    <w:rsid w:val="00046A13"/>
    <w:rsid w:val="00050D3F"/>
    <w:rsid w:val="000531CB"/>
    <w:rsid w:val="000552AD"/>
    <w:rsid w:val="00055860"/>
    <w:rsid w:val="000561EB"/>
    <w:rsid w:val="0005728A"/>
    <w:rsid w:val="00057521"/>
    <w:rsid w:val="00060D52"/>
    <w:rsid w:val="000615D6"/>
    <w:rsid w:val="00061FD0"/>
    <w:rsid w:val="00064465"/>
    <w:rsid w:val="0006537B"/>
    <w:rsid w:val="00065E56"/>
    <w:rsid w:val="00066536"/>
    <w:rsid w:val="000704E1"/>
    <w:rsid w:val="00075E1E"/>
    <w:rsid w:val="000760A8"/>
    <w:rsid w:val="000848F6"/>
    <w:rsid w:val="00084C92"/>
    <w:rsid w:val="00087210"/>
    <w:rsid w:val="00087C29"/>
    <w:rsid w:val="00087E22"/>
    <w:rsid w:val="00090042"/>
    <w:rsid w:val="00092ACE"/>
    <w:rsid w:val="0009489D"/>
    <w:rsid w:val="0009686B"/>
    <w:rsid w:val="000A045B"/>
    <w:rsid w:val="000A0D9D"/>
    <w:rsid w:val="000A33BD"/>
    <w:rsid w:val="000A6075"/>
    <w:rsid w:val="000A7DC6"/>
    <w:rsid w:val="000B4E40"/>
    <w:rsid w:val="000B6929"/>
    <w:rsid w:val="000C104B"/>
    <w:rsid w:val="000C3F99"/>
    <w:rsid w:val="000C6AFC"/>
    <w:rsid w:val="000C6E92"/>
    <w:rsid w:val="000D1446"/>
    <w:rsid w:val="000D4791"/>
    <w:rsid w:val="000D5ED2"/>
    <w:rsid w:val="000D61D9"/>
    <w:rsid w:val="000D6519"/>
    <w:rsid w:val="000D66DD"/>
    <w:rsid w:val="000D779D"/>
    <w:rsid w:val="000D7B36"/>
    <w:rsid w:val="000E18C9"/>
    <w:rsid w:val="000E49DC"/>
    <w:rsid w:val="000E542F"/>
    <w:rsid w:val="000E5688"/>
    <w:rsid w:val="000F01A8"/>
    <w:rsid w:val="000F3E8D"/>
    <w:rsid w:val="000F76C4"/>
    <w:rsid w:val="00102A29"/>
    <w:rsid w:val="00103D24"/>
    <w:rsid w:val="001048DA"/>
    <w:rsid w:val="00104C5D"/>
    <w:rsid w:val="001058D2"/>
    <w:rsid w:val="00110BF6"/>
    <w:rsid w:val="00110E1C"/>
    <w:rsid w:val="00110E8E"/>
    <w:rsid w:val="0011199F"/>
    <w:rsid w:val="00112EE1"/>
    <w:rsid w:val="001142C3"/>
    <w:rsid w:val="00116CB4"/>
    <w:rsid w:val="00117981"/>
    <w:rsid w:val="0012172E"/>
    <w:rsid w:val="0012272B"/>
    <w:rsid w:val="00132B6D"/>
    <w:rsid w:val="00132BD7"/>
    <w:rsid w:val="00137B4A"/>
    <w:rsid w:val="00141320"/>
    <w:rsid w:val="00141703"/>
    <w:rsid w:val="00143DEA"/>
    <w:rsid w:val="00143E28"/>
    <w:rsid w:val="00144308"/>
    <w:rsid w:val="00145238"/>
    <w:rsid w:val="00145E4E"/>
    <w:rsid w:val="001461E1"/>
    <w:rsid w:val="00146DDB"/>
    <w:rsid w:val="00146E5A"/>
    <w:rsid w:val="00147207"/>
    <w:rsid w:val="00150CFB"/>
    <w:rsid w:val="0015119B"/>
    <w:rsid w:val="001544C8"/>
    <w:rsid w:val="00155568"/>
    <w:rsid w:val="0015568C"/>
    <w:rsid w:val="00156352"/>
    <w:rsid w:val="001568DE"/>
    <w:rsid w:val="00156C5A"/>
    <w:rsid w:val="0016095A"/>
    <w:rsid w:val="00161A21"/>
    <w:rsid w:val="00163D4B"/>
    <w:rsid w:val="0016719B"/>
    <w:rsid w:val="0016788E"/>
    <w:rsid w:val="0017038C"/>
    <w:rsid w:val="0017569E"/>
    <w:rsid w:val="001757EC"/>
    <w:rsid w:val="00175BAC"/>
    <w:rsid w:val="00180186"/>
    <w:rsid w:val="001843B3"/>
    <w:rsid w:val="00185AF9"/>
    <w:rsid w:val="0019351B"/>
    <w:rsid w:val="00193A3C"/>
    <w:rsid w:val="00195BD1"/>
    <w:rsid w:val="001A523D"/>
    <w:rsid w:val="001A64B7"/>
    <w:rsid w:val="001A6747"/>
    <w:rsid w:val="001B0FFC"/>
    <w:rsid w:val="001B1D79"/>
    <w:rsid w:val="001B1E85"/>
    <w:rsid w:val="001B4465"/>
    <w:rsid w:val="001C037B"/>
    <w:rsid w:val="001C621E"/>
    <w:rsid w:val="001C64AB"/>
    <w:rsid w:val="001C6BCE"/>
    <w:rsid w:val="001C747A"/>
    <w:rsid w:val="001D05FC"/>
    <w:rsid w:val="001D15C4"/>
    <w:rsid w:val="001D23A5"/>
    <w:rsid w:val="001D5B02"/>
    <w:rsid w:val="001D5DE3"/>
    <w:rsid w:val="001D6806"/>
    <w:rsid w:val="001D75E4"/>
    <w:rsid w:val="001D792E"/>
    <w:rsid w:val="001E1473"/>
    <w:rsid w:val="001E23B0"/>
    <w:rsid w:val="001E2BCD"/>
    <w:rsid w:val="001E2EC7"/>
    <w:rsid w:val="001E39E0"/>
    <w:rsid w:val="001E481F"/>
    <w:rsid w:val="001E48B1"/>
    <w:rsid w:val="001E7CF2"/>
    <w:rsid w:val="001F16E9"/>
    <w:rsid w:val="001F3314"/>
    <w:rsid w:val="002038DB"/>
    <w:rsid w:val="00203C00"/>
    <w:rsid w:val="00204E1F"/>
    <w:rsid w:val="00205C63"/>
    <w:rsid w:val="00206162"/>
    <w:rsid w:val="00206AAE"/>
    <w:rsid w:val="00211D8E"/>
    <w:rsid w:val="00212DD7"/>
    <w:rsid w:val="00214B53"/>
    <w:rsid w:val="0021522A"/>
    <w:rsid w:val="00221508"/>
    <w:rsid w:val="002215AB"/>
    <w:rsid w:val="00221B3C"/>
    <w:rsid w:val="002222D3"/>
    <w:rsid w:val="00222767"/>
    <w:rsid w:val="00232B6C"/>
    <w:rsid w:val="00234A22"/>
    <w:rsid w:val="00234C19"/>
    <w:rsid w:val="00234DD9"/>
    <w:rsid w:val="002350E3"/>
    <w:rsid w:val="0024274D"/>
    <w:rsid w:val="00253896"/>
    <w:rsid w:val="0025424D"/>
    <w:rsid w:val="00271750"/>
    <w:rsid w:val="002732FD"/>
    <w:rsid w:val="0027442A"/>
    <w:rsid w:val="00276DF6"/>
    <w:rsid w:val="002830E2"/>
    <w:rsid w:val="00284124"/>
    <w:rsid w:val="002908D8"/>
    <w:rsid w:val="00290960"/>
    <w:rsid w:val="00296E64"/>
    <w:rsid w:val="002A622E"/>
    <w:rsid w:val="002A6917"/>
    <w:rsid w:val="002A7415"/>
    <w:rsid w:val="002A7A29"/>
    <w:rsid w:val="002B6C3E"/>
    <w:rsid w:val="002B7690"/>
    <w:rsid w:val="002B7FD0"/>
    <w:rsid w:val="002C0227"/>
    <w:rsid w:val="002C2F03"/>
    <w:rsid w:val="002C2F25"/>
    <w:rsid w:val="002C65A9"/>
    <w:rsid w:val="002D08A2"/>
    <w:rsid w:val="002D5376"/>
    <w:rsid w:val="002D5C5D"/>
    <w:rsid w:val="002D6E5B"/>
    <w:rsid w:val="002E0630"/>
    <w:rsid w:val="002E15D7"/>
    <w:rsid w:val="002E1CEF"/>
    <w:rsid w:val="002E2343"/>
    <w:rsid w:val="002E3BAB"/>
    <w:rsid w:val="002E63FE"/>
    <w:rsid w:val="002E76CD"/>
    <w:rsid w:val="002F3B31"/>
    <w:rsid w:val="002F798E"/>
    <w:rsid w:val="00301FEC"/>
    <w:rsid w:val="003022AD"/>
    <w:rsid w:val="00302D22"/>
    <w:rsid w:val="00302ED2"/>
    <w:rsid w:val="003109D4"/>
    <w:rsid w:val="003110DE"/>
    <w:rsid w:val="003113C1"/>
    <w:rsid w:val="00311A2D"/>
    <w:rsid w:val="00314120"/>
    <w:rsid w:val="00314A9B"/>
    <w:rsid w:val="00315B98"/>
    <w:rsid w:val="0032066F"/>
    <w:rsid w:val="0032360A"/>
    <w:rsid w:val="00324AA1"/>
    <w:rsid w:val="00324C84"/>
    <w:rsid w:val="0032611E"/>
    <w:rsid w:val="0032772A"/>
    <w:rsid w:val="00330377"/>
    <w:rsid w:val="003303FC"/>
    <w:rsid w:val="00333E6B"/>
    <w:rsid w:val="0034463B"/>
    <w:rsid w:val="0034632B"/>
    <w:rsid w:val="00352298"/>
    <w:rsid w:val="00354088"/>
    <w:rsid w:val="003542B9"/>
    <w:rsid w:val="00360E86"/>
    <w:rsid w:val="0036324B"/>
    <w:rsid w:val="00364CB8"/>
    <w:rsid w:val="0036508B"/>
    <w:rsid w:val="00365B48"/>
    <w:rsid w:val="00366F45"/>
    <w:rsid w:val="003679C7"/>
    <w:rsid w:val="00367FF2"/>
    <w:rsid w:val="003726E3"/>
    <w:rsid w:val="003742A5"/>
    <w:rsid w:val="00377350"/>
    <w:rsid w:val="00377C05"/>
    <w:rsid w:val="00384716"/>
    <w:rsid w:val="00385622"/>
    <w:rsid w:val="00387F5D"/>
    <w:rsid w:val="00390722"/>
    <w:rsid w:val="00390A32"/>
    <w:rsid w:val="00392F6E"/>
    <w:rsid w:val="00393C7B"/>
    <w:rsid w:val="003940F4"/>
    <w:rsid w:val="00394931"/>
    <w:rsid w:val="00394CD1"/>
    <w:rsid w:val="00395345"/>
    <w:rsid w:val="003968E4"/>
    <w:rsid w:val="003A09F1"/>
    <w:rsid w:val="003A2BBF"/>
    <w:rsid w:val="003A2CBF"/>
    <w:rsid w:val="003A4863"/>
    <w:rsid w:val="003A4E99"/>
    <w:rsid w:val="003A58CE"/>
    <w:rsid w:val="003A5C4B"/>
    <w:rsid w:val="003B271C"/>
    <w:rsid w:val="003B276C"/>
    <w:rsid w:val="003B44DA"/>
    <w:rsid w:val="003C0294"/>
    <w:rsid w:val="003C1E54"/>
    <w:rsid w:val="003C4E27"/>
    <w:rsid w:val="003D0419"/>
    <w:rsid w:val="003D1343"/>
    <w:rsid w:val="003D1ABC"/>
    <w:rsid w:val="003D2F39"/>
    <w:rsid w:val="003D2F85"/>
    <w:rsid w:val="003D30F6"/>
    <w:rsid w:val="003D5BF2"/>
    <w:rsid w:val="003E4C3E"/>
    <w:rsid w:val="003E736E"/>
    <w:rsid w:val="003F0D43"/>
    <w:rsid w:val="003F1985"/>
    <w:rsid w:val="003F437D"/>
    <w:rsid w:val="00400296"/>
    <w:rsid w:val="00403C84"/>
    <w:rsid w:val="0040458A"/>
    <w:rsid w:val="00404A23"/>
    <w:rsid w:val="00407C6D"/>
    <w:rsid w:val="00413856"/>
    <w:rsid w:val="00416C84"/>
    <w:rsid w:val="00420DE5"/>
    <w:rsid w:val="00423734"/>
    <w:rsid w:val="0042409A"/>
    <w:rsid w:val="00424BFF"/>
    <w:rsid w:val="00426F06"/>
    <w:rsid w:val="004334BC"/>
    <w:rsid w:val="004360BF"/>
    <w:rsid w:val="004429BE"/>
    <w:rsid w:val="00443953"/>
    <w:rsid w:val="00445819"/>
    <w:rsid w:val="00445C1A"/>
    <w:rsid w:val="004509A0"/>
    <w:rsid w:val="00451FE3"/>
    <w:rsid w:val="0045237C"/>
    <w:rsid w:val="00457A5C"/>
    <w:rsid w:val="00460D39"/>
    <w:rsid w:val="0046148F"/>
    <w:rsid w:val="00461BA0"/>
    <w:rsid w:val="004626E7"/>
    <w:rsid w:val="00462818"/>
    <w:rsid w:val="00463366"/>
    <w:rsid w:val="0046630B"/>
    <w:rsid w:val="00466E6F"/>
    <w:rsid w:val="0047144E"/>
    <w:rsid w:val="00472265"/>
    <w:rsid w:val="004740BE"/>
    <w:rsid w:val="00474637"/>
    <w:rsid w:val="004758F0"/>
    <w:rsid w:val="004821E0"/>
    <w:rsid w:val="00484B88"/>
    <w:rsid w:val="0048542D"/>
    <w:rsid w:val="00486BFB"/>
    <w:rsid w:val="00487360"/>
    <w:rsid w:val="00493406"/>
    <w:rsid w:val="00494667"/>
    <w:rsid w:val="00494BC1"/>
    <w:rsid w:val="00495425"/>
    <w:rsid w:val="00495BDD"/>
    <w:rsid w:val="00495F25"/>
    <w:rsid w:val="004976A9"/>
    <w:rsid w:val="004978AF"/>
    <w:rsid w:val="004A4835"/>
    <w:rsid w:val="004A5108"/>
    <w:rsid w:val="004A5322"/>
    <w:rsid w:val="004A5839"/>
    <w:rsid w:val="004A7803"/>
    <w:rsid w:val="004B7180"/>
    <w:rsid w:val="004B793F"/>
    <w:rsid w:val="004C091C"/>
    <w:rsid w:val="004C7C45"/>
    <w:rsid w:val="004D1023"/>
    <w:rsid w:val="004D3180"/>
    <w:rsid w:val="004D3ACD"/>
    <w:rsid w:val="004D3F62"/>
    <w:rsid w:val="004D484D"/>
    <w:rsid w:val="004E0D4E"/>
    <w:rsid w:val="004E11D5"/>
    <w:rsid w:val="004E1F5D"/>
    <w:rsid w:val="004E2B59"/>
    <w:rsid w:val="004E3720"/>
    <w:rsid w:val="004E43C9"/>
    <w:rsid w:val="004E63C1"/>
    <w:rsid w:val="004F611A"/>
    <w:rsid w:val="005020B5"/>
    <w:rsid w:val="005020B9"/>
    <w:rsid w:val="005060F2"/>
    <w:rsid w:val="005135C6"/>
    <w:rsid w:val="00514FC1"/>
    <w:rsid w:val="00515903"/>
    <w:rsid w:val="00516190"/>
    <w:rsid w:val="00516E19"/>
    <w:rsid w:val="005203F6"/>
    <w:rsid w:val="0052454A"/>
    <w:rsid w:val="00532E42"/>
    <w:rsid w:val="00534D1C"/>
    <w:rsid w:val="005356ED"/>
    <w:rsid w:val="00536A62"/>
    <w:rsid w:val="005414EB"/>
    <w:rsid w:val="00543470"/>
    <w:rsid w:val="0054378F"/>
    <w:rsid w:val="005506A3"/>
    <w:rsid w:val="00551282"/>
    <w:rsid w:val="00551C5B"/>
    <w:rsid w:val="0055322F"/>
    <w:rsid w:val="005537D3"/>
    <w:rsid w:val="0055775B"/>
    <w:rsid w:val="0056050A"/>
    <w:rsid w:val="00561982"/>
    <w:rsid w:val="00562F99"/>
    <w:rsid w:val="005636DB"/>
    <w:rsid w:val="00564EEB"/>
    <w:rsid w:val="00565F57"/>
    <w:rsid w:val="0056635C"/>
    <w:rsid w:val="00567090"/>
    <w:rsid w:val="00572D07"/>
    <w:rsid w:val="00573685"/>
    <w:rsid w:val="00573CE1"/>
    <w:rsid w:val="0057418D"/>
    <w:rsid w:val="0057421E"/>
    <w:rsid w:val="00580BC9"/>
    <w:rsid w:val="0058288D"/>
    <w:rsid w:val="005852A3"/>
    <w:rsid w:val="005862AD"/>
    <w:rsid w:val="00587F90"/>
    <w:rsid w:val="0059174D"/>
    <w:rsid w:val="005924C1"/>
    <w:rsid w:val="00593905"/>
    <w:rsid w:val="0059405F"/>
    <w:rsid w:val="005A0C9A"/>
    <w:rsid w:val="005B2C86"/>
    <w:rsid w:val="005B476B"/>
    <w:rsid w:val="005B4AC4"/>
    <w:rsid w:val="005B535B"/>
    <w:rsid w:val="005B6A99"/>
    <w:rsid w:val="005B7742"/>
    <w:rsid w:val="005C11A9"/>
    <w:rsid w:val="005C18BD"/>
    <w:rsid w:val="005C2C73"/>
    <w:rsid w:val="005C3FF4"/>
    <w:rsid w:val="005C467A"/>
    <w:rsid w:val="005C478E"/>
    <w:rsid w:val="005C6F56"/>
    <w:rsid w:val="005D02AB"/>
    <w:rsid w:val="005D6AAA"/>
    <w:rsid w:val="005E165F"/>
    <w:rsid w:val="005E2EE0"/>
    <w:rsid w:val="005E3EDA"/>
    <w:rsid w:val="005E609D"/>
    <w:rsid w:val="005E749B"/>
    <w:rsid w:val="005F0607"/>
    <w:rsid w:val="005F3B4D"/>
    <w:rsid w:val="005F4547"/>
    <w:rsid w:val="005F4E84"/>
    <w:rsid w:val="005F78C4"/>
    <w:rsid w:val="005F7D01"/>
    <w:rsid w:val="006032A1"/>
    <w:rsid w:val="00607712"/>
    <w:rsid w:val="006077B8"/>
    <w:rsid w:val="00613164"/>
    <w:rsid w:val="00613A0A"/>
    <w:rsid w:val="00613D37"/>
    <w:rsid w:val="00613D49"/>
    <w:rsid w:val="006165C8"/>
    <w:rsid w:val="006166F2"/>
    <w:rsid w:val="0061736A"/>
    <w:rsid w:val="00621F1A"/>
    <w:rsid w:val="00625471"/>
    <w:rsid w:val="00625DB7"/>
    <w:rsid w:val="00626B98"/>
    <w:rsid w:val="00627966"/>
    <w:rsid w:val="00631EFA"/>
    <w:rsid w:val="00633FDD"/>
    <w:rsid w:val="00635EBF"/>
    <w:rsid w:val="00636E71"/>
    <w:rsid w:val="00641A28"/>
    <w:rsid w:val="00644D5C"/>
    <w:rsid w:val="006453E2"/>
    <w:rsid w:val="0064563A"/>
    <w:rsid w:val="00647028"/>
    <w:rsid w:val="006475BE"/>
    <w:rsid w:val="006555C1"/>
    <w:rsid w:val="00656270"/>
    <w:rsid w:val="00661115"/>
    <w:rsid w:val="00664D41"/>
    <w:rsid w:val="0066696A"/>
    <w:rsid w:val="00671A6B"/>
    <w:rsid w:val="00677ACA"/>
    <w:rsid w:val="00684192"/>
    <w:rsid w:val="00684662"/>
    <w:rsid w:val="00686612"/>
    <w:rsid w:val="006874C9"/>
    <w:rsid w:val="00690C69"/>
    <w:rsid w:val="006915F7"/>
    <w:rsid w:val="00691F3D"/>
    <w:rsid w:val="00693514"/>
    <w:rsid w:val="0069550A"/>
    <w:rsid w:val="00696A7F"/>
    <w:rsid w:val="006975B9"/>
    <w:rsid w:val="006A1161"/>
    <w:rsid w:val="006A2B03"/>
    <w:rsid w:val="006A63AD"/>
    <w:rsid w:val="006A6687"/>
    <w:rsid w:val="006B1764"/>
    <w:rsid w:val="006B1BC2"/>
    <w:rsid w:val="006B1F54"/>
    <w:rsid w:val="006B2AEC"/>
    <w:rsid w:val="006B696D"/>
    <w:rsid w:val="006B7F18"/>
    <w:rsid w:val="006C0AEB"/>
    <w:rsid w:val="006C7814"/>
    <w:rsid w:val="006D2728"/>
    <w:rsid w:val="006D33D2"/>
    <w:rsid w:val="006D5398"/>
    <w:rsid w:val="006E0E7F"/>
    <w:rsid w:val="006E1464"/>
    <w:rsid w:val="006E1AC9"/>
    <w:rsid w:val="006E1DE4"/>
    <w:rsid w:val="006E3B89"/>
    <w:rsid w:val="006E4188"/>
    <w:rsid w:val="006E6820"/>
    <w:rsid w:val="006F001C"/>
    <w:rsid w:val="006F125F"/>
    <w:rsid w:val="006F38BF"/>
    <w:rsid w:val="006F41F1"/>
    <w:rsid w:val="006F68A3"/>
    <w:rsid w:val="006F6BF4"/>
    <w:rsid w:val="006F776B"/>
    <w:rsid w:val="007014A4"/>
    <w:rsid w:val="0070173D"/>
    <w:rsid w:val="00701CF4"/>
    <w:rsid w:val="00706CEF"/>
    <w:rsid w:val="0071046F"/>
    <w:rsid w:val="00710653"/>
    <w:rsid w:val="00710FAE"/>
    <w:rsid w:val="00715875"/>
    <w:rsid w:val="00716F9C"/>
    <w:rsid w:val="0072003A"/>
    <w:rsid w:val="0072059F"/>
    <w:rsid w:val="00721EAF"/>
    <w:rsid w:val="00723B6D"/>
    <w:rsid w:val="00730586"/>
    <w:rsid w:val="00731092"/>
    <w:rsid w:val="00732F28"/>
    <w:rsid w:val="0074038D"/>
    <w:rsid w:val="007407AB"/>
    <w:rsid w:val="00743EE7"/>
    <w:rsid w:val="007525E1"/>
    <w:rsid w:val="007526EC"/>
    <w:rsid w:val="007625CB"/>
    <w:rsid w:val="007635E1"/>
    <w:rsid w:val="00763D22"/>
    <w:rsid w:val="00766535"/>
    <w:rsid w:val="007665CC"/>
    <w:rsid w:val="00767577"/>
    <w:rsid w:val="007703D0"/>
    <w:rsid w:val="007734B4"/>
    <w:rsid w:val="007753B3"/>
    <w:rsid w:val="00776704"/>
    <w:rsid w:val="007779B8"/>
    <w:rsid w:val="00777CD9"/>
    <w:rsid w:val="0078012F"/>
    <w:rsid w:val="007805BE"/>
    <w:rsid w:val="00780FA3"/>
    <w:rsid w:val="00781C81"/>
    <w:rsid w:val="00782D43"/>
    <w:rsid w:val="00784EE2"/>
    <w:rsid w:val="00785EB6"/>
    <w:rsid w:val="00792442"/>
    <w:rsid w:val="007A0205"/>
    <w:rsid w:val="007A0AFD"/>
    <w:rsid w:val="007A26DE"/>
    <w:rsid w:val="007A2853"/>
    <w:rsid w:val="007A4918"/>
    <w:rsid w:val="007B1312"/>
    <w:rsid w:val="007B2611"/>
    <w:rsid w:val="007B2EB8"/>
    <w:rsid w:val="007B2F0C"/>
    <w:rsid w:val="007B7F62"/>
    <w:rsid w:val="007C0A4E"/>
    <w:rsid w:val="007C1BDF"/>
    <w:rsid w:val="007C4098"/>
    <w:rsid w:val="007C4167"/>
    <w:rsid w:val="007C527E"/>
    <w:rsid w:val="007C6106"/>
    <w:rsid w:val="007D017F"/>
    <w:rsid w:val="007D02E4"/>
    <w:rsid w:val="007D6D62"/>
    <w:rsid w:val="007E30DF"/>
    <w:rsid w:val="007E4233"/>
    <w:rsid w:val="007E63E6"/>
    <w:rsid w:val="007E6415"/>
    <w:rsid w:val="007E7FF7"/>
    <w:rsid w:val="007F03EF"/>
    <w:rsid w:val="007F28BD"/>
    <w:rsid w:val="007F5880"/>
    <w:rsid w:val="00800335"/>
    <w:rsid w:val="008005CC"/>
    <w:rsid w:val="00800ED3"/>
    <w:rsid w:val="00802FAF"/>
    <w:rsid w:val="00805103"/>
    <w:rsid w:val="008075EB"/>
    <w:rsid w:val="008144A2"/>
    <w:rsid w:val="00815722"/>
    <w:rsid w:val="00815943"/>
    <w:rsid w:val="00816E47"/>
    <w:rsid w:val="00820F49"/>
    <w:rsid w:val="00822488"/>
    <w:rsid w:val="00822634"/>
    <w:rsid w:val="00823F7E"/>
    <w:rsid w:val="00826FD2"/>
    <w:rsid w:val="00832D68"/>
    <w:rsid w:val="00836EF2"/>
    <w:rsid w:val="00836F8A"/>
    <w:rsid w:val="00836FB2"/>
    <w:rsid w:val="0084066B"/>
    <w:rsid w:val="0084372E"/>
    <w:rsid w:val="008461FE"/>
    <w:rsid w:val="0085489E"/>
    <w:rsid w:val="00862DC6"/>
    <w:rsid w:val="00862F1E"/>
    <w:rsid w:val="0086344B"/>
    <w:rsid w:val="00863F12"/>
    <w:rsid w:val="00864F73"/>
    <w:rsid w:val="00867320"/>
    <w:rsid w:val="00871272"/>
    <w:rsid w:val="0087199C"/>
    <w:rsid w:val="00874D15"/>
    <w:rsid w:val="008776F4"/>
    <w:rsid w:val="00877D7C"/>
    <w:rsid w:val="00882DB4"/>
    <w:rsid w:val="008842A6"/>
    <w:rsid w:val="00884DEB"/>
    <w:rsid w:val="008853ED"/>
    <w:rsid w:val="00887DC9"/>
    <w:rsid w:val="00890F79"/>
    <w:rsid w:val="0089378E"/>
    <w:rsid w:val="0089428E"/>
    <w:rsid w:val="00895EE7"/>
    <w:rsid w:val="008A01FE"/>
    <w:rsid w:val="008A04F8"/>
    <w:rsid w:val="008A292D"/>
    <w:rsid w:val="008A4780"/>
    <w:rsid w:val="008A6646"/>
    <w:rsid w:val="008A6F06"/>
    <w:rsid w:val="008B1210"/>
    <w:rsid w:val="008B4716"/>
    <w:rsid w:val="008C476A"/>
    <w:rsid w:val="008D0A74"/>
    <w:rsid w:val="008D232B"/>
    <w:rsid w:val="008D2367"/>
    <w:rsid w:val="008D3839"/>
    <w:rsid w:val="008D5EB1"/>
    <w:rsid w:val="008E230C"/>
    <w:rsid w:val="008F08C2"/>
    <w:rsid w:val="008F0CFE"/>
    <w:rsid w:val="008F1B26"/>
    <w:rsid w:val="008F2A19"/>
    <w:rsid w:val="008F501C"/>
    <w:rsid w:val="008F7FC9"/>
    <w:rsid w:val="009005D9"/>
    <w:rsid w:val="00900B9C"/>
    <w:rsid w:val="00902BB8"/>
    <w:rsid w:val="009038D2"/>
    <w:rsid w:val="009058E8"/>
    <w:rsid w:val="00906286"/>
    <w:rsid w:val="00907F57"/>
    <w:rsid w:val="00911D9A"/>
    <w:rsid w:val="00912D76"/>
    <w:rsid w:val="0091498D"/>
    <w:rsid w:val="00920078"/>
    <w:rsid w:val="009211E4"/>
    <w:rsid w:val="00922075"/>
    <w:rsid w:val="00922D93"/>
    <w:rsid w:val="00922F44"/>
    <w:rsid w:val="0092726F"/>
    <w:rsid w:val="00930D54"/>
    <w:rsid w:val="00931A8F"/>
    <w:rsid w:val="00932355"/>
    <w:rsid w:val="009378F5"/>
    <w:rsid w:val="0094354B"/>
    <w:rsid w:val="00943753"/>
    <w:rsid w:val="00947D1D"/>
    <w:rsid w:val="0095134C"/>
    <w:rsid w:val="00952FF3"/>
    <w:rsid w:val="00954718"/>
    <w:rsid w:val="00954A4D"/>
    <w:rsid w:val="00954DE5"/>
    <w:rsid w:val="00955153"/>
    <w:rsid w:val="009572B8"/>
    <w:rsid w:val="00961DDB"/>
    <w:rsid w:val="00964C60"/>
    <w:rsid w:val="00971B66"/>
    <w:rsid w:val="0097400A"/>
    <w:rsid w:val="009750AF"/>
    <w:rsid w:val="009770A1"/>
    <w:rsid w:val="00982CBA"/>
    <w:rsid w:val="009855F8"/>
    <w:rsid w:val="009877B8"/>
    <w:rsid w:val="00990801"/>
    <w:rsid w:val="00990E65"/>
    <w:rsid w:val="009A01FD"/>
    <w:rsid w:val="009A523A"/>
    <w:rsid w:val="009B1979"/>
    <w:rsid w:val="009B1C76"/>
    <w:rsid w:val="009B26B4"/>
    <w:rsid w:val="009B2D08"/>
    <w:rsid w:val="009B45A1"/>
    <w:rsid w:val="009B6C3D"/>
    <w:rsid w:val="009C11CA"/>
    <w:rsid w:val="009C24FE"/>
    <w:rsid w:val="009C435B"/>
    <w:rsid w:val="009C4FDF"/>
    <w:rsid w:val="009D2273"/>
    <w:rsid w:val="009D235A"/>
    <w:rsid w:val="009D24A5"/>
    <w:rsid w:val="009D4806"/>
    <w:rsid w:val="009D789F"/>
    <w:rsid w:val="009E0344"/>
    <w:rsid w:val="009E0D3B"/>
    <w:rsid w:val="009E232F"/>
    <w:rsid w:val="009E4173"/>
    <w:rsid w:val="009E61F0"/>
    <w:rsid w:val="009E6D32"/>
    <w:rsid w:val="009E708A"/>
    <w:rsid w:val="009F075C"/>
    <w:rsid w:val="009F1528"/>
    <w:rsid w:val="009F16DD"/>
    <w:rsid w:val="009F39B2"/>
    <w:rsid w:val="009F72C3"/>
    <w:rsid w:val="00A00569"/>
    <w:rsid w:val="00A015F6"/>
    <w:rsid w:val="00A01792"/>
    <w:rsid w:val="00A04BD6"/>
    <w:rsid w:val="00A05A93"/>
    <w:rsid w:val="00A06377"/>
    <w:rsid w:val="00A06D64"/>
    <w:rsid w:val="00A10590"/>
    <w:rsid w:val="00A10AB3"/>
    <w:rsid w:val="00A12708"/>
    <w:rsid w:val="00A138D9"/>
    <w:rsid w:val="00A1445B"/>
    <w:rsid w:val="00A155C8"/>
    <w:rsid w:val="00A157BD"/>
    <w:rsid w:val="00A17E51"/>
    <w:rsid w:val="00A20106"/>
    <w:rsid w:val="00A20F93"/>
    <w:rsid w:val="00A21E2C"/>
    <w:rsid w:val="00A23633"/>
    <w:rsid w:val="00A23AD3"/>
    <w:rsid w:val="00A243A0"/>
    <w:rsid w:val="00A26B0D"/>
    <w:rsid w:val="00A2786B"/>
    <w:rsid w:val="00A33F2E"/>
    <w:rsid w:val="00A3505C"/>
    <w:rsid w:val="00A36661"/>
    <w:rsid w:val="00A37820"/>
    <w:rsid w:val="00A41CA3"/>
    <w:rsid w:val="00A41FA6"/>
    <w:rsid w:val="00A50C68"/>
    <w:rsid w:val="00A52326"/>
    <w:rsid w:val="00A53D72"/>
    <w:rsid w:val="00A5457C"/>
    <w:rsid w:val="00A54AA8"/>
    <w:rsid w:val="00A60B5F"/>
    <w:rsid w:val="00A60F9B"/>
    <w:rsid w:val="00A61BF5"/>
    <w:rsid w:val="00A654BB"/>
    <w:rsid w:val="00A702E9"/>
    <w:rsid w:val="00A70B6E"/>
    <w:rsid w:val="00A76B89"/>
    <w:rsid w:val="00A8118E"/>
    <w:rsid w:val="00A86576"/>
    <w:rsid w:val="00A92C84"/>
    <w:rsid w:val="00A94E6F"/>
    <w:rsid w:val="00AA28CF"/>
    <w:rsid w:val="00AA3608"/>
    <w:rsid w:val="00AA4206"/>
    <w:rsid w:val="00AA4BFA"/>
    <w:rsid w:val="00AA4CC4"/>
    <w:rsid w:val="00AA5E87"/>
    <w:rsid w:val="00AB0F7F"/>
    <w:rsid w:val="00AB2F3E"/>
    <w:rsid w:val="00AB3FDC"/>
    <w:rsid w:val="00AB686B"/>
    <w:rsid w:val="00AC1044"/>
    <w:rsid w:val="00AC5CD5"/>
    <w:rsid w:val="00AC6902"/>
    <w:rsid w:val="00AC6CC3"/>
    <w:rsid w:val="00AC758D"/>
    <w:rsid w:val="00AD0309"/>
    <w:rsid w:val="00AD3EEA"/>
    <w:rsid w:val="00AD74E7"/>
    <w:rsid w:val="00AE1AE4"/>
    <w:rsid w:val="00AE2306"/>
    <w:rsid w:val="00AE32AC"/>
    <w:rsid w:val="00AE3D9E"/>
    <w:rsid w:val="00AE5843"/>
    <w:rsid w:val="00AE7F44"/>
    <w:rsid w:val="00AF153C"/>
    <w:rsid w:val="00AF2C8C"/>
    <w:rsid w:val="00AF431C"/>
    <w:rsid w:val="00AF52E7"/>
    <w:rsid w:val="00AF688F"/>
    <w:rsid w:val="00B03816"/>
    <w:rsid w:val="00B04803"/>
    <w:rsid w:val="00B1650A"/>
    <w:rsid w:val="00B1722E"/>
    <w:rsid w:val="00B20CD9"/>
    <w:rsid w:val="00B21231"/>
    <w:rsid w:val="00B21A4A"/>
    <w:rsid w:val="00B24421"/>
    <w:rsid w:val="00B24CEB"/>
    <w:rsid w:val="00B254CC"/>
    <w:rsid w:val="00B27C80"/>
    <w:rsid w:val="00B302FB"/>
    <w:rsid w:val="00B32623"/>
    <w:rsid w:val="00B32967"/>
    <w:rsid w:val="00B34540"/>
    <w:rsid w:val="00B34DA2"/>
    <w:rsid w:val="00B35419"/>
    <w:rsid w:val="00B35D0C"/>
    <w:rsid w:val="00B37E73"/>
    <w:rsid w:val="00B46F85"/>
    <w:rsid w:val="00B47102"/>
    <w:rsid w:val="00B47B3B"/>
    <w:rsid w:val="00B52144"/>
    <w:rsid w:val="00B5263B"/>
    <w:rsid w:val="00B57A9C"/>
    <w:rsid w:val="00B60221"/>
    <w:rsid w:val="00B60E76"/>
    <w:rsid w:val="00B63FF1"/>
    <w:rsid w:val="00B65E92"/>
    <w:rsid w:val="00B70C1E"/>
    <w:rsid w:val="00B725FD"/>
    <w:rsid w:val="00B745B7"/>
    <w:rsid w:val="00B74F9A"/>
    <w:rsid w:val="00B80F28"/>
    <w:rsid w:val="00B82DDB"/>
    <w:rsid w:val="00B86124"/>
    <w:rsid w:val="00B904E2"/>
    <w:rsid w:val="00B91D61"/>
    <w:rsid w:val="00B92123"/>
    <w:rsid w:val="00B92F77"/>
    <w:rsid w:val="00B9337F"/>
    <w:rsid w:val="00B973B0"/>
    <w:rsid w:val="00BA0378"/>
    <w:rsid w:val="00BA3F51"/>
    <w:rsid w:val="00BB12D6"/>
    <w:rsid w:val="00BB2181"/>
    <w:rsid w:val="00BB299F"/>
    <w:rsid w:val="00BB49AB"/>
    <w:rsid w:val="00BB4B6C"/>
    <w:rsid w:val="00BB5242"/>
    <w:rsid w:val="00BB7916"/>
    <w:rsid w:val="00BC00C2"/>
    <w:rsid w:val="00BC183C"/>
    <w:rsid w:val="00BC4EAC"/>
    <w:rsid w:val="00BC7B65"/>
    <w:rsid w:val="00BD05DE"/>
    <w:rsid w:val="00BD3075"/>
    <w:rsid w:val="00BD5652"/>
    <w:rsid w:val="00BD5CDC"/>
    <w:rsid w:val="00BD5E4E"/>
    <w:rsid w:val="00BE3C95"/>
    <w:rsid w:val="00BE418B"/>
    <w:rsid w:val="00BE7193"/>
    <w:rsid w:val="00BF27FC"/>
    <w:rsid w:val="00BF42A4"/>
    <w:rsid w:val="00BF5DAF"/>
    <w:rsid w:val="00BF671A"/>
    <w:rsid w:val="00BF7A45"/>
    <w:rsid w:val="00C0018D"/>
    <w:rsid w:val="00C02002"/>
    <w:rsid w:val="00C06288"/>
    <w:rsid w:val="00C06711"/>
    <w:rsid w:val="00C071F6"/>
    <w:rsid w:val="00C07AD2"/>
    <w:rsid w:val="00C10A41"/>
    <w:rsid w:val="00C11FA5"/>
    <w:rsid w:val="00C12CB8"/>
    <w:rsid w:val="00C12E5A"/>
    <w:rsid w:val="00C167FF"/>
    <w:rsid w:val="00C20138"/>
    <w:rsid w:val="00C22E9A"/>
    <w:rsid w:val="00C260A7"/>
    <w:rsid w:val="00C35CF4"/>
    <w:rsid w:val="00C37439"/>
    <w:rsid w:val="00C37A06"/>
    <w:rsid w:val="00C4362A"/>
    <w:rsid w:val="00C43D12"/>
    <w:rsid w:val="00C45A50"/>
    <w:rsid w:val="00C45FF9"/>
    <w:rsid w:val="00C4673D"/>
    <w:rsid w:val="00C509C2"/>
    <w:rsid w:val="00C50EC2"/>
    <w:rsid w:val="00C57EA6"/>
    <w:rsid w:val="00C6141E"/>
    <w:rsid w:val="00C63583"/>
    <w:rsid w:val="00C668BC"/>
    <w:rsid w:val="00C66F33"/>
    <w:rsid w:val="00C673C7"/>
    <w:rsid w:val="00C71764"/>
    <w:rsid w:val="00C72D75"/>
    <w:rsid w:val="00C8161B"/>
    <w:rsid w:val="00C82D3E"/>
    <w:rsid w:val="00C84464"/>
    <w:rsid w:val="00C844D2"/>
    <w:rsid w:val="00C864EE"/>
    <w:rsid w:val="00C9034C"/>
    <w:rsid w:val="00C90478"/>
    <w:rsid w:val="00C9169A"/>
    <w:rsid w:val="00C92187"/>
    <w:rsid w:val="00C9248B"/>
    <w:rsid w:val="00CA3485"/>
    <w:rsid w:val="00CA7490"/>
    <w:rsid w:val="00CB0642"/>
    <w:rsid w:val="00CB30E5"/>
    <w:rsid w:val="00CB584B"/>
    <w:rsid w:val="00CB6E02"/>
    <w:rsid w:val="00CC067E"/>
    <w:rsid w:val="00CC1DF2"/>
    <w:rsid w:val="00CC310F"/>
    <w:rsid w:val="00CC31F4"/>
    <w:rsid w:val="00CD1182"/>
    <w:rsid w:val="00CD17C2"/>
    <w:rsid w:val="00CD2C05"/>
    <w:rsid w:val="00CD4CBF"/>
    <w:rsid w:val="00CD5005"/>
    <w:rsid w:val="00CD6CBE"/>
    <w:rsid w:val="00CE0474"/>
    <w:rsid w:val="00CE31E8"/>
    <w:rsid w:val="00CE66CD"/>
    <w:rsid w:val="00CE760A"/>
    <w:rsid w:val="00CE7929"/>
    <w:rsid w:val="00CE7B34"/>
    <w:rsid w:val="00CF278B"/>
    <w:rsid w:val="00CF281A"/>
    <w:rsid w:val="00CF2C70"/>
    <w:rsid w:val="00CF554B"/>
    <w:rsid w:val="00CF70DB"/>
    <w:rsid w:val="00CF791A"/>
    <w:rsid w:val="00D011C9"/>
    <w:rsid w:val="00D01F75"/>
    <w:rsid w:val="00D04214"/>
    <w:rsid w:val="00D05264"/>
    <w:rsid w:val="00D06702"/>
    <w:rsid w:val="00D07382"/>
    <w:rsid w:val="00D076BB"/>
    <w:rsid w:val="00D10DD6"/>
    <w:rsid w:val="00D15077"/>
    <w:rsid w:val="00D155AB"/>
    <w:rsid w:val="00D16728"/>
    <w:rsid w:val="00D16B39"/>
    <w:rsid w:val="00D202B5"/>
    <w:rsid w:val="00D24707"/>
    <w:rsid w:val="00D25539"/>
    <w:rsid w:val="00D25553"/>
    <w:rsid w:val="00D312AA"/>
    <w:rsid w:val="00D3227B"/>
    <w:rsid w:val="00D329DC"/>
    <w:rsid w:val="00D37DD8"/>
    <w:rsid w:val="00D41D54"/>
    <w:rsid w:val="00D46ABB"/>
    <w:rsid w:val="00D47B4E"/>
    <w:rsid w:val="00D508AC"/>
    <w:rsid w:val="00D519C1"/>
    <w:rsid w:val="00D53A42"/>
    <w:rsid w:val="00D55B06"/>
    <w:rsid w:val="00D55E78"/>
    <w:rsid w:val="00D561E2"/>
    <w:rsid w:val="00D57025"/>
    <w:rsid w:val="00D60360"/>
    <w:rsid w:val="00D61E8B"/>
    <w:rsid w:val="00D6277C"/>
    <w:rsid w:val="00D6284E"/>
    <w:rsid w:val="00D629C6"/>
    <w:rsid w:val="00D63196"/>
    <w:rsid w:val="00D6412F"/>
    <w:rsid w:val="00D71E05"/>
    <w:rsid w:val="00D72028"/>
    <w:rsid w:val="00D73901"/>
    <w:rsid w:val="00D741BA"/>
    <w:rsid w:val="00D74E1C"/>
    <w:rsid w:val="00D8014F"/>
    <w:rsid w:val="00D81FB6"/>
    <w:rsid w:val="00D838BF"/>
    <w:rsid w:val="00D858C8"/>
    <w:rsid w:val="00D85A42"/>
    <w:rsid w:val="00D86CB1"/>
    <w:rsid w:val="00D90CB8"/>
    <w:rsid w:val="00D9223F"/>
    <w:rsid w:val="00D929DF"/>
    <w:rsid w:val="00D93CCD"/>
    <w:rsid w:val="00DA1678"/>
    <w:rsid w:val="00DA17B5"/>
    <w:rsid w:val="00DA29DF"/>
    <w:rsid w:val="00DA4FCB"/>
    <w:rsid w:val="00DA7030"/>
    <w:rsid w:val="00DA7F2F"/>
    <w:rsid w:val="00DB24B8"/>
    <w:rsid w:val="00DB28BD"/>
    <w:rsid w:val="00DB2F5D"/>
    <w:rsid w:val="00DB33EF"/>
    <w:rsid w:val="00DB463F"/>
    <w:rsid w:val="00DB4D32"/>
    <w:rsid w:val="00DB4DEB"/>
    <w:rsid w:val="00DB65A4"/>
    <w:rsid w:val="00DB768B"/>
    <w:rsid w:val="00DC08DE"/>
    <w:rsid w:val="00DC0C72"/>
    <w:rsid w:val="00DC1F8A"/>
    <w:rsid w:val="00DC1F9F"/>
    <w:rsid w:val="00DC2890"/>
    <w:rsid w:val="00DC72C8"/>
    <w:rsid w:val="00DC774D"/>
    <w:rsid w:val="00DD297D"/>
    <w:rsid w:val="00DD5D42"/>
    <w:rsid w:val="00DD797C"/>
    <w:rsid w:val="00DE12BC"/>
    <w:rsid w:val="00DE249F"/>
    <w:rsid w:val="00DE4D86"/>
    <w:rsid w:val="00DE617A"/>
    <w:rsid w:val="00DE669C"/>
    <w:rsid w:val="00DE707F"/>
    <w:rsid w:val="00DF3049"/>
    <w:rsid w:val="00DF34EA"/>
    <w:rsid w:val="00DF35C9"/>
    <w:rsid w:val="00DF4CCF"/>
    <w:rsid w:val="00DF66DC"/>
    <w:rsid w:val="00E02B2C"/>
    <w:rsid w:val="00E05A0E"/>
    <w:rsid w:val="00E10310"/>
    <w:rsid w:val="00E124D9"/>
    <w:rsid w:val="00E13C35"/>
    <w:rsid w:val="00E155D3"/>
    <w:rsid w:val="00E1568E"/>
    <w:rsid w:val="00E23941"/>
    <w:rsid w:val="00E23E3A"/>
    <w:rsid w:val="00E25371"/>
    <w:rsid w:val="00E26DFD"/>
    <w:rsid w:val="00E31F01"/>
    <w:rsid w:val="00E32460"/>
    <w:rsid w:val="00E3251C"/>
    <w:rsid w:val="00E327C5"/>
    <w:rsid w:val="00E33F04"/>
    <w:rsid w:val="00E34BDB"/>
    <w:rsid w:val="00E35323"/>
    <w:rsid w:val="00E37029"/>
    <w:rsid w:val="00E371CD"/>
    <w:rsid w:val="00E42825"/>
    <w:rsid w:val="00E43407"/>
    <w:rsid w:val="00E43BA3"/>
    <w:rsid w:val="00E46C4E"/>
    <w:rsid w:val="00E46FA1"/>
    <w:rsid w:val="00E5021B"/>
    <w:rsid w:val="00E5223D"/>
    <w:rsid w:val="00E54C0D"/>
    <w:rsid w:val="00E57ADB"/>
    <w:rsid w:val="00E61862"/>
    <w:rsid w:val="00E6441F"/>
    <w:rsid w:val="00E64827"/>
    <w:rsid w:val="00E66531"/>
    <w:rsid w:val="00E71020"/>
    <w:rsid w:val="00E71881"/>
    <w:rsid w:val="00E83095"/>
    <w:rsid w:val="00E84804"/>
    <w:rsid w:val="00E84C0A"/>
    <w:rsid w:val="00E86B33"/>
    <w:rsid w:val="00E915C8"/>
    <w:rsid w:val="00E92628"/>
    <w:rsid w:val="00E97209"/>
    <w:rsid w:val="00EA48AD"/>
    <w:rsid w:val="00EB489F"/>
    <w:rsid w:val="00EB50CE"/>
    <w:rsid w:val="00EB52DF"/>
    <w:rsid w:val="00EB6C2A"/>
    <w:rsid w:val="00EC064F"/>
    <w:rsid w:val="00EC227E"/>
    <w:rsid w:val="00EC4BDB"/>
    <w:rsid w:val="00EC66D0"/>
    <w:rsid w:val="00ED04D9"/>
    <w:rsid w:val="00ED2537"/>
    <w:rsid w:val="00ED2586"/>
    <w:rsid w:val="00ED61C3"/>
    <w:rsid w:val="00EE189B"/>
    <w:rsid w:val="00EE2451"/>
    <w:rsid w:val="00EE41F9"/>
    <w:rsid w:val="00EE4CB1"/>
    <w:rsid w:val="00EE58D8"/>
    <w:rsid w:val="00EE6C18"/>
    <w:rsid w:val="00EF1697"/>
    <w:rsid w:val="00EF3E85"/>
    <w:rsid w:val="00F020B0"/>
    <w:rsid w:val="00F02B1C"/>
    <w:rsid w:val="00F03789"/>
    <w:rsid w:val="00F03840"/>
    <w:rsid w:val="00F05C86"/>
    <w:rsid w:val="00F05D3E"/>
    <w:rsid w:val="00F12620"/>
    <w:rsid w:val="00F138E3"/>
    <w:rsid w:val="00F24777"/>
    <w:rsid w:val="00F249F4"/>
    <w:rsid w:val="00F270E8"/>
    <w:rsid w:val="00F2776A"/>
    <w:rsid w:val="00F30D9E"/>
    <w:rsid w:val="00F317B6"/>
    <w:rsid w:val="00F32A7E"/>
    <w:rsid w:val="00F35C16"/>
    <w:rsid w:val="00F40536"/>
    <w:rsid w:val="00F408CF"/>
    <w:rsid w:val="00F41CAC"/>
    <w:rsid w:val="00F4572C"/>
    <w:rsid w:val="00F4629F"/>
    <w:rsid w:val="00F46A71"/>
    <w:rsid w:val="00F52CC6"/>
    <w:rsid w:val="00F53FAC"/>
    <w:rsid w:val="00F5627F"/>
    <w:rsid w:val="00F655E9"/>
    <w:rsid w:val="00F66E6E"/>
    <w:rsid w:val="00F679CD"/>
    <w:rsid w:val="00F67BD9"/>
    <w:rsid w:val="00F71774"/>
    <w:rsid w:val="00F71ABE"/>
    <w:rsid w:val="00F74AEA"/>
    <w:rsid w:val="00F76C82"/>
    <w:rsid w:val="00F775DC"/>
    <w:rsid w:val="00F86E64"/>
    <w:rsid w:val="00F94AB4"/>
    <w:rsid w:val="00F956F5"/>
    <w:rsid w:val="00F97FF6"/>
    <w:rsid w:val="00FA3C27"/>
    <w:rsid w:val="00FA5812"/>
    <w:rsid w:val="00FA6D43"/>
    <w:rsid w:val="00FA7A30"/>
    <w:rsid w:val="00FB170A"/>
    <w:rsid w:val="00FB2344"/>
    <w:rsid w:val="00FB356D"/>
    <w:rsid w:val="00FB49F7"/>
    <w:rsid w:val="00FB577C"/>
    <w:rsid w:val="00FB588E"/>
    <w:rsid w:val="00FC2AC8"/>
    <w:rsid w:val="00FC2CC1"/>
    <w:rsid w:val="00FD0DAB"/>
    <w:rsid w:val="00FE171A"/>
    <w:rsid w:val="00FE67EF"/>
    <w:rsid w:val="00FF2B64"/>
    <w:rsid w:val="00FF3F23"/>
    <w:rsid w:val="00FF4A5D"/>
    <w:rsid w:val="00FF695A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2251"/>
  <w15:docId w15:val="{26C9E305-03F2-49B0-AF6C-B5C04F98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B89"/>
    <w:rPr>
      <w:rFonts w:asciiTheme="minorHAnsi" w:hAnsiTheme="minorHAnsi"/>
    </w:rPr>
  </w:style>
  <w:style w:type="paragraph" w:styleId="Nadpis1">
    <w:name w:val="heading 1"/>
    <w:basedOn w:val="Text"/>
    <w:next w:val="Text"/>
    <w:link w:val="Nadpis1Char"/>
    <w:uiPriority w:val="99"/>
    <w:qFormat/>
    <w:rsid w:val="000D66DD"/>
    <w:pPr>
      <w:keepNext/>
      <w:keepLines/>
      <w:numPr>
        <w:numId w:val="2"/>
      </w:numPr>
      <w:spacing w:before="240" w:after="240"/>
      <w:ind w:left="431" w:hanging="431"/>
      <w:outlineLvl w:val="0"/>
    </w:pPr>
    <w:rPr>
      <w:b/>
      <w:sz w:val="28"/>
    </w:rPr>
  </w:style>
  <w:style w:type="paragraph" w:styleId="Nadpis2">
    <w:name w:val="heading 2"/>
    <w:basedOn w:val="Text"/>
    <w:next w:val="Text"/>
    <w:link w:val="Nadpis2Char"/>
    <w:uiPriority w:val="99"/>
    <w:unhideWhenUsed/>
    <w:qFormat/>
    <w:rsid w:val="009C5669"/>
    <w:pPr>
      <w:keepNext/>
      <w:keepLines/>
      <w:numPr>
        <w:ilvl w:val="1"/>
        <w:numId w:val="2"/>
      </w:numPr>
      <w:spacing w:after="120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Text"/>
    <w:next w:val="Text"/>
    <w:link w:val="Nadpis3Char"/>
    <w:uiPriority w:val="99"/>
    <w:unhideWhenUsed/>
    <w:qFormat/>
    <w:rsid w:val="007F7FC9"/>
    <w:pPr>
      <w:keepNext/>
      <w:keepLines/>
      <w:numPr>
        <w:ilvl w:val="2"/>
        <w:numId w:val="2"/>
      </w:numPr>
      <w:spacing w:after="120"/>
      <w:outlineLvl w:val="2"/>
    </w:pPr>
    <w:rPr>
      <w:rFonts w:eastAsiaTheme="majorEastAsia" w:cstheme="majorBidi"/>
      <w:b/>
    </w:rPr>
  </w:style>
  <w:style w:type="paragraph" w:styleId="Nadpis4">
    <w:name w:val="heading 4"/>
    <w:basedOn w:val="Text"/>
    <w:next w:val="Text"/>
    <w:link w:val="Nadpis4Char"/>
    <w:uiPriority w:val="99"/>
    <w:unhideWhenUsed/>
    <w:qFormat/>
    <w:rsid w:val="007F7FC9"/>
    <w:pPr>
      <w:keepNext/>
      <w:keepLines/>
      <w:numPr>
        <w:ilvl w:val="3"/>
        <w:numId w:val="1"/>
      </w:numPr>
      <w:spacing w:after="120"/>
      <w:ind w:left="851" w:hanging="851"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unhideWhenUsed/>
    <w:rsid w:val="005444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unhideWhenUsed/>
    <w:rsid w:val="009C56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unhideWhenUsed/>
    <w:rsid w:val="009C566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9"/>
    <w:unhideWhenUsed/>
    <w:rsid w:val="009C566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9"/>
    <w:unhideWhenUsed/>
    <w:rsid w:val="009C566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basedOn w:val="Normln"/>
    <w:link w:val="TextnormlnChar"/>
    <w:rsid w:val="00544471"/>
  </w:style>
  <w:style w:type="character" w:customStyle="1" w:styleId="TextnormlnChar">
    <w:name w:val="Text normální Char"/>
    <w:basedOn w:val="Standardnpsmoodstavce"/>
    <w:link w:val="Textnormln"/>
    <w:rsid w:val="00544471"/>
  </w:style>
  <w:style w:type="character" w:customStyle="1" w:styleId="Nadpis4Char">
    <w:name w:val="Nadpis 4 Char"/>
    <w:basedOn w:val="Standardnpsmoodstavce"/>
    <w:link w:val="Nadpis4"/>
    <w:uiPriority w:val="99"/>
    <w:rsid w:val="007F7FC9"/>
    <w:rPr>
      <w:rFonts w:asciiTheme="minorHAnsi" w:eastAsiaTheme="majorEastAsia" w:hAnsiTheme="minorHAnsi" w:cstheme="majorBidi"/>
      <w:b/>
      <w:bCs/>
      <w:iCs/>
    </w:rPr>
  </w:style>
  <w:style w:type="character" w:customStyle="1" w:styleId="Nadpis1Char">
    <w:name w:val="Nadpis 1 Char"/>
    <w:basedOn w:val="Standardnpsmoodstavce"/>
    <w:link w:val="Nadpis1"/>
    <w:uiPriority w:val="99"/>
    <w:rsid w:val="000D66DD"/>
    <w:rPr>
      <w:rFonts w:asciiTheme="minorHAnsi" w:hAnsiTheme="minorHAnsi" w:cstheme="minorHAnsi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9"/>
    <w:rsid w:val="007F7FC9"/>
    <w:rPr>
      <w:rFonts w:asciiTheme="minorHAnsi" w:eastAsiaTheme="majorEastAsia" w:hAnsiTheme="minorHAnsi" w:cstheme="majorBidi"/>
      <w:b/>
    </w:rPr>
  </w:style>
  <w:style w:type="character" w:customStyle="1" w:styleId="Nadpis2Char">
    <w:name w:val="Nadpis 2 Char"/>
    <w:basedOn w:val="Standardnpsmoodstavce"/>
    <w:link w:val="Nadpis2"/>
    <w:uiPriority w:val="99"/>
    <w:rsid w:val="009C5669"/>
    <w:rPr>
      <w:rFonts w:asciiTheme="minorHAnsi" w:eastAsiaTheme="majorEastAsia" w:hAnsiTheme="minorHAnsi" w:cstheme="majorBidi"/>
      <w:b/>
      <w:szCs w:val="26"/>
    </w:rPr>
  </w:style>
  <w:style w:type="paragraph" w:customStyle="1" w:styleId="Zdrojeapozn">
    <w:name w:val="Zdroje a pozn."/>
    <w:basedOn w:val="Normln"/>
    <w:next w:val="Normln"/>
    <w:link w:val="ZdrojeapoznChar"/>
    <w:autoRedefine/>
    <w:rsid w:val="00C66F33"/>
    <w:pPr>
      <w:keepNext/>
      <w:spacing w:before="40"/>
      <w:jc w:val="both"/>
    </w:pPr>
    <w:rPr>
      <w:rFonts w:ascii="Calibri" w:hAnsi="Calibri"/>
      <w:sz w:val="20"/>
    </w:rPr>
  </w:style>
  <w:style w:type="character" w:customStyle="1" w:styleId="ZdrojeapoznChar">
    <w:name w:val="Zdroje a pozn. Char"/>
    <w:basedOn w:val="Standardnpsmoodstavce"/>
    <w:link w:val="Zdrojeapozn"/>
    <w:rsid w:val="00C66F33"/>
    <w:rPr>
      <w:sz w:val="20"/>
    </w:rPr>
  </w:style>
  <w:style w:type="paragraph" w:styleId="Citt">
    <w:name w:val="Quote"/>
    <w:basedOn w:val="Normln"/>
    <w:next w:val="Normln"/>
    <w:link w:val="CittChar"/>
    <w:uiPriority w:val="29"/>
    <w:rsid w:val="005444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4471"/>
    <w:rPr>
      <w:i/>
      <w:iCs/>
      <w:color w:val="404040" w:themeColor="text1" w:themeTint="BF"/>
    </w:rPr>
  </w:style>
  <w:style w:type="paragraph" w:styleId="Bezmezer">
    <w:name w:val="No Spacing"/>
    <w:link w:val="BezmezerChar"/>
    <w:uiPriority w:val="1"/>
    <w:rsid w:val="00544471"/>
    <w:pPr>
      <w:jc w:val="both"/>
    </w:pPr>
  </w:style>
  <w:style w:type="character" w:customStyle="1" w:styleId="Nadpis5Char">
    <w:name w:val="Nadpis 5 Char"/>
    <w:basedOn w:val="Standardnpsmoodstavce"/>
    <w:link w:val="Nadpis5"/>
    <w:uiPriority w:val="99"/>
    <w:rsid w:val="0054447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zev">
    <w:name w:val="Title"/>
    <w:basedOn w:val="Normln"/>
    <w:next w:val="Normln"/>
    <w:link w:val="NzevChar"/>
    <w:uiPriority w:val="10"/>
    <w:rsid w:val="005444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4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5444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544471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rsid w:val="00544471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rsid w:val="00544471"/>
    <w:rPr>
      <w:i/>
      <w:iCs/>
    </w:rPr>
  </w:style>
  <w:style w:type="character" w:styleId="Zdraznnintenzivn">
    <w:name w:val="Intense Emphasis"/>
    <w:basedOn w:val="Standardnpsmoodstavce"/>
    <w:uiPriority w:val="21"/>
    <w:rsid w:val="00544471"/>
    <w:rPr>
      <w:i/>
      <w:iCs/>
      <w:color w:val="5B9BD5" w:themeColor="accent1"/>
    </w:rPr>
  </w:style>
  <w:style w:type="character" w:styleId="Siln">
    <w:name w:val="Strong"/>
    <w:basedOn w:val="Standardnpsmoodstavce"/>
    <w:uiPriority w:val="22"/>
    <w:rsid w:val="00544471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rsid w:val="005444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4471"/>
    <w:rPr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rsid w:val="00544471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rsid w:val="00544471"/>
    <w:rPr>
      <w:b/>
      <w:bCs/>
      <w:smallCaps/>
      <w:color w:val="5B9BD5" w:themeColor="accent1"/>
      <w:spacing w:val="5"/>
    </w:rPr>
  </w:style>
  <w:style w:type="character" w:styleId="Nzevknihy">
    <w:name w:val="Book Title"/>
    <w:basedOn w:val="Standardnpsmoodstavce"/>
    <w:uiPriority w:val="33"/>
    <w:rsid w:val="00544471"/>
    <w:rPr>
      <w:b/>
      <w:bCs/>
      <w:i/>
      <w:iCs/>
      <w:spacing w:val="5"/>
    </w:rPr>
  </w:style>
  <w:style w:type="paragraph" w:styleId="Odstavecseseznamem">
    <w:name w:val="List Paragraph"/>
    <w:aliases w:val="Nad,Nadpis pro KZ,Odstavec cíl se seznamem,Odstavec se seznamem1,Odstavec se seznamem2,Odstavec_muj,můj Nadpis 2,odrážky"/>
    <w:basedOn w:val="Normln"/>
    <w:link w:val="OdstavecseseznamemChar"/>
    <w:uiPriority w:val="34"/>
    <w:qFormat/>
    <w:rsid w:val="00544471"/>
    <w:pPr>
      <w:ind w:left="720"/>
      <w:contextualSpacing/>
    </w:pPr>
  </w:style>
  <w:style w:type="paragraph" w:customStyle="1" w:styleId="Text">
    <w:name w:val="Text"/>
    <w:basedOn w:val="Normln"/>
    <w:link w:val="TextChar"/>
    <w:qFormat/>
    <w:rsid w:val="009C5669"/>
    <w:pPr>
      <w:spacing w:before="120"/>
      <w:jc w:val="both"/>
    </w:pPr>
    <w:rPr>
      <w:rFonts w:cstheme="minorHAnsi"/>
    </w:rPr>
  </w:style>
  <w:style w:type="character" w:customStyle="1" w:styleId="TextChar">
    <w:name w:val="Text Char"/>
    <w:basedOn w:val="Standardnpsmoodstavce"/>
    <w:link w:val="Text"/>
    <w:rsid w:val="009C5669"/>
    <w:rPr>
      <w:rFonts w:asciiTheme="minorHAnsi" w:hAnsiTheme="minorHAnsi" w:cstheme="minorHAnsi"/>
    </w:rPr>
  </w:style>
  <w:style w:type="character" w:customStyle="1" w:styleId="Nadpis6Char">
    <w:name w:val="Nadpis 6 Char"/>
    <w:basedOn w:val="Standardnpsmoodstavce"/>
    <w:link w:val="Nadpis6"/>
    <w:uiPriority w:val="99"/>
    <w:rsid w:val="009C56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9"/>
    <w:rsid w:val="009C56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9"/>
    <w:rsid w:val="009C566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9"/>
    <w:rsid w:val="009C56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Text"/>
    <w:next w:val="Text"/>
    <w:uiPriority w:val="35"/>
    <w:unhideWhenUsed/>
    <w:qFormat/>
    <w:rsid w:val="00173FDA"/>
    <w:pPr>
      <w:tabs>
        <w:tab w:val="left" w:pos="7938"/>
      </w:tabs>
    </w:pPr>
    <w:rPr>
      <w:iCs/>
      <w:szCs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C5669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D68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688A"/>
    <w:rPr>
      <w:rFonts w:asciiTheme="minorHAnsi" w:hAnsiTheme="minorHAnsi"/>
    </w:rPr>
  </w:style>
  <w:style w:type="paragraph" w:styleId="Zpat">
    <w:name w:val="footer"/>
    <w:basedOn w:val="Normln"/>
    <w:link w:val="ZpatChar"/>
    <w:uiPriority w:val="99"/>
    <w:unhideWhenUsed/>
    <w:rsid w:val="001D68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688A"/>
    <w:rPr>
      <w:rFonts w:asciiTheme="minorHAnsi" w:hAnsiTheme="minorHAnsi"/>
    </w:rPr>
  </w:style>
  <w:style w:type="paragraph" w:styleId="Textpoznpodarou">
    <w:name w:val="footnote text"/>
    <w:aliases w:val="Boston 10,Char,Char Char Char1,Char1,Font: Geneva 9,Footnote,Footnote Text Char1,Fußnotentextf,Geneva 9,Schriftart: 10 pt,Schriftart: 8 pt,Schriftart: 9 pt,Text pozn. pod čarou1,Text poznámky pod čiarou 007,f,o,pozn. pod čarou"/>
    <w:basedOn w:val="Normln"/>
    <w:link w:val="TextpoznpodarouChar"/>
    <w:uiPriority w:val="99"/>
    <w:unhideWhenUsed/>
    <w:qFormat/>
    <w:rsid w:val="00AB1D14"/>
    <w:rPr>
      <w:rFonts w:ascii="Calibri" w:eastAsia="Times New Roman" w:hAnsi="Calibri" w:cs="Times New Roman"/>
      <w:sz w:val="20"/>
      <w:szCs w:val="20"/>
    </w:rPr>
  </w:style>
  <w:style w:type="character" w:customStyle="1" w:styleId="TextpoznpodarouChar">
    <w:name w:val="Text pozn. pod čarou Char"/>
    <w:aliases w:val="Boston 10 Char,Char Char,Char Char Char1 Char,Char1 Char,Font: Geneva 9 Char,Footnote Char,Footnote Text Char1 Char,Fußnotentextf Char,Geneva 9 Char,Schriftart: 10 pt Char,Schriftart: 8 pt Char,Schriftart: 9 pt Char,f Char"/>
    <w:basedOn w:val="Standardnpsmoodstavce"/>
    <w:link w:val="Textpoznpodarou"/>
    <w:uiPriority w:val="99"/>
    <w:rsid w:val="00AB1D14"/>
    <w:rPr>
      <w:rFonts w:eastAsia="Times New Roman" w:cs="Times New Roman"/>
      <w:sz w:val="20"/>
      <w:szCs w:val="20"/>
    </w:rPr>
  </w:style>
  <w:style w:type="character" w:styleId="Znakapoznpodarou">
    <w:name w:val="footnote reference"/>
    <w:aliases w:val="4_G,Appel note de bas de p,Appel note de bas de page,BVI fnr,Char Car Car Car Car,Footnote Reference Superscript,Footnote symbol,Légende,Légende.Char Car Car Car Car,PGI Fußnote Ziffer,Voetnootverwijzing"/>
    <w:basedOn w:val="Standardnpsmoodstavce"/>
    <w:uiPriority w:val="99"/>
    <w:unhideWhenUsed/>
    <w:rsid w:val="00AB1D14"/>
    <w:rPr>
      <w:vertAlign w:val="superscript"/>
    </w:rPr>
  </w:style>
  <w:style w:type="paragraph" w:customStyle="1" w:styleId="TextKP">
    <w:name w:val="Text KP"/>
    <w:basedOn w:val="Normln"/>
    <w:link w:val="TextKPChar"/>
    <w:qFormat/>
    <w:rsid w:val="003F5107"/>
    <w:pPr>
      <w:spacing w:before="120"/>
      <w:jc w:val="both"/>
    </w:pPr>
    <w:rPr>
      <w:rFonts w:eastAsia="Times New Roman" w:cstheme="minorHAnsi"/>
    </w:rPr>
  </w:style>
  <w:style w:type="character" w:customStyle="1" w:styleId="TextKPChar">
    <w:name w:val="Text KP Char"/>
    <w:basedOn w:val="Standardnpsmoodstavce"/>
    <w:link w:val="TextKP"/>
    <w:rsid w:val="003F5107"/>
    <w:rPr>
      <w:rFonts w:asciiTheme="minorHAnsi" w:eastAsia="Times New Roman" w:hAnsiTheme="minorHAnsi" w:cstheme="minorHAnsi"/>
    </w:rPr>
  </w:style>
  <w:style w:type="paragraph" w:customStyle="1" w:styleId="Zdrojapozn">
    <w:name w:val="Zdroj a pozn."/>
    <w:basedOn w:val="Normln"/>
    <w:next w:val="Text"/>
    <w:link w:val="ZdrojapoznChar"/>
    <w:qFormat/>
    <w:rsid w:val="00E80D7E"/>
    <w:pPr>
      <w:jc w:val="both"/>
    </w:pPr>
    <w:rPr>
      <w:rFonts w:ascii="Calibri" w:eastAsia="Times New Roman" w:hAnsi="Calibri" w:cs="Times New Roman"/>
      <w:sz w:val="20"/>
      <w:lang w:eastAsia="cs-CZ"/>
    </w:rPr>
  </w:style>
  <w:style w:type="character" w:customStyle="1" w:styleId="ZdrojapoznChar">
    <w:name w:val="Zdroj a pozn. Char"/>
    <w:basedOn w:val="Standardnpsmoodstavce"/>
    <w:link w:val="Zdrojapozn"/>
    <w:rsid w:val="00E80D7E"/>
    <w:rPr>
      <w:rFonts w:eastAsia="Times New Roman" w:cs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487340"/>
    <w:rPr>
      <w:color w:val="0000FF"/>
      <w:u w:val="single"/>
    </w:rPr>
  </w:style>
  <w:style w:type="paragraph" w:customStyle="1" w:styleId="Zdrojapoznmka">
    <w:name w:val="Zdroj a poznámka"/>
    <w:basedOn w:val="Bezmezer"/>
    <w:link w:val="ZdrojapoznmkaChar"/>
    <w:rsid w:val="00D162AA"/>
    <w:rPr>
      <w:rFonts w:asciiTheme="minorHAnsi" w:eastAsia="Times New Roman" w:hAnsiTheme="minorHAnsi" w:cs="Times New Roman"/>
      <w:i/>
      <w:sz w:val="20"/>
      <w:szCs w:val="20"/>
    </w:rPr>
  </w:style>
  <w:style w:type="character" w:customStyle="1" w:styleId="ZdrojapoznmkaChar">
    <w:name w:val="Zdroj a poznámka Char"/>
    <w:basedOn w:val="Standardnpsmoodstavce"/>
    <w:link w:val="Zdrojapoznmka"/>
    <w:rsid w:val="00D162AA"/>
    <w:rPr>
      <w:rFonts w:asciiTheme="minorHAnsi" w:eastAsia="Times New Roman" w:hAnsiTheme="minorHAnsi" w:cs="Times New Roman"/>
      <w:i/>
      <w:sz w:val="20"/>
      <w:szCs w:val="20"/>
    </w:rPr>
  </w:style>
  <w:style w:type="character" w:customStyle="1" w:styleId="OdstavecseseznamemChar">
    <w:name w:val="Odstavec se seznamem Char"/>
    <w:aliases w:val="Nad Char,Nadpis pro KZ Char,Odstavec cíl se seznamem Char,Odstavec se seznamem1 Char,Odstavec se seznamem2 Char,Odstavec_muj Char,můj Nadpis 2 Char,odrážky Char"/>
    <w:link w:val="Odstavecseseznamem"/>
    <w:uiPriority w:val="34"/>
    <w:locked/>
    <w:rsid w:val="00D162AA"/>
    <w:rPr>
      <w:rFonts w:asciiTheme="minorHAnsi" w:hAnsiTheme="minorHAnsi"/>
    </w:rPr>
  </w:style>
  <w:style w:type="paragraph" w:styleId="Normlnweb">
    <w:name w:val="Normal (Web)"/>
    <w:basedOn w:val="Normln"/>
    <w:uiPriority w:val="99"/>
    <w:rsid w:val="00EC14DC"/>
    <w:rPr>
      <w:rFonts w:eastAsia="Times New Roman" w:cs="Times New Roman"/>
    </w:rPr>
  </w:style>
  <w:style w:type="character" w:styleId="slostrnky">
    <w:name w:val="page number"/>
    <w:basedOn w:val="Standardnpsmoodstavce"/>
    <w:semiHidden/>
    <w:rsid w:val="00EC14DC"/>
  </w:style>
  <w:style w:type="character" w:styleId="Sledovanodkaz">
    <w:name w:val="FollowedHyperlink"/>
    <w:basedOn w:val="Standardnpsmoodstavce"/>
    <w:semiHidden/>
    <w:rsid w:val="00EC14DC"/>
    <w:rPr>
      <w:color w:val="800080"/>
      <w:u w:val="single"/>
    </w:rPr>
  </w:style>
  <w:style w:type="paragraph" w:styleId="Zkladntext">
    <w:name w:val="Body Text"/>
    <w:basedOn w:val="Normln"/>
    <w:link w:val="ZkladntextChar"/>
    <w:semiHidden/>
    <w:rsid w:val="00EC14DC"/>
    <w:pPr>
      <w:jc w:val="both"/>
    </w:pPr>
    <w:rPr>
      <w:rFonts w:ascii="Arial" w:eastAsia="Times New Roman" w:hAnsi="Arial" w:cs="Arial"/>
      <w:i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EC14DC"/>
    <w:rPr>
      <w:rFonts w:ascii="Arial" w:eastAsia="Times New Roman" w:hAnsi="Arial" w:cs="Arial"/>
      <w:i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14DC"/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4DC"/>
    <w:rPr>
      <w:rFonts w:ascii="Tahoma" w:eastAsia="Times New Roman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EC14DC"/>
    <w:pPr>
      <w:tabs>
        <w:tab w:val="left" w:pos="480"/>
        <w:tab w:val="right" w:leader="dot" w:pos="9060"/>
      </w:tabs>
      <w:spacing w:before="60" w:after="60"/>
    </w:pPr>
    <w:rPr>
      <w:rFonts w:eastAsia="Times New Roman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C14DC"/>
    <w:pPr>
      <w:ind w:left="240"/>
    </w:pPr>
    <w:rPr>
      <w:rFonts w:eastAsia="Times New Roman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EC14DC"/>
    <w:pPr>
      <w:ind w:left="480"/>
    </w:pPr>
    <w:rPr>
      <w:rFonts w:eastAsia="Times New Roman"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EC14DC"/>
    <w:pPr>
      <w:ind w:left="720"/>
    </w:pPr>
    <w:rPr>
      <w:rFonts w:eastAsia="Times New Roman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EC14DC"/>
    <w:pPr>
      <w:ind w:left="960"/>
    </w:pPr>
    <w:rPr>
      <w:rFonts w:eastAsia="Times New Roman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EC14DC"/>
    <w:pPr>
      <w:ind w:left="1200"/>
    </w:pPr>
    <w:rPr>
      <w:rFonts w:eastAsia="Times New Roman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EC14DC"/>
    <w:pPr>
      <w:ind w:left="1440"/>
    </w:pPr>
    <w:rPr>
      <w:rFonts w:eastAsia="Times New Roman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EC14DC"/>
    <w:pPr>
      <w:ind w:left="1680"/>
    </w:pPr>
    <w:rPr>
      <w:rFonts w:eastAsia="Times New Roman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EC14DC"/>
    <w:pPr>
      <w:ind w:left="1920"/>
    </w:pPr>
    <w:rPr>
      <w:rFonts w:eastAsia="Times New Roman" w:cstheme="minorHAnsi"/>
      <w:sz w:val="18"/>
      <w:szCs w:val="18"/>
    </w:rPr>
  </w:style>
  <w:style w:type="table" w:styleId="Mkatabulky">
    <w:name w:val="Table Grid"/>
    <w:basedOn w:val="Normlntabulka"/>
    <w:uiPriority w:val="39"/>
    <w:rsid w:val="00EC14DC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basedOn w:val="Standardnpsmoodstavce"/>
    <w:link w:val="Bezmezer"/>
    <w:uiPriority w:val="1"/>
    <w:rsid w:val="00EC14DC"/>
  </w:style>
  <w:style w:type="paragraph" w:customStyle="1" w:styleId="Kritria">
    <w:name w:val="Kritéria"/>
    <w:basedOn w:val="TextKP"/>
    <w:link w:val="KritriaChar"/>
    <w:qFormat/>
    <w:rsid w:val="00EC14DC"/>
    <w:pPr>
      <w:spacing w:before="0"/>
    </w:pPr>
    <w:rPr>
      <w:i/>
    </w:rPr>
  </w:style>
  <w:style w:type="character" w:customStyle="1" w:styleId="KritriaChar">
    <w:name w:val="Kritéria Char"/>
    <w:basedOn w:val="TextKPChar"/>
    <w:link w:val="Kritria"/>
    <w:rsid w:val="00EC14DC"/>
    <w:rPr>
      <w:rFonts w:asciiTheme="minorHAnsi" w:eastAsia="Times New Roman" w:hAnsiTheme="minorHAnsi" w:cstheme="minorHAnsi"/>
      <w:i/>
    </w:rPr>
  </w:style>
  <w:style w:type="table" w:customStyle="1" w:styleId="Mkatabulky1">
    <w:name w:val="Mřížka tabulky1"/>
    <w:basedOn w:val="Normlntabulka"/>
    <w:next w:val="Mkatabulky"/>
    <w:uiPriority w:val="39"/>
    <w:rsid w:val="00EC14DC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EC14DC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kazy">
    <w:name w:val="_rozkazy"/>
    <w:basedOn w:val="Normln"/>
    <w:link w:val="rozkazyChar"/>
    <w:autoRedefine/>
    <w:rsid w:val="00EC14DC"/>
    <w:pPr>
      <w:keepNext/>
    </w:pPr>
    <w:rPr>
      <w:rFonts w:eastAsia="Times New Roman" w:cstheme="minorHAnsi"/>
      <w:i/>
      <w:snapToGrid w:val="0"/>
      <w:sz w:val="22"/>
      <w:szCs w:val="22"/>
      <w:lang w:eastAsia="cs-CZ"/>
    </w:rPr>
  </w:style>
  <w:style w:type="character" w:customStyle="1" w:styleId="rozkazyChar">
    <w:name w:val="_rozkazy Char"/>
    <w:basedOn w:val="Standardnpsmoodstavce"/>
    <w:link w:val="rozkazy"/>
    <w:rsid w:val="00EC14DC"/>
    <w:rPr>
      <w:rFonts w:asciiTheme="minorHAnsi" w:eastAsia="Times New Roman" w:hAnsiTheme="minorHAnsi" w:cstheme="minorHAnsi"/>
      <w:i/>
      <w:snapToGrid w:val="0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C14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C14DC"/>
    <w:rPr>
      <w:rFonts w:eastAsia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C14DC"/>
    <w:rPr>
      <w:rFonts w:asciiTheme="minorHAnsi" w:eastAsia="Times New Roman" w:hAnsiTheme="minorHAns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14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14DC"/>
    <w:rPr>
      <w:rFonts w:asciiTheme="minorHAnsi" w:eastAsia="Times New Roman" w:hAnsiTheme="minorHAnsi" w:cs="Times New Roman"/>
      <w:b/>
      <w:bCs/>
      <w:sz w:val="20"/>
      <w:szCs w:val="20"/>
    </w:rPr>
  </w:style>
  <w:style w:type="character" w:customStyle="1" w:styleId="Role">
    <w:name w:val="Role"/>
    <w:basedOn w:val="Standardnpsmoodstavce"/>
    <w:rsid w:val="00EC14DC"/>
    <w:rPr>
      <w:rFonts w:ascii="Times New Roman" w:hAnsi="Times New Roman"/>
      <w:i/>
      <w:smallCaps/>
    </w:rPr>
  </w:style>
  <w:style w:type="paragraph" w:customStyle="1" w:styleId="Default">
    <w:name w:val="Default"/>
    <w:rsid w:val="00EC14DC"/>
    <w:pPr>
      <w:autoSpaceDE w:val="0"/>
      <w:autoSpaceDN w:val="0"/>
      <w:adjustRightInd w:val="0"/>
    </w:pPr>
    <w:rPr>
      <w:rFonts w:eastAsia="Times New Roman" w:cs="Calibri"/>
      <w:color w:val="000000"/>
      <w:lang w:eastAsia="cs-CZ"/>
    </w:rPr>
  </w:style>
  <w:style w:type="character" w:customStyle="1" w:styleId="apple-converted-space">
    <w:name w:val="apple-converted-space"/>
    <w:basedOn w:val="Standardnpsmoodstavce"/>
    <w:rsid w:val="00EC14DC"/>
  </w:style>
  <w:style w:type="numbering" w:customStyle="1" w:styleId="Bezseznamu1">
    <w:name w:val="Bez seznamu1"/>
    <w:next w:val="Bezseznamu"/>
    <w:uiPriority w:val="99"/>
    <w:semiHidden/>
    <w:unhideWhenUsed/>
    <w:rsid w:val="00EC14DC"/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4DC"/>
    <w:rPr>
      <w:rFonts w:eastAsia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4DC"/>
    <w:rPr>
      <w:rFonts w:asciiTheme="minorHAnsi" w:eastAsia="Times New Roman" w:hAnsiTheme="minorHAns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C14DC"/>
    <w:rPr>
      <w:vertAlign w:val="superscript"/>
    </w:rPr>
  </w:style>
  <w:style w:type="paragraph" w:styleId="Seznamobrzk">
    <w:name w:val="table of figures"/>
    <w:basedOn w:val="Normln"/>
    <w:next w:val="Normln"/>
    <w:uiPriority w:val="99"/>
    <w:unhideWhenUsed/>
    <w:rsid w:val="00EC14DC"/>
    <w:pPr>
      <w:ind w:left="480" w:hanging="480"/>
    </w:pPr>
    <w:rPr>
      <w:rFonts w:eastAsia="Times New Roman" w:cs="Times New Roman"/>
      <w:b/>
      <w:bCs/>
      <w:sz w:val="20"/>
      <w:szCs w:val="20"/>
    </w:rPr>
  </w:style>
  <w:style w:type="paragraph" w:customStyle="1" w:styleId="statementtext">
    <w:name w:val="statement_text"/>
    <w:basedOn w:val="Normln"/>
    <w:rsid w:val="00EC14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CM1">
    <w:name w:val="CM1"/>
    <w:basedOn w:val="Default"/>
    <w:next w:val="Default"/>
    <w:uiPriority w:val="99"/>
    <w:rsid w:val="00EC14DC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EC14DC"/>
    <w:rPr>
      <w:rFonts w:ascii="EUAlbertina" w:eastAsiaTheme="minorHAnsi" w:hAnsi="EUAlbertina" w:cstheme="minorBidi"/>
      <w:color w:val="auto"/>
      <w:lang w:eastAsia="en-US"/>
    </w:rPr>
  </w:style>
  <w:style w:type="paragraph" w:customStyle="1" w:styleId="OM-normln">
    <w:name w:val="OM - normální"/>
    <w:basedOn w:val="Normln"/>
    <w:uiPriority w:val="99"/>
    <w:rsid w:val="00EC14DC"/>
    <w:pPr>
      <w:spacing w:after="1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M4">
    <w:name w:val="CM4"/>
    <w:basedOn w:val="Normln"/>
    <w:next w:val="Normln"/>
    <w:uiPriority w:val="99"/>
    <w:rsid w:val="00EC14DC"/>
    <w:pPr>
      <w:autoSpaceDE w:val="0"/>
      <w:autoSpaceDN w:val="0"/>
      <w:adjustRightInd w:val="0"/>
    </w:pPr>
    <w:rPr>
      <w:rFonts w:ascii="EUAlbertina" w:hAnsi="EUAlbertina"/>
    </w:rPr>
  </w:style>
  <w:style w:type="character" w:styleId="PsacstrojHTML">
    <w:name w:val="HTML Typewriter"/>
    <w:basedOn w:val="Standardnpsmoodstavce"/>
    <w:uiPriority w:val="99"/>
    <w:semiHidden/>
    <w:unhideWhenUsed/>
    <w:rsid w:val="00EC14DC"/>
    <w:rPr>
      <w:rFonts w:ascii="Courier New" w:eastAsia="Times New Roman" w:hAnsi="Courier New" w:cs="Courier New"/>
      <w:sz w:val="20"/>
      <w:szCs w:val="20"/>
    </w:rPr>
  </w:style>
  <w:style w:type="numbering" w:customStyle="1" w:styleId="Bezseznamu2">
    <w:name w:val="Bez seznamu2"/>
    <w:next w:val="Bezseznamu"/>
    <w:uiPriority w:val="99"/>
    <w:semiHidden/>
    <w:unhideWhenUsed/>
    <w:rsid w:val="00EC14DC"/>
  </w:style>
  <w:style w:type="table" w:customStyle="1" w:styleId="Mkatabulky3">
    <w:name w:val="Mřížka tabulky3"/>
    <w:basedOn w:val="Normlntabulka"/>
    <w:next w:val="Mkatabulky"/>
    <w:uiPriority w:val="39"/>
    <w:rsid w:val="00EC14DC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Default"/>
    <w:next w:val="Default"/>
    <w:uiPriority w:val="99"/>
    <w:rsid w:val="00397C76"/>
    <w:pPr>
      <w:spacing w:line="221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table" w:customStyle="1" w:styleId="Mkatabulky61">
    <w:name w:val="Mřížka tabulky61"/>
    <w:basedOn w:val="Normlntabulka"/>
    <w:next w:val="Mkatabulky"/>
    <w:rsid w:val="00D76178"/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552AD"/>
    <w:rPr>
      <w:rFonts w:asciiTheme="minorHAnsi" w:hAnsiTheme="minorHAnsi"/>
    </w:rPr>
  </w:style>
  <w:style w:type="character" w:customStyle="1" w:styleId="A1">
    <w:name w:val="A1"/>
    <w:uiPriority w:val="99"/>
    <w:rsid w:val="00AE1AE4"/>
    <w:rPr>
      <w:color w:val="000000"/>
      <w:sz w:val="28"/>
      <w:szCs w:val="28"/>
    </w:rPr>
  </w:style>
  <w:style w:type="character" w:customStyle="1" w:styleId="A5">
    <w:name w:val="A5"/>
    <w:uiPriority w:val="99"/>
    <w:rsid w:val="00AE1AE4"/>
    <w:rPr>
      <w:b/>
      <w:bCs/>
      <w:color w:val="000000"/>
      <w:sz w:val="40"/>
      <w:szCs w:val="40"/>
    </w:rPr>
  </w:style>
  <w:style w:type="character" w:customStyle="1" w:styleId="A4">
    <w:name w:val="A4"/>
    <w:uiPriority w:val="99"/>
    <w:rsid w:val="00C50EC2"/>
    <w:rPr>
      <w:color w:val="000000"/>
      <w:sz w:val="60"/>
      <w:szCs w:val="60"/>
    </w:rPr>
  </w:style>
  <w:style w:type="character" w:customStyle="1" w:styleId="Zkladntext0">
    <w:name w:val="Základní text_"/>
    <w:basedOn w:val="Standardnpsmoodstavce"/>
    <w:link w:val="Zkladntext1"/>
    <w:rsid w:val="008F501C"/>
    <w:rPr>
      <w:rFonts w:eastAsia="Calibri" w:cs="Calibri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8F501C"/>
    <w:pPr>
      <w:widowControl w:val="0"/>
      <w:shd w:val="clear" w:color="auto" w:fill="FFFFFF"/>
      <w:spacing w:after="120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330745404954139"/>
          <c:y val="2.888015717092338E-2"/>
          <c:w val="0.34694257527608841"/>
          <c:h val="0.76391764254526184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668FB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9C-459F-9E55-09FB004B1B1D}"/>
              </c:ext>
            </c:extLst>
          </c:dPt>
          <c:dPt>
            <c:idx val="1"/>
            <c:bubble3D val="0"/>
            <c:spPr>
              <a:solidFill>
                <a:srgbClr val="336AA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9C-459F-9E55-09FB004B1B1D}"/>
              </c:ext>
            </c:extLst>
          </c:dPt>
          <c:dPt>
            <c:idx val="2"/>
            <c:bubble3D val="0"/>
            <c:spPr>
              <a:solidFill>
                <a:srgbClr val="CFD1D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69C-459F-9E55-09FB004B1B1D}"/>
              </c:ext>
            </c:extLst>
          </c:dPt>
          <c:dPt>
            <c:idx val="3"/>
            <c:bubble3D val="0"/>
            <c:spPr>
              <a:solidFill>
                <a:srgbClr val="CA555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69C-459F-9E55-09FB004B1B1D}"/>
              </c:ext>
            </c:extLst>
          </c:dPt>
          <c:dLbls>
            <c:dLbl>
              <c:idx val="0"/>
              <c:layout>
                <c:manualLayout>
                  <c:x val="0.11631080837117574"/>
                  <c:y val="-6.5439568840302734E-2"/>
                </c:manualLayout>
              </c:layout>
              <c:tx>
                <c:rich>
                  <a:bodyPr/>
                  <a:lstStyle/>
                  <a:p>
                    <a:fld id="{440203BE-68C1-4025-87CD-E23D8E9490A5}" type="VALUE">
                      <a:rPr lang="en-US" sz="120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69C-459F-9E55-09FB004B1B1D}"/>
                </c:ext>
              </c:extLst>
            </c:dLbl>
            <c:dLbl>
              <c:idx val="1"/>
              <c:layout>
                <c:manualLayout>
                  <c:x val="0.14454843739850459"/>
                  <c:y val="3.9560136472308188E-3"/>
                </c:manualLayout>
              </c:layout>
              <c:tx>
                <c:rich>
                  <a:bodyPr/>
                  <a:lstStyle/>
                  <a:p>
                    <a:fld id="{52ADD634-5AC9-4731-9994-FB221F255681}" type="VALUE">
                      <a:rPr lang="en-US" sz="120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752336513491369"/>
                      <c:h val="9.7893509670514481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69C-459F-9E55-09FB004B1B1D}"/>
                </c:ext>
              </c:extLst>
            </c:dLbl>
            <c:dLbl>
              <c:idx val="2"/>
              <c:layout>
                <c:manualLayout>
                  <c:x val="0.10292741185129628"/>
                  <c:y val="0.11272265117345769"/>
                </c:manualLayout>
              </c:layout>
              <c:tx>
                <c:rich>
                  <a:bodyPr/>
                  <a:lstStyle/>
                  <a:p>
                    <a:fld id="{E34063C8-F615-4BA1-8494-B9B80B615855}" type="VALUE">
                      <a:rPr lang="en-US" sz="120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69C-459F-9E55-09FB004B1B1D}"/>
                </c:ext>
              </c:extLst>
            </c:dLbl>
            <c:dLbl>
              <c:idx val="3"/>
              <c:layout>
                <c:manualLayout>
                  <c:x val="-0.11190163729533813"/>
                  <c:y val="-1.7888540631450196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54 %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469C-459F-9E55-09FB004B1B1D}"/>
                </c:ext>
              </c:extLst>
            </c:dLbl>
            <c:numFmt formatCode="0.0_i%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'[Kopie - Závěr_graf_str_10.xlsx]List1'!$A$4:$A$7</c:f>
              <c:strCache>
                <c:ptCount val="4"/>
                <c:pt idx="0">
                  <c:v>Dokončeno</c:v>
                </c:pt>
                <c:pt idx="1">
                  <c:v>V realizaci</c:v>
                </c:pt>
                <c:pt idx="2">
                  <c:v>Předpoklad zahájení realizace do 31. 12. 2021</c:v>
                </c:pt>
                <c:pt idx="3">
                  <c:v>Nebude zahájeno do 31. 12. 2021</c:v>
                </c:pt>
              </c:strCache>
            </c:strRef>
          </c:cat>
          <c:val>
            <c:numRef>
              <c:f>'[Kopie - Závěr_graf_str_10.xlsx]List1'!$B$4:$B$7</c:f>
              <c:numCache>
                <c:formatCode>0.0%</c:formatCode>
                <c:ptCount val="4"/>
                <c:pt idx="0">
                  <c:v>0.127</c:v>
                </c:pt>
                <c:pt idx="1">
                  <c:v>0.127</c:v>
                </c:pt>
                <c:pt idx="2">
                  <c:v>0.20599999999999999</c:v>
                </c:pt>
                <c:pt idx="3" formatCode="0%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69C-459F-9E55-09FB004B1B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6"/>
      </c:doughnut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</c:legendEntry>
      <c:layout>
        <c:manualLayout>
          <c:xMode val="edge"/>
          <c:yMode val="edge"/>
          <c:x val="0"/>
          <c:y val="0.63731595443773414"/>
          <c:w val="0.49934834015084267"/>
          <c:h val="0.3606036136434221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F72D0-EDD9-4478-9383-852CCF63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483DEE71.dotm</Template>
  <TotalTime>6</TotalTime>
  <Pages>27</Pages>
  <Words>10247</Words>
  <Characters>60463</Characters>
  <Application>Microsoft Office Word</Application>
  <DocSecurity>0</DocSecurity>
  <Lines>503</Lines>
  <Paragraphs>141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70569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19/04 - Podpora protipovodňových opatření</dc:title>
  <dc:subject/>
  <dc:creator>Nejvyšší kontrolní úřad</dc:creator>
  <cp:keywords/>
  <dc:description/>
  <cp:lastModifiedBy>KOKRDA Daniel</cp:lastModifiedBy>
  <cp:revision>5</cp:revision>
  <cp:lastPrinted>2020-04-03T07:40:00Z</cp:lastPrinted>
  <dcterms:created xsi:type="dcterms:W3CDTF">2020-02-24T06:50:00Z</dcterms:created>
  <dcterms:modified xsi:type="dcterms:W3CDTF">2020-04-03T07:40:00Z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18/04-NKU30/1137/18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840/70/18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20.11.2018</vt:lpwstr>
  </property>
  <property fmtid="{D5CDD505-2E9C-101B-9397-08002B2CF9AE}" pid="11" name="DisplayName_SlozkaStupenUtajeniCollection_Slozka_Pisemnost">
    <vt:lpwstr/>
  </property>
  <property fmtid="{D5CDD505-2E9C-101B-9397-08002B2CF9AE}" pid="12" name="DisplayName_SpisovyUzel_PoziceZodpo_Pisemnost">
    <vt:lpwstr>Členové Úřadu</vt:lpwstr>
  </property>
  <property fmtid="{D5CDD505-2E9C-101B-9397-08002B2CF9AE}" pid="13" name="DisplayName_UserPoriz_Pisemnost">
    <vt:lpwstr>Bc. Jana Pokorná</vt:lpwstr>
  </property>
  <property fmtid="{D5CDD505-2E9C-101B-9397-08002B2CF9AE}" pid="14" name="DuvodZmeny_SlozkaStupenUtajeniCollection_Slozka_Pisemnost">
    <vt:lpwstr/>
  </property>
  <property fmtid="{D5CDD505-2E9C-101B-9397-08002B2CF9AE}" pid="15" name="EC_Pisemnost">
    <vt:lpwstr>18-14516/NKU</vt:lpwstr>
  </property>
  <property fmtid="{D5CDD505-2E9C-101B-9397-08002B2CF9AE}" pid="16" name="Key_BarCode_Pisemnost">
    <vt:lpwstr>*B000325073*</vt:lpwstr>
  </property>
  <property fmtid="{D5CDD505-2E9C-101B-9397-08002B2CF9AE}" pid="17" name="KRukam">
    <vt:lpwstr>{KRukam}</vt:lpwstr>
  </property>
  <property fmtid="{D5CDD505-2E9C-101B-9397-08002B2CF9AE}" pid="18" name="NameAddress_Contact_SpisovyUzel_PoziceZodpo_Pisemnost">
    <vt:lpwstr>ADRESÁT SU...</vt:lpwstr>
  </property>
  <property fmtid="{D5CDD505-2E9C-101B-9397-08002B2CF9AE}" pid="19" name="Odkaz">
    <vt:lpwstr>ODKAZ</vt:lpwstr>
  </property>
  <property fmtid="{D5CDD505-2E9C-101B-9397-08002B2CF9AE}" pid="20" name="Password_PisemnostTypZpristupneniInformaciZOSZ_Pisemnost">
    <vt:lpwstr>ZOSZ_Password</vt:lpwstr>
  </property>
  <property fmtid="{D5CDD505-2E9C-101B-9397-08002B2CF9AE}" pid="21" name="PocetListuDokumentu_Pisemnost">
    <vt:lpwstr>1</vt:lpwstr>
  </property>
  <property fmtid="{D5CDD505-2E9C-101B-9397-08002B2CF9AE}" pid="22" name="PocetListu_Pisemnost">
    <vt:lpwstr>1</vt:lpwstr>
  </property>
  <property fmtid="{D5CDD505-2E9C-101B-9397-08002B2CF9AE}" pid="23" name="PocetPriloh_Pisemnost">
    <vt:lpwstr>POČET PŘÍLOH</vt:lpwstr>
  </property>
  <property fmtid="{D5CDD505-2E9C-101B-9397-08002B2CF9AE}" pid="24" name="Podpis">
    <vt:lpwstr/>
  </property>
  <property fmtid="{D5CDD505-2E9C-101B-9397-08002B2CF9AE}" pid="25" name="PostalAddress_Contact_SpisovyUzel_PoziceZodpo_Pisemnost">
    <vt:lpwstr>ADRESA SU...</vt:lpwstr>
  </property>
  <property fmtid="{D5CDD505-2E9C-101B-9397-08002B2CF9AE}" pid="26" name="RC">
    <vt:lpwstr/>
  </property>
  <property fmtid="{D5CDD505-2E9C-101B-9397-08002B2CF9AE}" pid="27" name="SkartacniZnakLhuta_PisemnostZnak">
    <vt:lpwstr>?/?</vt:lpwstr>
  </property>
  <property fmtid="{D5CDD505-2E9C-101B-9397-08002B2CF9AE}" pid="28" name="SmlouvaCislo">
    <vt:lpwstr>ČÍSLO SMLOUVY</vt:lpwstr>
  </property>
  <property fmtid="{D5CDD505-2E9C-101B-9397-08002B2CF9AE}" pid="29" name="SZ_Spis_Pisemnost">
    <vt:lpwstr>18/04</vt:lpwstr>
  </property>
  <property fmtid="{D5CDD505-2E9C-101B-9397-08002B2CF9AE}" pid="30" name="TEST">
    <vt:lpwstr>testovací pole</vt:lpwstr>
  </property>
  <property fmtid="{D5CDD505-2E9C-101B-9397-08002B2CF9AE}" pid="31" name="TypPrilohy_Pisemnost">
    <vt:lpwstr>TYP PŘÍLOHY</vt:lpwstr>
  </property>
  <property fmtid="{D5CDD505-2E9C-101B-9397-08002B2CF9AE}" pid="32" name="UserName_PisemnostTypZpristupneniInformaciZOSZ_Pisemnost">
    <vt:lpwstr>ZOSZ_UserName</vt:lpwstr>
  </property>
  <property fmtid="{D5CDD505-2E9C-101B-9397-08002B2CF9AE}" pid="33" name="Vec_Pisemnost">
    <vt:lpwstr>Návrh kontrolního závěru 18/04 – do připomínek</vt:lpwstr>
  </property>
  <property fmtid="{D5CDD505-2E9C-101B-9397-08002B2CF9AE}" pid="34" name="Zkratka_SpisovyUzel_PoziceZodpo_Pisemnost">
    <vt:lpwstr>30</vt:lpwstr>
  </property>
</Properties>
</file>