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D0DCA" w14:textId="77777777" w:rsidR="00CF1BAE" w:rsidRDefault="00CF2910" w:rsidP="00517A9E">
      <w:pPr>
        <w:spacing w:after="0"/>
        <w:jc w:val="center"/>
        <w:rPr>
          <w:rFonts w:cstheme="minorHAnsi"/>
          <w:b/>
          <w:sz w:val="28"/>
          <w:szCs w:val="28"/>
        </w:rPr>
      </w:pPr>
      <w:r w:rsidRPr="00452B92">
        <w:rPr>
          <w:rFonts w:cstheme="minorHAnsi"/>
          <w:b/>
          <w:noProof/>
          <w:szCs w:val="24"/>
          <w:lang w:eastAsia="cs-CZ"/>
        </w:rPr>
        <w:drawing>
          <wp:anchor distT="0" distB="0" distL="114300" distR="114300" simplePos="0" relativeHeight="251658240" behindDoc="0" locked="0" layoutInCell="1" allowOverlap="1" wp14:anchorId="538DCAEC" wp14:editId="01AEAD35">
            <wp:simplePos x="0" y="0"/>
            <wp:positionH relativeFrom="margin">
              <wp:align>center</wp:align>
            </wp:positionH>
            <wp:positionV relativeFrom="paragraph">
              <wp:posOffset>0</wp:posOffset>
            </wp:positionV>
            <wp:extent cx="791210" cy="559435"/>
            <wp:effectExtent l="0" t="0" r="8890" b="0"/>
            <wp:wrapTopAndBottom/>
            <wp:docPr id="14"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29151" name="obrázek 2" descr="NKU_LOGO 1"/>
                    <pic:cNvPicPr>
                      <a:picLocks noChangeAspect="1" noChangeArrowheads="1"/>
                    </pic:cNvPicPr>
                  </pic:nvPicPr>
                  <pic:blipFill>
                    <a:blip r:embed="rId12" cstate="print"/>
                    <a:stretch>
                      <a:fillRect/>
                    </a:stretch>
                  </pic:blipFill>
                  <pic:spPr bwMode="auto">
                    <a:xfrm>
                      <a:off x="0" y="0"/>
                      <a:ext cx="791210" cy="559435"/>
                    </a:xfrm>
                    <a:prstGeom prst="rect">
                      <a:avLst/>
                    </a:prstGeom>
                    <a:noFill/>
                    <a:ln w="9525">
                      <a:noFill/>
                      <a:miter lim="800000"/>
                      <a:headEnd/>
                      <a:tailEnd/>
                    </a:ln>
                  </pic:spPr>
                </pic:pic>
              </a:graphicData>
            </a:graphic>
          </wp:anchor>
        </w:drawing>
      </w:r>
    </w:p>
    <w:p w14:paraId="5F16B335" w14:textId="77777777" w:rsidR="00986C72" w:rsidRDefault="00986C72" w:rsidP="00517A9E">
      <w:pPr>
        <w:spacing w:after="0"/>
        <w:jc w:val="center"/>
        <w:rPr>
          <w:rFonts w:cstheme="minorHAnsi"/>
          <w:b/>
          <w:sz w:val="28"/>
          <w:szCs w:val="28"/>
        </w:rPr>
      </w:pPr>
    </w:p>
    <w:p w14:paraId="04E5D445" w14:textId="77777777" w:rsidR="00341A9A" w:rsidRDefault="00341A9A" w:rsidP="00517A9E">
      <w:pPr>
        <w:spacing w:after="0"/>
        <w:jc w:val="center"/>
        <w:rPr>
          <w:rFonts w:cstheme="minorHAnsi"/>
          <w:b/>
          <w:sz w:val="28"/>
          <w:szCs w:val="28"/>
        </w:rPr>
      </w:pPr>
      <w:bookmarkStart w:id="0" w:name="_GoBack"/>
      <w:r w:rsidRPr="00517A9E">
        <w:rPr>
          <w:rFonts w:cstheme="minorHAnsi"/>
          <w:b/>
          <w:sz w:val="28"/>
          <w:szCs w:val="28"/>
        </w:rPr>
        <w:t>Kontrolní závěr z kontrolní akce</w:t>
      </w:r>
    </w:p>
    <w:p w14:paraId="000D10A5" w14:textId="77777777" w:rsidR="008B0207" w:rsidRPr="00517A9E" w:rsidRDefault="008B0207" w:rsidP="00517A9E">
      <w:pPr>
        <w:spacing w:after="0"/>
        <w:jc w:val="center"/>
        <w:rPr>
          <w:rFonts w:cstheme="minorHAnsi"/>
          <w:b/>
          <w:sz w:val="28"/>
          <w:szCs w:val="28"/>
        </w:rPr>
      </w:pPr>
    </w:p>
    <w:p w14:paraId="1044388D" w14:textId="77777777" w:rsidR="00341A9A" w:rsidRDefault="00097E16" w:rsidP="00517A9E">
      <w:pPr>
        <w:spacing w:after="0"/>
        <w:ind w:right="68"/>
        <w:jc w:val="center"/>
        <w:rPr>
          <w:rFonts w:cstheme="minorHAnsi"/>
          <w:b/>
          <w:bCs/>
          <w:sz w:val="28"/>
          <w:szCs w:val="28"/>
        </w:rPr>
      </w:pPr>
      <w:r>
        <w:rPr>
          <w:rFonts w:cstheme="minorHAnsi"/>
          <w:b/>
          <w:bCs/>
          <w:sz w:val="28"/>
          <w:szCs w:val="28"/>
        </w:rPr>
        <w:t>20</w:t>
      </w:r>
      <w:r w:rsidR="00413356" w:rsidRPr="00517A9E">
        <w:rPr>
          <w:rFonts w:cstheme="minorHAnsi"/>
          <w:b/>
          <w:bCs/>
          <w:sz w:val="28"/>
          <w:szCs w:val="28"/>
        </w:rPr>
        <w:t>/</w:t>
      </w:r>
      <w:r>
        <w:rPr>
          <w:rFonts w:cstheme="minorHAnsi"/>
          <w:b/>
          <w:bCs/>
          <w:sz w:val="28"/>
          <w:szCs w:val="28"/>
        </w:rPr>
        <w:t>04</w:t>
      </w:r>
    </w:p>
    <w:p w14:paraId="243A2BF4" w14:textId="77777777" w:rsidR="008B0207" w:rsidRPr="00517A9E" w:rsidRDefault="008B0207" w:rsidP="00517A9E">
      <w:pPr>
        <w:spacing w:after="0"/>
        <w:ind w:right="68"/>
        <w:jc w:val="center"/>
        <w:rPr>
          <w:rFonts w:cstheme="minorHAnsi"/>
          <w:b/>
          <w:bCs/>
          <w:sz w:val="28"/>
          <w:szCs w:val="28"/>
        </w:rPr>
      </w:pPr>
    </w:p>
    <w:p w14:paraId="66B4EFA5" w14:textId="77777777" w:rsidR="001435DE" w:rsidRDefault="00097E16" w:rsidP="00517A9E">
      <w:pPr>
        <w:autoSpaceDE w:val="0"/>
        <w:autoSpaceDN w:val="0"/>
        <w:adjustRightInd w:val="0"/>
        <w:spacing w:after="0"/>
        <w:jc w:val="center"/>
        <w:rPr>
          <w:rFonts w:cstheme="minorHAnsi"/>
          <w:b/>
          <w:sz w:val="28"/>
          <w:szCs w:val="28"/>
        </w:rPr>
      </w:pPr>
      <w:r>
        <w:rPr>
          <w:rFonts w:cstheme="minorHAnsi"/>
          <w:b/>
          <w:sz w:val="28"/>
          <w:szCs w:val="28"/>
        </w:rPr>
        <w:t>Intervence k zajištění udržitelné jakosti vod</w:t>
      </w:r>
    </w:p>
    <w:bookmarkEnd w:id="0"/>
    <w:p w14:paraId="465A89EC" w14:textId="77777777" w:rsidR="00517A9E" w:rsidRDefault="00517A9E" w:rsidP="00517A9E">
      <w:pPr>
        <w:autoSpaceDE w:val="0"/>
        <w:autoSpaceDN w:val="0"/>
        <w:adjustRightInd w:val="0"/>
        <w:spacing w:after="0"/>
        <w:jc w:val="center"/>
        <w:rPr>
          <w:rFonts w:cstheme="minorHAnsi"/>
          <w:b/>
          <w:sz w:val="28"/>
          <w:szCs w:val="28"/>
        </w:rPr>
      </w:pPr>
    </w:p>
    <w:p w14:paraId="1A69FBAD" w14:textId="77777777" w:rsidR="00517A9E" w:rsidRPr="00517A9E" w:rsidRDefault="00517A9E" w:rsidP="00517A9E">
      <w:pPr>
        <w:autoSpaceDE w:val="0"/>
        <w:autoSpaceDN w:val="0"/>
        <w:adjustRightInd w:val="0"/>
        <w:spacing w:after="0"/>
        <w:jc w:val="center"/>
        <w:rPr>
          <w:rFonts w:cstheme="minorHAnsi"/>
          <w:b/>
          <w:sz w:val="28"/>
          <w:szCs w:val="28"/>
        </w:rPr>
      </w:pPr>
    </w:p>
    <w:p w14:paraId="6EE8E6A0" w14:textId="77777777" w:rsidR="00517A9E" w:rsidRPr="00517A9E" w:rsidRDefault="00341A9A" w:rsidP="00895033">
      <w:pPr>
        <w:pStyle w:val="Zkladn"/>
        <w:spacing w:before="0" w:after="480"/>
        <w:rPr>
          <w:rFonts w:asciiTheme="minorHAnsi" w:hAnsiTheme="minorHAnsi" w:cstheme="minorHAnsi"/>
        </w:rPr>
      </w:pPr>
      <w:r w:rsidRPr="00517A9E">
        <w:rPr>
          <w:rFonts w:asciiTheme="minorHAnsi" w:hAnsiTheme="minorHAnsi" w:cstheme="minorHAnsi"/>
        </w:rPr>
        <w:t>Kontrolní akce byla zařazena do plánu kontrolní činnosti Nejvyššího kontrolního úř</w:t>
      </w:r>
      <w:r w:rsidR="00097E16">
        <w:rPr>
          <w:rFonts w:asciiTheme="minorHAnsi" w:hAnsiTheme="minorHAnsi" w:cstheme="minorHAnsi"/>
        </w:rPr>
        <w:t>adu (dále také „NKÚ“) na rok 2020</w:t>
      </w:r>
      <w:r w:rsidRPr="00517A9E">
        <w:rPr>
          <w:rFonts w:asciiTheme="minorHAnsi" w:hAnsiTheme="minorHAnsi" w:cstheme="minorHAnsi"/>
        </w:rPr>
        <w:t xml:space="preserve"> pod číslem </w:t>
      </w:r>
      <w:r w:rsidR="00097E16">
        <w:rPr>
          <w:rFonts w:asciiTheme="minorHAnsi" w:hAnsiTheme="minorHAnsi" w:cstheme="minorHAnsi"/>
        </w:rPr>
        <w:t>20</w:t>
      </w:r>
      <w:r w:rsidR="00413356" w:rsidRPr="00517A9E">
        <w:rPr>
          <w:rFonts w:asciiTheme="minorHAnsi" w:hAnsiTheme="minorHAnsi" w:cstheme="minorHAnsi"/>
        </w:rPr>
        <w:t>/</w:t>
      </w:r>
      <w:r w:rsidR="00097E16">
        <w:rPr>
          <w:rFonts w:asciiTheme="minorHAnsi" w:hAnsiTheme="minorHAnsi" w:cstheme="minorHAnsi"/>
        </w:rPr>
        <w:t>04</w:t>
      </w:r>
      <w:r w:rsidR="00413356" w:rsidRPr="00517A9E">
        <w:rPr>
          <w:rFonts w:asciiTheme="minorHAnsi" w:hAnsiTheme="minorHAnsi" w:cstheme="minorHAnsi"/>
        </w:rPr>
        <w:t>. Kontrolní akci řídil a</w:t>
      </w:r>
      <w:r w:rsidR="00433465">
        <w:rPr>
          <w:rFonts w:asciiTheme="minorHAnsi" w:hAnsiTheme="minorHAnsi" w:cstheme="minorHAnsi"/>
        </w:rPr>
        <w:t xml:space="preserve"> </w:t>
      </w:r>
      <w:r w:rsidR="00413356" w:rsidRPr="00517A9E">
        <w:rPr>
          <w:rFonts w:asciiTheme="minorHAnsi" w:hAnsiTheme="minorHAnsi" w:cstheme="minorHAnsi"/>
        </w:rPr>
        <w:t>kontrolní závěr vypracoval člen</w:t>
      </w:r>
      <w:r w:rsidRPr="00517A9E">
        <w:rPr>
          <w:rFonts w:asciiTheme="minorHAnsi" w:hAnsiTheme="minorHAnsi" w:cstheme="minorHAnsi"/>
        </w:rPr>
        <w:t xml:space="preserve"> NKÚ </w:t>
      </w:r>
      <w:r w:rsidR="00097E16">
        <w:rPr>
          <w:rFonts w:asciiTheme="minorHAnsi" w:hAnsiTheme="minorHAnsi" w:cstheme="minorHAnsi"/>
        </w:rPr>
        <w:t xml:space="preserve">RNDr. Petr </w:t>
      </w:r>
      <w:proofErr w:type="spellStart"/>
      <w:r w:rsidR="00097E16">
        <w:rPr>
          <w:rFonts w:asciiTheme="minorHAnsi" w:hAnsiTheme="minorHAnsi" w:cstheme="minorHAnsi"/>
        </w:rPr>
        <w:t>Neuvirt</w:t>
      </w:r>
      <w:proofErr w:type="spellEnd"/>
      <w:r w:rsidRPr="00517A9E">
        <w:rPr>
          <w:rFonts w:asciiTheme="minorHAnsi" w:hAnsiTheme="minorHAnsi" w:cstheme="minorHAnsi"/>
        </w:rPr>
        <w:t>.</w:t>
      </w:r>
    </w:p>
    <w:p w14:paraId="77E46C9A" w14:textId="77777777" w:rsidR="00517A9E" w:rsidRPr="00517A9E" w:rsidRDefault="00341A9A" w:rsidP="00895033">
      <w:pPr>
        <w:pStyle w:val="Zkladn"/>
        <w:spacing w:before="0" w:after="240"/>
        <w:rPr>
          <w:rFonts w:asciiTheme="minorHAnsi" w:hAnsiTheme="minorHAnsi" w:cstheme="minorHAnsi"/>
        </w:rPr>
      </w:pPr>
      <w:r w:rsidRPr="00517A9E">
        <w:rPr>
          <w:rFonts w:asciiTheme="minorHAnsi" w:hAnsiTheme="minorHAnsi" w:cstheme="minorHAnsi"/>
          <w:b/>
        </w:rPr>
        <w:t>Cílem kontroly</w:t>
      </w:r>
      <w:r w:rsidRPr="00517A9E">
        <w:rPr>
          <w:rFonts w:asciiTheme="minorHAnsi" w:hAnsiTheme="minorHAnsi" w:cstheme="minorHAnsi"/>
        </w:rPr>
        <w:t xml:space="preserve"> bylo </w:t>
      </w:r>
      <w:r w:rsidR="00D44537" w:rsidRPr="00517A9E">
        <w:rPr>
          <w:rFonts w:asciiTheme="minorHAnsi" w:hAnsiTheme="minorHAnsi" w:cstheme="minorHAnsi"/>
        </w:rPr>
        <w:t>prověřit</w:t>
      </w:r>
      <w:r w:rsidR="00097E16">
        <w:rPr>
          <w:rFonts w:asciiTheme="minorHAnsi" w:hAnsiTheme="minorHAnsi" w:cstheme="minorHAnsi"/>
        </w:rPr>
        <w:t xml:space="preserve"> účelnost a efektivnost peněžních prostředků určených na intervence k zajištění udržitelné jakosti vod a eliminaci znečištění v důsledku antropogenních vlivů</w:t>
      </w:r>
      <w:r w:rsidR="00D44537" w:rsidRPr="00517A9E">
        <w:rPr>
          <w:rFonts w:asciiTheme="minorHAnsi" w:hAnsiTheme="minorHAnsi" w:cstheme="minorHAnsi"/>
        </w:rPr>
        <w:t>.</w:t>
      </w:r>
    </w:p>
    <w:p w14:paraId="1127401E" w14:textId="77777777" w:rsidR="00341A9A" w:rsidRPr="00517A9E" w:rsidRDefault="00341A9A" w:rsidP="00517A9E">
      <w:pPr>
        <w:pStyle w:val="Zkladn"/>
        <w:spacing w:before="0"/>
        <w:rPr>
          <w:rFonts w:asciiTheme="minorHAnsi" w:hAnsiTheme="minorHAnsi" w:cstheme="minorHAnsi"/>
          <w:b/>
        </w:rPr>
      </w:pPr>
      <w:r w:rsidRPr="00517A9E">
        <w:rPr>
          <w:rFonts w:asciiTheme="minorHAnsi" w:hAnsiTheme="minorHAnsi" w:cstheme="minorHAnsi"/>
          <w:b/>
        </w:rPr>
        <w:t>Kontrolované osoby:</w:t>
      </w:r>
    </w:p>
    <w:p w14:paraId="29D36F3B" w14:textId="77777777" w:rsidR="00097E16" w:rsidRDefault="00097E16" w:rsidP="00517A9E">
      <w:pPr>
        <w:spacing w:after="0"/>
        <w:rPr>
          <w:rFonts w:cstheme="minorHAnsi"/>
          <w:szCs w:val="24"/>
        </w:rPr>
      </w:pPr>
      <w:r>
        <w:rPr>
          <w:rFonts w:cstheme="minorHAnsi"/>
          <w:szCs w:val="24"/>
        </w:rPr>
        <w:t>Ministerstvo zdravotnictví (dále také „</w:t>
      </w:r>
      <w:proofErr w:type="spellStart"/>
      <w:r>
        <w:rPr>
          <w:rFonts w:cstheme="minorHAnsi"/>
          <w:szCs w:val="24"/>
        </w:rPr>
        <w:t>MZd</w:t>
      </w:r>
      <w:proofErr w:type="spellEnd"/>
      <w:r>
        <w:rPr>
          <w:rFonts w:cstheme="minorHAnsi"/>
          <w:szCs w:val="24"/>
        </w:rPr>
        <w:t>“),</w:t>
      </w:r>
    </w:p>
    <w:p w14:paraId="2F5EE3FB" w14:textId="77777777" w:rsidR="00341A9A" w:rsidRPr="00517A9E" w:rsidRDefault="000E384E" w:rsidP="00517A9E">
      <w:pPr>
        <w:spacing w:after="0"/>
        <w:rPr>
          <w:rFonts w:cstheme="minorHAnsi"/>
          <w:szCs w:val="24"/>
        </w:rPr>
      </w:pPr>
      <w:r>
        <w:rPr>
          <w:rFonts w:cstheme="minorHAnsi"/>
          <w:szCs w:val="24"/>
        </w:rPr>
        <w:t xml:space="preserve">Ministerstvo </w:t>
      </w:r>
      <w:r w:rsidR="00097E16">
        <w:rPr>
          <w:rFonts w:cstheme="minorHAnsi"/>
          <w:szCs w:val="24"/>
        </w:rPr>
        <w:t>zemědělství</w:t>
      </w:r>
      <w:r w:rsidR="00413356" w:rsidRPr="00517A9E">
        <w:rPr>
          <w:rFonts w:cstheme="minorHAnsi"/>
          <w:szCs w:val="24"/>
        </w:rPr>
        <w:t xml:space="preserve"> (dále také „</w:t>
      </w:r>
      <w:proofErr w:type="spellStart"/>
      <w:r w:rsidR="00413356" w:rsidRPr="00517A9E">
        <w:rPr>
          <w:rFonts w:cstheme="minorHAnsi"/>
          <w:szCs w:val="24"/>
        </w:rPr>
        <w:t>M</w:t>
      </w:r>
      <w:r w:rsidR="00097E16">
        <w:rPr>
          <w:rFonts w:cstheme="minorHAnsi"/>
          <w:szCs w:val="24"/>
        </w:rPr>
        <w:t>Ze</w:t>
      </w:r>
      <w:proofErr w:type="spellEnd"/>
      <w:r w:rsidR="00341A9A" w:rsidRPr="00517A9E">
        <w:rPr>
          <w:rFonts w:cstheme="minorHAnsi"/>
          <w:szCs w:val="24"/>
        </w:rPr>
        <w:t>“)</w:t>
      </w:r>
      <w:r w:rsidR="001B5959" w:rsidRPr="00517A9E">
        <w:rPr>
          <w:rFonts w:cstheme="minorHAnsi"/>
          <w:szCs w:val="24"/>
        </w:rPr>
        <w:t>,</w:t>
      </w:r>
    </w:p>
    <w:p w14:paraId="665CDAD7" w14:textId="77777777" w:rsidR="00D44537" w:rsidRDefault="00097E16" w:rsidP="00517A9E">
      <w:pPr>
        <w:spacing w:after="0"/>
        <w:rPr>
          <w:rFonts w:cstheme="minorHAnsi"/>
          <w:szCs w:val="24"/>
        </w:rPr>
      </w:pPr>
      <w:r>
        <w:rPr>
          <w:rFonts w:cstheme="minorHAnsi"/>
          <w:szCs w:val="24"/>
        </w:rPr>
        <w:t>Ministerstvo životního prostředí (dále také „MŽP“),</w:t>
      </w:r>
    </w:p>
    <w:p w14:paraId="13444EF6" w14:textId="77777777" w:rsidR="00097E16" w:rsidRPr="00517A9E" w:rsidRDefault="00097E16" w:rsidP="00517A9E">
      <w:pPr>
        <w:spacing w:after="0"/>
        <w:rPr>
          <w:rFonts w:cstheme="minorHAnsi"/>
          <w:szCs w:val="24"/>
        </w:rPr>
      </w:pPr>
      <w:r>
        <w:rPr>
          <w:rFonts w:cstheme="minorHAnsi"/>
          <w:szCs w:val="24"/>
        </w:rPr>
        <w:t>Český hydrometeorologický ústav (dále také „ČHMÚ“).</w:t>
      </w:r>
    </w:p>
    <w:p w14:paraId="3E95F993" w14:textId="77777777" w:rsidR="00097E16" w:rsidRDefault="00097E16" w:rsidP="00895033">
      <w:pPr>
        <w:spacing w:after="240"/>
        <w:rPr>
          <w:rFonts w:eastAsia="Times New Roman" w:cstheme="minorHAnsi"/>
          <w:szCs w:val="24"/>
        </w:rPr>
      </w:pPr>
    </w:p>
    <w:p w14:paraId="1A945DD0" w14:textId="77777777" w:rsidR="00895033" w:rsidRDefault="00341A9A" w:rsidP="00895033">
      <w:pPr>
        <w:spacing w:after="240"/>
        <w:rPr>
          <w:rFonts w:cstheme="minorHAnsi"/>
          <w:szCs w:val="24"/>
        </w:rPr>
      </w:pPr>
      <w:r w:rsidRPr="00517A9E">
        <w:rPr>
          <w:rFonts w:eastAsia="Times New Roman" w:cstheme="minorHAnsi"/>
          <w:szCs w:val="24"/>
        </w:rPr>
        <w:t>Kontrola byla prováděna u kontro</w:t>
      </w:r>
      <w:r w:rsidR="00A900A5" w:rsidRPr="00517A9E">
        <w:rPr>
          <w:rFonts w:eastAsia="Times New Roman" w:cstheme="minorHAnsi"/>
          <w:szCs w:val="24"/>
        </w:rPr>
        <w:t>lovaných osob v období od</w:t>
      </w:r>
      <w:r w:rsidR="00D44537" w:rsidRPr="00517A9E">
        <w:rPr>
          <w:rFonts w:eastAsia="Times New Roman" w:cstheme="minorHAnsi"/>
          <w:szCs w:val="24"/>
        </w:rPr>
        <w:t xml:space="preserve"> </w:t>
      </w:r>
      <w:r w:rsidR="00097E16">
        <w:rPr>
          <w:rFonts w:eastAsia="Times New Roman" w:cstheme="minorHAnsi"/>
          <w:szCs w:val="24"/>
        </w:rPr>
        <w:t>února</w:t>
      </w:r>
      <w:r w:rsidR="00D44537" w:rsidRPr="00517A9E">
        <w:rPr>
          <w:rFonts w:eastAsia="Times New Roman" w:cstheme="minorHAnsi"/>
          <w:szCs w:val="24"/>
        </w:rPr>
        <w:t xml:space="preserve"> 20</w:t>
      </w:r>
      <w:r w:rsidR="00097E16">
        <w:rPr>
          <w:rFonts w:eastAsia="Times New Roman" w:cstheme="minorHAnsi"/>
          <w:szCs w:val="24"/>
        </w:rPr>
        <w:t>20</w:t>
      </w:r>
      <w:r w:rsidR="00D44537" w:rsidRPr="00517A9E">
        <w:rPr>
          <w:rFonts w:eastAsia="Times New Roman" w:cstheme="minorHAnsi"/>
          <w:szCs w:val="24"/>
        </w:rPr>
        <w:t xml:space="preserve"> do </w:t>
      </w:r>
      <w:r w:rsidR="00097E16" w:rsidRPr="00FA00D7">
        <w:rPr>
          <w:rFonts w:eastAsia="Times New Roman" w:cstheme="minorHAnsi"/>
          <w:szCs w:val="24"/>
        </w:rPr>
        <w:t>února</w:t>
      </w:r>
      <w:r w:rsidR="00D44537" w:rsidRPr="00FA00D7">
        <w:rPr>
          <w:rFonts w:eastAsia="Times New Roman" w:cstheme="minorHAnsi"/>
          <w:szCs w:val="24"/>
        </w:rPr>
        <w:t xml:space="preserve"> 20</w:t>
      </w:r>
      <w:r w:rsidR="00097E16" w:rsidRPr="00FA00D7">
        <w:rPr>
          <w:rFonts w:eastAsia="Times New Roman" w:cstheme="minorHAnsi"/>
          <w:szCs w:val="24"/>
        </w:rPr>
        <w:t>21</w:t>
      </w:r>
      <w:r w:rsidRPr="00FA00D7">
        <w:rPr>
          <w:rFonts w:eastAsia="Times New Roman" w:cstheme="minorHAnsi"/>
          <w:szCs w:val="24"/>
        </w:rPr>
        <w:t>.</w:t>
      </w:r>
    </w:p>
    <w:p w14:paraId="48DFAD22" w14:textId="77777777" w:rsidR="000648F0" w:rsidRDefault="00341A9A" w:rsidP="00895033">
      <w:pPr>
        <w:spacing w:after="480"/>
        <w:rPr>
          <w:rFonts w:cstheme="minorHAnsi"/>
          <w:szCs w:val="24"/>
        </w:rPr>
      </w:pPr>
      <w:r w:rsidRPr="00517A9E">
        <w:rPr>
          <w:rFonts w:cstheme="minorHAnsi"/>
          <w:b/>
          <w:szCs w:val="24"/>
        </w:rPr>
        <w:t>Kontrolováno bylo období</w:t>
      </w:r>
      <w:r w:rsidRPr="00517A9E">
        <w:rPr>
          <w:rFonts w:cstheme="minorHAnsi"/>
          <w:szCs w:val="24"/>
        </w:rPr>
        <w:t xml:space="preserve"> od </w:t>
      </w:r>
      <w:r w:rsidR="00A900A5" w:rsidRPr="00FA00D7">
        <w:rPr>
          <w:rFonts w:cstheme="minorHAnsi"/>
          <w:szCs w:val="24"/>
        </w:rPr>
        <w:t xml:space="preserve">ledna </w:t>
      </w:r>
      <w:r w:rsidR="00413356" w:rsidRPr="00FA00D7">
        <w:rPr>
          <w:rFonts w:cstheme="minorHAnsi"/>
          <w:szCs w:val="24"/>
        </w:rPr>
        <w:t>201</w:t>
      </w:r>
      <w:r w:rsidR="00097E16" w:rsidRPr="00FA00D7">
        <w:rPr>
          <w:rFonts w:cstheme="minorHAnsi"/>
          <w:szCs w:val="24"/>
        </w:rPr>
        <w:t>3</w:t>
      </w:r>
      <w:r w:rsidRPr="00FA00D7">
        <w:rPr>
          <w:rFonts w:cstheme="minorHAnsi"/>
          <w:szCs w:val="24"/>
        </w:rPr>
        <w:t xml:space="preserve"> do </w:t>
      </w:r>
      <w:r w:rsidR="00413356" w:rsidRPr="00FA00D7">
        <w:rPr>
          <w:rFonts w:cstheme="minorHAnsi"/>
          <w:szCs w:val="24"/>
        </w:rPr>
        <w:t>prosince 20</w:t>
      </w:r>
      <w:r w:rsidR="00097E16" w:rsidRPr="00FA00D7">
        <w:rPr>
          <w:rFonts w:cstheme="minorHAnsi"/>
          <w:szCs w:val="24"/>
        </w:rPr>
        <w:t>20</w:t>
      </w:r>
      <w:r w:rsidRPr="00FA00D7">
        <w:rPr>
          <w:rFonts w:cstheme="minorHAnsi"/>
          <w:szCs w:val="24"/>
        </w:rPr>
        <w:t xml:space="preserve">, v případě věcných souvislostí i období </w:t>
      </w:r>
      <w:r w:rsidR="00D44537" w:rsidRPr="00FA00D7">
        <w:rPr>
          <w:rFonts w:cstheme="minorHAnsi"/>
          <w:szCs w:val="24"/>
        </w:rPr>
        <w:t>do ukončení kontroly</w:t>
      </w:r>
      <w:r w:rsidRPr="00FA00D7">
        <w:rPr>
          <w:rFonts w:cstheme="minorHAnsi"/>
          <w:szCs w:val="24"/>
        </w:rPr>
        <w:t>.</w:t>
      </w:r>
    </w:p>
    <w:p w14:paraId="4801D083" w14:textId="77777777" w:rsidR="00FF1A12" w:rsidRDefault="00FF1A12" w:rsidP="001A3B02">
      <w:pPr>
        <w:spacing w:after="0"/>
        <w:ind w:left="567" w:hanging="567"/>
        <w:rPr>
          <w:rFonts w:cstheme="minorHAnsi"/>
          <w:sz w:val="20"/>
          <w:szCs w:val="20"/>
        </w:rPr>
      </w:pPr>
      <w:r w:rsidRPr="00517A9E">
        <w:rPr>
          <w:rFonts w:cstheme="minorHAnsi"/>
          <w:b/>
          <w:sz w:val="20"/>
          <w:szCs w:val="20"/>
        </w:rPr>
        <w:t>Pozn</w:t>
      </w:r>
      <w:r w:rsidRPr="002D5F9F">
        <w:rPr>
          <w:rFonts w:cstheme="minorHAnsi"/>
          <w:b/>
          <w:sz w:val="20"/>
          <w:szCs w:val="20"/>
        </w:rPr>
        <w:t xml:space="preserve">.: </w:t>
      </w:r>
      <w:r w:rsidR="001A3B02">
        <w:rPr>
          <w:rFonts w:cstheme="minorHAnsi"/>
          <w:sz w:val="20"/>
          <w:szCs w:val="20"/>
        </w:rPr>
        <w:tab/>
      </w:r>
      <w:r w:rsidRPr="00517A9E">
        <w:rPr>
          <w:rFonts w:cstheme="minorHAnsi"/>
          <w:sz w:val="20"/>
          <w:szCs w:val="20"/>
        </w:rPr>
        <w:t>Právní předpisy uvedené v tomto kontrolním závěru jsou aplikovány ve znění účinném pro kontrolované období.</w:t>
      </w:r>
    </w:p>
    <w:p w14:paraId="08A8FF4B" w14:textId="77777777" w:rsidR="00242E73" w:rsidRDefault="00242E73" w:rsidP="00242E73">
      <w:pPr>
        <w:spacing w:after="0"/>
        <w:rPr>
          <w:rFonts w:cstheme="minorHAnsi"/>
          <w:sz w:val="20"/>
          <w:szCs w:val="20"/>
        </w:rPr>
      </w:pPr>
    </w:p>
    <w:p w14:paraId="5656A195" w14:textId="77777777" w:rsidR="00242E73" w:rsidRDefault="00242E73" w:rsidP="00242E73">
      <w:pPr>
        <w:spacing w:after="0"/>
        <w:rPr>
          <w:rFonts w:cstheme="minorHAnsi"/>
          <w:sz w:val="20"/>
          <w:szCs w:val="20"/>
        </w:rPr>
      </w:pPr>
    </w:p>
    <w:p w14:paraId="5481B9F4" w14:textId="77777777" w:rsidR="00273246" w:rsidRPr="000610E5" w:rsidRDefault="00273246" w:rsidP="00E70228">
      <w:pPr>
        <w:rPr>
          <w:rFonts w:cstheme="minorHAnsi"/>
        </w:rPr>
      </w:pPr>
      <w:r w:rsidRPr="000610E5">
        <w:rPr>
          <w:rFonts w:cstheme="minorHAnsi"/>
          <w:b/>
          <w:bCs/>
          <w:i/>
          <w:iCs/>
        </w:rPr>
        <w:t xml:space="preserve">K o l e g i u m   N K Ú  </w:t>
      </w:r>
      <w:r w:rsidRPr="000610E5">
        <w:rPr>
          <w:rFonts w:cstheme="minorHAnsi"/>
        </w:rPr>
        <w:t xml:space="preserve"> na svém </w:t>
      </w:r>
      <w:r w:rsidR="009149A2">
        <w:rPr>
          <w:rFonts w:cstheme="minorHAnsi"/>
        </w:rPr>
        <w:t>XI</w:t>
      </w:r>
      <w:r w:rsidRPr="000610E5">
        <w:rPr>
          <w:rFonts w:cstheme="minorHAnsi"/>
        </w:rPr>
        <w:t>. jednání</w:t>
      </w:r>
      <w:r w:rsidR="00B8457E">
        <w:rPr>
          <w:rFonts w:cstheme="minorHAnsi"/>
        </w:rPr>
        <w:t>, které se</w:t>
      </w:r>
      <w:r w:rsidRPr="000610E5">
        <w:rPr>
          <w:rFonts w:cstheme="minorHAnsi"/>
        </w:rPr>
        <w:t xml:space="preserve"> kona</w:t>
      </w:r>
      <w:r w:rsidR="00B8457E">
        <w:rPr>
          <w:rFonts w:cstheme="minorHAnsi"/>
        </w:rPr>
        <w:t>lo</w:t>
      </w:r>
      <w:r w:rsidRPr="000610E5">
        <w:rPr>
          <w:rFonts w:cstheme="minorHAnsi"/>
        </w:rPr>
        <w:t xml:space="preserve"> dne </w:t>
      </w:r>
      <w:r w:rsidR="009149A2">
        <w:rPr>
          <w:rFonts w:cstheme="minorHAnsi"/>
        </w:rPr>
        <w:t>28</w:t>
      </w:r>
      <w:r w:rsidRPr="000610E5">
        <w:rPr>
          <w:rFonts w:cstheme="minorHAnsi"/>
        </w:rPr>
        <w:t>. června 20</w:t>
      </w:r>
      <w:r w:rsidR="007426DF" w:rsidRPr="000610E5">
        <w:rPr>
          <w:rFonts w:cstheme="minorHAnsi"/>
        </w:rPr>
        <w:t>21</w:t>
      </w:r>
      <w:r w:rsidR="00B8457E">
        <w:rPr>
          <w:rFonts w:cstheme="minorHAnsi"/>
        </w:rPr>
        <w:t>,</w:t>
      </w:r>
      <w:r w:rsidRPr="000610E5">
        <w:rPr>
          <w:rFonts w:cstheme="minorHAnsi"/>
        </w:rPr>
        <w:t xml:space="preserve"> </w:t>
      </w:r>
    </w:p>
    <w:p w14:paraId="0FC7A3E7" w14:textId="77777777" w:rsidR="00273246" w:rsidRPr="000610E5" w:rsidRDefault="00273246" w:rsidP="00E70228">
      <w:pPr>
        <w:pStyle w:val="NormlnKZ"/>
        <w:ind w:firstLine="0"/>
        <w:rPr>
          <w:rFonts w:cstheme="minorHAnsi"/>
        </w:rPr>
      </w:pPr>
      <w:proofErr w:type="gramStart"/>
      <w:r w:rsidRPr="000610E5">
        <w:rPr>
          <w:rFonts w:cstheme="minorHAnsi"/>
          <w:b/>
          <w:bCs/>
          <w:i/>
          <w:iCs/>
        </w:rPr>
        <w:t xml:space="preserve">s c h v á l i l o  </w:t>
      </w:r>
      <w:r w:rsidRPr="000610E5">
        <w:rPr>
          <w:rFonts w:cstheme="minorHAnsi"/>
        </w:rPr>
        <w:t xml:space="preserve"> usnesením č.</w:t>
      </w:r>
      <w:proofErr w:type="gramEnd"/>
      <w:r w:rsidRPr="000610E5">
        <w:rPr>
          <w:rFonts w:cstheme="minorHAnsi"/>
        </w:rPr>
        <w:t xml:space="preserve"> </w:t>
      </w:r>
      <w:r w:rsidR="001D060B">
        <w:rPr>
          <w:rFonts w:cstheme="minorHAnsi"/>
        </w:rPr>
        <w:t>12</w:t>
      </w:r>
      <w:r w:rsidRPr="000610E5">
        <w:rPr>
          <w:rFonts w:cstheme="minorHAnsi"/>
        </w:rPr>
        <w:t>/</w:t>
      </w:r>
      <w:r w:rsidR="009149A2">
        <w:rPr>
          <w:rFonts w:cstheme="minorHAnsi"/>
        </w:rPr>
        <w:t>XI</w:t>
      </w:r>
      <w:r w:rsidRPr="000610E5">
        <w:rPr>
          <w:rFonts w:cstheme="minorHAnsi"/>
        </w:rPr>
        <w:t>/20</w:t>
      </w:r>
      <w:r w:rsidR="007426DF" w:rsidRPr="000610E5">
        <w:rPr>
          <w:rFonts w:cstheme="minorHAnsi"/>
        </w:rPr>
        <w:t>21</w:t>
      </w:r>
    </w:p>
    <w:p w14:paraId="78E79BB9" w14:textId="77777777" w:rsidR="00273246" w:rsidRDefault="00273246" w:rsidP="00273246">
      <w:pPr>
        <w:pStyle w:val="NormlnKZ"/>
        <w:spacing w:after="0"/>
        <w:ind w:firstLine="0"/>
        <w:rPr>
          <w:rFonts w:cstheme="minorHAnsi"/>
        </w:rPr>
      </w:pPr>
      <w:r w:rsidRPr="000610E5">
        <w:rPr>
          <w:rFonts w:cstheme="minorHAnsi"/>
          <w:b/>
          <w:bCs/>
          <w:i/>
          <w:iCs/>
        </w:rPr>
        <w:t>k o n t r o l n í   z á v ě r</w:t>
      </w:r>
      <w:r w:rsidRPr="000610E5">
        <w:rPr>
          <w:rFonts w:cstheme="minorHAnsi"/>
        </w:rPr>
        <w:t xml:space="preserve">   v tomto znění:</w:t>
      </w:r>
    </w:p>
    <w:p w14:paraId="684DFAFF" w14:textId="77777777" w:rsidR="00677E64" w:rsidRDefault="00677E64">
      <w:pPr>
        <w:spacing w:after="160" w:line="259" w:lineRule="auto"/>
        <w:jc w:val="left"/>
        <w:rPr>
          <w:rFonts w:eastAsia="Times New Roman" w:cstheme="minorHAnsi"/>
          <w:szCs w:val="24"/>
          <w:lang w:eastAsia="cs-CZ"/>
        </w:rPr>
      </w:pPr>
      <w:r>
        <w:rPr>
          <w:rFonts w:cstheme="minorHAnsi"/>
        </w:rPr>
        <w:br w:type="page"/>
      </w:r>
    </w:p>
    <w:p w14:paraId="12A2ECF8" w14:textId="77777777" w:rsidR="007D381F" w:rsidRPr="00983F3E" w:rsidRDefault="007D381F" w:rsidP="007D381F">
      <w:pPr>
        <w:jc w:val="center"/>
        <w:rPr>
          <w:b/>
          <w:sz w:val="36"/>
          <w:szCs w:val="36"/>
        </w:rPr>
      </w:pPr>
      <w:r w:rsidRPr="00983F3E">
        <w:rPr>
          <w:b/>
          <w:sz w:val="36"/>
          <w:szCs w:val="36"/>
        </w:rPr>
        <w:lastRenderedPageBreak/>
        <w:t>Intervence k zajištění udržitelné kvality vod</w:t>
      </w:r>
    </w:p>
    <w:p w14:paraId="0F69A1E4" w14:textId="77777777" w:rsidR="007D381F" w:rsidRDefault="007D381F" w:rsidP="007D381F">
      <w:pPr>
        <w:jc w:val="cente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7D381F" w14:paraId="3D51CEDA" w14:textId="77777777" w:rsidTr="000D2395">
        <w:trPr>
          <w:trHeight w:val="269"/>
        </w:trPr>
        <w:tc>
          <w:tcPr>
            <w:tcW w:w="3071" w:type="dxa"/>
          </w:tcPr>
          <w:p w14:paraId="6274595B" w14:textId="77777777" w:rsidR="007D381F" w:rsidRPr="00983F3E" w:rsidRDefault="007D381F" w:rsidP="000D2395">
            <w:pPr>
              <w:jc w:val="center"/>
              <w:rPr>
                <w:b/>
                <w:sz w:val="36"/>
                <w:szCs w:val="36"/>
              </w:rPr>
            </w:pPr>
            <w:r w:rsidRPr="00983F3E">
              <w:rPr>
                <w:b/>
                <w:sz w:val="36"/>
                <w:szCs w:val="36"/>
              </w:rPr>
              <w:t>65 mil. Kč</w:t>
            </w:r>
          </w:p>
        </w:tc>
        <w:tc>
          <w:tcPr>
            <w:tcW w:w="3071" w:type="dxa"/>
          </w:tcPr>
          <w:p w14:paraId="2494D45F" w14:textId="77777777" w:rsidR="007D381F" w:rsidRPr="00983F3E" w:rsidRDefault="006E5505" w:rsidP="006E5505">
            <w:pPr>
              <w:jc w:val="center"/>
              <w:rPr>
                <w:b/>
                <w:sz w:val="36"/>
                <w:szCs w:val="36"/>
              </w:rPr>
            </w:pPr>
            <w:r>
              <w:rPr>
                <w:b/>
                <w:sz w:val="36"/>
                <w:szCs w:val="36"/>
              </w:rPr>
              <w:t>113</w:t>
            </w:r>
            <w:r w:rsidRPr="00983F3E">
              <w:rPr>
                <w:b/>
                <w:sz w:val="36"/>
                <w:szCs w:val="36"/>
              </w:rPr>
              <w:t xml:space="preserve"> </w:t>
            </w:r>
            <w:r w:rsidR="007D381F" w:rsidRPr="00983F3E">
              <w:rPr>
                <w:b/>
                <w:sz w:val="36"/>
                <w:szCs w:val="36"/>
              </w:rPr>
              <w:t>mil. Kč</w:t>
            </w:r>
          </w:p>
        </w:tc>
        <w:tc>
          <w:tcPr>
            <w:tcW w:w="3072" w:type="dxa"/>
          </w:tcPr>
          <w:p w14:paraId="7CA411F5" w14:textId="77777777" w:rsidR="007D381F" w:rsidRPr="00983F3E" w:rsidRDefault="007D381F" w:rsidP="001E6957">
            <w:pPr>
              <w:jc w:val="center"/>
              <w:rPr>
                <w:b/>
                <w:sz w:val="36"/>
                <w:szCs w:val="36"/>
              </w:rPr>
            </w:pPr>
            <w:r w:rsidRPr="00983F3E">
              <w:rPr>
                <w:b/>
                <w:sz w:val="36"/>
                <w:szCs w:val="36"/>
              </w:rPr>
              <w:t>2 </w:t>
            </w:r>
            <w:r w:rsidR="001E6957">
              <w:rPr>
                <w:b/>
                <w:sz w:val="36"/>
                <w:szCs w:val="36"/>
              </w:rPr>
              <w:t>562</w:t>
            </w:r>
            <w:r w:rsidRPr="00983F3E">
              <w:rPr>
                <w:b/>
                <w:sz w:val="36"/>
                <w:szCs w:val="36"/>
              </w:rPr>
              <w:t xml:space="preserve"> mil. Kč</w:t>
            </w:r>
          </w:p>
        </w:tc>
      </w:tr>
    </w:tbl>
    <w:p w14:paraId="06795BF0" w14:textId="77777777" w:rsidR="00574359" w:rsidRDefault="00574359" w:rsidP="005F3FDF">
      <w:pPr>
        <w:jc w:val="center"/>
        <w:sectPr w:rsidR="00574359" w:rsidSect="00EE3A26">
          <w:headerReference w:type="even" r:id="rId13"/>
          <w:headerReference w:type="default" r:id="rId14"/>
          <w:footerReference w:type="even" r:id="rId15"/>
          <w:footerReference w:type="default" r:id="rId16"/>
          <w:headerReference w:type="first" r:id="rId17"/>
          <w:footerReference w:type="first" r:id="rId18"/>
          <w:footnotePr>
            <w:numStart w:val="6"/>
          </w:footnotePr>
          <w:pgSz w:w="11906" w:h="16838"/>
          <w:pgMar w:top="1417" w:right="1417" w:bottom="1417" w:left="1417" w:header="708" w:footer="708" w:gutter="0"/>
          <w:cols w:space="708"/>
          <w:titlePg/>
          <w:docGrid w:linePitch="360"/>
        </w:sectPr>
      </w:pPr>
    </w:p>
    <w:p w14:paraId="78C8B863" w14:textId="77777777" w:rsidR="00574359" w:rsidRDefault="00574359" w:rsidP="005F3FDF">
      <w:pPr>
        <w:jc w:val="center"/>
        <w:sectPr w:rsidR="00574359" w:rsidSect="00574359">
          <w:footnotePr>
            <w:numStart w:val="6"/>
          </w:footnotePr>
          <w:type w:val="continuous"/>
          <w:pgSz w:w="11906" w:h="16838"/>
          <w:pgMar w:top="1417" w:right="1417" w:bottom="1417" w:left="1417" w:header="708" w:footer="708" w:gutter="0"/>
          <w:cols w:space="708"/>
          <w:titlePg/>
          <w:docGrid w:linePitch="360"/>
        </w:sectPr>
      </w:pP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7D381F" w14:paraId="76BF651A" w14:textId="77777777" w:rsidTr="000D2395">
        <w:trPr>
          <w:trHeight w:val="269"/>
        </w:trPr>
        <w:tc>
          <w:tcPr>
            <w:tcW w:w="3071" w:type="dxa"/>
          </w:tcPr>
          <w:p w14:paraId="4756A2A1" w14:textId="77777777" w:rsidR="007D381F" w:rsidRDefault="007D381F" w:rsidP="00942AE1">
            <w:pPr>
              <w:jc w:val="center"/>
            </w:pPr>
            <w:r>
              <w:t xml:space="preserve">Přibližná výše výdajů </w:t>
            </w:r>
            <w:proofErr w:type="spellStart"/>
            <w:r>
              <w:t>MZe</w:t>
            </w:r>
            <w:proofErr w:type="spellEnd"/>
            <w:r>
              <w:t xml:space="preserve"> a</w:t>
            </w:r>
            <w:r w:rsidR="00B8457E">
              <w:t> </w:t>
            </w:r>
            <w:r>
              <w:t xml:space="preserve">MŽP na </w:t>
            </w:r>
            <w:r w:rsidR="00C52CF1">
              <w:t>plnění opatření v </w:t>
            </w:r>
            <w:r w:rsidR="00942AE1">
              <w:t>n</w:t>
            </w:r>
            <w:r>
              <w:t>árodních</w:t>
            </w:r>
            <w:r w:rsidR="00C52CF1">
              <w:t xml:space="preserve"> akčních plánech</w:t>
            </w:r>
            <w:r w:rsidR="005F3FDF">
              <w:rPr>
                <w:rStyle w:val="Znakapoznpodarou"/>
              </w:rPr>
              <w:footnoteReference w:id="2"/>
            </w:r>
            <w:r w:rsidR="00C52CF1">
              <w:t xml:space="preserve"> </w:t>
            </w:r>
          </w:p>
        </w:tc>
        <w:tc>
          <w:tcPr>
            <w:tcW w:w="3071" w:type="dxa"/>
          </w:tcPr>
          <w:p w14:paraId="61A9CD48" w14:textId="77777777" w:rsidR="007D381F" w:rsidRDefault="007D381F" w:rsidP="000D2395">
            <w:pPr>
              <w:jc w:val="center"/>
            </w:pPr>
            <w:r>
              <w:t>Výdaje ČHMÚ na monitoring kvalit</w:t>
            </w:r>
            <w:r w:rsidR="00C52CF1">
              <w:t>y podzemních vod za období 2013–</w:t>
            </w:r>
            <w:r>
              <w:t>2019</w:t>
            </w:r>
          </w:p>
        </w:tc>
        <w:tc>
          <w:tcPr>
            <w:tcW w:w="3072" w:type="dxa"/>
          </w:tcPr>
          <w:p w14:paraId="4A353858" w14:textId="77777777" w:rsidR="007D381F" w:rsidRDefault="007D381F" w:rsidP="00B8457E">
            <w:pPr>
              <w:jc w:val="center"/>
            </w:pPr>
            <w:r>
              <w:t xml:space="preserve">Hodnota investic do modernizace úpraven vod pro Prahu a Plzeň </w:t>
            </w:r>
            <w:r w:rsidR="00DB0863">
              <w:t>v období 2013</w:t>
            </w:r>
            <w:r w:rsidR="00B8457E">
              <w:br w:type="page"/>
              <w:t>–</w:t>
            </w:r>
            <w:r w:rsidR="00DB0863">
              <w:t xml:space="preserve">2020 </w:t>
            </w:r>
            <w:r w:rsidR="000C6D42">
              <w:t>s cílem odstranit nebezpečné látky</w:t>
            </w:r>
            <w:r w:rsidR="00CD24A0">
              <w:t xml:space="preserve"> z pitné vody</w:t>
            </w:r>
          </w:p>
        </w:tc>
      </w:tr>
    </w:tbl>
    <w:p w14:paraId="27968E2F" w14:textId="77777777" w:rsidR="007D381F" w:rsidRDefault="007D381F" w:rsidP="007D381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17"/>
        <w:gridCol w:w="4134"/>
      </w:tblGrid>
      <w:tr w:rsidR="007D381F" w14:paraId="5A3BA5EE" w14:textId="77777777" w:rsidTr="000610E5">
        <w:trPr>
          <w:trHeight w:val="269"/>
        </w:trPr>
        <w:tc>
          <w:tcPr>
            <w:tcW w:w="4111" w:type="dxa"/>
          </w:tcPr>
          <w:p w14:paraId="55D95EBD" w14:textId="77777777" w:rsidR="007D381F" w:rsidRDefault="007D381F" w:rsidP="000D2395">
            <w:pPr>
              <w:jc w:val="center"/>
            </w:pPr>
          </w:p>
        </w:tc>
        <w:tc>
          <w:tcPr>
            <w:tcW w:w="817" w:type="dxa"/>
          </w:tcPr>
          <w:p w14:paraId="0F14654F" w14:textId="77777777" w:rsidR="007D381F" w:rsidRDefault="007D381F" w:rsidP="000D2395">
            <w:pPr>
              <w:jc w:val="center"/>
            </w:pPr>
          </w:p>
        </w:tc>
        <w:tc>
          <w:tcPr>
            <w:tcW w:w="4134" w:type="dxa"/>
          </w:tcPr>
          <w:p w14:paraId="1C7F49B7" w14:textId="77777777" w:rsidR="007D381F" w:rsidRDefault="007D381F" w:rsidP="000D2395">
            <w:pPr>
              <w:jc w:val="center"/>
            </w:pPr>
          </w:p>
        </w:tc>
      </w:tr>
      <w:tr w:rsidR="007D381F" w14:paraId="2103F62E" w14:textId="77777777" w:rsidTr="000610E5">
        <w:trPr>
          <w:trHeight w:val="695"/>
        </w:trPr>
        <w:tc>
          <w:tcPr>
            <w:tcW w:w="4111" w:type="dxa"/>
            <w:shd w:val="clear" w:color="auto" w:fill="auto"/>
          </w:tcPr>
          <w:p w14:paraId="3D597AFF" w14:textId="77777777" w:rsidR="007D381F" w:rsidRPr="00601BB2" w:rsidRDefault="007D381F" w:rsidP="000D2395">
            <w:pPr>
              <w:jc w:val="center"/>
              <w:rPr>
                <w:b/>
                <w:sz w:val="36"/>
                <w:szCs w:val="36"/>
              </w:rPr>
            </w:pPr>
            <w:r w:rsidRPr="00601BB2">
              <w:rPr>
                <w:b/>
                <w:sz w:val="36"/>
                <w:szCs w:val="36"/>
              </w:rPr>
              <w:t xml:space="preserve">Podzemní voda </w:t>
            </w:r>
          </w:p>
          <w:p w14:paraId="2CD052D1" w14:textId="77777777" w:rsidR="007D381F" w:rsidRPr="00601BB2" w:rsidRDefault="007D381F" w:rsidP="000D2395">
            <w:pPr>
              <w:jc w:val="center"/>
              <w:rPr>
                <w:szCs w:val="24"/>
              </w:rPr>
            </w:pPr>
            <w:r w:rsidRPr="00601BB2">
              <w:rPr>
                <w:szCs w:val="24"/>
              </w:rPr>
              <w:t>(49 % zdrojů pro výrobu pitné vody)</w:t>
            </w:r>
          </w:p>
        </w:tc>
        <w:tc>
          <w:tcPr>
            <w:tcW w:w="817" w:type="dxa"/>
            <w:shd w:val="clear" w:color="auto" w:fill="auto"/>
          </w:tcPr>
          <w:p w14:paraId="4F05EF05" w14:textId="77777777" w:rsidR="007D381F" w:rsidRDefault="007D381F" w:rsidP="000D2395">
            <w:pPr>
              <w:jc w:val="center"/>
            </w:pPr>
          </w:p>
        </w:tc>
        <w:tc>
          <w:tcPr>
            <w:tcW w:w="4134" w:type="dxa"/>
            <w:shd w:val="clear" w:color="auto" w:fill="auto"/>
          </w:tcPr>
          <w:p w14:paraId="31AF7D84" w14:textId="77777777" w:rsidR="007D381F" w:rsidRPr="00601BB2" w:rsidRDefault="007D381F" w:rsidP="000D2395">
            <w:pPr>
              <w:jc w:val="center"/>
              <w:rPr>
                <w:b/>
                <w:sz w:val="36"/>
                <w:szCs w:val="36"/>
              </w:rPr>
            </w:pPr>
            <w:r w:rsidRPr="00601BB2">
              <w:rPr>
                <w:b/>
                <w:sz w:val="36"/>
                <w:szCs w:val="36"/>
              </w:rPr>
              <w:t>Povrchová voda</w:t>
            </w:r>
          </w:p>
          <w:p w14:paraId="346EFD9B" w14:textId="77777777" w:rsidR="007D381F" w:rsidRDefault="007D381F" w:rsidP="000D2395">
            <w:pPr>
              <w:jc w:val="center"/>
            </w:pPr>
            <w:r w:rsidRPr="00601BB2">
              <w:rPr>
                <w:szCs w:val="24"/>
              </w:rPr>
              <w:t>(51 % zdrojů pro výrobu pitné vody)</w:t>
            </w:r>
          </w:p>
        </w:tc>
      </w:tr>
      <w:tr w:rsidR="007D381F" w14:paraId="0EC20768" w14:textId="77777777" w:rsidTr="000610E5">
        <w:trPr>
          <w:trHeight w:val="705"/>
        </w:trPr>
        <w:tc>
          <w:tcPr>
            <w:tcW w:w="4111" w:type="dxa"/>
            <w:shd w:val="clear" w:color="auto" w:fill="auto"/>
            <w:vAlign w:val="center"/>
          </w:tcPr>
          <w:p w14:paraId="30081881" w14:textId="77777777" w:rsidR="007D381F" w:rsidRPr="002C0EC7" w:rsidRDefault="007D381F" w:rsidP="000D2395">
            <w:pPr>
              <w:jc w:val="center"/>
              <w:rPr>
                <w:b/>
                <w:sz w:val="36"/>
                <w:szCs w:val="36"/>
              </w:rPr>
            </w:pPr>
            <w:r w:rsidRPr="002C0EC7">
              <w:rPr>
                <w:b/>
                <w:sz w:val="36"/>
                <w:szCs w:val="36"/>
              </w:rPr>
              <w:t>281</w:t>
            </w:r>
          </w:p>
        </w:tc>
        <w:tc>
          <w:tcPr>
            <w:tcW w:w="817" w:type="dxa"/>
            <w:shd w:val="clear" w:color="auto" w:fill="auto"/>
            <w:vAlign w:val="center"/>
          </w:tcPr>
          <w:p w14:paraId="41A0E5E1" w14:textId="77777777" w:rsidR="007D381F" w:rsidRPr="00873C10" w:rsidRDefault="007D381F" w:rsidP="000D2395">
            <w:pPr>
              <w:jc w:val="center"/>
              <w:rPr>
                <w:b/>
                <w:sz w:val="36"/>
                <w:szCs w:val="36"/>
              </w:rPr>
            </w:pPr>
          </w:p>
        </w:tc>
        <w:tc>
          <w:tcPr>
            <w:tcW w:w="4134" w:type="dxa"/>
            <w:shd w:val="clear" w:color="auto" w:fill="auto"/>
            <w:vAlign w:val="center"/>
          </w:tcPr>
          <w:p w14:paraId="549FBA7C" w14:textId="77777777" w:rsidR="007D381F" w:rsidRPr="002C0EC7" w:rsidRDefault="007D381F" w:rsidP="000D2395">
            <w:pPr>
              <w:jc w:val="center"/>
              <w:rPr>
                <w:b/>
                <w:sz w:val="36"/>
                <w:szCs w:val="36"/>
              </w:rPr>
            </w:pPr>
            <w:r w:rsidRPr="002C0EC7">
              <w:rPr>
                <w:b/>
                <w:sz w:val="36"/>
                <w:szCs w:val="36"/>
              </w:rPr>
              <w:t>120</w:t>
            </w:r>
          </w:p>
        </w:tc>
      </w:tr>
      <w:tr w:rsidR="007D381F" w14:paraId="519B8E20" w14:textId="77777777" w:rsidTr="000610E5">
        <w:trPr>
          <w:trHeight w:val="269"/>
        </w:trPr>
        <w:tc>
          <w:tcPr>
            <w:tcW w:w="4111" w:type="dxa"/>
            <w:shd w:val="clear" w:color="auto" w:fill="auto"/>
          </w:tcPr>
          <w:p w14:paraId="44A2EAE3" w14:textId="77777777" w:rsidR="007D381F" w:rsidRPr="002C0EC7" w:rsidRDefault="007D381F" w:rsidP="00643F54">
            <w:pPr>
              <w:jc w:val="center"/>
            </w:pPr>
            <w:r w:rsidRPr="002C0EC7">
              <w:rPr>
                <w:b/>
              </w:rPr>
              <w:t>míst s </w:t>
            </w:r>
            <w:r w:rsidR="00CD2ED6">
              <w:rPr>
                <w:b/>
              </w:rPr>
              <w:t>překročením limitu pro pesticidní látky</w:t>
            </w:r>
            <w:r w:rsidRPr="002C0EC7">
              <w:rPr>
                <w:b/>
              </w:rPr>
              <w:t xml:space="preserve"> v roce 2019</w:t>
            </w:r>
            <w:r w:rsidR="009B248C">
              <w:rPr>
                <w:b/>
              </w:rPr>
              <w:t xml:space="preserve"> z celkového počtu</w:t>
            </w:r>
            <w:r w:rsidR="0011544E">
              <w:rPr>
                <w:b/>
              </w:rPr>
              <w:t xml:space="preserve"> </w:t>
            </w:r>
            <w:r w:rsidR="004B14CC">
              <w:rPr>
                <w:b/>
              </w:rPr>
              <w:t xml:space="preserve">689 </w:t>
            </w:r>
            <w:r w:rsidR="0011544E">
              <w:rPr>
                <w:b/>
              </w:rPr>
              <w:t>monitorovaných</w:t>
            </w:r>
            <w:r w:rsidR="009B248C">
              <w:rPr>
                <w:b/>
              </w:rPr>
              <w:t xml:space="preserve"> míst</w:t>
            </w:r>
          </w:p>
        </w:tc>
        <w:tc>
          <w:tcPr>
            <w:tcW w:w="817" w:type="dxa"/>
            <w:shd w:val="clear" w:color="auto" w:fill="auto"/>
          </w:tcPr>
          <w:p w14:paraId="3919D298" w14:textId="77777777" w:rsidR="007D381F" w:rsidRDefault="007D381F" w:rsidP="009B248C">
            <w:pPr>
              <w:jc w:val="center"/>
            </w:pPr>
          </w:p>
        </w:tc>
        <w:tc>
          <w:tcPr>
            <w:tcW w:w="4134" w:type="dxa"/>
            <w:shd w:val="clear" w:color="auto" w:fill="auto"/>
          </w:tcPr>
          <w:p w14:paraId="2EB0D9AD" w14:textId="0025F0D3" w:rsidR="007D381F" w:rsidRPr="002C0EC7" w:rsidRDefault="007D381F" w:rsidP="004B14CC">
            <w:pPr>
              <w:jc w:val="center"/>
            </w:pPr>
            <w:r w:rsidRPr="002C0EC7">
              <w:rPr>
                <w:b/>
              </w:rPr>
              <w:t>míst s </w:t>
            </w:r>
            <w:r w:rsidR="00CD2ED6">
              <w:rPr>
                <w:b/>
              </w:rPr>
              <w:t>překročením limitu pro pesticidní látky</w:t>
            </w:r>
            <w:r w:rsidRPr="002C0EC7">
              <w:rPr>
                <w:b/>
              </w:rPr>
              <w:t xml:space="preserve"> v roce 2019</w:t>
            </w:r>
            <w:r w:rsidR="009B248C">
              <w:rPr>
                <w:b/>
              </w:rPr>
              <w:t xml:space="preserve"> z celkového počtu </w:t>
            </w:r>
            <w:r w:rsidR="004B14CC">
              <w:rPr>
                <w:b/>
              </w:rPr>
              <w:t xml:space="preserve">559 </w:t>
            </w:r>
            <w:r w:rsidR="0011544E">
              <w:rPr>
                <w:b/>
              </w:rPr>
              <w:t xml:space="preserve">monitorovaných </w:t>
            </w:r>
            <w:r w:rsidR="009B248C">
              <w:rPr>
                <w:b/>
              </w:rPr>
              <w:t>míst</w:t>
            </w:r>
          </w:p>
        </w:tc>
      </w:tr>
      <w:tr w:rsidR="009110A6" w14:paraId="7A49F3AB" w14:textId="77777777" w:rsidTr="000610E5">
        <w:trPr>
          <w:trHeight w:val="269"/>
        </w:trPr>
        <w:tc>
          <w:tcPr>
            <w:tcW w:w="4111" w:type="dxa"/>
            <w:shd w:val="clear" w:color="auto" w:fill="auto"/>
          </w:tcPr>
          <w:p w14:paraId="57A83804" w14:textId="77777777" w:rsidR="009110A6" w:rsidRDefault="009110A6" w:rsidP="000D2395">
            <w:pPr>
              <w:jc w:val="center"/>
            </w:pPr>
          </w:p>
        </w:tc>
        <w:tc>
          <w:tcPr>
            <w:tcW w:w="817" w:type="dxa"/>
            <w:shd w:val="clear" w:color="auto" w:fill="auto"/>
          </w:tcPr>
          <w:p w14:paraId="6B79DBD9" w14:textId="77777777" w:rsidR="009110A6" w:rsidRDefault="009110A6" w:rsidP="000D2395">
            <w:pPr>
              <w:jc w:val="center"/>
            </w:pPr>
          </w:p>
        </w:tc>
        <w:tc>
          <w:tcPr>
            <w:tcW w:w="4134" w:type="dxa"/>
            <w:shd w:val="clear" w:color="auto" w:fill="auto"/>
          </w:tcPr>
          <w:p w14:paraId="3CF41156" w14:textId="77777777" w:rsidR="009110A6" w:rsidRDefault="009110A6" w:rsidP="000D2395">
            <w:pPr>
              <w:jc w:val="center"/>
            </w:pPr>
          </w:p>
        </w:tc>
      </w:tr>
      <w:tr w:rsidR="007D381F" w14:paraId="25F376DC" w14:textId="77777777" w:rsidTr="000610E5">
        <w:trPr>
          <w:trHeight w:val="269"/>
        </w:trPr>
        <w:tc>
          <w:tcPr>
            <w:tcW w:w="4111" w:type="dxa"/>
            <w:shd w:val="clear" w:color="auto" w:fill="auto"/>
            <w:vAlign w:val="center"/>
          </w:tcPr>
          <w:p w14:paraId="0215E8C0" w14:textId="77777777" w:rsidR="007D381F" w:rsidRPr="009B248C" w:rsidRDefault="007D381F" w:rsidP="000D2395">
            <w:pPr>
              <w:jc w:val="center"/>
              <w:rPr>
                <w:sz w:val="36"/>
                <w:szCs w:val="36"/>
              </w:rPr>
            </w:pPr>
            <w:r w:rsidRPr="009B248C">
              <w:rPr>
                <w:b/>
                <w:sz w:val="36"/>
                <w:szCs w:val="36"/>
              </w:rPr>
              <w:t>173</w:t>
            </w:r>
          </w:p>
        </w:tc>
        <w:tc>
          <w:tcPr>
            <w:tcW w:w="817" w:type="dxa"/>
            <w:shd w:val="clear" w:color="auto" w:fill="auto"/>
            <w:vAlign w:val="center"/>
          </w:tcPr>
          <w:p w14:paraId="1D8ECA85" w14:textId="77777777" w:rsidR="007D381F" w:rsidRPr="009B248C" w:rsidRDefault="007D381F" w:rsidP="000D2395">
            <w:pPr>
              <w:jc w:val="center"/>
              <w:rPr>
                <w:b/>
                <w:sz w:val="36"/>
                <w:szCs w:val="36"/>
              </w:rPr>
            </w:pPr>
          </w:p>
        </w:tc>
        <w:tc>
          <w:tcPr>
            <w:tcW w:w="4134" w:type="dxa"/>
            <w:shd w:val="clear" w:color="auto" w:fill="auto"/>
            <w:vAlign w:val="center"/>
          </w:tcPr>
          <w:p w14:paraId="09FC0FB6" w14:textId="77777777" w:rsidR="007D381F" w:rsidRPr="009B248C" w:rsidRDefault="007D381F" w:rsidP="00E409F1">
            <w:pPr>
              <w:jc w:val="center"/>
              <w:rPr>
                <w:sz w:val="36"/>
                <w:szCs w:val="36"/>
              </w:rPr>
            </w:pPr>
            <w:r w:rsidRPr="009B248C">
              <w:rPr>
                <w:b/>
                <w:sz w:val="36"/>
                <w:szCs w:val="36"/>
              </w:rPr>
              <w:t>6</w:t>
            </w:r>
            <w:r w:rsidR="00E409F1">
              <w:rPr>
                <w:b/>
                <w:sz w:val="36"/>
                <w:szCs w:val="36"/>
              </w:rPr>
              <w:t>60</w:t>
            </w:r>
          </w:p>
        </w:tc>
      </w:tr>
      <w:tr w:rsidR="007D381F" w14:paraId="37D46058" w14:textId="77777777" w:rsidTr="000610E5">
        <w:trPr>
          <w:trHeight w:val="269"/>
        </w:trPr>
        <w:tc>
          <w:tcPr>
            <w:tcW w:w="4111" w:type="dxa"/>
            <w:shd w:val="clear" w:color="auto" w:fill="auto"/>
          </w:tcPr>
          <w:p w14:paraId="0823A32D" w14:textId="77777777" w:rsidR="007D381F" w:rsidRPr="009B248C" w:rsidRDefault="007D381F" w:rsidP="000D2395">
            <w:pPr>
              <w:jc w:val="center"/>
            </w:pPr>
            <w:r w:rsidRPr="009B248C">
              <w:rPr>
                <w:b/>
              </w:rPr>
              <w:t>míst s překročením limitu pro dusíkaté látky v roce 2019</w:t>
            </w:r>
            <w:r w:rsidR="009B248C">
              <w:rPr>
                <w:b/>
              </w:rPr>
              <w:t xml:space="preserve"> z celkového počtu 698 </w:t>
            </w:r>
            <w:r w:rsidR="0011544E">
              <w:rPr>
                <w:b/>
              </w:rPr>
              <w:t xml:space="preserve">monitorovaných </w:t>
            </w:r>
            <w:r w:rsidR="009B248C">
              <w:rPr>
                <w:b/>
              </w:rPr>
              <w:t>míst</w:t>
            </w:r>
          </w:p>
        </w:tc>
        <w:tc>
          <w:tcPr>
            <w:tcW w:w="817" w:type="dxa"/>
            <w:shd w:val="clear" w:color="auto" w:fill="auto"/>
          </w:tcPr>
          <w:p w14:paraId="5A37B33D" w14:textId="77777777" w:rsidR="007D381F" w:rsidRPr="009B248C" w:rsidRDefault="007D381F" w:rsidP="000D2395">
            <w:pPr>
              <w:jc w:val="center"/>
            </w:pPr>
          </w:p>
        </w:tc>
        <w:tc>
          <w:tcPr>
            <w:tcW w:w="4134" w:type="dxa"/>
            <w:shd w:val="clear" w:color="auto" w:fill="auto"/>
          </w:tcPr>
          <w:p w14:paraId="25E4065A" w14:textId="77777777" w:rsidR="007D381F" w:rsidRPr="009B248C" w:rsidRDefault="007D381F" w:rsidP="000D2395">
            <w:pPr>
              <w:jc w:val="center"/>
            </w:pPr>
            <w:r w:rsidRPr="009B248C">
              <w:rPr>
                <w:b/>
              </w:rPr>
              <w:t>míst s překročením limitu pro dusíkaté látky v roce 2019</w:t>
            </w:r>
            <w:r w:rsidR="009B248C">
              <w:rPr>
                <w:b/>
              </w:rPr>
              <w:t xml:space="preserve"> z celkového počtu 1 883 </w:t>
            </w:r>
            <w:r w:rsidR="0011544E">
              <w:rPr>
                <w:b/>
              </w:rPr>
              <w:t xml:space="preserve">monitorovaných </w:t>
            </w:r>
            <w:r w:rsidR="009B248C">
              <w:rPr>
                <w:b/>
              </w:rPr>
              <w:t>míst</w:t>
            </w:r>
          </w:p>
        </w:tc>
      </w:tr>
    </w:tbl>
    <w:p w14:paraId="6980EBE7" w14:textId="77777777" w:rsidR="007D381F" w:rsidRDefault="007D381F" w:rsidP="007D381F">
      <w:pPr>
        <w:jc w:val="center"/>
      </w:pPr>
    </w:p>
    <w:p w14:paraId="11E6F841" w14:textId="77777777" w:rsidR="007D381F" w:rsidRDefault="007D381F" w:rsidP="007D381F">
      <w:pPr>
        <w:ind w:right="70"/>
        <w:rPr>
          <w:rFonts w:cstheme="minorHAnsi"/>
          <w:noProof/>
          <w:szCs w:val="24"/>
          <w:u w:val="single"/>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180"/>
      </w:tblGrid>
      <w:tr w:rsidR="007D381F" w14:paraId="62514A52" w14:textId="77777777" w:rsidTr="00FC5C77">
        <w:tc>
          <w:tcPr>
            <w:tcW w:w="9180" w:type="dxa"/>
            <w:shd w:val="clear" w:color="auto" w:fill="D9D9D9" w:themeFill="background1" w:themeFillShade="D9"/>
          </w:tcPr>
          <w:p w14:paraId="64CE8856" w14:textId="77777777" w:rsidR="007D381F" w:rsidRPr="00601BB2" w:rsidRDefault="007D381F" w:rsidP="00FE24D3">
            <w:pPr>
              <w:ind w:right="70"/>
              <w:rPr>
                <w:rFonts w:cstheme="minorHAnsi"/>
                <w:noProof/>
                <w:szCs w:val="24"/>
                <w:lang w:eastAsia="cs-CZ"/>
              </w:rPr>
            </w:pPr>
            <w:r>
              <w:rPr>
                <w:rFonts w:cstheme="minorHAnsi"/>
                <w:noProof/>
                <w:szCs w:val="24"/>
                <w:lang w:eastAsia="cs-CZ"/>
              </w:rPr>
              <w:t xml:space="preserve">Snížená kvalita </w:t>
            </w:r>
            <w:r w:rsidRPr="00601BB2">
              <w:rPr>
                <w:rFonts w:cstheme="minorHAnsi"/>
                <w:b/>
                <w:noProof/>
                <w:szCs w:val="24"/>
                <w:lang w:eastAsia="cs-CZ"/>
              </w:rPr>
              <w:t>PITNÉ VODY</w:t>
            </w:r>
            <w:r w:rsidRPr="00601BB2">
              <w:rPr>
                <w:rFonts w:cstheme="minorHAnsi"/>
                <w:noProof/>
                <w:szCs w:val="24"/>
                <w:lang w:eastAsia="cs-CZ"/>
              </w:rPr>
              <w:t xml:space="preserve"> měla v případě nedodržení h</w:t>
            </w:r>
            <w:r w:rsidR="00DB7026">
              <w:rPr>
                <w:rFonts w:cstheme="minorHAnsi"/>
                <w:noProof/>
                <w:szCs w:val="24"/>
                <w:lang w:eastAsia="cs-CZ"/>
              </w:rPr>
              <w:t>ygienických limitů pro pesticidní látky</w:t>
            </w:r>
            <w:r w:rsidRPr="00601BB2">
              <w:rPr>
                <w:rFonts w:cstheme="minorHAnsi"/>
                <w:noProof/>
                <w:szCs w:val="24"/>
                <w:lang w:eastAsia="cs-CZ"/>
              </w:rPr>
              <w:t xml:space="preserve"> v roce 2019 dopad </w:t>
            </w:r>
            <w:r w:rsidR="00DE3D68">
              <w:rPr>
                <w:rFonts w:cstheme="minorHAnsi"/>
                <w:noProof/>
                <w:szCs w:val="24"/>
                <w:lang w:eastAsia="cs-CZ"/>
              </w:rPr>
              <w:t xml:space="preserve">na </w:t>
            </w:r>
            <w:r w:rsidRPr="00601BB2">
              <w:rPr>
                <w:rFonts w:cstheme="minorHAnsi"/>
                <w:noProof/>
                <w:szCs w:val="24"/>
                <w:lang w:eastAsia="cs-CZ"/>
              </w:rPr>
              <w:t>220 tis</w:t>
            </w:r>
            <w:r w:rsidR="00FE24D3">
              <w:rPr>
                <w:rFonts w:cstheme="minorHAnsi"/>
                <w:noProof/>
                <w:szCs w:val="24"/>
                <w:lang w:eastAsia="cs-CZ"/>
              </w:rPr>
              <w:t>íc</w:t>
            </w:r>
            <w:r w:rsidRPr="00601BB2">
              <w:rPr>
                <w:rFonts w:cstheme="minorHAnsi"/>
                <w:noProof/>
                <w:szCs w:val="24"/>
                <w:lang w:eastAsia="cs-CZ"/>
              </w:rPr>
              <w:t xml:space="preserve"> obyvatel zásobených ze 105 vodovodů. V případě </w:t>
            </w:r>
            <w:r w:rsidR="009110A6">
              <w:rPr>
                <w:rFonts w:cstheme="minorHAnsi"/>
                <w:noProof/>
                <w:szCs w:val="24"/>
                <w:lang w:eastAsia="cs-CZ"/>
              </w:rPr>
              <w:t>dusičnanů</w:t>
            </w:r>
            <w:r w:rsidRPr="00601BB2">
              <w:rPr>
                <w:rFonts w:cstheme="minorHAnsi"/>
                <w:noProof/>
                <w:szCs w:val="24"/>
                <w:lang w:eastAsia="cs-CZ"/>
              </w:rPr>
              <w:t xml:space="preserve"> byly </w:t>
            </w:r>
            <w:r w:rsidR="009110A6" w:rsidRPr="00601BB2">
              <w:rPr>
                <w:rFonts w:cstheme="minorHAnsi"/>
                <w:noProof/>
                <w:szCs w:val="24"/>
                <w:lang w:eastAsia="cs-CZ"/>
              </w:rPr>
              <w:t xml:space="preserve">u 27 vodovodů </w:t>
            </w:r>
            <w:r w:rsidRPr="00601BB2">
              <w:rPr>
                <w:rFonts w:cstheme="minorHAnsi"/>
                <w:noProof/>
                <w:szCs w:val="24"/>
                <w:lang w:eastAsia="cs-CZ"/>
              </w:rPr>
              <w:t>uplatněny výjimky z hygienických limitů, které postihly 6</w:t>
            </w:r>
            <w:r w:rsidR="005F2050">
              <w:rPr>
                <w:rFonts w:cstheme="minorHAnsi"/>
                <w:noProof/>
                <w:szCs w:val="24"/>
                <w:lang w:eastAsia="cs-CZ"/>
              </w:rPr>
              <w:t> </w:t>
            </w:r>
            <w:r w:rsidRPr="00601BB2">
              <w:rPr>
                <w:rFonts w:cstheme="minorHAnsi"/>
                <w:noProof/>
                <w:szCs w:val="24"/>
                <w:lang w:eastAsia="cs-CZ"/>
              </w:rPr>
              <w:t>800 obyvatel.</w:t>
            </w:r>
          </w:p>
        </w:tc>
      </w:tr>
    </w:tbl>
    <w:p w14:paraId="639D0806" w14:textId="77777777" w:rsidR="00F13735" w:rsidRPr="00F13735" w:rsidRDefault="00F13735" w:rsidP="007D381F">
      <w:pPr>
        <w:jc w:val="center"/>
        <w:rPr>
          <w:rFonts w:cstheme="minorHAnsi"/>
          <w:szCs w:val="24"/>
        </w:rPr>
      </w:pPr>
    </w:p>
    <w:p w14:paraId="1A49BF06" w14:textId="77777777" w:rsidR="00C72C56" w:rsidRDefault="00F534B7" w:rsidP="00F13735">
      <w:pPr>
        <w:spacing w:after="160" w:line="259" w:lineRule="auto"/>
        <w:jc w:val="left"/>
        <w:rPr>
          <w:rFonts w:cstheme="minorHAnsi"/>
          <w:szCs w:val="24"/>
        </w:rPr>
      </w:pPr>
      <w:r>
        <w:rPr>
          <w:rFonts w:cstheme="minorHAnsi"/>
          <w:szCs w:val="24"/>
        </w:rPr>
        <w:t xml:space="preserve">Podrobné údaje o kvalitě </w:t>
      </w:r>
      <w:r w:rsidR="00041B3F">
        <w:rPr>
          <w:rFonts w:cstheme="minorHAnsi"/>
          <w:szCs w:val="24"/>
        </w:rPr>
        <w:t>podzemních a povrchových vod</w:t>
      </w:r>
      <w:r w:rsidR="00C67EE8">
        <w:rPr>
          <w:rFonts w:cstheme="minorHAnsi"/>
          <w:szCs w:val="24"/>
        </w:rPr>
        <w:t xml:space="preserve"> </w:t>
      </w:r>
      <w:r w:rsidR="00CF0247">
        <w:rPr>
          <w:rFonts w:cstheme="minorHAnsi"/>
          <w:szCs w:val="24"/>
        </w:rPr>
        <w:t>za roky 2013 až 2019 jsou uvedeny v </w:t>
      </w:r>
      <w:hyperlink r:id="rId19" w:history="1">
        <w:r w:rsidR="00CF0247" w:rsidRPr="009560D4">
          <w:rPr>
            <w:rStyle w:val="Hypertextovodkaz"/>
            <w:rFonts w:cstheme="minorHAnsi"/>
            <w:szCs w:val="24"/>
          </w:rPr>
          <w:t>příloze č. 1</w:t>
        </w:r>
      </w:hyperlink>
      <w:r w:rsidR="00CF0247">
        <w:rPr>
          <w:rFonts w:cstheme="minorHAnsi"/>
          <w:szCs w:val="24"/>
        </w:rPr>
        <w:t>.</w:t>
      </w:r>
      <w:r w:rsidR="00C72C56">
        <w:rPr>
          <w:rFonts w:cstheme="minorHAnsi"/>
          <w:szCs w:val="24"/>
        </w:rPr>
        <w:br w:type="page"/>
      </w:r>
    </w:p>
    <w:p w14:paraId="1A3211CA" w14:textId="77777777" w:rsidR="00E9548C" w:rsidRPr="00517A9E" w:rsidRDefault="00E9548C" w:rsidP="00082059">
      <w:pPr>
        <w:pStyle w:val="Nadpis1"/>
        <w:numPr>
          <w:ilvl w:val="0"/>
          <w:numId w:val="0"/>
        </w:numPr>
        <w:spacing w:before="480"/>
        <w:jc w:val="center"/>
      </w:pPr>
      <w:r>
        <w:lastRenderedPageBreak/>
        <w:t xml:space="preserve">I. </w:t>
      </w:r>
      <w:r w:rsidRPr="00517A9E">
        <w:t>SHRNUTÍ A VYHODNOCENÍ</w:t>
      </w:r>
    </w:p>
    <w:p w14:paraId="0DE1263D" w14:textId="77777777" w:rsidR="00E946CB" w:rsidRDefault="00774052" w:rsidP="006C4E5A">
      <w:pPr>
        <w:rPr>
          <w:b/>
        </w:rPr>
      </w:pPr>
      <w:r>
        <w:rPr>
          <w:rFonts w:cstheme="minorHAnsi"/>
          <w:szCs w:val="24"/>
          <w:lang w:eastAsia="cs-CZ"/>
        </w:rPr>
        <w:t xml:space="preserve">NKÚ prověřil účelnost a efektivnost peněžních prostředků ve výši </w:t>
      </w:r>
      <w:r w:rsidR="00DF68AB" w:rsidRPr="009B248C">
        <w:rPr>
          <w:rFonts w:cstheme="minorHAnsi"/>
          <w:szCs w:val="24"/>
          <w:lang w:eastAsia="cs-CZ"/>
        </w:rPr>
        <w:t>2 7</w:t>
      </w:r>
      <w:r w:rsidR="00D407A1" w:rsidRPr="009B248C">
        <w:rPr>
          <w:rFonts w:cstheme="minorHAnsi"/>
          <w:szCs w:val="24"/>
          <w:lang w:eastAsia="cs-CZ"/>
        </w:rPr>
        <w:t>55</w:t>
      </w:r>
      <w:r w:rsidRPr="009B248C">
        <w:rPr>
          <w:rFonts w:cstheme="minorHAnsi"/>
          <w:szCs w:val="24"/>
          <w:lang w:eastAsia="cs-CZ"/>
        </w:rPr>
        <w:t xml:space="preserve"> m</w:t>
      </w:r>
      <w:r w:rsidR="00DF68AB" w:rsidRPr="009B248C">
        <w:rPr>
          <w:rFonts w:cstheme="minorHAnsi"/>
          <w:szCs w:val="24"/>
          <w:lang w:eastAsia="cs-CZ"/>
        </w:rPr>
        <w:t>il</w:t>
      </w:r>
      <w:r w:rsidRPr="009B248C">
        <w:rPr>
          <w:rFonts w:cstheme="minorHAnsi"/>
          <w:szCs w:val="24"/>
          <w:lang w:eastAsia="cs-CZ"/>
        </w:rPr>
        <w:t>.</w:t>
      </w:r>
      <w:r w:rsidRPr="0085515A">
        <w:rPr>
          <w:rFonts w:cstheme="minorHAnsi"/>
          <w:szCs w:val="24"/>
          <w:lang w:eastAsia="cs-CZ"/>
        </w:rPr>
        <w:t xml:space="preserve"> Kč</w:t>
      </w:r>
      <w:r>
        <w:rPr>
          <w:rFonts w:cstheme="minorHAnsi"/>
          <w:szCs w:val="24"/>
          <w:lang w:eastAsia="cs-CZ"/>
        </w:rPr>
        <w:t xml:space="preserve"> určených na realizaci </w:t>
      </w:r>
      <w:r w:rsidR="009A2346">
        <w:rPr>
          <w:rFonts w:cstheme="minorHAnsi"/>
          <w:szCs w:val="24"/>
          <w:lang w:eastAsia="cs-CZ"/>
        </w:rPr>
        <w:t>intervencí</w:t>
      </w:r>
      <w:r>
        <w:rPr>
          <w:rFonts w:cstheme="minorHAnsi"/>
          <w:szCs w:val="24"/>
          <w:lang w:eastAsia="cs-CZ"/>
        </w:rPr>
        <w:t xml:space="preserve"> </w:t>
      </w:r>
      <w:r w:rsidR="00170657">
        <w:rPr>
          <w:rFonts w:cstheme="minorHAnsi"/>
          <w:szCs w:val="24"/>
          <w:lang w:eastAsia="cs-CZ"/>
        </w:rPr>
        <w:t>k zajištění udržitelné jakosti vod</w:t>
      </w:r>
      <w:r w:rsidR="0046387B">
        <w:rPr>
          <w:rFonts w:cstheme="minorHAnsi"/>
          <w:szCs w:val="24"/>
          <w:lang w:eastAsia="cs-CZ"/>
        </w:rPr>
        <w:t xml:space="preserve"> a</w:t>
      </w:r>
      <w:r w:rsidR="00423AB1">
        <w:rPr>
          <w:rFonts w:cstheme="minorHAnsi"/>
          <w:szCs w:val="24"/>
          <w:lang w:eastAsia="cs-CZ"/>
        </w:rPr>
        <w:t xml:space="preserve"> </w:t>
      </w:r>
      <w:r w:rsidR="00C11E04">
        <w:rPr>
          <w:rFonts w:cstheme="minorHAnsi"/>
          <w:szCs w:val="24"/>
          <w:lang w:eastAsia="cs-CZ"/>
        </w:rPr>
        <w:t xml:space="preserve">eliminaci znečištění v důsledku antropogenních vlivů. </w:t>
      </w:r>
      <w:r w:rsidR="004D71D2">
        <w:rPr>
          <w:rFonts w:cstheme="minorHAnsi"/>
          <w:szCs w:val="24"/>
          <w:lang w:eastAsia="cs-CZ"/>
        </w:rPr>
        <w:t xml:space="preserve">Prověřované intervence </w:t>
      </w:r>
      <w:r w:rsidR="009A2346">
        <w:rPr>
          <w:rFonts w:cstheme="minorHAnsi"/>
          <w:szCs w:val="24"/>
          <w:lang w:eastAsia="cs-CZ"/>
        </w:rPr>
        <w:t xml:space="preserve">se </w:t>
      </w:r>
      <w:r w:rsidR="003025FC">
        <w:rPr>
          <w:rFonts w:cstheme="minorHAnsi"/>
          <w:szCs w:val="24"/>
          <w:lang w:eastAsia="cs-CZ"/>
        </w:rPr>
        <w:t xml:space="preserve">zejména </w:t>
      </w:r>
      <w:r w:rsidR="009A2346">
        <w:rPr>
          <w:rFonts w:cstheme="minorHAnsi"/>
          <w:szCs w:val="24"/>
          <w:lang w:eastAsia="cs-CZ"/>
        </w:rPr>
        <w:t>týkaly</w:t>
      </w:r>
      <w:r w:rsidR="003025FC">
        <w:rPr>
          <w:rFonts w:cstheme="minorHAnsi"/>
          <w:szCs w:val="24"/>
          <w:lang w:eastAsia="cs-CZ"/>
        </w:rPr>
        <w:t xml:space="preserve"> realizace </w:t>
      </w:r>
      <w:r w:rsidR="00A50660">
        <w:rPr>
          <w:rFonts w:cstheme="minorHAnsi"/>
          <w:szCs w:val="24"/>
          <w:lang w:eastAsia="cs-CZ"/>
        </w:rPr>
        <w:t>n</w:t>
      </w:r>
      <w:r w:rsidR="003025FC">
        <w:rPr>
          <w:rFonts w:cstheme="minorHAnsi"/>
          <w:szCs w:val="24"/>
          <w:lang w:eastAsia="cs-CZ"/>
        </w:rPr>
        <w:t xml:space="preserve">árodních akčních plánů, </w:t>
      </w:r>
      <w:r w:rsidR="00C52CF1">
        <w:rPr>
          <w:rFonts w:cstheme="minorHAnsi"/>
          <w:szCs w:val="24"/>
          <w:lang w:eastAsia="cs-CZ"/>
        </w:rPr>
        <w:t xml:space="preserve">prováděného </w:t>
      </w:r>
      <w:r w:rsidR="003966F5">
        <w:rPr>
          <w:rFonts w:cstheme="minorHAnsi"/>
          <w:szCs w:val="24"/>
          <w:lang w:eastAsia="cs-CZ"/>
        </w:rPr>
        <w:t>monitoringu kvality vod</w:t>
      </w:r>
      <w:r w:rsidR="006F4BCA">
        <w:rPr>
          <w:rFonts w:cstheme="minorHAnsi"/>
          <w:szCs w:val="24"/>
          <w:lang w:eastAsia="cs-CZ"/>
        </w:rPr>
        <w:t xml:space="preserve"> a</w:t>
      </w:r>
      <w:r w:rsidR="003966F5">
        <w:rPr>
          <w:rFonts w:cstheme="minorHAnsi"/>
          <w:szCs w:val="24"/>
          <w:lang w:eastAsia="cs-CZ"/>
        </w:rPr>
        <w:t xml:space="preserve"> poskytování peněžních prostředků určených na modernizace technologií úpraven vod</w:t>
      </w:r>
      <w:r w:rsidR="00832EFA">
        <w:rPr>
          <w:rFonts w:cstheme="minorHAnsi"/>
          <w:szCs w:val="24"/>
          <w:lang w:eastAsia="cs-CZ"/>
        </w:rPr>
        <w:t>.</w:t>
      </w:r>
      <w:r w:rsidR="00E946CB">
        <w:rPr>
          <w:b/>
        </w:rPr>
        <w:t xml:space="preserve"> </w:t>
      </w:r>
    </w:p>
    <w:p w14:paraId="118499F3" w14:textId="77777777" w:rsidR="0062103A" w:rsidRDefault="0062103A" w:rsidP="006C4E5A">
      <w:pPr>
        <w:rPr>
          <w:rFonts w:cstheme="minorHAnsi"/>
          <w:b/>
          <w:szCs w:val="24"/>
          <w:lang w:eastAsia="cs-CZ"/>
        </w:rPr>
      </w:pPr>
      <w:r>
        <w:rPr>
          <w:b/>
        </w:rPr>
        <w:t>Zemědělská činnost je výrazným znečišťovatelem povrchové a podzemní vody jak pesticidními, tak dusíkatými látkami</w:t>
      </w:r>
      <w:r w:rsidR="00E946CB">
        <w:rPr>
          <w:rStyle w:val="Znakapoznpodarou"/>
          <w:b/>
        </w:rPr>
        <w:footnoteReference w:id="3"/>
      </w:r>
      <w:r>
        <w:rPr>
          <w:b/>
        </w:rPr>
        <w:t>. Ke znečištění dochází</w:t>
      </w:r>
      <w:r w:rsidR="00A50660">
        <w:rPr>
          <w:b/>
        </w:rPr>
        <w:t xml:space="preserve"> i</w:t>
      </w:r>
      <w:r>
        <w:rPr>
          <w:b/>
        </w:rPr>
        <w:t xml:space="preserve"> přesto</w:t>
      </w:r>
      <w:r w:rsidR="00A50660">
        <w:rPr>
          <w:b/>
        </w:rPr>
        <w:t xml:space="preserve">, </w:t>
      </w:r>
      <w:r>
        <w:rPr>
          <w:b/>
        </w:rPr>
        <w:t>že podmínkou čerpání peněžních prostředků</w:t>
      </w:r>
      <w:r w:rsidR="00E946CB">
        <w:rPr>
          <w:rStyle w:val="Znakapoznpodarou"/>
          <w:rFonts w:cstheme="minorHAnsi"/>
          <w:b/>
          <w:szCs w:val="24"/>
          <w:lang w:eastAsia="cs-CZ"/>
        </w:rPr>
        <w:footnoteReference w:id="4"/>
      </w:r>
      <w:r w:rsidR="00E946CB">
        <w:rPr>
          <w:b/>
        </w:rPr>
        <w:t xml:space="preserve"> </w:t>
      </w:r>
      <w:r w:rsidR="00E946CB">
        <w:rPr>
          <w:rFonts w:cstheme="minorHAnsi"/>
          <w:b/>
          <w:szCs w:val="24"/>
          <w:lang w:eastAsia="cs-CZ"/>
        </w:rPr>
        <w:t xml:space="preserve">je důsledné dodržování </w:t>
      </w:r>
      <w:r w:rsidR="00E946CB" w:rsidRPr="00E96440">
        <w:rPr>
          <w:b/>
        </w:rPr>
        <w:t>standardů dobrého zemědělského a</w:t>
      </w:r>
      <w:r w:rsidR="00E24DDC">
        <w:rPr>
          <w:b/>
        </w:rPr>
        <w:t> </w:t>
      </w:r>
      <w:r w:rsidR="00E946CB" w:rsidRPr="00E96440">
        <w:rPr>
          <w:b/>
        </w:rPr>
        <w:t xml:space="preserve">environmentálního stavu a </w:t>
      </w:r>
      <w:r w:rsidR="00E946CB">
        <w:rPr>
          <w:b/>
        </w:rPr>
        <w:t xml:space="preserve">dalších </w:t>
      </w:r>
      <w:r w:rsidR="00E946CB" w:rsidRPr="00E96440">
        <w:rPr>
          <w:b/>
        </w:rPr>
        <w:t>povinných požadavků na hospodaření</w:t>
      </w:r>
      <w:r w:rsidR="00E946CB">
        <w:rPr>
          <w:b/>
        </w:rPr>
        <w:t xml:space="preserve"> s vlivem na vodní prostředí</w:t>
      </w:r>
      <w:r>
        <w:rPr>
          <w:b/>
        </w:rPr>
        <w:t>.</w:t>
      </w:r>
    </w:p>
    <w:p w14:paraId="2712C410" w14:textId="77777777" w:rsidR="00850357" w:rsidRDefault="00850357" w:rsidP="00850357">
      <w:pPr>
        <w:pStyle w:val="Textkomente"/>
        <w:rPr>
          <w:rFonts w:cstheme="minorHAnsi"/>
          <w:b/>
          <w:sz w:val="24"/>
          <w:szCs w:val="24"/>
          <w:lang w:eastAsia="cs-CZ"/>
        </w:rPr>
      </w:pPr>
      <w:proofErr w:type="spellStart"/>
      <w:r w:rsidRPr="00B8543C">
        <w:rPr>
          <w:rFonts w:cstheme="minorHAnsi"/>
          <w:b/>
          <w:sz w:val="24"/>
          <w:szCs w:val="24"/>
          <w:lang w:eastAsia="cs-CZ"/>
        </w:rPr>
        <w:t>MZe</w:t>
      </w:r>
      <w:proofErr w:type="spellEnd"/>
      <w:r w:rsidR="00057C63">
        <w:rPr>
          <w:rFonts w:cstheme="minorHAnsi"/>
          <w:b/>
          <w:sz w:val="24"/>
          <w:szCs w:val="24"/>
          <w:lang w:eastAsia="cs-CZ"/>
        </w:rPr>
        <w:t>,</w:t>
      </w:r>
      <w:r w:rsidRPr="00B8543C">
        <w:rPr>
          <w:rFonts w:cstheme="minorHAnsi"/>
          <w:b/>
          <w:sz w:val="24"/>
          <w:szCs w:val="24"/>
          <w:lang w:eastAsia="cs-CZ"/>
        </w:rPr>
        <w:t xml:space="preserve"> MŽP a </w:t>
      </w:r>
      <w:proofErr w:type="spellStart"/>
      <w:r w:rsidRPr="00B8543C">
        <w:rPr>
          <w:rFonts w:cstheme="minorHAnsi"/>
          <w:b/>
          <w:sz w:val="24"/>
          <w:szCs w:val="24"/>
          <w:lang w:eastAsia="cs-CZ"/>
        </w:rPr>
        <w:t>MZd</w:t>
      </w:r>
      <w:proofErr w:type="spellEnd"/>
      <w:r w:rsidRPr="00B8543C">
        <w:rPr>
          <w:rFonts w:cstheme="minorHAnsi"/>
          <w:b/>
          <w:sz w:val="24"/>
          <w:szCs w:val="24"/>
          <w:lang w:eastAsia="cs-CZ"/>
        </w:rPr>
        <w:t xml:space="preserve"> </w:t>
      </w:r>
      <w:r w:rsidR="007C2B01" w:rsidRPr="00B8543C">
        <w:rPr>
          <w:rFonts w:cstheme="minorHAnsi"/>
          <w:b/>
          <w:sz w:val="24"/>
          <w:szCs w:val="24"/>
          <w:lang w:eastAsia="cs-CZ"/>
        </w:rPr>
        <w:t>zpracoval</w:t>
      </w:r>
      <w:r w:rsidR="00057C63">
        <w:rPr>
          <w:rFonts w:cstheme="minorHAnsi"/>
          <w:b/>
          <w:sz w:val="24"/>
          <w:szCs w:val="24"/>
          <w:lang w:eastAsia="cs-CZ"/>
        </w:rPr>
        <w:t>y</w:t>
      </w:r>
      <w:r w:rsidR="007C2B01" w:rsidRPr="00B8543C">
        <w:rPr>
          <w:rFonts w:cstheme="minorHAnsi"/>
          <w:b/>
          <w:sz w:val="24"/>
          <w:szCs w:val="24"/>
          <w:lang w:eastAsia="cs-CZ"/>
        </w:rPr>
        <w:t xml:space="preserve"> </w:t>
      </w:r>
      <w:r w:rsidR="00B81A98">
        <w:rPr>
          <w:rFonts w:cstheme="minorHAnsi"/>
          <w:b/>
          <w:sz w:val="24"/>
          <w:szCs w:val="24"/>
          <w:lang w:eastAsia="cs-CZ"/>
        </w:rPr>
        <w:t xml:space="preserve">k naplnění </w:t>
      </w:r>
      <w:r w:rsidRPr="00B8543C">
        <w:rPr>
          <w:rFonts w:cstheme="minorHAnsi"/>
          <w:b/>
          <w:sz w:val="24"/>
          <w:szCs w:val="24"/>
          <w:lang w:eastAsia="cs-CZ"/>
        </w:rPr>
        <w:t xml:space="preserve">požadavků </w:t>
      </w:r>
      <w:r w:rsidR="00E049F5">
        <w:rPr>
          <w:rFonts w:cstheme="minorHAnsi"/>
          <w:b/>
          <w:sz w:val="24"/>
          <w:szCs w:val="24"/>
          <w:lang w:eastAsia="cs-CZ"/>
        </w:rPr>
        <w:t>Evropské unie</w:t>
      </w:r>
      <w:r w:rsidRPr="00B8543C">
        <w:rPr>
          <w:rFonts w:cstheme="minorHAnsi"/>
          <w:b/>
          <w:sz w:val="24"/>
          <w:szCs w:val="24"/>
          <w:lang w:eastAsia="cs-CZ"/>
        </w:rPr>
        <w:t xml:space="preserve"> </w:t>
      </w:r>
      <w:r w:rsidR="00B81A98">
        <w:rPr>
          <w:rFonts w:cstheme="minorHAnsi"/>
          <w:b/>
          <w:sz w:val="24"/>
          <w:szCs w:val="24"/>
          <w:lang w:eastAsia="cs-CZ"/>
        </w:rPr>
        <w:t>s cílem</w:t>
      </w:r>
      <w:r w:rsidRPr="00B8543C">
        <w:rPr>
          <w:rFonts w:cstheme="minorHAnsi"/>
          <w:b/>
          <w:sz w:val="24"/>
          <w:szCs w:val="24"/>
          <w:lang w:eastAsia="cs-CZ"/>
        </w:rPr>
        <w:t xml:space="preserve"> zlepšit stav vod a</w:t>
      </w:r>
      <w:r w:rsidR="00A50660">
        <w:rPr>
          <w:rFonts w:cstheme="minorHAnsi"/>
          <w:b/>
          <w:sz w:val="24"/>
          <w:szCs w:val="24"/>
          <w:lang w:eastAsia="cs-CZ"/>
        </w:rPr>
        <w:t> </w:t>
      </w:r>
      <w:r w:rsidR="00B81A98" w:rsidRPr="007B217A">
        <w:rPr>
          <w:rFonts w:cstheme="minorHAnsi"/>
          <w:b/>
          <w:sz w:val="24"/>
          <w:szCs w:val="24"/>
          <w:lang w:eastAsia="cs-CZ"/>
        </w:rPr>
        <w:t xml:space="preserve">změnit </w:t>
      </w:r>
      <w:r w:rsidRPr="007B217A">
        <w:rPr>
          <w:rFonts w:cstheme="minorHAnsi"/>
          <w:b/>
          <w:sz w:val="24"/>
          <w:szCs w:val="24"/>
          <w:lang w:eastAsia="cs-CZ"/>
        </w:rPr>
        <w:t>dosavadní zemědělskou praxi</w:t>
      </w:r>
      <w:r w:rsidR="007B217A" w:rsidRPr="007B217A">
        <w:rPr>
          <w:rStyle w:val="Znakapoznpodarou"/>
          <w:rFonts w:cstheme="minorHAnsi"/>
          <w:b/>
          <w:sz w:val="24"/>
          <w:szCs w:val="24"/>
          <w:lang w:eastAsia="cs-CZ"/>
        </w:rPr>
        <w:footnoteReference w:id="5"/>
      </w:r>
      <w:r w:rsidRPr="00B8543C">
        <w:rPr>
          <w:rFonts w:cstheme="minorHAnsi"/>
          <w:b/>
          <w:sz w:val="24"/>
          <w:szCs w:val="24"/>
          <w:lang w:eastAsia="cs-CZ"/>
        </w:rPr>
        <w:t xml:space="preserve"> dva na sebe navazující </w:t>
      </w:r>
      <w:r w:rsidR="00A50660">
        <w:rPr>
          <w:rFonts w:cstheme="minorHAnsi"/>
          <w:b/>
          <w:sz w:val="24"/>
          <w:szCs w:val="24"/>
          <w:lang w:eastAsia="cs-CZ"/>
        </w:rPr>
        <w:t>n</w:t>
      </w:r>
      <w:r w:rsidRPr="00B8543C">
        <w:rPr>
          <w:rFonts w:cstheme="minorHAnsi"/>
          <w:b/>
          <w:sz w:val="24"/>
          <w:szCs w:val="24"/>
          <w:lang w:eastAsia="cs-CZ"/>
        </w:rPr>
        <w:t>árodní akční plány</w:t>
      </w:r>
      <w:r w:rsidR="00FA00D7">
        <w:rPr>
          <w:rFonts w:cstheme="minorHAnsi"/>
          <w:b/>
          <w:sz w:val="24"/>
          <w:szCs w:val="24"/>
          <w:lang w:eastAsia="cs-CZ"/>
        </w:rPr>
        <w:t>.</w:t>
      </w:r>
      <w:r w:rsidRPr="00B8543C">
        <w:rPr>
          <w:rFonts w:cstheme="minorHAnsi"/>
          <w:b/>
          <w:sz w:val="24"/>
          <w:szCs w:val="24"/>
          <w:lang w:eastAsia="cs-CZ"/>
        </w:rPr>
        <w:t xml:space="preserve"> </w:t>
      </w:r>
      <w:r>
        <w:rPr>
          <w:rFonts w:cstheme="minorHAnsi"/>
          <w:b/>
          <w:sz w:val="24"/>
          <w:szCs w:val="24"/>
          <w:lang w:eastAsia="cs-CZ"/>
        </w:rPr>
        <w:t xml:space="preserve">Tyto </w:t>
      </w:r>
      <w:r w:rsidRPr="00B8543C">
        <w:rPr>
          <w:rFonts w:cstheme="minorHAnsi"/>
          <w:b/>
          <w:sz w:val="24"/>
          <w:szCs w:val="24"/>
          <w:lang w:eastAsia="cs-CZ"/>
        </w:rPr>
        <w:t>plány nebyly</w:t>
      </w:r>
      <w:r w:rsidR="00266D0D">
        <w:rPr>
          <w:rFonts w:cstheme="minorHAnsi"/>
          <w:b/>
          <w:sz w:val="24"/>
          <w:szCs w:val="24"/>
          <w:lang w:eastAsia="cs-CZ"/>
        </w:rPr>
        <w:t>, resp. nejsou</w:t>
      </w:r>
      <w:r w:rsidRPr="00B8543C">
        <w:rPr>
          <w:rFonts w:cstheme="minorHAnsi"/>
          <w:b/>
          <w:sz w:val="24"/>
          <w:szCs w:val="24"/>
          <w:lang w:eastAsia="cs-CZ"/>
        </w:rPr>
        <w:t xml:space="preserve"> nastaveny a realizovány tak, aby </w:t>
      </w:r>
      <w:r>
        <w:rPr>
          <w:rFonts w:cstheme="minorHAnsi"/>
          <w:b/>
          <w:sz w:val="24"/>
          <w:szCs w:val="24"/>
          <w:lang w:eastAsia="cs-CZ"/>
        </w:rPr>
        <w:t xml:space="preserve">vedly </w:t>
      </w:r>
      <w:r w:rsidR="00057C63">
        <w:rPr>
          <w:rFonts w:cstheme="minorHAnsi"/>
          <w:b/>
          <w:sz w:val="24"/>
          <w:szCs w:val="24"/>
          <w:lang w:eastAsia="cs-CZ"/>
        </w:rPr>
        <w:t>k dosažení vytyčených cílů, a tím k účelnému vynakládání peněžních prostředků na realizaci opatření.</w:t>
      </w:r>
      <w:r>
        <w:rPr>
          <w:rFonts w:cstheme="minorHAnsi"/>
          <w:b/>
          <w:sz w:val="24"/>
          <w:szCs w:val="24"/>
          <w:lang w:eastAsia="cs-CZ"/>
        </w:rPr>
        <w:t xml:space="preserve"> Rovněž efektivnost realizovaných opa</w:t>
      </w:r>
      <w:r w:rsidR="001F2B4B">
        <w:rPr>
          <w:rFonts w:cstheme="minorHAnsi"/>
          <w:b/>
          <w:sz w:val="24"/>
          <w:szCs w:val="24"/>
          <w:lang w:eastAsia="cs-CZ"/>
        </w:rPr>
        <w:t>t</w:t>
      </w:r>
      <w:r>
        <w:rPr>
          <w:rFonts w:cstheme="minorHAnsi"/>
          <w:b/>
          <w:sz w:val="24"/>
          <w:szCs w:val="24"/>
          <w:lang w:eastAsia="cs-CZ"/>
        </w:rPr>
        <w:t xml:space="preserve">ření </w:t>
      </w:r>
      <w:r w:rsidR="00992DF3">
        <w:rPr>
          <w:rFonts w:cstheme="minorHAnsi"/>
          <w:b/>
          <w:sz w:val="24"/>
          <w:szCs w:val="24"/>
          <w:lang w:eastAsia="cs-CZ"/>
        </w:rPr>
        <w:t xml:space="preserve">nedosahovala </w:t>
      </w:r>
      <w:r>
        <w:rPr>
          <w:rFonts w:cstheme="minorHAnsi"/>
          <w:b/>
          <w:sz w:val="24"/>
          <w:szCs w:val="24"/>
          <w:lang w:eastAsia="cs-CZ"/>
        </w:rPr>
        <w:t xml:space="preserve">podle zjištění NKÚ </w:t>
      </w:r>
      <w:r w:rsidR="006F75D2">
        <w:rPr>
          <w:rFonts w:cstheme="minorHAnsi"/>
          <w:b/>
          <w:sz w:val="24"/>
          <w:szCs w:val="24"/>
          <w:lang w:eastAsia="cs-CZ"/>
        </w:rPr>
        <w:t xml:space="preserve">takové </w:t>
      </w:r>
      <w:r w:rsidR="00992DF3">
        <w:rPr>
          <w:rFonts w:cstheme="minorHAnsi"/>
          <w:b/>
          <w:sz w:val="24"/>
          <w:szCs w:val="24"/>
          <w:lang w:eastAsia="cs-CZ"/>
        </w:rPr>
        <w:t>míry</w:t>
      </w:r>
      <w:r>
        <w:rPr>
          <w:rFonts w:cstheme="minorHAnsi"/>
          <w:b/>
          <w:sz w:val="24"/>
          <w:szCs w:val="24"/>
          <w:lang w:eastAsia="cs-CZ"/>
        </w:rPr>
        <w:t xml:space="preserve">, aby </w:t>
      </w:r>
      <w:r w:rsidR="00992DF3">
        <w:rPr>
          <w:rFonts w:cstheme="minorHAnsi"/>
          <w:b/>
          <w:sz w:val="24"/>
          <w:szCs w:val="24"/>
          <w:lang w:eastAsia="cs-CZ"/>
        </w:rPr>
        <w:t xml:space="preserve">byla </w:t>
      </w:r>
      <w:r w:rsidR="00653BC6">
        <w:rPr>
          <w:rFonts w:cstheme="minorHAnsi"/>
          <w:b/>
          <w:sz w:val="24"/>
          <w:szCs w:val="24"/>
          <w:lang w:eastAsia="cs-CZ"/>
        </w:rPr>
        <w:t>p</w:t>
      </w:r>
      <w:r w:rsidR="00992DF3">
        <w:rPr>
          <w:rFonts w:cstheme="minorHAnsi"/>
          <w:b/>
          <w:sz w:val="24"/>
          <w:szCs w:val="24"/>
          <w:lang w:eastAsia="cs-CZ"/>
        </w:rPr>
        <w:t xml:space="preserve">řínosem </w:t>
      </w:r>
      <w:r w:rsidR="00057C63">
        <w:rPr>
          <w:rFonts w:cstheme="minorHAnsi"/>
          <w:b/>
          <w:sz w:val="24"/>
          <w:szCs w:val="24"/>
          <w:lang w:eastAsia="cs-CZ"/>
        </w:rPr>
        <w:t>pro</w:t>
      </w:r>
      <w:r w:rsidR="00992DF3">
        <w:rPr>
          <w:rFonts w:cstheme="minorHAnsi"/>
          <w:b/>
          <w:sz w:val="24"/>
          <w:szCs w:val="24"/>
          <w:lang w:eastAsia="cs-CZ"/>
        </w:rPr>
        <w:t xml:space="preserve"> </w:t>
      </w:r>
      <w:r w:rsidRPr="00B8543C">
        <w:rPr>
          <w:rFonts w:cstheme="minorHAnsi"/>
          <w:b/>
          <w:sz w:val="24"/>
          <w:szCs w:val="24"/>
          <w:lang w:eastAsia="cs-CZ"/>
        </w:rPr>
        <w:t>sn</w:t>
      </w:r>
      <w:r>
        <w:rPr>
          <w:rFonts w:cstheme="minorHAnsi"/>
          <w:b/>
          <w:sz w:val="24"/>
          <w:szCs w:val="24"/>
          <w:lang w:eastAsia="cs-CZ"/>
        </w:rPr>
        <w:t>í</w:t>
      </w:r>
      <w:r w:rsidRPr="00B8543C">
        <w:rPr>
          <w:rFonts w:cstheme="minorHAnsi"/>
          <w:b/>
          <w:sz w:val="24"/>
          <w:szCs w:val="24"/>
          <w:lang w:eastAsia="cs-CZ"/>
        </w:rPr>
        <w:t>ž</w:t>
      </w:r>
      <w:r>
        <w:rPr>
          <w:rFonts w:cstheme="minorHAnsi"/>
          <w:b/>
          <w:sz w:val="24"/>
          <w:szCs w:val="24"/>
          <w:lang w:eastAsia="cs-CZ"/>
        </w:rPr>
        <w:t xml:space="preserve">ení </w:t>
      </w:r>
      <w:r w:rsidRPr="00B8543C">
        <w:rPr>
          <w:rFonts w:cstheme="minorHAnsi"/>
          <w:b/>
          <w:sz w:val="24"/>
          <w:szCs w:val="24"/>
          <w:lang w:eastAsia="cs-CZ"/>
        </w:rPr>
        <w:t xml:space="preserve">znečištění </w:t>
      </w:r>
      <w:r>
        <w:rPr>
          <w:rFonts w:cstheme="minorHAnsi"/>
          <w:b/>
          <w:sz w:val="24"/>
          <w:szCs w:val="24"/>
          <w:lang w:eastAsia="cs-CZ"/>
        </w:rPr>
        <w:t>podzemních a povrchových</w:t>
      </w:r>
      <w:r w:rsidR="00EF2289">
        <w:rPr>
          <w:rFonts w:cstheme="minorHAnsi"/>
          <w:b/>
          <w:sz w:val="24"/>
          <w:szCs w:val="24"/>
          <w:lang w:eastAsia="cs-CZ"/>
        </w:rPr>
        <w:t xml:space="preserve"> vod</w:t>
      </w:r>
      <w:r w:rsidR="00743508">
        <w:rPr>
          <w:rFonts w:cstheme="minorHAnsi"/>
          <w:b/>
          <w:sz w:val="24"/>
          <w:szCs w:val="24"/>
          <w:lang w:eastAsia="cs-CZ"/>
        </w:rPr>
        <w:t xml:space="preserve"> </w:t>
      </w:r>
      <w:r w:rsidR="00743508" w:rsidRPr="00781D2E">
        <w:rPr>
          <w:b/>
          <w:sz w:val="24"/>
          <w:szCs w:val="24"/>
        </w:rPr>
        <w:t>pesticidními látkami</w:t>
      </w:r>
      <w:r w:rsidR="00EF2289">
        <w:rPr>
          <w:rFonts w:cstheme="minorHAnsi"/>
          <w:b/>
          <w:sz w:val="24"/>
          <w:szCs w:val="24"/>
          <w:lang w:eastAsia="cs-CZ"/>
        </w:rPr>
        <w:t>.</w:t>
      </w:r>
    </w:p>
    <w:p w14:paraId="15F869EA" w14:textId="77777777" w:rsidR="00F60613" w:rsidRDefault="00850357" w:rsidP="009A2346">
      <w:pPr>
        <w:rPr>
          <w:rFonts w:cstheme="minorHAnsi"/>
          <w:b/>
          <w:szCs w:val="24"/>
          <w:lang w:eastAsia="cs-CZ"/>
        </w:rPr>
      </w:pPr>
      <w:r w:rsidRPr="00C572A2">
        <w:rPr>
          <w:rFonts w:cstheme="minorHAnsi"/>
          <w:b/>
          <w:szCs w:val="24"/>
          <w:lang w:eastAsia="cs-CZ"/>
        </w:rPr>
        <w:t xml:space="preserve">Na </w:t>
      </w:r>
      <w:r w:rsidRPr="00024CFA">
        <w:rPr>
          <w:rFonts w:cstheme="minorHAnsi"/>
          <w:b/>
          <w:szCs w:val="24"/>
          <w:lang w:eastAsia="cs-CZ"/>
        </w:rPr>
        <w:t xml:space="preserve">realizaci </w:t>
      </w:r>
      <w:r w:rsidRPr="00C572A2">
        <w:rPr>
          <w:rFonts w:cstheme="minorHAnsi"/>
          <w:b/>
          <w:szCs w:val="24"/>
          <w:lang w:eastAsia="cs-CZ"/>
        </w:rPr>
        <w:t xml:space="preserve">opatření </w:t>
      </w:r>
      <w:r>
        <w:rPr>
          <w:rFonts w:cstheme="minorHAnsi"/>
          <w:b/>
          <w:szCs w:val="24"/>
          <w:lang w:eastAsia="cs-CZ"/>
        </w:rPr>
        <w:t xml:space="preserve">obou </w:t>
      </w:r>
      <w:r w:rsidR="00A50660">
        <w:rPr>
          <w:rFonts w:cstheme="minorHAnsi"/>
          <w:b/>
          <w:szCs w:val="24"/>
          <w:lang w:eastAsia="cs-CZ"/>
        </w:rPr>
        <w:t>n</w:t>
      </w:r>
      <w:r>
        <w:rPr>
          <w:rFonts w:cstheme="minorHAnsi"/>
          <w:b/>
          <w:szCs w:val="24"/>
          <w:lang w:eastAsia="cs-CZ"/>
        </w:rPr>
        <w:t xml:space="preserve">árodních akčních plánů </w:t>
      </w:r>
      <w:r w:rsidRPr="00C572A2">
        <w:rPr>
          <w:rFonts w:cstheme="minorHAnsi"/>
          <w:b/>
          <w:szCs w:val="24"/>
          <w:lang w:eastAsia="cs-CZ"/>
        </w:rPr>
        <w:t xml:space="preserve">byly vynaloženy peněžní prostředky ve </w:t>
      </w:r>
      <w:r w:rsidRPr="0085515A">
        <w:rPr>
          <w:rFonts w:cstheme="minorHAnsi"/>
          <w:b/>
          <w:szCs w:val="24"/>
          <w:lang w:eastAsia="cs-CZ"/>
        </w:rPr>
        <w:t>výši 65 mil. Kč. Zpravidla</w:t>
      </w:r>
      <w:r w:rsidRPr="00C572A2">
        <w:rPr>
          <w:rFonts w:cstheme="minorHAnsi"/>
          <w:b/>
          <w:szCs w:val="24"/>
          <w:lang w:eastAsia="cs-CZ"/>
        </w:rPr>
        <w:t xml:space="preserve"> se však jednalo o </w:t>
      </w:r>
      <w:r w:rsidR="00EF2289">
        <w:rPr>
          <w:rFonts w:cstheme="minorHAnsi"/>
          <w:b/>
          <w:szCs w:val="24"/>
          <w:lang w:eastAsia="cs-CZ"/>
        </w:rPr>
        <w:t xml:space="preserve">plnění </w:t>
      </w:r>
      <w:r w:rsidRPr="00C572A2">
        <w:rPr>
          <w:rFonts w:cstheme="minorHAnsi"/>
          <w:b/>
          <w:szCs w:val="24"/>
          <w:lang w:eastAsia="cs-CZ"/>
        </w:rPr>
        <w:t>analytick</w:t>
      </w:r>
      <w:r w:rsidR="00EF2289">
        <w:rPr>
          <w:rFonts w:cstheme="minorHAnsi"/>
          <w:b/>
          <w:szCs w:val="24"/>
          <w:lang w:eastAsia="cs-CZ"/>
        </w:rPr>
        <w:t>ých</w:t>
      </w:r>
      <w:r w:rsidRPr="00C572A2">
        <w:rPr>
          <w:rFonts w:cstheme="minorHAnsi"/>
          <w:b/>
          <w:szCs w:val="24"/>
          <w:lang w:eastAsia="cs-CZ"/>
        </w:rPr>
        <w:t>, metodick</w:t>
      </w:r>
      <w:r w:rsidR="00EF2289">
        <w:rPr>
          <w:rFonts w:cstheme="minorHAnsi"/>
          <w:b/>
          <w:szCs w:val="24"/>
          <w:lang w:eastAsia="cs-CZ"/>
        </w:rPr>
        <w:t>ých</w:t>
      </w:r>
      <w:r w:rsidRPr="00C572A2">
        <w:rPr>
          <w:rFonts w:cstheme="minorHAnsi"/>
          <w:b/>
          <w:szCs w:val="24"/>
          <w:lang w:eastAsia="cs-CZ"/>
        </w:rPr>
        <w:t xml:space="preserve"> a formální</w:t>
      </w:r>
      <w:r w:rsidR="00EF2289">
        <w:rPr>
          <w:rFonts w:cstheme="minorHAnsi"/>
          <w:b/>
          <w:szCs w:val="24"/>
          <w:lang w:eastAsia="cs-CZ"/>
        </w:rPr>
        <w:t>ch</w:t>
      </w:r>
      <w:r w:rsidRPr="00C572A2">
        <w:rPr>
          <w:rFonts w:cstheme="minorHAnsi"/>
          <w:b/>
          <w:szCs w:val="24"/>
          <w:lang w:eastAsia="cs-CZ"/>
        </w:rPr>
        <w:t xml:space="preserve"> úkol</w:t>
      </w:r>
      <w:r w:rsidR="00EF2289">
        <w:rPr>
          <w:rFonts w:cstheme="minorHAnsi"/>
          <w:b/>
          <w:szCs w:val="24"/>
          <w:lang w:eastAsia="cs-CZ"/>
        </w:rPr>
        <w:t>ů</w:t>
      </w:r>
      <w:r w:rsidRPr="00C572A2">
        <w:rPr>
          <w:rFonts w:cstheme="minorHAnsi"/>
          <w:b/>
          <w:szCs w:val="24"/>
          <w:lang w:eastAsia="cs-CZ"/>
        </w:rPr>
        <w:t>, které</w:t>
      </w:r>
      <w:r w:rsidR="00FA00D7">
        <w:rPr>
          <w:rFonts w:cstheme="minorHAnsi"/>
          <w:b/>
          <w:szCs w:val="24"/>
          <w:lang w:eastAsia="cs-CZ"/>
        </w:rPr>
        <w:t xml:space="preserve"> byly</w:t>
      </w:r>
      <w:r w:rsidR="003B4E98">
        <w:rPr>
          <w:rFonts w:cstheme="minorHAnsi"/>
          <w:b/>
          <w:szCs w:val="24"/>
          <w:lang w:eastAsia="cs-CZ"/>
        </w:rPr>
        <w:t xml:space="preserve"> pouze předpokladem pro </w:t>
      </w:r>
      <w:r w:rsidR="0054329C">
        <w:rPr>
          <w:rFonts w:cstheme="minorHAnsi"/>
          <w:b/>
          <w:szCs w:val="24"/>
          <w:lang w:eastAsia="cs-CZ"/>
        </w:rPr>
        <w:t>konkrétní</w:t>
      </w:r>
      <w:r w:rsidR="003B4E98">
        <w:rPr>
          <w:rFonts w:cstheme="minorHAnsi"/>
          <w:b/>
          <w:szCs w:val="24"/>
          <w:lang w:eastAsia="cs-CZ"/>
        </w:rPr>
        <w:t xml:space="preserve"> opatření a činnosti zlepš</w:t>
      </w:r>
      <w:r w:rsidR="0054329C">
        <w:rPr>
          <w:rFonts w:cstheme="minorHAnsi"/>
          <w:b/>
          <w:szCs w:val="24"/>
          <w:lang w:eastAsia="cs-CZ"/>
        </w:rPr>
        <w:t>ující</w:t>
      </w:r>
      <w:r w:rsidR="003B4E98">
        <w:rPr>
          <w:rFonts w:cstheme="minorHAnsi"/>
          <w:b/>
          <w:szCs w:val="24"/>
          <w:lang w:eastAsia="cs-CZ"/>
        </w:rPr>
        <w:t xml:space="preserve"> stav vod.</w:t>
      </w:r>
      <w:r w:rsidRPr="00C572A2">
        <w:rPr>
          <w:rFonts w:cstheme="minorHAnsi"/>
          <w:b/>
          <w:szCs w:val="24"/>
          <w:lang w:eastAsia="cs-CZ"/>
        </w:rPr>
        <w:t xml:space="preserve"> </w:t>
      </w:r>
      <w:r w:rsidRPr="00B8543C">
        <w:rPr>
          <w:rFonts w:cstheme="minorHAnsi"/>
          <w:b/>
          <w:szCs w:val="24"/>
          <w:lang w:eastAsia="cs-CZ"/>
        </w:rPr>
        <w:t xml:space="preserve">Zásadní opatření </w:t>
      </w:r>
      <w:r w:rsidR="00A50660">
        <w:rPr>
          <w:rFonts w:cstheme="minorHAnsi"/>
          <w:b/>
          <w:szCs w:val="24"/>
          <w:lang w:eastAsia="cs-CZ"/>
        </w:rPr>
        <w:t>n</w:t>
      </w:r>
      <w:r>
        <w:rPr>
          <w:rFonts w:cstheme="minorHAnsi"/>
          <w:b/>
          <w:szCs w:val="24"/>
          <w:lang w:eastAsia="cs-CZ"/>
        </w:rPr>
        <w:t>árodního akčního plánu pro období 2013</w:t>
      </w:r>
      <w:r w:rsidR="00DF6B84">
        <w:rPr>
          <w:rFonts w:cstheme="minorHAnsi"/>
          <w:b/>
          <w:szCs w:val="24"/>
          <w:lang w:eastAsia="cs-CZ"/>
        </w:rPr>
        <w:t>–</w:t>
      </w:r>
      <w:r>
        <w:rPr>
          <w:rFonts w:cstheme="minorHAnsi"/>
          <w:b/>
          <w:szCs w:val="24"/>
          <w:lang w:eastAsia="cs-CZ"/>
        </w:rPr>
        <w:t>2017</w:t>
      </w:r>
      <w:r w:rsidR="00C52CF1">
        <w:rPr>
          <w:rFonts w:cstheme="minorHAnsi"/>
          <w:b/>
          <w:szCs w:val="24"/>
          <w:lang w:eastAsia="cs-CZ"/>
        </w:rPr>
        <w:t xml:space="preserve"> </w:t>
      </w:r>
      <w:r w:rsidR="00E56EB5">
        <w:rPr>
          <w:rFonts w:cstheme="minorHAnsi"/>
          <w:b/>
          <w:szCs w:val="24"/>
          <w:lang w:eastAsia="cs-CZ"/>
        </w:rPr>
        <w:t>ministerstva nesplnila</w:t>
      </w:r>
      <w:r w:rsidR="00F27AE2">
        <w:rPr>
          <w:rFonts w:cstheme="minorHAnsi"/>
          <w:b/>
          <w:szCs w:val="24"/>
          <w:lang w:eastAsia="cs-CZ"/>
        </w:rPr>
        <w:t xml:space="preserve">. </w:t>
      </w:r>
      <w:r w:rsidR="00E56EB5">
        <w:rPr>
          <w:rFonts w:cstheme="minorHAnsi"/>
          <w:b/>
          <w:szCs w:val="24"/>
          <w:lang w:eastAsia="cs-CZ"/>
        </w:rPr>
        <w:t xml:space="preserve">V obdobném znění je proto </w:t>
      </w:r>
      <w:r w:rsidR="00F27AE2">
        <w:rPr>
          <w:rFonts w:cstheme="minorHAnsi"/>
          <w:b/>
          <w:szCs w:val="24"/>
          <w:lang w:eastAsia="cs-CZ"/>
        </w:rPr>
        <w:t>přenesl</w:t>
      </w:r>
      <w:r w:rsidR="00E56EB5">
        <w:rPr>
          <w:rFonts w:cstheme="minorHAnsi"/>
          <w:b/>
          <w:szCs w:val="24"/>
          <w:lang w:eastAsia="cs-CZ"/>
        </w:rPr>
        <w:t>a</w:t>
      </w:r>
      <w:r w:rsidR="00F27AE2">
        <w:rPr>
          <w:rFonts w:cstheme="minorHAnsi"/>
          <w:b/>
          <w:szCs w:val="24"/>
          <w:lang w:eastAsia="cs-CZ"/>
        </w:rPr>
        <w:t xml:space="preserve"> </w:t>
      </w:r>
      <w:r>
        <w:rPr>
          <w:rFonts w:cstheme="minorHAnsi"/>
          <w:b/>
          <w:szCs w:val="24"/>
          <w:lang w:eastAsia="cs-CZ"/>
        </w:rPr>
        <w:t>do plánu pro období 2018</w:t>
      </w:r>
      <w:r w:rsidR="00DF6B84">
        <w:rPr>
          <w:rFonts w:cstheme="minorHAnsi"/>
          <w:b/>
          <w:szCs w:val="24"/>
          <w:lang w:eastAsia="cs-CZ"/>
        </w:rPr>
        <w:t>–</w:t>
      </w:r>
      <w:r>
        <w:rPr>
          <w:rFonts w:cstheme="minorHAnsi"/>
          <w:b/>
          <w:szCs w:val="24"/>
          <w:lang w:eastAsia="cs-CZ"/>
        </w:rPr>
        <w:t>2022.</w:t>
      </w:r>
      <w:r w:rsidRPr="00B8543C">
        <w:rPr>
          <w:rFonts w:cstheme="minorHAnsi"/>
          <w:b/>
          <w:szCs w:val="24"/>
          <w:lang w:eastAsia="cs-CZ"/>
        </w:rPr>
        <w:t xml:space="preserve"> Jednalo se zejména o opatření spočívající v nastavení </w:t>
      </w:r>
      <w:r w:rsidRPr="0054329C">
        <w:rPr>
          <w:rFonts w:cstheme="minorHAnsi"/>
          <w:b/>
          <w:szCs w:val="24"/>
          <w:lang w:eastAsia="cs-CZ"/>
        </w:rPr>
        <w:t>cíleného monitoringu pesticid</w:t>
      </w:r>
      <w:r w:rsidR="00E049F5" w:rsidRPr="0054329C">
        <w:rPr>
          <w:rFonts w:cstheme="minorHAnsi"/>
          <w:b/>
          <w:szCs w:val="24"/>
          <w:lang w:eastAsia="cs-CZ"/>
        </w:rPr>
        <w:t>ních látek</w:t>
      </w:r>
      <w:r w:rsidRPr="00B8543C">
        <w:rPr>
          <w:rFonts w:cstheme="minorHAnsi"/>
          <w:b/>
          <w:szCs w:val="24"/>
          <w:lang w:eastAsia="cs-CZ"/>
        </w:rPr>
        <w:t xml:space="preserve"> v </w:t>
      </w:r>
      <w:r w:rsidRPr="00F60613">
        <w:rPr>
          <w:rFonts w:cstheme="minorHAnsi"/>
          <w:b/>
          <w:szCs w:val="24"/>
          <w:lang w:eastAsia="cs-CZ"/>
        </w:rPr>
        <w:t>pitné vodě</w:t>
      </w:r>
      <w:r w:rsidR="00FA00D7" w:rsidRPr="00F60613">
        <w:rPr>
          <w:rFonts w:cstheme="minorHAnsi"/>
          <w:b/>
          <w:szCs w:val="24"/>
          <w:lang w:eastAsia="cs-CZ"/>
        </w:rPr>
        <w:t xml:space="preserve"> a</w:t>
      </w:r>
      <w:r w:rsidRPr="00F60613">
        <w:rPr>
          <w:rFonts w:cstheme="minorHAnsi"/>
          <w:b/>
          <w:szCs w:val="24"/>
          <w:lang w:eastAsia="cs-CZ"/>
        </w:rPr>
        <w:t xml:space="preserve"> zavedení povinné evidence </w:t>
      </w:r>
      <w:r w:rsidR="00EF2289" w:rsidRPr="00F60613">
        <w:rPr>
          <w:rFonts w:cstheme="minorHAnsi"/>
          <w:b/>
          <w:szCs w:val="24"/>
          <w:lang w:eastAsia="cs-CZ"/>
        </w:rPr>
        <w:t>s</w:t>
      </w:r>
      <w:r w:rsidRPr="00F60613">
        <w:rPr>
          <w:rFonts w:cstheme="minorHAnsi"/>
          <w:b/>
          <w:szCs w:val="24"/>
          <w:lang w:eastAsia="cs-CZ"/>
        </w:rPr>
        <w:t>potřeby pesticidů pro zemědělské subjekty</w:t>
      </w:r>
      <w:r w:rsidR="007C2848" w:rsidRPr="00F60613">
        <w:rPr>
          <w:rFonts w:cstheme="minorHAnsi"/>
          <w:b/>
          <w:szCs w:val="24"/>
          <w:lang w:eastAsia="cs-CZ"/>
        </w:rPr>
        <w:t>.</w:t>
      </w:r>
      <w:r w:rsidRPr="00F60613">
        <w:rPr>
          <w:rFonts w:cstheme="minorHAnsi"/>
          <w:b/>
          <w:szCs w:val="24"/>
          <w:lang w:eastAsia="cs-CZ"/>
        </w:rPr>
        <w:t xml:space="preserve"> </w:t>
      </w:r>
      <w:proofErr w:type="spellStart"/>
      <w:r w:rsidR="00F60613" w:rsidRPr="00F60613">
        <w:rPr>
          <w:rFonts w:cstheme="minorHAnsi"/>
          <w:b/>
          <w:szCs w:val="24"/>
          <w:lang w:eastAsia="cs-CZ"/>
        </w:rPr>
        <w:t>MZe</w:t>
      </w:r>
      <w:proofErr w:type="spellEnd"/>
      <w:r w:rsidR="00F60613" w:rsidRPr="00F60613">
        <w:rPr>
          <w:rFonts w:cstheme="minorHAnsi"/>
          <w:b/>
          <w:szCs w:val="24"/>
          <w:lang w:eastAsia="cs-CZ"/>
        </w:rPr>
        <w:t xml:space="preserve"> se také dlouhodobě nedaří </w:t>
      </w:r>
      <w:r w:rsidR="00F60613" w:rsidRPr="00F60613">
        <w:rPr>
          <w:b/>
          <w:lang w:bidi="cs-CZ"/>
        </w:rPr>
        <w:t>prosadit v rámci konvenčního způsobu zemědělského hospodaření uplatňování zásad integrované ochrany rostlin.</w:t>
      </w:r>
      <w:r w:rsidR="00B3479D">
        <w:rPr>
          <w:rFonts w:cstheme="minorHAnsi"/>
          <w:b/>
          <w:szCs w:val="24"/>
          <w:lang w:eastAsia="cs-CZ"/>
        </w:rPr>
        <w:t xml:space="preserve"> </w:t>
      </w:r>
      <w:r w:rsidRPr="00F60613">
        <w:rPr>
          <w:rFonts w:cstheme="minorHAnsi"/>
          <w:b/>
          <w:szCs w:val="24"/>
          <w:lang w:eastAsia="cs-CZ"/>
        </w:rPr>
        <w:t xml:space="preserve">Nenaplnění </w:t>
      </w:r>
      <w:r w:rsidR="00653BC6" w:rsidRPr="00551B7D">
        <w:rPr>
          <w:rFonts w:cstheme="minorHAnsi"/>
          <w:b/>
          <w:szCs w:val="24"/>
          <w:lang w:eastAsia="cs-CZ"/>
        </w:rPr>
        <w:t>těchto</w:t>
      </w:r>
      <w:r w:rsidR="00F60613" w:rsidRPr="00551B7D">
        <w:rPr>
          <w:rFonts w:cstheme="minorHAnsi"/>
          <w:b/>
          <w:szCs w:val="24"/>
          <w:lang w:eastAsia="cs-CZ"/>
        </w:rPr>
        <w:t xml:space="preserve"> </w:t>
      </w:r>
      <w:r w:rsidRPr="00551B7D">
        <w:rPr>
          <w:rFonts w:cstheme="minorHAnsi"/>
          <w:b/>
          <w:szCs w:val="24"/>
          <w:lang w:eastAsia="cs-CZ"/>
        </w:rPr>
        <w:t>opatření</w:t>
      </w:r>
      <w:r w:rsidR="00F60613" w:rsidRPr="00F60613">
        <w:rPr>
          <w:rFonts w:cstheme="minorHAnsi"/>
          <w:b/>
          <w:szCs w:val="24"/>
          <w:lang w:eastAsia="cs-CZ"/>
        </w:rPr>
        <w:t xml:space="preserve"> </w:t>
      </w:r>
      <w:r w:rsidR="00A50660">
        <w:rPr>
          <w:rFonts w:cstheme="minorHAnsi"/>
          <w:b/>
          <w:szCs w:val="24"/>
          <w:lang w:eastAsia="cs-CZ"/>
        </w:rPr>
        <w:t>n</w:t>
      </w:r>
      <w:r w:rsidR="00F60613" w:rsidRPr="00F60613">
        <w:rPr>
          <w:rFonts w:cstheme="minorHAnsi"/>
          <w:b/>
          <w:szCs w:val="24"/>
          <w:lang w:eastAsia="cs-CZ"/>
        </w:rPr>
        <w:t>árodních akčních plánů</w:t>
      </w:r>
      <w:r w:rsidRPr="00F60613">
        <w:rPr>
          <w:rFonts w:cstheme="minorHAnsi"/>
          <w:b/>
          <w:szCs w:val="24"/>
          <w:lang w:eastAsia="cs-CZ"/>
        </w:rPr>
        <w:t xml:space="preserve"> </w:t>
      </w:r>
      <w:r w:rsidR="00C53D32" w:rsidRPr="00F60613">
        <w:rPr>
          <w:rFonts w:cstheme="minorHAnsi"/>
          <w:b/>
          <w:szCs w:val="24"/>
          <w:lang w:eastAsia="cs-CZ"/>
        </w:rPr>
        <w:t>bylo ovlivněno</w:t>
      </w:r>
      <w:r w:rsidRPr="00F60613">
        <w:rPr>
          <w:rFonts w:cstheme="minorHAnsi"/>
          <w:b/>
          <w:szCs w:val="24"/>
          <w:lang w:eastAsia="cs-CZ"/>
        </w:rPr>
        <w:t xml:space="preserve"> i ne</w:t>
      </w:r>
      <w:r w:rsidR="00781D2E" w:rsidRPr="00F60613">
        <w:rPr>
          <w:rFonts w:cstheme="minorHAnsi"/>
          <w:b/>
          <w:szCs w:val="24"/>
          <w:lang w:eastAsia="cs-CZ"/>
        </w:rPr>
        <w:t>schopností</w:t>
      </w:r>
      <w:r w:rsidRPr="00F60613">
        <w:rPr>
          <w:rFonts w:cstheme="minorHAnsi"/>
          <w:b/>
          <w:szCs w:val="24"/>
          <w:lang w:eastAsia="cs-CZ"/>
        </w:rPr>
        <w:t xml:space="preserve"> zúčastněných </w:t>
      </w:r>
      <w:r w:rsidR="00A86481" w:rsidRPr="00F60613">
        <w:rPr>
          <w:rFonts w:cstheme="minorHAnsi"/>
          <w:b/>
          <w:szCs w:val="24"/>
          <w:lang w:eastAsia="cs-CZ"/>
        </w:rPr>
        <w:t>ministerstev</w:t>
      </w:r>
      <w:r w:rsidRPr="00F60613">
        <w:rPr>
          <w:rFonts w:cstheme="minorHAnsi"/>
          <w:b/>
          <w:szCs w:val="24"/>
          <w:lang w:eastAsia="cs-CZ"/>
        </w:rPr>
        <w:t xml:space="preserve"> nalézt shodu </w:t>
      </w:r>
      <w:r w:rsidR="00A50660">
        <w:rPr>
          <w:rFonts w:cstheme="minorHAnsi"/>
          <w:b/>
          <w:szCs w:val="24"/>
          <w:lang w:eastAsia="cs-CZ"/>
        </w:rPr>
        <w:t>na</w:t>
      </w:r>
      <w:r w:rsidRPr="00F60613">
        <w:rPr>
          <w:rFonts w:cstheme="minorHAnsi"/>
          <w:b/>
          <w:szCs w:val="24"/>
          <w:lang w:eastAsia="cs-CZ"/>
        </w:rPr>
        <w:t xml:space="preserve"> znění </w:t>
      </w:r>
      <w:r w:rsidR="004E63B8">
        <w:rPr>
          <w:rFonts w:cstheme="minorHAnsi"/>
          <w:b/>
          <w:szCs w:val="24"/>
          <w:lang w:eastAsia="cs-CZ"/>
        </w:rPr>
        <w:t>jednotlivých</w:t>
      </w:r>
      <w:r w:rsidRPr="00F60613">
        <w:rPr>
          <w:rFonts w:cstheme="minorHAnsi"/>
          <w:b/>
          <w:szCs w:val="24"/>
          <w:lang w:eastAsia="cs-CZ"/>
        </w:rPr>
        <w:t xml:space="preserve"> opatření </w:t>
      </w:r>
      <w:r w:rsidR="00F27AE2" w:rsidRPr="00F60613">
        <w:rPr>
          <w:rFonts w:cstheme="minorHAnsi"/>
          <w:b/>
          <w:szCs w:val="24"/>
          <w:lang w:eastAsia="cs-CZ"/>
        </w:rPr>
        <w:t>a</w:t>
      </w:r>
      <w:r w:rsidR="00841184">
        <w:rPr>
          <w:rFonts w:cstheme="minorHAnsi"/>
          <w:b/>
          <w:szCs w:val="24"/>
          <w:lang w:eastAsia="cs-CZ"/>
        </w:rPr>
        <w:t xml:space="preserve"> způsobu jejich plnění.</w:t>
      </w:r>
    </w:p>
    <w:p w14:paraId="7603F026" w14:textId="77777777" w:rsidR="003025FC" w:rsidRDefault="008F2EAF" w:rsidP="009A2346">
      <w:pPr>
        <w:rPr>
          <w:rFonts w:cstheme="minorHAnsi"/>
          <w:b/>
          <w:szCs w:val="24"/>
          <w:lang w:eastAsia="cs-CZ"/>
        </w:rPr>
      </w:pPr>
      <w:r>
        <w:rPr>
          <w:rFonts w:cstheme="minorHAnsi"/>
          <w:b/>
          <w:szCs w:val="24"/>
          <w:lang w:eastAsia="cs-CZ"/>
        </w:rPr>
        <w:t xml:space="preserve">Navzdory </w:t>
      </w:r>
      <w:r w:rsidR="00057C63">
        <w:rPr>
          <w:rFonts w:cstheme="minorHAnsi"/>
          <w:b/>
          <w:szCs w:val="24"/>
          <w:lang w:eastAsia="cs-CZ"/>
        </w:rPr>
        <w:t xml:space="preserve">vynaloženým peněžním prostředkům a </w:t>
      </w:r>
      <w:r w:rsidR="00966945">
        <w:rPr>
          <w:rFonts w:cstheme="minorHAnsi"/>
          <w:b/>
          <w:szCs w:val="24"/>
          <w:lang w:eastAsia="cs-CZ"/>
        </w:rPr>
        <w:t xml:space="preserve">ministerstvy </w:t>
      </w:r>
      <w:r>
        <w:rPr>
          <w:rFonts w:cstheme="minorHAnsi"/>
          <w:b/>
          <w:szCs w:val="24"/>
          <w:lang w:eastAsia="cs-CZ"/>
        </w:rPr>
        <w:t>realizovaný</w:t>
      </w:r>
      <w:r w:rsidR="00966945">
        <w:rPr>
          <w:rFonts w:cstheme="minorHAnsi"/>
          <w:b/>
          <w:szCs w:val="24"/>
          <w:lang w:eastAsia="cs-CZ"/>
        </w:rPr>
        <w:t>m</w:t>
      </w:r>
      <w:r>
        <w:rPr>
          <w:rFonts w:cstheme="minorHAnsi"/>
          <w:b/>
          <w:szCs w:val="24"/>
          <w:lang w:eastAsia="cs-CZ"/>
        </w:rPr>
        <w:t xml:space="preserve"> opatření</w:t>
      </w:r>
      <w:r w:rsidR="00EF2289">
        <w:rPr>
          <w:rFonts w:cstheme="minorHAnsi"/>
          <w:b/>
          <w:szCs w:val="24"/>
          <w:lang w:eastAsia="cs-CZ"/>
        </w:rPr>
        <w:t>m</w:t>
      </w:r>
      <w:r w:rsidR="00AE6845">
        <w:rPr>
          <w:rFonts w:cstheme="minorHAnsi"/>
          <w:b/>
          <w:szCs w:val="24"/>
          <w:lang w:eastAsia="cs-CZ"/>
        </w:rPr>
        <w:t xml:space="preserve"> </w:t>
      </w:r>
      <w:r>
        <w:rPr>
          <w:rFonts w:cstheme="minorHAnsi"/>
          <w:b/>
          <w:szCs w:val="24"/>
          <w:lang w:eastAsia="cs-CZ"/>
        </w:rPr>
        <w:t xml:space="preserve">nedošlo </w:t>
      </w:r>
      <w:r w:rsidR="00966945">
        <w:rPr>
          <w:rFonts w:cstheme="minorHAnsi"/>
          <w:b/>
          <w:szCs w:val="24"/>
          <w:lang w:eastAsia="cs-CZ"/>
        </w:rPr>
        <w:t>v</w:t>
      </w:r>
      <w:r w:rsidR="004E63B8">
        <w:rPr>
          <w:rFonts w:cstheme="minorHAnsi"/>
          <w:b/>
          <w:szCs w:val="24"/>
          <w:lang w:eastAsia="cs-CZ"/>
        </w:rPr>
        <w:t xml:space="preserve"> </w:t>
      </w:r>
      <w:r w:rsidR="00966945">
        <w:rPr>
          <w:rFonts w:cstheme="minorHAnsi"/>
          <w:b/>
          <w:szCs w:val="24"/>
          <w:lang w:eastAsia="cs-CZ"/>
        </w:rPr>
        <w:t>Č</w:t>
      </w:r>
      <w:r w:rsidR="00E049F5">
        <w:rPr>
          <w:rFonts w:cstheme="minorHAnsi"/>
          <w:b/>
          <w:szCs w:val="24"/>
          <w:lang w:eastAsia="cs-CZ"/>
        </w:rPr>
        <w:t>eské republice</w:t>
      </w:r>
      <w:r w:rsidR="00966945">
        <w:rPr>
          <w:rFonts w:cstheme="minorHAnsi"/>
          <w:b/>
          <w:szCs w:val="24"/>
          <w:lang w:eastAsia="cs-CZ"/>
        </w:rPr>
        <w:t xml:space="preserve"> </w:t>
      </w:r>
      <w:r>
        <w:rPr>
          <w:rFonts w:cstheme="minorHAnsi"/>
          <w:b/>
          <w:szCs w:val="24"/>
          <w:lang w:eastAsia="cs-CZ"/>
        </w:rPr>
        <w:t xml:space="preserve">za </w:t>
      </w:r>
      <w:r w:rsidR="003025FC">
        <w:rPr>
          <w:rFonts w:cstheme="minorHAnsi"/>
          <w:b/>
          <w:szCs w:val="24"/>
          <w:lang w:eastAsia="cs-CZ"/>
        </w:rPr>
        <w:t xml:space="preserve">posledních </w:t>
      </w:r>
      <w:r w:rsidR="005D436A">
        <w:rPr>
          <w:rFonts w:cstheme="minorHAnsi"/>
          <w:b/>
          <w:szCs w:val="24"/>
          <w:lang w:eastAsia="cs-CZ"/>
        </w:rPr>
        <w:t>7</w:t>
      </w:r>
      <w:r w:rsidR="00363C3F">
        <w:rPr>
          <w:rFonts w:cstheme="minorHAnsi"/>
          <w:b/>
          <w:szCs w:val="24"/>
          <w:lang w:eastAsia="cs-CZ"/>
        </w:rPr>
        <w:t xml:space="preserve"> </w:t>
      </w:r>
      <w:r>
        <w:rPr>
          <w:rFonts w:cstheme="minorHAnsi"/>
          <w:b/>
          <w:szCs w:val="24"/>
          <w:lang w:eastAsia="cs-CZ"/>
        </w:rPr>
        <w:t xml:space="preserve">let </w:t>
      </w:r>
      <w:r w:rsidR="003025FC">
        <w:rPr>
          <w:rFonts w:cstheme="minorHAnsi"/>
          <w:b/>
          <w:szCs w:val="24"/>
          <w:lang w:eastAsia="cs-CZ"/>
        </w:rPr>
        <w:t>k</w:t>
      </w:r>
      <w:r w:rsidR="00057C63">
        <w:rPr>
          <w:rFonts w:cstheme="minorHAnsi"/>
          <w:b/>
          <w:szCs w:val="24"/>
          <w:lang w:eastAsia="cs-CZ"/>
        </w:rPr>
        <w:t>e</w:t>
      </w:r>
      <w:r w:rsidR="00363C3F">
        <w:rPr>
          <w:rFonts w:cstheme="minorHAnsi"/>
          <w:b/>
          <w:szCs w:val="24"/>
          <w:lang w:eastAsia="cs-CZ"/>
        </w:rPr>
        <w:t xml:space="preserve"> </w:t>
      </w:r>
      <w:r w:rsidR="003025FC">
        <w:rPr>
          <w:rFonts w:cstheme="minorHAnsi"/>
          <w:b/>
          <w:szCs w:val="24"/>
          <w:lang w:eastAsia="cs-CZ"/>
        </w:rPr>
        <w:t>zlepšení kvalit</w:t>
      </w:r>
      <w:r w:rsidR="00966945">
        <w:rPr>
          <w:rFonts w:cstheme="minorHAnsi"/>
          <w:b/>
          <w:szCs w:val="24"/>
          <w:lang w:eastAsia="cs-CZ"/>
        </w:rPr>
        <w:t xml:space="preserve">y </w:t>
      </w:r>
      <w:r w:rsidR="003025FC">
        <w:rPr>
          <w:rFonts w:cstheme="minorHAnsi"/>
          <w:b/>
          <w:szCs w:val="24"/>
          <w:lang w:eastAsia="cs-CZ"/>
        </w:rPr>
        <w:t>podzemních a</w:t>
      </w:r>
      <w:r w:rsidR="0024637A">
        <w:rPr>
          <w:rFonts w:cstheme="minorHAnsi"/>
          <w:b/>
          <w:szCs w:val="24"/>
          <w:lang w:eastAsia="cs-CZ"/>
        </w:rPr>
        <w:t> </w:t>
      </w:r>
      <w:r w:rsidR="003025FC">
        <w:rPr>
          <w:rFonts w:cstheme="minorHAnsi"/>
          <w:b/>
          <w:szCs w:val="24"/>
          <w:lang w:eastAsia="cs-CZ"/>
        </w:rPr>
        <w:t xml:space="preserve">povrchových vod </w:t>
      </w:r>
      <w:r>
        <w:rPr>
          <w:rFonts w:cstheme="minorHAnsi"/>
          <w:b/>
          <w:szCs w:val="24"/>
          <w:lang w:eastAsia="cs-CZ"/>
        </w:rPr>
        <w:t xml:space="preserve">z hlediska </w:t>
      </w:r>
      <w:r w:rsidR="00743508">
        <w:rPr>
          <w:rFonts w:cstheme="minorHAnsi"/>
          <w:b/>
          <w:szCs w:val="24"/>
          <w:lang w:eastAsia="cs-CZ"/>
        </w:rPr>
        <w:t xml:space="preserve">snížení </w:t>
      </w:r>
      <w:r>
        <w:rPr>
          <w:rFonts w:cstheme="minorHAnsi"/>
          <w:b/>
          <w:szCs w:val="24"/>
          <w:lang w:eastAsia="cs-CZ"/>
        </w:rPr>
        <w:t>výskytu pesticid</w:t>
      </w:r>
      <w:r w:rsidR="00781D2E">
        <w:rPr>
          <w:rFonts w:cstheme="minorHAnsi"/>
          <w:b/>
          <w:szCs w:val="24"/>
          <w:lang w:eastAsia="cs-CZ"/>
        </w:rPr>
        <w:t>ních</w:t>
      </w:r>
      <w:r>
        <w:rPr>
          <w:rFonts w:cstheme="minorHAnsi"/>
          <w:b/>
          <w:szCs w:val="24"/>
          <w:lang w:eastAsia="cs-CZ"/>
        </w:rPr>
        <w:t xml:space="preserve"> </w:t>
      </w:r>
      <w:r w:rsidRPr="00ED0606">
        <w:rPr>
          <w:rFonts w:cstheme="minorHAnsi"/>
          <w:b/>
          <w:szCs w:val="24"/>
          <w:lang w:eastAsia="cs-CZ"/>
        </w:rPr>
        <w:t>a dus</w:t>
      </w:r>
      <w:r w:rsidR="00AE6845" w:rsidRPr="00ED0606">
        <w:rPr>
          <w:rFonts w:cstheme="minorHAnsi"/>
          <w:b/>
          <w:szCs w:val="24"/>
          <w:lang w:eastAsia="cs-CZ"/>
        </w:rPr>
        <w:t>íkatých látek.</w:t>
      </w:r>
    </w:p>
    <w:p w14:paraId="1020E036" w14:textId="77777777" w:rsidR="00850357" w:rsidRDefault="008F2EAF" w:rsidP="009A2346">
      <w:pPr>
        <w:rPr>
          <w:rFonts w:cstheme="minorHAnsi"/>
          <w:b/>
          <w:szCs w:val="24"/>
          <w:lang w:eastAsia="cs-CZ"/>
        </w:rPr>
      </w:pPr>
      <w:r>
        <w:rPr>
          <w:rFonts w:cstheme="minorHAnsi"/>
          <w:b/>
          <w:szCs w:val="24"/>
          <w:lang w:eastAsia="cs-CZ"/>
        </w:rPr>
        <w:t>Pesticid</w:t>
      </w:r>
      <w:r w:rsidR="00781D2E">
        <w:rPr>
          <w:rFonts w:cstheme="minorHAnsi"/>
          <w:b/>
          <w:szCs w:val="24"/>
          <w:lang w:eastAsia="cs-CZ"/>
        </w:rPr>
        <w:t>ní látky</w:t>
      </w:r>
      <w:r>
        <w:rPr>
          <w:rFonts w:cstheme="minorHAnsi"/>
          <w:b/>
          <w:szCs w:val="24"/>
          <w:lang w:eastAsia="cs-CZ"/>
        </w:rPr>
        <w:t xml:space="preserve"> jsou dnes hlavním důvodem rostoucího počtu povolovaných výjimek z hygienického limitu pro pitnou vodu.</w:t>
      </w:r>
      <w:r w:rsidR="004A6C58">
        <w:rPr>
          <w:rFonts w:cstheme="minorHAnsi"/>
          <w:b/>
          <w:szCs w:val="24"/>
          <w:lang w:eastAsia="cs-CZ"/>
        </w:rPr>
        <w:t xml:space="preserve"> </w:t>
      </w:r>
      <w:r w:rsidR="003025FC">
        <w:rPr>
          <w:rFonts w:cstheme="minorHAnsi"/>
          <w:b/>
          <w:szCs w:val="24"/>
          <w:lang w:eastAsia="cs-CZ"/>
        </w:rPr>
        <w:t xml:space="preserve">Na tento problém reaguje stát </w:t>
      </w:r>
      <w:r w:rsidR="00024CFA">
        <w:rPr>
          <w:rFonts w:cstheme="minorHAnsi"/>
          <w:b/>
          <w:szCs w:val="24"/>
          <w:lang w:eastAsia="cs-CZ"/>
        </w:rPr>
        <w:t xml:space="preserve">podporou </w:t>
      </w:r>
      <w:r w:rsidR="004C440C">
        <w:rPr>
          <w:rFonts w:cstheme="minorHAnsi"/>
          <w:b/>
          <w:szCs w:val="24"/>
          <w:lang w:eastAsia="cs-CZ"/>
        </w:rPr>
        <w:t>modernizac</w:t>
      </w:r>
      <w:r w:rsidR="007A419E">
        <w:rPr>
          <w:rFonts w:cstheme="minorHAnsi"/>
          <w:b/>
          <w:szCs w:val="24"/>
          <w:lang w:eastAsia="cs-CZ"/>
        </w:rPr>
        <w:t>e</w:t>
      </w:r>
      <w:r w:rsidR="004C440C">
        <w:rPr>
          <w:rFonts w:cstheme="minorHAnsi"/>
          <w:b/>
          <w:szCs w:val="24"/>
          <w:lang w:eastAsia="cs-CZ"/>
        </w:rPr>
        <w:t xml:space="preserve"> </w:t>
      </w:r>
      <w:r w:rsidR="006E3A4A">
        <w:rPr>
          <w:rFonts w:cstheme="minorHAnsi"/>
          <w:b/>
          <w:szCs w:val="24"/>
          <w:lang w:eastAsia="cs-CZ"/>
        </w:rPr>
        <w:t xml:space="preserve">technologií </w:t>
      </w:r>
      <w:r w:rsidR="003025FC">
        <w:rPr>
          <w:rFonts w:cstheme="minorHAnsi"/>
          <w:b/>
          <w:szCs w:val="24"/>
          <w:lang w:eastAsia="cs-CZ"/>
        </w:rPr>
        <w:t>úprav</w:t>
      </w:r>
      <w:r w:rsidR="006E3A4A">
        <w:rPr>
          <w:rFonts w:cstheme="minorHAnsi"/>
          <w:b/>
          <w:szCs w:val="24"/>
          <w:lang w:eastAsia="cs-CZ"/>
        </w:rPr>
        <w:t>y</w:t>
      </w:r>
      <w:r w:rsidR="003025FC">
        <w:rPr>
          <w:rFonts w:cstheme="minorHAnsi"/>
          <w:b/>
          <w:szCs w:val="24"/>
          <w:lang w:eastAsia="cs-CZ"/>
        </w:rPr>
        <w:t xml:space="preserve"> vody</w:t>
      </w:r>
      <w:r w:rsidR="00024CFA">
        <w:rPr>
          <w:rFonts w:cstheme="minorHAnsi"/>
          <w:b/>
          <w:szCs w:val="24"/>
          <w:lang w:eastAsia="cs-CZ"/>
        </w:rPr>
        <w:t xml:space="preserve"> v řád</w:t>
      </w:r>
      <w:r w:rsidR="0077529A">
        <w:rPr>
          <w:rFonts w:cstheme="minorHAnsi"/>
          <w:b/>
          <w:szCs w:val="24"/>
          <w:lang w:eastAsia="cs-CZ"/>
        </w:rPr>
        <w:t>u</w:t>
      </w:r>
      <w:r w:rsidR="00024CFA">
        <w:rPr>
          <w:rFonts w:cstheme="minorHAnsi"/>
          <w:b/>
          <w:szCs w:val="24"/>
          <w:lang w:eastAsia="cs-CZ"/>
        </w:rPr>
        <w:t xml:space="preserve"> miliard Kč</w:t>
      </w:r>
      <w:r w:rsidR="004C440C">
        <w:rPr>
          <w:rFonts w:cstheme="minorHAnsi"/>
          <w:b/>
          <w:szCs w:val="24"/>
          <w:lang w:eastAsia="cs-CZ"/>
        </w:rPr>
        <w:t>.</w:t>
      </w:r>
      <w:r w:rsidR="003025FC">
        <w:rPr>
          <w:rFonts w:cstheme="minorHAnsi"/>
          <w:b/>
          <w:szCs w:val="24"/>
          <w:lang w:eastAsia="cs-CZ"/>
        </w:rPr>
        <w:t xml:space="preserve"> </w:t>
      </w:r>
      <w:r w:rsidR="0056711D">
        <w:rPr>
          <w:rFonts w:cstheme="minorHAnsi"/>
          <w:b/>
          <w:szCs w:val="24"/>
          <w:lang w:eastAsia="cs-CZ"/>
        </w:rPr>
        <w:t xml:space="preserve">Například do modernizace úpraven vod Plzeň a Želivka bylo investováno </w:t>
      </w:r>
      <w:r w:rsidR="0056711D" w:rsidRPr="0085515A">
        <w:rPr>
          <w:rFonts w:cstheme="minorHAnsi"/>
          <w:b/>
          <w:szCs w:val="24"/>
          <w:lang w:eastAsia="cs-CZ"/>
        </w:rPr>
        <w:t>2,</w:t>
      </w:r>
      <w:r w:rsidR="009D7A1A">
        <w:rPr>
          <w:rFonts w:cstheme="minorHAnsi"/>
          <w:b/>
          <w:szCs w:val="24"/>
          <w:lang w:eastAsia="cs-CZ"/>
        </w:rPr>
        <w:t>5</w:t>
      </w:r>
      <w:r w:rsidR="0056711D" w:rsidRPr="0085515A">
        <w:rPr>
          <w:rFonts w:cstheme="minorHAnsi"/>
          <w:b/>
          <w:szCs w:val="24"/>
          <w:lang w:eastAsia="cs-CZ"/>
        </w:rPr>
        <w:t>6 mld. Kč.</w:t>
      </w:r>
      <w:r w:rsidR="0056711D">
        <w:rPr>
          <w:rFonts w:cstheme="minorHAnsi"/>
          <w:b/>
          <w:szCs w:val="24"/>
          <w:lang w:eastAsia="cs-CZ"/>
        </w:rPr>
        <w:t xml:space="preserve"> </w:t>
      </w:r>
      <w:r w:rsidR="00FC7FB3">
        <w:rPr>
          <w:rFonts w:cstheme="minorHAnsi"/>
          <w:b/>
          <w:szCs w:val="24"/>
          <w:lang w:eastAsia="cs-CZ"/>
        </w:rPr>
        <w:t>NKÚ upozorňuje, že t</w:t>
      </w:r>
      <w:r w:rsidR="004C440C">
        <w:rPr>
          <w:rFonts w:cstheme="minorHAnsi"/>
          <w:b/>
          <w:szCs w:val="24"/>
          <w:lang w:eastAsia="cs-CZ"/>
        </w:rPr>
        <w:t xml:space="preserve">yto investice </w:t>
      </w:r>
      <w:r w:rsidR="006E3A4A">
        <w:rPr>
          <w:rFonts w:cstheme="minorHAnsi"/>
          <w:b/>
          <w:szCs w:val="24"/>
          <w:lang w:eastAsia="cs-CZ"/>
        </w:rPr>
        <w:t>sice</w:t>
      </w:r>
      <w:r w:rsidR="003025FC">
        <w:rPr>
          <w:rFonts w:cstheme="minorHAnsi"/>
          <w:b/>
          <w:szCs w:val="24"/>
          <w:lang w:eastAsia="cs-CZ"/>
        </w:rPr>
        <w:t xml:space="preserve"> vedou ke zlepšení kvality pitné vody, ale příčiny znečištění</w:t>
      </w:r>
      <w:r w:rsidR="00781D2E" w:rsidRPr="00781D2E">
        <w:rPr>
          <w:rFonts w:cstheme="minorHAnsi"/>
          <w:b/>
          <w:szCs w:val="24"/>
          <w:lang w:eastAsia="cs-CZ"/>
        </w:rPr>
        <w:t xml:space="preserve"> </w:t>
      </w:r>
      <w:r w:rsidR="00781D2E">
        <w:rPr>
          <w:rFonts w:cstheme="minorHAnsi"/>
          <w:b/>
          <w:szCs w:val="24"/>
          <w:lang w:eastAsia="cs-CZ"/>
        </w:rPr>
        <w:t>neřeší</w:t>
      </w:r>
      <w:r w:rsidR="003025FC">
        <w:rPr>
          <w:rFonts w:cstheme="minorHAnsi"/>
          <w:b/>
          <w:szCs w:val="24"/>
          <w:lang w:eastAsia="cs-CZ"/>
        </w:rPr>
        <w:t>.</w:t>
      </w:r>
    </w:p>
    <w:p w14:paraId="58463B93" w14:textId="77777777" w:rsidR="00A50660" w:rsidRDefault="00A50660" w:rsidP="00277665">
      <w:pPr>
        <w:spacing w:after="0"/>
        <w:rPr>
          <w:rFonts w:cstheme="minorHAnsi"/>
          <w:b/>
          <w:szCs w:val="24"/>
          <w:lang w:eastAsia="cs-CZ"/>
        </w:rPr>
      </w:pPr>
    </w:p>
    <w:p w14:paraId="19686CF1" w14:textId="77777777" w:rsidR="00C72C56" w:rsidRDefault="00C72C56" w:rsidP="00E9548C">
      <w:pPr>
        <w:spacing w:after="240"/>
        <w:rPr>
          <w:rFonts w:cstheme="minorHAnsi"/>
          <w:b/>
          <w:szCs w:val="24"/>
          <w:lang w:eastAsia="cs-CZ"/>
        </w:rPr>
      </w:pPr>
      <w:r w:rsidRPr="00C72C56">
        <w:rPr>
          <w:rFonts w:cstheme="minorHAnsi"/>
          <w:b/>
          <w:szCs w:val="24"/>
          <w:lang w:eastAsia="cs-CZ"/>
        </w:rPr>
        <w:lastRenderedPageBreak/>
        <w:t>Celkové vyhodnocení vy</w:t>
      </w:r>
      <w:r>
        <w:rPr>
          <w:rFonts w:cstheme="minorHAnsi"/>
          <w:b/>
          <w:szCs w:val="24"/>
          <w:lang w:eastAsia="cs-CZ"/>
        </w:rPr>
        <w:t>p</w:t>
      </w:r>
      <w:r w:rsidRPr="00C72C56">
        <w:rPr>
          <w:rFonts w:cstheme="minorHAnsi"/>
          <w:b/>
          <w:szCs w:val="24"/>
          <w:lang w:eastAsia="cs-CZ"/>
        </w:rPr>
        <w:t xml:space="preserve">lývá z následujících </w:t>
      </w:r>
      <w:r w:rsidR="00A50660">
        <w:rPr>
          <w:rFonts w:cstheme="minorHAnsi"/>
          <w:b/>
          <w:szCs w:val="24"/>
          <w:lang w:eastAsia="cs-CZ"/>
        </w:rPr>
        <w:t>zjištění</w:t>
      </w:r>
      <w:r w:rsidRPr="00C72C56">
        <w:rPr>
          <w:rFonts w:cstheme="minorHAnsi"/>
          <w:b/>
          <w:szCs w:val="24"/>
          <w:lang w:eastAsia="cs-CZ"/>
        </w:rPr>
        <w:t>:</w:t>
      </w:r>
    </w:p>
    <w:p w14:paraId="56281AAA" w14:textId="77777777" w:rsidR="00201AFA" w:rsidRPr="005D01E8" w:rsidRDefault="00201AFA" w:rsidP="00463947">
      <w:pPr>
        <w:pStyle w:val="Nadpis1"/>
      </w:pPr>
      <w:r w:rsidRPr="00E97BD9">
        <w:t>Národní</w:t>
      </w:r>
      <w:r w:rsidRPr="005D01E8">
        <w:t xml:space="preserve"> cíle týkaj</w:t>
      </w:r>
      <w:r w:rsidR="0056530E" w:rsidRPr="005D01E8">
        <w:t xml:space="preserve">ící se zlepšování kvality vod </w:t>
      </w:r>
      <w:r w:rsidRPr="005D01E8">
        <w:t xml:space="preserve">nastavily </w:t>
      </w:r>
      <w:proofErr w:type="spellStart"/>
      <w:r w:rsidR="0047238D" w:rsidRPr="005D01E8">
        <w:t>MZe</w:t>
      </w:r>
      <w:proofErr w:type="spellEnd"/>
      <w:r w:rsidR="0047238D" w:rsidRPr="005D01E8">
        <w:t xml:space="preserve">, MŽP a </w:t>
      </w:r>
      <w:proofErr w:type="spellStart"/>
      <w:r w:rsidR="0047238D" w:rsidRPr="005D01E8">
        <w:t>MZd</w:t>
      </w:r>
      <w:proofErr w:type="spellEnd"/>
      <w:r w:rsidR="0047238D" w:rsidRPr="005D01E8">
        <w:t xml:space="preserve"> </w:t>
      </w:r>
      <w:r w:rsidR="0056711D">
        <w:t xml:space="preserve">formálně </w:t>
      </w:r>
      <w:r w:rsidR="00C44452">
        <w:t>a </w:t>
      </w:r>
      <w:r w:rsidRPr="005D01E8">
        <w:t>neurčitě</w:t>
      </w:r>
      <w:r w:rsidR="0056711D">
        <w:t xml:space="preserve"> </w:t>
      </w:r>
      <w:r w:rsidR="0056711D" w:rsidRPr="00BE068A">
        <w:t>bez stanovení cílového stavu</w:t>
      </w:r>
      <w:r w:rsidR="008500A1">
        <w:t>.</w:t>
      </w:r>
    </w:p>
    <w:p w14:paraId="5B93BFAD" w14:textId="1FDF632B" w:rsidR="00E32239" w:rsidRDefault="0033659B" w:rsidP="0024637A">
      <w:pPr>
        <w:pStyle w:val="Odstavecseseznamem"/>
        <w:ind w:left="0"/>
        <w:contextualSpacing w:val="0"/>
        <w:rPr>
          <w:bCs/>
        </w:rPr>
      </w:pPr>
      <w:proofErr w:type="spellStart"/>
      <w:r>
        <w:rPr>
          <w:rFonts w:cstheme="minorHAnsi"/>
          <w:szCs w:val="24"/>
          <w:lang w:eastAsia="cs-CZ"/>
        </w:rPr>
        <w:t>MZe</w:t>
      </w:r>
      <w:proofErr w:type="spellEnd"/>
      <w:r w:rsidR="00CE1C0B">
        <w:rPr>
          <w:rFonts w:cstheme="minorHAnsi"/>
          <w:szCs w:val="24"/>
          <w:lang w:eastAsia="cs-CZ"/>
        </w:rPr>
        <w:t xml:space="preserve">, </w:t>
      </w:r>
      <w:r>
        <w:rPr>
          <w:rFonts w:cstheme="minorHAnsi"/>
          <w:szCs w:val="24"/>
          <w:lang w:eastAsia="cs-CZ"/>
        </w:rPr>
        <w:t xml:space="preserve">MŽP a </w:t>
      </w:r>
      <w:proofErr w:type="spellStart"/>
      <w:r>
        <w:rPr>
          <w:rFonts w:cstheme="minorHAnsi"/>
          <w:szCs w:val="24"/>
          <w:lang w:eastAsia="cs-CZ"/>
        </w:rPr>
        <w:t>MZd</w:t>
      </w:r>
      <w:proofErr w:type="spellEnd"/>
      <w:r>
        <w:rPr>
          <w:rFonts w:cstheme="minorHAnsi"/>
          <w:szCs w:val="24"/>
          <w:lang w:eastAsia="cs-CZ"/>
        </w:rPr>
        <w:t xml:space="preserve"> </w:t>
      </w:r>
      <w:r w:rsidR="00CE1C0B">
        <w:rPr>
          <w:rFonts w:cstheme="minorHAnsi"/>
          <w:szCs w:val="24"/>
          <w:lang w:eastAsia="cs-CZ"/>
        </w:rPr>
        <w:t>(dále také „</w:t>
      </w:r>
      <w:r w:rsidR="00E32239">
        <w:rPr>
          <w:rFonts w:cstheme="minorHAnsi"/>
          <w:szCs w:val="24"/>
          <w:lang w:eastAsia="cs-CZ"/>
        </w:rPr>
        <w:t>m</w:t>
      </w:r>
      <w:r w:rsidR="00CE1C0B">
        <w:rPr>
          <w:rFonts w:cstheme="minorHAnsi"/>
          <w:szCs w:val="24"/>
          <w:lang w:eastAsia="cs-CZ"/>
        </w:rPr>
        <w:t>inisterstva“)</w:t>
      </w:r>
      <w:r>
        <w:rPr>
          <w:rFonts w:cstheme="minorHAnsi"/>
          <w:szCs w:val="24"/>
          <w:lang w:eastAsia="cs-CZ"/>
        </w:rPr>
        <w:t xml:space="preserve"> stanovily v obou </w:t>
      </w:r>
      <w:r w:rsidR="004E63B8">
        <w:rPr>
          <w:rFonts w:cstheme="minorHAnsi"/>
          <w:szCs w:val="24"/>
          <w:lang w:eastAsia="cs-CZ"/>
        </w:rPr>
        <w:t>n</w:t>
      </w:r>
      <w:r w:rsidR="0056530E">
        <w:rPr>
          <w:rFonts w:cstheme="minorHAnsi"/>
          <w:szCs w:val="24"/>
          <w:lang w:eastAsia="cs-CZ"/>
        </w:rPr>
        <w:t>árodní</w:t>
      </w:r>
      <w:r>
        <w:rPr>
          <w:rFonts w:cstheme="minorHAnsi"/>
          <w:szCs w:val="24"/>
          <w:lang w:eastAsia="cs-CZ"/>
        </w:rPr>
        <w:t>ch</w:t>
      </w:r>
      <w:r w:rsidR="0056530E">
        <w:rPr>
          <w:rFonts w:cstheme="minorHAnsi"/>
          <w:szCs w:val="24"/>
          <w:lang w:eastAsia="cs-CZ"/>
        </w:rPr>
        <w:t xml:space="preserve"> akční</w:t>
      </w:r>
      <w:r>
        <w:rPr>
          <w:rFonts w:cstheme="minorHAnsi"/>
          <w:szCs w:val="24"/>
          <w:lang w:eastAsia="cs-CZ"/>
        </w:rPr>
        <w:t>ch</w:t>
      </w:r>
      <w:r w:rsidR="0056530E">
        <w:rPr>
          <w:rFonts w:cstheme="minorHAnsi"/>
          <w:szCs w:val="24"/>
          <w:lang w:eastAsia="cs-CZ"/>
        </w:rPr>
        <w:t xml:space="preserve"> plán</w:t>
      </w:r>
      <w:r>
        <w:rPr>
          <w:rFonts w:cstheme="minorHAnsi"/>
          <w:szCs w:val="24"/>
          <w:lang w:eastAsia="cs-CZ"/>
        </w:rPr>
        <w:t>ech</w:t>
      </w:r>
      <w:r w:rsidR="0056530E">
        <w:rPr>
          <w:rFonts w:cstheme="minorHAnsi"/>
          <w:szCs w:val="24"/>
          <w:lang w:eastAsia="cs-CZ"/>
        </w:rPr>
        <w:t xml:space="preserve"> </w:t>
      </w:r>
      <w:r w:rsidR="00C2009B">
        <w:rPr>
          <w:rFonts w:cstheme="minorHAnsi"/>
          <w:szCs w:val="24"/>
          <w:lang w:eastAsia="cs-CZ"/>
        </w:rPr>
        <w:t xml:space="preserve">strategický </w:t>
      </w:r>
      <w:r w:rsidR="008E541A" w:rsidRPr="007C3B67">
        <w:rPr>
          <w:rFonts w:cstheme="minorHAnsi"/>
          <w:szCs w:val="24"/>
          <w:lang w:eastAsia="cs-CZ"/>
        </w:rPr>
        <w:t>cíl</w:t>
      </w:r>
      <w:r w:rsidR="008E541A" w:rsidRPr="007C3B67">
        <w:rPr>
          <w:rFonts w:cstheme="minorHAnsi"/>
          <w:i/>
          <w:szCs w:val="24"/>
          <w:lang w:eastAsia="cs-CZ"/>
        </w:rPr>
        <w:t xml:space="preserve"> </w:t>
      </w:r>
      <w:r w:rsidR="008E541A" w:rsidRPr="00030436">
        <w:rPr>
          <w:rFonts w:cstheme="minorHAnsi"/>
          <w:szCs w:val="24"/>
          <w:lang w:eastAsia="cs-CZ"/>
        </w:rPr>
        <w:t>I.</w:t>
      </w:r>
      <w:r w:rsidR="00E34123">
        <w:rPr>
          <w:rFonts w:cstheme="minorHAnsi"/>
          <w:i/>
          <w:szCs w:val="24"/>
          <w:lang w:eastAsia="cs-CZ"/>
        </w:rPr>
        <w:t xml:space="preserve"> </w:t>
      </w:r>
      <w:r w:rsidR="008E541A" w:rsidRPr="007C3B67">
        <w:rPr>
          <w:rFonts w:cstheme="minorHAnsi"/>
          <w:i/>
          <w:szCs w:val="24"/>
          <w:lang w:eastAsia="cs-CZ"/>
        </w:rPr>
        <w:t>Omezení rizik spojených s používáním přípravků</w:t>
      </w:r>
      <w:r w:rsidR="008E541A" w:rsidRPr="007C3B67">
        <w:rPr>
          <w:rFonts w:cstheme="minorHAnsi"/>
          <w:szCs w:val="24"/>
          <w:lang w:eastAsia="cs-CZ"/>
        </w:rPr>
        <w:t>.</w:t>
      </w:r>
      <w:r w:rsidR="008E541A" w:rsidRPr="00DC731F">
        <w:rPr>
          <w:szCs w:val="24"/>
        </w:rPr>
        <w:t xml:space="preserve"> Tento cíl </w:t>
      </w:r>
      <w:r w:rsidR="00E34123">
        <w:rPr>
          <w:szCs w:val="24"/>
        </w:rPr>
        <w:t>byl</w:t>
      </w:r>
      <w:r w:rsidR="008E541A" w:rsidRPr="00DC731F">
        <w:rPr>
          <w:szCs w:val="24"/>
        </w:rPr>
        <w:t xml:space="preserve"> v oblasti ochrany podzemních a</w:t>
      </w:r>
      <w:r w:rsidR="004E63B8">
        <w:rPr>
          <w:szCs w:val="24"/>
        </w:rPr>
        <w:t xml:space="preserve"> </w:t>
      </w:r>
      <w:r w:rsidR="008E541A" w:rsidRPr="00DC731F">
        <w:rPr>
          <w:szCs w:val="24"/>
        </w:rPr>
        <w:t xml:space="preserve">povrchových vod rozpracován do dílčích cílů. </w:t>
      </w:r>
      <w:r w:rsidR="00C2009B">
        <w:rPr>
          <w:szCs w:val="24"/>
        </w:rPr>
        <w:t>Strategi</w:t>
      </w:r>
      <w:r w:rsidR="00E66F8B">
        <w:rPr>
          <w:szCs w:val="24"/>
        </w:rPr>
        <w:t>cký c</w:t>
      </w:r>
      <w:r w:rsidR="008E541A" w:rsidRPr="00DC731F">
        <w:rPr>
          <w:szCs w:val="24"/>
        </w:rPr>
        <w:t xml:space="preserve">íl </w:t>
      </w:r>
      <w:r w:rsidR="00E66F8B">
        <w:rPr>
          <w:szCs w:val="24"/>
        </w:rPr>
        <w:t xml:space="preserve">i dílčí cíle byly nastaveny velmi obecně. </w:t>
      </w:r>
      <w:r w:rsidR="00E32239">
        <w:rPr>
          <w:szCs w:val="24"/>
        </w:rPr>
        <w:t>Pro dílčí cíle m</w:t>
      </w:r>
      <w:r w:rsidR="003A7F8C">
        <w:rPr>
          <w:szCs w:val="24"/>
        </w:rPr>
        <w:t xml:space="preserve">inisterstva nastavila specifické indikátory </w:t>
      </w:r>
      <w:r w:rsidR="00E32239" w:rsidRPr="007C3B67">
        <w:t xml:space="preserve">(např. </w:t>
      </w:r>
      <w:r w:rsidR="004E63B8">
        <w:t>„</w:t>
      </w:r>
      <w:r w:rsidR="00E32239" w:rsidRPr="0056530E">
        <w:rPr>
          <w:i/>
        </w:rPr>
        <w:t>postupné zavedení elektronického portálu pro vkládání dat o</w:t>
      </w:r>
      <w:r w:rsidR="00CA729A">
        <w:rPr>
          <w:i/>
        </w:rPr>
        <w:t xml:space="preserve"> </w:t>
      </w:r>
      <w:r w:rsidR="00E32239" w:rsidRPr="0056530E">
        <w:rPr>
          <w:i/>
        </w:rPr>
        <w:t>aplikaci</w:t>
      </w:r>
      <w:r w:rsidR="00E32239">
        <w:rPr>
          <w:i/>
        </w:rPr>
        <w:t xml:space="preserve"> přípravků</w:t>
      </w:r>
      <w:r w:rsidR="00E32239" w:rsidRPr="0056530E">
        <w:rPr>
          <w:i/>
        </w:rPr>
        <w:t xml:space="preserve"> na ochranu rostlin profesionálními uživateli</w:t>
      </w:r>
      <w:r w:rsidR="004E63B8">
        <w:t>“</w:t>
      </w:r>
      <w:r w:rsidR="00E32239" w:rsidRPr="007C3B67">
        <w:t xml:space="preserve">, </w:t>
      </w:r>
      <w:r w:rsidR="004E63B8">
        <w:t>„</w:t>
      </w:r>
      <w:r w:rsidR="00E32239" w:rsidRPr="007C3B67">
        <w:rPr>
          <w:i/>
        </w:rPr>
        <w:t>počet prakticky přijatých opatření na snížení rizik spojených s</w:t>
      </w:r>
      <w:r w:rsidR="004E63B8">
        <w:rPr>
          <w:i/>
        </w:rPr>
        <w:t xml:space="preserve"> </w:t>
      </w:r>
      <w:r w:rsidR="00E32239" w:rsidRPr="007C3B67">
        <w:rPr>
          <w:i/>
        </w:rPr>
        <w:t>používání</w:t>
      </w:r>
      <w:r w:rsidR="00E32239">
        <w:rPr>
          <w:i/>
        </w:rPr>
        <w:t>m</w:t>
      </w:r>
      <w:r w:rsidR="00E32239" w:rsidRPr="007C3B67">
        <w:rPr>
          <w:i/>
        </w:rPr>
        <w:t xml:space="preserve"> přípravků v</w:t>
      </w:r>
      <w:r w:rsidR="004E63B8">
        <w:rPr>
          <w:i/>
        </w:rPr>
        <w:t xml:space="preserve"> </w:t>
      </w:r>
      <w:r w:rsidR="00E32239" w:rsidRPr="007C3B67">
        <w:rPr>
          <w:i/>
        </w:rPr>
        <w:t>oblastech významných z</w:t>
      </w:r>
      <w:r w:rsidR="004E63B8">
        <w:rPr>
          <w:i/>
        </w:rPr>
        <w:t xml:space="preserve"> </w:t>
      </w:r>
      <w:r w:rsidR="00E32239" w:rsidRPr="007C3B67">
        <w:rPr>
          <w:i/>
        </w:rPr>
        <w:t>hlediska ochrany životního prostředí</w:t>
      </w:r>
      <w:r w:rsidR="004E63B8">
        <w:t>“</w:t>
      </w:r>
      <w:r w:rsidR="00E32239" w:rsidRPr="00DC731F">
        <w:t>)</w:t>
      </w:r>
      <w:r w:rsidR="003A7F8C">
        <w:rPr>
          <w:szCs w:val="24"/>
        </w:rPr>
        <w:t xml:space="preserve">, </w:t>
      </w:r>
      <w:r w:rsidR="00E32239">
        <w:rPr>
          <w:szCs w:val="24"/>
        </w:rPr>
        <w:t>avšak ty b</w:t>
      </w:r>
      <w:r w:rsidR="003A7F8C">
        <w:rPr>
          <w:szCs w:val="24"/>
        </w:rPr>
        <w:t>yly</w:t>
      </w:r>
      <w:r w:rsidR="00E32239">
        <w:rPr>
          <w:szCs w:val="24"/>
        </w:rPr>
        <w:t xml:space="preserve"> také</w:t>
      </w:r>
      <w:r w:rsidR="003A7F8C">
        <w:rPr>
          <w:szCs w:val="24"/>
        </w:rPr>
        <w:t xml:space="preserve"> formulovány obecně</w:t>
      </w:r>
      <w:r w:rsidR="00E32239">
        <w:rPr>
          <w:szCs w:val="24"/>
        </w:rPr>
        <w:t xml:space="preserve"> bez přiřazení výchozích a cílových hodnot. Ministerstva tak nestanovila </w:t>
      </w:r>
      <w:r w:rsidR="00BF4629" w:rsidRPr="00DC731F">
        <w:rPr>
          <w:szCs w:val="24"/>
        </w:rPr>
        <w:t xml:space="preserve">konkrétní a především měřitelné </w:t>
      </w:r>
      <w:r w:rsidR="007C2662">
        <w:rPr>
          <w:szCs w:val="24"/>
        </w:rPr>
        <w:t xml:space="preserve">ukazatele </w:t>
      </w:r>
      <w:r w:rsidR="00BF4629" w:rsidRPr="00DC731F">
        <w:rPr>
          <w:szCs w:val="24"/>
        </w:rPr>
        <w:t>zlepšení, kterého se mělo dosáhnout v oblasti kvality vod.</w:t>
      </w:r>
    </w:p>
    <w:p w14:paraId="4E2D3A78" w14:textId="77777777" w:rsidR="0085160E" w:rsidRDefault="00E66F8B" w:rsidP="00BF4629">
      <w:pPr>
        <w:rPr>
          <w:bCs/>
        </w:rPr>
      </w:pPr>
      <w:r>
        <w:rPr>
          <w:bCs/>
        </w:rPr>
        <w:t>V</w:t>
      </w:r>
      <w:r w:rsidR="00B27D05" w:rsidRPr="00DC731F">
        <w:rPr>
          <w:bCs/>
        </w:rPr>
        <w:t> části B.</w:t>
      </w:r>
      <w:r w:rsidR="0085160E" w:rsidRPr="00DC731F">
        <w:rPr>
          <w:bCs/>
        </w:rPr>
        <w:t xml:space="preserve"> </w:t>
      </w:r>
      <w:proofErr w:type="gramStart"/>
      <w:r w:rsidR="0085160E" w:rsidRPr="00DC731F">
        <w:rPr>
          <w:bCs/>
        </w:rPr>
        <w:t>obou</w:t>
      </w:r>
      <w:proofErr w:type="gramEnd"/>
      <w:r w:rsidR="0085160E" w:rsidRPr="00DC731F">
        <w:rPr>
          <w:bCs/>
        </w:rPr>
        <w:t xml:space="preserve"> </w:t>
      </w:r>
      <w:r w:rsidR="004E63B8">
        <w:rPr>
          <w:bCs/>
        </w:rPr>
        <w:t>n</w:t>
      </w:r>
      <w:r w:rsidR="0056530E">
        <w:rPr>
          <w:bCs/>
        </w:rPr>
        <w:t xml:space="preserve">árodních akčních plánů </w:t>
      </w:r>
      <w:r>
        <w:rPr>
          <w:bCs/>
        </w:rPr>
        <w:t xml:space="preserve">byly </w:t>
      </w:r>
      <w:r w:rsidR="00E32239">
        <w:rPr>
          <w:bCs/>
        </w:rPr>
        <w:t xml:space="preserve">dále </w:t>
      </w:r>
      <w:r w:rsidR="0085160E" w:rsidRPr="00DC731F">
        <w:rPr>
          <w:bCs/>
        </w:rPr>
        <w:t>uvedeny kvantitativní hodnot</w:t>
      </w:r>
      <w:r w:rsidR="004E63B8">
        <w:rPr>
          <w:bCs/>
        </w:rPr>
        <w:t>i</w:t>
      </w:r>
      <w:r w:rsidR="0085160E" w:rsidRPr="00DC731F">
        <w:rPr>
          <w:bCs/>
        </w:rPr>
        <w:t>cí ukazatele</w:t>
      </w:r>
      <w:r w:rsidR="0085160E" w:rsidRPr="007C3B67">
        <w:rPr>
          <w:bCs/>
        </w:rPr>
        <w:t>, nicméně teprve v</w:t>
      </w:r>
      <w:r>
        <w:rPr>
          <w:bCs/>
        </w:rPr>
        <w:t> </w:t>
      </w:r>
      <w:r w:rsidRPr="00F4541F">
        <w:rPr>
          <w:bCs/>
          <w:i/>
        </w:rPr>
        <w:t>Národním akčním plánu</w:t>
      </w:r>
      <w:r w:rsidR="00C2009B">
        <w:rPr>
          <w:bCs/>
          <w:i/>
        </w:rPr>
        <w:t xml:space="preserve"> k bezpečnému používání pesticidů v České republice pro</w:t>
      </w:r>
      <w:r w:rsidRPr="00F4541F">
        <w:rPr>
          <w:bCs/>
          <w:i/>
        </w:rPr>
        <w:t xml:space="preserve"> 2018–2022</w:t>
      </w:r>
      <w:r>
        <w:rPr>
          <w:bCs/>
        </w:rPr>
        <w:t xml:space="preserve"> (dále také „</w:t>
      </w:r>
      <w:r w:rsidR="0085160E" w:rsidRPr="00723EA1">
        <w:rPr>
          <w:bCs/>
        </w:rPr>
        <w:t>NAP 2018</w:t>
      </w:r>
      <w:r w:rsidR="00D27764" w:rsidRPr="00723EA1">
        <w:rPr>
          <w:rFonts w:cstheme="minorHAnsi"/>
          <w:szCs w:val="24"/>
          <w:lang w:eastAsia="cs-CZ"/>
        </w:rPr>
        <w:t>–</w:t>
      </w:r>
      <w:r w:rsidR="0085160E" w:rsidRPr="00723EA1">
        <w:rPr>
          <w:bCs/>
        </w:rPr>
        <w:t>2022</w:t>
      </w:r>
      <w:r>
        <w:rPr>
          <w:bCs/>
        </w:rPr>
        <w:t>“)</w:t>
      </w:r>
      <w:r w:rsidR="0085160E" w:rsidRPr="007C3B67">
        <w:rPr>
          <w:bCs/>
        </w:rPr>
        <w:t xml:space="preserve"> byly </w:t>
      </w:r>
      <w:r w:rsidR="00E32239">
        <w:rPr>
          <w:bCs/>
        </w:rPr>
        <w:t xml:space="preserve">pro tyto ukazatele </w:t>
      </w:r>
      <w:r w:rsidR="0085160E" w:rsidRPr="007C3B67">
        <w:rPr>
          <w:bCs/>
        </w:rPr>
        <w:t>stanoven</w:t>
      </w:r>
      <w:r w:rsidR="007C2662">
        <w:rPr>
          <w:bCs/>
        </w:rPr>
        <w:t xml:space="preserve">y </w:t>
      </w:r>
      <w:r w:rsidR="0085160E" w:rsidRPr="007C3B67">
        <w:rPr>
          <w:bCs/>
        </w:rPr>
        <w:t>referenční</w:t>
      </w:r>
      <w:r w:rsidR="007C2662">
        <w:rPr>
          <w:bCs/>
        </w:rPr>
        <w:t xml:space="preserve"> údaje, resp. referenční</w:t>
      </w:r>
      <w:r w:rsidR="0085160E" w:rsidRPr="007C3B67">
        <w:rPr>
          <w:bCs/>
        </w:rPr>
        <w:t xml:space="preserve"> rok 2017</w:t>
      </w:r>
      <w:r w:rsidR="006678F3">
        <w:rPr>
          <w:bCs/>
        </w:rPr>
        <w:t>.</w:t>
      </w:r>
    </w:p>
    <w:p w14:paraId="3828F9A4" w14:textId="77777777" w:rsidR="00CF66AF" w:rsidRPr="007C3B67" w:rsidRDefault="00CF66AF" w:rsidP="00CF66AF">
      <w:pPr>
        <w:pStyle w:val="Odstavecseseznamem"/>
        <w:ind w:left="0"/>
        <w:contextualSpacing w:val="0"/>
        <w:rPr>
          <w:bCs/>
        </w:rPr>
      </w:pPr>
      <w:r>
        <w:rPr>
          <w:rFonts w:cstheme="minorHAnsi"/>
          <w:szCs w:val="24"/>
          <w:lang w:eastAsia="cs-CZ"/>
        </w:rPr>
        <w:t xml:space="preserve">V oblasti ochrany vody </w:t>
      </w:r>
      <w:proofErr w:type="spellStart"/>
      <w:r w:rsidRPr="007C3B67">
        <w:rPr>
          <w:rFonts w:cstheme="minorHAnsi"/>
          <w:szCs w:val="24"/>
          <w:lang w:eastAsia="cs-CZ"/>
        </w:rPr>
        <w:t>MZe</w:t>
      </w:r>
      <w:proofErr w:type="spellEnd"/>
      <w:r w:rsidR="008276B2">
        <w:rPr>
          <w:rFonts w:cstheme="minorHAnsi"/>
          <w:szCs w:val="24"/>
          <w:lang w:eastAsia="cs-CZ"/>
        </w:rPr>
        <w:t xml:space="preserve">, </w:t>
      </w:r>
      <w:r w:rsidRPr="007C3B67">
        <w:rPr>
          <w:rFonts w:cstheme="minorHAnsi"/>
          <w:szCs w:val="24"/>
          <w:lang w:eastAsia="cs-CZ"/>
        </w:rPr>
        <w:t xml:space="preserve">MŽP a </w:t>
      </w:r>
      <w:proofErr w:type="spellStart"/>
      <w:r w:rsidRPr="007C3B67">
        <w:rPr>
          <w:rFonts w:cstheme="minorHAnsi"/>
          <w:szCs w:val="24"/>
          <w:lang w:eastAsia="cs-CZ"/>
        </w:rPr>
        <w:t>MZd</w:t>
      </w:r>
      <w:proofErr w:type="spellEnd"/>
      <w:r w:rsidRPr="007C3B67">
        <w:rPr>
          <w:rFonts w:cstheme="minorHAnsi"/>
          <w:szCs w:val="24"/>
          <w:lang w:eastAsia="cs-CZ"/>
        </w:rPr>
        <w:t xml:space="preserve"> nastavil</w:t>
      </w:r>
      <w:r>
        <w:rPr>
          <w:rFonts w:cstheme="minorHAnsi"/>
          <w:szCs w:val="24"/>
          <w:lang w:eastAsia="cs-CZ"/>
        </w:rPr>
        <w:t xml:space="preserve">y v obou </w:t>
      </w:r>
      <w:r w:rsidR="004E63B8">
        <w:rPr>
          <w:rFonts w:cstheme="minorHAnsi"/>
          <w:szCs w:val="24"/>
          <w:lang w:eastAsia="cs-CZ"/>
        </w:rPr>
        <w:t>n</w:t>
      </w:r>
      <w:r>
        <w:rPr>
          <w:rFonts w:cstheme="minorHAnsi"/>
          <w:szCs w:val="24"/>
          <w:lang w:eastAsia="cs-CZ"/>
        </w:rPr>
        <w:t>árodních akčních plánech převážně</w:t>
      </w:r>
      <w:r w:rsidRPr="007C3B67">
        <w:rPr>
          <w:rFonts w:cstheme="minorHAnsi"/>
          <w:szCs w:val="24"/>
          <w:lang w:eastAsia="cs-CZ"/>
        </w:rPr>
        <w:t xml:space="preserve"> opatření, která byla </w:t>
      </w:r>
      <w:r>
        <w:rPr>
          <w:rFonts w:cstheme="minorHAnsi"/>
          <w:szCs w:val="24"/>
          <w:lang w:eastAsia="cs-CZ"/>
        </w:rPr>
        <w:t xml:space="preserve">především </w:t>
      </w:r>
      <w:r w:rsidRPr="007C3B67">
        <w:rPr>
          <w:rFonts w:cstheme="minorHAnsi"/>
          <w:szCs w:val="24"/>
          <w:lang w:eastAsia="cs-CZ"/>
        </w:rPr>
        <w:t>formálního charakteru</w:t>
      </w:r>
      <w:r>
        <w:rPr>
          <w:rFonts w:cstheme="minorHAnsi"/>
          <w:szCs w:val="24"/>
          <w:lang w:eastAsia="cs-CZ"/>
        </w:rPr>
        <w:t xml:space="preserve"> a </w:t>
      </w:r>
      <w:r>
        <w:t>představovala pouze určitý</w:t>
      </w:r>
      <w:r w:rsidRPr="001C07E4">
        <w:rPr>
          <w:rFonts w:cstheme="minorHAnsi"/>
          <w:szCs w:val="24"/>
          <w:lang w:eastAsia="cs-CZ"/>
        </w:rPr>
        <w:t xml:space="preserve"> </w:t>
      </w:r>
      <w:r w:rsidRPr="004D7C0C">
        <w:rPr>
          <w:rFonts w:cstheme="minorHAnsi"/>
          <w:szCs w:val="24"/>
          <w:lang w:eastAsia="cs-CZ"/>
        </w:rPr>
        <w:t>předpoklad pro další činnosti vedoucí ke zlepšení stavu vod</w:t>
      </w:r>
      <w:r>
        <w:rPr>
          <w:rFonts w:cstheme="minorHAnsi"/>
          <w:szCs w:val="24"/>
          <w:lang w:eastAsia="cs-CZ"/>
        </w:rPr>
        <w:t>. U některých opatření nebylo zřejmé, co konkrétně má být provedeno. Stanovená opatření neměla, resp.</w:t>
      </w:r>
      <w:r w:rsidR="004E63B8">
        <w:rPr>
          <w:rFonts w:cstheme="minorHAnsi"/>
          <w:szCs w:val="24"/>
          <w:lang w:eastAsia="cs-CZ"/>
        </w:rPr>
        <w:t xml:space="preserve"> </w:t>
      </w:r>
      <w:r>
        <w:rPr>
          <w:rFonts w:cstheme="minorHAnsi"/>
          <w:szCs w:val="24"/>
          <w:lang w:eastAsia="cs-CZ"/>
        </w:rPr>
        <w:t>nemají přímou vazbu na dílčí a</w:t>
      </w:r>
      <w:r w:rsidR="004E63B8">
        <w:rPr>
          <w:rFonts w:cstheme="minorHAnsi"/>
          <w:szCs w:val="24"/>
          <w:lang w:eastAsia="cs-CZ"/>
        </w:rPr>
        <w:t>ni</w:t>
      </w:r>
      <w:r>
        <w:rPr>
          <w:rFonts w:cstheme="minorHAnsi"/>
          <w:szCs w:val="24"/>
          <w:lang w:eastAsia="cs-CZ"/>
        </w:rPr>
        <w:t xml:space="preserve"> strategické cíle. Není tedy zřejmé, kterými opatřeními má být dosaženo jakých cílů.</w:t>
      </w:r>
    </w:p>
    <w:p w14:paraId="16FDDF93" w14:textId="77777777" w:rsidR="00E66F8B" w:rsidRPr="00DC731F" w:rsidRDefault="00BF4629" w:rsidP="00BF4629">
      <w:pPr>
        <w:rPr>
          <w:bCs/>
        </w:rPr>
      </w:pPr>
      <w:r w:rsidRPr="007C3B67">
        <w:t xml:space="preserve">Vyhodnocení plnění </w:t>
      </w:r>
      <w:r w:rsidR="00C2009B">
        <w:t xml:space="preserve">strategického </w:t>
      </w:r>
      <w:r w:rsidRPr="007C3B67">
        <w:t xml:space="preserve">cíle I. a jeho dílčích cílů </w:t>
      </w:r>
      <w:r w:rsidR="00E66F8B" w:rsidRPr="00F4541F">
        <w:rPr>
          <w:i/>
        </w:rPr>
        <w:t>Národního akčního plánu</w:t>
      </w:r>
      <w:r w:rsidR="00C2009B">
        <w:rPr>
          <w:i/>
        </w:rPr>
        <w:t xml:space="preserve"> ke snížení používání pesticidů v České republice </w:t>
      </w:r>
      <w:r w:rsidR="00E66F8B">
        <w:t>(dále také „</w:t>
      </w:r>
      <w:r w:rsidRPr="00723EA1">
        <w:t>NAP 2013</w:t>
      </w:r>
      <w:r w:rsidR="00F12F2B" w:rsidRPr="00723EA1">
        <w:rPr>
          <w:rFonts w:cstheme="minorHAnsi"/>
          <w:szCs w:val="24"/>
          <w:lang w:eastAsia="cs-CZ"/>
        </w:rPr>
        <w:t>–</w:t>
      </w:r>
      <w:r w:rsidRPr="00723EA1">
        <w:t>2017</w:t>
      </w:r>
      <w:r w:rsidR="00E66F8B">
        <w:t>“)</w:t>
      </w:r>
      <w:r w:rsidRPr="007C3B67">
        <w:t xml:space="preserve"> v oblasti ochrany </w:t>
      </w:r>
      <w:r w:rsidR="00B307E2">
        <w:t xml:space="preserve">vody </w:t>
      </w:r>
      <w:r w:rsidRPr="007C3B67">
        <w:t xml:space="preserve">za celé pětileté období </w:t>
      </w:r>
      <w:r w:rsidR="00E56EB5">
        <w:t xml:space="preserve">uskutečnila ministerstva </w:t>
      </w:r>
      <w:r w:rsidRPr="007C3B67">
        <w:t>pouze v rovině obecného konstatování bez vazby na stanovené specifické indikátory plnění dílčích cílů</w:t>
      </w:r>
      <w:r w:rsidR="00B27D05" w:rsidRPr="007C3B67">
        <w:t>.</w:t>
      </w:r>
      <w:r w:rsidRPr="007C3B67">
        <w:rPr>
          <w:bCs/>
        </w:rPr>
        <w:t xml:space="preserve"> NKÚ upozorňuje, že vyhodnocení specifických indikátorů</w:t>
      </w:r>
      <w:r w:rsidR="0085160E" w:rsidRPr="00DC731F">
        <w:rPr>
          <w:bCs/>
        </w:rPr>
        <w:t xml:space="preserve"> s vazbou na kvantitativní hodnot</w:t>
      </w:r>
      <w:r w:rsidR="004E63B8">
        <w:rPr>
          <w:bCs/>
        </w:rPr>
        <w:t>i</w:t>
      </w:r>
      <w:r w:rsidR="0085160E" w:rsidRPr="00DC731F">
        <w:rPr>
          <w:bCs/>
        </w:rPr>
        <w:t>cí ukazatele</w:t>
      </w:r>
      <w:r w:rsidR="007711F7">
        <w:rPr>
          <w:bCs/>
        </w:rPr>
        <w:t xml:space="preserve"> </w:t>
      </w:r>
      <w:r w:rsidR="007711F7" w:rsidRPr="007C3B67">
        <w:rPr>
          <w:bCs/>
        </w:rPr>
        <w:t>v oblasti ochrany vody</w:t>
      </w:r>
      <w:r w:rsidR="0085160E" w:rsidRPr="00DC731F">
        <w:rPr>
          <w:bCs/>
        </w:rPr>
        <w:t xml:space="preserve"> </w:t>
      </w:r>
      <w:r w:rsidRPr="007C3B67">
        <w:rPr>
          <w:bCs/>
        </w:rPr>
        <w:t>je</w:t>
      </w:r>
      <w:r w:rsidR="004E63B8">
        <w:rPr>
          <w:bCs/>
        </w:rPr>
        <w:t xml:space="preserve"> </w:t>
      </w:r>
      <w:r w:rsidRPr="007C3B67">
        <w:rPr>
          <w:bCs/>
        </w:rPr>
        <w:t>nutným předpokladem pro</w:t>
      </w:r>
      <w:r w:rsidR="004E63B8">
        <w:rPr>
          <w:bCs/>
        </w:rPr>
        <w:t xml:space="preserve"> </w:t>
      </w:r>
      <w:r w:rsidR="007711F7">
        <w:rPr>
          <w:bCs/>
        </w:rPr>
        <w:t xml:space="preserve">zajištění potřebné vypovídací úrovně </w:t>
      </w:r>
      <w:r w:rsidR="0085160E" w:rsidRPr="00DC731F">
        <w:rPr>
          <w:bCs/>
        </w:rPr>
        <w:t>vy</w:t>
      </w:r>
      <w:r w:rsidRPr="007C3B67">
        <w:rPr>
          <w:bCs/>
        </w:rPr>
        <w:t>hodnocení dílčích cílů NAP</w:t>
      </w:r>
      <w:r w:rsidR="0085160E" w:rsidRPr="00DC731F">
        <w:rPr>
          <w:bCs/>
        </w:rPr>
        <w:t xml:space="preserve"> 2018</w:t>
      </w:r>
      <w:r w:rsidR="004063CA">
        <w:rPr>
          <w:rFonts w:cstheme="minorHAnsi"/>
          <w:szCs w:val="24"/>
          <w:lang w:eastAsia="cs-CZ"/>
        </w:rPr>
        <w:t>–</w:t>
      </w:r>
      <w:r w:rsidR="0085160E" w:rsidRPr="00DC731F">
        <w:rPr>
          <w:bCs/>
        </w:rPr>
        <w:t>2022</w:t>
      </w:r>
      <w:r w:rsidRPr="007C3B67">
        <w:rPr>
          <w:bCs/>
        </w:rPr>
        <w:t>.</w:t>
      </w:r>
      <w:r w:rsidR="00CF66AF">
        <w:rPr>
          <w:bCs/>
        </w:rPr>
        <w:t xml:space="preserve"> </w:t>
      </w:r>
      <w:r w:rsidR="00286D7B">
        <w:rPr>
          <w:bCs/>
        </w:rPr>
        <w:t xml:space="preserve">Bez takového </w:t>
      </w:r>
      <w:r w:rsidR="00BC7C43">
        <w:rPr>
          <w:bCs/>
        </w:rPr>
        <w:t>vyhodn</w:t>
      </w:r>
      <w:r w:rsidR="00DB6DB5">
        <w:rPr>
          <w:bCs/>
        </w:rPr>
        <w:t>ocení, tj. zjištění informací o</w:t>
      </w:r>
      <w:r w:rsidR="00E24DDC">
        <w:rPr>
          <w:bCs/>
        </w:rPr>
        <w:t> </w:t>
      </w:r>
      <w:r w:rsidR="00DB6DB5">
        <w:rPr>
          <w:bCs/>
        </w:rPr>
        <w:t>naplnění cílů NAP 2018</w:t>
      </w:r>
      <w:r w:rsidR="004E63B8">
        <w:rPr>
          <w:rFonts w:cstheme="minorHAnsi"/>
          <w:szCs w:val="24"/>
          <w:lang w:eastAsia="cs-CZ"/>
        </w:rPr>
        <w:t>–</w:t>
      </w:r>
      <w:r w:rsidR="00DB6DB5">
        <w:rPr>
          <w:bCs/>
        </w:rPr>
        <w:t>2022, nebudou mít odpovědná ministerstva potřebné informace</w:t>
      </w:r>
      <w:r w:rsidR="00CF66AF">
        <w:rPr>
          <w:bCs/>
        </w:rPr>
        <w:t xml:space="preserve"> pro nastavení</w:t>
      </w:r>
      <w:r w:rsidR="00DB6DB5">
        <w:rPr>
          <w:bCs/>
        </w:rPr>
        <w:t xml:space="preserve"> relevantní</w:t>
      </w:r>
      <w:r w:rsidR="00CF66AF">
        <w:rPr>
          <w:bCs/>
        </w:rPr>
        <w:t>ch</w:t>
      </w:r>
      <w:r w:rsidR="00DB6DB5">
        <w:rPr>
          <w:bCs/>
        </w:rPr>
        <w:t xml:space="preserve"> priorit a opatření </w:t>
      </w:r>
      <w:r w:rsidR="004E63B8">
        <w:rPr>
          <w:bCs/>
        </w:rPr>
        <w:t>n</w:t>
      </w:r>
      <w:r w:rsidR="005A6F00">
        <w:rPr>
          <w:bCs/>
        </w:rPr>
        <w:t>árodního akčního plánu pro</w:t>
      </w:r>
      <w:r w:rsidR="00CF66AF">
        <w:rPr>
          <w:bCs/>
        </w:rPr>
        <w:t xml:space="preserve"> další</w:t>
      </w:r>
      <w:r w:rsidR="00DB6DB5">
        <w:rPr>
          <w:bCs/>
        </w:rPr>
        <w:t xml:space="preserve"> období</w:t>
      </w:r>
      <w:r w:rsidR="00CF66AF">
        <w:rPr>
          <w:bCs/>
        </w:rPr>
        <w:t>.</w:t>
      </w:r>
    </w:p>
    <w:p w14:paraId="2476B976" w14:textId="77777777" w:rsidR="007C3B67" w:rsidRDefault="00B6405D" w:rsidP="00BC4012">
      <w:pPr>
        <w:pStyle w:val="Nadpis1"/>
      </w:pPr>
      <w:r w:rsidRPr="00D0212A">
        <w:t>Opatření ke zlepšení kvality vod nebyla až na výjimky efektivní</w:t>
      </w:r>
      <w:r w:rsidR="007711F7" w:rsidRPr="00D0212A">
        <w:t xml:space="preserve">. Žádoucí přínos opatření se tak projevil </w:t>
      </w:r>
      <w:r w:rsidR="005D689A">
        <w:t>jen u</w:t>
      </w:r>
      <w:r w:rsidR="007711F7" w:rsidRPr="00D0212A">
        <w:t> malé</w:t>
      </w:r>
      <w:r w:rsidR="005D689A">
        <w:t>ho</w:t>
      </w:r>
      <w:r w:rsidR="007711F7" w:rsidRPr="00D0212A">
        <w:t xml:space="preserve"> počtu </w:t>
      </w:r>
      <w:r w:rsidR="005D01E8" w:rsidRPr="00D0212A">
        <w:t xml:space="preserve">monitorovacích </w:t>
      </w:r>
      <w:r w:rsidR="005D01E8" w:rsidRPr="00935345">
        <w:t>míst</w:t>
      </w:r>
      <w:r w:rsidR="007711F7" w:rsidRPr="00D0212A">
        <w:t>.</w:t>
      </w:r>
    </w:p>
    <w:p w14:paraId="79B59A0A" w14:textId="77777777" w:rsidR="00F86E14" w:rsidRPr="00DC731F" w:rsidRDefault="00201AFA" w:rsidP="00E601C5">
      <w:pPr>
        <w:pStyle w:val="Odstavecseseznamem"/>
        <w:ind w:left="0"/>
        <w:contextualSpacing w:val="0"/>
        <w:rPr>
          <w:lang w:eastAsia="cs-CZ"/>
        </w:rPr>
      </w:pPr>
      <w:r w:rsidRPr="00DC731F">
        <w:rPr>
          <w:lang w:eastAsia="cs-CZ"/>
        </w:rPr>
        <w:t xml:space="preserve">Za </w:t>
      </w:r>
      <w:r w:rsidR="00B307E2">
        <w:rPr>
          <w:lang w:eastAsia="cs-CZ"/>
        </w:rPr>
        <w:t>sedm</w:t>
      </w:r>
      <w:r w:rsidRPr="00DC731F">
        <w:rPr>
          <w:lang w:eastAsia="cs-CZ"/>
        </w:rPr>
        <w:t xml:space="preserve"> let platnosti NAP </w:t>
      </w:r>
      <w:r w:rsidR="00B6405D" w:rsidRPr="00DC731F">
        <w:t>2013</w:t>
      </w:r>
      <w:r w:rsidR="00B85697" w:rsidRPr="00025573">
        <w:rPr>
          <w:rFonts w:cstheme="minorHAnsi"/>
          <w:i/>
          <w:szCs w:val="24"/>
          <w:lang w:eastAsia="cs-CZ"/>
        </w:rPr>
        <w:t>–</w:t>
      </w:r>
      <w:r w:rsidR="00B6405D" w:rsidRPr="00DC731F">
        <w:t xml:space="preserve">2017 a </w:t>
      </w:r>
      <w:r w:rsidR="00723EA1">
        <w:t xml:space="preserve">NAP </w:t>
      </w:r>
      <w:r w:rsidR="00B6405D" w:rsidRPr="00DC731F">
        <w:rPr>
          <w:bCs/>
        </w:rPr>
        <w:t>2018</w:t>
      </w:r>
      <w:r w:rsidR="00B85697" w:rsidRPr="00025573">
        <w:rPr>
          <w:rFonts w:cstheme="minorHAnsi"/>
          <w:i/>
          <w:szCs w:val="24"/>
          <w:lang w:eastAsia="cs-CZ"/>
        </w:rPr>
        <w:t>–</w:t>
      </w:r>
      <w:r w:rsidR="00B6405D" w:rsidRPr="00DC731F">
        <w:rPr>
          <w:bCs/>
        </w:rPr>
        <w:t xml:space="preserve">2022 </w:t>
      </w:r>
      <w:r w:rsidRPr="00DC731F">
        <w:rPr>
          <w:lang w:eastAsia="cs-CZ"/>
        </w:rPr>
        <w:t xml:space="preserve">bylo na realizaci </w:t>
      </w:r>
      <w:r w:rsidR="00F7433D">
        <w:rPr>
          <w:lang w:eastAsia="cs-CZ"/>
        </w:rPr>
        <w:t>všech</w:t>
      </w:r>
      <w:r w:rsidRPr="00DC731F">
        <w:rPr>
          <w:lang w:eastAsia="cs-CZ"/>
        </w:rPr>
        <w:t xml:space="preserve"> je</w:t>
      </w:r>
      <w:r w:rsidR="004E63B8">
        <w:rPr>
          <w:lang w:eastAsia="cs-CZ"/>
        </w:rPr>
        <w:t>jich</w:t>
      </w:r>
      <w:r w:rsidRPr="00DC731F">
        <w:rPr>
          <w:lang w:eastAsia="cs-CZ"/>
        </w:rPr>
        <w:t xml:space="preserve"> cílů a</w:t>
      </w:r>
      <w:r w:rsidR="00123E88">
        <w:rPr>
          <w:lang w:eastAsia="cs-CZ"/>
        </w:rPr>
        <w:t> </w:t>
      </w:r>
      <w:r w:rsidRPr="00DC731F">
        <w:rPr>
          <w:lang w:eastAsia="cs-CZ"/>
        </w:rPr>
        <w:t>opatření vynaloženo 65</w:t>
      </w:r>
      <w:r w:rsidR="00B6405D" w:rsidRPr="00DC731F">
        <w:rPr>
          <w:lang w:eastAsia="cs-CZ"/>
        </w:rPr>
        <w:t xml:space="preserve"> </w:t>
      </w:r>
      <w:r w:rsidRPr="00DC731F">
        <w:rPr>
          <w:lang w:eastAsia="cs-CZ"/>
        </w:rPr>
        <w:t>mil. Kč.</w:t>
      </w:r>
      <w:r w:rsidR="003C04A2">
        <w:rPr>
          <w:lang w:eastAsia="cs-CZ"/>
        </w:rPr>
        <w:t xml:space="preserve"> </w:t>
      </w:r>
      <w:r w:rsidR="001E662E">
        <w:t>Z</w:t>
      </w:r>
      <w:r w:rsidR="004E63B8">
        <w:t xml:space="preserve"> </w:t>
      </w:r>
      <w:r w:rsidR="001E662E">
        <w:t>11 prověřovaných opatření NAP 2013</w:t>
      </w:r>
      <w:r w:rsidR="001E662E" w:rsidRPr="00B84C78">
        <w:t>–</w:t>
      </w:r>
      <w:r w:rsidR="001E662E">
        <w:t xml:space="preserve">2017 v oblasti ochrany vod </w:t>
      </w:r>
      <w:r w:rsidR="009153F8">
        <w:t>m</w:t>
      </w:r>
      <w:r w:rsidR="00802E0F">
        <w:t>inisterstva</w:t>
      </w:r>
      <w:r w:rsidR="001E662E">
        <w:t xml:space="preserve"> 7 opatření spln</w:t>
      </w:r>
      <w:r w:rsidR="00802E0F">
        <w:t>ila</w:t>
      </w:r>
      <w:r w:rsidR="001E662E">
        <w:t xml:space="preserve"> a 4 opatření n</w:t>
      </w:r>
      <w:r w:rsidR="00802E0F">
        <w:t>esplnila</w:t>
      </w:r>
      <w:r w:rsidR="001E662E">
        <w:t>. Jejich plnění bylo převedeno do NAP 2018</w:t>
      </w:r>
      <w:r w:rsidR="001E662E" w:rsidRPr="00B84C78">
        <w:t>–</w:t>
      </w:r>
      <w:r w:rsidR="001E662E">
        <w:t xml:space="preserve">2022, </w:t>
      </w:r>
      <w:r w:rsidR="00387904">
        <w:t>přičemž znění některých opatření</w:t>
      </w:r>
      <w:r w:rsidR="006F2497">
        <w:t xml:space="preserve"> </w:t>
      </w:r>
      <w:r w:rsidR="00387904">
        <w:t xml:space="preserve">byla přeformulována </w:t>
      </w:r>
      <w:r w:rsidR="006F2497">
        <w:t>z p</w:t>
      </w:r>
      <w:r w:rsidR="000302EC">
        <w:t xml:space="preserve">odoby </w:t>
      </w:r>
      <w:r w:rsidR="009E1F56">
        <w:t>„</w:t>
      </w:r>
      <w:r w:rsidR="009E1F56" w:rsidRPr="006D7466">
        <w:rPr>
          <w:i/>
        </w:rPr>
        <w:t>přijmout/udělat</w:t>
      </w:r>
      <w:r w:rsidR="009E1F56">
        <w:t xml:space="preserve">“ </w:t>
      </w:r>
      <w:r w:rsidR="00387904">
        <w:t xml:space="preserve">do </w:t>
      </w:r>
      <w:r w:rsidR="000302EC">
        <w:t xml:space="preserve">podoby </w:t>
      </w:r>
      <w:r w:rsidR="00387904" w:rsidRPr="00277665">
        <w:t>„</w:t>
      </w:r>
      <w:r w:rsidR="00387904" w:rsidRPr="00387904">
        <w:rPr>
          <w:i/>
        </w:rPr>
        <w:t>zvážit</w:t>
      </w:r>
      <w:r w:rsidR="006D7466">
        <w:rPr>
          <w:i/>
        </w:rPr>
        <w:t>/</w:t>
      </w:r>
      <w:r w:rsidR="00387904" w:rsidRPr="00387904">
        <w:rPr>
          <w:i/>
        </w:rPr>
        <w:t>prověřit možnosti</w:t>
      </w:r>
      <w:r w:rsidR="00387904" w:rsidRPr="00277665">
        <w:t>“</w:t>
      </w:r>
      <w:r w:rsidR="006D7466" w:rsidRPr="00277665">
        <w:t>.</w:t>
      </w:r>
      <w:r w:rsidR="00387904">
        <w:rPr>
          <w:i/>
        </w:rPr>
        <w:t xml:space="preserve"> </w:t>
      </w:r>
    </w:p>
    <w:p w14:paraId="46E357FC" w14:textId="77777777" w:rsidR="006F718A" w:rsidRDefault="00C86558" w:rsidP="00D47A2E">
      <w:pPr>
        <w:pStyle w:val="Odstavecseseznamem"/>
        <w:ind w:left="0"/>
        <w:contextualSpacing w:val="0"/>
        <w:rPr>
          <w:rFonts w:cstheme="minorHAnsi"/>
          <w:szCs w:val="24"/>
          <w:lang w:eastAsia="cs-CZ"/>
        </w:rPr>
      </w:pPr>
      <w:r>
        <w:rPr>
          <w:rFonts w:cstheme="minorHAnsi"/>
          <w:szCs w:val="24"/>
          <w:lang w:eastAsia="cs-CZ"/>
        </w:rPr>
        <w:t>Mezi splněn</w:t>
      </w:r>
      <w:r w:rsidR="00796EB0">
        <w:rPr>
          <w:rFonts w:cstheme="minorHAnsi"/>
          <w:szCs w:val="24"/>
          <w:lang w:eastAsia="cs-CZ"/>
        </w:rPr>
        <w:t>ý</w:t>
      </w:r>
      <w:r>
        <w:rPr>
          <w:rFonts w:cstheme="minorHAnsi"/>
          <w:szCs w:val="24"/>
          <w:lang w:eastAsia="cs-CZ"/>
        </w:rPr>
        <w:t>mi opatřeními byla především ta</w:t>
      </w:r>
      <w:r w:rsidR="008A718E">
        <w:rPr>
          <w:rFonts w:cstheme="minorHAnsi"/>
          <w:szCs w:val="24"/>
          <w:lang w:eastAsia="cs-CZ"/>
        </w:rPr>
        <w:t xml:space="preserve"> formální a</w:t>
      </w:r>
      <w:r>
        <w:rPr>
          <w:rFonts w:cstheme="minorHAnsi"/>
          <w:szCs w:val="24"/>
          <w:lang w:eastAsia="cs-CZ"/>
        </w:rPr>
        <w:t xml:space="preserve"> podpůrná</w:t>
      </w:r>
      <w:r w:rsidR="008A718E">
        <w:rPr>
          <w:rFonts w:cstheme="minorHAnsi"/>
          <w:szCs w:val="24"/>
          <w:lang w:eastAsia="cs-CZ"/>
        </w:rPr>
        <w:t xml:space="preserve">. </w:t>
      </w:r>
      <w:r w:rsidR="00AB2151">
        <w:rPr>
          <w:rFonts w:cstheme="minorHAnsi"/>
          <w:szCs w:val="24"/>
          <w:lang w:eastAsia="cs-CZ"/>
        </w:rPr>
        <w:t>O</w:t>
      </w:r>
      <w:r w:rsidR="009C10FA">
        <w:rPr>
          <w:rFonts w:cstheme="minorHAnsi"/>
          <w:szCs w:val="24"/>
          <w:lang w:eastAsia="cs-CZ"/>
        </w:rPr>
        <w:t xml:space="preserve">patření, která měla dle NKÚ potenciál přispět ke zlepšení stavu vod, </w:t>
      </w:r>
      <w:proofErr w:type="spellStart"/>
      <w:r w:rsidR="00F86E14">
        <w:rPr>
          <w:rFonts w:cstheme="minorHAnsi"/>
          <w:szCs w:val="24"/>
          <w:lang w:eastAsia="cs-CZ"/>
        </w:rPr>
        <w:t>MZe</w:t>
      </w:r>
      <w:proofErr w:type="spellEnd"/>
      <w:r w:rsidR="00F86E14">
        <w:rPr>
          <w:rFonts w:cstheme="minorHAnsi"/>
          <w:szCs w:val="24"/>
          <w:lang w:eastAsia="cs-CZ"/>
        </w:rPr>
        <w:t xml:space="preserve"> společně s MŽP a </w:t>
      </w:r>
      <w:proofErr w:type="spellStart"/>
      <w:r w:rsidR="00F86E14">
        <w:rPr>
          <w:rFonts w:cstheme="minorHAnsi"/>
          <w:szCs w:val="24"/>
          <w:lang w:eastAsia="cs-CZ"/>
        </w:rPr>
        <w:t>MZd</w:t>
      </w:r>
      <w:proofErr w:type="spellEnd"/>
      <w:r w:rsidR="00F86E14">
        <w:rPr>
          <w:rFonts w:cstheme="minorHAnsi"/>
          <w:szCs w:val="24"/>
          <w:lang w:eastAsia="cs-CZ"/>
        </w:rPr>
        <w:t xml:space="preserve"> </w:t>
      </w:r>
      <w:r>
        <w:rPr>
          <w:rFonts w:cstheme="minorHAnsi"/>
          <w:szCs w:val="24"/>
          <w:lang w:eastAsia="cs-CZ"/>
        </w:rPr>
        <w:t xml:space="preserve">do roku 2020 </w:t>
      </w:r>
      <w:r w:rsidR="009C10FA">
        <w:rPr>
          <w:rFonts w:cstheme="minorHAnsi"/>
          <w:szCs w:val="24"/>
          <w:lang w:eastAsia="cs-CZ"/>
        </w:rPr>
        <w:t>nenaplnily.</w:t>
      </w:r>
      <w:r w:rsidR="004D5322">
        <w:rPr>
          <w:rFonts w:cstheme="minorHAnsi"/>
          <w:szCs w:val="24"/>
          <w:lang w:eastAsia="cs-CZ"/>
        </w:rPr>
        <w:t xml:space="preserve"> </w:t>
      </w:r>
    </w:p>
    <w:p w14:paraId="1AB33D2F" w14:textId="77777777" w:rsidR="00F90E38" w:rsidRDefault="006F718A" w:rsidP="00D47A2E">
      <w:pPr>
        <w:pStyle w:val="Odstavecseseznamem"/>
        <w:ind w:left="0"/>
        <w:contextualSpacing w:val="0"/>
        <w:rPr>
          <w:rFonts w:cstheme="minorHAnsi"/>
          <w:szCs w:val="24"/>
          <w:lang w:eastAsia="cs-CZ"/>
        </w:rPr>
      </w:pPr>
      <w:r>
        <w:rPr>
          <w:rFonts w:cstheme="minorHAnsi"/>
          <w:szCs w:val="24"/>
          <w:lang w:eastAsia="cs-CZ"/>
        </w:rPr>
        <w:lastRenderedPageBreak/>
        <w:t xml:space="preserve">Ministerstva zejména nezavedla </w:t>
      </w:r>
      <w:r w:rsidRPr="00832EFA">
        <w:rPr>
          <w:rFonts w:cstheme="minorHAnsi"/>
          <w:szCs w:val="24"/>
          <w:lang w:eastAsia="cs-CZ"/>
        </w:rPr>
        <w:t>systém povinné elektronické evidence použití pesticidů,</w:t>
      </w:r>
      <w:r w:rsidRPr="004E4A3A">
        <w:rPr>
          <w:rFonts w:cstheme="minorHAnsi"/>
          <w:szCs w:val="24"/>
          <w:lang w:eastAsia="cs-CZ"/>
        </w:rPr>
        <w:t xml:space="preserve"> resp. přípravků na ochranu rostlin</w:t>
      </w:r>
      <w:r>
        <w:rPr>
          <w:rFonts w:cstheme="minorHAnsi"/>
          <w:szCs w:val="24"/>
          <w:lang w:eastAsia="cs-CZ"/>
        </w:rPr>
        <w:t>, a nenastavila</w:t>
      </w:r>
      <w:r w:rsidRPr="009C10FA">
        <w:rPr>
          <w:rFonts w:cstheme="minorHAnsi"/>
          <w:szCs w:val="24"/>
          <w:lang w:eastAsia="cs-CZ"/>
        </w:rPr>
        <w:t xml:space="preserve"> pravidl</w:t>
      </w:r>
      <w:r>
        <w:rPr>
          <w:rFonts w:cstheme="minorHAnsi"/>
          <w:szCs w:val="24"/>
          <w:lang w:eastAsia="cs-CZ"/>
        </w:rPr>
        <w:t>a</w:t>
      </w:r>
      <w:r w:rsidRPr="009C10FA">
        <w:rPr>
          <w:rFonts w:cstheme="minorHAnsi"/>
          <w:szCs w:val="24"/>
          <w:lang w:eastAsia="cs-CZ"/>
        </w:rPr>
        <w:t xml:space="preserve"> cíleného monitoringu pesticidních látek</w:t>
      </w:r>
      <w:r>
        <w:rPr>
          <w:rFonts w:cstheme="minorHAnsi"/>
          <w:szCs w:val="24"/>
          <w:lang w:eastAsia="cs-CZ"/>
        </w:rPr>
        <w:t xml:space="preserve"> </w:t>
      </w:r>
      <w:r w:rsidRPr="009C10FA">
        <w:rPr>
          <w:rFonts w:cstheme="minorHAnsi"/>
          <w:szCs w:val="24"/>
          <w:lang w:eastAsia="cs-CZ"/>
        </w:rPr>
        <w:t>v pitné vodě</w:t>
      </w:r>
      <w:r w:rsidRPr="006F4BCA">
        <w:rPr>
          <w:rFonts w:cstheme="minorHAnsi"/>
          <w:szCs w:val="24"/>
          <w:lang w:eastAsia="cs-CZ"/>
        </w:rPr>
        <w:t xml:space="preserve">; na úrovni ministerstev je </w:t>
      </w:r>
      <w:r w:rsidR="000302EC">
        <w:rPr>
          <w:rFonts w:cstheme="minorHAnsi"/>
          <w:szCs w:val="24"/>
          <w:lang w:eastAsia="cs-CZ"/>
        </w:rPr>
        <w:t>příprava tohoto systému ř</w:t>
      </w:r>
      <w:r w:rsidRPr="006F4BCA">
        <w:rPr>
          <w:rFonts w:cstheme="minorHAnsi"/>
          <w:szCs w:val="24"/>
          <w:lang w:eastAsia="cs-CZ"/>
        </w:rPr>
        <w:t>ešen</w:t>
      </w:r>
      <w:r w:rsidR="000302EC">
        <w:rPr>
          <w:rFonts w:cstheme="minorHAnsi"/>
          <w:szCs w:val="24"/>
          <w:lang w:eastAsia="cs-CZ"/>
        </w:rPr>
        <w:t>a</w:t>
      </w:r>
      <w:r w:rsidRPr="006F4BCA">
        <w:rPr>
          <w:rFonts w:cstheme="minorHAnsi"/>
          <w:szCs w:val="24"/>
          <w:lang w:eastAsia="cs-CZ"/>
        </w:rPr>
        <w:t xml:space="preserve"> minimálně od roku 2013.</w:t>
      </w:r>
      <w:r w:rsidR="00A973A0">
        <w:rPr>
          <w:rFonts w:cstheme="minorHAnsi"/>
          <w:szCs w:val="24"/>
          <w:lang w:eastAsia="cs-CZ"/>
        </w:rPr>
        <w:t xml:space="preserve"> </w:t>
      </w:r>
      <w:proofErr w:type="spellStart"/>
      <w:r w:rsidRPr="007C3B67">
        <w:rPr>
          <w:rFonts w:cstheme="minorHAnsi"/>
          <w:szCs w:val="24"/>
          <w:lang w:eastAsia="cs-CZ"/>
        </w:rPr>
        <w:t>MZe</w:t>
      </w:r>
      <w:proofErr w:type="spellEnd"/>
      <w:r w:rsidRPr="007C3B67">
        <w:rPr>
          <w:rFonts w:cstheme="minorHAnsi"/>
          <w:szCs w:val="24"/>
          <w:lang w:eastAsia="cs-CZ"/>
        </w:rPr>
        <w:t xml:space="preserve"> </w:t>
      </w:r>
      <w:r>
        <w:rPr>
          <w:rFonts w:cstheme="minorHAnsi"/>
          <w:szCs w:val="24"/>
          <w:lang w:eastAsia="cs-CZ"/>
        </w:rPr>
        <w:t xml:space="preserve">tak stále </w:t>
      </w:r>
      <w:r w:rsidRPr="007C3B67">
        <w:rPr>
          <w:rFonts w:cstheme="minorHAnsi"/>
          <w:szCs w:val="24"/>
          <w:lang w:eastAsia="cs-CZ"/>
        </w:rPr>
        <w:t xml:space="preserve">nemá přesné a aktuální informace </w:t>
      </w:r>
      <w:r>
        <w:rPr>
          <w:rFonts w:cstheme="minorHAnsi"/>
          <w:szCs w:val="24"/>
          <w:lang w:eastAsia="cs-CZ"/>
        </w:rPr>
        <w:t xml:space="preserve">nejen o aplikovaném množství pesticidů, ale ani o lokalitách, kde k aplikaci došlo. </w:t>
      </w:r>
      <w:r>
        <w:t>Nedostupnost</w:t>
      </w:r>
      <w:r w:rsidRPr="007C3B67">
        <w:t xml:space="preserve"> </w:t>
      </w:r>
      <w:r>
        <w:t xml:space="preserve">těchto </w:t>
      </w:r>
      <w:r w:rsidRPr="007C3B67">
        <w:t xml:space="preserve">údajů </w:t>
      </w:r>
      <w:r w:rsidR="009B4C82">
        <w:t>po</w:t>
      </w:r>
      <w:r>
        <w:t>dle NKÚ neumožňuje učinit zásadnější pokrok</w:t>
      </w:r>
      <w:r w:rsidRPr="007C3B67">
        <w:t xml:space="preserve"> </w:t>
      </w:r>
      <w:r>
        <w:t xml:space="preserve">v </w:t>
      </w:r>
      <w:r w:rsidRPr="007C3B67">
        <w:t xml:space="preserve">zacílení </w:t>
      </w:r>
      <w:r>
        <w:t>monitoringu pesticidních látek ve zdrojích pitné vody</w:t>
      </w:r>
      <w:r w:rsidR="00E601C5">
        <w:rPr>
          <w:rStyle w:val="Znakapoznpodarou"/>
        </w:rPr>
        <w:footnoteReference w:id="6"/>
      </w:r>
      <w:r>
        <w:t xml:space="preserve"> (viz kapitola </w:t>
      </w:r>
      <w:proofErr w:type="gramStart"/>
      <w:r>
        <w:t>IV.2.1</w:t>
      </w:r>
      <w:proofErr w:type="gramEnd"/>
      <w:r>
        <w:t>)</w:t>
      </w:r>
      <w:r w:rsidR="006F2497">
        <w:t>.</w:t>
      </w:r>
    </w:p>
    <w:p w14:paraId="693EF75C" w14:textId="659347F1" w:rsidR="001E662E" w:rsidRDefault="001E662E" w:rsidP="001E662E">
      <w:pPr>
        <w:rPr>
          <w:rFonts w:cstheme="minorHAnsi"/>
          <w:szCs w:val="24"/>
          <w:lang w:eastAsia="cs-CZ"/>
        </w:rPr>
      </w:pPr>
      <w:r>
        <w:rPr>
          <w:rFonts w:cstheme="minorHAnsi"/>
          <w:szCs w:val="24"/>
          <w:lang w:eastAsia="cs-CZ"/>
        </w:rPr>
        <w:t>Doposud r</w:t>
      </w:r>
      <w:r w:rsidRPr="00832EFA">
        <w:rPr>
          <w:rFonts w:cstheme="minorHAnsi"/>
          <w:szCs w:val="24"/>
          <w:lang w:eastAsia="cs-CZ"/>
        </w:rPr>
        <w:t>ealiz</w:t>
      </w:r>
      <w:r>
        <w:rPr>
          <w:rFonts w:cstheme="minorHAnsi"/>
          <w:szCs w:val="24"/>
          <w:lang w:eastAsia="cs-CZ"/>
        </w:rPr>
        <w:t>ovaná</w:t>
      </w:r>
      <w:r w:rsidRPr="00832EFA">
        <w:rPr>
          <w:rFonts w:cstheme="minorHAnsi"/>
          <w:szCs w:val="24"/>
          <w:lang w:eastAsia="cs-CZ"/>
        </w:rPr>
        <w:t xml:space="preserve"> opatření obou </w:t>
      </w:r>
      <w:r w:rsidR="004E63B8">
        <w:rPr>
          <w:rFonts w:cstheme="minorHAnsi"/>
          <w:szCs w:val="24"/>
          <w:lang w:eastAsia="cs-CZ"/>
        </w:rPr>
        <w:t>n</w:t>
      </w:r>
      <w:r w:rsidRPr="00832EFA">
        <w:rPr>
          <w:rFonts w:cstheme="minorHAnsi"/>
          <w:szCs w:val="24"/>
          <w:lang w:eastAsia="cs-CZ"/>
        </w:rPr>
        <w:t xml:space="preserve">árodních akčních plánů </w:t>
      </w:r>
      <w:r>
        <w:rPr>
          <w:rFonts w:cstheme="minorHAnsi"/>
          <w:szCs w:val="24"/>
          <w:lang w:eastAsia="cs-CZ"/>
        </w:rPr>
        <w:t xml:space="preserve">tak </w:t>
      </w:r>
      <w:r w:rsidRPr="00832EFA">
        <w:rPr>
          <w:rFonts w:cstheme="minorHAnsi"/>
          <w:szCs w:val="24"/>
          <w:lang w:eastAsia="cs-CZ"/>
        </w:rPr>
        <w:t xml:space="preserve">v části věnované ochraně vod </w:t>
      </w:r>
      <w:r>
        <w:rPr>
          <w:rFonts w:cstheme="minorHAnsi"/>
          <w:szCs w:val="24"/>
          <w:lang w:eastAsia="cs-CZ"/>
        </w:rPr>
        <w:t>v</w:t>
      </w:r>
      <w:r w:rsidRPr="00832EFA">
        <w:rPr>
          <w:rFonts w:cstheme="minorHAnsi"/>
          <w:szCs w:val="24"/>
          <w:lang w:eastAsia="cs-CZ"/>
        </w:rPr>
        <w:t>ýrazně nepřispěla ke zlepšení kvality vod.</w:t>
      </w:r>
      <w:r w:rsidRPr="004D1537">
        <w:rPr>
          <w:rFonts w:cstheme="minorHAnsi"/>
          <w:szCs w:val="24"/>
          <w:lang w:eastAsia="cs-CZ"/>
        </w:rPr>
        <w:t xml:space="preserve"> Stav kvality vod z hlediska výskytu </w:t>
      </w:r>
      <w:r>
        <w:rPr>
          <w:rFonts w:cstheme="minorHAnsi"/>
          <w:szCs w:val="24"/>
          <w:lang w:eastAsia="cs-CZ"/>
        </w:rPr>
        <w:t>pesticidních látek</w:t>
      </w:r>
      <w:r w:rsidRPr="004D1537">
        <w:rPr>
          <w:rFonts w:cstheme="minorHAnsi"/>
          <w:szCs w:val="24"/>
          <w:lang w:eastAsia="cs-CZ"/>
        </w:rPr>
        <w:t xml:space="preserve">, ze kterého ministerstva vycházela při nastavování </w:t>
      </w:r>
      <w:r>
        <w:rPr>
          <w:rFonts w:cstheme="minorHAnsi"/>
          <w:szCs w:val="24"/>
          <w:lang w:eastAsia="cs-CZ"/>
        </w:rPr>
        <w:t xml:space="preserve">cílů a </w:t>
      </w:r>
      <w:r w:rsidRPr="004D1537">
        <w:rPr>
          <w:rFonts w:cstheme="minorHAnsi"/>
          <w:szCs w:val="24"/>
          <w:lang w:eastAsia="cs-CZ"/>
        </w:rPr>
        <w:t xml:space="preserve">opatření </w:t>
      </w:r>
      <w:r w:rsidR="00F45937">
        <w:rPr>
          <w:rFonts w:cstheme="minorHAnsi"/>
          <w:szCs w:val="24"/>
          <w:lang w:eastAsia="cs-CZ"/>
        </w:rPr>
        <w:br/>
      </w:r>
      <w:r>
        <w:rPr>
          <w:rFonts w:cstheme="minorHAnsi"/>
          <w:szCs w:val="24"/>
          <w:lang w:eastAsia="cs-CZ"/>
        </w:rPr>
        <w:t xml:space="preserve">NAP 2013–2017 </w:t>
      </w:r>
      <w:r w:rsidRPr="004D1537">
        <w:rPr>
          <w:rFonts w:cstheme="minorHAnsi"/>
          <w:szCs w:val="24"/>
          <w:lang w:eastAsia="cs-CZ"/>
        </w:rPr>
        <w:t>v roce 2012, se výrazně nezměnil ani v roce 2018 při jeho aktualizaci.</w:t>
      </w:r>
      <w:r>
        <w:rPr>
          <w:rFonts w:cstheme="minorHAnsi"/>
          <w:szCs w:val="24"/>
          <w:lang w:eastAsia="cs-CZ"/>
        </w:rPr>
        <w:t xml:space="preserve"> Na základě </w:t>
      </w:r>
      <w:r w:rsidRPr="004D1537">
        <w:rPr>
          <w:rFonts w:cstheme="minorHAnsi"/>
          <w:szCs w:val="24"/>
          <w:lang w:eastAsia="cs-CZ"/>
        </w:rPr>
        <w:t xml:space="preserve">NKÚ </w:t>
      </w:r>
      <w:r>
        <w:rPr>
          <w:rFonts w:cstheme="minorHAnsi"/>
          <w:szCs w:val="24"/>
          <w:lang w:eastAsia="cs-CZ"/>
        </w:rPr>
        <w:t xml:space="preserve">provedené analýzy dat, které poskytl </w:t>
      </w:r>
      <w:r w:rsidRPr="004D1537">
        <w:rPr>
          <w:rFonts w:cstheme="minorHAnsi"/>
          <w:szCs w:val="24"/>
          <w:lang w:eastAsia="cs-CZ"/>
        </w:rPr>
        <w:t>ČHMÚ</w:t>
      </w:r>
      <w:r>
        <w:rPr>
          <w:rFonts w:cstheme="minorHAnsi"/>
          <w:szCs w:val="24"/>
          <w:lang w:eastAsia="cs-CZ"/>
        </w:rPr>
        <w:t>,</w:t>
      </w:r>
      <w:r w:rsidRPr="004D1537">
        <w:rPr>
          <w:rFonts w:cstheme="minorHAnsi"/>
          <w:szCs w:val="24"/>
          <w:lang w:eastAsia="cs-CZ"/>
        </w:rPr>
        <w:t xml:space="preserve"> byl stav podzemních </w:t>
      </w:r>
      <w:r w:rsidR="00F45937">
        <w:rPr>
          <w:rFonts w:cstheme="minorHAnsi"/>
          <w:szCs w:val="24"/>
          <w:lang w:eastAsia="cs-CZ"/>
        </w:rPr>
        <w:br/>
      </w:r>
      <w:r w:rsidRPr="004D1537">
        <w:rPr>
          <w:rFonts w:cstheme="minorHAnsi"/>
          <w:szCs w:val="24"/>
          <w:lang w:eastAsia="cs-CZ"/>
        </w:rPr>
        <w:t>a povrchových vod z hlediska výskytu pesticid</w:t>
      </w:r>
      <w:r>
        <w:rPr>
          <w:rFonts w:cstheme="minorHAnsi"/>
          <w:szCs w:val="24"/>
          <w:lang w:eastAsia="cs-CZ"/>
        </w:rPr>
        <w:t>ních látek</w:t>
      </w:r>
      <w:r w:rsidRPr="004D1537">
        <w:rPr>
          <w:rFonts w:cstheme="minorHAnsi"/>
          <w:szCs w:val="24"/>
          <w:lang w:eastAsia="cs-CZ"/>
        </w:rPr>
        <w:t xml:space="preserve"> </w:t>
      </w:r>
      <w:r>
        <w:rPr>
          <w:rFonts w:cstheme="minorHAnsi"/>
          <w:szCs w:val="24"/>
          <w:lang w:eastAsia="cs-CZ"/>
        </w:rPr>
        <w:t>i v roce 2019</w:t>
      </w:r>
      <w:r w:rsidRPr="004D1537">
        <w:rPr>
          <w:rFonts w:cstheme="minorHAnsi"/>
          <w:szCs w:val="24"/>
          <w:lang w:eastAsia="cs-CZ"/>
        </w:rPr>
        <w:t xml:space="preserve"> </w:t>
      </w:r>
      <w:r>
        <w:rPr>
          <w:rFonts w:cstheme="minorHAnsi"/>
          <w:szCs w:val="24"/>
          <w:lang w:eastAsia="cs-CZ"/>
        </w:rPr>
        <w:t xml:space="preserve">celkově </w:t>
      </w:r>
      <w:r w:rsidRPr="004D1537">
        <w:rPr>
          <w:rFonts w:cstheme="minorHAnsi"/>
          <w:szCs w:val="24"/>
          <w:lang w:eastAsia="cs-CZ"/>
        </w:rPr>
        <w:t>stejný</w:t>
      </w:r>
      <w:r>
        <w:rPr>
          <w:rFonts w:cstheme="minorHAnsi"/>
          <w:szCs w:val="24"/>
          <w:lang w:eastAsia="cs-CZ"/>
        </w:rPr>
        <w:t xml:space="preserve"> jako v roce 2013</w:t>
      </w:r>
      <w:r w:rsidRPr="004D1537">
        <w:rPr>
          <w:rFonts w:cstheme="minorHAnsi"/>
          <w:szCs w:val="24"/>
          <w:lang w:eastAsia="cs-CZ"/>
        </w:rPr>
        <w:t>, případně horší.</w:t>
      </w:r>
    </w:p>
    <w:p w14:paraId="2FA4629C" w14:textId="77777777" w:rsidR="00502221" w:rsidRDefault="001E662E" w:rsidP="008108A6">
      <w:r>
        <w:rPr>
          <w:rFonts w:cstheme="minorHAnsi"/>
          <w:szCs w:val="24"/>
          <w:lang w:eastAsia="cs-CZ"/>
        </w:rPr>
        <w:t>Porovnáním zjištěných údajů roku 2019 s referenčním rokem 2017 NKÚ vyhodnotil stav průběžného plnění kvantitativních hodnot</w:t>
      </w:r>
      <w:r w:rsidR="00A016F2">
        <w:rPr>
          <w:rFonts w:cstheme="minorHAnsi"/>
          <w:szCs w:val="24"/>
          <w:lang w:eastAsia="cs-CZ"/>
        </w:rPr>
        <w:t>i</w:t>
      </w:r>
      <w:r>
        <w:rPr>
          <w:rFonts w:cstheme="minorHAnsi"/>
          <w:szCs w:val="24"/>
          <w:lang w:eastAsia="cs-CZ"/>
        </w:rPr>
        <w:t>cích ukazatelů stanovených v NAP 2018–2022 jako neuspokojivý. Zejména u ukazatelů týkajících se podzemní a povrchové vody došlo v obou případech k nárůstu počtu útvarů/</w:t>
      </w:r>
      <w:r w:rsidRPr="00935345">
        <w:rPr>
          <w:rFonts w:cstheme="minorHAnsi"/>
          <w:szCs w:val="24"/>
          <w:lang w:eastAsia="cs-CZ"/>
        </w:rPr>
        <w:t>míst</w:t>
      </w:r>
      <w:r>
        <w:rPr>
          <w:rFonts w:cstheme="minorHAnsi"/>
          <w:szCs w:val="24"/>
          <w:lang w:eastAsia="cs-CZ"/>
        </w:rPr>
        <w:t xml:space="preserve"> s překročenou normou kvality pro pesticidní látky.</w:t>
      </w:r>
      <w:r w:rsidR="006F718A">
        <w:rPr>
          <w:rFonts w:cstheme="minorHAnsi"/>
          <w:szCs w:val="24"/>
          <w:lang w:eastAsia="cs-CZ"/>
        </w:rPr>
        <w:t xml:space="preserve"> Zároveň došlo k poklesu počtu osob zásobovaných pitnou vodou s nadlimitním výskytem pesticidních látek.</w:t>
      </w:r>
      <w:r w:rsidR="009102C4">
        <w:t xml:space="preserve"> </w:t>
      </w:r>
    </w:p>
    <w:p w14:paraId="5067BA83" w14:textId="77777777" w:rsidR="00502221" w:rsidRPr="001E26AF" w:rsidRDefault="00502221" w:rsidP="00502221">
      <w:pPr>
        <w:pStyle w:val="Nadpis1"/>
      </w:pPr>
      <w:r>
        <w:t>Z</w:t>
      </w:r>
      <w:r w:rsidRPr="00050497">
        <w:t>emědělci</w:t>
      </w:r>
      <w:r w:rsidRPr="00907A55">
        <w:t xml:space="preserve"> nemají za</w:t>
      </w:r>
      <w:r>
        <w:t xml:space="preserve"> </w:t>
      </w:r>
      <w:r w:rsidRPr="00907A55">
        <w:t>stávající</w:t>
      </w:r>
      <w:r>
        <w:t xml:space="preserve"> </w:t>
      </w:r>
      <w:r w:rsidRPr="00907A55">
        <w:t>podoby dotační podpory motivaci uplatňovat zásady integrované ochrany rostlin v rámci konvenčního způsobu hospodaření</w:t>
      </w:r>
      <w:r>
        <w:t>.</w:t>
      </w:r>
      <w:r w:rsidR="00E71C5E">
        <w:t xml:space="preserve"> </w:t>
      </w:r>
      <w:proofErr w:type="spellStart"/>
      <w:r w:rsidR="00E71C5E">
        <w:t>MZe</w:t>
      </w:r>
      <w:proofErr w:type="spellEnd"/>
      <w:r w:rsidR="00E71C5E">
        <w:t xml:space="preserve"> </w:t>
      </w:r>
      <w:r w:rsidR="00176C8B">
        <w:t>nemá informace o skutečné spotřebě pesticidů a dusičnanů.</w:t>
      </w:r>
    </w:p>
    <w:p w14:paraId="366B0423" w14:textId="77777777" w:rsidR="00502221" w:rsidRDefault="00502221" w:rsidP="00C8308E">
      <w:pPr>
        <w:rPr>
          <w:lang w:bidi="cs-CZ"/>
        </w:rPr>
      </w:pPr>
      <w:r w:rsidRPr="005C5101">
        <w:rPr>
          <w:lang w:bidi="cs-CZ"/>
        </w:rPr>
        <w:t>Směrnice o udržitelném používání pesticidů</w:t>
      </w:r>
      <w:r>
        <w:rPr>
          <w:rStyle w:val="Znakapoznpodarou"/>
          <w:lang w:bidi="cs-CZ"/>
        </w:rPr>
        <w:footnoteReference w:id="7"/>
      </w:r>
      <w:r w:rsidRPr="005C5101">
        <w:rPr>
          <w:lang w:bidi="cs-CZ"/>
        </w:rPr>
        <w:t xml:space="preserve"> uložila členským státům včetně Č</w:t>
      </w:r>
      <w:r>
        <w:rPr>
          <w:lang w:bidi="cs-CZ"/>
        </w:rPr>
        <w:t>eské republiky</w:t>
      </w:r>
      <w:r w:rsidR="00723EA1">
        <w:rPr>
          <w:lang w:bidi="cs-CZ"/>
        </w:rPr>
        <w:t xml:space="preserve"> (dále také „ČR“)</w:t>
      </w:r>
      <w:r w:rsidRPr="005C5101">
        <w:rPr>
          <w:lang w:bidi="cs-CZ"/>
        </w:rPr>
        <w:t xml:space="preserve"> </w:t>
      </w:r>
      <w:r w:rsidR="00C8308E">
        <w:rPr>
          <w:lang w:bidi="cs-CZ"/>
        </w:rPr>
        <w:t xml:space="preserve">zajistit nezbytné podmínky pro uplatňování integrované ochrany rostlin </w:t>
      </w:r>
      <w:r w:rsidRPr="000E3752">
        <w:rPr>
          <w:lang w:bidi="cs-CZ"/>
        </w:rPr>
        <w:t>(</w:t>
      </w:r>
      <w:r w:rsidRPr="00723EA1">
        <w:rPr>
          <w:lang w:bidi="cs-CZ"/>
        </w:rPr>
        <w:t>dále také „IOR“)</w:t>
      </w:r>
      <w:r w:rsidR="00C8308E">
        <w:rPr>
          <w:lang w:bidi="cs-CZ"/>
        </w:rPr>
        <w:t xml:space="preserve"> nebo podpoř</w:t>
      </w:r>
      <w:r w:rsidR="00DF2CA1">
        <w:rPr>
          <w:lang w:bidi="cs-CZ"/>
        </w:rPr>
        <w:t>it</w:t>
      </w:r>
      <w:r w:rsidR="00C8308E">
        <w:rPr>
          <w:lang w:bidi="cs-CZ"/>
        </w:rPr>
        <w:t xml:space="preserve"> jejich zavedení</w:t>
      </w:r>
      <w:r w:rsidRPr="00723EA1">
        <w:rPr>
          <w:lang w:bidi="cs-CZ"/>
        </w:rPr>
        <w:t>,</w:t>
      </w:r>
      <w:r w:rsidRPr="005C5101">
        <w:rPr>
          <w:lang w:bidi="cs-CZ"/>
        </w:rPr>
        <w:t xml:space="preserve"> </w:t>
      </w:r>
      <w:r>
        <w:rPr>
          <w:lang w:bidi="cs-CZ"/>
        </w:rPr>
        <w:t xml:space="preserve">mj. s cílem </w:t>
      </w:r>
      <w:r w:rsidRPr="005C5101">
        <w:rPr>
          <w:lang w:bidi="cs-CZ"/>
        </w:rPr>
        <w:t>snížit rizika a omezit vliv používání pesticidů na lidské zdraví a životní prostředí</w:t>
      </w:r>
      <w:r>
        <w:rPr>
          <w:lang w:bidi="cs-CZ"/>
        </w:rPr>
        <w:t xml:space="preserve">. </w:t>
      </w:r>
      <w:proofErr w:type="spellStart"/>
      <w:r w:rsidRPr="005C5101">
        <w:rPr>
          <w:lang w:bidi="cs-CZ"/>
        </w:rPr>
        <w:t>MZe</w:t>
      </w:r>
      <w:proofErr w:type="spellEnd"/>
      <w:r w:rsidRPr="005C5101">
        <w:rPr>
          <w:lang w:bidi="cs-CZ"/>
        </w:rPr>
        <w:t xml:space="preserve"> se dlouhodobě </w:t>
      </w:r>
      <w:r w:rsidR="00DF2CA1">
        <w:rPr>
          <w:lang w:bidi="cs-CZ"/>
        </w:rPr>
        <w:t xml:space="preserve">nedaří </w:t>
      </w:r>
      <w:r w:rsidRPr="005C5101">
        <w:rPr>
          <w:lang w:bidi="cs-CZ"/>
        </w:rPr>
        <w:t>prosadit</w:t>
      </w:r>
      <w:r>
        <w:rPr>
          <w:lang w:bidi="cs-CZ"/>
        </w:rPr>
        <w:t xml:space="preserve"> </w:t>
      </w:r>
      <w:r w:rsidRPr="005C5101">
        <w:rPr>
          <w:lang w:bidi="cs-CZ"/>
        </w:rPr>
        <w:t xml:space="preserve">uplatňování </w:t>
      </w:r>
      <w:r>
        <w:rPr>
          <w:lang w:bidi="cs-CZ"/>
        </w:rPr>
        <w:t>zásad</w:t>
      </w:r>
      <w:r w:rsidRPr="005C5101">
        <w:rPr>
          <w:lang w:bidi="cs-CZ"/>
        </w:rPr>
        <w:t xml:space="preserve"> </w:t>
      </w:r>
      <w:r>
        <w:rPr>
          <w:lang w:bidi="cs-CZ"/>
        </w:rPr>
        <w:t xml:space="preserve">IOR. </w:t>
      </w:r>
      <w:r w:rsidR="00DF2CA1">
        <w:rPr>
          <w:lang w:bidi="cs-CZ"/>
        </w:rPr>
        <w:t>Zároveň</w:t>
      </w:r>
      <w:r>
        <w:rPr>
          <w:lang w:bidi="cs-CZ"/>
        </w:rPr>
        <w:t xml:space="preserve"> aktuální</w:t>
      </w:r>
      <w:r w:rsidRPr="005C5101">
        <w:rPr>
          <w:lang w:bidi="cs-CZ"/>
        </w:rPr>
        <w:t xml:space="preserve"> úprava zákona o</w:t>
      </w:r>
      <w:r w:rsidR="00723EA1">
        <w:rPr>
          <w:lang w:bidi="cs-CZ"/>
        </w:rPr>
        <w:t> </w:t>
      </w:r>
      <w:r w:rsidRPr="005C5101">
        <w:rPr>
          <w:lang w:bidi="cs-CZ"/>
        </w:rPr>
        <w:t>rostlinolékařské péči</w:t>
      </w:r>
      <w:r w:rsidR="00F65DDF">
        <w:rPr>
          <w:rStyle w:val="Znakapoznpodarou"/>
          <w:lang w:bidi="cs-CZ"/>
        </w:rPr>
        <w:footnoteReference w:id="8"/>
      </w:r>
      <w:r w:rsidRPr="005C5101">
        <w:rPr>
          <w:lang w:bidi="cs-CZ"/>
        </w:rPr>
        <w:t xml:space="preserve"> nestanov</w:t>
      </w:r>
      <w:r>
        <w:rPr>
          <w:lang w:bidi="cs-CZ"/>
        </w:rPr>
        <w:t>uje</w:t>
      </w:r>
      <w:r w:rsidRPr="005C5101">
        <w:rPr>
          <w:lang w:bidi="cs-CZ"/>
        </w:rPr>
        <w:t xml:space="preserve"> povinnost </w:t>
      </w:r>
      <w:r>
        <w:rPr>
          <w:lang w:bidi="cs-CZ"/>
        </w:rPr>
        <w:t xml:space="preserve">tyto zásady </w:t>
      </w:r>
      <w:r w:rsidRPr="00B12646">
        <w:rPr>
          <w:lang w:bidi="cs-CZ"/>
        </w:rPr>
        <w:t>uplatňovat a nedefinuje faktické prostředky pro jejich vymáhání.</w:t>
      </w:r>
    </w:p>
    <w:p w14:paraId="428A96AB" w14:textId="77777777" w:rsidR="00502221" w:rsidRDefault="00502221" w:rsidP="00502221">
      <w:pPr>
        <w:rPr>
          <w:rFonts w:cstheme="minorHAnsi"/>
          <w:szCs w:val="24"/>
          <w:lang w:eastAsia="cs-CZ"/>
        </w:rPr>
      </w:pPr>
      <w:proofErr w:type="spellStart"/>
      <w:r>
        <w:rPr>
          <w:lang w:bidi="cs-CZ"/>
        </w:rPr>
        <w:t>MZe</w:t>
      </w:r>
      <w:proofErr w:type="spellEnd"/>
      <w:r>
        <w:rPr>
          <w:lang w:bidi="cs-CZ"/>
        </w:rPr>
        <w:t xml:space="preserve"> ověřuje uplatňování zásad IOR jen formálně a pouze u zlomku zemědělských subjektů. Zároveň nemá možnost v případě odhalených pochybení uplatnit jakékoli sankce. </w:t>
      </w:r>
      <w:r w:rsidRPr="005C5101">
        <w:rPr>
          <w:lang w:bidi="cs-CZ"/>
        </w:rPr>
        <w:t>Tento formální způsob ověřování uplatňování IOR u</w:t>
      </w:r>
      <w:r w:rsidR="00A016F2">
        <w:rPr>
          <w:lang w:bidi="cs-CZ"/>
        </w:rPr>
        <w:t xml:space="preserve"> </w:t>
      </w:r>
      <w:r w:rsidRPr="005C5101">
        <w:rPr>
          <w:lang w:bidi="cs-CZ"/>
        </w:rPr>
        <w:t>zemědělských subjektů je dle NKÚ nedostatečný</w:t>
      </w:r>
      <w:r>
        <w:rPr>
          <w:lang w:bidi="cs-CZ"/>
        </w:rPr>
        <w:t>. Schopnost kontrolních orgánů (</w:t>
      </w:r>
      <w:proofErr w:type="spellStart"/>
      <w:r>
        <w:rPr>
          <w:lang w:bidi="cs-CZ"/>
        </w:rPr>
        <w:t>MZe</w:t>
      </w:r>
      <w:proofErr w:type="spellEnd"/>
      <w:r>
        <w:rPr>
          <w:lang w:bidi="cs-CZ"/>
        </w:rPr>
        <w:t>) ověřit míru a dodržování pravidel užívání pesticidů ze strany zemědělců je také negativně ovlivněna n</w:t>
      </w:r>
      <w:r w:rsidRPr="007C3B67">
        <w:rPr>
          <w:rFonts w:cstheme="minorHAnsi"/>
          <w:szCs w:val="24"/>
          <w:lang w:eastAsia="cs-CZ"/>
        </w:rPr>
        <w:t>eexistenc</w:t>
      </w:r>
      <w:r>
        <w:rPr>
          <w:rFonts w:cstheme="minorHAnsi"/>
          <w:szCs w:val="24"/>
          <w:lang w:eastAsia="cs-CZ"/>
        </w:rPr>
        <w:t>í</w:t>
      </w:r>
      <w:r w:rsidRPr="007C3B67">
        <w:rPr>
          <w:rFonts w:cstheme="minorHAnsi"/>
          <w:szCs w:val="24"/>
          <w:lang w:eastAsia="cs-CZ"/>
        </w:rPr>
        <w:t xml:space="preserve"> přesných a aktuálních údajů o</w:t>
      </w:r>
      <w:r>
        <w:rPr>
          <w:rFonts w:cstheme="minorHAnsi"/>
          <w:szCs w:val="24"/>
          <w:lang w:eastAsia="cs-CZ"/>
        </w:rPr>
        <w:t> </w:t>
      </w:r>
      <w:r w:rsidRPr="007C3B67">
        <w:rPr>
          <w:rFonts w:cstheme="minorHAnsi"/>
          <w:szCs w:val="24"/>
          <w:lang w:eastAsia="cs-CZ"/>
        </w:rPr>
        <w:t>spotřebě pesticidů</w:t>
      </w:r>
      <w:r w:rsidRPr="00963A1D">
        <w:rPr>
          <w:rFonts w:cstheme="minorHAnsi"/>
          <w:szCs w:val="24"/>
          <w:lang w:eastAsia="cs-CZ"/>
        </w:rPr>
        <w:t>.</w:t>
      </w:r>
    </w:p>
    <w:p w14:paraId="59C303CC" w14:textId="19427C03" w:rsidR="00176C8B" w:rsidRDefault="001738CA" w:rsidP="00502221">
      <w:pPr>
        <w:rPr>
          <w:lang w:bidi="cs-CZ"/>
        </w:rPr>
      </w:pPr>
      <w:r>
        <w:rPr>
          <w:lang w:bidi="cs-CZ"/>
        </w:rPr>
        <w:lastRenderedPageBreak/>
        <w:t xml:space="preserve">K motivaci zemědělských subjektů uplatňovat zásady IOR nepřispívá skutečnost, že </w:t>
      </w:r>
      <w:r w:rsidR="00CA729A">
        <w:rPr>
          <w:lang w:bidi="cs-CZ"/>
        </w:rPr>
        <w:br/>
      </w:r>
      <w:r>
        <w:rPr>
          <w:lang w:bidi="cs-CZ"/>
        </w:rPr>
        <w:t>d</w:t>
      </w:r>
      <w:r w:rsidR="00502221" w:rsidRPr="006F4BCA">
        <w:rPr>
          <w:lang w:bidi="cs-CZ"/>
        </w:rPr>
        <w:t xml:space="preserve">otační podpora zemědělské činnosti </w:t>
      </w:r>
      <w:r>
        <w:rPr>
          <w:lang w:bidi="cs-CZ"/>
        </w:rPr>
        <w:t>tyto zásady neimplementovala do dotačních podmínek</w:t>
      </w:r>
      <w:r w:rsidR="00A016F2">
        <w:rPr>
          <w:lang w:bidi="cs-CZ"/>
        </w:rPr>
        <w:t>, tyto podmínky vyžadují</w:t>
      </w:r>
      <w:r>
        <w:rPr>
          <w:lang w:bidi="cs-CZ"/>
        </w:rPr>
        <w:t xml:space="preserve"> pouze </w:t>
      </w:r>
      <w:r w:rsidR="00502221" w:rsidRPr="006F4BCA">
        <w:rPr>
          <w:lang w:bidi="cs-CZ"/>
        </w:rPr>
        <w:t>dodržov</w:t>
      </w:r>
      <w:r>
        <w:rPr>
          <w:lang w:bidi="cs-CZ"/>
        </w:rPr>
        <w:t>ání</w:t>
      </w:r>
      <w:r w:rsidR="00502221" w:rsidRPr="006F4BCA">
        <w:rPr>
          <w:lang w:bidi="cs-CZ"/>
        </w:rPr>
        <w:t xml:space="preserve"> </w:t>
      </w:r>
      <w:r w:rsidR="00502221" w:rsidRPr="006F4BCA">
        <w:t>standard</w:t>
      </w:r>
      <w:r>
        <w:t>ů</w:t>
      </w:r>
      <w:r w:rsidR="00502221" w:rsidRPr="006F4BCA">
        <w:t xml:space="preserve"> dobrého zemědělského a</w:t>
      </w:r>
      <w:r w:rsidR="00CA729A">
        <w:t> </w:t>
      </w:r>
      <w:r w:rsidR="00502221" w:rsidRPr="006F4BCA">
        <w:t>environmentálního stavu a</w:t>
      </w:r>
      <w:r w:rsidR="00A016F2">
        <w:t> </w:t>
      </w:r>
      <w:r w:rsidR="00A016F2" w:rsidRPr="006F4BCA">
        <w:rPr>
          <w:lang w:bidi="cs-CZ"/>
        </w:rPr>
        <w:t>dodržov</w:t>
      </w:r>
      <w:r w:rsidR="00A016F2">
        <w:rPr>
          <w:lang w:bidi="cs-CZ"/>
        </w:rPr>
        <w:t>ání</w:t>
      </w:r>
      <w:r w:rsidR="00A016F2">
        <w:t xml:space="preserve"> </w:t>
      </w:r>
      <w:r>
        <w:t xml:space="preserve">tzv. </w:t>
      </w:r>
      <w:r w:rsidRPr="00EA5C77">
        <w:rPr>
          <w:rFonts w:cstheme="minorHAnsi"/>
          <w:szCs w:val="24"/>
          <w:lang w:eastAsia="cs-CZ"/>
        </w:rPr>
        <w:t>povinn</w:t>
      </w:r>
      <w:r w:rsidR="00A016F2">
        <w:rPr>
          <w:rFonts w:cstheme="minorHAnsi"/>
          <w:szCs w:val="24"/>
          <w:lang w:eastAsia="cs-CZ"/>
        </w:rPr>
        <w:t>ých</w:t>
      </w:r>
      <w:r w:rsidRPr="00EA5C77">
        <w:rPr>
          <w:rFonts w:cstheme="minorHAnsi"/>
          <w:szCs w:val="24"/>
          <w:lang w:eastAsia="cs-CZ"/>
        </w:rPr>
        <w:t xml:space="preserve"> požadavk</w:t>
      </w:r>
      <w:r w:rsidR="00A016F2">
        <w:rPr>
          <w:rFonts w:cstheme="minorHAnsi"/>
          <w:szCs w:val="24"/>
          <w:lang w:eastAsia="cs-CZ"/>
        </w:rPr>
        <w:t>ů</w:t>
      </w:r>
      <w:r w:rsidRPr="00EA5C77">
        <w:rPr>
          <w:rFonts w:cstheme="minorHAnsi"/>
          <w:szCs w:val="24"/>
          <w:lang w:eastAsia="cs-CZ"/>
        </w:rPr>
        <w:t xml:space="preserve"> na hospodaření</w:t>
      </w:r>
      <w:r w:rsidR="002269BC">
        <w:rPr>
          <w:rFonts w:cstheme="minorHAnsi"/>
          <w:szCs w:val="24"/>
          <w:lang w:eastAsia="cs-CZ"/>
        </w:rPr>
        <w:t>.</w:t>
      </w:r>
      <w:r w:rsidR="007155D2">
        <w:rPr>
          <w:rStyle w:val="Znakapoznpodarou"/>
          <w:rFonts w:cstheme="minorHAnsi"/>
          <w:szCs w:val="24"/>
          <w:lang w:eastAsia="cs-CZ"/>
        </w:rPr>
        <w:footnoteReference w:id="9"/>
      </w:r>
      <w:r w:rsidR="002A4667">
        <w:rPr>
          <w:rFonts w:cstheme="minorHAnsi"/>
          <w:szCs w:val="24"/>
          <w:lang w:eastAsia="cs-CZ"/>
        </w:rPr>
        <w:t xml:space="preserve"> </w:t>
      </w:r>
    </w:p>
    <w:p w14:paraId="2975959B" w14:textId="77777777" w:rsidR="00502221" w:rsidRDefault="00176C8B" w:rsidP="00502221">
      <w:pPr>
        <w:rPr>
          <w:lang w:bidi="cs-CZ"/>
        </w:rPr>
      </w:pPr>
      <w:r>
        <w:rPr>
          <w:lang w:bidi="cs-CZ"/>
        </w:rPr>
        <w:t xml:space="preserve">Udržitelné používání pesticidů a dusičnanů i ve vztahu k uplatňování zásad IOR je založeno mj. na dostupnosti </w:t>
      </w:r>
      <w:r w:rsidR="0031597B">
        <w:rPr>
          <w:lang w:bidi="cs-CZ"/>
        </w:rPr>
        <w:t>přesných</w:t>
      </w:r>
      <w:r>
        <w:rPr>
          <w:lang w:bidi="cs-CZ"/>
        </w:rPr>
        <w:t xml:space="preserve"> informací o jejich skutečné spotřebě</w:t>
      </w:r>
      <w:r w:rsidR="0031597B">
        <w:rPr>
          <w:lang w:bidi="cs-CZ"/>
        </w:rPr>
        <w:t xml:space="preserve"> s minimálním časovým zpožděním</w:t>
      </w:r>
      <w:r>
        <w:rPr>
          <w:lang w:bidi="cs-CZ"/>
        </w:rPr>
        <w:t xml:space="preserve">. </w:t>
      </w:r>
      <w:r w:rsidRPr="00176C8B">
        <w:rPr>
          <w:rStyle w:val="Odkaznakoment"/>
          <w:sz w:val="24"/>
          <w:szCs w:val="24"/>
        </w:rPr>
        <w:t>S</w:t>
      </w:r>
      <w:r w:rsidRPr="00176C8B">
        <w:rPr>
          <w:szCs w:val="24"/>
        </w:rPr>
        <w:t>oučasný</w:t>
      </w:r>
      <w:r>
        <w:t xml:space="preserve"> systém evidence spotřeby pesticidů a dusičnanů v</w:t>
      </w:r>
      <w:r w:rsidR="0031597B">
        <w:t> </w:t>
      </w:r>
      <w:r>
        <w:t>zeměděls</w:t>
      </w:r>
      <w:r w:rsidR="0031597B">
        <w:t>tví</w:t>
      </w:r>
      <w:r>
        <w:t xml:space="preserve"> tyto informace neposkytuje</w:t>
      </w:r>
      <w:r w:rsidR="00FC7F15">
        <w:t>. Ned</w:t>
      </w:r>
      <w:r>
        <w:t>ostupnost</w:t>
      </w:r>
      <w:r w:rsidRPr="007C3B67">
        <w:t xml:space="preserve"> údajů o použitých pesticid</w:t>
      </w:r>
      <w:r>
        <w:t>ech</w:t>
      </w:r>
      <w:r w:rsidRPr="007C3B67">
        <w:t xml:space="preserve"> a </w:t>
      </w:r>
      <w:r>
        <w:t>dusičnanech</w:t>
      </w:r>
      <w:r w:rsidRPr="007C3B67">
        <w:t xml:space="preserve"> </w:t>
      </w:r>
      <w:r>
        <w:t xml:space="preserve">neumožňuje </w:t>
      </w:r>
      <w:r w:rsidR="0031597B">
        <w:t xml:space="preserve">ministerstvům </w:t>
      </w:r>
      <w:r>
        <w:t>učinit zásadnější pokrok</w:t>
      </w:r>
      <w:r w:rsidRPr="007C3B67">
        <w:t xml:space="preserve"> </w:t>
      </w:r>
      <w:r>
        <w:t xml:space="preserve">v </w:t>
      </w:r>
      <w:r w:rsidRPr="007C3B67">
        <w:t xml:space="preserve">zacílení opatření na řešení </w:t>
      </w:r>
      <w:r>
        <w:t xml:space="preserve">negativního </w:t>
      </w:r>
      <w:r w:rsidRPr="007C3B67">
        <w:t xml:space="preserve">vlivu používání </w:t>
      </w:r>
      <w:r>
        <w:t>těchto látek</w:t>
      </w:r>
      <w:r w:rsidRPr="007C3B67">
        <w:t xml:space="preserve"> </w:t>
      </w:r>
      <w:r>
        <w:t xml:space="preserve">na </w:t>
      </w:r>
      <w:r w:rsidR="0031597B">
        <w:t>vodní prostředí</w:t>
      </w:r>
      <w:r w:rsidRPr="007C3B67">
        <w:t>.</w:t>
      </w:r>
    </w:p>
    <w:p w14:paraId="1EF935C0" w14:textId="77777777" w:rsidR="00F86E14" w:rsidRPr="005E180B" w:rsidRDefault="00F86E14" w:rsidP="00502221">
      <w:pPr>
        <w:pStyle w:val="Nadpis1"/>
      </w:pPr>
      <w:r w:rsidRPr="005E180B">
        <w:t xml:space="preserve">Kvalita podzemních a povrchových vod se </w:t>
      </w:r>
      <w:r w:rsidR="00FE2BB4">
        <w:t xml:space="preserve">z hlediska výskytu pesticidních a </w:t>
      </w:r>
      <w:r w:rsidR="00765A9F">
        <w:t xml:space="preserve">dusíkatých </w:t>
      </w:r>
      <w:r w:rsidR="00A016F2">
        <w:t xml:space="preserve">látek </w:t>
      </w:r>
      <w:r w:rsidRPr="005E180B">
        <w:t>za</w:t>
      </w:r>
      <w:r w:rsidR="00A016F2">
        <w:t xml:space="preserve"> </w:t>
      </w:r>
      <w:r w:rsidRPr="005E180B">
        <w:t xml:space="preserve">období </w:t>
      </w:r>
      <w:r w:rsidR="00DF6B84" w:rsidRPr="005E180B">
        <w:t>2013</w:t>
      </w:r>
      <w:r w:rsidR="00463947">
        <w:t>–</w:t>
      </w:r>
      <w:r w:rsidRPr="005E180B">
        <w:t>2019 nezlepšila</w:t>
      </w:r>
      <w:r w:rsidR="00F23413">
        <w:t>.</w:t>
      </w:r>
      <w:r w:rsidRPr="005E180B">
        <w:t xml:space="preserve"> </w:t>
      </w:r>
      <w:r w:rsidR="00F23413">
        <w:t>V</w:t>
      </w:r>
      <w:r w:rsidRPr="005E180B">
        <w:t xml:space="preserve"> některých lokalitách </w:t>
      </w:r>
      <w:r w:rsidR="00765A9F">
        <w:t xml:space="preserve">se </w:t>
      </w:r>
      <w:r w:rsidRPr="005E180B">
        <w:t>dokonce zhorš</w:t>
      </w:r>
      <w:r w:rsidR="00765A9F">
        <w:t>ila</w:t>
      </w:r>
      <w:r w:rsidRPr="005E180B">
        <w:t xml:space="preserve">. Výjimkou není ani </w:t>
      </w:r>
      <w:r w:rsidR="00765A9F">
        <w:t xml:space="preserve">rostoucí </w:t>
      </w:r>
      <w:r w:rsidRPr="005E180B">
        <w:t>výskyt metabolitů</w:t>
      </w:r>
      <w:r w:rsidR="00457526" w:rsidRPr="005E180B">
        <w:t xml:space="preserve"> látek</w:t>
      </w:r>
      <w:r w:rsidRPr="005E180B">
        <w:t xml:space="preserve">, které </w:t>
      </w:r>
      <w:r w:rsidR="003536AC" w:rsidRPr="005E180B">
        <w:t>byly před l</w:t>
      </w:r>
      <w:r w:rsidR="00457526" w:rsidRPr="005E180B">
        <w:t>e</w:t>
      </w:r>
      <w:r w:rsidR="003536AC" w:rsidRPr="005E180B">
        <w:t>ty</w:t>
      </w:r>
      <w:r w:rsidRPr="005E180B">
        <w:t xml:space="preserve"> zakázány.</w:t>
      </w:r>
    </w:p>
    <w:p w14:paraId="598FC371" w14:textId="77777777" w:rsidR="00041B3F" w:rsidRPr="002C4D07" w:rsidRDefault="00041B3F" w:rsidP="00041B3F">
      <w:pPr>
        <w:rPr>
          <w:rFonts w:cstheme="minorHAnsi"/>
          <w:szCs w:val="24"/>
          <w:lang w:eastAsia="cs-CZ"/>
        </w:rPr>
      </w:pPr>
      <w:r>
        <w:rPr>
          <w:rFonts w:cstheme="minorHAnsi"/>
          <w:szCs w:val="24"/>
        </w:rPr>
        <w:t>Podrobné údaje o kvalitě podzemních a povrchových vod za roky 2013</w:t>
      </w:r>
      <w:r w:rsidRPr="002C4D07">
        <w:rPr>
          <w:rFonts w:cstheme="minorHAnsi"/>
          <w:szCs w:val="24"/>
          <w:lang w:eastAsia="cs-CZ"/>
        </w:rPr>
        <w:t>–</w:t>
      </w:r>
      <w:r>
        <w:rPr>
          <w:rFonts w:cstheme="minorHAnsi"/>
          <w:szCs w:val="24"/>
        </w:rPr>
        <w:t>2019 jsou uvedeny v </w:t>
      </w:r>
      <w:hyperlink r:id="rId20" w:history="1">
        <w:r w:rsidRPr="009560D4">
          <w:rPr>
            <w:rStyle w:val="Hypertextovodkaz"/>
            <w:rFonts w:cstheme="minorHAnsi"/>
            <w:szCs w:val="24"/>
          </w:rPr>
          <w:t>příloze č. 1</w:t>
        </w:r>
      </w:hyperlink>
      <w:r>
        <w:rPr>
          <w:rFonts w:cstheme="minorHAnsi"/>
          <w:szCs w:val="24"/>
        </w:rPr>
        <w:t>.</w:t>
      </w:r>
    </w:p>
    <w:p w14:paraId="7B49A4D5" w14:textId="77777777" w:rsidR="006B3A1D" w:rsidRDefault="00A967AD" w:rsidP="00EE2BF3">
      <w:pPr>
        <w:spacing w:after="0"/>
        <w:rPr>
          <w:rFonts w:cstheme="minorHAnsi"/>
          <w:szCs w:val="24"/>
          <w:lang w:eastAsia="cs-CZ"/>
        </w:rPr>
      </w:pPr>
      <w:r>
        <w:rPr>
          <w:rFonts w:cstheme="minorHAnsi"/>
          <w:szCs w:val="24"/>
          <w:lang w:eastAsia="cs-CZ"/>
        </w:rPr>
        <w:t>V letech 2013–</w:t>
      </w:r>
      <w:r w:rsidR="006B3A1D">
        <w:rPr>
          <w:rFonts w:cstheme="minorHAnsi"/>
          <w:szCs w:val="24"/>
          <w:lang w:eastAsia="cs-CZ"/>
        </w:rPr>
        <w:t xml:space="preserve">2019 se stav </w:t>
      </w:r>
      <w:r w:rsidR="006B3A1D" w:rsidRPr="004F55E2">
        <w:rPr>
          <w:rFonts w:cstheme="minorHAnsi"/>
          <w:b/>
          <w:szCs w:val="24"/>
          <w:lang w:eastAsia="cs-CZ"/>
        </w:rPr>
        <w:t>podzemních vod</w:t>
      </w:r>
      <w:r w:rsidR="006B3A1D">
        <w:rPr>
          <w:rFonts w:cstheme="minorHAnsi"/>
          <w:szCs w:val="24"/>
          <w:lang w:eastAsia="cs-CZ"/>
        </w:rPr>
        <w:t xml:space="preserve"> (dále také „PZV“) výrazně nezlepšil. </w:t>
      </w:r>
      <w:r w:rsidR="006B7F81">
        <w:rPr>
          <w:rFonts w:cstheme="minorHAnsi"/>
          <w:szCs w:val="24"/>
          <w:lang w:eastAsia="cs-CZ"/>
        </w:rPr>
        <w:t xml:space="preserve">Pesticidní látky </w:t>
      </w:r>
      <w:r w:rsidR="004D3802">
        <w:rPr>
          <w:rFonts w:cstheme="minorHAnsi"/>
          <w:szCs w:val="24"/>
          <w:lang w:eastAsia="cs-CZ"/>
        </w:rPr>
        <w:t>byly</w:t>
      </w:r>
      <w:r w:rsidR="006B7F81">
        <w:rPr>
          <w:rFonts w:cstheme="minorHAnsi"/>
          <w:szCs w:val="24"/>
          <w:lang w:eastAsia="cs-CZ"/>
        </w:rPr>
        <w:t xml:space="preserve"> každoročně zjišťovány</w:t>
      </w:r>
      <w:r w:rsidR="006B7F81">
        <w:rPr>
          <w:rStyle w:val="Znakapoznpodarou"/>
          <w:rFonts w:cstheme="minorHAnsi"/>
          <w:szCs w:val="24"/>
          <w:lang w:eastAsia="cs-CZ"/>
        </w:rPr>
        <w:footnoteReference w:id="10"/>
      </w:r>
      <w:r w:rsidR="006B7F81">
        <w:rPr>
          <w:rFonts w:cstheme="minorHAnsi"/>
          <w:szCs w:val="24"/>
          <w:lang w:eastAsia="cs-CZ"/>
        </w:rPr>
        <w:t xml:space="preserve"> na více </w:t>
      </w:r>
      <w:r w:rsidR="00A016F2">
        <w:rPr>
          <w:rFonts w:cstheme="minorHAnsi"/>
          <w:szCs w:val="24"/>
          <w:lang w:eastAsia="cs-CZ"/>
        </w:rPr>
        <w:t>než</w:t>
      </w:r>
      <w:r w:rsidR="006B7F81">
        <w:rPr>
          <w:rFonts w:cstheme="minorHAnsi"/>
          <w:szCs w:val="24"/>
          <w:lang w:eastAsia="cs-CZ"/>
        </w:rPr>
        <w:t xml:space="preserve"> polovině monitorovacích míst, přičemž </w:t>
      </w:r>
      <w:r w:rsidR="004F55E2">
        <w:rPr>
          <w:rFonts w:cstheme="minorHAnsi"/>
          <w:szCs w:val="24"/>
          <w:lang w:eastAsia="cs-CZ"/>
        </w:rPr>
        <w:t>na</w:t>
      </w:r>
      <w:r w:rsidR="006B7F81">
        <w:rPr>
          <w:rFonts w:cstheme="minorHAnsi"/>
          <w:szCs w:val="24"/>
          <w:lang w:eastAsia="cs-CZ"/>
        </w:rPr>
        <w:t xml:space="preserve"> dvou pětin</w:t>
      </w:r>
      <w:r w:rsidR="004F55E2">
        <w:rPr>
          <w:rFonts w:cstheme="minorHAnsi"/>
          <w:szCs w:val="24"/>
          <w:lang w:eastAsia="cs-CZ"/>
        </w:rPr>
        <w:t>ách</w:t>
      </w:r>
      <w:r>
        <w:rPr>
          <w:rFonts w:cstheme="minorHAnsi"/>
          <w:szCs w:val="24"/>
          <w:lang w:eastAsia="cs-CZ"/>
        </w:rPr>
        <w:t xml:space="preserve"> </w:t>
      </w:r>
      <w:r w:rsidR="006B7F81">
        <w:rPr>
          <w:rFonts w:cstheme="minorHAnsi"/>
          <w:szCs w:val="24"/>
          <w:lang w:eastAsia="cs-CZ"/>
        </w:rPr>
        <w:t>míst docház</w:t>
      </w:r>
      <w:r w:rsidR="005A6F00">
        <w:rPr>
          <w:rFonts w:cstheme="minorHAnsi"/>
          <w:szCs w:val="24"/>
          <w:lang w:eastAsia="cs-CZ"/>
        </w:rPr>
        <w:t>elo</w:t>
      </w:r>
      <w:r w:rsidR="006B7F81">
        <w:rPr>
          <w:rFonts w:cstheme="minorHAnsi"/>
          <w:szCs w:val="24"/>
          <w:lang w:eastAsia="cs-CZ"/>
        </w:rPr>
        <w:t xml:space="preserve"> k překračování stanovených limitů. Počet míst, na</w:t>
      </w:r>
      <w:r>
        <w:rPr>
          <w:rFonts w:cstheme="minorHAnsi"/>
          <w:szCs w:val="24"/>
          <w:lang w:eastAsia="cs-CZ"/>
        </w:rPr>
        <w:t xml:space="preserve"> kterých </w:t>
      </w:r>
      <w:r w:rsidR="00A016F2">
        <w:rPr>
          <w:rFonts w:cstheme="minorHAnsi"/>
          <w:szCs w:val="24"/>
          <w:lang w:eastAsia="cs-CZ"/>
        </w:rPr>
        <w:t xml:space="preserve">v daném období </w:t>
      </w:r>
      <w:r>
        <w:rPr>
          <w:rFonts w:cstheme="minorHAnsi"/>
          <w:szCs w:val="24"/>
          <w:lang w:eastAsia="cs-CZ"/>
        </w:rPr>
        <w:t xml:space="preserve">došlo k překročení </w:t>
      </w:r>
      <w:r w:rsidR="006B7F81">
        <w:rPr>
          <w:rFonts w:cstheme="minorHAnsi"/>
          <w:szCs w:val="24"/>
          <w:lang w:eastAsia="cs-CZ"/>
        </w:rPr>
        <w:t>limitů</w:t>
      </w:r>
      <w:r w:rsidR="002D2410">
        <w:rPr>
          <w:rFonts w:cstheme="minorHAnsi"/>
          <w:szCs w:val="24"/>
          <w:lang w:eastAsia="cs-CZ"/>
        </w:rPr>
        <w:t>,</w:t>
      </w:r>
      <w:r w:rsidR="006B7F81">
        <w:rPr>
          <w:rFonts w:cstheme="minorHAnsi"/>
          <w:szCs w:val="24"/>
          <w:lang w:eastAsia="cs-CZ"/>
        </w:rPr>
        <w:t xml:space="preserve"> </w:t>
      </w:r>
      <w:r w:rsidR="004F55E2">
        <w:rPr>
          <w:rFonts w:cstheme="minorHAnsi"/>
          <w:szCs w:val="24"/>
          <w:lang w:eastAsia="cs-CZ"/>
        </w:rPr>
        <w:t xml:space="preserve">celkově </w:t>
      </w:r>
      <w:r w:rsidR="006B7F81">
        <w:rPr>
          <w:rFonts w:cstheme="minorHAnsi"/>
          <w:szCs w:val="24"/>
          <w:lang w:eastAsia="cs-CZ"/>
        </w:rPr>
        <w:t>rostl</w:t>
      </w:r>
      <w:r w:rsidR="00653BC6">
        <w:rPr>
          <w:rFonts w:cstheme="minorHAnsi"/>
          <w:szCs w:val="24"/>
          <w:lang w:eastAsia="cs-CZ"/>
        </w:rPr>
        <w:t xml:space="preserve">, </w:t>
      </w:r>
      <w:r w:rsidR="00232333">
        <w:rPr>
          <w:rFonts w:cstheme="minorHAnsi"/>
          <w:szCs w:val="24"/>
          <w:lang w:eastAsia="cs-CZ"/>
        </w:rPr>
        <w:t>v roce 2019 oproti roku 2013 o 6 %</w:t>
      </w:r>
      <w:r w:rsidR="006B7F81">
        <w:rPr>
          <w:rFonts w:cstheme="minorHAnsi"/>
          <w:szCs w:val="24"/>
          <w:lang w:eastAsia="cs-CZ"/>
        </w:rPr>
        <w:t>.</w:t>
      </w:r>
      <w:r w:rsidR="002D2410">
        <w:rPr>
          <w:rFonts w:cstheme="minorHAnsi"/>
          <w:szCs w:val="24"/>
          <w:lang w:eastAsia="cs-CZ"/>
        </w:rPr>
        <w:t xml:space="preserve"> Zároveň jsou </w:t>
      </w:r>
      <w:r w:rsidR="004F55E2">
        <w:rPr>
          <w:rFonts w:cstheme="minorHAnsi"/>
          <w:szCs w:val="24"/>
          <w:lang w:eastAsia="cs-CZ"/>
        </w:rPr>
        <w:t xml:space="preserve">v </w:t>
      </w:r>
      <w:r w:rsidR="002D2410">
        <w:rPr>
          <w:rFonts w:cstheme="minorHAnsi"/>
          <w:szCs w:val="24"/>
          <w:lang w:eastAsia="cs-CZ"/>
        </w:rPr>
        <w:t>PZV zjišťovány látky</w:t>
      </w:r>
      <w:r w:rsidR="004F55E2">
        <w:rPr>
          <w:rFonts w:cstheme="minorHAnsi"/>
          <w:szCs w:val="24"/>
          <w:lang w:eastAsia="cs-CZ"/>
        </w:rPr>
        <w:t xml:space="preserve"> zakázané nebo nepoužívané. U těchto látek také dochází k překračování limitů</w:t>
      </w:r>
      <w:r w:rsidR="003C61D0">
        <w:rPr>
          <w:rFonts w:cstheme="minorHAnsi"/>
          <w:szCs w:val="24"/>
          <w:lang w:eastAsia="cs-CZ"/>
        </w:rPr>
        <w:t>.</w:t>
      </w:r>
      <w:r w:rsidR="004F55E2">
        <w:rPr>
          <w:rFonts w:cstheme="minorHAnsi"/>
          <w:szCs w:val="24"/>
          <w:lang w:eastAsia="cs-CZ"/>
        </w:rPr>
        <w:t xml:space="preserve"> </w:t>
      </w:r>
      <w:r w:rsidR="003C61D0">
        <w:rPr>
          <w:rFonts w:cstheme="minorHAnsi"/>
          <w:szCs w:val="24"/>
          <w:lang w:eastAsia="cs-CZ"/>
        </w:rPr>
        <w:t>P</w:t>
      </w:r>
      <w:r w:rsidR="00B63866">
        <w:rPr>
          <w:rFonts w:cstheme="minorHAnsi"/>
          <w:szCs w:val="24"/>
          <w:lang w:eastAsia="cs-CZ"/>
        </w:rPr>
        <w:t xml:space="preserve">očet míst s překročením </w:t>
      </w:r>
      <w:r w:rsidR="003C61D0">
        <w:rPr>
          <w:rFonts w:cstheme="minorHAnsi"/>
          <w:szCs w:val="24"/>
          <w:lang w:eastAsia="cs-CZ"/>
        </w:rPr>
        <w:t xml:space="preserve">limitu nepoužívaných a zakázaných látek </w:t>
      </w:r>
      <w:r w:rsidR="0033277C">
        <w:rPr>
          <w:rFonts w:cstheme="minorHAnsi"/>
          <w:szCs w:val="24"/>
          <w:lang w:eastAsia="cs-CZ"/>
        </w:rPr>
        <w:t xml:space="preserve">celkově </w:t>
      </w:r>
      <w:r>
        <w:rPr>
          <w:rFonts w:cstheme="minorHAnsi"/>
          <w:szCs w:val="24"/>
          <w:lang w:eastAsia="cs-CZ"/>
        </w:rPr>
        <w:t>kles</w:t>
      </w:r>
      <w:r w:rsidR="0033713A">
        <w:rPr>
          <w:rFonts w:cstheme="minorHAnsi"/>
          <w:szCs w:val="24"/>
          <w:lang w:eastAsia="cs-CZ"/>
        </w:rPr>
        <w:t>a</w:t>
      </w:r>
      <w:r>
        <w:rPr>
          <w:rFonts w:cstheme="minorHAnsi"/>
          <w:szCs w:val="24"/>
          <w:lang w:eastAsia="cs-CZ"/>
        </w:rPr>
        <w:t>l</w:t>
      </w:r>
      <w:r w:rsidR="0033277C">
        <w:rPr>
          <w:rFonts w:cstheme="minorHAnsi"/>
          <w:szCs w:val="24"/>
          <w:lang w:eastAsia="cs-CZ"/>
        </w:rPr>
        <w:t>,</w:t>
      </w:r>
      <w:r w:rsidR="003C61D0">
        <w:rPr>
          <w:rFonts w:cstheme="minorHAnsi"/>
          <w:szCs w:val="24"/>
          <w:lang w:eastAsia="cs-CZ"/>
        </w:rPr>
        <w:t xml:space="preserve"> </w:t>
      </w:r>
      <w:r w:rsidR="007A3F4A">
        <w:rPr>
          <w:rFonts w:cstheme="minorHAnsi"/>
          <w:szCs w:val="24"/>
          <w:lang w:eastAsia="cs-CZ"/>
        </w:rPr>
        <w:t>v roce</w:t>
      </w:r>
      <w:r w:rsidR="003C61D0">
        <w:rPr>
          <w:rFonts w:cstheme="minorHAnsi"/>
          <w:szCs w:val="24"/>
          <w:lang w:eastAsia="cs-CZ"/>
        </w:rPr>
        <w:t xml:space="preserve"> 2019 </w:t>
      </w:r>
      <w:r w:rsidR="007A3F4A">
        <w:rPr>
          <w:rFonts w:cstheme="minorHAnsi"/>
          <w:szCs w:val="24"/>
          <w:lang w:eastAsia="cs-CZ"/>
        </w:rPr>
        <w:t xml:space="preserve">oproti roku </w:t>
      </w:r>
      <w:r w:rsidR="00381B58">
        <w:rPr>
          <w:rFonts w:cstheme="minorHAnsi"/>
          <w:szCs w:val="24"/>
          <w:lang w:eastAsia="cs-CZ"/>
        </w:rPr>
        <w:t>2013</w:t>
      </w:r>
      <w:r w:rsidR="003C61D0">
        <w:rPr>
          <w:rFonts w:cstheme="minorHAnsi"/>
          <w:szCs w:val="24"/>
          <w:lang w:eastAsia="cs-CZ"/>
        </w:rPr>
        <w:t xml:space="preserve"> o </w:t>
      </w:r>
      <w:r w:rsidR="007A3F4A">
        <w:rPr>
          <w:rFonts w:cstheme="minorHAnsi"/>
          <w:szCs w:val="24"/>
          <w:lang w:eastAsia="cs-CZ"/>
        </w:rPr>
        <w:t>18</w:t>
      </w:r>
      <w:r w:rsidR="003C61D0">
        <w:rPr>
          <w:rFonts w:cstheme="minorHAnsi"/>
          <w:szCs w:val="24"/>
          <w:lang w:eastAsia="cs-CZ"/>
        </w:rPr>
        <w:t xml:space="preserve"> %.</w:t>
      </w:r>
    </w:p>
    <w:p w14:paraId="534576F7" w14:textId="77777777" w:rsidR="004F55E2" w:rsidRDefault="004D3802" w:rsidP="00A57C72">
      <w:pPr>
        <w:rPr>
          <w:rFonts w:cstheme="minorHAnsi"/>
          <w:szCs w:val="24"/>
          <w:lang w:eastAsia="cs-CZ"/>
        </w:rPr>
      </w:pPr>
      <w:r>
        <w:rPr>
          <w:rFonts w:cstheme="minorHAnsi"/>
          <w:szCs w:val="24"/>
          <w:lang w:eastAsia="cs-CZ"/>
        </w:rPr>
        <w:t>V případě d</w:t>
      </w:r>
      <w:r w:rsidR="004F55E2">
        <w:rPr>
          <w:rFonts w:cstheme="minorHAnsi"/>
          <w:szCs w:val="24"/>
          <w:lang w:eastAsia="cs-CZ"/>
        </w:rPr>
        <w:t>usíkat</w:t>
      </w:r>
      <w:r>
        <w:rPr>
          <w:rFonts w:cstheme="minorHAnsi"/>
          <w:szCs w:val="24"/>
          <w:lang w:eastAsia="cs-CZ"/>
        </w:rPr>
        <w:t>ých</w:t>
      </w:r>
      <w:r w:rsidR="004F55E2">
        <w:rPr>
          <w:rFonts w:cstheme="minorHAnsi"/>
          <w:szCs w:val="24"/>
          <w:lang w:eastAsia="cs-CZ"/>
        </w:rPr>
        <w:t xml:space="preserve"> lát</w:t>
      </w:r>
      <w:r>
        <w:rPr>
          <w:rFonts w:cstheme="minorHAnsi"/>
          <w:szCs w:val="24"/>
          <w:lang w:eastAsia="cs-CZ"/>
        </w:rPr>
        <w:t>ek</w:t>
      </w:r>
      <w:r w:rsidR="004F55E2">
        <w:rPr>
          <w:rFonts w:cstheme="minorHAnsi"/>
          <w:szCs w:val="24"/>
          <w:lang w:eastAsia="cs-CZ"/>
        </w:rPr>
        <w:t xml:space="preserve"> jsou</w:t>
      </w:r>
      <w:r>
        <w:rPr>
          <w:rFonts w:cstheme="minorHAnsi"/>
          <w:szCs w:val="24"/>
          <w:lang w:eastAsia="cs-CZ"/>
        </w:rPr>
        <w:t xml:space="preserve"> každoročně v PZV překračovány limity na čtvrtině míst. Počet těchto míst </w:t>
      </w:r>
      <w:r w:rsidR="00A967AD">
        <w:rPr>
          <w:rFonts w:cstheme="minorHAnsi"/>
          <w:szCs w:val="24"/>
          <w:lang w:eastAsia="cs-CZ"/>
        </w:rPr>
        <w:t>v období 2013–</w:t>
      </w:r>
      <w:r>
        <w:rPr>
          <w:rFonts w:cstheme="minorHAnsi"/>
          <w:szCs w:val="24"/>
          <w:lang w:eastAsia="cs-CZ"/>
        </w:rPr>
        <w:t>2019 celkov</w:t>
      </w:r>
      <w:r w:rsidR="00654705">
        <w:rPr>
          <w:rFonts w:cstheme="minorHAnsi"/>
          <w:szCs w:val="24"/>
          <w:lang w:eastAsia="cs-CZ"/>
        </w:rPr>
        <w:t>ě</w:t>
      </w:r>
      <w:r>
        <w:rPr>
          <w:rFonts w:cstheme="minorHAnsi"/>
          <w:szCs w:val="24"/>
          <w:lang w:eastAsia="cs-CZ"/>
        </w:rPr>
        <w:t xml:space="preserve"> rostl</w:t>
      </w:r>
      <w:r w:rsidR="00653BC6">
        <w:rPr>
          <w:rFonts w:cstheme="minorHAnsi"/>
          <w:szCs w:val="24"/>
          <w:lang w:eastAsia="cs-CZ"/>
        </w:rPr>
        <w:t xml:space="preserve">, </w:t>
      </w:r>
      <w:r w:rsidR="00232333">
        <w:rPr>
          <w:rFonts w:cstheme="minorHAnsi"/>
          <w:szCs w:val="24"/>
          <w:lang w:eastAsia="cs-CZ"/>
        </w:rPr>
        <w:t>v roce 2019 oproti roku 2013 o 8 %</w:t>
      </w:r>
      <w:r>
        <w:rPr>
          <w:rFonts w:cstheme="minorHAnsi"/>
          <w:szCs w:val="24"/>
          <w:lang w:eastAsia="cs-CZ"/>
        </w:rPr>
        <w:t>.</w:t>
      </w:r>
    </w:p>
    <w:p w14:paraId="2AF1B7AD" w14:textId="77777777" w:rsidR="004D3802" w:rsidRDefault="004D3802" w:rsidP="00EE2BF3">
      <w:pPr>
        <w:spacing w:after="0"/>
        <w:rPr>
          <w:rFonts w:cstheme="minorHAnsi"/>
          <w:szCs w:val="24"/>
          <w:lang w:eastAsia="cs-CZ"/>
        </w:rPr>
      </w:pPr>
      <w:r>
        <w:rPr>
          <w:rFonts w:cstheme="minorHAnsi"/>
          <w:szCs w:val="24"/>
          <w:lang w:eastAsia="cs-CZ"/>
        </w:rPr>
        <w:t xml:space="preserve">Ani stav </w:t>
      </w:r>
      <w:r w:rsidRPr="004F55E2">
        <w:rPr>
          <w:rFonts w:cstheme="minorHAnsi"/>
          <w:b/>
          <w:szCs w:val="24"/>
          <w:lang w:eastAsia="cs-CZ"/>
        </w:rPr>
        <w:t>po</w:t>
      </w:r>
      <w:r>
        <w:rPr>
          <w:rFonts w:cstheme="minorHAnsi"/>
          <w:b/>
          <w:szCs w:val="24"/>
          <w:lang w:eastAsia="cs-CZ"/>
        </w:rPr>
        <w:t>vrchových</w:t>
      </w:r>
      <w:r w:rsidRPr="004F55E2">
        <w:rPr>
          <w:rFonts w:cstheme="minorHAnsi"/>
          <w:b/>
          <w:szCs w:val="24"/>
          <w:lang w:eastAsia="cs-CZ"/>
        </w:rPr>
        <w:t xml:space="preserve"> vod</w:t>
      </w:r>
      <w:r>
        <w:rPr>
          <w:rFonts w:cstheme="minorHAnsi"/>
          <w:szCs w:val="24"/>
          <w:lang w:eastAsia="cs-CZ"/>
        </w:rPr>
        <w:t xml:space="preserve"> (dále také „POV“) </w:t>
      </w:r>
      <w:r w:rsidR="00A967AD">
        <w:rPr>
          <w:rFonts w:cstheme="minorHAnsi"/>
          <w:szCs w:val="24"/>
          <w:lang w:eastAsia="cs-CZ"/>
        </w:rPr>
        <w:t>se v letech 2013–</w:t>
      </w:r>
      <w:r>
        <w:rPr>
          <w:rFonts w:cstheme="minorHAnsi"/>
          <w:szCs w:val="24"/>
          <w:lang w:eastAsia="cs-CZ"/>
        </w:rPr>
        <w:t xml:space="preserve">2019 výrazně nezlepšil. Pesticidní látky byly každoročně zjišťovány na </w:t>
      </w:r>
      <w:r w:rsidR="00A967AD">
        <w:rPr>
          <w:rFonts w:cstheme="minorHAnsi"/>
          <w:szCs w:val="24"/>
          <w:lang w:eastAsia="cs-CZ"/>
        </w:rPr>
        <w:t xml:space="preserve">téměř všech analyzovaných </w:t>
      </w:r>
      <w:r>
        <w:rPr>
          <w:rFonts w:cstheme="minorHAnsi"/>
          <w:szCs w:val="24"/>
          <w:lang w:eastAsia="cs-CZ"/>
        </w:rPr>
        <w:t>místech, přičemž na čtvrtině míst docházelo k p</w:t>
      </w:r>
      <w:r w:rsidR="00A967AD">
        <w:rPr>
          <w:rFonts w:cstheme="minorHAnsi"/>
          <w:szCs w:val="24"/>
          <w:lang w:eastAsia="cs-CZ"/>
        </w:rPr>
        <w:t xml:space="preserve">řekračování stanovených limitů. </w:t>
      </w:r>
      <w:r w:rsidR="001D64FD">
        <w:rPr>
          <w:rFonts w:cstheme="minorHAnsi"/>
          <w:szCs w:val="24"/>
          <w:lang w:eastAsia="cs-CZ"/>
        </w:rPr>
        <w:t>P</w:t>
      </w:r>
      <w:r w:rsidR="00A967AD">
        <w:rPr>
          <w:rFonts w:cstheme="minorHAnsi"/>
          <w:szCs w:val="24"/>
          <w:lang w:eastAsia="cs-CZ"/>
        </w:rPr>
        <w:t>očet míst, na kterých došlo</w:t>
      </w:r>
      <w:r>
        <w:rPr>
          <w:rFonts w:cstheme="minorHAnsi"/>
          <w:szCs w:val="24"/>
          <w:lang w:eastAsia="cs-CZ"/>
        </w:rPr>
        <w:t xml:space="preserve"> </w:t>
      </w:r>
      <w:r w:rsidR="00F4783E">
        <w:rPr>
          <w:rFonts w:cstheme="minorHAnsi"/>
          <w:szCs w:val="24"/>
          <w:lang w:eastAsia="cs-CZ"/>
        </w:rPr>
        <w:t xml:space="preserve">v daném období </w:t>
      </w:r>
      <w:r>
        <w:rPr>
          <w:rFonts w:cstheme="minorHAnsi"/>
          <w:szCs w:val="24"/>
          <w:lang w:eastAsia="cs-CZ"/>
        </w:rPr>
        <w:t>k překr</w:t>
      </w:r>
      <w:r w:rsidR="00A967AD">
        <w:rPr>
          <w:rFonts w:cstheme="minorHAnsi"/>
          <w:szCs w:val="24"/>
          <w:lang w:eastAsia="cs-CZ"/>
        </w:rPr>
        <w:t>očení</w:t>
      </w:r>
      <w:r>
        <w:rPr>
          <w:rFonts w:cstheme="minorHAnsi"/>
          <w:szCs w:val="24"/>
          <w:lang w:eastAsia="cs-CZ"/>
        </w:rPr>
        <w:t xml:space="preserve"> limitů, </w:t>
      </w:r>
      <w:r w:rsidR="00A967AD">
        <w:rPr>
          <w:rFonts w:cstheme="minorHAnsi"/>
          <w:szCs w:val="24"/>
          <w:lang w:eastAsia="cs-CZ"/>
        </w:rPr>
        <w:t xml:space="preserve">celkově </w:t>
      </w:r>
      <w:r w:rsidR="001D64FD" w:rsidRPr="0036333F">
        <w:rPr>
          <w:szCs w:val="24"/>
        </w:rPr>
        <w:t>rostl</w:t>
      </w:r>
      <w:r w:rsidR="001D64FD">
        <w:rPr>
          <w:szCs w:val="24"/>
        </w:rPr>
        <w:t>. Nicméně po výrazném růstu</w:t>
      </w:r>
      <w:r w:rsidR="00653BC6">
        <w:rPr>
          <w:rFonts w:cstheme="minorHAnsi"/>
          <w:szCs w:val="24"/>
          <w:lang w:eastAsia="cs-CZ"/>
        </w:rPr>
        <w:t xml:space="preserve"> </w:t>
      </w:r>
      <w:r w:rsidR="00232333">
        <w:rPr>
          <w:rFonts w:cstheme="minorHAnsi"/>
          <w:szCs w:val="24"/>
          <w:lang w:eastAsia="cs-CZ"/>
        </w:rPr>
        <w:t>v</w:t>
      </w:r>
      <w:r w:rsidR="001D64FD">
        <w:rPr>
          <w:szCs w:val="24"/>
        </w:rPr>
        <w:t> roce 2017 klesl v </w:t>
      </w:r>
      <w:r w:rsidR="00232333">
        <w:rPr>
          <w:rFonts w:cstheme="minorHAnsi"/>
          <w:szCs w:val="24"/>
          <w:lang w:eastAsia="cs-CZ"/>
        </w:rPr>
        <w:t xml:space="preserve">roce 2019 </w:t>
      </w:r>
      <w:r w:rsidR="001D64FD">
        <w:rPr>
          <w:szCs w:val="24"/>
        </w:rPr>
        <w:t>pod hodnotu</w:t>
      </w:r>
      <w:r w:rsidR="00232333">
        <w:rPr>
          <w:rFonts w:cstheme="minorHAnsi"/>
          <w:szCs w:val="24"/>
          <w:lang w:eastAsia="cs-CZ"/>
        </w:rPr>
        <w:t xml:space="preserve"> roku 2013</w:t>
      </w:r>
      <w:r w:rsidR="001D64FD">
        <w:rPr>
          <w:szCs w:val="24"/>
        </w:rPr>
        <w:t>, a to</w:t>
      </w:r>
      <w:r w:rsidR="00232333">
        <w:rPr>
          <w:rFonts w:cstheme="minorHAnsi"/>
          <w:szCs w:val="24"/>
          <w:lang w:eastAsia="cs-CZ"/>
        </w:rPr>
        <w:t xml:space="preserve"> o 9 %</w:t>
      </w:r>
      <w:r w:rsidR="00B63866">
        <w:rPr>
          <w:rFonts w:cstheme="minorHAnsi"/>
          <w:szCs w:val="24"/>
          <w:lang w:eastAsia="cs-CZ"/>
        </w:rPr>
        <w:t>.</w:t>
      </w:r>
      <w:r>
        <w:rPr>
          <w:rFonts w:cstheme="minorHAnsi"/>
          <w:szCs w:val="24"/>
          <w:lang w:eastAsia="cs-CZ"/>
        </w:rPr>
        <w:t xml:space="preserve"> </w:t>
      </w:r>
      <w:r w:rsidR="00B63866">
        <w:rPr>
          <w:rFonts w:cstheme="minorHAnsi"/>
          <w:szCs w:val="24"/>
          <w:lang w:eastAsia="cs-CZ"/>
        </w:rPr>
        <w:t>Také v </w:t>
      </w:r>
      <w:r>
        <w:rPr>
          <w:rFonts w:cstheme="minorHAnsi"/>
          <w:szCs w:val="24"/>
          <w:lang w:eastAsia="cs-CZ"/>
        </w:rPr>
        <w:t>P</w:t>
      </w:r>
      <w:r w:rsidR="00B63866">
        <w:rPr>
          <w:rFonts w:cstheme="minorHAnsi"/>
          <w:szCs w:val="24"/>
          <w:lang w:eastAsia="cs-CZ"/>
        </w:rPr>
        <w:t xml:space="preserve">OV jsou stále </w:t>
      </w:r>
      <w:r>
        <w:rPr>
          <w:rFonts w:cstheme="minorHAnsi"/>
          <w:szCs w:val="24"/>
          <w:lang w:eastAsia="cs-CZ"/>
        </w:rPr>
        <w:t>zjiš</w:t>
      </w:r>
      <w:r w:rsidR="00A967AD">
        <w:rPr>
          <w:rFonts w:cstheme="minorHAnsi"/>
          <w:szCs w:val="24"/>
          <w:lang w:eastAsia="cs-CZ"/>
        </w:rPr>
        <w:t>ťovány látky zakázané nebo</w:t>
      </w:r>
      <w:r>
        <w:rPr>
          <w:rFonts w:cstheme="minorHAnsi"/>
          <w:szCs w:val="24"/>
          <w:lang w:eastAsia="cs-CZ"/>
        </w:rPr>
        <w:t xml:space="preserve"> nepoužívané</w:t>
      </w:r>
      <w:r w:rsidR="00B63866">
        <w:rPr>
          <w:rFonts w:cstheme="minorHAnsi"/>
          <w:szCs w:val="24"/>
          <w:lang w:eastAsia="cs-CZ"/>
        </w:rPr>
        <w:t>, a to každoročně na více než 80 % míst.</w:t>
      </w:r>
      <w:r>
        <w:rPr>
          <w:rFonts w:cstheme="minorHAnsi"/>
          <w:szCs w:val="24"/>
          <w:lang w:eastAsia="cs-CZ"/>
        </w:rPr>
        <w:t xml:space="preserve"> </w:t>
      </w:r>
      <w:r w:rsidR="00B63866">
        <w:rPr>
          <w:rFonts w:cstheme="minorHAnsi"/>
          <w:szCs w:val="24"/>
          <w:lang w:eastAsia="cs-CZ"/>
        </w:rPr>
        <w:t xml:space="preserve">Navíc v daném období </w:t>
      </w:r>
      <w:r w:rsidR="00A967AD">
        <w:rPr>
          <w:rFonts w:cstheme="minorHAnsi"/>
          <w:szCs w:val="24"/>
          <w:lang w:eastAsia="cs-CZ"/>
        </w:rPr>
        <w:t xml:space="preserve">celkově </w:t>
      </w:r>
      <w:r w:rsidR="00B63866">
        <w:rPr>
          <w:rFonts w:cstheme="minorHAnsi"/>
          <w:szCs w:val="24"/>
          <w:lang w:eastAsia="cs-CZ"/>
        </w:rPr>
        <w:t>rostl počet míst, na kterých došlo k překročení limitů pro zakázané, resp</w:t>
      </w:r>
      <w:r w:rsidR="00841184">
        <w:rPr>
          <w:rFonts w:cstheme="minorHAnsi"/>
          <w:szCs w:val="24"/>
          <w:lang w:eastAsia="cs-CZ"/>
        </w:rPr>
        <w:t>. nepoužívané pesticidní látky.</w:t>
      </w:r>
    </w:p>
    <w:p w14:paraId="16202870" w14:textId="77777777" w:rsidR="009167C3" w:rsidRDefault="009167C3" w:rsidP="009167C3">
      <w:pPr>
        <w:rPr>
          <w:rFonts w:cstheme="minorHAnsi"/>
          <w:szCs w:val="24"/>
          <w:lang w:eastAsia="cs-CZ"/>
        </w:rPr>
      </w:pPr>
      <w:r>
        <w:rPr>
          <w:rFonts w:cstheme="minorHAnsi"/>
          <w:szCs w:val="24"/>
          <w:lang w:eastAsia="cs-CZ"/>
        </w:rPr>
        <w:t>V případě dusíkatých látek jsou každoročně v POV překračovány limity na třetině analyzovaných míst. Poč</w:t>
      </w:r>
      <w:r w:rsidR="00A967AD">
        <w:rPr>
          <w:rFonts w:cstheme="minorHAnsi"/>
          <w:szCs w:val="24"/>
          <w:lang w:eastAsia="cs-CZ"/>
        </w:rPr>
        <w:t>et těchto míst v období 2013–</w:t>
      </w:r>
      <w:r>
        <w:rPr>
          <w:rFonts w:cstheme="minorHAnsi"/>
          <w:szCs w:val="24"/>
          <w:lang w:eastAsia="cs-CZ"/>
        </w:rPr>
        <w:t>2019 celkov</w:t>
      </w:r>
      <w:r w:rsidR="00654705">
        <w:rPr>
          <w:rFonts w:cstheme="minorHAnsi"/>
          <w:szCs w:val="24"/>
          <w:lang w:eastAsia="cs-CZ"/>
        </w:rPr>
        <w:t>ě</w:t>
      </w:r>
      <w:r>
        <w:rPr>
          <w:rFonts w:cstheme="minorHAnsi"/>
          <w:szCs w:val="24"/>
          <w:lang w:eastAsia="cs-CZ"/>
        </w:rPr>
        <w:t xml:space="preserve"> rostl</w:t>
      </w:r>
      <w:r w:rsidR="00653BC6">
        <w:rPr>
          <w:rFonts w:cstheme="minorHAnsi"/>
          <w:szCs w:val="24"/>
          <w:lang w:eastAsia="cs-CZ"/>
        </w:rPr>
        <w:t xml:space="preserve">, </w:t>
      </w:r>
      <w:r w:rsidR="00232333">
        <w:rPr>
          <w:rFonts w:cstheme="minorHAnsi"/>
          <w:szCs w:val="24"/>
          <w:lang w:eastAsia="cs-CZ"/>
        </w:rPr>
        <w:t>v roce 2019 oproti roku 2013 o 11 %</w:t>
      </w:r>
      <w:r>
        <w:rPr>
          <w:rFonts w:cstheme="minorHAnsi"/>
          <w:szCs w:val="24"/>
          <w:lang w:eastAsia="cs-CZ"/>
        </w:rPr>
        <w:t>.</w:t>
      </w:r>
    </w:p>
    <w:p w14:paraId="6ABC1A31" w14:textId="77777777" w:rsidR="00F86E14" w:rsidRPr="002C4D07" w:rsidRDefault="00F86E14" w:rsidP="006B6E6F">
      <w:pPr>
        <w:rPr>
          <w:rFonts w:cstheme="minorHAnsi"/>
          <w:szCs w:val="24"/>
          <w:lang w:eastAsia="cs-CZ"/>
        </w:rPr>
      </w:pPr>
      <w:r w:rsidRPr="002C4D07">
        <w:rPr>
          <w:rFonts w:cstheme="minorHAnsi"/>
          <w:szCs w:val="24"/>
          <w:lang w:eastAsia="cs-CZ"/>
        </w:rPr>
        <w:t xml:space="preserve">Od roku 2004 roste </w:t>
      </w:r>
      <w:r w:rsidRPr="00030A78">
        <w:rPr>
          <w:rFonts w:cstheme="minorHAnsi"/>
          <w:b/>
          <w:szCs w:val="24"/>
          <w:lang w:eastAsia="cs-CZ"/>
        </w:rPr>
        <w:t>u pitné vody</w:t>
      </w:r>
      <w:r w:rsidRPr="002C4D07">
        <w:rPr>
          <w:rFonts w:cstheme="minorHAnsi"/>
          <w:szCs w:val="24"/>
          <w:lang w:eastAsia="cs-CZ"/>
        </w:rPr>
        <w:t xml:space="preserve"> počet rozborů </w:t>
      </w:r>
      <w:r w:rsidR="007600A1">
        <w:rPr>
          <w:rFonts w:cstheme="minorHAnsi"/>
          <w:szCs w:val="24"/>
          <w:lang w:eastAsia="cs-CZ"/>
        </w:rPr>
        <w:t xml:space="preserve">pesticidních látek i počet </w:t>
      </w:r>
      <w:r w:rsidRPr="002C4D07">
        <w:rPr>
          <w:rFonts w:cstheme="minorHAnsi"/>
          <w:szCs w:val="24"/>
          <w:lang w:eastAsia="cs-CZ"/>
        </w:rPr>
        <w:t xml:space="preserve">jednotlivých </w:t>
      </w:r>
      <w:r w:rsidR="007600A1">
        <w:rPr>
          <w:rFonts w:cstheme="minorHAnsi"/>
          <w:szCs w:val="24"/>
          <w:lang w:eastAsia="cs-CZ"/>
        </w:rPr>
        <w:t>pesticidních látek</w:t>
      </w:r>
      <w:r w:rsidRPr="002C4D07">
        <w:rPr>
          <w:rFonts w:cstheme="minorHAnsi"/>
          <w:szCs w:val="24"/>
          <w:lang w:eastAsia="cs-CZ"/>
        </w:rPr>
        <w:t xml:space="preserve">, u kterého bylo zjištěno překročení hygienického limitu. Současně roste počet povolených výjimek z hygienického limitu a počet obyvatel těmito výjimkami zasažených (z 3 oblastí a 10 328 obyvatel v roce 2004 na 105 oblastí a 220 241 obyvatel v roce 2019). </w:t>
      </w:r>
      <w:r w:rsidR="00257A0E">
        <w:rPr>
          <w:rFonts w:cstheme="minorHAnsi"/>
          <w:szCs w:val="24"/>
          <w:lang w:eastAsia="cs-CZ"/>
        </w:rPr>
        <w:t>V současné době</w:t>
      </w:r>
      <w:r w:rsidR="007600A1">
        <w:rPr>
          <w:rFonts w:cstheme="minorHAnsi"/>
          <w:szCs w:val="24"/>
          <w:lang w:eastAsia="cs-CZ"/>
        </w:rPr>
        <w:t xml:space="preserve"> jsou pesticidní látky</w:t>
      </w:r>
      <w:r w:rsidRPr="002C4D07">
        <w:rPr>
          <w:rFonts w:cstheme="minorHAnsi"/>
          <w:szCs w:val="24"/>
          <w:lang w:eastAsia="cs-CZ"/>
        </w:rPr>
        <w:t xml:space="preserve"> nejčastější příčinou povolování výjimek. Koncentrace dusičnanů v pitné vodě naopak od roku 2004 klesá. Stejně tak klesá i počet </w:t>
      </w:r>
      <w:r w:rsidRPr="002C4D07">
        <w:rPr>
          <w:rFonts w:cstheme="minorHAnsi"/>
          <w:szCs w:val="24"/>
          <w:lang w:eastAsia="cs-CZ"/>
        </w:rPr>
        <w:lastRenderedPageBreak/>
        <w:t>překroč</w:t>
      </w:r>
      <w:r w:rsidR="00F4783E">
        <w:rPr>
          <w:rFonts w:cstheme="minorHAnsi"/>
          <w:szCs w:val="24"/>
          <w:lang w:eastAsia="cs-CZ"/>
        </w:rPr>
        <w:t>e</w:t>
      </w:r>
      <w:r w:rsidRPr="002C4D07">
        <w:rPr>
          <w:rFonts w:cstheme="minorHAnsi"/>
          <w:szCs w:val="24"/>
          <w:lang w:eastAsia="cs-CZ"/>
        </w:rPr>
        <w:t>ní hygienického limitu pro dusičnany, počet povolených výjimek z hygienického limitu a počet zasažených obyvatel</w:t>
      </w:r>
      <w:r w:rsidR="00763C21">
        <w:rPr>
          <w:rFonts w:cstheme="minorHAnsi"/>
          <w:szCs w:val="24"/>
          <w:lang w:eastAsia="cs-CZ"/>
        </w:rPr>
        <w:t>.</w:t>
      </w:r>
    </w:p>
    <w:p w14:paraId="4D45AAE8" w14:textId="77777777" w:rsidR="00714F38" w:rsidRPr="00714F38" w:rsidRDefault="00714F38" w:rsidP="00E97BD9">
      <w:pPr>
        <w:pStyle w:val="Nadpis1"/>
      </w:pPr>
      <w:r w:rsidRPr="00F7433D">
        <w:t>Neefektiv</w:t>
      </w:r>
      <w:r w:rsidR="00FE2BB4">
        <w:t>nost</w:t>
      </w:r>
      <w:r w:rsidRPr="00F7433D">
        <w:t xml:space="preserve"> opatření </w:t>
      </w:r>
      <w:r w:rsidR="00F4783E">
        <w:t>n</w:t>
      </w:r>
      <w:r w:rsidR="00FA67C7">
        <w:t xml:space="preserve">árodních akčních plánů </w:t>
      </w:r>
      <w:r w:rsidR="00421CD0">
        <w:t xml:space="preserve">vede k </w:t>
      </w:r>
      <w:r w:rsidRPr="00714F38">
        <w:t>rozsáhl</w:t>
      </w:r>
      <w:r w:rsidR="00421CD0">
        <w:t>ým</w:t>
      </w:r>
      <w:r w:rsidRPr="00714F38">
        <w:t xml:space="preserve"> investic</w:t>
      </w:r>
      <w:r w:rsidR="00421CD0">
        <w:t>ím</w:t>
      </w:r>
      <w:r w:rsidRPr="00714F38">
        <w:t xml:space="preserve"> do modernizace úpraven vod. Ty však </w:t>
      </w:r>
      <w:r w:rsidRPr="00F7433D">
        <w:t>nejsou řešením příčin znečištěn</w:t>
      </w:r>
      <w:r w:rsidRPr="00714F38">
        <w:t xml:space="preserve">í a bez </w:t>
      </w:r>
      <w:r w:rsidRPr="00F7433D">
        <w:t xml:space="preserve">dotačních prostředků </w:t>
      </w:r>
      <w:r w:rsidRPr="00714F38">
        <w:t xml:space="preserve">jsou jen </w:t>
      </w:r>
      <w:r w:rsidRPr="00F7433D">
        <w:t>stěží realizovateln</w:t>
      </w:r>
      <w:r w:rsidRPr="00714F38">
        <w:t>é.</w:t>
      </w:r>
    </w:p>
    <w:p w14:paraId="04BA6FB6" w14:textId="77777777" w:rsidR="007901BB" w:rsidRPr="002C4D07" w:rsidRDefault="00763C21" w:rsidP="007901BB">
      <w:pPr>
        <w:pStyle w:val="Odstavecseseznamem"/>
        <w:ind w:left="0"/>
        <w:contextualSpacing w:val="0"/>
        <w:rPr>
          <w:rFonts w:cstheme="minorHAnsi"/>
          <w:szCs w:val="24"/>
          <w:lang w:eastAsia="cs-CZ"/>
        </w:rPr>
      </w:pPr>
      <w:r w:rsidRPr="00763C21">
        <w:rPr>
          <w:rFonts w:cstheme="minorHAnsi"/>
          <w:szCs w:val="24"/>
          <w:lang w:eastAsia="cs-CZ"/>
        </w:rPr>
        <w:t>Provozovatel</w:t>
      </w:r>
      <w:r w:rsidR="00676FA0">
        <w:rPr>
          <w:rFonts w:cstheme="minorHAnsi"/>
          <w:szCs w:val="24"/>
          <w:lang w:eastAsia="cs-CZ"/>
        </w:rPr>
        <w:t>e</w:t>
      </w:r>
      <w:r w:rsidRPr="00763C21">
        <w:rPr>
          <w:rFonts w:cstheme="minorHAnsi"/>
          <w:szCs w:val="24"/>
          <w:lang w:eastAsia="cs-CZ"/>
        </w:rPr>
        <w:t xml:space="preserve"> vodovodů často </w:t>
      </w:r>
      <w:r w:rsidR="00676FA0">
        <w:rPr>
          <w:rFonts w:cstheme="minorHAnsi"/>
          <w:szCs w:val="24"/>
          <w:lang w:eastAsia="cs-CZ"/>
        </w:rPr>
        <w:t>vede</w:t>
      </w:r>
      <w:r w:rsidRPr="00763C21">
        <w:rPr>
          <w:rFonts w:cstheme="minorHAnsi"/>
          <w:szCs w:val="24"/>
          <w:lang w:eastAsia="cs-CZ"/>
        </w:rPr>
        <w:t xml:space="preserve"> nadlimitní výskyt pesticid</w:t>
      </w:r>
      <w:r w:rsidR="0031389F">
        <w:rPr>
          <w:rFonts w:cstheme="minorHAnsi"/>
          <w:szCs w:val="24"/>
          <w:lang w:eastAsia="cs-CZ"/>
        </w:rPr>
        <w:t>ních látek</w:t>
      </w:r>
      <w:r w:rsidR="00676FA0">
        <w:rPr>
          <w:rFonts w:cstheme="minorHAnsi"/>
          <w:szCs w:val="24"/>
          <w:lang w:eastAsia="cs-CZ"/>
        </w:rPr>
        <w:t xml:space="preserve"> </w:t>
      </w:r>
      <w:r w:rsidR="00AB2151">
        <w:rPr>
          <w:rFonts w:cstheme="minorHAnsi"/>
          <w:szCs w:val="24"/>
          <w:lang w:eastAsia="cs-CZ"/>
        </w:rPr>
        <w:t>v pitné vodě</w:t>
      </w:r>
      <w:r w:rsidR="00814BF9">
        <w:rPr>
          <w:rFonts w:cstheme="minorHAnsi"/>
          <w:szCs w:val="24"/>
          <w:lang w:eastAsia="cs-CZ"/>
        </w:rPr>
        <w:t xml:space="preserve"> </w:t>
      </w:r>
      <w:r w:rsidR="007E627A">
        <w:rPr>
          <w:rFonts w:cstheme="minorHAnsi"/>
          <w:szCs w:val="24"/>
          <w:lang w:eastAsia="cs-CZ"/>
        </w:rPr>
        <w:t>k </w:t>
      </w:r>
      <w:r w:rsidRPr="00763C21">
        <w:rPr>
          <w:rFonts w:cstheme="minorHAnsi"/>
          <w:szCs w:val="24"/>
          <w:lang w:eastAsia="cs-CZ"/>
        </w:rPr>
        <w:t>rekonstrukc</w:t>
      </w:r>
      <w:r w:rsidR="00676FA0">
        <w:rPr>
          <w:rFonts w:cstheme="minorHAnsi"/>
          <w:szCs w:val="24"/>
          <w:lang w:eastAsia="cs-CZ"/>
        </w:rPr>
        <w:t>i</w:t>
      </w:r>
      <w:r w:rsidRPr="00763C21">
        <w:rPr>
          <w:rFonts w:cstheme="minorHAnsi"/>
          <w:szCs w:val="24"/>
          <w:lang w:eastAsia="cs-CZ"/>
        </w:rPr>
        <w:t xml:space="preserve"> </w:t>
      </w:r>
      <w:r w:rsidR="00676FA0">
        <w:rPr>
          <w:rFonts w:cstheme="minorHAnsi"/>
          <w:szCs w:val="24"/>
          <w:lang w:eastAsia="cs-CZ"/>
        </w:rPr>
        <w:t>a</w:t>
      </w:r>
      <w:r w:rsidRPr="00763C21">
        <w:rPr>
          <w:rFonts w:cstheme="minorHAnsi"/>
          <w:szCs w:val="24"/>
          <w:lang w:eastAsia="cs-CZ"/>
        </w:rPr>
        <w:t xml:space="preserve"> moderni</w:t>
      </w:r>
      <w:r w:rsidR="00937C48">
        <w:rPr>
          <w:rFonts w:cstheme="minorHAnsi"/>
          <w:szCs w:val="24"/>
          <w:lang w:eastAsia="cs-CZ"/>
        </w:rPr>
        <w:t>zaci</w:t>
      </w:r>
      <w:r w:rsidRPr="00763C21">
        <w:rPr>
          <w:rFonts w:cstheme="minorHAnsi"/>
          <w:szCs w:val="24"/>
          <w:lang w:eastAsia="cs-CZ"/>
        </w:rPr>
        <w:t xml:space="preserve"> technologií úpravny vod, např. zavedením </w:t>
      </w:r>
      <w:r w:rsidR="006413F7">
        <w:rPr>
          <w:rFonts w:cstheme="minorHAnsi"/>
          <w:szCs w:val="24"/>
          <w:lang w:eastAsia="cs-CZ"/>
        </w:rPr>
        <w:t>dalšího stupně úpravy prostřednictvím</w:t>
      </w:r>
      <w:r w:rsidRPr="00763C21">
        <w:rPr>
          <w:rFonts w:cstheme="minorHAnsi"/>
          <w:szCs w:val="24"/>
          <w:lang w:eastAsia="cs-CZ"/>
        </w:rPr>
        <w:t xml:space="preserve"> granulované</w:t>
      </w:r>
      <w:r w:rsidR="006413F7">
        <w:rPr>
          <w:rFonts w:cstheme="minorHAnsi"/>
          <w:szCs w:val="24"/>
          <w:lang w:eastAsia="cs-CZ"/>
        </w:rPr>
        <w:t>ho</w:t>
      </w:r>
      <w:r w:rsidRPr="00763C21">
        <w:rPr>
          <w:rFonts w:cstheme="minorHAnsi"/>
          <w:szCs w:val="24"/>
          <w:lang w:eastAsia="cs-CZ"/>
        </w:rPr>
        <w:t xml:space="preserve"> aktivní</w:t>
      </w:r>
      <w:r w:rsidR="006413F7">
        <w:rPr>
          <w:rFonts w:cstheme="minorHAnsi"/>
          <w:szCs w:val="24"/>
          <w:lang w:eastAsia="cs-CZ"/>
        </w:rPr>
        <w:t>ho</w:t>
      </w:r>
      <w:r w:rsidRPr="00763C21">
        <w:rPr>
          <w:rFonts w:cstheme="minorHAnsi"/>
          <w:szCs w:val="24"/>
          <w:lang w:eastAsia="cs-CZ"/>
        </w:rPr>
        <w:t xml:space="preserve"> uhlí (</w:t>
      </w:r>
      <w:r w:rsidR="00331DE5">
        <w:rPr>
          <w:rFonts w:cstheme="minorHAnsi"/>
          <w:szCs w:val="24"/>
          <w:lang w:eastAsia="cs-CZ"/>
        </w:rPr>
        <w:t xml:space="preserve">dále také </w:t>
      </w:r>
      <w:r w:rsidR="00331DE5" w:rsidRPr="00723EA1">
        <w:rPr>
          <w:rFonts w:cstheme="minorHAnsi"/>
          <w:szCs w:val="24"/>
          <w:lang w:eastAsia="cs-CZ"/>
        </w:rPr>
        <w:t>„</w:t>
      </w:r>
      <w:r w:rsidRPr="00723EA1">
        <w:rPr>
          <w:rFonts w:cstheme="minorHAnsi"/>
          <w:szCs w:val="24"/>
          <w:lang w:eastAsia="cs-CZ"/>
        </w:rPr>
        <w:t>GAU</w:t>
      </w:r>
      <w:r w:rsidR="00331DE5" w:rsidRPr="00723EA1">
        <w:rPr>
          <w:rFonts w:cstheme="minorHAnsi"/>
          <w:szCs w:val="24"/>
          <w:lang w:eastAsia="cs-CZ"/>
        </w:rPr>
        <w:t>“</w:t>
      </w:r>
      <w:r w:rsidRPr="00763C21">
        <w:rPr>
          <w:rFonts w:cstheme="minorHAnsi"/>
          <w:szCs w:val="24"/>
          <w:lang w:eastAsia="cs-CZ"/>
        </w:rPr>
        <w:t xml:space="preserve">). </w:t>
      </w:r>
      <w:r w:rsidR="007901BB" w:rsidRPr="00763C21">
        <w:rPr>
          <w:rFonts w:cstheme="minorHAnsi"/>
          <w:szCs w:val="24"/>
          <w:lang w:eastAsia="cs-CZ"/>
        </w:rPr>
        <w:t>MŽP v období 2007</w:t>
      </w:r>
      <w:r w:rsidR="00331DE5" w:rsidRPr="002C4D07">
        <w:rPr>
          <w:rFonts w:cstheme="minorHAnsi"/>
          <w:szCs w:val="24"/>
          <w:lang w:eastAsia="cs-CZ"/>
        </w:rPr>
        <w:t>–</w:t>
      </w:r>
      <w:r w:rsidR="007901BB" w:rsidRPr="00763C21">
        <w:rPr>
          <w:rFonts w:cstheme="minorHAnsi"/>
          <w:szCs w:val="24"/>
          <w:lang w:eastAsia="cs-CZ"/>
        </w:rPr>
        <w:t>2020 podpořilo z </w:t>
      </w:r>
      <w:r w:rsidR="00F4783E" w:rsidRPr="00277665">
        <w:rPr>
          <w:rFonts w:cstheme="minorHAnsi"/>
          <w:szCs w:val="24"/>
          <w:lang w:eastAsia="cs-CZ"/>
        </w:rPr>
        <w:t>o</w:t>
      </w:r>
      <w:r w:rsidR="007901BB" w:rsidRPr="00277665">
        <w:rPr>
          <w:rFonts w:cstheme="minorHAnsi"/>
          <w:szCs w:val="24"/>
          <w:lang w:eastAsia="cs-CZ"/>
        </w:rPr>
        <w:t>peračního programu</w:t>
      </w:r>
      <w:r w:rsidR="007901BB" w:rsidRPr="009F24AE">
        <w:rPr>
          <w:rFonts w:cstheme="minorHAnsi"/>
          <w:i/>
          <w:szCs w:val="24"/>
          <w:lang w:eastAsia="cs-CZ"/>
        </w:rPr>
        <w:t xml:space="preserve"> </w:t>
      </w:r>
      <w:r w:rsidR="00331DE5">
        <w:rPr>
          <w:rFonts w:cstheme="minorHAnsi"/>
          <w:i/>
          <w:szCs w:val="24"/>
          <w:lang w:eastAsia="cs-CZ"/>
        </w:rPr>
        <w:t>Ž</w:t>
      </w:r>
      <w:r w:rsidR="007901BB" w:rsidRPr="009F24AE">
        <w:rPr>
          <w:rFonts w:cstheme="minorHAnsi"/>
          <w:i/>
          <w:szCs w:val="24"/>
          <w:lang w:eastAsia="cs-CZ"/>
        </w:rPr>
        <w:t>ivotní prostředí</w:t>
      </w:r>
      <w:r w:rsidR="007901BB" w:rsidRPr="00763C21">
        <w:rPr>
          <w:rFonts w:cstheme="minorHAnsi"/>
          <w:szCs w:val="24"/>
          <w:lang w:eastAsia="cs-CZ"/>
        </w:rPr>
        <w:t xml:space="preserve"> (</w:t>
      </w:r>
      <w:r w:rsidR="00331DE5">
        <w:rPr>
          <w:rFonts w:cstheme="minorHAnsi"/>
          <w:szCs w:val="24"/>
          <w:lang w:eastAsia="cs-CZ"/>
        </w:rPr>
        <w:t xml:space="preserve">dále také </w:t>
      </w:r>
      <w:r w:rsidR="00331DE5" w:rsidRPr="00723EA1">
        <w:rPr>
          <w:rFonts w:cstheme="minorHAnsi"/>
          <w:szCs w:val="24"/>
          <w:lang w:eastAsia="cs-CZ"/>
        </w:rPr>
        <w:t>„</w:t>
      </w:r>
      <w:r w:rsidR="007901BB" w:rsidRPr="00723EA1">
        <w:rPr>
          <w:rFonts w:cstheme="minorHAnsi"/>
          <w:szCs w:val="24"/>
          <w:lang w:eastAsia="cs-CZ"/>
        </w:rPr>
        <w:t>OPŽP</w:t>
      </w:r>
      <w:r w:rsidR="00331DE5" w:rsidRPr="00723EA1">
        <w:rPr>
          <w:rFonts w:cstheme="minorHAnsi"/>
          <w:szCs w:val="24"/>
          <w:lang w:eastAsia="cs-CZ"/>
        </w:rPr>
        <w:t>“</w:t>
      </w:r>
      <w:r w:rsidR="007901BB" w:rsidRPr="002C4D07">
        <w:rPr>
          <w:rFonts w:cstheme="minorHAnsi"/>
          <w:szCs w:val="24"/>
          <w:lang w:eastAsia="cs-CZ"/>
        </w:rPr>
        <w:t>) projekty v celkové částce</w:t>
      </w:r>
      <w:r w:rsidR="00454697">
        <w:rPr>
          <w:rFonts w:cstheme="minorHAnsi"/>
          <w:szCs w:val="24"/>
          <w:lang w:eastAsia="cs-CZ"/>
        </w:rPr>
        <w:t xml:space="preserve"> převyšující</w:t>
      </w:r>
      <w:r w:rsidR="007901BB" w:rsidRPr="002C4D07">
        <w:rPr>
          <w:rFonts w:cstheme="minorHAnsi"/>
          <w:szCs w:val="24"/>
          <w:lang w:eastAsia="cs-CZ"/>
        </w:rPr>
        <w:t xml:space="preserve"> </w:t>
      </w:r>
      <w:r w:rsidR="00A9072B">
        <w:rPr>
          <w:rFonts w:cstheme="minorHAnsi"/>
          <w:szCs w:val="24"/>
          <w:lang w:eastAsia="cs-CZ"/>
        </w:rPr>
        <w:t>16 mld. </w:t>
      </w:r>
      <w:r w:rsidR="007901BB" w:rsidRPr="00FC5D55">
        <w:rPr>
          <w:rFonts w:cstheme="minorHAnsi"/>
          <w:szCs w:val="24"/>
          <w:lang w:eastAsia="cs-CZ"/>
        </w:rPr>
        <w:t>Kč</w:t>
      </w:r>
      <w:r w:rsidR="00454697" w:rsidRPr="00FC5D55">
        <w:rPr>
          <w:rStyle w:val="Znakapoznpodarou"/>
          <w:rFonts w:cstheme="minorHAnsi"/>
          <w:szCs w:val="24"/>
          <w:lang w:eastAsia="cs-CZ"/>
        </w:rPr>
        <w:footnoteReference w:id="11"/>
      </w:r>
      <w:r w:rsidR="007901BB" w:rsidRPr="00FC5D55">
        <w:rPr>
          <w:rFonts w:cstheme="minorHAnsi"/>
          <w:szCs w:val="24"/>
          <w:lang w:eastAsia="cs-CZ"/>
        </w:rPr>
        <w:t>, které měly za cíl zajistit zásobování obyvatelstva kvalitní pitnou vodou</w:t>
      </w:r>
      <w:r w:rsidR="00205F99" w:rsidRPr="00FC5D55">
        <w:rPr>
          <w:rStyle w:val="Znakapoznpodarou"/>
          <w:rFonts w:cstheme="minorHAnsi"/>
          <w:szCs w:val="24"/>
          <w:lang w:eastAsia="cs-CZ"/>
        </w:rPr>
        <w:footnoteReference w:id="12"/>
      </w:r>
      <w:r w:rsidR="007901BB" w:rsidRPr="00FC5D55">
        <w:rPr>
          <w:rFonts w:cstheme="minorHAnsi"/>
          <w:szCs w:val="24"/>
          <w:lang w:eastAsia="cs-CZ"/>
        </w:rPr>
        <w:t xml:space="preserve">. </w:t>
      </w:r>
      <w:r w:rsidR="00F4324A" w:rsidRPr="00FC5D55">
        <w:rPr>
          <w:rFonts w:cstheme="minorHAnsi"/>
          <w:szCs w:val="24"/>
          <w:lang w:eastAsia="cs-CZ"/>
        </w:rPr>
        <w:t>Kvůli</w:t>
      </w:r>
      <w:r w:rsidR="00F4324A">
        <w:rPr>
          <w:rFonts w:cstheme="minorHAnsi"/>
          <w:szCs w:val="24"/>
          <w:lang w:eastAsia="cs-CZ"/>
        </w:rPr>
        <w:t xml:space="preserve"> znečištění pesticidními látkami bylo n</w:t>
      </w:r>
      <w:r w:rsidR="0031389F" w:rsidRPr="0031389F">
        <w:rPr>
          <w:rFonts w:cstheme="minorHAnsi"/>
          <w:szCs w:val="24"/>
          <w:lang w:eastAsia="cs-CZ"/>
        </w:rPr>
        <w:t>apříklad do modernizace úprav</w:t>
      </w:r>
      <w:r w:rsidR="00F4783E">
        <w:rPr>
          <w:rFonts w:cstheme="minorHAnsi"/>
          <w:szCs w:val="24"/>
          <w:lang w:eastAsia="cs-CZ"/>
        </w:rPr>
        <w:t>ny</w:t>
      </w:r>
      <w:r w:rsidR="0031389F" w:rsidRPr="0031389F">
        <w:rPr>
          <w:rFonts w:cstheme="minorHAnsi"/>
          <w:szCs w:val="24"/>
          <w:lang w:eastAsia="cs-CZ"/>
        </w:rPr>
        <w:t xml:space="preserve"> vod</w:t>
      </w:r>
      <w:r w:rsidR="00F4783E">
        <w:rPr>
          <w:rFonts w:cstheme="minorHAnsi"/>
          <w:szCs w:val="24"/>
          <w:lang w:eastAsia="cs-CZ"/>
        </w:rPr>
        <w:t>y</w:t>
      </w:r>
      <w:r w:rsidR="0031389F" w:rsidRPr="0031389F">
        <w:rPr>
          <w:rFonts w:cstheme="minorHAnsi"/>
          <w:szCs w:val="24"/>
          <w:lang w:eastAsia="cs-CZ"/>
        </w:rPr>
        <w:t xml:space="preserve"> </w:t>
      </w:r>
      <w:r w:rsidR="00F4783E">
        <w:rPr>
          <w:rFonts w:cstheme="minorHAnsi"/>
          <w:szCs w:val="24"/>
          <w:lang w:eastAsia="cs-CZ"/>
        </w:rPr>
        <w:t xml:space="preserve">v </w:t>
      </w:r>
      <w:r w:rsidR="0031389F" w:rsidRPr="0031389F">
        <w:rPr>
          <w:rFonts w:cstheme="minorHAnsi"/>
          <w:szCs w:val="24"/>
          <w:lang w:eastAsia="cs-CZ"/>
        </w:rPr>
        <w:t>Plz</w:t>
      </w:r>
      <w:r w:rsidR="00F4783E">
        <w:rPr>
          <w:rFonts w:cstheme="minorHAnsi"/>
          <w:szCs w:val="24"/>
          <w:lang w:eastAsia="cs-CZ"/>
        </w:rPr>
        <w:t>ni</w:t>
      </w:r>
      <w:r w:rsidR="0031389F" w:rsidRPr="0031389F">
        <w:rPr>
          <w:rFonts w:cstheme="minorHAnsi"/>
          <w:szCs w:val="24"/>
          <w:lang w:eastAsia="cs-CZ"/>
        </w:rPr>
        <w:t xml:space="preserve"> a </w:t>
      </w:r>
      <w:r w:rsidR="00F4783E">
        <w:rPr>
          <w:rFonts w:cstheme="minorHAnsi"/>
          <w:szCs w:val="24"/>
          <w:lang w:eastAsia="cs-CZ"/>
        </w:rPr>
        <w:t xml:space="preserve">úpravny vody </w:t>
      </w:r>
      <w:r w:rsidR="0031389F" w:rsidRPr="0031389F">
        <w:rPr>
          <w:rFonts w:cstheme="minorHAnsi"/>
          <w:szCs w:val="24"/>
          <w:lang w:eastAsia="cs-CZ"/>
        </w:rPr>
        <w:t xml:space="preserve">Želivka investováno </w:t>
      </w:r>
      <w:r w:rsidR="00F4783E">
        <w:rPr>
          <w:rFonts w:cstheme="minorHAnsi"/>
          <w:szCs w:val="24"/>
          <w:lang w:eastAsia="cs-CZ"/>
        </w:rPr>
        <w:t xml:space="preserve">celkem </w:t>
      </w:r>
      <w:r w:rsidR="0031389F" w:rsidRPr="0031389F">
        <w:rPr>
          <w:rFonts w:cstheme="minorHAnsi"/>
          <w:szCs w:val="24"/>
          <w:lang w:eastAsia="cs-CZ"/>
        </w:rPr>
        <w:t>2,6 mld. Kč.</w:t>
      </w:r>
      <w:r w:rsidR="0031389F">
        <w:rPr>
          <w:rFonts w:cstheme="minorHAnsi"/>
          <w:b/>
          <w:szCs w:val="24"/>
          <w:lang w:eastAsia="cs-CZ"/>
        </w:rPr>
        <w:t xml:space="preserve"> </w:t>
      </w:r>
      <w:r w:rsidR="007901BB" w:rsidRPr="002C4D07">
        <w:rPr>
          <w:rFonts w:cstheme="minorHAnsi"/>
          <w:szCs w:val="24"/>
          <w:lang w:eastAsia="cs-CZ"/>
        </w:rPr>
        <w:t xml:space="preserve">Současně </w:t>
      </w:r>
      <w:proofErr w:type="spellStart"/>
      <w:r w:rsidR="007901BB" w:rsidRPr="002C4D07">
        <w:rPr>
          <w:rFonts w:cstheme="minorHAnsi"/>
          <w:szCs w:val="24"/>
          <w:lang w:eastAsia="cs-CZ"/>
        </w:rPr>
        <w:t>MZe</w:t>
      </w:r>
      <w:proofErr w:type="spellEnd"/>
      <w:r w:rsidR="007901BB" w:rsidRPr="002C4D07">
        <w:rPr>
          <w:rFonts w:cstheme="minorHAnsi"/>
          <w:szCs w:val="24"/>
          <w:lang w:eastAsia="cs-CZ"/>
        </w:rPr>
        <w:t xml:space="preserve"> podpořilo v letech 2013</w:t>
      </w:r>
      <w:r w:rsidR="007B2CC8" w:rsidRPr="002C4D07">
        <w:rPr>
          <w:rFonts w:cstheme="minorHAnsi"/>
          <w:szCs w:val="24"/>
          <w:lang w:eastAsia="cs-CZ"/>
        </w:rPr>
        <w:t>–</w:t>
      </w:r>
      <w:r w:rsidR="007901BB" w:rsidRPr="002C4D07">
        <w:rPr>
          <w:rFonts w:cstheme="minorHAnsi"/>
          <w:szCs w:val="24"/>
          <w:lang w:eastAsia="cs-CZ"/>
        </w:rPr>
        <w:t xml:space="preserve">2020 v rámci </w:t>
      </w:r>
      <w:r w:rsidR="00F4783E">
        <w:rPr>
          <w:rFonts w:cstheme="minorHAnsi"/>
          <w:i/>
          <w:szCs w:val="24"/>
          <w:lang w:eastAsia="cs-CZ"/>
        </w:rPr>
        <w:t>n</w:t>
      </w:r>
      <w:r w:rsidR="007901BB" w:rsidRPr="007E627A">
        <w:rPr>
          <w:rFonts w:cstheme="minorHAnsi"/>
          <w:i/>
          <w:szCs w:val="24"/>
          <w:lang w:eastAsia="cs-CZ"/>
        </w:rPr>
        <w:t xml:space="preserve">árodních dotačních </w:t>
      </w:r>
      <w:r w:rsidR="00331DE5">
        <w:rPr>
          <w:rFonts w:cstheme="minorHAnsi"/>
          <w:i/>
          <w:szCs w:val="24"/>
          <w:lang w:eastAsia="cs-CZ"/>
        </w:rPr>
        <w:t>p</w:t>
      </w:r>
      <w:r w:rsidR="007901BB" w:rsidRPr="007E627A">
        <w:rPr>
          <w:rFonts w:cstheme="minorHAnsi"/>
          <w:i/>
          <w:szCs w:val="24"/>
          <w:lang w:eastAsia="cs-CZ"/>
        </w:rPr>
        <w:t>odprogramů</w:t>
      </w:r>
      <w:r w:rsidR="00661191">
        <w:rPr>
          <w:rFonts w:cstheme="minorHAnsi"/>
          <w:i/>
          <w:szCs w:val="24"/>
          <w:lang w:eastAsia="cs-CZ"/>
        </w:rPr>
        <w:t xml:space="preserve"> </w:t>
      </w:r>
      <w:r w:rsidR="00661191">
        <w:rPr>
          <w:rFonts w:cstheme="minorHAnsi"/>
          <w:szCs w:val="24"/>
          <w:lang w:eastAsia="cs-CZ"/>
        </w:rPr>
        <w:t>obdobně zaměřené</w:t>
      </w:r>
      <w:r w:rsidR="003F5B7B">
        <w:rPr>
          <w:rFonts w:cstheme="minorHAnsi"/>
          <w:szCs w:val="24"/>
          <w:lang w:eastAsia="cs-CZ"/>
        </w:rPr>
        <w:t>, ale výrazně menší</w:t>
      </w:r>
      <w:r w:rsidR="007901BB" w:rsidRPr="00763C21">
        <w:rPr>
          <w:rFonts w:cstheme="minorHAnsi"/>
          <w:szCs w:val="24"/>
          <w:lang w:eastAsia="cs-CZ"/>
        </w:rPr>
        <w:t xml:space="preserve"> projekty v celkové výši 14,5</w:t>
      </w:r>
      <w:r w:rsidR="009B248C">
        <w:rPr>
          <w:rFonts w:cstheme="minorHAnsi"/>
          <w:szCs w:val="24"/>
          <w:lang w:eastAsia="cs-CZ"/>
        </w:rPr>
        <w:t> </w:t>
      </w:r>
      <w:r w:rsidR="007901BB" w:rsidRPr="00763C21">
        <w:rPr>
          <w:rFonts w:cstheme="minorHAnsi"/>
          <w:szCs w:val="24"/>
          <w:lang w:eastAsia="cs-CZ"/>
        </w:rPr>
        <w:t>mil. Kč</w:t>
      </w:r>
      <w:r w:rsidR="00661191">
        <w:rPr>
          <w:rFonts w:cstheme="minorHAnsi"/>
          <w:szCs w:val="24"/>
          <w:lang w:eastAsia="cs-CZ"/>
        </w:rPr>
        <w:t>.</w:t>
      </w:r>
    </w:p>
    <w:p w14:paraId="7F5C3C08" w14:textId="77777777" w:rsidR="00370A2D" w:rsidRPr="002C4D07" w:rsidRDefault="000A05E1" w:rsidP="007901BB">
      <w:pPr>
        <w:pStyle w:val="Odstavecseseznamem"/>
        <w:ind w:left="0"/>
        <w:contextualSpacing w:val="0"/>
        <w:rPr>
          <w:rFonts w:cstheme="minorHAnsi"/>
          <w:szCs w:val="24"/>
          <w:lang w:eastAsia="cs-CZ"/>
        </w:rPr>
      </w:pPr>
      <w:r>
        <w:rPr>
          <w:rFonts w:cstheme="minorHAnsi"/>
          <w:szCs w:val="24"/>
          <w:lang w:eastAsia="cs-CZ"/>
        </w:rPr>
        <w:t xml:space="preserve">NKÚ </w:t>
      </w:r>
      <w:r w:rsidDel="00421CD0">
        <w:rPr>
          <w:rFonts w:cstheme="minorHAnsi"/>
          <w:szCs w:val="24"/>
          <w:lang w:eastAsia="cs-CZ"/>
        </w:rPr>
        <w:t>spatřuje rizik</w:t>
      </w:r>
      <w:r w:rsidR="00676FA0">
        <w:rPr>
          <w:rFonts w:cstheme="minorHAnsi"/>
          <w:szCs w:val="24"/>
          <w:lang w:eastAsia="cs-CZ"/>
        </w:rPr>
        <w:t>o</w:t>
      </w:r>
      <w:r w:rsidDel="00421CD0">
        <w:rPr>
          <w:rFonts w:cstheme="minorHAnsi"/>
          <w:szCs w:val="24"/>
          <w:lang w:eastAsia="cs-CZ"/>
        </w:rPr>
        <w:t xml:space="preserve"> v</w:t>
      </w:r>
      <w:r>
        <w:rPr>
          <w:rFonts w:cstheme="minorHAnsi"/>
          <w:szCs w:val="24"/>
          <w:lang w:eastAsia="cs-CZ"/>
        </w:rPr>
        <w:t> </w:t>
      </w:r>
      <w:r w:rsidDel="00421CD0">
        <w:rPr>
          <w:rFonts w:cstheme="minorHAnsi"/>
          <w:szCs w:val="24"/>
          <w:lang w:eastAsia="cs-CZ"/>
        </w:rPr>
        <w:t xml:space="preserve">dostupnosti těchto nákladných opatření zejména </w:t>
      </w:r>
      <w:r w:rsidR="00331DE5">
        <w:rPr>
          <w:rFonts w:cstheme="minorHAnsi"/>
          <w:szCs w:val="24"/>
          <w:lang w:eastAsia="cs-CZ"/>
        </w:rPr>
        <w:t>pro</w:t>
      </w:r>
      <w:r w:rsidR="00331DE5" w:rsidDel="00421CD0">
        <w:rPr>
          <w:rFonts w:cstheme="minorHAnsi"/>
          <w:szCs w:val="24"/>
          <w:lang w:eastAsia="cs-CZ"/>
        </w:rPr>
        <w:t xml:space="preserve"> </w:t>
      </w:r>
      <w:r w:rsidDel="00421CD0">
        <w:rPr>
          <w:rFonts w:cstheme="minorHAnsi"/>
          <w:szCs w:val="24"/>
          <w:lang w:eastAsia="cs-CZ"/>
        </w:rPr>
        <w:t>úprav</w:t>
      </w:r>
      <w:r w:rsidR="00331DE5">
        <w:rPr>
          <w:rFonts w:cstheme="minorHAnsi"/>
          <w:szCs w:val="24"/>
          <w:lang w:eastAsia="cs-CZ"/>
        </w:rPr>
        <w:t>ny</w:t>
      </w:r>
      <w:r w:rsidDel="00421CD0">
        <w:rPr>
          <w:rFonts w:cstheme="minorHAnsi"/>
          <w:szCs w:val="24"/>
          <w:lang w:eastAsia="cs-CZ"/>
        </w:rPr>
        <w:t xml:space="preserve"> vod</w:t>
      </w:r>
      <w:r w:rsidR="00676FA0">
        <w:rPr>
          <w:rFonts w:cstheme="minorHAnsi"/>
          <w:szCs w:val="24"/>
          <w:lang w:eastAsia="cs-CZ"/>
        </w:rPr>
        <w:t>, které</w:t>
      </w:r>
      <w:r w:rsidDel="00421CD0">
        <w:rPr>
          <w:rFonts w:cstheme="minorHAnsi"/>
          <w:szCs w:val="24"/>
          <w:lang w:eastAsia="cs-CZ"/>
        </w:rPr>
        <w:t xml:space="preserve"> zajišťují dodávky malým </w:t>
      </w:r>
      <w:r w:rsidR="001F4748">
        <w:rPr>
          <w:rFonts w:cstheme="minorHAnsi"/>
          <w:szCs w:val="24"/>
          <w:lang w:eastAsia="cs-CZ"/>
        </w:rPr>
        <w:t>oblastem</w:t>
      </w:r>
      <w:r w:rsidR="00A4315D">
        <w:rPr>
          <w:rFonts w:cstheme="minorHAnsi"/>
          <w:szCs w:val="24"/>
          <w:lang w:eastAsia="cs-CZ"/>
        </w:rPr>
        <w:t xml:space="preserve"> do 5 000 obyvatel</w:t>
      </w:r>
      <w:r w:rsidDel="00421CD0">
        <w:rPr>
          <w:rFonts w:cstheme="minorHAnsi"/>
          <w:szCs w:val="24"/>
          <w:lang w:eastAsia="cs-CZ"/>
        </w:rPr>
        <w:t xml:space="preserve">. </w:t>
      </w:r>
      <w:r w:rsidR="007B2CC8">
        <w:rPr>
          <w:rFonts w:cstheme="minorHAnsi"/>
          <w:szCs w:val="24"/>
          <w:lang w:eastAsia="cs-CZ"/>
        </w:rPr>
        <w:t xml:space="preserve">V roce 2019 tvořily vodovody </w:t>
      </w:r>
      <w:r w:rsidR="00F173D8">
        <w:rPr>
          <w:rFonts w:cstheme="minorHAnsi"/>
          <w:szCs w:val="24"/>
          <w:lang w:eastAsia="cs-CZ"/>
        </w:rPr>
        <w:t>zásobující malé oblasti</w:t>
      </w:r>
      <w:r w:rsidR="0040712A">
        <w:rPr>
          <w:rFonts w:cstheme="minorHAnsi"/>
          <w:szCs w:val="24"/>
          <w:lang w:eastAsia="cs-CZ"/>
        </w:rPr>
        <w:t xml:space="preserve"> </w:t>
      </w:r>
      <w:r w:rsidDel="00421CD0">
        <w:rPr>
          <w:rFonts w:cstheme="minorHAnsi"/>
          <w:szCs w:val="24"/>
          <w:lang w:eastAsia="cs-CZ"/>
        </w:rPr>
        <w:t>většinu z udělených v</w:t>
      </w:r>
      <w:r w:rsidR="00370A2D" w:rsidRPr="002C4D07" w:rsidDel="00421CD0">
        <w:rPr>
          <w:rFonts w:cstheme="minorHAnsi"/>
          <w:szCs w:val="24"/>
          <w:lang w:eastAsia="cs-CZ"/>
        </w:rPr>
        <w:t>ýjim</w:t>
      </w:r>
      <w:r w:rsidDel="00421CD0">
        <w:rPr>
          <w:rFonts w:cstheme="minorHAnsi"/>
          <w:szCs w:val="24"/>
          <w:lang w:eastAsia="cs-CZ"/>
        </w:rPr>
        <w:t>e</w:t>
      </w:r>
      <w:r w:rsidR="00370A2D" w:rsidRPr="002C4D07" w:rsidDel="00421CD0">
        <w:rPr>
          <w:rFonts w:cstheme="minorHAnsi"/>
          <w:szCs w:val="24"/>
          <w:lang w:eastAsia="cs-CZ"/>
        </w:rPr>
        <w:t>k z hygienického limitu</w:t>
      </w:r>
      <w:r w:rsidDel="00421CD0">
        <w:rPr>
          <w:rFonts w:cstheme="minorHAnsi"/>
          <w:szCs w:val="24"/>
          <w:lang w:eastAsia="cs-CZ"/>
        </w:rPr>
        <w:t>.</w:t>
      </w:r>
      <w:r w:rsidR="00150793" w:rsidRPr="002C4D07" w:rsidDel="00421CD0">
        <w:rPr>
          <w:rFonts w:cstheme="minorHAnsi"/>
          <w:szCs w:val="24"/>
          <w:lang w:eastAsia="cs-CZ"/>
        </w:rPr>
        <w:t xml:space="preserve"> </w:t>
      </w:r>
      <w:r w:rsidR="00370A2D" w:rsidRPr="006F4BCA" w:rsidDel="00421CD0">
        <w:rPr>
          <w:rFonts w:cstheme="minorHAnsi"/>
          <w:szCs w:val="24"/>
          <w:lang w:eastAsia="cs-CZ"/>
        </w:rPr>
        <w:t>V</w:t>
      </w:r>
      <w:r w:rsidRPr="006F4BCA" w:rsidDel="00421CD0">
        <w:rPr>
          <w:rFonts w:cstheme="minorHAnsi"/>
          <w:szCs w:val="24"/>
          <w:lang w:eastAsia="cs-CZ"/>
        </w:rPr>
        <w:t>ysoká finanční náročnost nových tech</w:t>
      </w:r>
      <w:r w:rsidR="00653BC6">
        <w:rPr>
          <w:rFonts w:cstheme="minorHAnsi"/>
          <w:szCs w:val="24"/>
          <w:lang w:eastAsia="cs-CZ"/>
        </w:rPr>
        <w:t>nologií na úpravu vody tak může být</w:t>
      </w:r>
      <w:r w:rsidR="00882AFA" w:rsidRPr="006F4BCA">
        <w:rPr>
          <w:rFonts w:cstheme="minorHAnsi"/>
          <w:szCs w:val="24"/>
          <w:lang w:eastAsia="cs-CZ"/>
        </w:rPr>
        <w:t xml:space="preserve"> </w:t>
      </w:r>
      <w:r w:rsidRPr="006F4BCA" w:rsidDel="00421CD0">
        <w:rPr>
          <w:rFonts w:cstheme="minorHAnsi"/>
          <w:szCs w:val="24"/>
          <w:lang w:eastAsia="cs-CZ"/>
        </w:rPr>
        <w:t xml:space="preserve">bez dotačních prostředků </w:t>
      </w:r>
      <w:r w:rsidR="007D17A2" w:rsidRPr="006F4BCA" w:rsidDel="00421CD0">
        <w:rPr>
          <w:rFonts w:cstheme="minorHAnsi"/>
          <w:szCs w:val="24"/>
          <w:lang w:eastAsia="cs-CZ"/>
        </w:rPr>
        <w:t xml:space="preserve">hlavní překážkou </w:t>
      </w:r>
      <w:r w:rsidR="007D17A2" w:rsidRPr="006F4BCA">
        <w:rPr>
          <w:rFonts w:cstheme="minorHAnsi"/>
          <w:szCs w:val="24"/>
          <w:lang w:eastAsia="cs-CZ"/>
        </w:rPr>
        <w:t>pro jejich</w:t>
      </w:r>
      <w:r w:rsidR="00083048" w:rsidRPr="006F4BCA">
        <w:rPr>
          <w:rFonts w:cstheme="minorHAnsi"/>
          <w:szCs w:val="24"/>
          <w:lang w:eastAsia="cs-CZ"/>
        </w:rPr>
        <w:t xml:space="preserve"> realizaci</w:t>
      </w:r>
      <w:r w:rsidR="007D17A2" w:rsidRPr="006F4BCA">
        <w:rPr>
          <w:rFonts w:cstheme="minorHAnsi"/>
          <w:szCs w:val="24"/>
          <w:lang w:eastAsia="cs-CZ"/>
        </w:rPr>
        <w:t>.</w:t>
      </w:r>
      <w:r w:rsidRPr="006F4BCA">
        <w:rPr>
          <w:rFonts w:cstheme="minorHAnsi"/>
          <w:szCs w:val="24"/>
          <w:lang w:eastAsia="cs-CZ"/>
        </w:rPr>
        <w:t xml:space="preserve"> </w:t>
      </w:r>
      <w:r w:rsidR="007D17A2" w:rsidRPr="006F4BCA">
        <w:rPr>
          <w:rFonts w:cstheme="minorHAnsi"/>
          <w:szCs w:val="24"/>
          <w:lang w:eastAsia="cs-CZ"/>
        </w:rPr>
        <w:t>S</w:t>
      </w:r>
      <w:r w:rsidR="00C35794" w:rsidRPr="006F4BCA">
        <w:rPr>
          <w:rFonts w:cstheme="minorHAnsi"/>
          <w:szCs w:val="24"/>
          <w:lang w:eastAsia="cs-CZ"/>
        </w:rPr>
        <w:t>tále</w:t>
      </w:r>
      <w:r w:rsidR="007D17A2" w:rsidRPr="006F4BCA">
        <w:rPr>
          <w:rFonts w:cstheme="minorHAnsi"/>
          <w:szCs w:val="24"/>
          <w:lang w:eastAsia="cs-CZ"/>
        </w:rPr>
        <w:t xml:space="preserve"> se však</w:t>
      </w:r>
      <w:r w:rsidR="00C35794" w:rsidRPr="006F4BCA">
        <w:rPr>
          <w:rFonts w:cstheme="minorHAnsi"/>
          <w:szCs w:val="24"/>
          <w:lang w:eastAsia="cs-CZ"/>
        </w:rPr>
        <w:t xml:space="preserve"> </w:t>
      </w:r>
      <w:r w:rsidRPr="006F4BCA">
        <w:rPr>
          <w:rFonts w:cstheme="minorHAnsi"/>
          <w:szCs w:val="24"/>
          <w:lang w:eastAsia="cs-CZ"/>
        </w:rPr>
        <w:t>jedná o řešení spočívající v eliminaci důsledků</w:t>
      </w:r>
      <w:r w:rsidR="00601C90" w:rsidRPr="006F4BCA">
        <w:rPr>
          <w:rFonts w:cstheme="minorHAnsi"/>
          <w:szCs w:val="24"/>
          <w:lang w:eastAsia="cs-CZ"/>
        </w:rPr>
        <w:t>,</w:t>
      </w:r>
      <w:r w:rsidRPr="006F4BCA">
        <w:rPr>
          <w:rFonts w:cstheme="minorHAnsi"/>
          <w:szCs w:val="24"/>
          <w:lang w:eastAsia="cs-CZ"/>
        </w:rPr>
        <w:t xml:space="preserve"> nikoli příčin</w:t>
      </w:r>
      <w:r w:rsidR="00AB3933" w:rsidRPr="006F4BCA">
        <w:rPr>
          <w:rFonts w:cstheme="minorHAnsi"/>
          <w:szCs w:val="24"/>
          <w:lang w:eastAsia="cs-CZ"/>
        </w:rPr>
        <w:t xml:space="preserve"> znečištění</w:t>
      </w:r>
      <w:r w:rsidRPr="006F4BCA">
        <w:rPr>
          <w:rFonts w:cstheme="minorHAnsi"/>
          <w:szCs w:val="24"/>
          <w:lang w:eastAsia="cs-CZ"/>
        </w:rPr>
        <w:t>.</w:t>
      </w:r>
    </w:p>
    <w:p w14:paraId="1077F17A" w14:textId="77777777" w:rsidR="00360239" w:rsidRDefault="00242E73" w:rsidP="00932F8A">
      <w:pPr>
        <w:pStyle w:val="Nadpis1"/>
        <w:numPr>
          <w:ilvl w:val="0"/>
          <w:numId w:val="0"/>
        </w:numPr>
        <w:spacing w:before="720"/>
        <w:jc w:val="center"/>
      </w:pPr>
      <w:r>
        <w:t xml:space="preserve">II. </w:t>
      </w:r>
      <w:r w:rsidR="00FF1A12" w:rsidRPr="00517A9E">
        <w:t>INFORMACE O KONTROLOVANÉ OBLASTI</w:t>
      </w:r>
    </w:p>
    <w:p w14:paraId="64777E74" w14:textId="7358385B" w:rsidR="0036071C" w:rsidRPr="00C72C56" w:rsidRDefault="00A10C18" w:rsidP="0036071C">
      <w:pPr>
        <w:rPr>
          <w:lang w:eastAsia="cs-CZ"/>
        </w:rPr>
      </w:pPr>
      <w:r>
        <w:t>Voda je strategickou surovinou</w:t>
      </w:r>
      <w:r w:rsidR="0018602D">
        <w:t>.</w:t>
      </w:r>
      <w:r>
        <w:t xml:space="preserve"> </w:t>
      </w:r>
      <w:r w:rsidR="0018602D">
        <w:t>S</w:t>
      </w:r>
      <w:r>
        <w:t>tát</w:t>
      </w:r>
      <w:r w:rsidR="0018602D">
        <w:t xml:space="preserve"> </w:t>
      </w:r>
      <w:r w:rsidR="009E6700">
        <w:t>je povinen vytvořit právní</w:t>
      </w:r>
      <w:r>
        <w:t xml:space="preserve"> </w:t>
      </w:r>
      <w:r w:rsidR="00303E2A">
        <w:t>a </w:t>
      </w:r>
      <w:r w:rsidR="009E6700">
        <w:t>institucionální rámec</w:t>
      </w:r>
      <w:r>
        <w:t xml:space="preserve"> pro její ochranu a pro zásobování </w:t>
      </w:r>
      <w:r w:rsidR="0018602D">
        <w:t xml:space="preserve">obyvatel </w:t>
      </w:r>
      <w:r>
        <w:t>nezávadnou pitnou vodou.</w:t>
      </w:r>
      <w:r w:rsidR="00F8123E">
        <w:t xml:space="preserve"> </w:t>
      </w:r>
      <w:r w:rsidR="0036071C">
        <w:rPr>
          <w:lang w:eastAsia="cs-CZ"/>
        </w:rPr>
        <w:t>V roce 2019 bylo v ČR cca 39</w:t>
      </w:r>
      <w:r w:rsidR="009E6700">
        <w:rPr>
          <w:lang w:eastAsia="cs-CZ"/>
        </w:rPr>
        <w:t> </w:t>
      </w:r>
      <w:r w:rsidR="0036071C">
        <w:rPr>
          <w:lang w:eastAsia="cs-CZ"/>
        </w:rPr>
        <w:t xml:space="preserve">% obyvatel zásobováno pitnou vodou vyrobenou z podzemních zdrojů, cca 38 % obyvatel z povrchových zdrojů a cca 23 % obyvatel ze smíšených zdrojů. Na vyrobené pitné vodě se podílely podzemní zdroje celkově ze 48,52 % </w:t>
      </w:r>
      <w:r w:rsidR="00303E2A">
        <w:rPr>
          <w:lang w:eastAsia="cs-CZ"/>
        </w:rPr>
        <w:t>a</w:t>
      </w:r>
      <w:r w:rsidR="002212D8">
        <w:rPr>
          <w:lang w:eastAsia="cs-CZ"/>
        </w:rPr>
        <w:t xml:space="preserve"> </w:t>
      </w:r>
      <w:r w:rsidR="0036071C">
        <w:rPr>
          <w:lang w:eastAsia="cs-CZ"/>
        </w:rPr>
        <w:t>povrchové zdroje z 51,48 %. Pitnou vodou z veřejných vodovodů bylo zásobováno 10 090 190 obyvatel, tj. 94,6 % z celkového počtu.</w:t>
      </w:r>
    </w:p>
    <w:p w14:paraId="573B1DA1" w14:textId="77777777" w:rsidR="0036071C" w:rsidRPr="0036071C" w:rsidRDefault="0036071C" w:rsidP="00873BAD">
      <w:pPr>
        <w:pStyle w:val="Nadpis2"/>
        <w:numPr>
          <w:ilvl w:val="0"/>
          <w:numId w:val="0"/>
        </w:numPr>
        <w:ind w:left="576" w:hanging="576"/>
      </w:pPr>
      <w:r w:rsidRPr="0036071C">
        <w:t>Kompetence v oblasti ochrany a monitoringu jakosti vod</w:t>
      </w:r>
    </w:p>
    <w:p w14:paraId="11EC7C23" w14:textId="364A743F" w:rsidR="00F8123E" w:rsidRDefault="0028265A" w:rsidP="00F8123E">
      <w:pPr>
        <w:rPr>
          <w:rFonts w:cstheme="minorHAnsi"/>
        </w:rPr>
      </w:pPr>
      <w:r w:rsidRPr="000F57D6">
        <w:rPr>
          <w:szCs w:val="24"/>
          <w:u w:val="single"/>
        </w:rPr>
        <w:t>Ministerstvo zemědělství</w:t>
      </w:r>
      <w:r w:rsidRPr="007C740B">
        <w:rPr>
          <w:szCs w:val="24"/>
        </w:rPr>
        <w:t xml:space="preserve"> </w:t>
      </w:r>
      <w:r w:rsidR="00F8123E">
        <w:rPr>
          <w:szCs w:val="24"/>
        </w:rPr>
        <w:t xml:space="preserve">je mj. </w:t>
      </w:r>
      <w:r w:rsidRPr="007C740B">
        <w:rPr>
          <w:szCs w:val="24"/>
        </w:rPr>
        <w:t>ústředním orgánem státní správy pro vodní hospodářství, s výjimkou ochrany přirozené akumulace vod, ochrany vodních zdrojů a ochrany jakosti povrchových a podzemních vod.</w:t>
      </w:r>
      <w:r w:rsidR="00F8123E">
        <w:rPr>
          <w:szCs w:val="24"/>
        </w:rPr>
        <w:t xml:space="preserve"> </w:t>
      </w:r>
      <w:r w:rsidR="000F57D6">
        <w:rPr>
          <w:szCs w:val="24"/>
        </w:rPr>
        <w:t>V oblasti vodního hospodářství plní</w:t>
      </w:r>
      <w:r w:rsidR="00F8123E">
        <w:rPr>
          <w:szCs w:val="24"/>
        </w:rPr>
        <w:t xml:space="preserve"> </w:t>
      </w:r>
      <w:r w:rsidR="00F8123E" w:rsidRPr="007C740B">
        <w:t xml:space="preserve">zejména povinnost </w:t>
      </w:r>
      <w:r w:rsidR="00F8123E" w:rsidRPr="007C740B">
        <w:rPr>
          <w:rFonts w:cstheme="minorHAnsi"/>
        </w:rPr>
        <w:t xml:space="preserve">zjišťování a hodnocení stavu </w:t>
      </w:r>
      <w:r w:rsidR="00F8123E" w:rsidRPr="004B6AA2">
        <w:rPr>
          <w:rFonts w:cstheme="minorHAnsi"/>
        </w:rPr>
        <w:t>povrchových a</w:t>
      </w:r>
      <w:r w:rsidR="002212D8">
        <w:rPr>
          <w:rFonts w:cstheme="minorHAnsi"/>
        </w:rPr>
        <w:t xml:space="preserve"> </w:t>
      </w:r>
      <w:r w:rsidR="00F8123E" w:rsidRPr="004B6AA2">
        <w:rPr>
          <w:rFonts w:cstheme="minorHAnsi"/>
        </w:rPr>
        <w:t>podzemních vod</w:t>
      </w:r>
      <w:r w:rsidR="00F8123E" w:rsidRPr="007C740B">
        <w:rPr>
          <w:rFonts w:cstheme="minorHAnsi"/>
        </w:rPr>
        <w:t>, sestavování a schvalování plánů v oblasti vod a sestavování programů</w:t>
      </w:r>
      <w:r w:rsidR="00F8123E" w:rsidRPr="007C740B" w:rsidDel="00FB4D65">
        <w:rPr>
          <w:rFonts w:cstheme="minorHAnsi"/>
        </w:rPr>
        <w:t xml:space="preserve"> </w:t>
      </w:r>
      <w:r w:rsidR="00F8123E" w:rsidRPr="007C740B">
        <w:rPr>
          <w:rFonts w:cstheme="minorHAnsi"/>
        </w:rPr>
        <w:t xml:space="preserve">opatření a plnění úkolů vyplývajících ze vztahu </w:t>
      </w:r>
      <w:r w:rsidR="00F8123E" w:rsidRPr="007C740B">
        <w:rPr>
          <w:rFonts w:cstheme="minorHAnsi"/>
        </w:rPr>
        <w:lastRenderedPageBreak/>
        <w:t>k Evropským společenstvím v oblasti ochrany vod, podávání zpráv o plnění příslušných směrnic Evropsk</w:t>
      </w:r>
      <w:r w:rsidR="00986EE8">
        <w:rPr>
          <w:rFonts w:cstheme="minorHAnsi"/>
        </w:rPr>
        <w:t>é unie</w:t>
      </w:r>
      <w:r w:rsidR="00EC505A">
        <w:rPr>
          <w:rFonts w:cstheme="minorHAnsi"/>
        </w:rPr>
        <w:t xml:space="preserve"> (dále také „EU“)</w:t>
      </w:r>
      <w:r w:rsidR="00F8123E">
        <w:rPr>
          <w:rStyle w:val="Znakapoznpodarou"/>
          <w:rFonts w:cstheme="minorHAnsi"/>
        </w:rPr>
        <w:footnoteReference w:id="13"/>
      </w:r>
      <w:r w:rsidR="00F8123E" w:rsidRPr="007C740B">
        <w:rPr>
          <w:rFonts w:cstheme="minorHAnsi"/>
        </w:rPr>
        <w:t>.</w:t>
      </w:r>
    </w:p>
    <w:p w14:paraId="38630B9B" w14:textId="77777777" w:rsidR="00F8123E" w:rsidRDefault="00F8123E" w:rsidP="000F57D6">
      <w:pPr>
        <w:rPr>
          <w:rFonts w:cstheme="minorHAnsi"/>
          <w:b/>
        </w:rPr>
      </w:pPr>
      <w:r w:rsidRPr="000F57D6">
        <w:rPr>
          <w:rFonts w:cstheme="minorHAnsi"/>
          <w:u w:val="single"/>
        </w:rPr>
        <w:t>Ministerstvo životního prostředí</w:t>
      </w:r>
      <w:r w:rsidR="0044535A">
        <w:rPr>
          <w:rFonts w:cstheme="minorHAnsi"/>
        </w:rPr>
        <w:t xml:space="preserve"> </w:t>
      </w:r>
      <w:r>
        <w:rPr>
          <w:rFonts w:cstheme="minorHAnsi"/>
        </w:rPr>
        <w:t xml:space="preserve">je </w:t>
      </w:r>
      <w:r w:rsidRPr="00AF7994">
        <w:rPr>
          <w:rFonts w:cstheme="minorHAnsi"/>
        </w:rPr>
        <w:t>mj. ústředním orgánem státní správy pro ochranu přirozené akumulace vod, ochranu vodních zdrojů a ochranu jakosti povrchových a podzemních vod. Dále je ústředním orgánem státní správy pro ochranu podzemních vod. Ve věcech životního prostředí koordinuje postup všech ministerstev a</w:t>
      </w:r>
      <w:r w:rsidR="001A1296">
        <w:rPr>
          <w:rFonts w:cstheme="minorHAnsi"/>
        </w:rPr>
        <w:t xml:space="preserve"> </w:t>
      </w:r>
      <w:r w:rsidRPr="00AF7994">
        <w:rPr>
          <w:rFonts w:cstheme="minorHAnsi"/>
        </w:rPr>
        <w:t>ostatních ústředních orgánů státní správy ČR a dále zabezpečuje a řídí jednotný informační systém o životním prostředí, včetně plošného monitoringu</w:t>
      </w:r>
      <w:r w:rsidR="004332DA">
        <w:rPr>
          <w:rFonts w:cstheme="minorHAnsi"/>
        </w:rPr>
        <w:t>,</w:t>
      </w:r>
      <w:r w:rsidRPr="00AF7994">
        <w:rPr>
          <w:rFonts w:cstheme="minorHAnsi"/>
        </w:rPr>
        <w:t xml:space="preserve"> a to i v návaznosti na mezinárodní dohody.</w:t>
      </w:r>
    </w:p>
    <w:p w14:paraId="4AC0F853" w14:textId="77777777" w:rsidR="0044535A" w:rsidRPr="00AF7994" w:rsidRDefault="0044535A" w:rsidP="000F57D6">
      <w:pPr>
        <w:rPr>
          <w:rFonts w:cstheme="minorHAnsi"/>
          <w:b/>
        </w:rPr>
      </w:pPr>
      <w:r>
        <w:t>MŽP společně s </w:t>
      </w:r>
      <w:proofErr w:type="spellStart"/>
      <w:proofErr w:type="gramStart"/>
      <w:r>
        <w:t>MZe</w:t>
      </w:r>
      <w:proofErr w:type="spellEnd"/>
      <w:proofErr w:type="gramEnd"/>
      <w:r>
        <w:t xml:space="preserve"> dle § 21 a § 108 vodního zákona</w:t>
      </w:r>
      <w:r>
        <w:rPr>
          <w:rStyle w:val="Znakapoznpodarou"/>
        </w:rPr>
        <w:footnoteReference w:id="14"/>
      </w:r>
      <w:r>
        <w:t xml:space="preserve"> zjišťuje a hodnotí stav povrchových </w:t>
      </w:r>
      <w:r w:rsidR="009E37BD">
        <w:t>a </w:t>
      </w:r>
      <w:r>
        <w:t xml:space="preserve">podzemních vod a provozuje informační systém veřejné správy, a to prostřednictvím </w:t>
      </w:r>
      <w:r w:rsidR="001A1296">
        <w:t>odborných subjektů, které za tímto účelem pověří, zřídí nebo založí</w:t>
      </w:r>
      <w:r>
        <w:t>.</w:t>
      </w:r>
    </w:p>
    <w:p w14:paraId="680358C6" w14:textId="43CAEFCD" w:rsidR="0028265A" w:rsidRDefault="00F8123E" w:rsidP="000F57D6">
      <w:pPr>
        <w:autoSpaceDE w:val="0"/>
        <w:autoSpaceDN w:val="0"/>
        <w:adjustRightInd w:val="0"/>
        <w:rPr>
          <w:rFonts w:ascii="Calibri" w:hAnsi="Calibri" w:cs="Calibri"/>
          <w:szCs w:val="24"/>
        </w:rPr>
      </w:pPr>
      <w:r w:rsidRPr="000F57D6">
        <w:rPr>
          <w:rFonts w:ascii="Calibri" w:hAnsi="Calibri" w:cs="Calibri"/>
          <w:szCs w:val="24"/>
          <w:u w:val="single"/>
        </w:rPr>
        <w:t>Ministerstvo zdravotnictví</w:t>
      </w:r>
      <w:r w:rsidR="0044535A">
        <w:rPr>
          <w:rFonts w:ascii="Calibri" w:hAnsi="Calibri" w:cs="Calibri"/>
          <w:szCs w:val="24"/>
        </w:rPr>
        <w:t xml:space="preserve"> </w:t>
      </w:r>
      <w:r>
        <w:rPr>
          <w:rFonts w:ascii="Calibri" w:hAnsi="Calibri" w:cs="Calibri"/>
          <w:szCs w:val="24"/>
        </w:rPr>
        <w:t xml:space="preserve">je ústředním orgánem státní správy pro ochranu a podporu veřejného zdraví. Za jakost pitné vody, kterou si spotřebitel odebírá </w:t>
      </w:r>
      <w:r w:rsidR="001A1296">
        <w:rPr>
          <w:rFonts w:ascii="Calibri" w:hAnsi="Calibri" w:cs="Calibri"/>
          <w:szCs w:val="24"/>
        </w:rPr>
        <w:t xml:space="preserve">přímo </w:t>
      </w:r>
      <w:r>
        <w:rPr>
          <w:rFonts w:ascii="Calibri" w:hAnsi="Calibri" w:cs="Calibri"/>
          <w:szCs w:val="24"/>
        </w:rPr>
        <w:t>z</w:t>
      </w:r>
      <w:r w:rsidR="000F57D6">
        <w:rPr>
          <w:rFonts w:ascii="Calibri" w:hAnsi="Calibri" w:cs="Calibri"/>
          <w:szCs w:val="24"/>
        </w:rPr>
        <w:t> </w:t>
      </w:r>
      <w:r>
        <w:rPr>
          <w:rFonts w:ascii="Calibri" w:hAnsi="Calibri" w:cs="Calibri"/>
          <w:szCs w:val="24"/>
        </w:rPr>
        <w:t xml:space="preserve">vodovodního řadu, je odpovědný provozovatel vodovodu. Provozovatel vodovodu je povinen zajistit, aby jím dodávaná pitná voda měla jakost, kterou </w:t>
      </w:r>
      <w:proofErr w:type="spellStart"/>
      <w:r>
        <w:rPr>
          <w:rFonts w:ascii="Calibri" w:hAnsi="Calibri" w:cs="Calibri"/>
          <w:szCs w:val="24"/>
        </w:rPr>
        <w:t>MZd</w:t>
      </w:r>
      <w:proofErr w:type="spellEnd"/>
      <w:r>
        <w:rPr>
          <w:rFonts w:ascii="Calibri" w:hAnsi="Calibri" w:cs="Calibri"/>
          <w:szCs w:val="24"/>
        </w:rPr>
        <w:t xml:space="preserve"> stanoví zákonem č.</w:t>
      </w:r>
      <w:r w:rsidR="000F57D6">
        <w:rPr>
          <w:rFonts w:ascii="Calibri" w:hAnsi="Calibri" w:cs="Calibri"/>
          <w:szCs w:val="24"/>
        </w:rPr>
        <w:t> </w:t>
      </w:r>
      <w:r>
        <w:rPr>
          <w:rFonts w:ascii="Calibri" w:hAnsi="Calibri" w:cs="Calibri"/>
          <w:szCs w:val="24"/>
        </w:rPr>
        <w:t>258/2000 Sb.</w:t>
      </w:r>
      <w:r w:rsidR="00601C90">
        <w:rPr>
          <w:rFonts w:ascii="Calibri" w:hAnsi="Calibri" w:cs="Calibri"/>
          <w:szCs w:val="24"/>
        </w:rPr>
        <w:t xml:space="preserve">, </w:t>
      </w:r>
      <w:r w:rsidR="0019682A">
        <w:rPr>
          <w:rFonts w:ascii="Calibri" w:hAnsi="Calibri" w:cs="Calibri"/>
          <w:szCs w:val="24"/>
        </w:rPr>
        <w:br/>
      </w:r>
      <w:r w:rsidR="00601C90">
        <w:rPr>
          <w:rFonts w:ascii="Calibri" w:hAnsi="Calibri" w:cs="Calibri"/>
          <w:szCs w:val="24"/>
        </w:rPr>
        <w:t>o</w:t>
      </w:r>
      <w:r w:rsidR="0019682A">
        <w:rPr>
          <w:rFonts w:ascii="Calibri" w:hAnsi="Calibri" w:cs="Calibri"/>
          <w:szCs w:val="24"/>
        </w:rPr>
        <w:t xml:space="preserve"> </w:t>
      </w:r>
      <w:r w:rsidR="00601C90">
        <w:rPr>
          <w:rFonts w:ascii="Calibri" w:hAnsi="Calibri" w:cs="Calibri"/>
          <w:szCs w:val="24"/>
        </w:rPr>
        <w:t>ochraně veřejného zdraví</w:t>
      </w:r>
      <w:r w:rsidR="00BB7C8E">
        <w:rPr>
          <w:rFonts w:ascii="Calibri" w:hAnsi="Calibri" w:cs="Calibri"/>
          <w:szCs w:val="24"/>
        </w:rPr>
        <w:t>,</w:t>
      </w:r>
      <w:r>
        <w:rPr>
          <w:rFonts w:ascii="Calibri" w:hAnsi="Calibri" w:cs="Calibri"/>
          <w:szCs w:val="24"/>
        </w:rPr>
        <w:t xml:space="preserve"> a </w:t>
      </w:r>
      <w:r w:rsidR="009E37BD">
        <w:rPr>
          <w:rFonts w:ascii="Calibri" w:hAnsi="Calibri" w:cs="Calibri"/>
          <w:szCs w:val="24"/>
        </w:rPr>
        <w:t xml:space="preserve">jeho </w:t>
      </w:r>
      <w:r>
        <w:rPr>
          <w:rFonts w:ascii="Calibri" w:hAnsi="Calibri" w:cs="Calibri"/>
          <w:szCs w:val="24"/>
        </w:rPr>
        <w:t>prováděcími předpisy. Splněním takto sta</w:t>
      </w:r>
      <w:r w:rsidR="007B2CC8">
        <w:rPr>
          <w:rFonts w:ascii="Calibri" w:hAnsi="Calibri" w:cs="Calibri"/>
          <w:szCs w:val="24"/>
        </w:rPr>
        <w:t>no</w:t>
      </w:r>
      <w:r>
        <w:rPr>
          <w:rFonts w:ascii="Calibri" w:hAnsi="Calibri" w:cs="Calibri"/>
          <w:szCs w:val="24"/>
        </w:rPr>
        <w:t>vených hygienických požadavků na jakost dodávané pitné vody je zajištěno, že ani při dlouhodobém užívání pitné vody nebude ohroženo zdraví spotřebitelů. Kontrola plnění a</w:t>
      </w:r>
      <w:r w:rsidR="00814BF9">
        <w:rPr>
          <w:rFonts w:ascii="Calibri" w:hAnsi="Calibri" w:cs="Calibri"/>
          <w:szCs w:val="24"/>
        </w:rPr>
        <w:t xml:space="preserve"> </w:t>
      </w:r>
      <w:r>
        <w:rPr>
          <w:rFonts w:ascii="Calibri" w:hAnsi="Calibri" w:cs="Calibri"/>
          <w:szCs w:val="24"/>
        </w:rPr>
        <w:t>dodržování nastavených hygienických požadavků na jakost dodávané pitné vody je v</w:t>
      </w:r>
      <w:r w:rsidR="000F57D6">
        <w:rPr>
          <w:rFonts w:ascii="Calibri" w:hAnsi="Calibri" w:cs="Calibri"/>
          <w:szCs w:val="24"/>
        </w:rPr>
        <w:t> </w:t>
      </w:r>
      <w:r>
        <w:rPr>
          <w:rFonts w:ascii="Calibri" w:hAnsi="Calibri" w:cs="Calibri"/>
          <w:szCs w:val="24"/>
        </w:rPr>
        <w:t>kompetenci orgánů ochrany veřejného zdraví.</w:t>
      </w:r>
    </w:p>
    <w:p w14:paraId="63718EDA" w14:textId="77777777" w:rsidR="00FC11E8" w:rsidRDefault="00FC11E8" w:rsidP="00FC11E8">
      <w:pPr>
        <w:rPr>
          <w:lang w:eastAsia="cs-CZ"/>
        </w:rPr>
      </w:pPr>
      <w:r w:rsidRPr="00360D56">
        <w:rPr>
          <w:szCs w:val="24"/>
        </w:rPr>
        <w:t>Pravidelný monitoring kvalitativního stavu pitné vody provádějí provozovatelé veřejných vodovodů a studní.</w:t>
      </w:r>
      <w:r w:rsidRPr="007A1B19">
        <w:rPr>
          <w:szCs w:val="24"/>
        </w:rPr>
        <w:t xml:space="preserve"> </w:t>
      </w:r>
      <w:r>
        <w:rPr>
          <w:szCs w:val="24"/>
        </w:rPr>
        <w:t xml:space="preserve">Kontrolní rozbory pitné vody v rámci státního zdravotního dozoru provádějí krajské hygienické stanice (dále také „KHS“). </w:t>
      </w:r>
      <w:r w:rsidRPr="00360D56">
        <w:rPr>
          <w:szCs w:val="24"/>
        </w:rPr>
        <w:t>Výsledky všech prováděných rozborů jsou shromažďovány v databázi</w:t>
      </w:r>
      <w:r w:rsidRPr="000B7C73">
        <w:rPr>
          <w:szCs w:val="24"/>
        </w:rPr>
        <w:t xml:space="preserve"> IS </w:t>
      </w:r>
      <w:proofErr w:type="spellStart"/>
      <w:r w:rsidRPr="00360D56">
        <w:rPr>
          <w:szCs w:val="24"/>
        </w:rPr>
        <w:t>PiVo</w:t>
      </w:r>
      <w:proofErr w:type="spellEnd"/>
      <w:r w:rsidR="00587870">
        <w:rPr>
          <w:rStyle w:val="Znakapoznpodarou"/>
          <w:szCs w:val="24"/>
        </w:rPr>
        <w:footnoteReference w:id="15"/>
      </w:r>
      <w:r w:rsidRPr="00360D56">
        <w:rPr>
          <w:szCs w:val="24"/>
        </w:rPr>
        <w:t xml:space="preserve">, jejímž správcem je </w:t>
      </w:r>
      <w:proofErr w:type="spellStart"/>
      <w:r w:rsidRPr="00360D56">
        <w:rPr>
          <w:szCs w:val="24"/>
        </w:rPr>
        <w:t>MZd</w:t>
      </w:r>
      <w:proofErr w:type="spellEnd"/>
      <w:r w:rsidRPr="00360D56">
        <w:rPr>
          <w:szCs w:val="24"/>
        </w:rPr>
        <w:t xml:space="preserve"> a provozovatelem je </w:t>
      </w:r>
      <w:r>
        <w:rPr>
          <w:szCs w:val="24"/>
        </w:rPr>
        <w:t>Ústav zdravotnických informací a statistiky</w:t>
      </w:r>
      <w:r w:rsidRPr="00360D56">
        <w:rPr>
          <w:szCs w:val="24"/>
        </w:rPr>
        <w:t>.</w:t>
      </w:r>
      <w:r w:rsidRPr="00FC11E8">
        <w:rPr>
          <w:lang w:eastAsia="cs-CZ"/>
        </w:rPr>
        <w:t xml:space="preserve"> </w:t>
      </w:r>
    </w:p>
    <w:p w14:paraId="168222C1" w14:textId="77777777" w:rsidR="00217839" w:rsidRDefault="00FC11E8" w:rsidP="006343E9">
      <w:pPr>
        <w:rPr>
          <w:lang w:eastAsia="cs-CZ"/>
        </w:rPr>
      </w:pPr>
      <w:proofErr w:type="spellStart"/>
      <w:r>
        <w:rPr>
          <w:lang w:eastAsia="cs-CZ"/>
        </w:rPr>
        <w:t>MZd</w:t>
      </w:r>
      <w:proofErr w:type="spellEnd"/>
      <w:r>
        <w:rPr>
          <w:lang w:eastAsia="cs-CZ"/>
        </w:rPr>
        <w:t xml:space="preserve"> dále </w:t>
      </w:r>
      <w:r w:rsidR="001A1296">
        <w:rPr>
          <w:lang w:eastAsia="cs-CZ"/>
        </w:rPr>
        <w:t>zřídilo</w:t>
      </w:r>
      <w:r>
        <w:rPr>
          <w:lang w:eastAsia="cs-CZ"/>
        </w:rPr>
        <w:t xml:space="preserve"> jako</w:t>
      </w:r>
      <w:r w:rsidR="001A1296">
        <w:rPr>
          <w:lang w:eastAsia="cs-CZ"/>
        </w:rPr>
        <w:t xml:space="preserve"> svou</w:t>
      </w:r>
      <w:r>
        <w:rPr>
          <w:lang w:eastAsia="cs-CZ"/>
        </w:rPr>
        <w:t xml:space="preserve"> příspěvkovou organizaci Státní zdravotní ústav (dále také „SZÚ“), který zajišťuje a</w:t>
      </w:r>
      <w:r w:rsidR="001A1296">
        <w:rPr>
          <w:lang w:eastAsia="cs-CZ"/>
        </w:rPr>
        <w:t xml:space="preserve"> </w:t>
      </w:r>
      <w:r>
        <w:rPr>
          <w:lang w:eastAsia="cs-CZ"/>
        </w:rPr>
        <w:t>shromažďuje laboratorní a epidemiologická data potřebná pro hodnocení a komunikaci zdravotních rizik, mj.</w:t>
      </w:r>
      <w:r w:rsidR="001A1296">
        <w:rPr>
          <w:lang w:eastAsia="cs-CZ"/>
        </w:rPr>
        <w:t xml:space="preserve"> i</w:t>
      </w:r>
      <w:r>
        <w:rPr>
          <w:lang w:eastAsia="cs-CZ"/>
        </w:rPr>
        <w:t xml:space="preserve"> pro oblast pitné vody.</w:t>
      </w:r>
      <w:r w:rsidR="00217839" w:rsidRPr="00217839">
        <w:rPr>
          <w:lang w:eastAsia="cs-CZ"/>
        </w:rPr>
        <w:t xml:space="preserve"> </w:t>
      </w:r>
    </w:p>
    <w:p w14:paraId="197C0CA0" w14:textId="10C5E83D" w:rsidR="00FC11E8" w:rsidRDefault="003F5B7B" w:rsidP="006343E9">
      <w:pPr>
        <w:rPr>
          <w:lang w:eastAsia="cs-CZ"/>
        </w:rPr>
      </w:pPr>
      <w:proofErr w:type="spellStart"/>
      <w:r>
        <w:rPr>
          <w:lang w:eastAsia="cs-CZ"/>
        </w:rPr>
        <w:t>MZd</w:t>
      </w:r>
      <w:proofErr w:type="spellEnd"/>
      <w:r>
        <w:rPr>
          <w:lang w:eastAsia="cs-CZ"/>
        </w:rPr>
        <w:t xml:space="preserve"> n</w:t>
      </w:r>
      <w:r w:rsidR="00217839">
        <w:rPr>
          <w:lang w:eastAsia="cs-CZ"/>
        </w:rPr>
        <w:t>a základě dat z</w:t>
      </w:r>
      <w:r w:rsidR="00932F8A">
        <w:rPr>
          <w:lang w:eastAsia="cs-CZ"/>
        </w:rPr>
        <w:t xml:space="preserve"> </w:t>
      </w:r>
      <w:r w:rsidR="00217839">
        <w:rPr>
          <w:lang w:eastAsia="cs-CZ"/>
        </w:rPr>
        <w:t xml:space="preserve">IS </w:t>
      </w:r>
      <w:proofErr w:type="spellStart"/>
      <w:r w:rsidR="00217839">
        <w:rPr>
          <w:lang w:eastAsia="cs-CZ"/>
        </w:rPr>
        <w:t>PiVo</w:t>
      </w:r>
      <w:proofErr w:type="spellEnd"/>
      <w:r w:rsidR="00217839">
        <w:rPr>
          <w:lang w:eastAsia="cs-CZ"/>
        </w:rPr>
        <w:t xml:space="preserve"> </w:t>
      </w:r>
      <w:r>
        <w:rPr>
          <w:lang w:eastAsia="cs-CZ"/>
        </w:rPr>
        <w:t xml:space="preserve">a </w:t>
      </w:r>
      <w:r w:rsidR="00217839">
        <w:rPr>
          <w:lang w:eastAsia="cs-CZ"/>
        </w:rPr>
        <w:t xml:space="preserve">prostřednictvím SZÚ každoročně zpracovává a zveřejňuje </w:t>
      </w:r>
      <w:r w:rsidR="001A1296">
        <w:rPr>
          <w:i/>
          <w:lang w:eastAsia="cs-CZ"/>
        </w:rPr>
        <w:t>z</w:t>
      </w:r>
      <w:r w:rsidR="00217839" w:rsidRPr="00217839">
        <w:rPr>
          <w:i/>
          <w:lang w:eastAsia="cs-CZ"/>
        </w:rPr>
        <w:t>právu o kvalitě pitné vody v</w:t>
      </w:r>
      <w:r w:rsidR="00217839">
        <w:rPr>
          <w:i/>
          <w:lang w:eastAsia="cs-CZ"/>
        </w:rPr>
        <w:t> </w:t>
      </w:r>
      <w:r w:rsidR="00217839" w:rsidRPr="00217839">
        <w:rPr>
          <w:i/>
          <w:lang w:eastAsia="cs-CZ"/>
        </w:rPr>
        <w:t>ČR</w:t>
      </w:r>
      <w:r w:rsidR="00217839">
        <w:rPr>
          <w:i/>
          <w:lang w:eastAsia="cs-CZ"/>
        </w:rPr>
        <w:t>.</w:t>
      </w:r>
    </w:p>
    <w:p w14:paraId="46FD06AE" w14:textId="77777777" w:rsidR="00F527F9" w:rsidRDefault="000F57D6" w:rsidP="00F527F9">
      <w:r w:rsidRPr="000F57D6">
        <w:rPr>
          <w:u w:val="single"/>
        </w:rPr>
        <w:t>Český hydrometeorologický ústav</w:t>
      </w:r>
      <w:r w:rsidR="0044535A">
        <w:t xml:space="preserve"> </w:t>
      </w:r>
      <w:r>
        <w:t xml:space="preserve">je příspěvková organizace </w:t>
      </w:r>
      <w:r w:rsidR="007175E1">
        <w:t xml:space="preserve">zřízená </w:t>
      </w:r>
      <w:r>
        <w:t>na základě vládního nařízení č. 96 ze dne 27. 11. 1953</w:t>
      </w:r>
      <w:r>
        <w:rPr>
          <w:rStyle w:val="Znakapoznpodarou"/>
        </w:rPr>
        <w:footnoteReference w:id="16"/>
      </w:r>
      <w:r w:rsidR="007175E1">
        <w:t>, u níž funkci zřizovatele vykonává MŽP</w:t>
      </w:r>
      <w:r w:rsidR="0044535A">
        <w:t xml:space="preserve">. </w:t>
      </w:r>
      <w:r w:rsidR="00F527F9">
        <w:t xml:space="preserve">ČHMÚ </w:t>
      </w:r>
      <w:r w:rsidR="00425A8E">
        <w:t xml:space="preserve">na </w:t>
      </w:r>
      <w:r w:rsidR="0044535A">
        <w:t xml:space="preserve">základě pověření od MŽP </w:t>
      </w:r>
      <w:r w:rsidR="00F527F9">
        <w:t>zajišťuje monitoring podzemních vod, monitoring bioty a sedimentů pro analýzu dlouhodobých trendů vybraných prioritních látek a hodnocení chemického stavu povrchových vod, monitoring pomocí pevných matric</w:t>
      </w:r>
      <w:r w:rsidR="002C3099">
        <w:rPr>
          <w:rStyle w:val="Znakapoznpodarou"/>
        </w:rPr>
        <w:footnoteReference w:id="17"/>
      </w:r>
      <w:r w:rsidR="00F527F9">
        <w:t xml:space="preserve"> pro účely zjišťování úrovně kontaminace vodních ekosystémů vybranými znečišťujícími látkami.</w:t>
      </w:r>
      <w:r w:rsidR="00953C0A">
        <w:t xml:space="preserve"> Rozsah a způsob </w:t>
      </w:r>
      <w:r w:rsidR="00953C0A">
        <w:lastRenderedPageBreak/>
        <w:t xml:space="preserve">realizace těchto monitoringů jsou předem nastaveny v jednotlivých </w:t>
      </w:r>
      <w:r w:rsidR="001A1296">
        <w:t>p</w:t>
      </w:r>
      <w:r w:rsidR="00953C0A">
        <w:t>rogramech monitoringu pro příslušný rok, resp. dva roky.</w:t>
      </w:r>
      <w:r w:rsidR="00744F77">
        <w:t xml:space="preserve"> Naměřené hodnoty ze všech</w:t>
      </w:r>
      <w:r w:rsidR="00B80CA2">
        <w:t xml:space="preserve"> </w:t>
      </w:r>
      <w:r w:rsidR="00744F77">
        <w:t>prováděných monitoringů kvality podzemních a</w:t>
      </w:r>
      <w:r w:rsidR="00B80CA2">
        <w:t xml:space="preserve"> </w:t>
      </w:r>
      <w:r w:rsidR="00744F77">
        <w:t>povrchových vod jsou uloženy v databázi IS ARROW</w:t>
      </w:r>
      <w:r w:rsidR="00587870">
        <w:rPr>
          <w:rStyle w:val="Znakapoznpodarou"/>
        </w:rPr>
        <w:footnoteReference w:id="18"/>
      </w:r>
      <w:r w:rsidR="00744F77">
        <w:t>, kde jsou porovnávány s normami stanovenými legislativou a v čase.</w:t>
      </w:r>
    </w:p>
    <w:p w14:paraId="73F60FA8" w14:textId="77777777" w:rsidR="00744F77" w:rsidRPr="006343E9" w:rsidRDefault="00744F77" w:rsidP="00F527F9">
      <w:r>
        <w:t xml:space="preserve">Monitoring kvalitativního stavu povrchových vod provádějí na základě pověření </w:t>
      </w:r>
      <w:proofErr w:type="spellStart"/>
      <w:r>
        <w:t>MZe</w:t>
      </w:r>
      <w:proofErr w:type="spellEnd"/>
      <w:r>
        <w:t xml:space="preserve"> </w:t>
      </w:r>
      <w:r w:rsidR="003F5B7B">
        <w:t>s</w:t>
      </w:r>
      <w:r>
        <w:t xml:space="preserve">tátní podniky povodí, které však nebyly kontrolovanými osobami. Výsledky tohoto monitoringu předávají </w:t>
      </w:r>
      <w:r w:rsidR="003F5B7B">
        <w:t>s</w:t>
      </w:r>
      <w:r>
        <w:t>tátní podniky povodí do IS ARROW.</w:t>
      </w:r>
    </w:p>
    <w:p w14:paraId="41C3A70D" w14:textId="77777777" w:rsidR="0036071C" w:rsidRPr="0036071C" w:rsidRDefault="005D0038" w:rsidP="00873BAD">
      <w:pPr>
        <w:pStyle w:val="Nadpis2"/>
        <w:numPr>
          <w:ilvl w:val="0"/>
          <w:numId w:val="0"/>
        </w:numPr>
        <w:ind w:left="576" w:hanging="576"/>
      </w:pPr>
      <w:r>
        <w:t>Monitoring kvality vody a p</w:t>
      </w:r>
      <w:r w:rsidR="0036071C" w:rsidRPr="0036071C">
        <w:t xml:space="preserve">ožadavky </w:t>
      </w:r>
      <w:r w:rsidR="00A84EFA">
        <w:t>na její jakost</w:t>
      </w:r>
    </w:p>
    <w:p w14:paraId="09EC83DB" w14:textId="486F1F4D" w:rsidR="0036071C" w:rsidRDefault="0036071C" w:rsidP="0036071C">
      <w:r>
        <w:t xml:space="preserve">Způsob zjišťování a hodnocení stavu podzemních a povrchových vod je upraven </w:t>
      </w:r>
      <w:r w:rsidR="00425A8E">
        <w:t>v</w:t>
      </w:r>
      <w:r w:rsidR="00B80CA2">
        <w:t xml:space="preserve"> </w:t>
      </w:r>
      <w:r w:rsidR="00CC3E56">
        <w:t>§</w:t>
      </w:r>
      <w:r w:rsidR="00B80CA2">
        <w:t xml:space="preserve"> </w:t>
      </w:r>
      <w:r>
        <w:t>21</w:t>
      </w:r>
      <w:r w:rsidR="00B80CA2">
        <w:t xml:space="preserve"> </w:t>
      </w:r>
      <w:r w:rsidR="00B80CA2">
        <w:br/>
      </w:r>
      <w:r>
        <w:t>odst</w:t>
      </w:r>
      <w:r w:rsidR="009E37BD">
        <w:t>.</w:t>
      </w:r>
      <w:r w:rsidR="00B80CA2">
        <w:t xml:space="preserve"> </w:t>
      </w:r>
      <w:r>
        <w:t>3</w:t>
      </w:r>
      <w:r w:rsidR="00986EE8">
        <w:t xml:space="preserve"> a 4</w:t>
      </w:r>
      <w:r>
        <w:t xml:space="preserve"> vodního zákona</w:t>
      </w:r>
      <w:r w:rsidR="00AF2485">
        <w:t xml:space="preserve"> a</w:t>
      </w:r>
      <w:r>
        <w:t xml:space="preserve"> vyhláškami vydanými MŽP a </w:t>
      </w:r>
      <w:proofErr w:type="spellStart"/>
      <w:r>
        <w:t>MZe</w:t>
      </w:r>
      <w:proofErr w:type="spellEnd"/>
      <w:r>
        <w:rPr>
          <w:rStyle w:val="Znakapoznpodarou"/>
        </w:rPr>
        <w:footnoteReference w:id="19"/>
      </w:r>
      <w:r w:rsidR="00457B2E">
        <w:t>.</w:t>
      </w:r>
      <w:r w:rsidR="00C35794">
        <w:t xml:space="preserve"> </w:t>
      </w:r>
      <w:r>
        <w:t xml:space="preserve">Dále se řídí </w:t>
      </w:r>
      <w:r w:rsidR="00203E42">
        <w:rPr>
          <w:i/>
        </w:rPr>
        <w:t>R</w:t>
      </w:r>
      <w:r w:rsidRPr="00CD4E68">
        <w:rPr>
          <w:i/>
        </w:rPr>
        <w:t>ámcovým programem monitoringu</w:t>
      </w:r>
      <w:r>
        <w:t xml:space="preserve">, který zpracovává ČHMÚ ve spolupráci s MŽP a </w:t>
      </w:r>
      <w:proofErr w:type="spellStart"/>
      <w:r>
        <w:t>MZe</w:t>
      </w:r>
      <w:proofErr w:type="spellEnd"/>
      <w:r>
        <w:t>, jež ho následně společně schvalují.</w:t>
      </w:r>
    </w:p>
    <w:p w14:paraId="518B0BC6" w14:textId="77777777" w:rsidR="00F527F9" w:rsidRDefault="009F0010" w:rsidP="00F527F9">
      <w:pPr>
        <w:rPr>
          <w:lang w:eastAsia="cs-CZ"/>
        </w:rPr>
      </w:pPr>
      <w:r>
        <w:rPr>
          <w:lang w:eastAsia="cs-CZ"/>
        </w:rPr>
        <w:t>Normy jakosti pro PZV</w:t>
      </w:r>
      <w:r w:rsidR="00F527F9">
        <w:rPr>
          <w:lang w:eastAsia="cs-CZ"/>
        </w:rPr>
        <w:t xml:space="preserve"> jsou stanove</w:t>
      </w:r>
      <w:r w:rsidR="00303A85">
        <w:rPr>
          <w:lang w:eastAsia="cs-CZ"/>
        </w:rPr>
        <w:t>ny ve vyhlášce č. 5/2011</w:t>
      </w:r>
      <w:r w:rsidR="00F527F9">
        <w:rPr>
          <w:lang w:eastAsia="cs-CZ"/>
        </w:rPr>
        <w:t xml:space="preserve"> Sb. Normy environmentální kvality </w:t>
      </w:r>
      <w:r w:rsidR="00951E31">
        <w:rPr>
          <w:lang w:eastAsia="cs-CZ"/>
        </w:rPr>
        <w:t xml:space="preserve">(dále také „NEK“) </w:t>
      </w:r>
      <w:r w:rsidR="00F527F9">
        <w:rPr>
          <w:lang w:eastAsia="cs-CZ"/>
        </w:rPr>
        <w:t xml:space="preserve">pro </w:t>
      </w:r>
      <w:r>
        <w:rPr>
          <w:lang w:eastAsia="cs-CZ"/>
        </w:rPr>
        <w:t>POV</w:t>
      </w:r>
      <w:r w:rsidR="00F527F9">
        <w:rPr>
          <w:lang w:eastAsia="cs-CZ"/>
        </w:rPr>
        <w:t xml:space="preserve"> jsou s</w:t>
      </w:r>
      <w:r w:rsidR="00CD5C49">
        <w:rPr>
          <w:lang w:eastAsia="cs-CZ"/>
        </w:rPr>
        <w:t>tanoveny v nařízení vlády č. 61/2003 Sb.</w:t>
      </w:r>
      <w:r w:rsidR="00457B2E">
        <w:rPr>
          <w:rStyle w:val="Znakapoznpodarou"/>
          <w:lang w:eastAsia="cs-CZ"/>
        </w:rPr>
        <w:footnoteReference w:id="20"/>
      </w:r>
      <w:r>
        <w:rPr>
          <w:lang w:eastAsia="cs-CZ"/>
        </w:rPr>
        <w:t>, resp. v nařízení vlády č. </w:t>
      </w:r>
      <w:r w:rsidR="00CD5C49">
        <w:rPr>
          <w:lang w:eastAsia="cs-CZ"/>
        </w:rPr>
        <w:t>401/2015 Sb.</w:t>
      </w:r>
      <w:r w:rsidR="00425A8E">
        <w:rPr>
          <w:rStyle w:val="Znakapoznpodarou"/>
          <w:lang w:eastAsia="cs-CZ"/>
        </w:rPr>
        <w:footnoteReference w:id="21"/>
      </w:r>
      <w:r w:rsidR="00CD5C49">
        <w:rPr>
          <w:lang w:eastAsia="cs-CZ"/>
        </w:rPr>
        <w:t xml:space="preserve"> </w:t>
      </w:r>
      <w:r w:rsidR="00F527F9">
        <w:rPr>
          <w:lang w:eastAsia="cs-CZ"/>
        </w:rPr>
        <w:t>Požadavky na kvalitu pi</w:t>
      </w:r>
      <w:r w:rsidR="00CD69E3">
        <w:rPr>
          <w:lang w:eastAsia="cs-CZ"/>
        </w:rPr>
        <w:t>tné vody jsou dány vyhláškou č. </w:t>
      </w:r>
      <w:r w:rsidR="00F527F9">
        <w:rPr>
          <w:lang w:eastAsia="cs-CZ"/>
        </w:rPr>
        <w:t>252/2004 Sb.</w:t>
      </w:r>
      <w:r w:rsidR="00425A8E">
        <w:rPr>
          <w:rStyle w:val="Znakapoznpodarou"/>
          <w:lang w:eastAsia="cs-CZ"/>
        </w:rPr>
        <w:footnoteReference w:id="22"/>
      </w:r>
    </w:p>
    <w:p w14:paraId="5E4F9301" w14:textId="77777777" w:rsidR="00F527F9" w:rsidRPr="00F527F9" w:rsidRDefault="00F527F9" w:rsidP="00873BAD">
      <w:pPr>
        <w:pStyle w:val="Nadpis2"/>
        <w:numPr>
          <w:ilvl w:val="0"/>
          <w:numId w:val="0"/>
        </w:numPr>
        <w:ind w:left="576" w:hanging="576"/>
      </w:pPr>
      <w:r w:rsidRPr="00F527F9">
        <w:t>Antropogenní vlivy</w:t>
      </w:r>
      <w:r w:rsidR="0018602D">
        <w:t xml:space="preserve"> a plošné zdroje znečištění</w:t>
      </w:r>
    </w:p>
    <w:p w14:paraId="2DC772AB" w14:textId="6908B83D" w:rsidR="0078487E" w:rsidRDefault="00A10C18" w:rsidP="0078487E">
      <w:pPr>
        <w:rPr>
          <w:rFonts w:cstheme="minorHAnsi"/>
          <w:szCs w:val="24"/>
          <w:lang w:eastAsia="cs-CZ"/>
        </w:rPr>
      </w:pPr>
      <w:r>
        <w:t>Antropogenní</w:t>
      </w:r>
      <w:r w:rsidR="0018602D">
        <w:t>mi</w:t>
      </w:r>
      <w:r>
        <w:t xml:space="preserve"> vlivy </w:t>
      </w:r>
      <w:r w:rsidR="0018602D">
        <w:t>se rozumí</w:t>
      </w:r>
      <w:r>
        <w:t xml:space="preserve"> </w:t>
      </w:r>
      <w:r w:rsidR="009E37BD">
        <w:t xml:space="preserve">takové </w:t>
      </w:r>
      <w:r>
        <w:t>změny životního prostředí, které jsou způsobeny přímo nebo nepřímo člověkem. V kontrolní akci č. 20/04 byly uvažovány zejména negativní vlivy plošného znečištění ze zemědělské činnosti (pesticidy a</w:t>
      </w:r>
      <w:r w:rsidR="00F96C2E">
        <w:t xml:space="preserve"> </w:t>
      </w:r>
      <w:r>
        <w:t>dusičnany).</w:t>
      </w:r>
      <w:r w:rsidR="0078487E" w:rsidRPr="0078487E">
        <w:rPr>
          <w:rFonts w:cstheme="minorHAnsi"/>
          <w:szCs w:val="24"/>
          <w:lang w:eastAsia="cs-CZ"/>
        </w:rPr>
        <w:t xml:space="preserve"> </w:t>
      </w:r>
      <w:r w:rsidR="0078487E" w:rsidRPr="006343E9">
        <w:rPr>
          <w:rFonts w:cstheme="minorHAnsi"/>
          <w:szCs w:val="24"/>
          <w:lang w:eastAsia="cs-CZ"/>
        </w:rPr>
        <w:t>Zemědělská produkce, především rostlinná výroba</w:t>
      </w:r>
      <w:r w:rsidR="00364446">
        <w:rPr>
          <w:rFonts w:cstheme="minorHAnsi"/>
          <w:szCs w:val="24"/>
          <w:lang w:eastAsia="cs-CZ"/>
        </w:rPr>
        <w:t>,</w:t>
      </w:r>
      <w:r w:rsidR="0078487E" w:rsidRPr="006343E9">
        <w:rPr>
          <w:rFonts w:cstheme="minorHAnsi"/>
          <w:szCs w:val="24"/>
          <w:lang w:eastAsia="cs-CZ"/>
        </w:rPr>
        <w:t xml:space="preserve"> představuje významný zdroj znečištění povrchových </w:t>
      </w:r>
      <w:r w:rsidR="0019682A">
        <w:rPr>
          <w:rFonts w:cstheme="minorHAnsi"/>
          <w:szCs w:val="24"/>
          <w:lang w:eastAsia="cs-CZ"/>
        </w:rPr>
        <w:br/>
      </w:r>
      <w:r w:rsidR="0078487E" w:rsidRPr="006343E9">
        <w:rPr>
          <w:rFonts w:cstheme="minorHAnsi"/>
          <w:szCs w:val="24"/>
          <w:lang w:eastAsia="cs-CZ"/>
        </w:rPr>
        <w:t>a</w:t>
      </w:r>
      <w:r w:rsidR="0019682A">
        <w:rPr>
          <w:rFonts w:cstheme="minorHAnsi"/>
          <w:szCs w:val="24"/>
          <w:lang w:eastAsia="cs-CZ"/>
        </w:rPr>
        <w:t xml:space="preserve"> </w:t>
      </w:r>
      <w:r w:rsidR="0078487E" w:rsidRPr="006343E9">
        <w:rPr>
          <w:rFonts w:cstheme="minorHAnsi"/>
          <w:szCs w:val="24"/>
          <w:lang w:eastAsia="cs-CZ"/>
        </w:rPr>
        <w:t xml:space="preserve">podzemních vod pesticidy a dusičnany. </w:t>
      </w:r>
      <w:r w:rsidR="0078487E">
        <w:rPr>
          <w:rFonts w:cstheme="minorHAnsi"/>
          <w:szCs w:val="24"/>
          <w:lang w:eastAsia="cs-CZ"/>
        </w:rPr>
        <w:t>Převážná část zemědělských subjektů v ČR hospodaří konvenční</w:t>
      </w:r>
      <w:r w:rsidR="00364446">
        <w:rPr>
          <w:rFonts w:cstheme="minorHAnsi"/>
          <w:szCs w:val="24"/>
          <w:lang w:eastAsia="cs-CZ"/>
        </w:rPr>
        <w:t>m</w:t>
      </w:r>
      <w:r w:rsidR="0078487E">
        <w:rPr>
          <w:rFonts w:cstheme="minorHAnsi"/>
          <w:szCs w:val="24"/>
          <w:lang w:eastAsia="cs-CZ"/>
        </w:rPr>
        <w:t xml:space="preserve"> způsobem. </w:t>
      </w:r>
      <w:r w:rsidR="00C9683B">
        <w:rPr>
          <w:rFonts w:cstheme="minorHAnsi"/>
          <w:szCs w:val="24"/>
          <w:lang w:eastAsia="cs-CZ"/>
        </w:rPr>
        <w:t xml:space="preserve">Pro dosažení odpovídajícího výnosu a zisku v rostlinné výrobě jsou zemědělskými subjekty používány přípravky na ochranu rostlin, resp. </w:t>
      </w:r>
      <w:r w:rsidR="00F96C2E">
        <w:rPr>
          <w:rFonts w:cstheme="minorHAnsi"/>
          <w:szCs w:val="24"/>
          <w:lang w:eastAsia="cs-CZ"/>
        </w:rPr>
        <w:t>pesticidy</w:t>
      </w:r>
      <w:r w:rsidR="00C9683B">
        <w:rPr>
          <w:rFonts w:cstheme="minorHAnsi"/>
          <w:szCs w:val="24"/>
          <w:lang w:eastAsia="cs-CZ"/>
        </w:rPr>
        <w:t xml:space="preserve"> a</w:t>
      </w:r>
      <w:r w:rsidR="00364446">
        <w:rPr>
          <w:rFonts w:cstheme="minorHAnsi"/>
          <w:szCs w:val="24"/>
          <w:lang w:eastAsia="cs-CZ"/>
        </w:rPr>
        <w:t> </w:t>
      </w:r>
      <w:r w:rsidR="00C9683B">
        <w:rPr>
          <w:rFonts w:cstheme="minorHAnsi"/>
          <w:szCs w:val="24"/>
          <w:lang w:eastAsia="cs-CZ"/>
        </w:rPr>
        <w:t>hnojiva.</w:t>
      </w:r>
    </w:p>
    <w:p w14:paraId="5786D3C6" w14:textId="54C313E9" w:rsidR="0078487E" w:rsidRPr="00F96C2E" w:rsidRDefault="0078487E" w:rsidP="00F96C2E">
      <w:pPr>
        <w:pStyle w:val="Titulek"/>
        <w:keepNext/>
        <w:spacing w:after="0"/>
        <w:rPr>
          <w:rFonts w:cstheme="minorHAnsi"/>
          <w:b/>
          <w:i w:val="0"/>
          <w:color w:val="000000" w:themeColor="text1"/>
          <w:sz w:val="24"/>
          <w:szCs w:val="24"/>
          <w:lang w:eastAsia="cs-CZ"/>
        </w:rPr>
      </w:pPr>
      <w:r w:rsidRPr="00F96C2E">
        <w:rPr>
          <w:b/>
          <w:i w:val="0"/>
          <w:color w:val="000000" w:themeColor="text1"/>
          <w:sz w:val="24"/>
          <w:szCs w:val="24"/>
        </w:rPr>
        <w:lastRenderedPageBreak/>
        <w:t xml:space="preserve">Tabulka </w:t>
      </w:r>
      <w:r w:rsidR="00F96C2E" w:rsidRPr="00F96C2E">
        <w:rPr>
          <w:b/>
          <w:i w:val="0"/>
          <w:color w:val="000000" w:themeColor="text1"/>
          <w:sz w:val="24"/>
          <w:szCs w:val="24"/>
        </w:rPr>
        <w:fldChar w:fldCharType="begin"/>
      </w:r>
      <w:r w:rsidR="00F96C2E" w:rsidRPr="00F96C2E">
        <w:rPr>
          <w:b/>
          <w:i w:val="0"/>
          <w:color w:val="000000" w:themeColor="text1"/>
          <w:sz w:val="24"/>
          <w:szCs w:val="24"/>
        </w:rPr>
        <w:instrText xml:space="preserve"> SEQ Tabulka \* ARABIC </w:instrText>
      </w:r>
      <w:r w:rsidR="00F96C2E" w:rsidRPr="00F96C2E">
        <w:rPr>
          <w:b/>
          <w:i w:val="0"/>
          <w:color w:val="000000" w:themeColor="text1"/>
          <w:sz w:val="24"/>
          <w:szCs w:val="24"/>
        </w:rPr>
        <w:fldChar w:fldCharType="separate"/>
      </w:r>
      <w:r w:rsidR="007145CB">
        <w:rPr>
          <w:b/>
          <w:i w:val="0"/>
          <w:noProof/>
          <w:color w:val="000000" w:themeColor="text1"/>
          <w:sz w:val="24"/>
          <w:szCs w:val="24"/>
        </w:rPr>
        <w:t>1</w:t>
      </w:r>
      <w:r w:rsidR="00F96C2E" w:rsidRPr="00F96C2E">
        <w:rPr>
          <w:b/>
          <w:i w:val="0"/>
          <w:color w:val="000000" w:themeColor="text1"/>
          <w:sz w:val="24"/>
          <w:szCs w:val="24"/>
        </w:rPr>
        <w:fldChar w:fldCharType="end"/>
      </w:r>
      <w:r w:rsidR="00F96C2E" w:rsidRPr="00F96C2E">
        <w:rPr>
          <w:b/>
          <w:i w:val="0"/>
          <w:color w:val="000000" w:themeColor="text1"/>
          <w:sz w:val="24"/>
          <w:szCs w:val="24"/>
        </w:rPr>
        <w:t>:</w:t>
      </w:r>
      <w:r w:rsidR="00204997" w:rsidRPr="00F96C2E">
        <w:rPr>
          <w:b/>
          <w:i w:val="0"/>
          <w:color w:val="000000" w:themeColor="text1"/>
          <w:sz w:val="24"/>
          <w:szCs w:val="24"/>
        </w:rPr>
        <w:t xml:space="preserve"> </w:t>
      </w:r>
      <w:r w:rsidR="00204997" w:rsidRPr="00F96C2E">
        <w:rPr>
          <w:rFonts w:cstheme="minorHAnsi"/>
          <w:b/>
          <w:i w:val="0"/>
          <w:color w:val="000000" w:themeColor="text1"/>
          <w:sz w:val="24"/>
          <w:szCs w:val="24"/>
          <w:lang w:eastAsia="cs-CZ"/>
        </w:rPr>
        <w:t>Přehled zemědělských subjektů hospodařících konvenčně a ekologicky</w:t>
      </w:r>
    </w:p>
    <w:tbl>
      <w:tblPr>
        <w:tblW w:w="9072" w:type="dxa"/>
        <w:tblInd w:w="70" w:type="dxa"/>
        <w:tblCellMar>
          <w:left w:w="70" w:type="dxa"/>
          <w:right w:w="70" w:type="dxa"/>
        </w:tblCellMar>
        <w:tblLook w:val="04A0" w:firstRow="1" w:lastRow="0" w:firstColumn="1" w:lastColumn="0" w:noHBand="0" w:noVBand="1"/>
      </w:tblPr>
      <w:tblGrid>
        <w:gridCol w:w="960"/>
        <w:gridCol w:w="3576"/>
        <w:gridCol w:w="2127"/>
        <w:gridCol w:w="2409"/>
      </w:tblGrid>
      <w:tr w:rsidR="00860CA0" w:rsidRPr="00860CA0" w14:paraId="459133F5" w14:textId="77777777" w:rsidTr="00C042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A7741F9" w14:textId="77777777" w:rsidR="0078487E" w:rsidRPr="00003C6D" w:rsidRDefault="0078487E" w:rsidP="007D50B7">
            <w:pPr>
              <w:keepNext/>
              <w:spacing w:after="0"/>
              <w:jc w:val="center"/>
              <w:rPr>
                <w:rFonts w:cstheme="minorHAnsi"/>
                <w:b/>
                <w:color w:val="000000" w:themeColor="text1"/>
                <w:sz w:val="20"/>
                <w:szCs w:val="20"/>
                <w:lang w:eastAsia="cs-CZ"/>
              </w:rPr>
            </w:pPr>
          </w:p>
        </w:tc>
        <w:tc>
          <w:tcPr>
            <w:tcW w:w="3576" w:type="dxa"/>
            <w:tcBorders>
              <w:top w:val="single" w:sz="4" w:space="0" w:color="auto"/>
              <w:left w:val="nil"/>
              <w:bottom w:val="single" w:sz="4" w:space="0" w:color="auto"/>
              <w:right w:val="single" w:sz="4" w:space="0" w:color="auto"/>
            </w:tcBorders>
            <w:shd w:val="clear" w:color="auto" w:fill="E5F1FF"/>
            <w:noWrap/>
            <w:vAlign w:val="center"/>
            <w:hideMark/>
          </w:tcPr>
          <w:p w14:paraId="7C2ACEA3" w14:textId="77777777" w:rsidR="0078487E" w:rsidRPr="00003C6D" w:rsidRDefault="00204997" w:rsidP="00860CA0">
            <w:pPr>
              <w:keepNext/>
              <w:spacing w:after="0"/>
              <w:jc w:val="center"/>
              <w:rPr>
                <w:rFonts w:cstheme="minorHAnsi"/>
                <w:b/>
                <w:color w:val="000000" w:themeColor="text1"/>
                <w:sz w:val="20"/>
                <w:szCs w:val="20"/>
                <w:lang w:eastAsia="cs-CZ"/>
              </w:rPr>
            </w:pPr>
            <w:r w:rsidRPr="00003C6D">
              <w:rPr>
                <w:rFonts w:cstheme="minorHAnsi"/>
                <w:b/>
                <w:color w:val="000000" w:themeColor="text1"/>
                <w:sz w:val="20"/>
                <w:szCs w:val="20"/>
                <w:lang w:eastAsia="cs-CZ"/>
              </w:rPr>
              <w:t>Celkový počet aktivních zemědělských subjektů</w:t>
            </w:r>
          </w:p>
        </w:tc>
        <w:tc>
          <w:tcPr>
            <w:tcW w:w="2127" w:type="dxa"/>
            <w:tcBorders>
              <w:top w:val="single" w:sz="4" w:space="0" w:color="auto"/>
              <w:left w:val="nil"/>
              <w:bottom w:val="single" w:sz="4" w:space="0" w:color="auto"/>
              <w:right w:val="single" w:sz="4" w:space="0" w:color="auto"/>
            </w:tcBorders>
            <w:shd w:val="clear" w:color="auto" w:fill="E5F1FF"/>
            <w:noWrap/>
            <w:vAlign w:val="center"/>
            <w:hideMark/>
          </w:tcPr>
          <w:p w14:paraId="1146339C" w14:textId="77777777" w:rsidR="0078487E" w:rsidRPr="00003C6D" w:rsidRDefault="0078487E" w:rsidP="00860CA0">
            <w:pPr>
              <w:keepNext/>
              <w:spacing w:after="0"/>
              <w:jc w:val="center"/>
              <w:rPr>
                <w:rFonts w:cstheme="minorHAnsi"/>
                <w:b/>
                <w:color w:val="000000" w:themeColor="text1"/>
                <w:sz w:val="20"/>
                <w:szCs w:val="20"/>
                <w:lang w:eastAsia="cs-CZ"/>
              </w:rPr>
            </w:pPr>
            <w:r w:rsidRPr="00003C6D">
              <w:rPr>
                <w:rFonts w:cstheme="minorHAnsi"/>
                <w:b/>
                <w:color w:val="000000" w:themeColor="text1"/>
                <w:sz w:val="20"/>
                <w:szCs w:val="20"/>
                <w:lang w:eastAsia="cs-CZ"/>
              </w:rPr>
              <w:t>z toho</w:t>
            </w:r>
            <w:r w:rsidR="00204997" w:rsidRPr="00003C6D">
              <w:rPr>
                <w:rFonts w:cstheme="minorHAnsi"/>
                <w:b/>
                <w:color w:val="000000" w:themeColor="text1"/>
                <w:sz w:val="20"/>
                <w:szCs w:val="20"/>
                <w:lang w:eastAsia="cs-CZ"/>
              </w:rPr>
              <w:t xml:space="preserve"> hospodařících konvenčně</w:t>
            </w:r>
          </w:p>
        </w:tc>
        <w:tc>
          <w:tcPr>
            <w:tcW w:w="2409" w:type="dxa"/>
            <w:tcBorders>
              <w:top w:val="single" w:sz="4" w:space="0" w:color="auto"/>
              <w:left w:val="nil"/>
              <w:bottom w:val="single" w:sz="4" w:space="0" w:color="auto"/>
              <w:right w:val="single" w:sz="4" w:space="0" w:color="auto"/>
            </w:tcBorders>
            <w:shd w:val="clear" w:color="auto" w:fill="E5F1FF"/>
            <w:noWrap/>
            <w:vAlign w:val="center"/>
            <w:hideMark/>
          </w:tcPr>
          <w:p w14:paraId="4D36ACD5" w14:textId="77777777" w:rsidR="0078487E" w:rsidRPr="00003C6D" w:rsidRDefault="0078487E" w:rsidP="00860CA0">
            <w:pPr>
              <w:keepNext/>
              <w:spacing w:after="0"/>
              <w:jc w:val="center"/>
              <w:rPr>
                <w:rFonts w:cstheme="minorHAnsi"/>
                <w:b/>
                <w:color w:val="000000" w:themeColor="text1"/>
                <w:sz w:val="20"/>
                <w:szCs w:val="20"/>
                <w:lang w:eastAsia="cs-CZ"/>
              </w:rPr>
            </w:pPr>
            <w:r w:rsidRPr="00003C6D">
              <w:rPr>
                <w:rFonts w:cstheme="minorHAnsi"/>
                <w:b/>
                <w:color w:val="000000" w:themeColor="text1"/>
                <w:sz w:val="20"/>
                <w:szCs w:val="20"/>
                <w:lang w:eastAsia="cs-CZ"/>
              </w:rPr>
              <w:t>z toho</w:t>
            </w:r>
            <w:r w:rsidR="00204997" w:rsidRPr="00003C6D">
              <w:rPr>
                <w:rFonts w:cstheme="minorHAnsi"/>
                <w:b/>
                <w:color w:val="000000" w:themeColor="text1"/>
                <w:sz w:val="20"/>
                <w:szCs w:val="20"/>
                <w:lang w:eastAsia="cs-CZ"/>
              </w:rPr>
              <w:t xml:space="preserve"> hospodařících ekologicky</w:t>
            </w:r>
          </w:p>
        </w:tc>
      </w:tr>
      <w:tr w:rsidR="0078487E" w:rsidRPr="00860CA0" w14:paraId="6E163368"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309E7"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2013</w:t>
            </w:r>
          </w:p>
        </w:tc>
        <w:tc>
          <w:tcPr>
            <w:tcW w:w="3576" w:type="dxa"/>
            <w:tcBorders>
              <w:top w:val="nil"/>
              <w:left w:val="nil"/>
              <w:bottom w:val="single" w:sz="4" w:space="0" w:color="auto"/>
              <w:right w:val="single" w:sz="4" w:space="0" w:color="auto"/>
            </w:tcBorders>
            <w:shd w:val="clear" w:color="auto" w:fill="auto"/>
            <w:noWrap/>
            <w:vAlign w:val="bottom"/>
            <w:hideMark/>
          </w:tcPr>
          <w:p w14:paraId="341FE332"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32 929</w:t>
            </w:r>
          </w:p>
        </w:tc>
        <w:tc>
          <w:tcPr>
            <w:tcW w:w="2127" w:type="dxa"/>
            <w:tcBorders>
              <w:top w:val="nil"/>
              <w:left w:val="nil"/>
              <w:bottom w:val="single" w:sz="4" w:space="0" w:color="auto"/>
              <w:right w:val="single" w:sz="4" w:space="0" w:color="auto"/>
            </w:tcBorders>
            <w:shd w:val="clear" w:color="auto" w:fill="auto"/>
            <w:noWrap/>
            <w:vAlign w:val="bottom"/>
            <w:hideMark/>
          </w:tcPr>
          <w:p w14:paraId="465BCDCE"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29 119</w:t>
            </w:r>
          </w:p>
        </w:tc>
        <w:tc>
          <w:tcPr>
            <w:tcW w:w="2409" w:type="dxa"/>
            <w:tcBorders>
              <w:top w:val="nil"/>
              <w:left w:val="nil"/>
              <w:bottom w:val="single" w:sz="4" w:space="0" w:color="auto"/>
              <w:right w:val="single" w:sz="4" w:space="0" w:color="auto"/>
            </w:tcBorders>
            <w:shd w:val="clear" w:color="auto" w:fill="auto"/>
            <w:noWrap/>
            <w:vAlign w:val="bottom"/>
            <w:hideMark/>
          </w:tcPr>
          <w:p w14:paraId="4AF32D1B"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3 810</w:t>
            </w:r>
          </w:p>
        </w:tc>
      </w:tr>
      <w:tr w:rsidR="0078487E" w:rsidRPr="00860CA0" w14:paraId="6CDEA8B7"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F0B60"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2014</w:t>
            </w:r>
          </w:p>
        </w:tc>
        <w:tc>
          <w:tcPr>
            <w:tcW w:w="3576" w:type="dxa"/>
            <w:tcBorders>
              <w:top w:val="nil"/>
              <w:left w:val="nil"/>
              <w:bottom w:val="single" w:sz="4" w:space="0" w:color="auto"/>
              <w:right w:val="single" w:sz="4" w:space="0" w:color="auto"/>
            </w:tcBorders>
            <w:shd w:val="clear" w:color="auto" w:fill="auto"/>
            <w:noWrap/>
            <w:vAlign w:val="bottom"/>
            <w:hideMark/>
          </w:tcPr>
          <w:p w14:paraId="10243F9D"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34 229</w:t>
            </w:r>
          </w:p>
        </w:tc>
        <w:tc>
          <w:tcPr>
            <w:tcW w:w="2127" w:type="dxa"/>
            <w:tcBorders>
              <w:top w:val="nil"/>
              <w:left w:val="nil"/>
              <w:bottom w:val="single" w:sz="4" w:space="0" w:color="auto"/>
              <w:right w:val="single" w:sz="4" w:space="0" w:color="auto"/>
            </w:tcBorders>
            <w:shd w:val="clear" w:color="auto" w:fill="auto"/>
            <w:noWrap/>
            <w:vAlign w:val="bottom"/>
            <w:hideMark/>
          </w:tcPr>
          <w:p w14:paraId="59A9266D"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30 454</w:t>
            </w:r>
          </w:p>
        </w:tc>
        <w:tc>
          <w:tcPr>
            <w:tcW w:w="2409" w:type="dxa"/>
            <w:tcBorders>
              <w:top w:val="nil"/>
              <w:left w:val="nil"/>
              <w:bottom w:val="single" w:sz="4" w:space="0" w:color="auto"/>
              <w:right w:val="single" w:sz="4" w:space="0" w:color="auto"/>
            </w:tcBorders>
            <w:shd w:val="clear" w:color="auto" w:fill="auto"/>
            <w:noWrap/>
            <w:vAlign w:val="bottom"/>
            <w:hideMark/>
          </w:tcPr>
          <w:p w14:paraId="49340CDF"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3 775</w:t>
            </w:r>
          </w:p>
        </w:tc>
      </w:tr>
      <w:tr w:rsidR="0078487E" w:rsidRPr="00860CA0" w14:paraId="0900B835"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B6F4A"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2015</w:t>
            </w:r>
          </w:p>
        </w:tc>
        <w:tc>
          <w:tcPr>
            <w:tcW w:w="3576" w:type="dxa"/>
            <w:tcBorders>
              <w:top w:val="nil"/>
              <w:left w:val="nil"/>
              <w:bottom w:val="single" w:sz="4" w:space="0" w:color="auto"/>
              <w:right w:val="single" w:sz="4" w:space="0" w:color="auto"/>
            </w:tcBorders>
            <w:shd w:val="clear" w:color="auto" w:fill="auto"/>
            <w:noWrap/>
            <w:vAlign w:val="bottom"/>
            <w:hideMark/>
          </w:tcPr>
          <w:p w14:paraId="2CE938A2"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34 845</w:t>
            </w:r>
          </w:p>
        </w:tc>
        <w:tc>
          <w:tcPr>
            <w:tcW w:w="2127" w:type="dxa"/>
            <w:tcBorders>
              <w:top w:val="nil"/>
              <w:left w:val="nil"/>
              <w:bottom w:val="single" w:sz="4" w:space="0" w:color="auto"/>
              <w:right w:val="single" w:sz="4" w:space="0" w:color="auto"/>
            </w:tcBorders>
            <w:shd w:val="clear" w:color="auto" w:fill="auto"/>
            <w:noWrap/>
            <w:vAlign w:val="bottom"/>
            <w:hideMark/>
          </w:tcPr>
          <w:p w14:paraId="0A2E7506"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30 863</w:t>
            </w:r>
          </w:p>
        </w:tc>
        <w:tc>
          <w:tcPr>
            <w:tcW w:w="2409" w:type="dxa"/>
            <w:tcBorders>
              <w:top w:val="nil"/>
              <w:left w:val="nil"/>
              <w:bottom w:val="single" w:sz="4" w:space="0" w:color="auto"/>
              <w:right w:val="single" w:sz="4" w:space="0" w:color="auto"/>
            </w:tcBorders>
            <w:shd w:val="clear" w:color="auto" w:fill="auto"/>
            <w:noWrap/>
            <w:vAlign w:val="bottom"/>
            <w:hideMark/>
          </w:tcPr>
          <w:p w14:paraId="334C1650"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3 982</w:t>
            </w:r>
          </w:p>
        </w:tc>
      </w:tr>
      <w:tr w:rsidR="0078487E" w:rsidRPr="00860CA0" w14:paraId="370B6D7A"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7851E"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2016</w:t>
            </w:r>
          </w:p>
        </w:tc>
        <w:tc>
          <w:tcPr>
            <w:tcW w:w="3576" w:type="dxa"/>
            <w:tcBorders>
              <w:top w:val="nil"/>
              <w:left w:val="nil"/>
              <w:bottom w:val="single" w:sz="4" w:space="0" w:color="auto"/>
              <w:right w:val="single" w:sz="4" w:space="0" w:color="auto"/>
            </w:tcBorders>
            <w:shd w:val="clear" w:color="auto" w:fill="auto"/>
            <w:noWrap/>
            <w:vAlign w:val="bottom"/>
            <w:hideMark/>
          </w:tcPr>
          <w:p w14:paraId="64AAD51E"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35 336</w:t>
            </w:r>
          </w:p>
        </w:tc>
        <w:tc>
          <w:tcPr>
            <w:tcW w:w="2127" w:type="dxa"/>
            <w:tcBorders>
              <w:top w:val="nil"/>
              <w:left w:val="nil"/>
              <w:bottom w:val="single" w:sz="4" w:space="0" w:color="auto"/>
              <w:right w:val="single" w:sz="4" w:space="0" w:color="auto"/>
            </w:tcBorders>
            <w:shd w:val="clear" w:color="auto" w:fill="auto"/>
            <w:noWrap/>
            <w:vAlign w:val="bottom"/>
            <w:hideMark/>
          </w:tcPr>
          <w:p w14:paraId="08BEDE9B"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31 197</w:t>
            </w:r>
          </w:p>
        </w:tc>
        <w:tc>
          <w:tcPr>
            <w:tcW w:w="2409" w:type="dxa"/>
            <w:tcBorders>
              <w:top w:val="nil"/>
              <w:left w:val="nil"/>
              <w:bottom w:val="single" w:sz="4" w:space="0" w:color="auto"/>
              <w:right w:val="single" w:sz="4" w:space="0" w:color="auto"/>
            </w:tcBorders>
            <w:shd w:val="clear" w:color="auto" w:fill="auto"/>
            <w:noWrap/>
            <w:vAlign w:val="bottom"/>
            <w:hideMark/>
          </w:tcPr>
          <w:p w14:paraId="1D6E99B5"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4 139</w:t>
            </w:r>
          </w:p>
        </w:tc>
      </w:tr>
      <w:tr w:rsidR="0078487E" w:rsidRPr="00860CA0" w14:paraId="52871313"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73A80D"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2017</w:t>
            </w:r>
          </w:p>
        </w:tc>
        <w:tc>
          <w:tcPr>
            <w:tcW w:w="3576" w:type="dxa"/>
            <w:tcBorders>
              <w:top w:val="nil"/>
              <w:left w:val="nil"/>
              <w:bottom w:val="single" w:sz="4" w:space="0" w:color="auto"/>
              <w:right w:val="single" w:sz="4" w:space="0" w:color="auto"/>
            </w:tcBorders>
            <w:shd w:val="clear" w:color="auto" w:fill="auto"/>
            <w:noWrap/>
            <w:vAlign w:val="bottom"/>
            <w:hideMark/>
          </w:tcPr>
          <w:p w14:paraId="0C02E68C"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35 433</w:t>
            </w:r>
          </w:p>
        </w:tc>
        <w:tc>
          <w:tcPr>
            <w:tcW w:w="2127" w:type="dxa"/>
            <w:tcBorders>
              <w:top w:val="nil"/>
              <w:left w:val="nil"/>
              <w:bottom w:val="single" w:sz="4" w:space="0" w:color="auto"/>
              <w:right w:val="single" w:sz="4" w:space="0" w:color="auto"/>
            </w:tcBorders>
            <w:shd w:val="clear" w:color="auto" w:fill="auto"/>
            <w:noWrap/>
            <w:vAlign w:val="bottom"/>
            <w:hideMark/>
          </w:tcPr>
          <w:p w14:paraId="66534AF2"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31 106</w:t>
            </w:r>
          </w:p>
        </w:tc>
        <w:tc>
          <w:tcPr>
            <w:tcW w:w="2409" w:type="dxa"/>
            <w:tcBorders>
              <w:top w:val="nil"/>
              <w:left w:val="nil"/>
              <w:bottom w:val="single" w:sz="4" w:space="0" w:color="auto"/>
              <w:right w:val="single" w:sz="4" w:space="0" w:color="auto"/>
            </w:tcBorders>
            <w:shd w:val="clear" w:color="auto" w:fill="auto"/>
            <w:noWrap/>
            <w:vAlign w:val="bottom"/>
            <w:hideMark/>
          </w:tcPr>
          <w:p w14:paraId="246F07B3"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4 327</w:t>
            </w:r>
          </w:p>
        </w:tc>
      </w:tr>
      <w:tr w:rsidR="0078487E" w:rsidRPr="00860CA0" w14:paraId="0C564257"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F3B0D2"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2018</w:t>
            </w:r>
          </w:p>
        </w:tc>
        <w:tc>
          <w:tcPr>
            <w:tcW w:w="3576" w:type="dxa"/>
            <w:tcBorders>
              <w:top w:val="nil"/>
              <w:left w:val="nil"/>
              <w:bottom w:val="single" w:sz="4" w:space="0" w:color="auto"/>
              <w:right w:val="single" w:sz="4" w:space="0" w:color="auto"/>
            </w:tcBorders>
            <w:shd w:val="clear" w:color="auto" w:fill="auto"/>
            <w:noWrap/>
            <w:vAlign w:val="bottom"/>
            <w:hideMark/>
          </w:tcPr>
          <w:p w14:paraId="79D337DC"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35 599</w:t>
            </w:r>
          </w:p>
        </w:tc>
        <w:tc>
          <w:tcPr>
            <w:tcW w:w="2127" w:type="dxa"/>
            <w:tcBorders>
              <w:top w:val="nil"/>
              <w:left w:val="nil"/>
              <w:bottom w:val="single" w:sz="4" w:space="0" w:color="auto"/>
              <w:right w:val="single" w:sz="4" w:space="0" w:color="auto"/>
            </w:tcBorders>
            <w:shd w:val="clear" w:color="auto" w:fill="auto"/>
            <w:noWrap/>
            <w:vAlign w:val="bottom"/>
            <w:hideMark/>
          </w:tcPr>
          <w:p w14:paraId="3712EF61"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31 067</w:t>
            </w:r>
          </w:p>
        </w:tc>
        <w:tc>
          <w:tcPr>
            <w:tcW w:w="2409" w:type="dxa"/>
            <w:tcBorders>
              <w:top w:val="nil"/>
              <w:left w:val="nil"/>
              <w:bottom w:val="single" w:sz="4" w:space="0" w:color="auto"/>
              <w:right w:val="single" w:sz="4" w:space="0" w:color="auto"/>
            </w:tcBorders>
            <w:shd w:val="clear" w:color="auto" w:fill="auto"/>
            <w:noWrap/>
            <w:vAlign w:val="bottom"/>
            <w:hideMark/>
          </w:tcPr>
          <w:p w14:paraId="6C762AD6"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4 532</w:t>
            </w:r>
          </w:p>
        </w:tc>
      </w:tr>
      <w:tr w:rsidR="0078487E" w:rsidRPr="00860CA0" w14:paraId="3989F908"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3BBAFA" w14:textId="77777777" w:rsidR="0078487E" w:rsidRPr="00003C6D" w:rsidRDefault="0078487E" w:rsidP="004332DA">
            <w:pPr>
              <w:keepNext/>
              <w:spacing w:after="0"/>
              <w:jc w:val="right"/>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2019</w:t>
            </w:r>
          </w:p>
        </w:tc>
        <w:tc>
          <w:tcPr>
            <w:tcW w:w="3576" w:type="dxa"/>
            <w:tcBorders>
              <w:top w:val="nil"/>
              <w:left w:val="nil"/>
              <w:bottom w:val="single" w:sz="4" w:space="0" w:color="auto"/>
              <w:right w:val="single" w:sz="4" w:space="0" w:color="auto"/>
            </w:tcBorders>
            <w:shd w:val="clear" w:color="auto" w:fill="auto"/>
            <w:noWrap/>
            <w:vAlign w:val="bottom"/>
            <w:hideMark/>
          </w:tcPr>
          <w:p w14:paraId="6280EB93"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35 531</w:t>
            </w:r>
          </w:p>
        </w:tc>
        <w:tc>
          <w:tcPr>
            <w:tcW w:w="2127" w:type="dxa"/>
            <w:tcBorders>
              <w:top w:val="nil"/>
              <w:left w:val="nil"/>
              <w:bottom w:val="single" w:sz="4" w:space="0" w:color="auto"/>
              <w:right w:val="single" w:sz="4" w:space="0" w:color="auto"/>
            </w:tcBorders>
            <w:shd w:val="clear" w:color="auto" w:fill="auto"/>
            <w:noWrap/>
            <w:vAlign w:val="bottom"/>
            <w:hideMark/>
          </w:tcPr>
          <w:p w14:paraId="06DA4FAE"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30 890</w:t>
            </w:r>
          </w:p>
        </w:tc>
        <w:tc>
          <w:tcPr>
            <w:tcW w:w="2409" w:type="dxa"/>
            <w:tcBorders>
              <w:top w:val="nil"/>
              <w:left w:val="nil"/>
              <w:bottom w:val="single" w:sz="4" w:space="0" w:color="auto"/>
              <w:right w:val="single" w:sz="4" w:space="0" w:color="auto"/>
            </w:tcBorders>
            <w:shd w:val="clear" w:color="auto" w:fill="auto"/>
            <w:noWrap/>
            <w:vAlign w:val="bottom"/>
            <w:hideMark/>
          </w:tcPr>
          <w:p w14:paraId="002F818F"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4 641</w:t>
            </w:r>
          </w:p>
        </w:tc>
      </w:tr>
      <w:tr w:rsidR="0078487E" w:rsidRPr="00860CA0" w14:paraId="1ECA4B7A" w14:textId="77777777" w:rsidTr="002049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37694" w14:textId="77777777" w:rsidR="0078487E" w:rsidRPr="00003C6D" w:rsidRDefault="007D50B7" w:rsidP="00364446">
            <w:pPr>
              <w:keepNext/>
              <w:spacing w:after="0"/>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w:t>
            </w:r>
            <w:r w:rsidR="00364446">
              <w:rPr>
                <w:rFonts w:ascii="Calibri" w:eastAsia="Times New Roman" w:hAnsi="Calibri" w:cs="Calibri"/>
                <w:color w:val="000000"/>
                <w:sz w:val="20"/>
                <w:szCs w:val="20"/>
                <w:lang w:eastAsia="cs-CZ"/>
              </w:rPr>
              <w:t>–</w:t>
            </w:r>
            <w:r w:rsidR="0078487E" w:rsidRPr="00003C6D">
              <w:rPr>
                <w:rFonts w:ascii="Calibri" w:eastAsia="Times New Roman" w:hAnsi="Calibri" w:cs="Calibri"/>
                <w:color w:val="000000"/>
                <w:sz w:val="20"/>
                <w:szCs w:val="20"/>
                <w:lang w:eastAsia="cs-CZ"/>
              </w:rPr>
              <w:t>6/2020</w:t>
            </w:r>
          </w:p>
        </w:tc>
        <w:tc>
          <w:tcPr>
            <w:tcW w:w="3576" w:type="dxa"/>
            <w:tcBorders>
              <w:top w:val="nil"/>
              <w:left w:val="nil"/>
              <w:bottom w:val="single" w:sz="4" w:space="0" w:color="auto"/>
              <w:right w:val="single" w:sz="4" w:space="0" w:color="auto"/>
            </w:tcBorders>
            <w:shd w:val="clear" w:color="auto" w:fill="auto"/>
            <w:noWrap/>
            <w:vAlign w:val="bottom"/>
            <w:hideMark/>
          </w:tcPr>
          <w:p w14:paraId="54890FB7"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35 542</w:t>
            </w:r>
          </w:p>
        </w:tc>
        <w:tc>
          <w:tcPr>
            <w:tcW w:w="2127" w:type="dxa"/>
            <w:tcBorders>
              <w:top w:val="nil"/>
              <w:left w:val="nil"/>
              <w:bottom w:val="single" w:sz="4" w:space="0" w:color="auto"/>
              <w:right w:val="single" w:sz="4" w:space="0" w:color="auto"/>
            </w:tcBorders>
            <w:shd w:val="clear" w:color="auto" w:fill="auto"/>
            <w:noWrap/>
            <w:vAlign w:val="bottom"/>
            <w:hideMark/>
          </w:tcPr>
          <w:p w14:paraId="292CB460"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30 947</w:t>
            </w:r>
          </w:p>
        </w:tc>
        <w:tc>
          <w:tcPr>
            <w:tcW w:w="2409" w:type="dxa"/>
            <w:tcBorders>
              <w:top w:val="nil"/>
              <w:left w:val="nil"/>
              <w:bottom w:val="single" w:sz="4" w:space="0" w:color="auto"/>
              <w:right w:val="single" w:sz="4" w:space="0" w:color="auto"/>
            </w:tcBorders>
            <w:shd w:val="clear" w:color="auto" w:fill="auto"/>
            <w:noWrap/>
            <w:vAlign w:val="bottom"/>
            <w:hideMark/>
          </w:tcPr>
          <w:p w14:paraId="331098FF" w14:textId="77777777" w:rsidR="0078487E" w:rsidRPr="00003C6D" w:rsidRDefault="0078487E" w:rsidP="004332DA">
            <w:pPr>
              <w:keepNext/>
              <w:spacing w:after="0"/>
              <w:jc w:val="center"/>
              <w:rPr>
                <w:rFonts w:ascii="Calibri" w:eastAsia="Times New Roman" w:hAnsi="Calibri" w:cs="Calibri"/>
                <w:color w:val="000000"/>
                <w:sz w:val="20"/>
                <w:szCs w:val="20"/>
                <w:lang w:eastAsia="cs-CZ"/>
              </w:rPr>
            </w:pPr>
            <w:r w:rsidRPr="00003C6D">
              <w:rPr>
                <w:rFonts w:ascii="Calibri" w:eastAsia="Times New Roman" w:hAnsi="Calibri" w:cs="Calibri"/>
                <w:color w:val="000000"/>
                <w:sz w:val="20"/>
                <w:szCs w:val="20"/>
                <w:lang w:eastAsia="cs-CZ"/>
              </w:rPr>
              <w:t>4 595</w:t>
            </w:r>
          </w:p>
        </w:tc>
      </w:tr>
    </w:tbl>
    <w:p w14:paraId="51BE3CD2" w14:textId="77777777" w:rsidR="00A10C18" w:rsidRPr="002C2AF7" w:rsidRDefault="00C9683B" w:rsidP="00A10C18">
      <w:pPr>
        <w:rPr>
          <w:sz w:val="20"/>
          <w:szCs w:val="20"/>
        </w:rPr>
      </w:pPr>
      <w:r w:rsidRPr="002C2AF7">
        <w:rPr>
          <w:b/>
          <w:sz w:val="20"/>
          <w:szCs w:val="20"/>
        </w:rPr>
        <w:t>Zdroj</w:t>
      </w:r>
      <w:r w:rsidRPr="00FC0652">
        <w:rPr>
          <w:b/>
          <w:sz w:val="20"/>
          <w:szCs w:val="20"/>
        </w:rPr>
        <w:t>:</w:t>
      </w:r>
      <w:r w:rsidRPr="002C2AF7">
        <w:rPr>
          <w:sz w:val="20"/>
          <w:szCs w:val="20"/>
        </w:rPr>
        <w:t xml:space="preserve"> </w:t>
      </w:r>
      <w:r w:rsidR="00204997" w:rsidRPr="002C2AF7">
        <w:rPr>
          <w:sz w:val="20"/>
          <w:szCs w:val="20"/>
        </w:rPr>
        <w:t xml:space="preserve">informace </w:t>
      </w:r>
      <w:proofErr w:type="spellStart"/>
      <w:r w:rsidRPr="002C2AF7">
        <w:rPr>
          <w:sz w:val="20"/>
          <w:szCs w:val="20"/>
        </w:rPr>
        <w:t>MZe</w:t>
      </w:r>
      <w:proofErr w:type="spellEnd"/>
      <w:r w:rsidR="00364446">
        <w:rPr>
          <w:sz w:val="20"/>
          <w:szCs w:val="20"/>
        </w:rPr>
        <w:t>.</w:t>
      </w:r>
    </w:p>
    <w:p w14:paraId="0A30124B" w14:textId="37A8FC3B" w:rsidR="0078487E" w:rsidRPr="007A1AB6" w:rsidRDefault="0078487E" w:rsidP="0078487E">
      <w:pPr>
        <w:rPr>
          <w:rFonts w:cstheme="minorHAnsi"/>
        </w:rPr>
      </w:pPr>
      <w:r w:rsidRPr="007A1AB6">
        <w:rPr>
          <w:rFonts w:cstheme="minorHAnsi"/>
        </w:rPr>
        <w:t xml:space="preserve">Oblast užívání pesticidů je upravena </w:t>
      </w:r>
      <w:r w:rsidR="00452DAA">
        <w:rPr>
          <w:rFonts w:cstheme="minorHAnsi"/>
        </w:rPr>
        <w:t>S</w:t>
      </w:r>
      <w:r w:rsidRPr="007A1AB6">
        <w:rPr>
          <w:rFonts w:cstheme="minorHAnsi"/>
        </w:rPr>
        <w:t>měrnicí o u</w:t>
      </w:r>
      <w:r w:rsidR="009F0010">
        <w:rPr>
          <w:rFonts w:cstheme="minorHAnsi"/>
        </w:rPr>
        <w:t>držitelném používání pesticidů</w:t>
      </w:r>
      <w:r w:rsidRPr="007A1AB6">
        <w:rPr>
          <w:rFonts w:cstheme="minorHAnsi"/>
        </w:rPr>
        <w:t xml:space="preserve">. Na základě požadavku </w:t>
      </w:r>
      <w:r w:rsidR="00364446">
        <w:rPr>
          <w:rFonts w:cstheme="minorHAnsi"/>
        </w:rPr>
        <w:t xml:space="preserve">článku 4 </w:t>
      </w:r>
      <w:r w:rsidRPr="007A1AB6">
        <w:rPr>
          <w:rFonts w:cstheme="minorHAnsi"/>
        </w:rPr>
        <w:t>této směrnice zpracovala ČR národní akční plán s</w:t>
      </w:r>
      <w:r w:rsidR="0019682A">
        <w:rPr>
          <w:rFonts w:cstheme="minorHAnsi"/>
        </w:rPr>
        <w:t xml:space="preserve"> </w:t>
      </w:r>
      <w:r w:rsidRPr="007A1AB6">
        <w:rPr>
          <w:rFonts w:cstheme="minorHAnsi"/>
        </w:rPr>
        <w:t>cílem stanovit kvantitativní úkoly, cíle, opatření a</w:t>
      </w:r>
      <w:r w:rsidR="00364446">
        <w:rPr>
          <w:rFonts w:cstheme="minorHAnsi"/>
        </w:rPr>
        <w:t xml:space="preserve"> </w:t>
      </w:r>
      <w:r w:rsidRPr="007A1AB6">
        <w:rPr>
          <w:rFonts w:cstheme="minorHAnsi"/>
        </w:rPr>
        <w:t>harmonogramy pro snížení rizik a</w:t>
      </w:r>
      <w:r w:rsidR="00364446">
        <w:rPr>
          <w:rFonts w:cstheme="minorHAnsi"/>
        </w:rPr>
        <w:t xml:space="preserve"> </w:t>
      </w:r>
      <w:r w:rsidRPr="007A1AB6">
        <w:rPr>
          <w:rFonts w:cstheme="minorHAnsi"/>
        </w:rPr>
        <w:t>omezení dopadů používání pesticidů na lidské zdraví a</w:t>
      </w:r>
      <w:r w:rsidR="00364446">
        <w:rPr>
          <w:rFonts w:cstheme="minorHAnsi"/>
        </w:rPr>
        <w:t xml:space="preserve"> </w:t>
      </w:r>
      <w:r w:rsidRPr="007A1AB6">
        <w:rPr>
          <w:rFonts w:cstheme="minorHAnsi"/>
        </w:rPr>
        <w:t>životní prostředí.</w:t>
      </w:r>
    </w:p>
    <w:p w14:paraId="713A7E17" w14:textId="77777777" w:rsidR="007A1AB6" w:rsidRDefault="0078487E" w:rsidP="00457B2E">
      <w:r w:rsidRPr="007A1AB6">
        <w:rPr>
          <w:rFonts w:cstheme="minorHAnsi"/>
        </w:rPr>
        <w:t xml:space="preserve">Oblast ochrany vod před znečištěním dusičnany ze zemědělských zdrojů je upravena </w:t>
      </w:r>
      <w:r w:rsidR="00364446">
        <w:rPr>
          <w:rFonts w:cstheme="minorHAnsi"/>
        </w:rPr>
        <w:t>s</w:t>
      </w:r>
      <w:r w:rsidRPr="007A1AB6">
        <w:rPr>
          <w:rFonts w:cstheme="minorHAnsi"/>
        </w:rPr>
        <w:t xml:space="preserve">měrnicí Rady 91/676/EHS ze dne 12. prosince 1991, </w:t>
      </w:r>
      <w:r w:rsidRPr="007A1AB6">
        <w:rPr>
          <w:rStyle w:val="st1"/>
          <w:rFonts w:cstheme="minorHAnsi"/>
        </w:rPr>
        <w:t>o ochraně vod před znečištěním dusičnany ze zemědělských zdrojů</w:t>
      </w:r>
      <w:r w:rsidRPr="007A1AB6">
        <w:rPr>
          <w:rStyle w:val="st1"/>
          <w:rFonts w:cstheme="minorHAnsi"/>
          <w:color w:val="4D5156"/>
        </w:rPr>
        <w:t xml:space="preserve"> (</w:t>
      </w:r>
      <w:r w:rsidR="00364446">
        <w:rPr>
          <w:rFonts w:cstheme="minorHAnsi"/>
        </w:rPr>
        <w:t>n</w:t>
      </w:r>
      <w:r w:rsidRPr="007A1AB6">
        <w:rPr>
          <w:rFonts w:cstheme="minorHAnsi"/>
        </w:rPr>
        <w:t>itrátová směrnice). Jejím hlavním požadavkem je vymezit oblasti zranitelné dusičnany a vytvořit zásady správné zemědělské</w:t>
      </w:r>
      <w:r>
        <w:rPr>
          <w:rFonts w:cstheme="minorHAnsi"/>
        </w:rPr>
        <w:t xml:space="preserve"> praxe zaměřené na ochranu vod před znečištěním dusičnany. </w:t>
      </w:r>
      <w:r w:rsidRPr="0078487E">
        <w:t>V rámci zranitelných oblastí je zemědělec povinen dodržovat zásady správné zemědělské praxe.</w:t>
      </w:r>
      <w:r>
        <w:t xml:space="preserve"> </w:t>
      </w:r>
      <w:r w:rsidRPr="0078487E">
        <w:t xml:space="preserve">Zvýšené množství dusičnanů ve vodách způsobuje jejich následnou eutrofizaci, tj. proces obohacování povrchových vod </w:t>
      </w:r>
      <w:r w:rsidR="00364446">
        <w:t>o </w:t>
      </w:r>
      <w:r w:rsidRPr="0078487E">
        <w:t>živin</w:t>
      </w:r>
      <w:r w:rsidR="00364446">
        <w:t>y</w:t>
      </w:r>
      <w:r w:rsidRPr="0078487E">
        <w:t xml:space="preserve"> (zejména dusík). Vlivem eutrofizace vod dochází k </w:t>
      </w:r>
      <w:r w:rsidR="00364446">
        <w:t>množení</w:t>
      </w:r>
      <w:r w:rsidRPr="0078487E">
        <w:t xml:space="preserve"> sinic a bakterií, které významně zhoršují využitelnost </w:t>
      </w:r>
      <w:r w:rsidR="00F325DC">
        <w:t>podzemních a povrchových</w:t>
      </w:r>
      <w:r w:rsidR="00F325DC" w:rsidRPr="0078487E">
        <w:t xml:space="preserve"> </w:t>
      </w:r>
      <w:r w:rsidRPr="0078487E">
        <w:t>vod pro výrobu pitné vody.</w:t>
      </w:r>
    </w:p>
    <w:p w14:paraId="6C04370F" w14:textId="77777777" w:rsidR="0078487E" w:rsidRPr="0078487E" w:rsidRDefault="0078487E" w:rsidP="00873BAD">
      <w:pPr>
        <w:pStyle w:val="Nadpis2"/>
        <w:numPr>
          <w:ilvl w:val="0"/>
          <w:numId w:val="0"/>
        </w:numPr>
        <w:ind w:left="576" w:hanging="576"/>
      </w:pPr>
      <w:r w:rsidRPr="0078487E">
        <w:t>Dotační podmínky pro zemědělskou činnost</w:t>
      </w:r>
    </w:p>
    <w:p w14:paraId="78C11A48" w14:textId="5B747060" w:rsidR="00ED4BF8" w:rsidRDefault="00EA5C77" w:rsidP="00EA5C77">
      <w:pPr>
        <w:rPr>
          <w:rFonts w:cstheme="minorHAnsi"/>
          <w:szCs w:val="24"/>
          <w:lang w:eastAsia="cs-CZ"/>
        </w:rPr>
      </w:pPr>
      <w:r>
        <w:rPr>
          <w:rFonts w:cstheme="minorHAnsi"/>
          <w:szCs w:val="24"/>
          <w:lang w:eastAsia="cs-CZ"/>
        </w:rPr>
        <w:t>V</w:t>
      </w:r>
      <w:r w:rsidRPr="00EA5C77">
        <w:rPr>
          <w:rFonts w:cstheme="minorHAnsi"/>
          <w:szCs w:val="24"/>
          <w:lang w:eastAsia="cs-CZ"/>
        </w:rPr>
        <w:t xml:space="preserve">yplácení přímých plateb, některých podpor </w:t>
      </w:r>
      <w:r w:rsidRPr="00FC0652">
        <w:rPr>
          <w:rFonts w:cstheme="minorHAnsi"/>
          <w:i/>
          <w:szCs w:val="24"/>
          <w:lang w:eastAsia="cs-CZ"/>
        </w:rPr>
        <w:t>Programu rozvoje venkova</w:t>
      </w:r>
      <w:r w:rsidR="004203E8">
        <w:rPr>
          <w:rFonts w:cstheme="minorHAnsi"/>
          <w:i/>
          <w:szCs w:val="24"/>
          <w:lang w:eastAsia="cs-CZ"/>
        </w:rPr>
        <w:t xml:space="preserve"> 2014–2020</w:t>
      </w:r>
      <w:r w:rsidR="00D4005C">
        <w:rPr>
          <w:rFonts w:cstheme="minorHAnsi"/>
          <w:i/>
          <w:szCs w:val="24"/>
          <w:lang w:eastAsia="cs-CZ"/>
        </w:rPr>
        <w:t xml:space="preserve"> </w:t>
      </w:r>
      <w:r w:rsidRPr="00EA5C77">
        <w:rPr>
          <w:rFonts w:cstheme="minorHAnsi"/>
          <w:szCs w:val="24"/>
          <w:lang w:eastAsia="cs-CZ"/>
        </w:rPr>
        <w:t>a</w:t>
      </w:r>
      <w:r>
        <w:rPr>
          <w:rFonts w:cstheme="minorHAnsi"/>
          <w:szCs w:val="24"/>
          <w:lang w:eastAsia="cs-CZ"/>
        </w:rPr>
        <w:t xml:space="preserve"> dalších </w:t>
      </w:r>
      <w:r w:rsidRPr="00EA5C77">
        <w:rPr>
          <w:rFonts w:cstheme="minorHAnsi"/>
          <w:szCs w:val="24"/>
          <w:lang w:eastAsia="cs-CZ"/>
        </w:rPr>
        <w:t>je</w:t>
      </w:r>
      <w:r>
        <w:rPr>
          <w:rFonts w:cstheme="minorHAnsi"/>
          <w:szCs w:val="24"/>
          <w:lang w:eastAsia="cs-CZ"/>
        </w:rPr>
        <w:t xml:space="preserve"> </w:t>
      </w:r>
      <w:r w:rsidRPr="00EA5C77">
        <w:rPr>
          <w:rFonts w:cstheme="minorHAnsi"/>
          <w:szCs w:val="24"/>
          <w:lang w:eastAsia="cs-CZ"/>
        </w:rPr>
        <w:t>podmíněno udržováním půdy v tzv. dobrém zemědělském</w:t>
      </w:r>
      <w:r>
        <w:rPr>
          <w:rFonts w:cstheme="minorHAnsi"/>
          <w:szCs w:val="24"/>
          <w:lang w:eastAsia="cs-CZ"/>
        </w:rPr>
        <w:t xml:space="preserve"> </w:t>
      </w:r>
      <w:r w:rsidRPr="00EA5C77">
        <w:rPr>
          <w:rFonts w:cstheme="minorHAnsi"/>
          <w:szCs w:val="24"/>
          <w:lang w:eastAsia="cs-CZ"/>
        </w:rPr>
        <w:t>a environmentálním stavu</w:t>
      </w:r>
      <w:r w:rsidR="00FE070E">
        <w:rPr>
          <w:rStyle w:val="Znakapoznpodarou"/>
          <w:rFonts w:cstheme="minorHAnsi"/>
          <w:szCs w:val="24"/>
          <w:lang w:eastAsia="cs-CZ"/>
        </w:rPr>
        <w:footnoteReference w:id="23"/>
      </w:r>
      <w:r w:rsidRPr="00EA5C77">
        <w:rPr>
          <w:rFonts w:cstheme="minorHAnsi"/>
          <w:szCs w:val="24"/>
          <w:lang w:eastAsia="cs-CZ"/>
        </w:rPr>
        <w:t xml:space="preserve"> (dále </w:t>
      </w:r>
      <w:r w:rsidR="009F0010">
        <w:rPr>
          <w:rFonts w:cstheme="minorHAnsi"/>
          <w:szCs w:val="24"/>
          <w:lang w:eastAsia="cs-CZ"/>
        </w:rPr>
        <w:t>také</w:t>
      </w:r>
      <w:r w:rsidRPr="00EA5C77">
        <w:rPr>
          <w:rFonts w:cstheme="minorHAnsi"/>
          <w:szCs w:val="24"/>
          <w:lang w:eastAsia="cs-CZ"/>
        </w:rPr>
        <w:t xml:space="preserve"> „DZES“) a dodržováním</w:t>
      </w:r>
      <w:r>
        <w:rPr>
          <w:rFonts w:cstheme="minorHAnsi"/>
          <w:szCs w:val="24"/>
          <w:lang w:eastAsia="cs-CZ"/>
        </w:rPr>
        <w:t xml:space="preserve"> </w:t>
      </w:r>
      <w:r w:rsidRPr="00EA5C77">
        <w:rPr>
          <w:rFonts w:cstheme="minorHAnsi"/>
          <w:szCs w:val="24"/>
          <w:lang w:eastAsia="cs-CZ"/>
        </w:rPr>
        <w:t xml:space="preserve">tzv. povinných požadavků na hospodaření (dále </w:t>
      </w:r>
      <w:r w:rsidR="009F0010">
        <w:rPr>
          <w:rFonts w:cstheme="minorHAnsi"/>
          <w:szCs w:val="24"/>
          <w:lang w:eastAsia="cs-CZ"/>
        </w:rPr>
        <w:t>také</w:t>
      </w:r>
      <w:r w:rsidRPr="00EA5C77">
        <w:rPr>
          <w:rFonts w:cstheme="minorHAnsi"/>
          <w:szCs w:val="24"/>
          <w:lang w:eastAsia="cs-CZ"/>
        </w:rPr>
        <w:t xml:space="preserve"> „PPH“)</w:t>
      </w:r>
      <w:r>
        <w:rPr>
          <w:rFonts w:cstheme="minorHAnsi"/>
          <w:szCs w:val="24"/>
          <w:lang w:eastAsia="cs-CZ"/>
        </w:rPr>
        <w:t xml:space="preserve"> mj.</w:t>
      </w:r>
      <w:r w:rsidR="00932F8A">
        <w:rPr>
          <w:rFonts w:cstheme="minorHAnsi"/>
          <w:szCs w:val="24"/>
          <w:lang w:eastAsia="cs-CZ"/>
        </w:rPr>
        <w:t xml:space="preserve"> </w:t>
      </w:r>
      <w:r>
        <w:rPr>
          <w:rFonts w:cstheme="minorHAnsi"/>
          <w:szCs w:val="24"/>
          <w:lang w:eastAsia="cs-CZ"/>
        </w:rPr>
        <w:t>v</w:t>
      </w:r>
      <w:r w:rsidR="00932F8A">
        <w:rPr>
          <w:rFonts w:cstheme="minorHAnsi"/>
          <w:szCs w:val="24"/>
          <w:lang w:eastAsia="cs-CZ"/>
        </w:rPr>
        <w:t xml:space="preserve"> </w:t>
      </w:r>
      <w:r>
        <w:rPr>
          <w:rFonts w:cstheme="minorHAnsi"/>
          <w:szCs w:val="24"/>
          <w:lang w:eastAsia="cs-CZ"/>
        </w:rPr>
        <w:t>oblasti ž</w:t>
      </w:r>
      <w:r w:rsidRPr="00EA5C77">
        <w:rPr>
          <w:rFonts w:cstheme="minorHAnsi"/>
          <w:szCs w:val="24"/>
          <w:lang w:eastAsia="cs-CZ"/>
        </w:rPr>
        <w:t>ivotní</w:t>
      </w:r>
      <w:r>
        <w:rPr>
          <w:rFonts w:cstheme="minorHAnsi"/>
          <w:szCs w:val="24"/>
          <w:lang w:eastAsia="cs-CZ"/>
        </w:rPr>
        <w:t>ho</w:t>
      </w:r>
      <w:r w:rsidRPr="00EA5C77">
        <w:rPr>
          <w:rFonts w:cstheme="minorHAnsi"/>
          <w:szCs w:val="24"/>
          <w:lang w:eastAsia="cs-CZ"/>
        </w:rPr>
        <w:t xml:space="preserve"> prostředí</w:t>
      </w:r>
      <w:r>
        <w:rPr>
          <w:rFonts w:cstheme="minorHAnsi"/>
          <w:szCs w:val="24"/>
          <w:lang w:eastAsia="cs-CZ"/>
        </w:rPr>
        <w:t>.</w:t>
      </w:r>
      <w:r w:rsidR="008D1B1A">
        <w:rPr>
          <w:rFonts w:cstheme="minorHAnsi"/>
          <w:szCs w:val="24"/>
          <w:lang w:eastAsia="cs-CZ"/>
        </w:rPr>
        <w:t xml:space="preserve"> Dodržování DZES a PPH je ověřováno v</w:t>
      </w:r>
      <w:r w:rsidR="00932F8A">
        <w:rPr>
          <w:rFonts w:cstheme="minorHAnsi"/>
          <w:szCs w:val="24"/>
          <w:lang w:eastAsia="cs-CZ"/>
        </w:rPr>
        <w:t xml:space="preserve"> </w:t>
      </w:r>
      <w:r w:rsidR="008D1B1A">
        <w:rPr>
          <w:rFonts w:cstheme="minorHAnsi"/>
          <w:szCs w:val="24"/>
          <w:lang w:eastAsia="cs-CZ"/>
        </w:rPr>
        <w:t xml:space="preserve">rámci </w:t>
      </w:r>
      <w:r w:rsidR="00932F8A">
        <w:rPr>
          <w:rFonts w:cstheme="minorHAnsi"/>
          <w:szCs w:val="24"/>
          <w:lang w:eastAsia="cs-CZ"/>
        </w:rPr>
        <w:br/>
      </w:r>
      <w:r w:rsidR="008D1B1A">
        <w:rPr>
          <w:rFonts w:cstheme="minorHAnsi"/>
          <w:szCs w:val="24"/>
          <w:lang w:eastAsia="cs-CZ"/>
        </w:rPr>
        <w:t>tzv. kontrol podmíněnosti</w:t>
      </w:r>
      <w:r w:rsidR="00204997">
        <w:rPr>
          <w:rFonts w:cstheme="minorHAnsi"/>
          <w:szCs w:val="24"/>
          <w:lang w:eastAsia="cs-CZ"/>
        </w:rPr>
        <w:t>.</w:t>
      </w:r>
      <w:r w:rsidR="008D1B1A">
        <w:rPr>
          <w:rFonts w:cstheme="minorHAnsi"/>
          <w:szCs w:val="24"/>
          <w:lang w:eastAsia="cs-CZ"/>
        </w:rPr>
        <w:t xml:space="preserve"> </w:t>
      </w:r>
      <w:r w:rsidR="00301916">
        <w:rPr>
          <w:rFonts w:cstheme="minorHAnsi"/>
          <w:szCs w:val="24"/>
          <w:lang w:eastAsia="cs-CZ"/>
        </w:rPr>
        <w:t xml:space="preserve">Požadavky na </w:t>
      </w:r>
      <w:r w:rsidR="008D1B1A">
        <w:rPr>
          <w:rFonts w:cstheme="minorHAnsi"/>
          <w:szCs w:val="24"/>
          <w:lang w:eastAsia="cs-CZ"/>
        </w:rPr>
        <w:t>ochran</w:t>
      </w:r>
      <w:r w:rsidR="00301916">
        <w:rPr>
          <w:rFonts w:cstheme="minorHAnsi"/>
          <w:szCs w:val="24"/>
          <w:lang w:eastAsia="cs-CZ"/>
        </w:rPr>
        <w:t>u</w:t>
      </w:r>
      <w:r w:rsidR="008D1B1A">
        <w:rPr>
          <w:rFonts w:cstheme="minorHAnsi"/>
          <w:szCs w:val="24"/>
          <w:lang w:eastAsia="cs-CZ"/>
        </w:rPr>
        <w:t xml:space="preserve"> vody </w:t>
      </w:r>
      <w:r w:rsidR="00301916">
        <w:rPr>
          <w:rFonts w:cstheme="minorHAnsi"/>
          <w:szCs w:val="24"/>
          <w:lang w:eastAsia="cs-CZ"/>
        </w:rPr>
        <w:t xml:space="preserve">zahrnovaly </w:t>
      </w:r>
      <w:r w:rsidR="00374DF9">
        <w:rPr>
          <w:rFonts w:cstheme="minorHAnsi"/>
          <w:szCs w:val="24"/>
          <w:lang w:eastAsia="cs-CZ"/>
        </w:rPr>
        <w:t xml:space="preserve">standardy </w:t>
      </w:r>
      <w:r w:rsidR="00301916">
        <w:rPr>
          <w:rFonts w:cstheme="minorHAnsi"/>
          <w:szCs w:val="24"/>
          <w:lang w:eastAsia="cs-CZ"/>
        </w:rPr>
        <w:t>DZES 1,</w:t>
      </w:r>
      <w:r w:rsidR="009F0010">
        <w:rPr>
          <w:rFonts w:cstheme="minorHAnsi"/>
          <w:szCs w:val="24"/>
          <w:lang w:eastAsia="cs-CZ"/>
        </w:rPr>
        <w:t xml:space="preserve"> </w:t>
      </w:r>
      <w:r w:rsidR="00301916">
        <w:rPr>
          <w:rFonts w:cstheme="minorHAnsi"/>
          <w:szCs w:val="24"/>
          <w:lang w:eastAsia="cs-CZ"/>
        </w:rPr>
        <w:t>2,</w:t>
      </w:r>
      <w:r w:rsidR="009F0010">
        <w:rPr>
          <w:rFonts w:cstheme="minorHAnsi"/>
          <w:szCs w:val="24"/>
          <w:lang w:eastAsia="cs-CZ"/>
        </w:rPr>
        <w:t xml:space="preserve"> </w:t>
      </w:r>
      <w:r w:rsidR="00301916">
        <w:rPr>
          <w:rFonts w:cstheme="minorHAnsi"/>
          <w:szCs w:val="24"/>
          <w:lang w:eastAsia="cs-CZ"/>
        </w:rPr>
        <w:t>3 a</w:t>
      </w:r>
      <w:r w:rsidR="00932F8A">
        <w:rPr>
          <w:rFonts w:cstheme="minorHAnsi"/>
          <w:szCs w:val="24"/>
          <w:lang w:eastAsia="cs-CZ"/>
        </w:rPr>
        <w:t> </w:t>
      </w:r>
      <w:r w:rsidR="00301916">
        <w:rPr>
          <w:rFonts w:cstheme="minorHAnsi"/>
          <w:szCs w:val="24"/>
          <w:lang w:eastAsia="cs-CZ"/>
        </w:rPr>
        <w:t>PPH 1 a 10</w:t>
      </w:r>
      <w:r w:rsidR="007D50B7">
        <w:rPr>
          <w:rStyle w:val="Znakapoznpodarou"/>
          <w:rFonts w:cstheme="minorHAnsi"/>
          <w:szCs w:val="24"/>
          <w:lang w:eastAsia="cs-CZ"/>
        </w:rPr>
        <w:footnoteReference w:id="24"/>
      </w:r>
      <w:r w:rsidR="00301916">
        <w:rPr>
          <w:rFonts w:cstheme="minorHAnsi"/>
          <w:szCs w:val="24"/>
          <w:lang w:eastAsia="cs-CZ"/>
        </w:rPr>
        <w:t xml:space="preserve">. Přehled </w:t>
      </w:r>
      <w:r w:rsidR="00204997">
        <w:rPr>
          <w:rFonts w:cstheme="minorHAnsi"/>
          <w:szCs w:val="24"/>
          <w:lang w:eastAsia="cs-CZ"/>
        </w:rPr>
        <w:t xml:space="preserve">celkového objemu poskytnutých dotací, </w:t>
      </w:r>
      <w:r w:rsidR="00301916">
        <w:rPr>
          <w:rFonts w:cstheme="minorHAnsi"/>
          <w:szCs w:val="24"/>
          <w:lang w:eastAsia="cs-CZ"/>
        </w:rPr>
        <w:t xml:space="preserve">objemu poskytnutých </w:t>
      </w:r>
      <w:r w:rsidR="00204997">
        <w:rPr>
          <w:rFonts w:cstheme="minorHAnsi"/>
          <w:szCs w:val="24"/>
          <w:lang w:eastAsia="cs-CZ"/>
        </w:rPr>
        <w:t xml:space="preserve">dotací </w:t>
      </w:r>
      <w:r w:rsidR="00301916">
        <w:rPr>
          <w:rFonts w:cstheme="minorHAnsi"/>
          <w:szCs w:val="24"/>
          <w:lang w:eastAsia="cs-CZ"/>
        </w:rPr>
        <w:t>podrobených ročně kontrol</w:t>
      </w:r>
      <w:r w:rsidR="00374DF9">
        <w:rPr>
          <w:rFonts w:cstheme="minorHAnsi"/>
          <w:szCs w:val="24"/>
          <w:lang w:eastAsia="cs-CZ"/>
        </w:rPr>
        <w:t>e</w:t>
      </w:r>
      <w:r w:rsidR="00301916">
        <w:rPr>
          <w:rFonts w:cstheme="minorHAnsi"/>
          <w:szCs w:val="24"/>
          <w:lang w:eastAsia="cs-CZ"/>
        </w:rPr>
        <w:t xml:space="preserve"> podmíněnosti </w:t>
      </w:r>
      <w:r w:rsidR="00204997">
        <w:rPr>
          <w:rFonts w:cstheme="minorHAnsi"/>
          <w:szCs w:val="24"/>
          <w:lang w:eastAsia="cs-CZ"/>
        </w:rPr>
        <w:t>v oblasti</w:t>
      </w:r>
      <w:r w:rsidR="00301916">
        <w:rPr>
          <w:rFonts w:cstheme="minorHAnsi"/>
          <w:szCs w:val="24"/>
          <w:lang w:eastAsia="cs-CZ"/>
        </w:rPr>
        <w:t xml:space="preserve"> ochrany vody (dodržení </w:t>
      </w:r>
      <w:r w:rsidR="00374DF9">
        <w:rPr>
          <w:rFonts w:cstheme="minorHAnsi"/>
          <w:szCs w:val="24"/>
          <w:lang w:eastAsia="cs-CZ"/>
        </w:rPr>
        <w:t xml:space="preserve">standardů </w:t>
      </w:r>
      <w:r w:rsidR="00932F8A">
        <w:rPr>
          <w:rFonts w:cstheme="minorHAnsi"/>
          <w:szCs w:val="24"/>
          <w:lang w:eastAsia="cs-CZ"/>
        </w:rPr>
        <w:br/>
      </w:r>
      <w:r w:rsidR="00301916">
        <w:rPr>
          <w:rFonts w:cstheme="minorHAnsi"/>
          <w:szCs w:val="24"/>
          <w:lang w:eastAsia="cs-CZ"/>
        </w:rPr>
        <w:t>DZES 1,</w:t>
      </w:r>
      <w:r w:rsidR="009F0010">
        <w:rPr>
          <w:rFonts w:cstheme="minorHAnsi"/>
          <w:szCs w:val="24"/>
          <w:lang w:eastAsia="cs-CZ"/>
        </w:rPr>
        <w:t xml:space="preserve"> </w:t>
      </w:r>
      <w:r w:rsidR="00301916">
        <w:rPr>
          <w:rFonts w:cstheme="minorHAnsi"/>
          <w:szCs w:val="24"/>
          <w:lang w:eastAsia="cs-CZ"/>
        </w:rPr>
        <w:t>2,</w:t>
      </w:r>
      <w:r w:rsidR="009F0010">
        <w:rPr>
          <w:rFonts w:cstheme="minorHAnsi"/>
          <w:szCs w:val="24"/>
          <w:lang w:eastAsia="cs-CZ"/>
        </w:rPr>
        <w:t xml:space="preserve"> </w:t>
      </w:r>
      <w:r w:rsidR="00301916">
        <w:rPr>
          <w:rFonts w:cstheme="minorHAnsi"/>
          <w:szCs w:val="24"/>
          <w:lang w:eastAsia="cs-CZ"/>
        </w:rPr>
        <w:t>3 a PPH 1 a 10)</w:t>
      </w:r>
      <w:r w:rsidR="00204997">
        <w:rPr>
          <w:rFonts w:cstheme="minorHAnsi"/>
          <w:szCs w:val="24"/>
          <w:lang w:eastAsia="cs-CZ"/>
        </w:rPr>
        <w:t xml:space="preserve"> a</w:t>
      </w:r>
      <w:r w:rsidR="00932F8A">
        <w:rPr>
          <w:rFonts w:cstheme="minorHAnsi"/>
          <w:szCs w:val="24"/>
          <w:lang w:eastAsia="cs-CZ"/>
        </w:rPr>
        <w:t xml:space="preserve"> </w:t>
      </w:r>
      <w:r w:rsidR="00204997">
        <w:rPr>
          <w:rFonts w:cstheme="minorHAnsi"/>
          <w:szCs w:val="24"/>
          <w:lang w:eastAsia="cs-CZ"/>
        </w:rPr>
        <w:t>objem udě</w:t>
      </w:r>
      <w:r w:rsidR="009F0010">
        <w:rPr>
          <w:rFonts w:cstheme="minorHAnsi"/>
          <w:szCs w:val="24"/>
          <w:lang w:eastAsia="cs-CZ"/>
        </w:rPr>
        <w:t>lených sankcí v letech 2015–</w:t>
      </w:r>
      <w:r w:rsidR="00204997">
        <w:rPr>
          <w:rFonts w:cstheme="minorHAnsi"/>
          <w:szCs w:val="24"/>
          <w:lang w:eastAsia="cs-CZ"/>
        </w:rPr>
        <w:t>2019</w:t>
      </w:r>
      <w:r w:rsidR="00301916">
        <w:rPr>
          <w:rFonts w:cstheme="minorHAnsi"/>
          <w:szCs w:val="24"/>
          <w:lang w:eastAsia="cs-CZ"/>
        </w:rPr>
        <w:t xml:space="preserve"> uvádí následující tabulka.</w:t>
      </w:r>
    </w:p>
    <w:p w14:paraId="231A2249" w14:textId="15126580" w:rsidR="00301916" w:rsidRPr="00C0422F" w:rsidRDefault="00301916" w:rsidP="00F202AB">
      <w:pPr>
        <w:pStyle w:val="Titulek"/>
        <w:keepNext/>
        <w:spacing w:after="0"/>
        <w:ind w:left="1106" w:hanging="1106"/>
        <w:jc w:val="left"/>
        <w:rPr>
          <w:b/>
          <w:i w:val="0"/>
          <w:color w:val="000000" w:themeColor="text1"/>
          <w:sz w:val="24"/>
          <w:szCs w:val="24"/>
        </w:rPr>
      </w:pPr>
      <w:r w:rsidRPr="00C0422F">
        <w:rPr>
          <w:b/>
          <w:i w:val="0"/>
          <w:color w:val="000000" w:themeColor="text1"/>
          <w:sz w:val="24"/>
          <w:szCs w:val="24"/>
        </w:rPr>
        <w:lastRenderedPageBreak/>
        <w:t xml:space="preserve">Tabulka </w:t>
      </w:r>
      <w:r w:rsidR="00C0422F" w:rsidRPr="00C0422F">
        <w:rPr>
          <w:b/>
          <w:i w:val="0"/>
          <w:color w:val="000000" w:themeColor="text1"/>
          <w:sz w:val="24"/>
          <w:szCs w:val="24"/>
        </w:rPr>
        <w:fldChar w:fldCharType="begin"/>
      </w:r>
      <w:r w:rsidR="00C0422F" w:rsidRPr="00C0422F">
        <w:rPr>
          <w:b/>
          <w:i w:val="0"/>
          <w:color w:val="000000" w:themeColor="text1"/>
          <w:sz w:val="24"/>
          <w:szCs w:val="24"/>
        </w:rPr>
        <w:instrText xml:space="preserve"> SEQ Tabulka \* ARABIC </w:instrText>
      </w:r>
      <w:r w:rsidR="00C0422F" w:rsidRPr="00C0422F">
        <w:rPr>
          <w:b/>
          <w:i w:val="0"/>
          <w:color w:val="000000" w:themeColor="text1"/>
          <w:sz w:val="24"/>
          <w:szCs w:val="24"/>
        </w:rPr>
        <w:fldChar w:fldCharType="separate"/>
      </w:r>
      <w:r w:rsidR="007145CB">
        <w:rPr>
          <w:b/>
          <w:i w:val="0"/>
          <w:noProof/>
          <w:color w:val="000000" w:themeColor="text1"/>
          <w:sz w:val="24"/>
          <w:szCs w:val="24"/>
        </w:rPr>
        <w:t>2</w:t>
      </w:r>
      <w:r w:rsidR="00C0422F" w:rsidRPr="00C0422F">
        <w:rPr>
          <w:b/>
          <w:i w:val="0"/>
          <w:color w:val="000000" w:themeColor="text1"/>
          <w:sz w:val="24"/>
          <w:szCs w:val="24"/>
        </w:rPr>
        <w:fldChar w:fldCharType="end"/>
      </w:r>
      <w:r w:rsidRPr="00C0422F">
        <w:rPr>
          <w:b/>
          <w:i w:val="0"/>
          <w:color w:val="000000" w:themeColor="text1"/>
          <w:sz w:val="24"/>
          <w:szCs w:val="24"/>
        </w:rPr>
        <w:t xml:space="preserve">: </w:t>
      </w:r>
      <w:r w:rsidR="00374DF9">
        <w:rPr>
          <w:b/>
          <w:i w:val="0"/>
          <w:color w:val="000000" w:themeColor="text1"/>
          <w:sz w:val="24"/>
          <w:szCs w:val="24"/>
        </w:rPr>
        <w:tab/>
      </w:r>
      <w:r w:rsidRPr="00C0422F">
        <w:rPr>
          <w:b/>
          <w:i w:val="0"/>
          <w:color w:val="000000" w:themeColor="text1"/>
          <w:sz w:val="24"/>
          <w:szCs w:val="24"/>
        </w:rPr>
        <w:t>Kontrolovaný objem v rámci kontrol podmíněnosti</w:t>
      </w:r>
      <w:r w:rsidR="00374DF9">
        <w:rPr>
          <w:b/>
          <w:i w:val="0"/>
          <w:color w:val="000000" w:themeColor="text1"/>
          <w:sz w:val="24"/>
          <w:szCs w:val="24"/>
        </w:rPr>
        <w:t xml:space="preserve"> zaměřených na dodržování standardů</w:t>
      </w:r>
      <w:r w:rsidRPr="00C0422F">
        <w:rPr>
          <w:b/>
          <w:i w:val="0"/>
          <w:color w:val="000000" w:themeColor="text1"/>
          <w:sz w:val="24"/>
          <w:szCs w:val="24"/>
        </w:rPr>
        <w:t xml:space="preserve"> </w:t>
      </w:r>
      <w:r w:rsidR="0087353E" w:rsidRPr="00C0422F">
        <w:rPr>
          <w:b/>
          <w:i w:val="0"/>
          <w:color w:val="000000" w:themeColor="text1"/>
          <w:sz w:val="24"/>
          <w:szCs w:val="24"/>
        </w:rPr>
        <w:t>DZ</w:t>
      </w:r>
      <w:r w:rsidRPr="00C0422F">
        <w:rPr>
          <w:b/>
          <w:i w:val="0"/>
          <w:color w:val="000000" w:themeColor="text1"/>
          <w:sz w:val="24"/>
          <w:szCs w:val="24"/>
        </w:rPr>
        <w:t>ES</w:t>
      </w:r>
      <w:r w:rsidR="0087353E" w:rsidRPr="00C0422F">
        <w:rPr>
          <w:b/>
          <w:i w:val="0"/>
          <w:color w:val="000000" w:themeColor="text1"/>
          <w:sz w:val="24"/>
          <w:szCs w:val="24"/>
        </w:rPr>
        <w:t xml:space="preserve"> 1,</w:t>
      </w:r>
      <w:r w:rsidR="009F0010">
        <w:rPr>
          <w:b/>
          <w:i w:val="0"/>
          <w:color w:val="000000" w:themeColor="text1"/>
          <w:sz w:val="24"/>
          <w:szCs w:val="24"/>
        </w:rPr>
        <w:t xml:space="preserve"> </w:t>
      </w:r>
      <w:r w:rsidR="0087353E" w:rsidRPr="00C0422F">
        <w:rPr>
          <w:b/>
          <w:i w:val="0"/>
          <w:color w:val="000000" w:themeColor="text1"/>
          <w:sz w:val="24"/>
          <w:szCs w:val="24"/>
        </w:rPr>
        <w:t>2,</w:t>
      </w:r>
      <w:r w:rsidR="00466E30">
        <w:rPr>
          <w:b/>
          <w:i w:val="0"/>
          <w:color w:val="000000" w:themeColor="text1"/>
          <w:sz w:val="24"/>
          <w:szCs w:val="24"/>
        </w:rPr>
        <w:t> </w:t>
      </w:r>
      <w:r w:rsidR="0087353E" w:rsidRPr="00C0422F">
        <w:rPr>
          <w:b/>
          <w:i w:val="0"/>
          <w:color w:val="000000" w:themeColor="text1"/>
          <w:sz w:val="24"/>
          <w:szCs w:val="24"/>
        </w:rPr>
        <w:t>3</w:t>
      </w:r>
      <w:r w:rsidRPr="00C0422F">
        <w:rPr>
          <w:b/>
          <w:i w:val="0"/>
          <w:color w:val="000000" w:themeColor="text1"/>
          <w:sz w:val="24"/>
          <w:szCs w:val="24"/>
        </w:rPr>
        <w:t xml:space="preserve"> a PPH</w:t>
      </w:r>
      <w:r w:rsidR="0087353E" w:rsidRPr="00C0422F">
        <w:rPr>
          <w:b/>
          <w:i w:val="0"/>
          <w:color w:val="000000" w:themeColor="text1"/>
          <w:sz w:val="24"/>
          <w:szCs w:val="24"/>
        </w:rPr>
        <w:t xml:space="preserve"> 1 a 10</w:t>
      </w: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2533"/>
        <w:gridCol w:w="1843"/>
        <w:gridCol w:w="1840"/>
        <w:gridCol w:w="2268"/>
      </w:tblGrid>
      <w:tr w:rsidR="00860CA0" w:rsidRPr="00860CA0" w14:paraId="0E6ABA63" w14:textId="77777777" w:rsidTr="00E82BDA">
        <w:trPr>
          <w:trHeight w:val="454"/>
        </w:trPr>
        <w:tc>
          <w:tcPr>
            <w:tcW w:w="324" w:type="pct"/>
            <w:tcBorders>
              <w:top w:val="single" w:sz="4" w:space="0" w:color="auto"/>
              <w:bottom w:val="double" w:sz="4" w:space="0" w:color="auto"/>
            </w:tcBorders>
            <w:shd w:val="clear" w:color="auto" w:fill="E5F1FF"/>
            <w:vAlign w:val="center"/>
          </w:tcPr>
          <w:p w14:paraId="3CA2142D" w14:textId="77777777" w:rsidR="0087353E" w:rsidRPr="00003C6D" w:rsidRDefault="0087353E" w:rsidP="009C3365">
            <w:pPr>
              <w:keepNext/>
              <w:keepLines/>
              <w:spacing w:after="0"/>
              <w:jc w:val="center"/>
              <w:rPr>
                <w:b/>
                <w:color w:val="000000" w:themeColor="text1"/>
                <w:sz w:val="20"/>
                <w:szCs w:val="20"/>
              </w:rPr>
            </w:pPr>
          </w:p>
        </w:tc>
        <w:tc>
          <w:tcPr>
            <w:tcW w:w="1396" w:type="pct"/>
            <w:tcBorders>
              <w:top w:val="single" w:sz="4" w:space="0" w:color="auto"/>
              <w:bottom w:val="double" w:sz="4" w:space="0" w:color="auto"/>
            </w:tcBorders>
            <w:shd w:val="clear" w:color="auto" w:fill="E5F1FF"/>
            <w:vAlign w:val="center"/>
          </w:tcPr>
          <w:p w14:paraId="30ECCB08" w14:textId="77777777" w:rsidR="0087353E" w:rsidRPr="00003C6D" w:rsidRDefault="0087353E" w:rsidP="009C3365">
            <w:pPr>
              <w:keepNext/>
              <w:keepLines/>
              <w:spacing w:after="0"/>
              <w:jc w:val="center"/>
              <w:rPr>
                <w:color w:val="000000" w:themeColor="text1"/>
                <w:sz w:val="20"/>
                <w:szCs w:val="20"/>
              </w:rPr>
            </w:pPr>
            <w:r w:rsidRPr="00003C6D">
              <w:rPr>
                <w:b/>
                <w:color w:val="000000" w:themeColor="text1"/>
                <w:sz w:val="20"/>
                <w:szCs w:val="20"/>
              </w:rPr>
              <w:t>Celkový objem poskytnutých dotací v Kč</w:t>
            </w:r>
          </w:p>
        </w:tc>
        <w:tc>
          <w:tcPr>
            <w:tcW w:w="1016" w:type="pct"/>
            <w:tcBorders>
              <w:top w:val="single" w:sz="4" w:space="0" w:color="auto"/>
              <w:bottom w:val="double" w:sz="4" w:space="0" w:color="auto"/>
            </w:tcBorders>
            <w:shd w:val="clear" w:color="auto" w:fill="E5F1FF"/>
            <w:vAlign w:val="center"/>
          </w:tcPr>
          <w:p w14:paraId="0735ACBB" w14:textId="77777777" w:rsidR="0087353E" w:rsidRPr="00003C6D" w:rsidRDefault="0087353E" w:rsidP="009C3365">
            <w:pPr>
              <w:keepNext/>
              <w:keepLines/>
              <w:spacing w:after="0"/>
              <w:jc w:val="center"/>
              <w:rPr>
                <w:color w:val="000000" w:themeColor="text1"/>
                <w:sz w:val="20"/>
                <w:szCs w:val="20"/>
              </w:rPr>
            </w:pPr>
            <w:r w:rsidRPr="00003C6D">
              <w:rPr>
                <w:b/>
                <w:color w:val="000000" w:themeColor="text1"/>
                <w:sz w:val="20"/>
                <w:szCs w:val="20"/>
              </w:rPr>
              <w:t>Kontrolovaný objem v Kč</w:t>
            </w:r>
          </w:p>
        </w:tc>
        <w:tc>
          <w:tcPr>
            <w:tcW w:w="1014" w:type="pct"/>
            <w:tcBorders>
              <w:top w:val="single" w:sz="4" w:space="0" w:color="auto"/>
              <w:bottom w:val="double" w:sz="4" w:space="0" w:color="auto"/>
            </w:tcBorders>
            <w:shd w:val="clear" w:color="auto" w:fill="E5F1FF"/>
            <w:vAlign w:val="center"/>
          </w:tcPr>
          <w:p w14:paraId="3130259A" w14:textId="77777777" w:rsidR="0087353E" w:rsidRPr="00003C6D" w:rsidRDefault="0087353E" w:rsidP="009C3365">
            <w:pPr>
              <w:keepNext/>
              <w:keepLines/>
              <w:spacing w:after="0"/>
              <w:jc w:val="center"/>
              <w:rPr>
                <w:color w:val="000000" w:themeColor="text1"/>
                <w:sz w:val="20"/>
                <w:szCs w:val="20"/>
              </w:rPr>
            </w:pPr>
            <w:r w:rsidRPr="00003C6D">
              <w:rPr>
                <w:b/>
                <w:color w:val="000000" w:themeColor="text1"/>
                <w:sz w:val="20"/>
                <w:szCs w:val="20"/>
              </w:rPr>
              <w:t>Kontrolovaný objem v % (dopočet NKÚ)</w:t>
            </w:r>
          </w:p>
        </w:tc>
        <w:tc>
          <w:tcPr>
            <w:tcW w:w="1250" w:type="pct"/>
            <w:tcBorders>
              <w:top w:val="single" w:sz="4" w:space="0" w:color="auto"/>
              <w:bottom w:val="double" w:sz="4" w:space="0" w:color="auto"/>
            </w:tcBorders>
            <w:shd w:val="clear" w:color="auto" w:fill="E5F1FF"/>
            <w:vAlign w:val="center"/>
          </w:tcPr>
          <w:p w14:paraId="1F1F4A1B" w14:textId="77777777" w:rsidR="0087353E" w:rsidRPr="00003C6D" w:rsidRDefault="0087353E" w:rsidP="009C3365">
            <w:pPr>
              <w:keepNext/>
              <w:keepLines/>
              <w:spacing w:after="0"/>
              <w:jc w:val="center"/>
              <w:rPr>
                <w:b/>
                <w:color w:val="000000" w:themeColor="text1"/>
                <w:sz w:val="20"/>
                <w:szCs w:val="20"/>
              </w:rPr>
            </w:pPr>
            <w:r w:rsidRPr="00003C6D">
              <w:rPr>
                <w:b/>
                <w:color w:val="000000" w:themeColor="text1"/>
                <w:sz w:val="20"/>
                <w:szCs w:val="20"/>
              </w:rPr>
              <w:t xml:space="preserve">Výše </w:t>
            </w:r>
            <w:r w:rsidR="009C3365" w:rsidRPr="00003C6D">
              <w:rPr>
                <w:b/>
                <w:color w:val="000000" w:themeColor="text1"/>
                <w:sz w:val="20"/>
                <w:szCs w:val="20"/>
              </w:rPr>
              <w:t xml:space="preserve">udělené </w:t>
            </w:r>
            <w:r w:rsidRPr="00003C6D">
              <w:rPr>
                <w:b/>
                <w:color w:val="000000" w:themeColor="text1"/>
                <w:sz w:val="20"/>
                <w:szCs w:val="20"/>
              </w:rPr>
              <w:t>sankce v případě nedodržení DZES a PPH v Kč</w:t>
            </w:r>
          </w:p>
        </w:tc>
      </w:tr>
      <w:tr w:rsidR="00860CA0" w:rsidRPr="00860CA0" w14:paraId="2CA2F603" w14:textId="77777777" w:rsidTr="003F305B">
        <w:trPr>
          <w:trHeight w:val="397"/>
        </w:trPr>
        <w:tc>
          <w:tcPr>
            <w:tcW w:w="324" w:type="pct"/>
            <w:shd w:val="clear" w:color="auto" w:fill="auto"/>
            <w:vAlign w:val="center"/>
            <w:hideMark/>
          </w:tcPr>
          <w:p w14:paraId="2F7D33DE" w14:textId="77777777" w:rsidR="0087353E" w:rsidRPr="00003C6D" w:rsidRDefault="0087353E" w:rsidP="009C3365">
            <w:pPr>
              <w:keepNext/>
              <w:keepLines/>
              <w:spacing w:after="0"/>
              <w:jc w:val="center"/>
              <w:rPr>
                <w:sz w:val="20"/>
                <w:szCs w:val="20"/>
              </w:rPr>
            </w:pPr>
            <w:r w:rsidRPr="00003C6D">
              <w:rPr>
                <w:sz w:val="20"/>
                <w:szCs w:val="20"/>
              </w:rPr>
              <w:t>2015</w:t>
            </w:r>
          </w:p>
        </w:tc>
        <w:tc>
          <w:tcPr>
            <w:tcW w:w="1396" w:type="pct"/>
            <w:shd w:val="clear" w:color="auto" w:fill="auto"/>
            <w:vAlign w:val="center"/>
            <w:hideMark/>
          </w:tcPr>
          <w:p w14:paraId="713BA58F" w14:textId="77777777" w:rsidR="0087353E" w:rsidRPr="00003C6D" w:rsidRDefault="0087353E" w:rsidP="009C3365">
            <w:pPr>
              <w:keepNext/>
              <w:keepLines/>
              <w:spacing w:after="0"/>
              <w:jc w:val="center"/>
              <w:rPr>
                <w:sz w:val="20"/>
                <w:szCs w:val="20"/>
              </w:rPr>
            </w:pPr>
            <w:r w:rsidRPr="00003C6D">
              <w:rPr>
                <w:sz w:val="20"/>
                <w:szCs w:val="20"/>
              </w:rPr>
              <w:t>32 128 317 437,34</w:t>
            </w:r>
          </w:p>
        </w:tc>
        <w:tc>
          <w:tcPr>
            <w:tcW w:w="1016" w:type="pct"/>
            <w:shd w:val="clear" w:color="auto" w:fill="auto"/>
            <w:vAlign w:val="center"/>
            <w:hideMark/>
          </w:tcPr>
          <w:p w14:paraId="184B5DF5" w14:textId="77777777" w:rsidR="0087353E" w:rsidRPr="00003C6D" w:rsidRDefault="0087353E" w:rsidP="009C3365">
            <w:pPr>
              <w:keepNext/>
              <w:keepLines/>
              <w:spacing w:after="0"/>
              <w:jc w:val="center"/>
              <w:rPr>
                <w:sz w:val="20"/>
                <w:szCs w:val="20"/>
              </w:rPr>
            </w:pPr>
            <w:r w:rsidRPr="00003C6D">
              <w:rPr>
                <w:sz w:val="20"/>
                <w:szCs w:val="20"/>
              </w:rPr>
              <w:t>3 381 587 189,04</w:t>
            </w:r>
          </w:p>
        </w:tc>
        <w:tc>
          <w:tcPr>
            <w:tcW w:w="1014" w:type="pct"/>
            <w:shd w:val="clear" w:color="auto" w:fill="auto"/>
            <w:vAlign w:val="center"/>
            <w:hideMark/>
          </w:tcPr>
          <w:p w14:paraId="1E602EFC" w14:textId="77777777" w:rsidR="0087353E" w:rsidRPr="00003C6D" w:rsidRDefault="0087353E" w:rsidP="003F305B">
            <w:pPr>
              <w:keepNext/>
              <w:keepLines/>
              <w:spacing w:after="0"/>
              <w:ind w:right="567"/>
              <w:jc w:val="right"/>
              <w:rPr>
                <w:sz w:val="20"/>
                <w:szCs w:val="20"/>
              </w:rPr>
            </w:pPr>
            <w:r w:rsidRPr="00003C6D">
              <w:rPr>
                <w:sz w:val="20"/>
                <w:szCs w:val="20"/>
              </w:rPr>
              <w:t>10,53</w:t>
            </w:r>
          </w:p>
        </w:tc>
        <w:tc>
          <w:tcPr>
            <w:tcW w:w="1250" w:type="pct"/>
            <w:vAlign w:val="center"/>
          </w:tcPr>
          <w:p w14:paraId="6AF74F1D" w14:textId="77777777" w:rsidR="0087353E" w:rsidRPr="00003C6D" w:rsidRDefault="009C3365" w:rsidP="003F305B">
            <w:pPr>
              <w:keepNext/>
              <w:keepLines/>
              <w:spacing w:after="0"/>
              <w:ind w:right="510"/>
              <w:jc w:val="right"/>
              <w:rPr>
                <w:sz w:val="20"/>
                <w:szCs w:val="20"/>
              </w:rPr>
            </w:pPr>
            <w:r w:rsidRPr="00003C6D">
              <w:rPr>
                <w:sz w:val="20"/>
                <w:szCs w:val="20"/>
              </w:rPr>
              <w:t>3 447 477</w:t>
            </w:r>
          </w:p>
        </w:tc>
      </w:tr>
      <w:tr w:rsidR="00BB0009" w:rsidRPr="00860CA0" w14:paraId="4FCF5040" w14:textId="77777777" w:rsidTr="003F305B">
        <w:trPr>
          <w:trHeight w:val="397"/>
        </w:trPr>
        <w:tc>
          <w:tcPr>
            <w:tcW w:w="324" w:type="pct"/>
            <w:shd w:val="clear" w:color="auto" w:fill="auto"/>
            <w:vAlign w:val="center"/>
            <w:hideMark/>
          </w:tcPr>
          <w:p w14:paraId="02C488EA" w14:textId="77777777" w:rsidR="00BB0009" w:rsidRPr="00003C6D" w:rsidRDefault="00BB0009" w:rsidP="00BB0009">
            <w:pPr>
              <w:keepNext/>
              <w:keepLines/>
              <w:spacing w:after="0"/>
              <w:jc w:val="center"/>
              <w:rPr>
                <w:sz w:val="20"/>
                <w:szCs w:val="20"/>
              </w:rPr>
            </w:pPr>
            <w:r w:rsidRPr="00003C6D">
              <w:rPr>
                <w:sz w:val="20"/>
                <w:szCs w:val="20"/>
              </w:rPr>
              <w:t>2016</w:t>
            </w:r>
          </w:p>
        </w:tc>
        <w:tc>
          <w:tcPr>
            <w:tcW w:w="1396" w:type="pct"/>
            <w:shd w:val="clear" w:color="auto" w:fill="auto"/>
            <w:vAlign w:val="center"/>
            <w:hideMark/>
          </w:tcPr>
          <w:p w14:paraId="48C538D9" w14:textId="77777777" w:rsidR="00BB0009" w:rsidRPr="00003C6D" w:rsidRDefault="00BB0009" w:rsidP="00BB0009">
            <w:pPr>
              <w:keepNext/>
              <w:keepLines/>
              <w:spacing w:after="0"/>
              <w:jc w:val="center"/>
              <w:rPr>
                <w:sz w:val="20"/>
                <w:szCs w:val="20"/>
              </w:rPr>
            </w:pPr>
            <w:r w:rsidRPr="00003C6D">
              <w:rPr>
                <w:sz w:val="20"/>
                <w:szCs w:val="20"/>
              </w:rPr>
              <w:t>31 827 616 105,71</w:t>
            </w:r>
          </w:p>
        </w:tc>
        <w:tc>
          <w:tcPr>
            <w:tcW w:w="1016" w:type="pct"/>
            <w:shd w:val="clear" w:color="auto" w:fill="auto"/>
            <w:vAlign w:val="center"/>
            <w:hideMark/>
          </w:tcPr>
          <w:p w14:paraId="5122AD62" w14:textId="77777777" w:rsidR="00BB0009" w:rsidRPr="00003C6D" w:rsidRDefault="00BB0009" w:rsidP="00BB0009">
            <w:pPr>
              <w:keepNext/>
              <w:keepLines/>
              <w:spacing w:after="0"/>
              <w:jc w:val="center"/>
              <w:rPr>
                <w:sz w:val="20"/>
                <w:szCs w:val="20"/>
              </w:rPr>
            </w:pPr>
            <w:r w:rsidRPr="00003C6D">
              <w:rPr>
                <w:sz w:val="20"/>
                <w:szCs w:val="20"/>
              </w:rPr>
              <w:t>2 727 981 823,45</w:t>
            </w:r>
          </w:p>
        </w:tc>
        <w:tc>
          <w:tcPr>
            <w:tcW w:w="1014" w:type="pct"/>
            <w:shd w:val="clear" w:color="auto" w:fill="auto"/>
            <w:vAlign w:val="center"/>
            <w:hideMark/>
          </w:tcPr>
          <w:p w14:paraId="3A625D32" w14:textId="77777777" w:rsidR="00BB0009" w:rsidRPr="00003C6D" w:rsidRDefault="00BB0009" w:rsidP="003F305B">
            <w:pPr>
              <w:keepNext/>
              <w:keepLines/>
              <w:spacing w:after="0"/>
              <w:ind w:right="567"/>
              <w:jc w:val="right"/>
              <w:rPr>
                <w:sz w:val="20"/>
                <w:szCs w:val="20"/>
              </w:rPr>
            </w:pPr>
            <w:r w:rsidRPr="00003C6D">
              <w:rPr>
                <w:sz w:val="20"/>
                <w:szCs w:val="20"/>
              </w:rPr>
              <w:t>8,57</w:t>
            </w:r>
          </w:p>
        </w:tc>
        <w:tc>
          <w:tcPr>
            <w:tcW w:w="1250" w:type="pct"/>
            <w:vAlign w:val="center"/>
          </w:tcPr>
          <w:p w14:paraId="6A9E23C6" w14:textId="77777777" w:rsidR="00BB0009" w:rsidRPr="00003C6D" w:rsidRDefault="00BB0009" w:rsidP="003F305B">
            <w:pPr>
              <w:keepNext/>
              <w:keepLines/>
              <w:spacing w:after="0"/>
              <w:ind w:right="510"/>
              <w:jc w:val="right"/>
              <w:rPr>
                <w:sz w:val="20"/>
                <w:szCs w:val="20"/>
              </w:rPr>
            </w:pPr>
            <w:r w:rsidRPr="00003C6D">
              <w:rPr>
                <w:sz w:val="20"/>
                <w:szCs w:val="20"/>
              </w:rPr>
              <w:t>3 077 798</w:t>
            </w:r>
          </w:p>
        </w:tc>
      </w:tr>
      <w:tr w:rsidR="00BB0009" w:rsidRPr="00860CA0" w14:paraId="67DF0F83" w14:textId="77777777" w:rsidTr="003F305B">
        <w:trPr>
          <w:trHeight w:val="397"/>
        </w:trPr>
        <w:tc>
          <w:tcPr>
            <w:tcW w:w="324" w:type="pct"/>
            <w:tcBorders>
              <w:bottom w:val="single" w:sz="4" w:space="0" w:color="auto"/>
            </w:tcBorders>
            <w:shd w:val="clear" w:color="auto" w:fill="auto"/>
            <w:vAlign w:val="center"/>
            <w:hideMark/>
          </w:tcPr>
          <w:p w14:paraId="5F46819D" w14:textId="77777777" w:rsidR="00BB0009" w:rsidRPr="00003C6D" w:rsidRDefault="00BB0009" w:rsidP="00BB0009">
            <w:pPr>
              <w:keepNext/>
              <w:keepLines/>
              <w:spacing w:after="0"/>
              <w:jc w:val="center"/>
              <w:rPr>
                <w:sz w:val="20"/>
                <w:szCs w:val="20"/>
              </w:rPr>
            </w:pPr>
            <w:r w:rsidRPr="00003C6D">
              <w:rPr>
                <w:sz w:val="20"/>
                <w:szCs w:val="20"/>
              </w:rPr>
              <w:t>2017</w:t>
            </w:r>
          </w:p>
        </w:tc>
        <w:tc>
          <w:tcPr>
            <w:tcW w:w="1396" w:type="pct"/>
            <w:tcBorders>
              <w:bottom w:val="single" w:sz="4" w:space="0" w:color="auto"/>
            </w:tcBorders>
            <w:shd w:val="clear" w:color="auto" w:fill="auto"/>
            <w:vAlign w:val="center"/>
            <w:hideMark/>
          </w:tcPr>
          <w:p w14:paraId="2EE74020" w14:textId="77777777" w:rsidR="00BB0009" w:rsidRPr="00003C6D" w:rsidRDefault="00BB0009" w:rsidP="00BB0009">
            <w:pPr>
              <w:keepNext/>
              <w:keepLines/>
              <w:spacing w:after="0"/>
              <w:jc w:val="center"/>
              <w:rPr>
                <w:sz w:val="20"/>
                <w:szCs w:val="20"/>
              </w:rPr>
            </w:pPr>
            <w:r w:rsidRPr="00003C6D">
              <w:rPr>
                <w:sz w:val="20"/>
                <w:szCs w:val="20"/>
              </w:rPr>
              <w:t>31 008 755 706,60</w:t>
            </w:r>
          </w:p>
        </w:tc>
        <w:tc>
          <w:tcPr>
            <w:tcW w:w="1016" w:type="pct"/>
            <w:tcBorders>
              <w:bottom w:val="single" w:sz="4" w:space="0" w:color="auto"/>
            </w:tcBorders>
            <w:shd w:val="clear" w:color="auto" w:fill="auto"/>
            <w:vAlign w:val="center"/>
            <w:hideMark/>
          </w:tcPr>
          <w:p w14:paraId="7893C82A" w14:textId="77777777" w:rsidR="00BB0009" w:rsidRPr="00003C6D" w:rsidRDefault="00BB0009" w:rsidP="00BB0009">
            <w:pPr>
              <w:keepNext/>
              <w:keepLines/>
              <w:spacing w:after="0"/>
              <w:jc w:val="center"/>
              <w:rPr>
                <w:sz w:val="20"/>
                <w:szCs w:val="20"/>
              </w:rPr>
            </w:pPr>
            <w:r w:rsidRPr="00003C6D">
              <w:rPr>
                <w:sz w:val="20"/>
                <w:szCs w:val="20"/>
              </w:rPr>
              <w:t>2 381 923 075,51</w:t>
            </w:r>
          </w:p>
        </w:tc>
        <w:tc>
          <w:tcPr>
            <w:tcW w:w="1014" w:type="pct"/>
            <w:tcBorders>
              <w:bottom w:val="single" w:sz="4" w:space="0" w:color="auto"/>
            </w:tcBorders>
            <w:shd w:val="clear" w:color="auto" w:fill="auto"/>
            <w:vAlign w:val="center"/>
            <w:hideMark/>
          </w:tcPr>
          <w:p w14:paraId="5872EA78" w14:textId="77777777" w:rsidR="00BB0009" w:rsidRPr="00003C6D" w:rsidRDefault="00BB0009" w:rsidP="003F305B">
            <w:pPr>
              <w:keepNext/>
              <w:keepLines/>
              <w:spacing w:after="0"/>
              <w:ind w:right="567"/>
              <w:jc w:val="right"/>
              <w:rPr>
                <w:sz w:val="20"/>
                <w:szCs w:val="20"/>
              </w:rPr>
            </w:pPr>
            <w:r w:rsidRPr="00003C6D">
              <w:rPr>
                <w:sz w:val="20"/>
                <w:szCs w:val="20"/>
              </w:rPr>
              <w:t>7,68</w:t>
            </w:r>
          </w:p>
        </w:tc>
        <w:tc>
          <w:tcPr>
            <w:tcW w:w="1250" w:type="pct"/>
            <w:tcBorders>
              <w:bottom w:val="single" w:sz="4" w:space="0" w:color="auto"/>
            </w:tcBorders>
            <w:vAlign w:val="center"/>
          </w:tcPr>
          <w:p w14:paraId="4B99D722" w14:textId="77777777" w:rsidR="00BB0009" w:rsidRPr="00003C6D" w:rsidRDefault="00BB0009" w:rsidP="003F305B">
            <w:pPr>
              <w:keepNext/>
              <w:keepLines/>
              <w:spacing w:after="0"/>
              <w:ind w:right="510"/>
              <w:jc w:val="right"/>
              <w:rPr>
                <w:sz w:val="20"/>
                <w:szCs w:val="20"/>
              </w:rPr>
            </w:pPr>
            <w:r w:rsidRPr="00003C6D">
              <w:rPr>
                <w:sz w:val="20"/>
                <w:szCs w:val="20"/>
              </w:rPr>
              <w:t>15 546 995</w:t>
            </w:r>
          </w:p>
        </w:tc>
      </w:tr>
      <w:tr w:rsidR="00BB0009" w:rsidRPr="00860CA0" w14:paraId="594B66D1" w14:textId="77777777" w:rsidTr="003F305B">
        <w:trPr>
          <w:trHeight w:val="397"/>
        </w:trPr>
        <w:tc>
          <w:tcPr>
            <w:tcW w:w="324" w:type="pct"/>
            <w:shd w:val="clear" w:color="auto" w:fill="auto"/>
            <w:vAlign w:val="center"/>
            <w:hideMark/>
          </w:tcPr>
          <w:p w14:paraId="7362FE76" w14:textId="77777777" w:rsidR="00BB0009" w:rsidRPr="00003C6D" w:rsidRDefault="00BB0009" w:rsidP="00BB0009">
            <w:pPr>
              <w:keepNext/>
              <w:keepLines/>
              <w:spacing w:after="0"/>
              <w:jc w:val="center"/>
              <w:rPr>
                <w:sz w:val="20"/>
                <w:szCs w:val="20"/>
              </w:rPr>
            </w:pPr>
            <w:r w:rsidRPr="00003C6D">
              <w:rPr>
                <w:sz w:val="20"/>
                <w:szCs w:val="20"/>
              </w:rPr>
              <w:t>2018</w:t>
            </w:r>
          </w:p>
        </w:tc>
        <w:tc>
          <w:tcPr>
            <w:tcW w:w="1396" w:type="pct"/>
            <w:shd w:val="clear" w:color="auto" w:fill="auto"/>
            <w:vAlign w:val="center"/>
            <w:hideMark/>
          </w:tcPr>
          <w:p w14:paraId="37C8E7F5" w14:textId="77777777" w:rsidR="00BB0009" w:rsidRPr="00003C6D" w:rsidRDefault="00BB0009" w:rsidP="00BB0009">
            <w:pPr>
              <w:keepNext/>
              <w:keepLines/>
              <w:spacing w:after="0"/>
              <w:jc w:val="center"/>
              <w:rPr>
                <w:sz w:val="20"/>
                <w:szCs w:val="20"/>
              </w:rPr>
            </w:pPr>
            <w:r w:rsidRPr="00003C6D">
              <w:rPr>
                <w:sz w:val="20"/>
                <w:szCs w:val="20"/>
              </w:rPr>
              <w:t>32 992 489 158,24</w:t>
            </w:r>
          </w:p>
        </w:tc>
        <w:tc>
          <w:tcPr>
            <w:tcW w:w="1016" w:type="pct"/>
            <w:shd w:val="clear" w:color="auto" w:fill="auto"/>
            <w:vAlign w:val="center"/>
            <w:hideMark/>
          </w:tcPr>
          <w:p w14:paraId="31777BD8" w14:textId="77777777" w:rsidR="00BB0009" w:rsidRPr="00003C6D" w:rsidRDefault="00BB0009" w:rsidP="00BB0009">
            <w:pPr>
              <w:keepNext/>
              <w:keepLines/>
              <w:spacing w:after="0"/>
              <w:jc w:val="center"/>
              <w:rPr>
                <w:sz w:val="20"/>
                <w:szCs w:val="20"/>
              </w:rPr>
            </w:pPr>
            <w:r w:rsidRPr="00003C6D">
              <w:rPr>
                <w:sz w:val="20"/>
                <w:szCs w:val="20"/>
              </w:rPr>
              <w:t>3 324 602 270,69</w:t>
            </w:r>
          </w:p>
        </w:tc>
        <w:tc>
          <w:tcPr>
            <w:tcW w:w="1014" w:type="pct"/>
            <w:shd w:val="clear" w:color="auto" w:fill="auto"/>
            <w:vAlign w:val="center"/>
            <w:hideMark/>
          </w:tcPr>
          <w:p w14:paraId="4FD6DF24" w14:textId="77777777" w:rsidR="00BB0009" w:rsidRPr="00003C6D" w:rsidRDefault="00BB0009" w:rsidP="003F305B">
            <w:pPr>
              <w:keepNext/>
              <w:keepLines/>
              <w:spacing w:after="0"/>
              <w:ind w:right="567"/>
              <w:jc w:val="right"/>
              <w:rPr>
                <w:sz w:val="20"/>
                <w:szCs w:val="20"/>
              </w:rPr>
            </w:pPr>
            <w:r w:rsidRPr="00003C6D">
              <w:rPr>
                <w:sz w:val="20"/>
                <w:szCs w:val="20"/>
              </w:rPr>
              <w:t>10,08</w:t>
            </w:r>
          </w:p>
        </w:tc>
        <w:tc>
          <w:tcPr>
            <w:tcW w:w="1250" w:type="pct"/>
            <w:vAlign w:val="center"/>
          </w:tcPr>
          <w:p w14:paraId="013B4179" w14:textId="77777777" w:rsidR="00BB0009" w:rsidRPr="00003C6D" w:rsidRDefault="00BB0009" w:rsidP="003F305B">
            <w:pPr>
              <w:keepNext/>
              <w:keepLines/>
              <w:spacing w:after="0"/>
              <w:ind w:right="510"/>
              <w:jc w:val="right"/>
              <w:rPr>
                <w:sz w:val="20"/>
                <w:szCs w:val="20"/>
              </w:rPr>
            </w:pPr>
            <w:r w:rsidRPr="00003C6D">
              <w:rPr>
                <w:sz w:val="20"/>
                <w:szCs w:val="20"/>
              </w:rPr>
              <w:t>3 652 691</w:t>
            </w:r>
          </w:p>
        </w:tc>
      </w:tr>
      <w:tr w:rsidR="00BB0009" w:rsidRPr="00860CA0" w14:paraId="65F39861" w14:textId="77777777" w:rsidTr="003F305B">
        <w:trPr>
          <w:trHeight w:val="397"/>
        </w:trPr>
        <w:tc>
          <w:tcPr>
            <w:tcW w:w="324" w:type="pct"/>
            <w:tcBorders>
              <w:top w:val="single" w:sz="4" w:space="0" w:color="auto"/>
            </w:tcBorders>
            <w:shd w:val="clear" w:color="auto" w:fill="auto"/>
            <w:vAlign w:val="center"/>
          </w:tcPr>
          <w:p w14:paraId="3CB4520B" w14:textId="77777777" w:rsidR="00BB0009" w:rsidRPr="00003C6D" w:rsidRDefault="00BB0009" w:rsidP="00BB0009">
            <w:pPr>
              <w:keepNext/>
              <w:keepLines/>
              <w:spacing w:after="0"/>
              <w:jc w:val="center"/>
              <w:rPr>
                <w:sz w:val="20"/>
                <w:szCs w:val="20"/>
              </w:rPr>
            </w:pPr>
            <w:r w:rsidRPr="00003C6D">
              <w:rPr>
                <w:sz w:val="20"/>
                <w:szCs w:val="20"/>
              </w:rPr>
              <w:t>2019</w:t>
            </w:r>
          </w:p>
        </w:tc>
        <w:tc>
          <w:tcPr>
            <w:tcW w:w="1396" w:type="pct"/>
            <w:tcBorders>
              <w:top w:val="single" w:sz="4" w:space="0" w:color="auto"/>
            </w:tcBorders>
            <w:shd w:val="clear" w:color="auto" w:fill="auto"/>
            <w:vAlign w:val="center"/>
          </w:tcPr>
          <w:p w14:paraId="6CBC476F" w14:textId="77777777" w:rsidR="00BB0009" w:rsidRPr="00003C6D" w:rsidRDefault="00BB0009" w:rsidP="00BB0009">
            <w:pPr>
              <w:keepNext/>
              <w:keepLines/>
              <w:spacing w:after="0"/>
              <w:jc w:val="center"/>
              <w:rPr>
                <w:sz w:val="20"/>
                <w:szCs w:val="20"/>
              </w:rPr>
            </w:pPr>
            <w:r w:rsidRPr="00003C6D">
              <w:rPr>
                <w:sz w:val="20"/>
                <w:szCs w:val="20"/>
              </w:rPr>
              <w:t>33 222 734 806,96</w:t>
            </w:r>
          </w:p>
        </w:tc>
        <w:tc>
          <w:tcPr>
            <w:tcW w:w="1016" w:type="pct"/>
            <w:tcBorders>
              <w:top w:val="single" w:sz="4" w:space="0" w:color="auto"/>
            </w:tcBorders>
            <w:shd w:val="clear" w:color="auto" w:fill="auto"/>
            <w:vAlign w:val="center"/>
          </w:tcPr>
          <w:p w14:paraId="0E0D6C8E" w14:textId="77777777" w:rsidR="00BB0009" w:rsidRPr="00003C6D" w:rsidRDefault="00BB0009" w:rsidP="00BB0009">
            <w:pPr>
              <w:keepNext/>
              <w:keepLines/>
              <w:spacing w:after="0"/>
              <w:jc w:val="center"/>
              <w:rPr>
                <w:sz w:val="20"/>
                <w:szCs w:val="20"/>
              </w:rPr>
            </w:pPr>
            <w:r w:rsidRPr="00003C6D">
              <w:rPr>
                <w:sz w:val="20"/>
                <w:szCs w:val="20"/>
              </w:rPr>
              <w:t>4 767 206 622,37</w:t>
            </w:r>
          </w:p>
        </w:tc>
        <w:tc>
          <w:tcPr>
            <w:tcW w:w="1014" w:type="pct"/>
            <w:tcBorders>
              <w:top w:val="single" w:sz="4" w:space="0" w:color="auto"/>
            </w:tcBorders>
            <w:shd w:val="clear" w:color="auto" w:fill="auto"/>
            <w:vAlign w:val="center"/>
          </w:tcPr>
          <w:p w14:paraId="340A478C" w14:textId="77777777" w:rsidR="00BB0009" w:rsidRPr="00003C6D" w:rsidRDefault="00BB0009" w:rsidP="003F305B">
            <w:pPr>
              <w:keepNext/>
              <w:keepLines/>
              <w:spacing w:after="0"/>
              <w:ind w:right="567"/>
              <w:jc w:val="right"/>
              <w:rPr>
                <w:sz w:val="20"/>
                <w:szCs w:val="20"/>
              </w:rPr>
            </w:pPr>
            <w:r w:rsidRPr="00003C6D">
              <w:rPr>
                <w:sz w:val="20"/>
                <w:szCs w:val="20"/>
              </w:rPr>
              <w:t>14,35</w:t>
            </w:r>
          </w:p>
        </w:tc>
        <w:tc>
          <w:tcPr>
            <w:tcW w:w="1250" w:type="pct"/>
            <w:tcBorders>
              <w:top w:val="single" w:sz="4" w:space="0" w:color="auto"/>
            </w:tcBorders>
            <w:vAlign w:val="center"/>
          </w:tcPr>
          <w:p w14:paraId="09679609" w14:textId="77777777" w:rsidR="00BB0009" w:rsidRPr="00003C6D" w:rsidRDefault="00BB0009" w:rsidP="003F305B">
            <w:pPr>
              <w:keepNext/>
              <w:keepLines/>
              <w:spacing w:after="0"/>
              <w:ind w:right="510"/>
              <w:jc w:val="right"/>
              <w:rPr>
                <w:sz w:val="20"/>
                <w:szCs w:val="20"/>
              </w:rPr>
            </w:pPr>
            <w:r w:rsidRPr="00003C6D">
              <w:rPr>
                <w:sz w:val="20"/>
                <w:szCs w:val="20"/>
              </w:rPr>
              <w:t xml:space="preserve">8 607 841 </w:t>
            </w:r>
          </w:p>
        </w:tc>
      </w:tr>
    </w:tbl>
    <w:p w14:paraId="4D29BB85" w14:textId="77777777" w:rsidR="00301916" w:rsidRPr="002C2AF7" w:rsidRDefault="00301916" w:rsidP="00301916">
      <w:pPr>
        <w:pStyle w:val="Zdrojdat"/>
      </w:pPr>
      <w:r w:rsidRPr="002C2AF7">
        <w:rPr>
          <w:b/>
        </w:rPr>
        <w:t>Zdroj:</w:t>
      </w:r>
      <w:r w:rsidRPr="002C2AF7">
        <w:t xml:space="preserve"> </w:t>
      </w:r>
      <w:r w:rsidR="00204997" w:rsidRPr="002C2AF7">
        <w:t xml:space="preserve">informace </w:t>
      </w:r>
      <w:proofErr w:type="spellStart"/>
      <w:r w:rsidRPr="002C2AF7">
        <w:t>MZe</w:t>
      </w:r>
      <w:proofErr w:type="spellEnd"/>
      <w:r w:rsidR="009F0010" w:rsidRPr="002C2AF7">
        <w:t>; vlastní zpracování</w:t>
      </w:r>
      <w:r w:rsidR="00374DF9">
        <w:t xml:space="preserve"> NKÚ.</w:t>
      </w:r>
    </w:p>
    <w:p w14:paraId="550BC7F0" w14:textId="77777777" w:rsidR="00FF1A12" w:rsidRDefault="00242E73" w:rsidP="00082059">
      <w:pPr>
        <w:pStyle w:val="Nadpis1"/>
        <w:numPr>
          <w:ilvl w:val="0"/>
          <w:numId w:val="0"/>
        </w:numPr>
        <w:spacing w:before="480"/>
        <w:jc w:val="center"/>
      </w:pPr>
      <w:r>
        <w:t xml:space="preserve">III. </w:t>
      </w:r>
      <w:r w:rsidR="00FF1A12" w:rsidRPr="00517A9E">
        <w:t>ROZSAH KONTROLY</w:t>
      </w:r>
    </w:p>
    <w:p w14:paraId="40022E3C" w14:textId="2D41F222" w:rsidR="00C72C56" w:rsidRDefault="00A401FD" w:rsidP="00C72C56">
      <w:pPr>
        <w:rPr>
          <w:lang w:eastAsia="cs-CZ"/>
        </w:rPr>
      </w:pPr>
      <w:r>
        <w:rPr>
          <w:lang w:eastAsia="cs-CZ"/>
        </w:rPr>
        <w:t xml:space="preserve">Kontrola </w:t>
      </w:r>
      <w:r w:rsidR="0003656C">
        <w:rPr>
          <w:lang w:eastAsia="cs-CZ"/>
        </w:rPr>
        <w:t xml:space="preserve">se </w:t>
      </w:r>
      <w:r>
        <w:rPr>
          <w:lang w:eastAsia="cs-CZ"/>
        </w:rPr>
        <w:t>zaměř</w:t>
      </w:r>
      <w:r w:rsidR="0003656C">
        <w:rPr>
          <w:lang w:eastAsia="cs-CZ"/>
        </w:rPr>
        <w:t>ila</w:t>
      </w:r>
      <w:r>
        <w:rPr>
          <w:lang w:eastAsia="cs-CZ"/>
        </w:rPr>
        <w:t xml:space="preserve"> na oblast udržitelné jakosti vod v ČR. NKÚ prověřil </w:t>
      </w:r>
      <w:r w:rsidRPr="006F4BCA">
        <w:rPr>
          <w:lang w:eastAsia="cs-CZ"/>
        </w:rPr>
        <w:t>účelnost a</w:t>
      </w:r>
      <w:r w:rsidR="00555236" w:rsidRPr="006F4BCA">
        <w:rPr>
          <w:lang w:eastAsia="cs-CZ"/>
        </w:rPr>
        <w:t> </w:t>
      </w:r>
      <w:r w:rsidRPr="006F4BCA">
        <w:rPr>
          <w:lang w:eastAsia="cs-CZ"/>
        </w:rPr>
        <w:t>efektivnost</w:t>
      </w:r>
      <w:r>
        <w:rPr>
          <w:lang w:eastAsia="cs-CZ"/>
        </w:rPr>
        <w:t xml:space="preserve"> peněžních prostředků určených na intervence státu k</w:t>
      </w:r>
      <w:r w:rsidR="00EF10F4">
        <w:rPr>
          <w:lang w:eastAsia="cs-CZ"/>
        </w:rPr>
        <w:t xml:space="preserve"> </w:t>
      </w:r>
      <w:r>
        <w:rPr>
          <w:lang w:eastAsia="cs-CZ"/>
        </w:rPr>
        <w:t xml:space="preserve">zajištění udržitelné jakosti vod a eliminaci znečištění v důsledku antropogenních vlivů. </w:t>
      </w:r>
      <w:r w:rsidR="002A4667">
        <w:rPr>
          <w:lang w:eastAsia="cs-CZ"/>
        </w:rPr>
        <w:t>Peněžní prostředky byly vynaloženy v</w:t>
      </w:r>
      <w:r w:rsidR="001E723C">
        <w:rPr>
          <w:lang w:eastAsia="cs-CZ"/>
        </w:rPr>
        <w:t xml:space="preserve"> </w:t>
      </w:r>
      <w:r w:rsidR="00D35D0E">
        <w:rPr>
          <w:lang w:eastAsia="cs-CZ"/>
        </w:rPr>
        <w:t xml:space="preserve">kontrolovaném </w:t>
      </w:r>
      <w:r w:rsidR="001E723C">
        <w:rPr>
          <w:lang w:eastAsia="cs-CZ"/>
        </w:rPr>
        <w:t>období let 2013</w:t>
      </w:r>
      <w:r w:rsidR="001E723C">
        <w:rPr>
          <w:rFonts w:cstheme="minorHAnsi"/>
          <w:szCs w:val="24"/>
          <w:lang w:eastAsia="cs-CZ"/>
        </w:rPr>
        <w:t>–</w:t>
      </w:r>
      <w:r>
        <w:rPr>
          <w:lang w:eastAsia="cs-CZ"/>
        </w:rPr>
        <w:t>2020</w:t>
      </w:r>
      <w:r w:rsidR="00D35D0E">
        <w:rPr>
          <w:lang w:eastAsia="cs-CZ"/>
        </w:rPr>
        <w:t>.</w:t>
      </w:r>
      <w:r w:rsidR="00D35D0E" w:rsidDel="00D35D0E">
        <w:rPr>
          <w:lang w:eastAsia="cs-CZ"/>
        </w:rPr>
        <w:t xml:space="preserve"> </w:t>
      </w:r>
    </w:p>
    <w:p w14:paraId="2EB48ACA" w14:textId="77777777" w:rsidR="00803063" w:rsidRDefault="008B0FCE" w:rsidP="00C72C56">
      <w:pPr>
        <w:rPr>
          <w:lang w:eastAsia="cs-CZ"/>
        </w:rPr>
      </w:pPr>
      <w:r>
        <w:rPr>
          <w:lang w:eastAsia="cs-CZ"/>
        </w:rPr>
        <w:t>Kontrol</w:t>
      </w:r>
      <w:r w:rsidR="003E6778">
        <w:rPr>
          <w:lang w:eastAsia="cs-CZ"/>
        </w:rPr>
        <w:t>ou bylo</w:t>
      </w:r>
      <w:r>
        <w:rPr>
          <w:lang w:eastAsia="cs-CZ"/>
        </w:rPr>
        <w:t xml:space="preserve"> </w:t>
      </w:r>
      <w:r w:rsidR="00961E6F">
        <w:rPr>
          <w:lang w:eastAsia="cs-CZ"/>
        </w:rPr>
        <w:t xml:space="preserve">u všech kontrolovaných osob </w:t>
      </w:r>
      <w:r w:rsidR="003819F1">
        <w:rPr>
          <w:lang w:eastAsia="cs-CZ"/>
        </w:rPr>
        <w:t>prověřeno</w:t>
      </w:r>
      <w:r w:rsidR="00961E6F">
        <w:rPr>
          <w:lang w:eastAsia="cs-CZ"/>
        </w:rPr>
        <w:t xml:space="preserve"> nastavení a fungování systému řízení v oblasti udržitelné jakosti vod, zejména se zaměřením na monitoring kvality vod.</w:t>
      </w:r>
      <w:r w:rsidR="00876452">
        <w:rPr>
          <w:lang w:eastAsia="cs-CZ"/>
        </w:rPr>
        <w:t xml:space="preserve"> </w:t>
      </w:r>
      <w:r w:rsidR="003819F1">
        <w:rPr>
          <w:lang w:eastAsia="cs-CZ"/>
        </w:rPr>
        <w:t>U</w:t>
      </w:r>
      <w:r w:rsidR="00876452">
        <w:rPr>
          <w:lang w:eastAsia="cs-CZ"/>
        </w:rPr>
        <w:t xml:space="preserve"> ČHMÚ byla v rámci kontroly </w:t>
      </w:r>
      <w:r w:rsidR="003819F1">
        <w:rPr>
          <w:lang w:eastAsia="cs-CZ"/>
        </w:rPr>
        <w:t xml:space="preserve">dále </w:t>
      </w:r>
      <w:r w:rsidR="00876452">
        <w:rPr>
          <w:lang w:eastAsia="cs-CZ"/>
        </w:rPr>
        <w:t xml:space="preserve">vyhodnocena změna stavu </w:t>
      </w:r>
      <w:r w:rsidR="00E82BDA">
        <w:rPr>
          <w:lang w:eastAsia="cs-CZ"/>
        </w:rPr>
        <w:t xml:space="preserve">dusíkatých </w:t>
      </w:r>
      <w:r w:rsidR="00876452">
        <w:rPr>
          <w:lang w:eastAsia="cs-CZ"/>
        </w:rPr>
        <w:t xml:space="preserve">a </w:t>
      </w:r>
      <w:r w:rsidR="00E82BDA">
        <w:rPr>
          <w:lang w:eastAsia="cs-CZ"/>
        </w:rPr>
        <w:t>pesticidních látek</w:t>
      </w:r>
      <w:r w:rsidR="00876452">
        <w:rPr>
          <w:lang w:eastAsia="cs-CZ"/>
        </w:rPr>
        <w:t xml:space="preserve"> v podzemní</w:t>
      </w:r>
      <w:r w:rsidR="00744F77">
        <w:rPr>
          <w:lang w:eastAsia="cs-CZ"/>
        </w:rPr>
        <w:t>ch</w:t>
      </w:r>
      <w:r w:rsidR="00876452">
        <w:rPr>
          <w:lang w:eastAsia="cs-CZ"/>
        </w:rPr>
        <w:t xml:space="preserve"> </w:t>
      </w:r>
      <w:r w:rsidR="005E0192">
        <w:rPr>
          <w:lang w:eastAsia="cs-CZ"/>
        </w:rPr>
        <w:t>a</w:t>
      </w:r>
      <w:r w:rsidR="00097721">
        <w:rPr>
          <w:lang w:eastAsia="cs-CZ"/>
        </w:rPr>
        <w:t xml:space="preserve"> </w:t>
      </w:r>
      <w:r w:rsidR="00876452">
        <w:rPr>
          <w:lang w:eastAsia="cs-CZ"/>
        </w:rPr>
        <w:t>povrchov</w:t>
      </w:r>
      <w:r w:rsidR="00744F77">
        <w:rPr>
          <w:lang w:eastAsia="cs-CZ"/>
        </w:rPr>
        <w:t>ých</w:t>
      </w:r>
      <w:r w:rsidR="00876452">
        <w:rPr>
          <w:lang w:eastAsia="cs-CZ"/>
        </w:rPr>
        <w:t xml:space="preserve"> v</w:t>
      </w:r>
      <w:r w:rsidR="00803063">
        <w:rPr>
          <w:lang w:eastAsia="cs-CZ"/>
        </w:rPr>
        <w:t>od</w:t>
      </w:r>
      <w:r w:rsidR="00744F77">
        <w:rPr>
          <w:lang w:eastAsia="cs-CZ"/>
        </w:rPr>
        <w:t>ách</w:t>
      </w:r>
      <w:r w:rsidR="00876452">
        <w:rPr>
          <w:lang w:eastAsia="cs-CZ"/>
        </w:rPr>
        <w:t xml:space="preserve">. </w:t>
      </w:r>
      <w:r w:rsidR="003819F1">
        <w:rPr>
          <w:lang w:eastAsia="cs-CZ"/>
        </w:rPr>
        <w:t>U</w:t>
      </w:r>
      <w:r w:rsidR="00555236">
        <w:rPr>
          <w:lang w:eastAsia="cs-CZ"/>
        </w:rPr>
        <w:t xml:space="preserve"> </w:t>
      </w:r>
      <w:proofErr w:type="spellStart"/>
      <w:r w:rsidR="00555236">
        <w:rPr>
          <w:lang w:eastAsia="cs-CZ"/>
        </w:rPr>
        <w:t>MZd</w:t>
      </w:r>
      <w:proofErr w:type="spellEnd"/>
      <w:r w:rsidR="00555236">
        <w:rPr>
          <w:lang w:eastAsia="cs-CZ"/>
        </w:rPr>
        <w:t xml:space="preserve"> byl v rámci kontroly nastavení a realizace monitoringu kvality pitné vody vyhodnocen vývoj výskytu pesticid</w:t>
      </w:r>
      <w:r w:rsidR="00E82BDA">
        <w:rPr>
          <w:lang w:eastAsia="cs-CZ"/>
        </w:rPr>
        <w:t xml:space="preserve">ních látek </w:t>
      </w:r>
      <w:r w:rsidR="001E723C">
        <w:rPr>
          <w:lang w:eastAsia="cs-CZ"/>
        </w:rPr>
        <w:t xml:space="preserve">a </w:t>
      </w:r>
      <w:r w:rsidR="00555236">
        <w:rPr>
          <w:lang w:eastAsia="cs-CZ"/>
        </w:rPr>
        <w:t>dusičnanů v pitné vodě.</w:t>
      </w:r>
      <w:r w:rsidR="008F0D9F">
        <w:rPr>
          <w:lang w:eastAsia="cs-CZ"/>
        </w:rPr>
        <w:t xml:space="preserve"> Vyhodnocení výskytu pesticidních a dusíkatých látek v podzemních, povrchových a pitných vodách bylo na základě poskytnutých dat ČHMÚ a </w:t>
      </w:r>
      <w:proofErr w:type="spellStart"/>
      <w:r w:rsidR="008F0D9F">
        <w:rPr>
          <w:lang w:eastAsia="cs-CZ"/>
        </w:rPr>
        <w:t>MZd</w:t>
      </w:r>
      <w:proofErr w:type="spellEnd"/>
      <w:r w:rsidR="008F0D9F">
        <w:rPr>
          <w:lang w:eastAsia="cs-CZ"/>
        </w:rPr>
        <w:t xml:space="preserve"> </w:t>
      </w:r>
      <w:r w:rsidR="00097721">
        <w:rPr>
          <w:lang w:eastAsia="cs-CZ"/>
        </w:rPr>
        <w:t xml:space="preserve">provedeno </w:t>
      </w:r>
      <w:r w:rsidR="008F0D9F">
        <w:rPr>
          <w:lang w:eastAsia="cs-CZ"/>
        </w:rPr>
        <w:t>s cílem ověřit a</w:t>
      </w:r>
      <w:r w:rsidR="00097721">
        <w:rPr>
          <w:lang w:eastAsia="cs-CZ"/>
        </w:rPr>
        <w:t> </w:t>
      </w:r>
      <w:r w:rsidR="008F0D9F">
        <w:rPr>
          <w:lang w:eastAsia="cs-CZ"/>
        </w:rPr>
        <w:t>vyhodnotit dopad realizovaných intervencí státu na kvalitativní stav vody.</w:t>
      </w:r>
    </w:p>
    <w:p w14:paraId="5F3D3CCD" w14:textId="4AD04F7E" w:rsidR="00803063" w:rsidRPr="00841184" w:rsidRDefault="006C78AF" w:rsidP="00C72C56">
      <w:pPr>
        <w:rPr>
          <w:lang w:eastAsia="cs-CZ"/>
        </w:rPr>
      </w:pPr>
      <w:r>
        <w:rPr>
          <w:lang w:eastAsia="cs-CZ"/>
        </w:rPr>
        <w:t>NKÚ</w:t>
      </w:r>
      <w:r w:rsidR="00705509">
        <w:rPr>
          <w:lang w:eastAsia="cs-CZ"/>
        </w:rPr>
        <w:t xml:space="preserve"> dále</w:t>
      </w:r>
      <w:r>
        <w:rPr>
          <w:lang w:eastAsia="cs-CZ"/>
        </w:rPr>
        <w:t xml:space="preserve"> ověřil</w:t>
      </w:r>
      <w:r w:rsidR="00961E6F">
        <w:rPr>
          <w:lang w:eastAsia="cs-CZ"/>
        </w:rPr>
        <w:t xml:space="preserve"> n</w:t>
      </w:r>
      <w:r w:rsidR="008B0FCE">
        <w:rPr>
          <w:lang w:eastAsia="cs-CZ"/>
        </w:rPr>
        <w:t xml:space="preserve">astavení vybraných cílů a opatření </w:t>
      </w:r>
      <w:r w:rsidR="008B0FCE" w:rsidRPr="008B0FCE">
        <w:rPr>
          <w:i/>
          <w:lang w:eastAsia="cs-CZ"/>
        </w:rPr>
        <w:t>Národního akčního plánu ke snížení používání pesticidů v České republice</w:t>
      </w:r>
      <w:r w:rsidR="008B0FCE">
        <w:rPr>
          <w:lang w:eastAsia="cs-CZ"/>
        </w:rPr>
        <w:t>, kter</w:t>
      </w:r>
      <w:r w:rsidR="001E723C">
        <w:rPr>
          <w:lang w:eastAsia="cs-CZ"/>
        </w:rPr>
        <w:t>ý byl přijat pro období 2013</w:t>
      </w:r>
      <w:r w:rsidR="001E723C">
        <w:rPr>
          <w:rFonts w:cstheme="minorHAnsi"/>
          <w:szCs w:val="24"/>
          <w:lang w:eastAsia="cs-CZ"/>
        </w:rPr>
        <w:t>–</w:t>
      </w:r>
      <w:r w:rsidR="008B0FCE">
        <w:rPr>
          <w:lang w:eastAsia="cs-CZ"/>
        </w:rPr>
        <w:t>2017</w:t>
      </w:r>
      <w:r w:rsidR="00097721">
        <w:rPr>
          <w:lang w:eastAsia="cs-CZ"/>
        </w:rPr>
        <w:t>,</w:t>
      </w:r>
      <w:r w:rsidR="008B0FCE">
        <w:rPr>
          <w:lang w:eastAsia="cs-CZ"/>
        </w:rPr>
        <w:t xml:space="preserve"> a </w:t>
      </w:r>
      <w:r w:rsidR="008B0FCE" w:rsidRPr="008B0FCE">
        <w:rPr>
          <w:i/>
          <w:lang w:eastAsia="cs-CZ"/>
        </w:rPr>
        <w:t>Národního akčního plánu k bezpečnému používání pesticidů v</w:t>
      </w:r>
      <w:r w:rsidR="00AA5E42">
        <w:rPr>
          <w:i/>
          <w:lang w:eastAsia="cs-CZ"/>
        </w:rPr>
        <w:t> </w:t>
      </w:r>
      <w:r w:rsidR="008B0FCE" w:rsidRPr="008B0FCE">
        <w:rPr>
          <w:i/>
          <w:lang w:eastAsia="cs-CZ"/>
        </w:rPr>
        <w:t>Č</w:t>
      </w:r>
      <w:r w:rsidR="00AA5E42">
        <w:rPr>
          <w:i/>
          <w:lang w:eastAsia="cs-CZ"/>
        </w:rPr>
        <w:t>eské republice</w:t>
      </w:r>
      <w:r w:rsidR="008B0FCE" w:rsidRPr="008B0FCE">
        <w:rPr>
          <w:i/>
          <w:lang w:eastAsia="cs-CZ"/>
        </w:rPr>
        <w:t xml:space="preserve"> pro 2018</w:t>
      </w:r>
      <w:r w:rsidR="008B0FCE">
        <w:rPr>
          <w:i/>
          <w:lang w:eastAsia="cs-CZ"/>
        </w:rPr>
        <w:t>–</w:t>
      </w:r>
      <w:r w:rsidR="008B0FCE" w:rsidRPr="008B0FCE">
        <w:rPr>
          <w:i/>
          <w:lang w:eastAsia="cs-CZ"/>
        </w:rPr>
        <w:t>2022</w:t>
      </w:r>
      <w:r w:rsidR="003E6778">
        <w:rPr>
          <w:lang w:eastAsia="cs-CZ"/>
        </w:rPr>
        <w:t xml:space="preserve"> </w:t>
      </w:r>
      <w:r w:rsidR="005E0192">
        <w:rPr>
          <w:lang w:eastAsia="cs-CZ"/>
        </w:rPr>
        <w:t>a</w:t>
      </w:r>
      <w:r w:rsidR="00097721">
        <w:rPr>
          <w:lang w:eastAsia="cs-CZ"/>
        </w:rPr>
        <w:t xml:space="preserve"> </w:t>
      </w:r>
      <w:r w:rsidR="00F46437">
        <w:rPr>
          <w:lang w:eastAsia="cs-CZ"/>
        </w:rPr>
        <w:t xml:space="preserve">rovněž ověřil </w:t>
      </w:r>
      <w:r w:rsidR="00F46437" w:rsidRPr="003E6778">
        <w:rPr>
          <w:lang w:eastAsia="cs-CZ"/>
        </w:rPr>
        <w:t>realizac</w:t>
      </w:r>
      <w:r w:rsidR="00F46437">
        <w:rPr>
          <w:lang w:eastAsia="cs-CZ"/>
        </w:rPr>
        <w:t xml:space="preserve">i </w:t>
      </w:r>
      <w:r w:rsidR="003E6778">
        <w:rPr>
          <w:lang w:eastAsia="cs-CZ"/>
        </w:rPr>
        <w:t>vybraných opatření</w:t>
      </w:r>
      <w:r w:rsidR="008B0FCE">
        <w:rPr>
          <w:i/>
          <w:lang w:eastAsia="cs-CZ"/>
        </w:rPr>
        <w:t>.</w:t>
      </w:r>
    </w:p>
    <w:p w14:paraId="4B526102" w14:textId="77777777" w:rsidR="00C922A3" w:rsidRDefault="00961E6F" w:rsidP="00C922A3">
      <w:pPr>
        <w:rPr>
          <w:lang w:eastAsia="cs-CZ"/>
        </w:rPr>
      </w:pPr>
      <w:r w:rsidRPr="006F4BCA">
        <w:rPr>
          <w:lang w:eastAsia="cs-CZ"/>
        </w:rPr>
        <w:t>V</w:t>
      </w:r>
      <w:r w:rsidR="0078669A" w:rsidRPr="006F4BCA">
        <w:rPr>
          <w:lang w:eastAsia="cs-CZ"/>
        </w:rPr>
        <w:t> </w:t>
      </w:r>
      <w:r w:rsidRPr="006F4BCA">
        <w:rPr>
          <w:lang w:eastAsia="cs-CZ"/>
        </w:rPr>
        <w:t>souvislosti</w:t>
      </w:r>
      <w:r w:rsidR="0078669A" w:rsidRPr="006F4BCA">
        <w:rPr>
          <w:lang w:eastAsia="cs-CZ"/>
        </w:rPr>
        <w:t xml:space="preserve"> s</w:t>
      </w:r>
      <w:r w:rsidRPr="006F4BCA">
        <w:rPr>
          <w:lang w:eastAsia="cs-CZ"/>
        </w:rPr>
        <w:t xml:space="preserve"> </w:t>
      </w:r>
      <w:r w:rsidR="0078669A" w:rsidRPr="006F4BCA">
        <w:rPr>
          <w:lang w:eastAsia="cs-CZ"/>
        </w:rPr>
        <w:t xml:space="preserve">efektivností vynaložených </w:t>
      </w:r>
      <w:r w:rsidR="00946AB8">
        <w:rPr>
          <w:lang w:eastAsia="cs-CZ"/>
        </w:rPr>
        <w:t xml:space="preserve">peněžních </w:t>
      </w:r>
      <w:r w:rsidR="0078669A" w:rsidRPr="006F4BCA">
        <w:rPr>
          <w:lang w:eastAsia="cs-CZ"/>
        </w:rPr>
        <w:t xml:space="preserve">prostředků na </w:t>
      </w:r>
      <w:r w:rsidRPr="006F4BCA">
        <w:rPr>
          <w:lang w:eastAsia="cs-CZ"/>
        </w:rPr>
        <w:t>zajištění</w:t>
      </w:r>
      <w:r w:rsidR="0078669A" w:rsidRPr="006F4BCA">
        <w:rPr>
          <w:lang w:eastAsia="cs-CZ"/>
        </w:rPr>
        <w:t xml:space="preserve"> </w:t>
      </w:r>
      <w:r w:rsidRPr="006F4BCA">
        <w:rPr>
          <w:lang w:eastAsia="cs-CZ"/>
        </w:rPr>
        <w:t>udržitelné k</w:t>
      </w:r>
      <w:r>
        <w:rPr>
          <w:lang w:eastAsia="cs-CZ"/>
        </w:rPr>
        <w:t xml:space="preserve">vality pitné vody se kontrola u </w:t>
      </w:r>
      <w:r w:rsidRPr="00961E6F">
        <w:rPr>
          <w:lang w:eastAsia="cs-CZ"/>
        </w:rPr>
        <w:t xml:space="preserve">MŽP a </w:t>
      </w:r>
      <w:proofErr w:type="spellStart"/>
      <w:r w:rsidRPr="00961E6F">
        <w:rPr>
          <w:lang w:eastAsia="cs-CZ"/>
        </w:rPr>
        <w:t>MZe</w:t>
      </w:r>
      <w:proofErr w:type="spellEnd"/>
      <w:r w:rsidRPr="00961E6F">
        <w:rPr>
          <w:lang w:eastAsia="cs-CZ"/>
        </w:rPr>
        <w:t xml:space="preserve"> </w:t>
      </w:r>
      <w:r>
        <w:rPr>
          <w:lang w:eastAsia="cs-CZ"/>
        </w:rPr>
        <w:t xml:space="preserve">zaměřila na nastavení </w:t>
      </w:r>
      <w:r w:rsidR="00252B9D">
        <w:rPr>
          <w:lang w:eastAsia="cs-CZ"/>
        </w:rPr>
        <w:t xml:space="preserve">dotačních programů </w:t>
      </w:r>
      <w:r>
        <w:rPr>
          <w:lang w:eastAsia="cs-CZ"/>
        </w:rPr>
        <w:t xml:space="preserve">a </w:t>
      </w:r>
      <w:r w:rsidR="0054530E">
        <w:rPr>
          <w:lang w:eastAsia="cs-CZ"/>
        </w:rPr>
        <w:t xml:space="preserve">dále na projekty </w:t>
      </w:r>
      <w:r>
        <w:rPr>
          <w:lang w:eastAsia="cs-CZ"/>
        </w:rPr>
        <w:t>modernizac</w:t>
      </w:r>
      <w:r w:rsidR="0058231D">
        <w:rPr>
          <w:lang w:eastAsia="cs-CZ"/>
        </w:rPr>
        <w:t>e</w:t>
      </w:r>
      <w:r>
        <w:rPr>
          <w:lang w:eastAsia="cs-CZ"/>
        </w:rPr>
        <w:t xml:space="preserve"> </w:t>
      </w:r>
      <w:r w:rsidR="00876452">
        <w:rPr>
          <w:lang w:eastAsia="cs-CZ"/>
        </w:rPr>
        <w:t>úprav</w:t>
      </w:r>
      <w:r w:rsidR="00E61DFE">
        <w:rPr>
          <w:lang w:eastAsia="cs-CZ"/>
        </w:rPr>
        <w:t>en</w:t>
      </w:r>
      <w:r w:rsidR="00256345">
        <w:rPr>
          <w:lang w:eastAsia="cs-CZ"/>
        </w:rPr>
        <w:t xml:space="preserve"> vod.</w:t>
      </w:r>
      <w:r w:rsidR="0054530E">
        <w:rPr>
          <w:lang w:eastAsia="cs-CZ"/>
        </w:rPr>
        <w:t xml:space="preserve"> </w:t>
      </w:r>
    </w:p>
    <w:p w14:paraId="32607014" w14:textId="18044F4E" w:rsidR="00C922A3" w:rsidRDefault="00C922A3" w:rsidP="00C922A3">
      <w:pPr>
        <w:rPr>
          <w:lang w:eastAsia="cs-CZ"/>
        </w:rPr>
      </w:pPr>
      <w:r>
        <w:rPr>
          <w:lang w:eastAsia="cs-CZ"/>
        </w:rPr>
        <w:t xml:space="preserve">NKÚ se zaměřil na dva nejvýznamnější (z hlediska finanční náročnosti a počtu zásobovaných obyvatel pitnou vodou) </w:t>
      </w:r>
      <w:r w:rsidR="00946AB8">
        <w:rPr>
          <w:lang w:eastAsia="cs-CZ"/>
        </w:rPr>
        <w:t xml:space="preserve">projekty </w:t>
      </w:r>
      <w:r>
        <w:rPr>
          <w:lang w:eastAsia="cs-CZ"/>
        </w:rPr>
        <w:t xml:space="preserve">modernizace úpraven vod </w:t>
      </w:r>
      <w:r w:rsidR="00EF10F4">
        <w:rPr>
          <w:lang w:eastAsia="cs-CZ"/>
        </w:rPr>
        <w:t>–</w:t>
      </w:r>
      <w:r>
        <w:rPr>
          <w:lang w:eastAsia="cs-CZ"/>
        </w:rPr>
        <w:t xml:space="preserve"> Plzeň a Želivka, které byly financovány z OPŽP. Dále se NKÚ</w:t>
      </w:r>
      <w:r w:rsidR="0002618A">
        <w:rPr>
          <w:lang w:eastAsia="cs-CZ"/>
        </w:rPr>
        <w:t xml:space="preserve"> na systémové úrovni</w:t>
      </w:r>
      <w:r>
        <w:rPr>
          <w:lang w:eastAsia="cs-CZ"/>
        </w:rPr>
        <w:t xml:space="preserve"> zaměřil na osm projektů modernizace úpraven vod, které </w:t>
      </w:r>
      <w:proofErr w:type="spellStart"/>
      <w:r>
        <w:rPr>
          <w:lang w:eastAsia="cs-CZ"/>
        </w:rPr>
        <w:t>MZe</w:t>
      </w:r>
      <w:proofErr w:type="spellEnd"/>
      <w:r>
        <w:rPr>
          <w:lang w:eastAsia="cs-CZ"/>
        </w:rPr>
        <w:t xml:space="preserve"> podpořilo v rámci národních dotačních programů. Tyto projekty byly realizovány z důvodu znečištění zdrojů surové vody nebezpečnými látkami. </w:t>
      </w:r>
    </w:p>
    <w:p w14:paraId="38B88DC0" w14:textId="77777777" w:rsidR="0054530E" w:rsidRDefault="00D75230" w:rsidP="0002618A">
      <w:pPr>
        <w:rPr>
          <w:lang w:eastAsia="cs-CZ"/>
        </w:rPr>
      </w:pPr>
      <w:r>
        <w:rPr>
          <w:lang w:eastAsia="cs-CZ"/>
        </w:rPr>
        <w:t xml:space="preserve">U vybraných projektů </w:t>
      </w:r>
      <w:r w:rsidR="00097721">
        <w:rPr>
          <w:lang w:eastAsia="cs-CZ"/>
        </w:rPr>
        <w:t>kontrola</w:t>
      </w:r>
      <w:r>
        <w:rPr>
          <w:lang w:eastAsia="cs-CZ"/>
        </w:rPr>
        <w:t xml:space="preserve"> zjišťov</w:t>
      </w:r>
      <w:r w:rsidR="00097721">
        <w:rPr>
          <w:lang w:eastAsia="cs-CZ"/>
        </w:rPr>
        <w:t>ala</w:t>
      </w:r>
      <w:r>
        <w:rPr>
          <w:lang w:eastAsia="cs-CZ"/>
        </w:rPr>
        <w:t xml:space="preserve"> informace o </w:t>
      </w:r>
      <w:r w:rsidR="00CF30EE">
        <w:rPr>
          <w:lang w:eastAsia="cs-CZ"/>
        </w:rPr>
        <w:t xml:space="preserve">finanční náročnosti a </w:t>
      </w:r>
      <w:r>
        <w:rPr>
          <w:lang w:eastAsia="cs-CZ"/>
        </w:rPr>
        <w:t>potřebnosti jejich realizace</w:t>
      </w:r>
      <w:r w:rsidR="0058231D">
        <w:rPr>
          <w:lang w:eastAsia="cs-CZ"/>
        </w:rPr>
        <w:t xml:space="preserve"> </w:t>
      </w:r>
      <w:r w:rsidR="00CF30EE">
        <w:rPr>
          <w:lang w:eastAsia="cs-CZ"/>
        </w:rPr>
        <w:t xml:space="preserve">(tj. </w:t>
      </w:r>
      <w:r w:rsidR="0058231D">
        <w:rPr>
          <w:lang w:eastAsia="cs-CZ"/>
        </w:rPr>
        <w:t>znečištění surové vody</w:t>
      </w:r>
      <w:r w:rsidR="00CF30EE">
        <w:rPr>
          <w:lang w:eastAsia="cs-CZ"/>
        </w:rPr>
        <w:t xml:space="preserve"> a nevyhovující kvalita pitné vody) a </w:t>
      </w:r>
      <w:r w:rsidR="005B13C8">
        <w:rPr>
          <w:lang w:eastAsia="cs-CZ"/>
        </w:rPr>
        <w:t xml:space="preserve">o </w:t>
      </w:r>
      <w:r w:rsidR="00CF30EE">
        <w:rPr>
          <w:lang w:eastAsia="cs-CZ"/>
        </w:rPr>
        <w:t>následn</w:t>
      </w:r>
      <w:r w:rsidR="0002618A">
        <w:rPr>
          <w:lang w:eastAsia="cs-CZ"/>
        </w:rPr>
        <w:t>ém</w:t>
      </w:r>
      <w:r w:rsidR="00CF30EE">
        <w:rPr>
          <w:lang w:eastAsia="cs-CZ"/>
        </w:rPr>
        <w:t xml:space="preserve"> </w:t>
      </w:r>
      <w:r w:rsidR="0058231D">
        <w:rPr>
          <w:lang w:eastAsia="cs-CZ"/>
        </w:rPr>
        <w:t>dopadu modernizace úprav</w:t>
      </w:r>
      <w:r w:rsidR="00097721">
        <w:rPr>
          <w:lang w:eastAsia="cs-CZ"/>
        </w:rPr>
        <w:t>en</w:t>
      </w:r>
      <w:r w:rsidR="00CF30EE">
        <w:rPr>
          <w:lang w:eastAsia="cs-CZ"/>
        </w:rPr>
        <w:t xml:space="preserve"> vod</w:t>
      </w:r>
      <w:r w:rsidR="0058231D">
        <w:rPr>
          <w:lang w:eastAsia="cs-CZ"/>
        </w:rPr>
        <w:t xml:space="preserve"> na</w:t>
      </w:r>
      <w:r w:rsidR="00CF30EE">
        <w:rPr>
          <w:lang w:eastAsia="cs-CZ"/>
        </w:rPr>
        <w:t xml:space="preserve"> zajištění</w:t>
      </w:r>
      <w:r w:rsidR="0058231D">
        <w:rPr>
          <w:lang w:eastAsia="cs-CZ"/>
        </w:rPr>
        <w:t xml:space="preserve"> </w:t>
      </w:r>
      <w:r w:rsidR="00CF30EE">
        <w:rPr>
          <w:lang w:eastAsia="cs-CZ"/>
        </w:rPr>
        <w:t xml:space="preserve">požadované </w:t>
      </w:r>
      <w:r w:rsidR="0058231D">
        <w:rPr>
          <w:lang w:eastAsia="cs-CZ"/>
        </w:rPr>
        <w:t>kvalit</w:t>
      </w:r>
      <w:r w:rsidR="00CF30EE">
        <w:rPr>
          <w:lang w:eastAsia="cs-CZ"/>
        </w:rPr>
        <w:t xml:space="preserve">y </w:t>
      </w:r>
      <w:r w:rsidR="0058231D">
        <w:rPr>
          <w:lang w:eastAsia="cs-CZ"/>
        </w:rPr>
        <w:t xml:space="preserve">pitné vody. </w:t>
      </w:r>
      <w:r w:rsidR="0002618A">
        <w:rPr>
          <w:lang w:eastAsia="cs-CZ"/>
        </w:rPr>
        <w:t>Samotná realizace projektů nebyla předmětem kontroly.</w:t>
      </w:r>
    </w:p>
    <w:p w14:paraId="1B22DA77" w14:textId="77777777" w:rsidR="00961E6F" w:rsidRPr="00BF188C" w:rsidRDefault="00097721" w:rsidP="001857FE">
      <w:pPr>
        <w:rPr>
          <w:szCs w:val="24"/>
          <w:lang w:eastAsia="cs-CZ"/>
        </w:rPr>
      </w:pPr>
      <w:r>
        <w:rPr>
          <w:szCs w:val="24"/>
          <w:lang w:eastAsia="cs-CZ"/>
        </w:rPr>
        <w:lastRenderedPageBreak/>
        <w:t>Z</w:t>
      </w:r>
      <w:r w:rsidR="0002618A">
        <w:rPr>
          <w:szCs w:val="24"/>
          <w:lang w:eastAsia="cs-CZ"/>
        </w:rPr>
        <w:t xml:space="preserve"> hlediska znečištění vody antropogenními vlivy </w:t>
      </w:r>
      <w:r w:rsidR="00803063" w:rsidRPr="00BF188C">
        <w:rPr>
          <w:szCs w:val="24"/>
          <w:lang w:eastAsia="cs-CZ"/>
        </w:rPr>
        <w:t>se kontrola z</w:t>
      </w:r>
      <w:r w:rsidR="003E6778" w:rsidRPr="00BF188C">
        <w:rPr>
          <w:szCs w:val="24"/>
          <w:lang w:eastAsia="cs-CZ"/>
        </w:rPr>
        <w:t>abývala</w:t>
      </w:r>
      <w:r w:rsidR="00803063" w:rsidRPr="00BF188C">
        <w:rPr>
          <w:szCs w:val="24"/>
          <w:lang w:eastAsia="cs-CZ"/>
        </w:rPr>
        <w:t xml:space="preserve"> zemědělskou činnost</w:t>
      </w:r>
      <w:r w:rsidR="003E6778" w:rsidRPr="00BF188C">
        <w:rPr>
          <w:szCs w:val="24"/>
          <w:lang w:eastAsia="cs-CZ"/>
        </w:rPr>
        <w:t>í</w:t>
      </w:r>
      <w:r w:rsidR="00803063" w:rsidRPr="00BF188C">
        <w:rPr>
          <w:szCs w:val="24"/>
          <w:lang w:eastAsia="cs-CZ"/>
        </w:rPr>
        <w:t xml:space="preserve"> a</w:t>
      </w:r>
      <w:r w:rsidR="00555236" w:rsidRPr="00BF188C">
        <w:rPr>
          <w:szCs w:val="24"/>
          <w:lang w:eastAsia="cs-CZ"/>
        </w:rPr>
        <w:t> </w:t>
      </w:r>
      <w:r w:rsidR="00803063" w:rsidRPr="00BF188C">
        <w:rPr>
          <w:szCs w:val="24"/>
          <w:lang w:eastAsia="cs-CZ"/>
        </w:rPr>
        <w:t>její</w:t>
      </w:r>
      <w:r w:rsidR="003E6778" w:rsidRPr="00BF188C">
        <w:rPr>
          <w:szCs w:val="24"/>
          <w:lang w:eastAsia="cs-CZ"/>
        </w:rPr>
        <w:t>m</w:t>
      </w:r>
      <w:r w:rsidR="0003656C" w:rsidRPr="00BF188C">
        <w:rPr>
          <w:szCs w:val="24"/>
          <w:lang w:eastAsia="cs-CZ"/>
        </w:rPr>
        <w:t xml:space="preserve"> </w:t>
      </w:r>
      <w:r w:rsidR="00803063" w:rsidRPr="00BF188C">
        <w:rPr>
          <w:szCs w:val="24"/>
          <w:lang w:eastAsia="cs-CZ"/>
        </w:rPr>
        <w:t>vliv</w:t>
      </w:r>
      <w:r w:rsidR="003E6778" w:rsidRPr="00BF188C">
        <w:rPr>
          <w:szCs w:val="24"/>
          <w:lang w:eastAsia="cs-CZ"/>
        </w:rPr>
        <w:t>em</w:t>
      </w:r>
      <w:r w:rsidR="00803063" w:rsidRPr="00BF188C">
        <w:rPr>
          <w:szCs w:val="24"/>
          <w:lang w:eastAsia="cs-CZ"/>
        </w:rPr>
        <w:t xml:space="preserve"> na kvalitu vod. U </w:t>
      </w:r>
      <w:proofErr w:type="spellStart"/>
      <w:proofErr w:type="gramStart"/>
      <w:r w:rsidR="00803063" w:rsidRPr="00BF188C">
        <w:rPr>
          <w:szCs w:val="24"/>
          <w:lang w:eastAsia="cs-CZ"/>
        </w:rPr>
        <w:t>MZe</w:t>
      </w:r>
      <w:proofErr w:type="spellEnd"/>
      <w:proofErr w:type="gramEnd"/>
      <w:r w:rsidR="00803063" w:rsidRPr="00BF188C">
        <w:rPr>
          <w:szCs w:val="24"/>
          <w:lang w:eastAsia="cs-CZ"/>
        </w:rPr>
        <w:t xml:space="preserve"> bylo proto ověřeno </w:t>
      </w:r>
      <w:r w:rsidR="00961E6F" w:rsidRPr="00BF188C">
        <w:rPr>
          <w:szCs w:val="24"/>
          <w:lang w:eastAsia="cs-CZ"/>
        </w:rPr>
        <w:t>nastavení monitoringu spotřebovávaných pesticidů a</w:t>
      </w:r>
      <w:r>
        <w:rPr>
          <w:szCs w:val="24"/>
          <w:lang w:eastAsia="cs-CZ"/>
        </w:rPr>
        <w:t xml:space="preserve"> </w:t>
      </w:r>
      <w:r w:rsidR="00961E6F" w:rsidRPr="00BF188C">
        <w:rPr>
          <w:szCs w:val="24"/>
          <w:lang w:eastAsia="cs-CZ"/>
        </w:rPr>
        <w:t>dusičnanů v</w:t>
      </w:r>
      <w:r>
        <w:rPr>
          <w:szCs w:val="24"/>
          <w:lang w:eastAsia="cs-CZ"/>
        </w:rPr>
        <w:t xml:space="preserve"> </w:t>
      </w:r>
      <w:r w:rsidR="00961E6F" w:rsidRPr="00BF188C">
        <w:rPr>
          <w:szCs w:val="24"/>
          <w:lang w:eastAsia="cs-CZ"/>
        </w:rPr>
        <w:t>zemědělské výrobě</w:t>
      </w:r>
      <w:r w:rsidR="001857FE" w:rsidRPr="00BF188C">
        <w:rPr>
          <w:szCs w:val="24"/>
          <w:lang w:eastAsia="cs-CZ"/>
        </w:rPr>
        <w:t xml:space="preserve">, </w:t>
      </w:r>
      <w:r w:rsidR="00961E6F" w:rsidRPr="00BF188C">
        <w:rPr>
          <w:szCs w:val="24"/>
          <w:lang w:eastAsia="cs-CZ"/>
        </w:rPr>
        <w:t xml:space="preserve">nastavení a uplatňování podmínek pro poskytování přímých plateb a vybraných plateb v rámci </w:t>
      </w:r>
      <w:r w:rsidR="00961E6F" w:rsidRPr="00C701AD">
        <w:rPr>
          <w:i/>
          <w:szCs w:val="24"/>
          <w:lang w:eastAsia="cs-CZ"/>
        </w:rPr>
        <w:t>Programu rozvoje venkova 2014–</w:t>
      </w:r>
      <w:r w:rsidR="001857FE" w:rsidRPr="00C701AD">
        <w:rPr>
          <w:i/>
          <w:szCs w:val="24"/>
          <w:lang w:eastAsia="cs-CZ"/>
        </w:rPr>
        <w:t>2020</w:t>
      </w:r>
      <w:r w:rsidR="001857FE" w:rsidRPr="00BF188C">
        <w:rPr>
          <w:szCs w:val="24"/>
          <w:lang w:eastAsia="cs-CZ"/>
        </w:rPr>
        <w:t xml:space="preserve"> a</w:t>
      </w:r>
      <w:r w:rsidR="003819F1" w:rsidRPr="00BF188C">
        <w:rPr>
          <w:szCs w:val="24"/>
          <w:lang w:eastAsia="cs-CZ"/>
        </w:rPr>
        <w:t> </w:t>
      </w:r>
      <w:r w:rsidR="00961E6F" w:rsidRPr="00BF188C">
        <w:rPr>
          <w:szCs w:val="24"/>
          <w:lang w:eastAsia="cs-CZ"/>
        </w:rPr>
        <w:t xml:space="preserve">uplatňování zásad </w:t>
      </w:r>
      <w:r w:rsidR="001C43CE">
        <w:rPr>
          <w:szCs w:val="24"/>
          <w:lang w:eastAsia="cs-CZ"/>
        </w:rPr>
        <w:t>IOR</w:t>
      </w:r>
      <w:r w:rsidR="00876452" w:rsidRPr="00BF188C">
        <w:rPr>
          <w:szCs w:val="24"/>
          <w:lang w:eastAsia="cs-CZ"/>
        </w:rPr>
        <w:t>.</w:t>
      </w:r>
    </w:p>
    <w:p w14:paraId="2323C74C" w14:textId="77777777" w:rsidR="002D2605" w:rsidRDefault="00BF188C" w:rsidP="00BF188C">
      <w:pPr>
        <w:pStyle w:val="Textkomente"/>
        <w:rPr>
          <w:lang w:eastAsia="cs-CZ"/>
        </w:rPr>
      </w:pPr>
      <w:r w:rsidRPr="006F4BCA">
        <w:rPr>
          <w:sz w:val="24"/>
          <w:szCs w:val="24"/>
          <w:lang w:eastAsia="cs-CZ"/>
        </w:rPr>
        <w:t>Účelnost vynaložených peněžních prostředků posuzoval NKÚ ve vztahu k plnění cílů stanovených v</w:t>
      </w:r>
      <w:r w:rsidR="00097721">
        <w:rPr>
          <w:sz w:val="24"/>
          <w:szCs w:val="24"/>
          <w:lang w:eastAsia="cs-CZ"/>
        </w:rPr>
        <w:t xml:space="preserve"> n</w:t>
      </w:r>
      <w:r w:rsidRPr="006F4BCA">
        <w:rPr>
          <w:sz w:val="24"/>
          <w:szCs w:val="24"/>
          <w:lang w:eastAsia="cs-CZ"/>
        </w:rPr>
        <w:t>árodních akčních plánech. Efektivnost byla posuzována v</w:t>
      </w:r>
      <w:r w:rsidR="00097721">
        <w:rPr>
          <w:sz w:val="24"/>
          <w:szCs w:val="24"/>
          <w:lang w:eastAsia="cs-CZ"/>
        </w:rPr>
        <w:t xml:space="preserve"> </w:t>
      </w:r>
      <w:r w:rsidRPr="006F4BCA">
        <w:rPr>
          <w:sz w:val="24"/>
          <w:szCs w:val="24"/>
          <w:lang w:eastAsia="cs-CZ"/>
        </w:rPr>
        <w:t xml:space="preserve">souvislosti s realizovanými opatřeními </w:t>
      </w:r>
      <w:r w:rsidR="00097721">
        <w:rPr>
          <w:sz w:val="24"/>
          <w:szCs w:val="24"/>
          <w:lang w:eastAsia="cs-CZ"/>
        </w:rPr>
        <w:t>n</w:t>
      </w:r>
      <w:r w:rsidRPr="006F4BCA">
        <w:rPr>
          <w:sz w:val="24"/>
          <w:szCs w:val="24"/>
          <w:lang w:eastAsia="cs-CZ"/>
        </w:rPr>
        <w:t xml:space="preserve">árodních akčních plánů a jejich přínosem v podobě </w:t>
      </w:r>
      <w:r w:rsidRPr="006F4BCA">
        <w:rPr>
          <w:rFonts w:cstheme="minorHAnsi"/>
          <w:sz w:val="24"/>
          <w:szCs w:val="24"/>
          <w:lang w:eastAsia="cs-CZ"/>
        </w:rPr>
        <w:t xml:space="preserve">snížení znečištění podzemních a povrchových vod </w:t>
      </w:r>
      <w:r w:rsidRPr="006F4BCA">
        <w:rPr>
          <w:sz w:val="24"/>
          <w:szCs w:val="24"/>
        </w:rPr>
        <w:t>pesticidními látkami</w:t>
      </w:r>
      <w:r w:rsidRPr="006F4BCA">
        <w:rPr>
          <w:rFonts w:cstheme="minorHAnsi"/>
          <w:sz w:val="24"/>
          <w:szCs w:val="24"/>
          <w:lang w:eastAsia="cs-CZ"/>
        </w:rPr>
        <w:t>.</w:t>
      </w:r>
    </w:p>
    <w:p w14:paraId="2EA16DB3" w14:textId="77777777" w:rsidR="00555236" w:rsidRDefault="007777C8" w:rsidP="006671B8">
      <w:pPr>
        <w:keepNext/>
        <w:spacing w:after="0"/>
        <w:rPr>
          <w:lang w:eastAsia="cs-CZ"/>
        </w:rPr>
      </w:pPr>
      <w:r>
        <w:rPr>
          <w:lang w:eastAsia="cs-CZ"/>
        </w:rPr>
        <w:t xml:space="preserve">Kontrolovaný objem finančních prostředků na </w:t>
      </w:r>
      <w:r w:rsidRPr="00855BDB">
        <w:rPr>
          <w:lang w:eastAsia="cs-CZ"/>
        </w:rPr>
        <w:t>systémové úrovni</w:t>
      </w:r>
      <w:r>
        <w:rPr>
          <w:lang w:eastAsia="cs-CZ"/>
        </w:rPr>
        <w:t xml:space="preserve"> činil </w:t>
      </w:r>
      <w:r w:rsidRPr="00D17AD7">
        <w:rPr>
          <w:lang w:eastAsia="cs-CZ"/>
        </w:rPr>
        <w:t xml:space="preserve">celkem </w:t>
      </w:r>
      <w:r w:rsidR="001E6957">
        <w:rPr>
          <w:lang w:eastAsia="cs-CZ"/>
        </w:rPr>
        <w:t>2</w:t>
      </w:r>
      <w:r w:rsidR="00D407A1">
        <w:rPr>
          <w:lang w:eastAsia="cs-CZ"/>
        </w:rPr>
        <w:t> </w:t>
      </w:r>
      <w:r w:rsidR="001E6957">
        <w:rPr>
          <w:lang w:eastAsia="cs-CZ"/>
        </w:rPr>
        <w:t>7</w:t>
      </w:r>
      <w:r w:rsidR="00D407A1">
        <w:rPr>
          <w:lang w:eastAsia="cs-CZ"/>
        </w:rPr>
        <w:t>55 310</w:t>
      </w:r>
      <w:r w:rsidR="009466F9">
        <w:rPr>
          <w:lang w:eastAsia="cs-CZ"/>
        </w:rPr>
        <w:t> </w:t>
      </w:r>
      <w:r w:rsidR="00D407A1">
        <w:rPr>
          <w:lang w:eastAsia="cs-CZ"/>
        </w:rPr>
        <w:t>250</w:t>
      </w:r>
      <w:r w:rsidR="009466F9">
        <w:rPr>
          <w:lang w:eastAsia="cs-CZ"/>
        </w:rPr>
        <w:t> </w:t>
      </w:r>
      <w:r>
        <w:rPr>
          <w:lang w:eastAsia="cs-CZ"/>
        </w:rPr>
        <w:t>Kč a</w:t>
      </w:r>
      <w:r w:rsidR="003819F1">
        <w:rPr>
          <w:lang w:eastAsia="cs-CZ"/>
        </w:rPr>
        <w:t> </w:t>
      </w:r>
      <w:r>
        <w:rPr>
          <w:lang w:eastAsia="cs-CZ"/>
        </w:rPr>
        <w:t>zahrnoval:</w:t>
      </w:r>
    </w:p>
    <w:p w14:paraId="01FA439F" w14:textId="77777777" w:rsidR="00441061" w:rsidRPr="00B12CF0" w:rsidRDefault="00441061" w:rsidP="0034520F">
      <w:pPr>
        <w:pStyle w:val="Odstavecseseznamem"/>
        <w:numPr>
          <w:ilvl w:val="0"/>
          <w:numId w:val="3"/>
        </w:numPr>
        <w:rPr>
          <w:lang w:eastAsia="cs-CZ"/>
        </w:rPr>
      </w:pPr>
      <w:r w:rsidRPr="00B12CF0">
        <w:rPr>
          <w:lang w:eastAsia="cs-CZ"/>
        </w:rPr>
        <w:t>peněžní prostředky na realizaci cílů a opatření NAP 2013</w:t>
      </w:r>
      <w:r w:rsidR="003B6F80">
        <w:rPr>
          <w:lang w:eastAsia="cs-CZ"/>
        </w:rPr>
        <w:t>–</w:t>
      </w:r>
      <w:r w:rsidRPr="00B12CF0">
        <w:rPr>
          <w:lang w:eastAsia="cs-CZ"/>
        </w:rPr>
        <w:t>2017 a NAP 2018</w:t>
      </w:r>
      <w:r w:rsidR="003B6F80">
        <w:rPr>
          <w:lang w:eastAsia="cs-CZ"/>
        </w:rPr>
        <w:t>–</w:t>
      </w:r>
      <w:r w:rsidR="001E6957">
        <w:rPr>
          <w:lang w:eastAsia="cs-CZ"/>
        </w:rPr>
        <w:t>2022 ve výši 65 032 068 Kč</w:t>
      </w:r>
      <w:r w:rsidRPr="00B12CF0">
        <w:rPr>
          <w:lang w:eastAsia="cs-CZ"/>
        </w:rPr>
        <w:t>;</w:t>
      </w:r>
    </w:p>
    <w:p w14:paraId="7900EB32" w14:textId="77777777" w:rsidR="007777C8" w:rsidRPr="00B12CF0" w:rsidRDefault="007777C8" w:rsidP="0034520F">
      <w:pPr>
        <w:pStyle w:val="Odstavecseseznamem"/>
        <w:numPr>
          <w:ilvl w:val="0"/>
          <w:numId w:val="3"/>
        </w:numPr>
        <w:rPr>
          <w:lang w:eastAsia="cs-CZ"/>
        </w:rPr>
      </w:pPr>
      <w:r w:rsidRPr="00B12CF0">
        <w:rPr>
          <w:lang w:eastAsia="cs-CZ"/>
        </w:rPr>
        <w:t xml:space="preserve">peněžní prostředky </w:t>
      </w:r>
      <w:r w:rsidR="00097721">
        <w:rPr>
          <w:lang w:eastAsia="cs-CZ"/>
        </w:rPr>
        <w:t xml:space="preserve">vynaložené </w:t>
      </w:r>
      <w:r w:rsidRPr="00B12CF0">
        <w:rPr>
          <w:lang w:eastAsia="cs-CZ"/>
        </w:rPr>
        <w:t xml:space="preserve">na monitoring jakosti </w:t>
      </w:r>
      <w:r w:rsidR="00C069E8">
        <w:rPr>
          <w:lang w:eastAsia="cs-CZ"/>
        </w:rPr>
        <w:t>PZV</w:t>
      </w:r>
      <w:r w:rsidR="00671C0F">
        <w:rPr>
          <w:lang w:eastAsia="cs-CZ"/>
        </w:rPr>
        <w:t xml:space="preserve"> </w:t>
      </w:r>
      <w:r w:rsidR="001E6957">
        <w:rPr>
          <w:lang w:eastAsia="cs-CZ"/>
        </w:rPr>
        <w:t xml:space="preserve">ve výši </w:t>
      </w:r>
      <w:r w:rsidR="006E5505">
        <w:rPr>
          <w:lang w:eastAsia="cs-CZ"/>
        </w:rPr>
        <w:t>113 554</w:t>
      </w:r>
      <w:r w:rsidR="009466F9">
        <w:rPr>
          <w:lang w:eastAsia="cs-CZ"/>
        </w:rPr>
        <w:t> </w:t>
      </w:r>
      <w:r w:rsidR="006E5505">
        <w:rPr>
          <w:lang w:eastAsia="cs-CZ"/>
        </w:rPr>
        <w:t>438</w:t>
      </w:r>
      <w:r w:rsidR="009466F9">
        <w:rPr>
          <w:lang w:eastAsia="cs-CZ"/>
        </w:rPr>
        <w:t> </w:t>
      </w:r>
      <w:r w:rsidRPr="00B12CF0">
        <w:rPr>
          <w:lang w:eastAsia="cs-CZ"/>
        </w:rPr>
        <w:t>Kč</w:t>
      </w:r>
      <w:r w:rsidR="001E6957">
        <w:rPr>
          <w:rStyle w:val="Znakapoznpodarou"/>
          <w:lang w:eastAsia="cs-CZ"/>
        </w:rPr>
        <w:footnoteReference w:id="25"/>
      </w:r>
      <w:r w:rsidRPr="00B12CF0">
        <w:rPr>
          <w:lang w:eastAsia="cs-CZ"/>
        </w:rPr>
        <w:t>;</w:t>
      </w:r>
    </w:p>
    <w:p w14:paraId="334BE576" w14:textId="77777777" w:rsidR="00441061" w:rsidRDefault="00441061" w:rsidP="00167E4D">
      <w:pPr>
        <w:pStyle w:val="Odstavecseseznamem"/>
        <w:numPr>
          <w:ilvl w:val="0"/>
          <w:numId w:val="3"/>
        </w:numPr>
        <w:rPr>
          <w:lang w:eastAsia="cs-CZ"/>
        </w:rPr>
      </w:pPr>
      <w:r w:rsidRPr="00B12CF0">
        <w:rPr>
          <w:lang w:eastAsia="cs-CZ"/>
        </w:rPr>
        <w:t>celkové</w:t>
      </w:r>
      <w:r w:rsidR="0024230C" w:rsidRPr="00B12CF0">
        <w:rPr>
          <w:lang w:eastAsia="cs-CZ"/>
        </w:rPr>
        <w:t xml:space="preserve"> </w:t>
      </w:r>
      <w:r w:rsidRPr="00B12CF0">
        <w:rPr>
          <w:lang w:eastAsia="cs-CZ"/>
        </w:rPr>
        <w:t xml:space="preserve">výdaje na realizaci vybraných projektů zaměřených na modernizaci technologií úpraven vod ve výši </w:t>
      </w:r>
      <w:r w:rsidR="003025B6" w:rsidRPr="00B12CF0">
        <w:rPr>
          <w:lang w:eastAsia="cs-CZ"/>
        </w:rPr>
        <w:t>2 5</w:t>
      </w:r>
      <w:r w:rsidR="001E6957">
        <w:rPr>
          <w:lang w:eastAsia="cs-CZ"/>
        </w:rPr>
        <w:t xml:space="preserve">62 265 744 </w:t>
      </w:r>
      <w:r w:rsidR="006B4ACA" w:rsidRPr="00B12CF0">
        <w:rPr>
          <w:lang w:eastAsia="cs-CZ"/>
        </w:rPr>
        <w:t>Kč</w:t>
      </w:r>
      <w:r w:rsidR="001E6957">
        <w:rPr>
          <w:lang w:eastAsia="cs-CZ"/>
        </w:rPr>
        <w:t xml:space="preserve"> u MŽP a 14 458 000 Kč</w:t>
      </w:r>
      <w:r w:rsidR="00391B63">
        <w:rPr>
          <w:lang w:eastAsia="cs-CZ"/>
        </w:rPr>
        <w:t xml:space="preserve"> </w:t>
      </w:r>
      <w:r w:rsidR="001E6957">
        <w:rPr>
          <w:lang w:eastAsia="cs-CZ"/>
        </w:rPr>
        <w:t xml:space="preserve">u </w:t>
      </w:r>
      <w:proofErr w:type="spellStart"/>
      <w:proofErr w:type="gramStart"/>
      <w:r w:rsidR="001E6957">
        <w:rPr>
          <w:lang w:eastAsia="cs-CZ"/>
        </w:rPr>
        <w:t>MZe</w:t>
      </w:r>
      <w:proofErr w:type="spellEnd"/>
      <w:proofErr w:type="gramEnd"/>
      <w:r w:rsidR="001E6957">
        <w:rPr>
          <w:lang w:eastAsia="cs-CZ"/>
        </w:rPr>
        <w:t>.</w:t>
      </w:r>
    </w:p>
    <w:p w14:paraId="01AEB9DC" w14:textId="77777777" w:rsidR="001D3AE9" w:rsidRDefault="00242E73" w:rsidP="00082059">
      <w:pPr>
        <w:pStyle w:val="Nadpis1"/>
        <w:numPr>
          <w:ilvl w:val="0"/>
          <w:numId w:val="0"/>
        </w:numPr>
        <w:spacing w:before="480"/>
        <w:jc w:val="center"/>
      </w:pPr>
      <w:r>
        <w:t xml:space="preserve">IV. </w:t>
      </w:r>
      <w:r w:rsidR="001D3AE9" w:rsidRPr="00517A9E">
        <w:t>PODROBNÉ SKUTEČNOSTI ZJIŠTĚNÉ KONTROLOU</w:t>
      </w:r>
    </w:p>
    <w:p w14:paraId="271CE62B" w14:textId="77777777" w:rsidR="00B4479D" w:rsidRDefault="00770FE1" w:rsidP="00442B6D">
      <w:pPr>
        <w:pStyle w:val="Nadpis1"/>
        <w:numPr>
          <w:ilvl w:val="0"/>
          <w:numId w:val="21"/>
        </w:numPr>
      </w:pPr>
      <w:r>
        <w:t>N</w:t>
      </w:r>
      <w:r w:rsidR="00F66BC8">
        <w:t>árodní cíle zlepšování kvality vod</w:t>
      </w:r>
    </w:p>
    <w:p w14:paraId="1AB6D0C6" w14:textId="77777777" w:rsidR="001803B5" w:rsidRDefault="001803B5" w:rsidP="001803B5">
      <w:pPr>
        <w:rPr>
          <w:i/>
        </w:rPr>
      </w:pPr>
      <w:r w:rsidRPr="00D82BE9">
        <w:t>V souladu s</w:t>
      </w:r>
      <w:r>
        <w:t> </w:t>
      </w:r>
      <w:r w:rsidRPr="00D82BE9">
        <w:t>požadavkem</w:t>
      </w:r>
      <w:r>
        <w:t xml:space="preserve"> E</w:t>
      </w:r>
      <w:r w:rsidR="00EC505A">
        <w:t>U</w:t>
      </w:r>
      <w:r>
        <w:t xml:space="preserve"> </w:t>
      </w:r>
      <w:r w:rsidR="00097721">
        <w:t>vy</w:t>
      </w:r>
      <w:r>
        <w:t>pracoval</w:t>
      </w:r>
      <w:r w:rsidR="007E2C42">
        <w:t>y</w:t>
      </w:r>
      <w:r w:rsidR="004B7668">
        <w:t xml:space="preserve"> </w:t>
      </w:r>
      <w:proofErr w:type="spellStart"/>
      <w:r w:rsidR="004B7668">
        <w:t>MZe</w:t>
      </w:r>
      <w:proofErr w:type="spellEnd"/>
      <w:r w:rsidR="00F23413">
        <w:t>,</w:t>
      </w:r>
      <w:r w:rsidR="004B7668">
        <w:t> MŽP a</w:t>
      </w:r>
      <w:r w:rsidR="00344C09">
        <w:t> </w:t>
      </w:r>
      <w:proofErr w:type="spellStart"/>
      <w:r w:rsidR="004B7668">
        <w:t>MZd</w:t>
      </w:r>
      <w:proofErr w:type="spellEnd"/>
      <w:r w:rsidR="004B7668">
        <w:t xml:space="preserve"> </w:t>
      </w:r>
      <w:r w:rsidR="00723EA1">
        <w:t xml:space="preserve">dva na sebe navazující </w:t>
      </w:r>
      <w:r w:rsidR="00097721">
        <w:t>n</w:t>
      </w:r>
      <w:r>
        <w:t>árodní akční plán</w:t>
      </w:r>
      <w:r w:rsidR="0027722D">
        <w:t>y</w:t>
      </w:r>
      <w:r>
        <w:t xml:space="preserve"> za účelem stanovení úkolů, cílů a opatření pro snížení rizik a omezení dopadů používání pesticidů na lidské zdraví a na životní prostředí</w:t>
      </w:r>
      <w:r w:rsidR="00E26B37">
        <w:t xml:space="preserve">. Cílem jejich </w:t>
      </w:r>
      <w:r w:rsidR="00097721">
        <w:t>tvorby</w:t>
      </w:r>
      <w:r w:rsidR="00E26B37">
        <w:t xml:space="preserve"> bylo</w:t>
      </w:r>
      <w:r>
        <w:t xml:space="preserve"> </w:t>
      </w:r>
      <w:r w:rsidR="00097721">
        <w:t xml:space="preserve">také </w:t>
      </w:r>
      <w:r>
        <w:t xml:space="preserve">podpořit vývoj a zavádění </w:t>
      </w:r>
      <w:r w:rsidR="00175A3C">
        <w:t>IOR</w:t>
      </w:r>
      <w:r>
        <w:t xml:space="preserve"> a alternativních přístupů nebo postupů pro snížení závislosti na používání pesticidů.</w:t>
      </w:r>
      <w:r w:rsidR="00D46CCD">
        <w:t xml:space="preserve"> </w:t>
      </w:r>
      <w:r>
        <w:t>V roce 2012 byl usnesením vlády</w:t>
      </w:r>
      <w:r w:rsidR="004B7668">
        <w:rPr>
          <w:rStyle w:val="Znakapoznpodarou"/>
        </w:rPr>
        <w:footnoteReference w:id="26"/>
      </w:r>
      <w:r>
        <w:t xml:space="preserve"> přijat </w:t>
      </w:r>
      <w:r w:rsidRPr="00F1632C">
        <w:rPr>
          <w:i/>
        </w:rPr>
        <w:t>Národní akční plán ke snížení používání pesticidů v České republice</w:t>
      </w:r>
      <w:r>
        <w:t xml:space="preserve"> pro období 2013</w:t>
      </w:r>
      <w:r w:rsidR="004332DA" w:rsidRPr="004332DA">
        <w:t>–</w:t>
      </w:r>
      <w:r>
        <w:t>2017.</w:t>
      </w:r>
      <w:r w:rsidR="00D46CCD">
        <w:t xml:space="preserve"> V roce 2018 pak byl usnesením vlády</w:t>
      </w:r>
      <w:r w:rsidR="00D46CCD">
        <w:rPr>
          <w:rStyle w:val="Znakapoznpodarou"/>
          <w:rFonts w:ascii="Calibri" w:hAnsi="Calibri"/>
        </w:rPr>
        <w:footnoteReference w:id="27"/>
      </w:r>
      <w:r w:rsidR="00D46CCD">
        <w:t xml:space="preserve"> schválen navazující </w:t>
      </w:r>
      <w:r w:rsidR="00D46CCD" w:rsidRPr="00D23102">
        <w:rPr>
          <w:i/>
        </w:rPr>
        <w:t>Národní akční plán k bezpečnému používání pesticidů v</w:t>
      </w:r>
      <w:r w:rsidR="00097721">
        <w:rPr>
          <w:i/>
        </w:rPr>
        <w:t> </w:t>
      </w:r>
      <w:r w:rsidR="00D46CCD" w:rsidRPr="00D23102">
        <w:rPr>
          <w:i/>
        </w:rPr>
        <w:t>Č</w:t>
      </w:r>
      <w:r w:rsidR="00097721">
        <w:rPr>
          <w:i/>
        </w:rPr>
        <w:t>eské republice</w:t>
      </w:r>
      <w:r w:rsidR="00D46CCD" w:rsidRPr="00D23102">
        <w:rPr>
          <w:i/>
        </w:rPr>
        <w:t xml:space="preserve"> pro 2018</w:t>
      </w:r>
      <w:r w:rsidR="00D46CCD" w:rsidRPr="00F1632C">
        <w:rPr>
          <w:i/>
        </w:rPr>
        <w:t>–2022</w:t>
      </w:r>
      <w:r w:rsidR="00D46CCD">
        <w:rPr>
          <w:i/>
        </w:rPr>
        <w:t>.</w:t>
      </w:r>
    </w:p>
    <w:p w14:paraId="7273FB8B" w14:textId="77777777" w:rsidR="00B85D32" w:rsidRDefault="006264A7" w:rsidP="00D46CCD">
      <w:r>
        <w:t>Návrh</w:t>
      </w:r>
      <w:r w:rsidR="00D46CCD">
        <w:t xml:space="preserve"> </w:t>
      </w:r>
      <w:r w:rsidR="006E7668">
        <w:t>NAP 201</w:t>
      </w:r>
      <w:r>
        <w:t>8</w:t>
      </w:r>
      <w:r w:rsidR="006E7668">
        <w:t>–20</w:t>
      </w:r>
      <w:r>
        <w:t>22</w:t>
      </w:r>
      <w:r w:rsidR="00D46CCD">
        <w:t xml:space="preserve"> </w:t>
      </w:r>
      <w:proofErr w:type="spellStart"/>
      <w:r w:rsidR="00D46CCD">
        <w:t>MZe</w:t>
      </w:r>
      <w:proofErr w:type="spellEnd"/>
      <w:r w:rsidR="00D46CCD">
        <w:t xml:space="preserve"> poprvé předložilo vládě ČR na začátku roku 2018, a to bez předchozího projednání </w:t>
      </w:r>
      <w:r w:rsidR="008043BB" w:rsidRPr="0093241E">
        <w:t>v</w:t>
      </w:r>
      <w:r w:rsidR="008043BB">
        <w:t> </w:t>
      </w:r>
      <w:r w:rsidR="0093241E" w:rsidRPr="0093241E">
        <w:t>meziresortním připomínkovém řízení</w:t>
      </w:r>
      <w:r w:rsidR="00A806FE">
        <w:t>.</w:t>
      </w:r>
      <w:r w:rsidR="008043BB">
        <w:t xml:space="preserve"> MŽP</w:t>
      </w:r>
      <w:r w:rsidR="00BC0298">
        <w:t xml:space="preserve"> a</w:t>
      </w:r>
      <w:r w:rsidR="008043BB">
        <w:t xml:space="preserve"> </w:t>
      </w:r>
      <w:proofErr w:type="spellStart"/>
      <w:r w:rsidR="008043BB">
        <w:t>MZd</w:t>
      </w:r>
      <w:proofErr w:type="spellEnd"/>
      <w:r w:rsidR="008043BB">
        <w:t xml:space="preserve"> tak nemohly uplatnit připomínky a </w:t>
      </w:r>
      <w:r w:rsidR="00DB7CE1">
        <w:t xml:space="preserve">NAP </w:t>
      </w:r>
      <w:r w:rsidR="00B85D32" w:rsidRPr="008A348D">
        <w:t>2018</w:t>
      </w:r>
      <w:r w:rsidR="00097721">
        <w:t>–</w:t>
      </w:r>
      <w:r w:rsidR="00B85D32" w:rsidRPr="008A348D">
        <w:t>2022</w:t>
      </w:r>
      <w:r w:rsidR="00893420">
        <w:t xml:space="preserve"> </w:t>
      </w:r>
      <w:r w:rsidR="00346007">
        <w:t>b</w:t>
      </w:r>
      <w:r w:rsidR="0093241E" w:rsidRPr="00C922A3">
        <w:t xml:space="preserve">yl vládě ČR </w:t>
      </w:r>
      <w:r w:rsidR="00C922A3">
        <w:t xml:space="preserve">poprvé </w:t>
      </w:r>
      <w:r w:rsidR="0093241E" w:rsidRPr="00C922A3">
        <w:t xml:space="preserve">předložen </w:t>
      </w:r>
      <w:r w:rsidR="00346007">
        <w:t>bez vzájemné shody zúčastněných ministerstev.</w:t>
      </w:r>
      <w:r w:rsidR="0093241E" w:rsidRPr="0093241E">
        <w:t xml:space="preserve"> </w:t>
      </w:r>
      <w:r w:rsidR="00B85D32">
        <w:t>V témže roce si p</w:t>
      </w:r>
      <w:r w:rsidR="0093241E" w:rsidRPr="0093241E">
        <w:t xml:space="preserve">ro opakované předložení </w:t>
      </w:r>
      <w:r w:rsidR="00D722A1">
        <w:t>NAP 2018</w:t>
      </w:r>
      <w:r w:rsidR="00723EA1" w:rsidRPr="00F1632C">
        <w:rPr>
          <w:i/>
        </w:rPr>
        <w:t>–</w:t>
      </w:r>
      <w:r w:rsidR="00D722A1">
        <w:t xml:space="preserve">2022 </w:t>
      </w:r>
      <w:r w:rsidR="004163EF">
        <w:t xml:space="preserve">ke schválení </w:t>
      </w:r>
      <w:r w:rsidR="0093241E" w:rsidRPr="0093241E">
        <w:t>vládě ČR zajistilo</w:t>
      </w:r>
      <w:r w:rsidR="00B85D32">
        <w:t xml:space="preserve"> </w:t>
      </w:r>
      <w:proofErr w:type="spellStart"/>
      <w:r w:rsidR="00B85D32">
        <w:t>MZe</w:t>
      </w:r>
      <w:proofErr w:type="spellEnd"/>
      <w:r w:rsidR="0093241E" w:rsidRPr="0093241E">
        <w:t xml:space="preserve"> výjimku</w:t>
      </w:r>
      <w:r w:rsidR="00B84C78">
        <w:t xml:space="preserve"> </w:t>
      </w:r>
      <w:r w:rsidR="00D95406" w:rsidRPr="0093241E">
        <w:t>z</w:t>
      </w:r>
      <w:r w:rsidR="00D95406">
        <w:t> </w:t>
      </w:r>
      <w:r w:rsidR="0093241E" w:rsidRPr="0093241E">
        <w:t>meziresortního připomínkového řízení.</w:t>
      </w:r>
    </w:p>
    <w:p w14:paraId="6685E580" w14:textId="77777777" w:rsidR="00E50A91" w:rsidRDefault="00BA3020" w:rsidP="00175A3C">
      <w:pPr>
        <w:keepNext/>
        <w:spacing w:after="0"/>
      </w:pPr>
      <w:r>
        <w:t>N</w:t>
      </w:r>
      <w:r w:rsidR="00E50A91">
        <w:t>árodní</w:t>
      </w:r>
      <w:r w:rsidR="007A48CD">
        <w:t xml:space="preserve"> akční plány </w:t>
      </w:r>
      <w:r w:rsidR="00FA10DC">
        <w:t>byly</w:t>
      </w:r>
      <w:r w:rsidR="00E50A91">
        <w:t xml:space="preserve"> rozděleny do tří oblastí, které jsou </w:t>
      </w:r>
      <w:r w:rsidR="00FA10DC">
        <w:t>spojeny s</w:t>
      </w:r>
      <w:r w:rsidR="00E50A91">
        <w:t xml:space="preserve"> negativními dopady používání pesticidů, </w:t>
      </w:r>
      <w:r w:rsidR="00ED0942">
        <w:t>jsou</w:t>
      </w:r>
      <w:r w:rsidR="00E50A91">
        <w:t xml:space="preserve"> to:</w:t>
      </w:r>
    </w:p>
    <w:p w14:paraId="39C24FD1" w14:textId="77777777" w:rsidR="00E50A91" w:rsidRDefault="00E50A91" w:rsidP="00175A3C">
      <w:pPr>
        <w:pStyle w:val="Odstavecseseznamem"/>
        <w:keepNext/>
        <w:numPr>
          <w:ilvl w:val="0"/>
          <w:numId w:val="2"/>
        </w:numPr>
        <w:ind w:left="714" w:hanging="357"/>
      </w:pPr>
      <w:r>
        <w:t>ochrana zdraví lidí;</w:t>
      </w:r>
    </w:p>
    <w:p w14:paraId="6E7CE97A" w14:textId="77777777" w:rsidR="00E50A91" w:rsidRDefault="00E50A91" w:rsidP="00175A3C">
      <w:pPr>
        <w:pStyle w:val="Odstavecseseznamem"/>
        <w:keepNext/>
        <w:numPr>
          <w:ilvl w:val="0"/>
          <w:numId w:val="2"/>
        </w:numPr>
        <w:ind w:left="714" w:hanging="357"/>
      </w:pPr>
      <w:r>
        <w:t>ochrana podzemních a povrchových vod;</w:t>
      </w:r>
    </w:p>
    <w:p w14:paraId="4915E462" w14:textId="77777777" w:rsidR="00E50A91" w:rsidRDefault="00E50A91" w:rsidP="00BA3020">
      <w:pPr>
        <w:pStyle w:val="Odstavecseseznamem"/>
        <w:numPr>
          <w:ilvl w:val="0"/>
          <w:numId w:val="2"/>
        </w:numPr>
        <w:ind w:left="714" w:hanging="357"/>
        <w:contextualSpacing w:val="0"/>
      </w:pPr>
      <w:r>
        <w:t>ochrana necílových živých organismů.</w:t>
      </w:r>
    </w:p>
    <w:p w14:paraId="67E74F34" w14:textId="2ADCD065" w:rsidR="000373A1" w:rsidRDefault="00ED0942" w:rsidP="000373A1">
      <w:pPr>
        <w:pStyle w:val="Odstavecseseznamem"/>
        <w:ind w:left="0"/>
        <w:contextualSpacing w:val="0"/>
      </w:pPr>
      <w:r>
        <w:rPr>
          <w:rFonts w:cstheme="minorHAnsi"/>
          <w:szCs w:val="24"/>
          <w:lang w:eastAsia="cs-CZ"/>
        </w:rPr>
        <w:lastRenderedPageBreak/>
        <w:t>V obou</w:t>
      </w:r>
      <w:r w:rsidR="0099455E">
        <w:rPr>
          <w:rFonts w:cstheme="minorHAnsi"/>
          <w:szCs w:val="24"/>
          <w:lang w:eastAsia="cs-CZ"/>
        </w:rPr>
        <w:t xml:space="preserve"> </w:t>
      </w:r>
      <w:r>
        <w:rPr>
          <w:rFonts w:cstheme="minorHAnsi"/>
          <w:szCs w:val="24"/>
          <w:lang w:eastAsia="cs-CZ"/>
        </w:rPr>
        <w:t>n</w:t>
      </w:r>
      <w:r w:rsidR="0099455E">
        <w:rPr>
          <w:rFonts w:cstheme="minorHAnsi"/>
          <w:szCs w:val="24"/>
          <w:lang w:eastAsia="cs-CZ"/>
        </w:rPr>
        <w:t>árodní</w:t>
      </w:r>
      <w:r>
        <w:rPr>
          <w:rFonts w:cstheme="minorHAnsi"/>
          <w:szCs w:val="24"/>
          <w:lang w:eastAsia="cs-CZ"/>
        </w:rPr>
        <w:t>ch</w:t>
      </w:r>
      <w:r w:rsidR="0099455E">
        <w:rPr>
          <w:rFonts w:cstheme="minorHAnsi"/>
          <w:szCs w:val="24"/>
          <w:lang w:eastAsia="cs-CZ"/>
        </w:rPr>
        <w:t xml:space="preserve"> akční</w:t>
      </w:r>
      <w:r>
        <w:rPr>
          <w:rFonts w:cstheme="minorHAnsi"/>
          <w:szCs w:val="24"/>
          <w:lang w:eastAsia="cs-CZ"/>
        </w:rPr>
        <w:t>ch</w:t>
      </w:r>
      <w:r w:rsidR="0099455E">
        <w:rPr>
          <w:rFonts w:cstheme="minorHAnsi"/>
          <w:szCs w:val="24"/>
          <w:lang w:eastAsia="cs-CZ"/>
        </w:rPr>
        <w:t xml:space="preserve"> plán</w:t>
      </w:r>
      <w:r>
        <w:rPr>
          <w:rFonts w:cstheme="minorHAnsi"/>
          <w:szCs w:val="24"/>
          <w:lang w:eastAsia="cs-CZ"/>
        </w:rPr>
        <w:t>ech</w:t>
      </w:r>
      <w:r w:rsidR="0099455E">
        <w:rPr>
          <w:rFonts w:cstheme="minorHAnsi"/>
          <w:szCs w:val="24"/>
          <w:lang w:eastAsia="cs-CZ"/>
        </w:rPr>
        <w:t xml:space="preserve"> </w:t>
      </w:r>
      <w:r>
        <w:rPr>
          <w:rFonts w:cstheme="minorHAnsi"/>
          <w:szCs w:val="24"/>
          <w:lang w:eastAsia="cs-CZ"/>
        </w:rPr>
        <w:t>je</w:t>
      </w:r>
      <w:r w:rsidR="00C701AD">
        <w:rPr>
          <w:rFonts w:cstheme="minorHAnsi"/>
          <w:szCs w:val="24"/>
          <w:lang w:eastAsia="cs-CZ"/>
        </w:rPr>
        <w:t xml:space="preserve"> </w:t>
      </w:r>
      <w:r w:rsidR="0099455E" w:rsidRPr="007C3B67">
        <w:rPr>
          <w:rFonts w:cstheme="minorHAnsi"/>
          <w:szCs w:val="24"/>
          <w:lang w:eastAsia="cs-CZ"/>
        </w:rPr>
        <w:t>stanoven</w:t>
      </w:r>
      <w:r w:rsidR="00B84C78">
        <w:rPr>
          <w:rFonts w:cstheme="minorHAnsi"/>
          <w:szCs w:val="24"/>
          <w:lang w:eastAsia="cs-CZ"/>
        </w:rPr>
        <w:t xml:space="preserve"> strategický</w:t>
      </w:r>
      <w:r w:rsidR="0099455E" w:rsidRPr="007C3B67">
        <w:rPr>
          <w:rFonts w:cstheme="minorHAnsi"/>
          <w:szCs w:val="24"/>
          <w:lang w:eastAsia="cs-CZ"/>
        </w:rPr>
        <w:t xml:space="preserve"> cíl</w:t>
      </w:r>
      <w:r w:rsidR="0099455E" w:rsidRPr="007C3B67">
        <w:rPr>
          <w:rFonts w:cstheme="minorHAnsi"/>
          <w:i/>
          <w:szCs w:val="24"/>
          <w:lang w:eastAsia="cs-CZ"/>
        </w:rPr>
        <w:t xml:space="preserve"> </w:t>
      </w:r>
      <w:r w:rsidR="0099455E" w:rsidRPr="00030436">
        <w:rPr>
          <w:rFonts w:cstheme="minorHAnsi"/>
          <w:szCs w:val="24"/>
          <w:lang w:eastAsia="cs-CZ"/>
        </w:rPr>
        <w:t>I.</w:t>
      </w:r>
      <w:r w:rsidR="0099455E">
        <w:rPr>
          <w:rFonts w:cstheme="minorHAnsi"/>
          <w:i/>
          <w:szCs w:val="24"/>
          <w:lang w:eastAsia="cs-CZ"/>
        </w:rPr>
        <w:t xml:space="preserve"> </w:t>
      </w:r>
      <w:r w:rsidR="0099455E" w:rsidRPr="007C3B67">
        <w:rPr>
          <w:rFonts w:cstheme="minorHAnsi"/>
          <w:i/>
          <w:szCs w:val="24"/>
          <w:lang w:eastAsia="cs-CZ"/>
        </w:rPr>
        <w:t>Omezení rizik spojených s</w:t>
      </w:r>
      <w:r>
        <w:rPr>
          <w:rFonts w:cstheme="minorHAnsi"/>
          <w:i/>
          <w:szCs w:val="24"/>
          <w:lang w:eastAsia="cs-CZ"/>
        </w:rPr>
        <w:t> </w:t>
      </w:r>
      <w:r w:rsidR="0099455E" w:rsidRPr="007C3B67">
        <w:rPr>
          <w:rFonts w:cstheme="minorHAnsi"/>
          <w:i/>
          <w:szCs w:val="24"/>
          <w:lang w:eastAsia="cs-CZ"/>
        </w:rPr>
        <w:t>používáním přípravků</w:t>
      </w:r>
      <w:r w:rsidR="0099455E" w:rsidRPr="007C3B67">
        <w:rPr>
          <w:rFonts w:cstheme="minorHAnsi"/>
          <w:szCs w:val="24"/>
          <w:lang w:eastAsia="cs-CZ"/>
        </w:rPr>
        <w:t>.</w:t>
      </w:r>
      <w:r w:rsidR="0099455E" w:rsidRPr="00DC731F">
        <w:rPr>
          <w:szCs w:val="24"/>
        </w:rPr>
        <w:t xml:space="preserve"> Tento </w:t>
      </w:r>
      <w:r w:rsidR="0018185C">
        <w:rPr>
          <w:szCs w:val="24"/>
        </w:rPr>
        <w:t xml:space="preserve">obecný </w:t>
      </w:r>
      <w:r w:rsidR="0099455E" w:rsidRPr="00DC731F">
        <w:rPr>
          <w:szCs w:val="24"/>
        </w:rPr>
        <w:t xml:space="preserve">cíl </w:t>
      </w:r>
      <w:r w:rsidR="0099455E">
        <w:rPr>
          <w:szCs w:val="24"/>
        </w:rPr>
        <w:t>byl</w:t>
      </w:r>
      <w:r w:rsidR="0099455E" w:rsidRPr="00DC731F">
        <w:rPr>
          <w:szCs w:val="24"/>
        </w:rPr>
        <w:t xml:space="preserve"> v oblasti ochrany podzemních a povrchových vod rozpracován do dílčích </w:t>
      </w:r>
      <w:r w:rsidR="0099455E" w:rsidRPr="00002FD9">
        <w:rPr>
          <w:szCs w:val="24"/>
        </w:rPr>
        <w:t>cílů</w:t>
      </w:r>
      <w:r w:rsidR="00FA679B" w:rsidRPr="00002FD9">
        <w:rPr>
          <w:szCs w:val="24"/>
        </w:rPr>
        <w:t xml:space="preserve"> (</w:t>
      </w:r>
      <w:r>
        <w:rPr>
          <w:szCs w:val="24"/>
        </w:rPr>
        <w:t xml:space="preserve">viz </w:t>
      </w:r>
      <w:r w:rsidR="006F4BCA" w:rsidRPr="00002FD9">
        <w:rPr>
          <w:szCs w:val="24"/>
        </w:rPr>
        <w:t>p</w:t>
      </w:r>
      <w:r w:rsidR="00FA679B" w:rsidRPr="00002FD9">
        <w:rPr>
          <w:szCs w:val="24"/>
        </w:rPr>
        <w:t xml:space="preserve">říloha č. </w:t>
      </w:r>
      <w:r w:rsidR="009B77B9" w:rsidRPr="00002FD9">
        <w:rPr>
          <w:szCs w:val="24"/>
        </w:rPr>
        <w:t>2</w:t>
      </w:r>
      <w:r w:rsidR="00FA679B" w:rsidRPr="00002FD9">
        <w:rPr>
          <w:szCs w:val="24"/>
        </w:rPr>
        <w:t>)</w:t>
      </w:r>
      <w:r w:rsidR="0099455E" w:rsidRPr="00002FD9">
        <w:rPr>
          <w:szCs w:val="24"/>
        </w:rPr>
        <w:t xml:space="preserve">. </w:t>
      </w:r>
      <w:r w:rsidR="006448D6" w:rsidRPr="00002FD9">
        <w:rPr>
          <w:szCs w:val="24"/>
        </w:rPr>
        <w:t>Každý dílčí cíl měl, resp. má v</w:t>
      </w:r>
      <w:r w:rsidR="00F45937">
        <w:rPr>
          <w:szCs w:val="24"/>
        </w:rPr>
        <w:t xml:space="preserve"> </w:t>
      </w:r>
      <w:r w:rsidR="006448D6" w:rsidRPr="00002FD9">
        <w:rPr>
          <w:szCs w:val="24"/>
        </w:rPr>
        <w:t xml:space="preserve">obou </w:t>
      </w:r>
      <w:r>
        <w:rPr>
          <w:szCs w:val="24"/>
        </w:rPr>
        <w:t>n</w:t>
      </w:r>
      <w:r w:rsidR="006448D6" w:rsidRPr="00002FD9">
        <w:rPr>
          <w:szCs w:val="24"/>
        </w:rPr>
        <w:t xml:space="preserve">árodních akčních plánech stanoven způsob </w:t>
      </w:r>
      <w:r>
        <w:rPr>
          <w:szCs w:val="24"/>
        </w:rPr>
        <w:t>svého</w:t>
      </w:r>
      <w:r w:rsidR="006448D6" w:rsidRPr="00002FD9">
        <w:rPr>
          <w:szCs w:val="24"/>
        </w:rPr>
        <w:t xml:space="preserve"> plnění</w:t>
      </w:r>
      <w:r w:rsidR="006448D6">
        <w:rPr>
          <w:szCs w:val="24"/>
        </w:rPr>
        <w:t xml:space="preserve"> a specifické indikátory </w:t>
      </w:r>
      <w:r>
        <w:rPr>
          <w:szCs w:val="24"/>
        </w:rPr>
        <w:t>svého</w:t>
      </w:r>
      <w:r w:rsidR="006448D6">
        <w:rPr>
          <w:szCs w:val="24"/>
        </w:rPr>
        <w:t xml:space="preserve"> plnění.</w:t>
      </w:r>
      <w:r w:rsidR="00B84C78">
        <w:rPr>
          <w:szCs w:val="24"/>
        </w:rPr>
        <w:t xml:space="preserve"> </w:t>
      </w:r>
      <w:proofErr w:type="spellStart"/>
      <w:r w:rsidR="00B84C78">
        <w:rPr>
          <w:szCs w:val="24"/>
        </w:rPr>
        <w:t>MZe</w:t>
      </w:r>
      <w:proofErr w:type="spellEnd"/>
      <w:r w:rsidR="00B84C78">
        <w:rPr>
          <w:szCs w:val="24"/>
        </w:rPr>
        <w:t>, MŽP a</w:t>
      </w:r>
      <w:r>
        <w:rPr>
          <w:szCs w:val="24"/>
        </w:rPr>
        <w:t xml:space="preserve"> </w:t>
      </w:r>
      <w:proofErr w:type="spellStart"/>
      <w:r w:rsidR="00B84C78">
        <w:rPr>
          <w:szCs w:val="24"/>
        </w:rPr>
        <w:t>MZd</w:t>
      </w:r>
      <w:proofErr w:type="spellEnd"/>
      <w:r w:rsidR="00B84C78">
        <w:rPr>
          <w:szCs w:val="24"/>
        </w:rPr>
        <w:t xml:space="preserve"> však </w:t>
      </w:r>
      <w:r w:rsidR="00C927C7">
        <w:rPr>
          <w:szCs w:val="24"/>
        </w:rPr>
        <w:t xml:space="preserve">u většiny z nich </w:t>
      </w:r>
      <w:r w:rsidR="00B84C78">
        <w:rPr>
          <w:szCs w:val="24"/>
        </w:rPr>
        <w:t xml:space="preserve">nepřiřadily </w:t>
      </w:r>
      <w:r w:rsidR="00C927C7">
        <w:rPr>
          <w:szCs w:val="24"/>
        </w:rPr>
        <w:t xml:space="preserve">odpovědný orgán </w:t>
      </w:r>
      <w:r w:rsidR="00B84C78">
        <w:rPr>
          <w:szCs w:val="24"/>
        </w:rPr>
        <w:t>k</w:t>
      </w:r>
      <w:r>
        <w:rPr>
          <w:szCs w:val="24"/>
        </w:rPr>
        <w:t> </w:t>
      </w:r>
      <w:r w:rsidR="009B248C">
        <w:rPr>
          <w:szCs w:val="24"/>
        </w:rPr>
        <w:t>jejich</w:t>
      </w:r>
      <w:r w:rsidR="00B84C78">
        <w:rPr>
          <w:szCs w:val="24"/>
        </w:rPr>
        <w:t xml:space="preserve"> sledování a vyhodnocení. Zároveň k nim </w:t>
      </w:r>
      <w:r w:rsidR="000525BD" w:rsidRPr="0018185C">
        <w:t>nepřiřadil</w:t>
      </w:r>
      <w:r w:rsidR="00B84C78">
        <w:t>y</w:t>
      </w:r>
      <w:r w:rsidR="000525BD" w:rsidRPr="0018185C">
        <w:t xml:space="preserve"> výchozí </w:t>
      </w:r>
      <w:r w:rsidR="00B84C78">
        <w:t>a</w:t>
      </w:r>
      <w:r w:rsidR="000525BD" w:rsidRPr="0018185C">
        <w:t xml:space="preserve"> cílové hodnoty</w:t>
      </w:r>
      <w:r w:rsidR="005F68E0" w:rsidRPr="0018185C">
        <w:t xml:space="preserve">, </w:t>
      </w:r>
      <w:r w:rsidR="00FA10DC">
        <w:t xml:space="preserve">a to </w:t>
      </w:r>
      <w:r w:rsidR="005F68E0" w:rsidRPr="0018185C">
        <w:t>ani v případě indikátor</w:t>
      </w:r>
      <w:r w:rsidR="00FA10DC">
        <w:t>u</w:t>
      </w:r>
      <w:r w:rsidR="005F68E0" w:rsidRPr="0018185C">
        <w:t xml:space="preserve"> „počet“</w:t>
      </w:r>
      <w:r w:rsidR="000525BD" w:rsidRPr="0018185C">
        <w:t>.</w:t>
      </w:r>
    </w:p>
    <w:p w14:paraId="2FD6624C" w14:textId="77777777" w:rsidR="0018185C" w:rsidRPr="0018185C" w:rsidRDefault="000525BD" w:rsidP="000373A1">
      <w:pPr>
        <w:pStyle w:val="Odstavecseseznamem"/>
        <w:ind w:left="0"/>
        <w:contextualSpacing w:val="0"/>
      </w:pPr>
      <w:r w:rsidRPr="0018185C">
        <w:t xml:space="preserve">Dosažení stanovených dílčích cílů v oblasti ochrany vody </w:t>
      </w:r>
      <w:r w:rsidR="00F32948" w:rsidRPr="0018185C">
        <w:t xml:space="preserve">tak </w:t>
      </w:r>
      <w:r w:rsidRPr="0018185C">
        <w:t>nebylo</w:t>
      </w:r>
      <w:r w:rsidR="00B0579E">
        <w:t>, resp. není</w:t>
      </w:r>
      <w:r w:rsidRPr="0018185C">
        <w:t xml:space="preserve"> </w:t>
      </w:r>
      <w:r w:rsidRPr="00B84C78">
        <w:t>měřitelné</w:t>
      </w:r>
      <w:r w:rsidR="00FA10DC" w:rsidRPr="00B84C78">
        <w:t>.</w:t>
      </w:r>
      <w:r w:rsidR="000F2A81" w:rsidRPr="00B84C78">
        <w:t xml:space="preserve"> </w:t>
      </w:r>
      <w:r w:rsidR="00FA10DC" w:rsidRPr="00B84C78">
        <w:t>M</w:t>
      </w:r>
      <w:r w:rsidR="005F68E0" w:rsidRPr="00B84C78">
        <w:t>inisterstva</w:t>
      </w:r>
      <w:r w:rsidRPr="00B84C78">
        <w:t xml:space="preserve"> nemohl</w:t>
      </w:r>
      <w:r w:rsidR="005F68E0" w:rsidRPr="00B84C78">
        <w:t>a</w:t>
      </w:r>
      <w:r w:rsidRPr="00B84C78">
        <w:t xml:space="preserve"> stav plnění </w:t>
      </w:r>
      <w:r w:rsidR="00B84C78">
        <w:t xml:space="preserve">těchto </w:t>
      </w:r>
      <w:r w:rsidRPr="00B84C78">
        <w:t>jednotlivých dílčích cílů NAP 2013</w:t>
      </w:r>
      <w:r w:rsidR="00B84C78" w:rsidRPr="00B84C78">
        <w:t>–</w:t>
      </w:r>
      <w:r w:rsidRPr="00B84C78">
        <w:t>2017 vyhodnotit a posoudit</w:t>
      </w:r>
      <w:r w:rsidR="005F68E0" w:rsidRPr="00B84C78">
        <w:t xml:space="preserve"> </w:t>
      </w:r>
      <w:r w:rsidRPr="00B84C78">
        <w:t>reálný dopad a přínos NAP 2013</w:t>
      </w:r>
      <w:r w:rsidR="00B84C78" w:rsidRPr="00B84C78">
        <w:t>–</w:t>
      </w:r>
      <w:r w:rsidRPr="00B84C78">
        <w:t xml:space="preserve">2017. </w:t>
      </w:r>
      <w:r w:rsidR="00B84C78">
        <w:t>S</w:t>
      </w:r>
      <w:r w:rsidRPr="00B84C78">
        <w:t xml:space="preserve">pecifické indikátory plnění dílčích cílů </w:t>
      </w:r>
      <w:r w:rsidR="00FA10DC" w:rsidRPr="00B84C78">
        <w:t xml:space="preserve">uvedených v </w:t>
      </w:r>
      <w:r w:rsidRPr="00B84C78">
        <w:t>NAP 2013</w:t>
      </w:r>
      <w:r w:rsidR="00B84C78" w:rsidRPr="00B84C78">
        <w:t>–</w:t>
      </w:r>
      <w:r w:rsidRPr="00B84C78">
        <w:t>2017</w:t>
      </w:r>
      <w:r w:rsidR="001C1DBA" w:rsidRPr="00B84C78">
        <w:t xml:space="preserve"> i NAP 2018</w:t>
      </w:r>
      <w:r w:rsidR="00B84C78" w:rsidRPr="00B84C78">
        <w:t>–</w:t>
      </w:r>
      <w:r w:rsidR="001C1DBA" w:rsidRPr="00B84C78">
        <w:t>2022</w:t>
      </w:r>
      <w:r w:rsidRPr="00B84C78">
        <w:t xml:space="preserve"> </w:t>
      </w:r>
      <w:r w:rsidR="00B84C78">
        <w:t xml:space="preserve">tak </w:t>
      </w:r>
      <w:r w:rsidRPr="00B84C78">
        <w:t>plnily</w:t>
      </w:r>
      <w:r w:rsidR="001C1DBA" w:rsidRPr="00B84C78">
        <w:t xml:space="preserve">, resp. plní </w:t>
      </w:r>
      <w:r w:rsidRPr="00B84C78">
        <w:t>pouze formální úlohu.</w:t>
      </w:r>
    </w:p>
    <w:p w14:paraId="4E85C05F" w14:textId="77777777" w:rsidR="005F68E0" w:rsidRDefault="00ED0942" w:rsidP="00AE0083">
      <w:pPr>
        <w:pStyle w:val="Odrky"/>
        <w:numPr>
          <w:ilvl w:val="0"/>
          <w:numId w:val="0"/>
        </w:numPr>
      </w:pPr>
      <w:r>
        <w:t>Kromě</w:t>
      </w:r>
      <w:r w:rsidR="00A806FE">
        <w:t xml:space="preserve"> specifických indikátorů plnění dílčích cílů</w:t>
      </w:r>
      <w:r w:rsidR="0018185C">
        <w:t xml:space="preserve"> </w:t>
      </w:r>
      <w:r w:rsidR="00AE0083">
        <w:t xml:space="preserve">byly </w:t>
      </w:r>
      <w:r w:rsidR="00AE0083" w:rsidRPr="00DC731F">
        <w:t xml:space="preserve">v části B. </w:t>
      </w:r>
      <w:proofErr w:type="gramStart"/>
      <w:r w:rsidR="00AE0083" w:rsidRPr="00DC731F">
        <w:t>obou</w:t>
      </w:r>
      <w:proofErr w:type="gramEnd"/>
      <w:r w:rsidR="00AE0083" w:rsidRPr="00DC731F">
        <w:t xml:space="preserve"> </w:t>
      </w:r>
      <w:r>
        <w:t>n</w:t>
      </w:r>
      <w:r w:rsidR="00AE0083">
        <w:t xml:space="preserve">árodních akčních plánů </w:t>
      </w:r>
      <w:r w:rsidR="00AE0083" w:rsidRPr="00DC731F">
        <w:t>uvedeny kvantitativní hodnot</w:t>
      </w:r>
      <w:r>
        <w:t>i</w:t>
      </w:r>
      <w:r w:rsidR="00AE0083" w:rsidRPr="00DC731F">
        <w:t>cí ukazatele</w:t>
      </w:r>
      <w:r w:rsidR="007A48CD">
        <w:t xml:space="preserve"> </w:t>
      </w:r>
      <w:r w:rsidR="007A48CD" w:rsidRPr="00002FD9">
        <w:t>(</w:t>
      </w:r>
      <w:r>
        <w:t xml:space="preserve">viz </w:t>
      </w:r>
      <w:r w:rsidR="007A48CD" w:rsidRPr="00002FD9">
        <w:t xml:space="preserve">příloha č. </w:t>
      </w:r>
      <w:r w:rsidR="00984395" w:rsidRPr="00002FD9">
        <w:t>3</w:t>
      </w:r>
      <w:r w:rsidR="009D5B68" w:rsidRPr="00002FD9">
        <w:t>)</w:t>
      </w:r>
      <w:r w:rsidR="00B0579E" w:rsidRPr="00002FD9">
        <w:t>.</w:t>
      </w:r>
      <w:r w:rsidR="00B0579E">
        <w:t xml:space="preserve"> V případě NAP 2013</w:t>
      </w:r>
      <w:r w:rsidR="00B84C78" w:rsidRPr="00B84C78">
        <w:t>–</w:t>
      </w:r>
      <w:r w:rsidR="00B0579E">
        <w:t xml:space="preserve">2017 neměly </w:t>
      </w:r>
      <w:r>
        <w:t>tyto</w:t>
      </w:r>
      <w:r w:rsidR="00B0579E">
        <w:t xml:space="preserve"> ukazatele stanoveny výchozí ani cílové hodnoty. Kvantitativní hodnot</w:t>
      </w:r>
      <w:r>
        <w:t>i</w:t>
      </w:r>
      <w:r w:rsidR="00B0579E">
        <w:t>cí ukazatele</w:t>
      </w:r>
      <w:r w:rsidR="00B0579E" w:rsidDel="00FA10DC">
        <w:t xml:space="preserve"> </w:t>
      </w:r>
      <w:r w:rsidR="00B0579E">
        <w:t>plnily v NAP 2013</w:t>
      </w:r>
      <w:r w:rsidR="00B84C78" w:rsidRPr="00B84C78">
        <w:t>–</w:t>
      </w:r>
      <w:r w:rsidR="00B0579E">
        <w:t xml:space="preserve">2017 </w:t>
      </w:r>
      <w:r w:rsidR="00FA10DC">
        <w:t xml:space="preserve">opět jen </w:t>
      </w:r>
      <w:r w:rsidR="00B0579E">
        <w:t>formální úlohu a ministerstva je nevyhodnotila</w:t>
      </w:r>
      <w:r w:rsidR="00FA10DC">
        <w:t>, resp. ani nemohla vyhodnotit</w:t>
      </w:r>
      <w:r w:rsidR="00B0579E">
        <w:t>. T</w:t>
      </w:r>
      <w:r w:rsidR="00AE0083" w:rsidRPr="007C3B67">
        <w:t>eprve v NAP 2018</w:t>
      </w:r>
      <w:r w:rsidR="00B84C78" w:rsidRPr="00B84C78">
        <w:t>–</w:t>
      </w:r>
      <w:r w:rsidR="00AE0083" w:rsidRPr="007C3B67">
        <w:t>2022 byly při rozšíření těchto ukazatelů stanoven</w:t>
      </w:r>
      <w:r w:rsidR="00AE0083">
        <w:t xml:space="preserve">y </w:t>
      </w:r>
      <w:r w:rsidR="00AE0083" w:rsidRPr="007C3B67">
        <w:t>referenční</w:t>
      </w:r>
      <w:r w:rsidR="00AE0083">
        <w:t xml:space="preserve"> údaje, resp. referenční</w:t>
      </w:r>
      <w:r w:rsidR="00AE0083" w:rsidRPr="007C3B67">
        <w:t xml:space="preserve"> rok 2017</w:t>
      </w:r>
      <w:r w:rsidR="00AE0083">
        <w:t>,</w:t>
      </w:r>
      <w:r w:rsidR="00AE0083" w:rsidRPr="007C3B67">
        <w:t xml:space="preserve"> vůči kterému se má vyhodnotit míra změny.</w:t>
      </w:r>
      <w:r w:rsidR="00224113">
        <w:t xml:space="preserve"> </w:t>
      </w:r>
      <w:r w:rsidR="00DE5AA3">
        <w:t>Avšak ani NAP 2018</w:t>
      </w:r>
      <w:r w:rsidR="00B84C78" w:rsidRPr="00B84C78">
        <w:t>–</w:t>
      </w:r>
      <w:r w:rsidR="00DE5AA3">
        <w:t>2022 neuvedl konkrétní výchozí hodnoty roku 2017 ani hodnoty cílové.</w:t>
      </w:r>
    </w:p>
    <w:p w14:paraId="7C31D047" w14:textId="77777777" w:rsidR="004773E2" w:rsidRDefault="001D2DD1" w:rsidP="0016664F">
      <w:pPr>
        <w:rPr>
          <w:rFonts w:cstheme="minorHAnsi"/>
          <w:szCs w:val="24"/>
          <w:lang w:eastAsia="cs-CZ"/>
        </w:rPr>
      </w:pPr>
      <w:r>
        <w:t xml:space="preserve">Oba </w:t>
      </w:r>
      <w:r w:rsidR="00ED0942">
        <w:t>n</w:t>
      </w:r>
      <w:r>
        <w:t>árodní akční plány dále obsahovaly opatření k</w:t>
      </w:r>
      <w:r w:rsidR="00423A41">
        <w:t>e</w:t>
      </w:r>
      <w:r>
        <w:t xml:space="preserve"> splnění </w:t>
      </w:r>
      <w:r w:rsidR="00423A41">
        <w:t xml:space="preserve">strategických </w:t>
      </w:r>
      <w:r>
        <w:t xml:space="preserve">a dílčích cílů. Dílčí cíle a opatření v oblasti ochrany vod byly nastaveny tak, že ve struktuře </w:t>
      </w:r>
      <w:r w:rsidR="00ED0942">
        <w:t>n</w:t>
      </w:r>
      <w:r w:rsidR="00175A3C">
        <w:t>árodních akčních plánů</w:t>
      </w:r>
      <w:r w:rsidR="004B7668">
        <w:t xml:space="preserve"> </w:t>
      </w:r>
      <w:r>
        <w:t>stojí odděleně, resp. vedle sebe, bez zjevné přímé vazby.</w:t>
      </w:r>
      <w:r w:rsidR="00111FF6">
        <w:t xml:space="preserve"> Ze znění obou </w:t>
      </w:r>
      <w:r w:rsidR="00ED0942">
        <w:t>n</w:t>
      </w:r>
      <w:r w:rsidR="00111FF6">
        <w:t xml:space="preserve">árodních akčních plánů tak není možné zjistit, prostřednictvím kterého opatření měl, resp. má být plněn </w:t>
      </w:r>
      <w:r w:rsidR="00E946CB">
        <w:t>konkrétní</w:t>
      </w:r>
      <w:r w:rsidR="00BF1348">
        <w:t xml:space="preserve"> </w:t>
      </w:r>
      <w:r w:rsidR="00111FF6">
        <w:t>dílčí cíl.</w:t>
      </w:r>
      <w:r w:rsidR="0016664F">
        <w:t xml:space="preserve"> Zároveň se převážně jednalo o opatření, která měla </w:t>
      </w:r>
      <w:r w:rsidR="0016664F" w:rsidRPr="00C701AD">
        <w:t>„</w:t>
      </w:r>
      <w:r w:rsidR="0016664F" w:rsidRPr="004D7C0C">
        <w:rPr>
          <w:i/>
        </w:rPr>
        <w:t>prověřit možnosti</w:t>
      </w:r>
      <w:r w:rsidR="0016664F">
        <w:t>“, případně „</w:t>
      </w:r>
      <w:r w:rsidR="0016664F" w:rsidRPr="004D7C0C">
        <w:rPr>
          <w:i/>
        </w:rPr>
        <w:t>poskytnout metodická pravidla</w:t>
      </w:r>
      <w:r w:rsidR="0016664F" w:rsidRPr="00C701AD">
        <w:t>“</w:t>
      </w:r>
      <w:r w:rsidR="0016664F" w:rsidRPr="009466F9">
        <w:t>.</w:t>
      </w:r>
      <w:r w:rsidR="0016664F">
        <w:t xml:space="preserve"> Jedn</w:t>
      </w:r>
      <w:r w:rsidR="00423A41">
        <w:t>alo</w:t>
      </w:r>
      <w:r w:rsidR="0016664F">
        <w:t xml:space="preserve"> se tedy o aktivity, které představují pouze určitý</w:t>
      </w:r>
      <w:r w:rsidR="0016664F">
        <w:rPr>
          <w:rFonts w:cstheme="minorHAnsi"/>
          <w:b/>
          <w:szCs w:val="24"/>
          <w:lang w:eastAsia="cs-CZ"/>
        </w:rPr>
        <w:t xml:space="preserve"> </w:t>
      </w:r>
      <w:r w:rsidR="0016664F" w:rsidRPr="004D7C0C">
        <w:rPr>
          <w:rFonts w:cstheme="minorHAnsi"/>
          <w:szCs w:val="24"/>
          <w:lang w:eastAsia="cs-CZ"/>
        </w:rPr>
        <w:t>předpoklad pro další opatření a činnosti vedoucí ke zlepšení stavu vod.</w:t>
      </w:r>
    </w:p>
    <w:p w14:paraId="1E1036D8" w14:textId="77777777" w:rsidR="00FC48B0" w:rsidRPr="00E50A91" w:rsidRDefault="00FC48B0" w:rsidP="00442B6D">
      <w:pPr>
        <w:pStyle w:val="Nadpis1"/>
        <w:numPr>
          <w:ilvl w:val="0"/>
          <w:numId w:val="21"/>
        </w:numPr>
      </w:pPr>
      <w:r w:rsidRPr="00E50A91">
        <w:t xml:space="preserve">Plnění opatření </w:t>
      </w:r>
      <w:r w:rsidR="00ED0942">
        <w:t>n</w:t>
      </w:r>
      <w:r w:rsidR="001C1890">
        <w:t>árodních akčních plánů</w:t>
      </w:r>
    </w:p>
    <w:p w14:paraId="6F14CA77" w14:textId="77777777" w:rsidR="0016664F" w:rsidRDefault="00084199" w:rsidP="00EC0E2B">
      <w:r w:rsidRPr="00084199">
        <w:t xml:space="preserve">Kontrola se </w:t>
      </w:r>
      <w:r>
        <w:t>v</w:t>
      </w:r>
      <w:r w:rsidR="00005324">
        <w:t xml:space="preserve"> rámci </w:t>
      </w:r>
      <w:r>
        <w:t>NAP 2013</w:t>
      </w:r>
      <w:r w:rsidR="004519FB" w:rsidRPr="00B84C78">
        <w:t>–</w:t>
      </w:r>
      <w:r>
        <w:t xml:space="preserve">2017 zaměřila na </w:t>
      </w:r>
      <w:r w:rsidR="00AB3906">
        <w:t>11</w:t>
      </w:r>
      <w:r>
        <w:t xml:space="preserve"> opatření </w:t>
      </w:r>
      <w:r w:rsidR="007B3E68">
        <w:t>a v rámci NAP 2018</w:t>
      </w:r>
      <w:r w:rsidR="00875941">
        <w:t>–</w:t>
      </w:r>
      <w:r w:rsidR="007B3E68">
        <w:t xml:space="preserve">2022 na 10 opatření </w:t>
      </w:r>
      <w:r w:rsidR="00005324">
        <w:t>stanovených v </w:t>
      </w:r>
      <w:r>
        <w:t>oblasti ochrany</w:t>
      </w:r>
      <w:r w:rsidR="00005324">
        <w:t xml:space="preserve"> vod.</w:t>
      </w:r>
      <w:r w:rsidR="007B3E68">
        <w:t xml:space="preserve"> </w:t>
      </w:r>
      <w:r w:rsidR="00005324">
        <w:t>Z 11 prověřovaných opatření NAP 2013</w:t>
      </w:r>
      <w:r w:rsidR="004519FB" w:rsidRPr="00B84C78">
        <w:t>–</w:t>
      </w:r>
      <w:r w:rsidR="00005324">
        <w:t>2017 bylo 7 opatření splněno a 4 opatření naplněna nebyla</w:t>
      </w:r>
      <w:r w:rsidR="007B3E68">
        <w:t>. J</w:t>
      </w:r>
      <w:r w:rsidR="00586F73">
        <w:t xml:space="preserve">ejich plnění bylo převedeno do </w:t>
      </w:r>
      <w:r w:rsidR="00410317">
        <w:t>NAP</w:t>
      </w:r>
      <w:r w:rsidR="00814BF9">
        <w:t> </w:t>
      </w:r>
      <w:r w:rsidR="00410317">
        <w:t>2018</w:t>
      </w:r>
      <w:r w:rsidR="007B3E68" w:rsidRPr="00B84C78">
        <w:t>–</w:t>
      </w:r>
      <w:r w:rsidR="00410317">
        <w:t>2022</w:t>
      </w:r>
      <w:r w:rsidR="001C45BB">
        <w:t>, jehož realizace stále probíhá.</w:t>
      </w:r>
      <w:r w:rsidR="00387904">
        <w:t xml:space="preserve"> Přehled opatření a hodnocení NKÚ ve vztahu k jejich plnění </w:t>
      </w:r>
      <w:r w:rsidR="00ED0942">
        <w:t xml:space="preserve">uvádí </w:t>
      </w:r>
      <w:r w:rsidR="00387904">
        <w:t>příloh</w:t>
      </w:r>
      <w:r w:rsidR="00ED0942">
        <w:t>a</w:t>
      </w:r>
      <w:r w:rsidR="00387904">
        <w:t xml:space="preserve"> č. 4.</w:t>
      </w:r>
    </w:p>
    <w:p w14:paraId="0BA83ACF" w14:textId="77777777" w:rsidR="00D47A2E" w:rsidRDefault="007B3E68" w:rsidP="00D47A2E">
      <w:pPr>
        <w:pStyle w:val="Odstavecseseznamem"/>
        <w:ind w:left="0"/>
        <w:contextualSpacing w:val="0"/>
      </w:pPr>
      <w:r>
        <w:rPr>
          <w:rFonts w:cstheme="minorHAnsi"/>
          <w:szCs w:val="24"/>
          <w:lang w:eastAsia="cs-CZ"/>
        </w:rPr>
        <w:t xml:space="preserve">Většina splněných </w:t>
      </w:r>
      <w:r w:rsidR="00D47A2E" w:rsidRPr="00F61EB1">
        <w:rPr>
          <w:rFonts w:cstheme="minorHAnsi"/>
          <w:szCs w:val="24"/>
          <w:lang w:eastAsia="cs-CZ"/>
        </w:rPr>
        <w:t xml:space="preserve">opatření </w:t>
      </w:r>
      <w:r w:rsidR="0016664F">
        <w:rPr>
          <w:rFonts w:cstheme="minorHAnsi"/>
          <w:szCs w:val="24"/>
          <w:lang w:eastAsia="cs-CZ"/>
        </w:rPr>
        <w:t>NAP 2013</w:t>
      </w:r>
      <w:r w:rsidR="004519FB" w:rsidRPr="00B84C78">
        <w:t>–</w:t>
      </w:r>
      <w:r w:rsidR="0016664F">
        <w:rPr>
          <w:rFonts w:cstheme="minorHAnsi"/>
          <w:szCs w:val="24"/>
          <w:lang w:eastAsia="cs-CZ"/>
        </w:rPr>
        <w:t xml:space="preserve">2017 </w:t>
      </w:r>
      <w:r>
        <w:rPr>
          <w:rFonts w:cstheme="minorHAnsi"/>
          <w:szCs w:val="24"/>
          <w:lang w:eastAsia="cs-CZ"/>
        </w:rPr>
        <w:t xml:space="preserve">byla </w:t>
      </w:r>
      <w:r w:rsidR="00D47A2E" w:rsidRPr="00F61EB1">
        <w:rPr>
          <w:rFonts w:cstheme="minorHAnsi"/>
          <w:szCs w:val="24"/>
          <w:lang w:eastAsia="cs-CZ"/>
        </w:rPr>
        <w:t>formálního charakteru</w:t>
      </w:r>
      <w:r>
        <w:rPr>
          <w:rFonts w:cstheme="minorHAnsi"/>
          <w:szCs w:val="24"/>
          <w:lang w:eastAsia="cs-CZ"/>
        </w:rPr>
        <w:t>. Příkladem je</w:t>
      </w:r>
      <w:r w:rsidR="00D47A2E" w:rsidRPr="00F61EB1">
        <w:rPr>
          <w:rFonts w:cstheme="minorHAnsi"/>
          <w:szCs w:val="24"/>
          <w:lang w:eastAsia="cs-CZ"/>
        </w:rPr>
        <w:t xml:space="preserve"> </w:t>
      </w:r>
      <w:r w:rsidR="00D47A2E" w:rsidRPr="008A348D">
        <w:rPr>
          <w:rFonts w:cstheme="minorHAnsi"/>
          <w:szCs w:val="24"/>
          <w:lang w:eastAsia="cs-CZ"/>
        </w:rPr>
        <w:t>opatření č. 4.40</w:t>
      </w:r>
      <w:r w:rsidR="00D47A2E" w:rsidRPr="00F61EB1">
        <w:rPr>
          <w:rFonts w:cstheme="minorHAnsi"/>
          <w:szCs w:val="24"/>
          <w:lang w:eastAsia="cs-CZ"/>
        </w:rPr>
        <w:t>, jehož podstatou bylo zajistit pravidelné roční hodnocení výskytu pesticidních látek v podzemních a povrchových vodách za účasti příslušných orgánů a</w:t>
      </w:r>
      <w:r w:rsidR="00344C09">
        <w:rPr>
          <w:rFonts w:cstheme="minorHAnsi"/>
          <w:szCs w:val="24"/>
          <w:lang w:eastAsia="cs-CZ"/>
        </w:rPr>
        <w:t> </w:t>
      </w:r>
      <w:r w:rsidR="00D47A2E" w:rsidRPr="00F61EB1">
        <w:rPr>
          <w:rFonts w:cstheme="minorHAnsi"/>
          <w:szCs w:val="24"/>
          <w:lang w:eastAsia="cs-CZ"/>
        </w:rPr>
        <w:t xml:space="preserve">uveřejnit výsledky tohoto hodnocení </w:t>
      </w:r>
      <w:r w:rsidR="00ED0942">
        <w:rPr>
          <w:rFonts w:cstheme="minorHAnsi"/>
          <w:szCs w:val="24"/>
          <w:lang w:eastAsia="cs-CZ"/>
        </w:rPr>
        <w:t xml:space="preserve">každoročně </w:t>
      </w:r>
      <w:r w:rsidR="00D47A2E" w:rsidRPr="00F61EB1">
        <w:rPr>
          <w:rFonts w:cstheme="minorHAnsi"/>
          <w:szCs w:val="24"/>
          <w:lang w:eastAsia="cs-CZ"/>
        </w:rPr>
        <w:t xml:space="preserve">ve </w:t>
      </w:r>
      <w:r w:rsidR="00ED0942">
        <w:rPr>
          <w:rFonts w:cstheme="minorHAnsi"/>
          <w:i/>
          <w:szCs w:val="24"/>
          <w:lang w:eastAsia="cs-CZ"/>
        </w:rPr>
        <w:t>z</w:t>
      </w:r>
      <w:r w:rsidR="00D47A2E" w:rsidRPr="00F61EB1">
        <w:rPr>
          <w:rFonts w:cstheme="minorHAnsi"/>
          <w:i/>
          <w:szCs w:val="24"/>
          <w:lang w:eastAsia="cs-CZ"/>
        </w:rPr>
        <w:t>právě o stavu vodního hospodářství ČR</w:t>
      </w:r>
      <w:r w:rsidR="00D47A2E" w:rsidRPr="00F61EB1">
        <w:rPr>
          <w:rFonts w:cstheme="minorHAnsi"/>
          <w:szCs w:val="24"/>
          <w:lang w:eastAsia="cs-CZ"/>
        </w:rPr>
        <w:t xml:space="preserve">. Dalším příkladem </w:t>
      </w:r>
      <w:r>
        <w:rPr>
          <w:rFonts w:cstheme="minorHAnsi"/>
          <w:szCs w:val="24"/>
          <w:lang w:eastAsia="cs-CZ"/>
        </w:rPr>
        <w:t xml:space="preserve">je </w:t>
      </w:r>
      <w:r w:rsidR="00D47A2E" w:rsidRPr="008A348D">
        <w:rPr>
          <w:rFonts w:cstheme="minorHAnsi"/>
          <w:szCs w:val="24"/>
          <w:lang w:eastAsia="cs-CZ"/>
        </w:rPr>
        <w:t>opatření č. 4.44</w:t>
      </w:r>
      <w:r>
        <w:rPr>
          <w:rFonts w:cstheme="minorHAnsi"/>
          <w:szCs w:val="24"/>
          <w:lang w:eastAsia="cs-CZ"/>
        </w:rPr>
        <w:t xml:space="preserve">, které </w:t>
      </w:r>
      <w:r w:rsidR="00D47A2E" w:rsidRPr="00F61EB1">
        <w:rPr>
          <w:rFonts w:cstheme="minorHAnsi"/>
          <w:szCs w:val="24"/>
          <w:lang w:eastAsia="cs-CZ"/>
        </w:rPr>
        <w:t xml:space="preserve">ukládalo </w:t>
      </w:r>
      <w:proofErr w:type="spellStart"/>
      <w:r w:rsidR="00D47A2E" w:rsidRPr="00F61EB1">
        <w:rPr>
          <w:rFonts w:cstheme="minorHAnsi"/>
          <w:szCs w:val="24"/>
          <w:lang w:eastAsia="cs-CZ"/>
        </w:rPr>
        <w:t>MZe</w:t>
      </w:r>
      <w:proofErr w:type="spellEnd"/>
      <w:r w:rsidR="00D47A2E" w:rsidRPr="00F61EB1">
        <w:rPr>
          <w:rFonts w:cstheme="minorHAnsi"/>
          <w:szCs w:val="24"/>
          <w:lang w:eastAsia="cs-CZ"/>
        </w:rPr>
        <w:t xml:space="preserve"> do roku 2016 prověřit možnosti systematické podpory instalace technologických zařízení a technologií pro snižování obsahu reziduí v pitných vodách.</w:t>
      </w:r>
      <w:r w:rsidR="00D47A2E">
        <w:rPr>
          <w:rFonts w:cstheme="minorHAnsi"/>
          <w:szCs w:val="24"/>
          <w:lang w:eastAsia="cs-CZ"/>
        </w:rPr>
        <w:t xml:space="preserve"> </w:t>
      </w:r>
      <w:r w:rsidR="00B23320">
        <w:rPr>
          <w:rFonts w:cstheme="minorHAnsi"/>
          <w:szCs w:val="24"/>
          <w:lang w:eastAsia="cs-CZ"/>
        </w:rPr>
        <w:t>Opatření bylo naplněno tím, že</w:t>
      </w:r>
      <w:r>
        <w:rPr>
          <w:rFonts w:cstheme="minorHAnsi"/>
          <w:szCs w:val="24"/>
          <w:lang w:eastAsia="cs-CZ"/>
        </w:rPr>
        <w:t xml:space="preserve"> </w:t>
      </w:r>
      <w:proofErr w:type="spellStart"/>
      <w:r>
        <w:rPr>
          <w:rFonts w:cstheme="minorHAnsi"/>
          <w:szCs w:val="24"/>
          <w:lang w:eastAsia="cs-CZ"/>
        </w:rPr>
        <w:t>MZe</w:t>
      </w:r>
      <w:proofErr w:type="spellEnd"/>
      <w:r w:rsidR="00B23320">
        <w:rPr>
          <w:rFonts w:cstheme="minorHAnsi"/>
          <w:szCs w:val="24"/>
          <w:lang w:eastAsia="cs-CZ"/>
        </w:rPr>
        <w:t xml:space="preserve"> prověřilo možnosti </w:t>
      </w:r>
      <w:r w:rsidR="00B23320" w:rsidRPr="003F5FF7">
        <w:t>systematické podpory s výsledkem, že zatím nevytvoří speciální dotační titul a pen</w:t>
      </w:r>
      <w:r w:rsidR="00B23320">
        <w:t>ě</w:t>
      </w:r>
      <w:r w:rsidR="00B23320" w:rsidRPr="003F5FF7">
        <w:t>žní prostředky bude možné čerpat v rámci stávajících dotačních programů na obdobné projekty</w:t>
      </w:r>
      <w:r w:rsidR="008A5D71">
        <w:t>.</w:t>
      </w:r>
    </w:p>
    <w:p w14:paraId="4FE4C92D" w14:textId="77777777" w:rsidR="00E41BD7" w:rsidRPr="009C10FA" w:rsidRDefault="00D109F2" w:rsidP="00442B6D">
      <w:pPr>
        <w:pStyle w:val="Nadpis2"/>
      </w:pPr>
      <w:r w:rsidRPr="00D109F2">
        <w:lastRenderedPageBreak/>
        <w:t>Pravidla cíleného monitoringu pesticidních látek v</w:t>
      </w:r>
      <w:r w:rsidRPr="007C0CD8">
        <w:t> pitné vodě</w:t>
      </w:r>
    </w:p>
    <w:p w14:paraId="1706A31C" w14:textId="77777777" w:rsidR="007C0CD8" w:rsidRDefault="007C0CD8" w:rsidP="007C0CD8">
      <w:pPr>
        <w:rPr>
          <w:rFonts w:cstheme="minorHAnsi"/>
          <w:szCs w:val="24"/>
        </w:rPr>
      </w:pPr>
      <w:r w:rsidRPr="00C7341F">
        <w:rPr>
          <w:rFonts w:cstheme="minorHAnsi"/>
          <w:szCs w:val="24"/>
        </w:rPr>
        <w:t xml:space="preserve">Monitoring </w:t>
      </w:r>
      <w:r>
        <w:rPr>
          <w:rFonts w:cstheme="minorHAnsi"/>
          <w:szCs w:val="24"/>
        </w:rPr>
        <w:t xml:space="preserve">pesticidních látek v </w:t>
      </w:r>
      <w:r w:rsidRPr="00C7341F">
        <w:rPr>
          <w:rFonts w:cstheme="minorHAnsi"/>
          <w:szCs w:val="24"/>
        </w:rPr>
        <w:t>pitné vod</w:t>
      </w:r>
      <w:r>
        <w:rPr>
          <w:rFonts w:cstheme="minorHAnsi"/>
          <w:szCs w:val="24"/>
        </w:rPr>
        <w:t>ě</w:t>
      </w:r>
      <w:r w:rsidRPr="00C7341F">
        <w:rPr>
          <w:rFonts w:cstheme="minorHAnsi"/>
          <w:szCs w:val="24"/>
        </w:rPr>
        <w:t xml:space="preserve"> se vyznačuje </w:t>
      </w:r>
      <w:r w:rsidR="00ED0942">
        <w:rPr>
          <w:rFonts w:cstheme="minorHAnsi"/>
          <w:szCs w:val="24"/>
        </w:rPr>
        <w:t>tím</w:t>
      </w:r>
      <w:r w:rsidRPr="00C7341F">
        <w:rPr>
          <w:rFonts w:cstheme="minorHAnsi"/>
          <w:szCs w:val="24"/>
        </w:rPr>
        <w:t xml:space="preserve">, že rozsah sledovaných </w:t>
      </w:r>
      <w:r>
        <w:rPr>
          <w:rFonts w:cstheme="minorHAnsi"/>
          <w:szCs w:val="24"/>
        </w:rPr>
        <w:t>pesticidních látek</w:t>
      </w:r>
      <w:r w:rsidRPr="00C7341F">
        <w:rPr>
          <w:rFonts w:cstheme="minorHAnsi"/>
          <w:szCs w:val="24"/>
        </w:rPr>
        <w:t xml:space="preserve"> není přesně vymezen. Nelze ho považovat za dostatečně cílený, tj.</w:t>
      </w:r>
      <w:r w:rsidR="00CB21D6">
        <w:rPr>
          <w:rFonts w:cstheme="minorHAnsi"/>
          <w:szCs w:val="24"/>
        </w:rPr>
        <w:t> </w:t>
      </w:r>
      <w:r w:rsidRPr="00C7341F">
        <w:rPr>
          <w:rFonts w:cstheme="minorHAnsi"/>
          <w:szCs w:val="24"/>
        </w:rPr>
        <w:t xml:space="preserve">založený na jednoznačném vztahu ke konkrétním aplikacím </w:t>
      </w:r>
      <w:r>
        <w:rPr>
          <w:rFonts w:cstheme="minorHAnsi"/>
          <w:szCs w:val="24"/>
        </w:rPr>
        <w:t>pesticid</w:t>
      </w:r>
      <w:r w:rsidR="00263511">
        <w:rPr>
          <w:rFonts w:cstheme="minorHAnsi"/>
          <w:szCs w:val="24"/>
        </w:rPr>
        <w:t>ů</w:t>
      </w:r>
      <w:r w:rsidRPr="00C7341F">
        <w:rPr>
          <w:rFonts w:cstheme="minorHAnsi"/>
          <w:szCs w:val="24"/>
        </w:rPr>
        <w:t xml:space="preserve"> v</w:t>
      </w:r>
      <w:r>
        <w:rPr>
          <w:rFonts w:cstheme="minorHAnsi"/>
          <w:szCs w:val="24"/>
        </w:rPr>
        <w:t xml:space="preserve"> daném</w:t>
      </w:r>
      <w:r w:rsidRPr="00C7341F">
        <w:rPr>
          <w:rFonts w:cstheme="minorHAnsi"/>
          <w:szCs w:val="24"/>
        </w:rPr>
        <w:t xml:space="preserve"> místě a</w:t>
      </w:r>
      <w:r w:rsidR="00CB21D6">
        <w:rPr>
          <w:rFonts w:cstheme="minorHAnsi"/>
          <w:szCs w:val="24"/>
        </w:rPr>
        <w:t> </w:t>
      </w:r>
      <w:r w:rsidRPr="00C7341F">
        <w:rPr>
          <w:rFonts w:cstheme="minorHAnsi"/>
          <w:szCs w:val="24"/>
        </w:rPr>
        <w:t>čase.</w:t>
      </w:r>
    </w:p>
    <w:p w14:paraId="74AC21E4" w14:textId="3CA3DC48" w:rsidR="00265340" w:rsidRPr="001B5F85" w:rsidRDefault="007C0CD8" w:rsidP="00265340">
      <w:pPr>
        <w:rPr>
          <w:rFonts w:cstheme="minorHAnsi"/>
          <w:szCs w:val="24"/>
        </w:rPr>
      </w:pPr>
      <w:r w:rsidRPr="00B75A32">
        <w:rPr>
          <w:rFonts w:cstheme="minorHAnsi"/>
          <w:szCs w:val="24"/>
        </w:rPr>
        <w:t>Opatření č. 4.34</w:t>
      </w:r>
      <w:r w:rsidRPr="00C7200A">
        <w:rPr>
          <w:rFonts w:cstheme="minorHAnsi"/>
          <w:szCs w:val="24"/>
        </w:rPr>
        <w:t xml:space="preserve"> </w:t>
      </w:r>
      <w:r w:rsidRPr="00C7341F">
        <w:rPr>
          <w:rFonts w:cstheme="minorHAnsi"/>
          <w:szCs w:val="24"/>
        </w:rPr>
        <w:t>NAP 2013</w:t>
      </w:r>
      <w:r w:rsidR="00743E1D" w:rsidRPr="00B84C78">
        <w:t>–</w:t>
      </w:r>
      <w:r w:rsidRPr="00C7341F">
        <w:rPr>
          <w:rFonts w:cstheme="minorHAnsi"/>
          <w:szCs w:val="24"/>
        </w:rPr>
        <w:t>2017</w:t>
      </w:r>
      <w:r w:rsidR="001B5F85">
        <w:rPr>
          <w:rFonts w:cstheme="minorHAnsi"/>
          <w:szCs w:val="24"/>
        </w:rPr>
        <w:t xml:space="preserve"> mělo přispět k vytvoření</w:t>
      </w:r>
      <w:r w:rsidRPr="00C7341F">
        <w:rPr>
          <w:rFonts w:cstheme="minorHAnsi"/>
          <w:szCs w:val="24"/>
        </w:rPr>
        <w:t xml:space="preserve"> </w:t>
      </w:r>
      <w:r w:rsidR="001B5F85">
        <w:rPr>
          <w:rFonts w:cstheme="minorHAnsi"/>
          <w:szCs w:val="24"/>
        </w:rPr>
        <w:t xml:space="preserve">jiných </w:t>
      </w:r>
      <w:r w:rsidRPr="00C7341F">
        <w:rPr>
          <w:rFonts w:cstheme="minorHAnsi"/>
          <w:szCs w:val="24"/>
        </w:rPr>
        <w:t xml:space="preserve">pravidel cíleného monitoringu </w:t>
      </w:r>
      <w:r w:rsidR="001B5F85">
        <w:rPr>
          <w:rFonts w:cstheme="minorHAnsi"/>
          <w:szCs w:val="24"/>
        </w:rPr>
        <w:t>pesticidních látek</w:t>
      </w:r>
      <w:r w:rsidRPr="00C7341F">
        <w:rPr>
          <w:rFonts w:cstheme="minorHAnsi"/>
          <w:szCs w:val="24"/>
        </w:rPr>
        <w:t xml:space="preserve"> v pitné vodě</w:t>
      </w:r>
      <w:r w:rsidR="00496609">
        <w:rPr>
          <w:rFonts w:cstheme="minorHAnsi"/>
          <w:szCs w:val="24"/>
        </w:rPr>
        <w:t>,</w:t>
      </w:r>
      <w:r w:rsidR="00B43E73">
        <w:rPr>
          <w:rFonts w:cstheme="minorHAnsi"/>
          <w:szCs w:val="24"/>
        </w:rPr>
        <w:t xml:space="preserve"> než je</w:t>
      </w:r>
      <w:r w:rsidRPr="00B43E73">
        <w:rPr>
          <w:rFonts w:cstheme="minorHAnsi"/>
          <w:szCs w:val="24"/>
        </w:rPr>
        <w:t xml:space="preserve"> zpřístupňování informací</w:t>
      </w:r>
      <w:r w:rsidRPr="00647E41">
        <w:rPr>
          <w:rFonts w:cstheme="minorHAnsi"/>
          <w:szCs w:val="24"/>
        </w:rPr>
        <w:t xml:space="preserve"> </w:t>
      </w:r>
      <w:r w:rsidR="00164C4D" w:rsidRPr="00B43E73">
        <w:rPr>
          <w:rFonts w:cstheme="minorHAnsi"/>
          <w:szCs w:val="24"/>
        </w:rPr>
        <w:t>o</w:t>
      </w:r>
      <w:r w:rsidR="009E7757">
        <w:rPr>
          <w:rFonts w:cstheme="minorHAnsi"/>
          <w:szCs w:val="24"/>
        </w:rPr>
        <w:t xml:space="preserve"> </w:t>
      </w:r>
      <w:r w:rsidR="00164C4D" w:rsidRPr="00B43E73">
        <w:rPr>
          <w:rFonts w:cstheme="minorHAnsi"/>
          <w:szCs w:val="24"/>
        </w:rPr>
        <w:t>aplikaci pesticidů</w:t>
      </w:r>
      <w:r w:rsidR="00164C4D" w:rsidRPr="00647E41">
        <w:rPr>
          <w:rFonts w:cstheme="minorHAnsi"/>
          <w:szCs w:val="24"/>
        </w:rPr>
        <w:t xml:space="preserve"> </w:t>
      </w:r>
      <w:r w:rsidRPr="00B43E73">
        <w:rPr>
          <w:rFonts w:cstheme="minorHAnsi"/>
          <w:szCs w:val="24"/>
        </w:rPr>
        <w:t>prostřednictví</w:t>
      </w:r>
      <w:r w:rsidR="001B5F85" w:rsidRPr="00B43E73">
        <w:rPr>
          <w:rFonts w:cstheme="minorHAnsi"/>
          <w:szCs w:val="24"/>
        </w:rPr>
        <w:t>m</w:t>
      </w:r>
      <w:r w:rsidRPr="00B43E73">
        <w:rPr>
          <w:rFonts w:cstheme="minorHAnsi"/>
          <w:szCs w:val="24"/>
        </w:rPr>
        <w:t xml:space="preserve"> </w:t>
      </w:r>
      <w:r w:rsidRPr="00B43E73">
        <w:t>Ústředního kontrolního a zkušebního ústavu zemědělského</w:t>
      </w:r>
      <w:r w:rsidRPr="00647E41">
        <w:t xml:space="preserve"> (dále také „</w:t>
      </w:r>
      <w:r w:rsidRPr="00647E41">
        <w:rPr>
          <w:rFonts w:cstheme="minorHAnsi"/>
          <w:szCs w:val="24"/>
        </w:rPr>
        <w:t>ÚKZÚZ“)</w:t>
      </w:r>
      <w:r w:rsidR="00265340" w:rsidRPr="00647E41">
        <w:rPr>
          <w:rFonts w:cstheme="minorHAnsi"/>
          <w:szCs w:val="24"/>
        </w:rPr>
        <w:t>.</w:t>
      </w:r>
      <w:r w:rsidR="00265340">
        <w:rPr>
          <w:rFonts w:cstheme="minorHAnsi"/>
          <w:szCs w:val="24"/>
        </w:rPr>
        <w:t xml:space="preserve"> </w:t>
      </w:r>
      <w:r w:rsidR="00265340" w:rsidRPr="00C7341F">
        <w:rPr>
          <w:rFonts w:cstheme="minorHAnsi"/>
          <w:szCs w:val="24"/>
        </w:rPr>
        <w:t xml:space="preserve">Hlavním gestorem </w:t>
      </w:r>
      <w:r w:rsidR="00265340">
        <w:rPr>
          <w:rFonts w:cstheme="minorHAnsi"/>
          <w:szCs w:val="24"/>
        </w:rPr>
        <w:t xml:space="preserve">plnění tohoto </w:t>
      </w:r>
      <w:r w:rsidR="00265340" w:rsidRPr="00C7341F">
        <w:rPr>
          <w:rFonts w:cstheme="minorHAnsi"/>
          <w:szCs w:val="24"/>
        </w:rPr>
        <w:t xml:space="preserve">opatření </w:t>
      </w:r>
      <w:r w:rsidR="00265340" w:rsidRPr="001B5F85">
        <w:rPr>
          <w:rFonts w:cstheme="minorHAnsi"/>
          <w:szCs w:val="24"/>
        </w:rPr>
        <w:t xml:space="preserve">bylo MŽP, ve spolupráci s </w:t>
      </w:r>
      <w:proofErr w:type="spellStart"/>
      <w:proofErr w:type="gramStart"/>
      <w:r w:rsidR="00265340" w:rsidRPr="001B5F85">
        <w:rPr>
          <w:rFonts w:cstheme="minorHAnsi"/>
          <w:szCs w:val="24"/>
        </w:rPr>
        <w:t>MZe</w:t>
      </w:r>
      <w:proofErr w:type="spellEnd"/>
      <w:proofErr w:type="gramEnd"/>
      <w:r w:rsidR="00265340" w:rsidRPr="001B5F85">
        <w:rPr>
          <w:rFonts w:cstheme="minorHAnsi"/>
          <w:szCs w:val="24"/>
        </w:rPr>
        <w:t xml:space="preserve"> a</w:t>
      </w:r>
      <w:r w:rsidR="009E7757">
        <w:rPr>
          <w:rFonts w:cstheme="minorHAnsi"/>
          <w:szCs w:val="24"/>
        </w:rPr>
        <w:t> </w:t>
      </w:r>
      <w:r w:rsidR="00265340" w:rsidRPr="001B5F85">
        <w:rPr>
          <w:rFonts w:cstheme="minorHAnsi"/>
          <w:szCs w:val="24"/>
        </w:rPr>
        <w:t>ÚKZÚZ.</w:t>
      </w:r>
    </w:p>
    <w:p w14:paraId="0A9D14ED" w14:textId="77777777" w:rsidR="00B12CF0" w:rsidRPr="001B5F85" w:rsidRDefault="00B12CF0" w:rsidP="00B12CF0">
      <w:pPr>
        <w:rPr>
          <w:rFonts w:cstheme="minorHAnsi"/>
          <w:szCs w:val="24"/>
        </w:rPr>
      </w:pPr>
      <w:r w:rsidRPr="00B43E73">
        <w:rPr>
          <w:rFonts w:cstheme="minorHAnsi"/>
          <w:szCs w:val="24"/>
        </w:rPr>
        <w:t>S</w:t>
      </w:r>
      <w:r w:rsidR="00265340" w:rsidRPr="00B43E73">
        <w:rPr>
          <w:rFonts w:cstheme="minorHAnsi"/>
          <w:szCs w:val="24"/>
        </w:rPr>
        <w:t>ystém</w:t>
      </w:r>
      <w:r w:rsidRPr="00B43E73">
        <w:rPr>
          <w:rFonts w:cstheme="minorHAnsi"/>
          <w:szCs w:val="24"/>
        </w:rPr>
        <w:t xml:space="preserve"> zpřístupňování informací</w:t>
      </w:r>
      <w:r w:rsidRPr="00647E41">
        <w:rPr>
          <w:rFonts w:cstheme="minorHAnsi"/>
          <w:szCs w:val="24"/>
        </w:rPr>
        <w:t xml:space="preserve"> </w:t>
      </w:r>
      <w:r w:rsidRPr="00D66C36">
        <w:rPr>
          <w:rFonts w:cstheme="minorHAnsi"/>
          <w:szCs w:val="24"/>
        </w:rPr>
        <w:t>prostřednictvím ÚKZÚZ</w:t>
      </w:r>
      <w:r w:rsidR="007C0CD8" w:rsidRPr="00C7341F">
        <w:rPr>
          <w:rFonts w:cstheme="minorHAnsi"/>
          <w:szCs w:val="24"/>
        </w:rPr>
        <w:t xml:space="preserve"> </w:t>
      </w:r>
      <w:r w:rsidR="00E92671">
        <w:rPr>
          <w:rFonts w:cstheme="minorHAnsi"/>
          <w:szCs w:val="24"/>
        </w:rPr>
        <w:t>je</w:t>
      </w:r>
      <w:r w:rsidR="00265340">
        <w:rPr>
          <w:rFonts w:cstheme="minorHAnsi"/>
          <w:szCs w:val="24"/>
        </w:rPr>
        <w:t xml:space="preserve"> </w:t>
      </w:r>
      <w:r w:rsidR="00A05A11">
        <w:rPr>
          <w:rFonts w:cstheme="minorHAnsi"/>
          <w:szCs w:val="24"/>
        </w:rPr>
        <w:t>totiž</w:t>
      </w:r>
      <w:r w:rsidR="00265340">
        <w:rPr>
          <w:rFonts w:cstheme="minorHAnsi"/>
          <w:szCs w:val="24"/>
        </w:rPr>
        <w:t xml:space="preserve"> </w:t>
      </w:r>
      <w:r w:rsidR="007C0CD8" w:rsidRPr="00C7341F">
        <w:rPr>
          <w:rFonts w:cstheme="minorHAnsi"/>
          <w:szCs w:val="24"/>
        </w:rPr>
        <w:t xml:space="preserve">pro producenty pitné vody </w:t>
      </w:r>
      <w:r w:rsidR="008C02DD">
        <w:rPr>
          <w:rFonts w:cstheme="minorHAnsi"/>
          <w:szCs w:val="24"/>
        </w:rPr>
        <w:t xml:space="preserve">v praxi </w:t>
      </w:r>
      <w:r w:rsidR="007C0CD8" w:rsidRPr="00C7341F">
        <w:rPr>
          <w:rFonts w:cstheme="minorHAnsi"/>
          <w:szCs w:val="24"/>
        </w:rPr>
        <w:t>nepoužitelný.</w:t>
      </w:r>
      <w:r w:rsidR="00265340">
        <w:rPr>
          <w:rFonts w:cstheme="minorHAnsi"/>
          <w:szCs w:val="24"/>
        </w:rPr>
        <w:t xml:space="preserve"> </w:t>
      </w:r>
      <w:r>
        <w:rPr>
          <w:rFonts w:cstheme="minorHAnsi"/>
          <w:szCs w:val="24"/>
        </w:rPr>
        <w:t>Systém n</w:t>
      </w:r>
      <w:r w:rsidR="00265340" w:rsidRPr="00C7341F">
        <w:rPr>
          <w:rFonts w:cstheme="minorHAnsi"/>
          <w:szCs w:val="24"/>
        </w:rPr>
        <w:t>e</w:t>
      </w:r>
      <w:r w:rsidR="00E92671">
        <w:rPr>
          <w:rFonts w:cstheme="minorHAnsi"/>
          <w:szCs w:val="24"/>
        </w:rPr>
        <w:t>ní</w:t>
      </w:r>
      <w:r w:rsidR="00265340" w:rsidRPr="00C7341F">
        <w:rPr>
          <w:rFonts w:cstheme="minorHAnsi"/>
          <w:szCs w:val="24"/>
        </w:rPr>
        <w:t xml:space="preserve"> schopen poskytnout </w:t>
      </w:r>
      <w:r w:rsidR="00A05A11">
        <w:rPr>
          <w:rFonts w:cstheme="minorHAnsi"/>
          <w:szCs w:val="24"/>
        </w:rPr>
        <w:t>přesné</w:t>
      </w:r>
      <w:r w:rsidR="00A05A11" w:rsidRPr="00C7341F">
        <w:rPr>
          <w:rFonts w:cstheme="minorHAnsi"/>
          <w:szCs w:val="24"/>
        </w:rPr>
        <w:t xml:space="preserve"> </w:t>
      </w:r>
      <w:r w:rsidR="00265340" w:rsidRPr="00C7341F">
        <w:rPr>
          <w:rFonts w:cstheme="minorHAnsi"/>
          <w:szCs w:val="24"/>
        </w:rPr>
        <w:t xml:space="preserve">informace o </w:t>
      </w:r>
      <w:r w:rsidR="008C02DD">
        <w:rPr>
          <w:rFonts w:cstheme="minorHAnsi"/>
          <w:szCs w:val="24"/>
        </w:rPr>
        <w:t>pesticidech</w:t>
      </w:r>
      <w:r w:rsidR="00265340" w:rsidRPr="00C7341F">
        <w:rPr>
          <w:rFonts w:cstheme="minorHAnsi"/>
          <w:szCs w:val="24"/>
        </w:rPr>
        <w:t xml:space="preserve"> aplikovaných v oblasti </w:t>
      </w:r>
      <w:r w:rsidR="00C7200A">
        <w:rPr>
          <w:rFonts w:cstheme="minorHAnsi"/>
          <w:szCs w:val="24"/>
        </w:rPr>
        <w:t xml:space="preserve">konkrétního </w:t>
      </w:r>
      <w:r w:rsidR="00265340" w:rsidRPr="00C7341F">
        <w:rPr>
          <w:rFonts w:cstheme="minorHAnsi"/>
          <w:szCs w:val="24"/>
        </w:rPr>
        <w:t xml:space="preserve">zdroje </w:t>
      </w:r>
      <w:r w:rsidR="00C7200A">
        <w:rPr>
          <w:rFonts w:cstheme="minorHAnsi"/>
          <w:szCs w:val="24"/>
        </w:rPr>
        <w:t xml:space="preserve">pitné </w:t>
      </w:r>
      <w:r w:rsidR="00265340" w:rsidRPr="00C7341F">
        <w:rPr>
          <w:rFonts w:cstheme="minorHAnsi"/>
          <w:szCs w:val="24"/>
        </w:rPr>
        <w:t>vody, což na jednu stranu vede k</w:t>
      </w:r>
      <w:r w:rsidR="00AB4E3D">
        <w:rPr>
          <w:rFonts w:cstheme="minorHAnsi"/>
          <w:szCs w:val="24"/>
        </w:rPr>
        <w:t xml:space="preserve"> neefektivnímu vynakládání peněžních </w:t>
      </w:r>
      <w:r w:rsidR="00265340" w:rsidRPr="00C7341F">
        <w:rPr>
          <w:rFonts w:cstheme="minorHAnsi"/>
          <w:szCs w:val="24"/>
        </w:rPr>
        <w:t>prostředků (</w:t>
      </w:r>
      <w:r w:rsidR="00DE5049">
        <w:rPr>
          <w:rFonts w:cstheme="minorHAnsi"/>
          <w:szCs w:val="24"/>
        </w:rPr>
        <w:t xml:space="preserve">rozbory vody jsou prováděny pro </w:t>
      </w:r>
      <w:r w:rsidR="008C02DD">
        <w:rPr>
          <w:rFonts w:cstheme="minorHAnsi"/>
          <w:szCs w:val="24"/>
        </w:rPr>
        <w:t xml:space="preserve">pesticidní </w:t>
      </w:r>
      <w:r w:rsidR="00265340" w:rsidRPr="00C7341F">
        <w:rPr>
          <w:rFonts w:cstheme="minorHAnsi"/>
          <w:szCs w:val="24"/>
        </w:rPr>
        <w:t xml:space="preserve">látky, které nejsou v daném místě relevantní), na druhou stranu nezajišťuje ochranu veřejného zdraví, protože v pitné vodě se </w:t>
      </w:r>
      <w:r w:rsidR="00AB4E3D">
        <w:rPr>
          <w:rFonts w:cstheme="minorHAnsi"/>
          <w:szCs w:val="24"/>
        </w:rPr>
        <w:t xml:space="preserve">nesledují </w:t>
      </w:r>
      <w:r w:rsidR="00265340" w:rsidRPr="00C7341F">
        <w:rPr>
          <w:rFonts w:cstheme="minorHAnsi"/>
          <w:szCs w:val="24"/>
        </w:rPr>
        <w:t>rizikové látky s</w:t>
      </w:r>
      <w:r w:rsidR="003C6C89">
        <w:rPr>
          <w:rFonts w:cstheme="minorHAnsi"/>
          <w:szCs w:val="24"/>
        </w:rPr>
        <w:t> </w:t>
      </w:r>
      <w:r w:rsidR="00A05A11">
        <w:rPr>
          <w:rFonts w:cstheme="minorHAnsi"/>
          <w:szCs w:val="24"/>
        </w:rPr>
        <w:t>pravděpodobným</w:t>
      </w:r>
      <w:r w:rsidR="00A05A11" w:rsidRPr="00C7341F">
        <w:rPr>
          <w:rFonts w:cstheme="minorHAnsi"/>
          <w:szCs w:val="24"/>
        </w:rPr>
        <w:t xml:space="preserve"> </w:t>
      </w:r>
      <w:r w:rsidR="00265340" w:rsidRPr="00C7341F">
        <w:rPr>
          <w:rFonts w:cstheme="minorHAnsi"/>
          <w:szCs w:val="24"/>
        </w:rPr>
        <w:t>výskytem v daném zdroji pitné vody</w:t>
      </w:r>
      <w:r w:rsidR="00265340" w:rsidRPr="00C438CA">
        <w:rPr>
          <w:rFonts w:cstheme="minorHAnsi"/>
          <w:szCs w:val="24"/>
        </w:rPr>
        <w:t>.</w:t>
      </w:r>
      <w:r w:rsidR="00265340" w:rsidRPr="00C7341F">
        <w:rPr>
          <w:rFonts w:cstheme="minorHAnsi"/>
          <w:szCs w:val="24"/>
        </w:rPr>
        <w:t xml:space="preserve"> </w:t>
      </w:r>
      <w:r w:rsidRPr="00C7341F">
        <w:rPr>
          <w:rFonts w:cstheme="minorHAnsi"/>
          <w:szCs w:val="24"/>
        </w:rPr>
        <w:t xml:space="preserve">Pro producenty pitné vody je důležité mít rychlou informaci o aplikaci </w:t>
      </w:r>
      <w:r w:rsidR="008C02DD">
        <w:rPr>
          <w:rFonts w:cstheme="minorHAnsi"/>
          <w:szCs w:val="24"/>
        </w:rPr>
        <w:t xml:space="preserve">pesticidů </w:t>
      </w:r>
      <w:r w:rsidRPr="00C7341F">
        <w:rPr>
          <w:rFonts w:cstheme="minorHAnsi"/>
          <w:szCs w:val="24"/>
        </w:rPr>
        <w:t xml:space="preserve">na konkrétních pozemcích tak, aby mohli rozbory pitné vody přesně zaměřit na </w:t>
      </w:r>
      <w:r w:rsidR="008C02DD">
        <w:rPr>
          <w:rFonts w:cstheme="minorHAnsi"/>
          <w:szCs w:val="24"/>
        </w:rPr>
        <w:t xml:space="preserve">ty </w:t>
      </w:r>
      <w:r w:rsidRPr="00C7341F">
        <w:rPr>
          <w:rFonts w:cstheme="minorHAnsi"/>
          <w:szCs w:val="24"/>
        </w:rPr>
        <w:t>pesticidní látky, které se v pitné vodě mohou reálně vyskytovat.</w:t>
      </w:r>
    </w:p>
    <w:p w14:paraId="47388D8E" w14:textId="77777777" w:rsidR="001B5F85" w:rsidRPr="001B5F85" w:rsidRDefault="001B5F85" w:rsidP="001B5F85">
      <w:pPr>
        <w:pStyle w:val="Bezmezer"/>
        <w:rPr>
          <w:b w:val="0"/>
        </w:rPr>
      </w:pPr>
      <w:r w:rsidRPr="001B5F85">
        <w:rPr>
          <w:b w:val="0"/>
        </w:rPr>
        <w:t xml:space="preserve">Pravidla cíleného monitoringu pesticidních látek v povrchových a podzemních vodách využívaných pro zásobování obyvatelstva pitnou vodou nebyla vytvořena a </w:t>
      </w:r>
      <w:r w:rsidRPr="00C16382">
        <w:rPr>
          <w:b w:val="0"/>
        </w:rPr>
        <w:t>opatření č. 4.34</w:t>
      </w:r>
      <w:r w:rsidRPr="00C7200A">
        <w:rPr>
          <w:b w:val="0"/>
        </w:rPr>
        <w:t xml:space="preserve"> </w:t>
      </w:r>
      <w:r w:rsidRPr="001B5F85">
        <w:rPr>
          <w:b w:val="0"/>
        </w:rPr>
        <w:t>NAP 2013</w:t>
      </w:r>
      <w:r w:rsidR="00C7200A" w:rsidRPr="00C7200A">
        <w:rPr>
          <w:b w:val="0"/>
        </w:rPr>
        <w:t>–</w:t>
      </w:r>
      <w:r w:rsidRPr="00C7200A">
        <w:rPr>
          <w:b w:val="0"/>
        </w:rPr>
        <w:t>2017 bylo převzato do NAP 2018</w:t>
      </w:r>
      <w:r w:rsidR="00C7200A" w:rsidRPr="00C7200A">
        <w:rPr>
          <w:b w:val="0"/>
        </w:rPr>
        <w:t>–</w:t>
      </w:r>
      <w:r w:rsidRPr="00C7200A">
        <w:rPr>
          <w:b w:val="0"/>
        </w:rPr>
        <w:t xml:space="preserve">2022 jako </w:t>
      </w:r>
      <w:r w:rsidRPr="00C16382">
        <w:rPr>
          <w:b w:val="0"/>
        </w:rPr>
        <w:t>opatření č. 4.22</w:t>
      </w:r>
      <w:r w:rsidRPr="00C7200A">
        <w:rPr>
          <w:b w:val="0"/>
        </w:rPr>
        <w:t xml:space="preserve"> s tím rozdílem, že </w:t>
      </w:r>
      <w:r w:rsidR="00C7200A">
        <w:rPr>
          <w:b w:val="0"/>
        </w:rPr>
        <w:t xml:space="preserve">hlavním gestorem se stalo </w:t>
      </w:r>
      <w:proofErr w:type="spellStart"/>
      <w:r w:rsidRPr="00C7200A">
        <w:rPr>
          <w:b w:val="0"/>
        </w:rPr>
        <w:t>MZe</w:t>
      </w:r>
      <w:proofErr w:type="spellEnd"/>
      <w:r w:rsidR="00C7200A">
        <w:rPr>
          <w:b w:val="0"/>
        </w:rPr>
        <w:t>.</w:t>
      </w:r>
    </w:p>
    <w:p w14:paraId="5F9B6909" w14:textId="552946AE" w:rsidR="00265340" w:rsidRPr="00265340" w:rsidRDefault="00265340" w:rsidP="00265340">
      <w:pPr>
        <w:pStyle w:val="Bezmezer"/>
        <w:rPr>
          <w:b w:val="0"/>
        </w:rPr>
      </w:pPr>
      <w:r w:rsidRPr="00265340">
        <w:rPr>
          <w:b w:val="0"/>
        </w:rPr>
        <w:t>V letech 2018</w:t>
      </w:r>
      <w:r w:rsidR="00C7200A" w:rsidRPr="00C7200A">
        <w:rPr>
          <w:b w:val="0"/>
        </w:rPr>
        <w:t>–</w:t>
      </w:r>
      <w:r w:rsidRPr="00265340">
        <w:rPr>
          <w:b w:val="0"/>
        </w:rPr>
        <w:t xml:space="preserve">2020 se na plnění opatření </w:t>
      </w:r>
      <w:r w:rsidR="00647E41">
        <w:rPr>
          <w:b w:val="0"/>
        </w:rPr>
        <w:t xml:space="preserve">č. </w:t>
      </w:r>
      <w:r w:rsidR="00C7200A">
        <w:rPr>
          <w:b w:val="0"/>
        </w:rPr>
        <w:t xml:space="preserve">4.22 </w:t>
      </w:r>
      <w:r w:rsidR="00647E41">
        <w:rPr>
          <w:b w:val="0"/>
        </w:rPr>
        <w:t>kromě</w:t>
      </w:r>
      <w:r w:rsidR="00C7200A">
        <w:rPr>
          <w:b w:val="0"/>
        </w:rPr>
        <w:t xml:space="preserve"> </w:t>
      </w:r>
      <w:proofErr w:type="spellStart"/>
      <w:proofErr w:type="gramStart"/>
      <w:r w:rsidR="00C7200A">
        <w:rPr>
          <w:b w:val="0"/>
        </w:rPr>
        <w:t>MZe</w:t>
      </w:r>
      <w:proofErr w:type="spellEnd"/>
      <w:proofErr w:type="gramEnd"/>
      <w:r w:rsidR="00C7200A">
        <w:rPr>
          <w:b w:val="0"/>
        </w:rPr>
        <w:t xml:space="preserve"> </w:t>
      </w:r>
      <w:r w:rsidRPr="00265340">
        <w:rPr>
          <w:b w:val="0"/>
        </w:rPr>
        <w:t>podílely ÚKZÚZ ve spolupráci s</w:t>
      </w:r>
      <w:r w:rsidR="00492BD7">
        <w:rPr>
          <w:b w:val="0"/>
        </w:rPr>
        <w:t> </w:t>
      </w:r>
      <w:r w:rsidRPr="00265340">
        <w:rPr>
          <w:b w:val="0"/>
        </w:rPr>
        <w:t xml:space="preserve">ČHMÚ </w:t>
      </w:r>
      <w:r w:rsidRPr="00492BD7">
        <w:rPr>
          <w:b w:val="0"/>
        </w:rPr>
        <w:t>a</w:t>
      </w:r>
      <w:r w:rsidR="009E7757">
        <w:rPr>
          <w:b w:val="0"/>
        </w:rPr>
        <w:t xml:space="preserve"> </w:t>
      </w:r>
      <w:r w:rsidRPr="00492BD7">
        <w:rPr>
          <w:b w:val="0"/>
        </w:rPr>
        <w:t>SOVAK</w:t>
      </w:r>
      <w:r w:rsidR="00492BD7" w:rsidRPr="00492BD7">
        <w:rPr>
          <w:rStyle w:val="Znakapoznpodarou"/>
          <w:b w:val="0"/>
        </w:rPr>
        <w:footnoteReference w:id="28"/>
      </w:r>
      <w:r w:rsidRPr="00492BD7">
        <w:rPr>
          <w:b w:val="0"/>
        </w:rPr>
        <w:t>.</w:t>
      </w:r>
      <w:r w:rsidRPr="00265340">
        <w:rPr>
          <w:b w:val="0"/>
        </w:rPr>
        <w:t xml:space="preserve"> V</w:t>
      </w:r>
      <w:r w:rsidR="00D97B3C">
        <w:rPr>
          <w:b w:val="0"/>
        </w:rPr>
        <w:t> roce 2019 publikoval ČHMÚ v</w:t>
      </w:r>
      <w:r w:rsidRPr="00265340">
        <w:rPr>
          <w:b w:val="0"/>
        </w:rPr>
        <w:t xml:space="preserve"> časopise SOVAK </w:t>
      </w:r>
      <w:r w:rsidR="00D97B3C">
        <w:rPr>
          <w:b w:val="0"/>
        </w:rPr>
        <w:t xml:space="preserve">přehled </w:t>
      </w:r>
      <w:r w:rsidRPr="00265340">
        <w:rPr>
          <w:b w:val="0"/>
        </w:rPr>
        <w:t>pesticidních látek</w:t>
      </w:r>
      <w:r w:rsidR="00D97B3C">
        <w:rPr>
          <w:b w:val="0"/>
        </w:rPr>
        <w:t xml:space="preserve">, které se pravděpodobně vyskytují ve zdrojích pitné vody, </w:t>
      </w:r>
      <w:r w:rsidR="00741355">
        <w:rPr>
          <w:b w:val="0"/>
        </w:rPr>
        <w:t xml:space="preserve">a to na základě vyhodnocení výstupů z dlouhodobě prováděných monitoringů podzemních a povrchových vod. </w:t>
      </w:r>
      <w:r w:rsidRPr="00265340">
        <w:rPr>
          <w:b w:val="0"/>
        </w:rPr>
        <w:t>Avšak jednotná metodická pravidla cíleného monitoringu</w:t>
      </w:r>
      <w:r w:rsidR="00741355">
        <w:rPr>
          <w:b w:val="0"/>
        </w:rPr>
        <w:t xml:space="preserve"> pesticidních látek </w:t>
      </w:r>
      <w:r w:rsidRPr="00265340">
        <w:rPr>
          <w:b w:val="0"/>
        </w:rPr>
        <w:t>v povrchových a</w:t>
      </w:r>
      <w:r w:rsidR="009E7757">
        <w:rPr>
          <w:b w:val="0"/>
        </w:rPr>
        <w:t> </w:t>
      </w:r>
      <w:r w:rsidRPr="00265340">
        <w:rPr>
          <w:b w:val="0"/>
        </w:rPr>
        <w:t xml:space="preserve">podzemních vodách využívaných pro zásobování obyvatelstva pitnou vodou založená na </w:t>
      </w:r>
      <w:r w:rsidR="00647E41" w:rsidRPr="00265340">
        <w:rPr>
          <w:b w:val="0"/>
        </w:rPr>
        <w:t xml:space="preserve">informacích </w:t>
      </w:r>
      <w:r w:rsidR="006E1210">
        <w:rPr>
          <w:b w:val="0"/>
        </w:rPr>
        <w:t>o</w:t>
      </w:r>
      <w:r w:rsidR="009E7757">
        <w:rPr>
          <w:b w:val="0"/>
        </w:rPr>
        <w:t xml:space="preserve"> </w:t>
      </w:r>
      <w:r w:rsidRPr="00265340">
        <w:rPr>
          <w:b w:val="0"/>
        </w:rPr>
        <w:t>aplikovaných p</w:t>
      </w:r>
      <w:r w:rsidR="00741355">
        <w:rPr>
          <w:b w:val="0"/>
        </w:rPr>
        <w:t>esticid</w:t>
      </w:r>
      <w:r w:rsidR="00142FEE">
        <w:rPr>
          <w:b w:val="0"/>
        </w:rPr>
        <w:t>ech</w:t>
      </w:r>
      <w:r w:rsidRPr="00265340">
        <w:rPr>
          <w:b w:val="0"/>
        </w:rPr>
        <w:t>, struktuře pěstovaných plodin a</w:t>
      </w:r>
      <w:r w:rsidR="009E7757">
        <w:rPr>
          <w:b w:val="0"/>
        </w:rPr>
        <w:t xml:space="preserve"> </w:t>
      </w:r>
      <w:r w:rsidRPr="00265340">
        <w:rPr>
          <w:b w:val="0"/>
        </w:rPr>
        <w:t xml:space="preserve">dostupných </w:t>
      </w:r>
      <w:r w:rsidR="00647E41">
        <w:rPr>
          <w:b w:val="0"/>
        </w:rPr>
        <w:t xml:space="preserve">údajích </w:t>
      </w:r>
      <w:r w:rsidR="00910BB2">
        <w:rPr>
          <w:b w:val="0"/>
        </w:rPr>
        <w:t xml:space="preserve">o </w:t>
      </w:r>
      <w:r w:rsidRPr="00265340">
        <w:rPr>
          <w:b w:val="0"/>
        </w:rPr>
        <w:t xml:space="preserve">dosavadním výskytu </w:t>
      </w:r>
      <w:r w:rsidR="00910BB2">
        <w:rPr>
          <w:b w:val="0"/>
        </w:rPr>
        <w:t xml:space="preserve">pesticidů </w:t>
      </w:r>
      <w:r w:rsidRPr="00265340">
        <w:rPr>
          <w:b w:val="0"/>
        </w:rPr>
        <w:t>nebyla doposud vytvořena.</w:t>
      </w:r>
    </w:p>
    <w:p w14:paraId="6819600D" w14:textId="77777777" w:rsidR="007C0CD8" w:rsidRPr="00C7341F" w:rsidRDefault="00265340" w:rsidP="007C0CD8">
      <w:pPr>
        <w:rPr>
          <w:rFonts w:cstheme="minorHAnsi"/>
          <w:szCs w:val="24"/>
        </w:rPr>
      </w:pPr>
      <w:r w:rsidRPr="00265340">
        <w:rPr>
          <w:rFonts w:cstheme="minorHAnsi"/>
          <w:color w:val="000000" w:themeColor="text1"/>
          <w:szCs w:val="24"/>
        </w:rPr>
        <w:t xml:space="preserve">Splnění </w:t>
      </w:r>
      <w:r w:rsidRPr="00C16382">
        <w:rPr>
          <w:rFonts w:cstheme="minorHAnsi"/>
          <w:color w:val="000000" w:themeColor="text1"/>
          <w:szCs w:val="24"/>
        </w:rPr>
        <w:t>opatření č. 4.22</w:t>
      </w:r>
      <w:r w:rsidRPr="00265340">
        <w:rPr>
          <w:rFonts w:cstheme="minorHAnsi"/>
          <w:color w:val="000000" w:themeColor="text1"/>
          <w:szCs w:val="24"/>
        </w:rPr>
        <w:t xml:space="preserve"> NAP 2018</w:t>
      </w:r>
      <w:r w:rsidR="001B7D1B" w:rsidRPr="001B7D1B">
        <w:t>–</w:t>
      </w:r>
      <w:r w:rsidRPr="00265340">
        <w:rPr>
          <w:rFonts w:cstheme="minorHAnsi"/>
          <w:color w:val="000000" w:themeColor="text1"/>
          <w:szCs w:val="24"/>
        </w:rPr>
        <w:t>2022 je podmíněno zavedením povinné elektronické evidence použití pesticid</w:t>
      </w:r>
      <w:r w:rsidR="001B7D1B">
        <w:rPr>
          <w:rFonts w:cstheme="minorHAnsi"/>
          <w:color w:val="000000" w:themeColor="text1"/>
          <w:szCs w:val="24"/>
        </w:rPr>
        <w:t>ů</w:t>
      </w:r>
      <w:r w:rsidR="00256BF3">
        <w:rPr>
          <w:rFonts w:cstheme="minorHAnsi"/>
          <w:color w:val="000000" w:themeColor="text1"/>
          <w:szCs w:val="24"/>
        </w:rPr>
        <w:t>, která doposud neexistuje</w:t>
      </w:r>
      <w:r w:rsidRPr="00265340">
        <w:rPr>
          <w:rFonts w:cstheme="minorHAnsi"/>
          <w:color w:val="000000" w:themeColor="text1"/>
          <w:szCs w:val="24"/>
        </w:rPr>
        <w:t>.</w:t>
      </w:r>
    </w:p>
    <w:p w14:paraId="3086AE23" w14:textId="77777777" w:rsidR="00E41BD7" w:rsidRPr="00B67467" w:rsidRDefault="00E41BD7" w:rsidP="00442B6D">
      <w:pPr>
        <w:pStyle w:val="Nadpis2"/>
      </w:pPr>
      <w:r>
        <w:t>Systém povinné e</w:t>
      </w:r>
      <w:r w:rsidRPr="00B67467">
        <w:t>lektronick</w:t>
      </w:r>
      <w:r>
        <w:t>é</w:t>
      </w:r>
      <w:r w:rsidRPr="00B67467">
        <w:t xml:space="preserve"> evidence spotřeby</w:t>
      </w:r>
      <w:r>
        <w:t xml:space="preserve"> pesticidů</w:t>
      </w:r>
    </w:p>
    <w:p w14:paraId="39D33F45" w14:textId="77777777" w:rsidR="00733FC0" w:rsidRPr="00432A30" w:rsidRDefault="00733FC0" w:rsidP="00733FC0">
      <w:pPr>
        <w:pStyle w:val="Odstavecseseznamem"/>
        <w:ind w:left="0"/>
        <w:contextualSpacing w:val="0"/>
      </w:pPr>
      <w:r w:rsidRPr="00432A30">
        <w:t>Informace o použití daného druhu pesticid</w:t>
      </w:r>
      <w:r>
        <w:t xml:space="preserve">u </w:t>
      </w:r>
      <w:r w:rsidRPr="00432A30">
        <w:t>v konkrétním místě, čase a množství doposud chybí, což zásadně ovlivňuje monitoring kvality podzemních a povrchových vod prováděný ČHMÚ</w:t>
      </w:r>
      <w:r>
        <w:t xml:space="preserve"> a </w:t>
      </w:r>
      <w:r w:rsidRPr="00432A30">
        <w:t xml:space="preserve">správci povodí. </w:t>
      </w:r>
      <w:r>
        <w:t xml:space="preserve">Tyto </w:t>
      </w:r>
      <w:r w:rsidRPr="00432A30">
        <w:t xml:space="preserve">informace </w:t>
      </w:r>
      <w:r>
        <w:t xml:space="preserve">jsou </w:t>
      </w:r>
      <w:r w:rsidRPr="00432A30">
        <w:t xml:space="preserve">zásadní </w:t>
      </w:r>
      <w:r w:rsidR="00CA3221">
        <w:t xml:space="preserve">také </w:t>
      </w:r>
      <w:r w:rsidRPr="00432A30">
        <w:t>pro cílený monitoring pesticidních látek v pitné vodě</w:t>
      </w:r>
      <w:r>
        <w:t>.</w:t>
      </w:r>
    </w:p>
    <w:p w14:paraId="782F09A3" w14:textId="77777777" w:rsidR="004773E2" w:rsidRDefault="00256BF3" w:rsidP="00B23320">
      <w:pPr>
        <w:pStyle w:val="Bezmezer"/>
        <w:rPr>
          <w:rFonts w:cstheme="minorHAnsi"/>
          <w:b w:val="0"/>
          <w:szCs w:val="24"/>
        </w:rPr>
      </w:pPr>
      <w:r w:rsidRPr="009076A0">
        <w:rPr>
          <w:rFonts w:cstheme="minorHAnsi"/>
          <w:b w:val="0"/>
          <w:szCs w:val="24"/>
        </w:rPr>
        <w:lastRenderedPageBreak/>
        <w:t xml:space="preserve">Opatření </w:t>
      </w:r>
      <w:r w:rsidR="00CA3221">
        <w:rPr>
          <w:rFonts w:cstheme="minorHAnsi"/>
          <w:b w:val="0"/>
          <w:szCs w:val="24"/>
        </w:rPr>
        <w:t xml:space="preserve">č. </w:t>
      </w:r>
      <w:r w:rsidRPr="009076A0">
        <w:rPr>
          <w:rFonts w:cstheme="minorHAnsi"/>
          <w:b w:val="0"/>
          <w:szCs w:val="24"/>
        </w:rPr>
        <w:t>4.26</w:t>
      </w:r>
      <w:r>
        <w:rPr>
          <w:rFonts w:cstheme="minorHAnsi"/>
          <w:b w:val="0"/>
          <w:szCs w:val="24"/>
        </w:rPr>
        <w:t xml:space="preserve"> NAP 2018</w:t>
      </w:r>
      <w:r w:rsidR="000604B3" w:rsidRPr="000604B3">
        <w:rPr>
          <w:b w:val="0"/>
        </w:rPr>
        <w:t>–</w:t>
      </w:r>
      <w:r>
        <w:rPr>
          <w:rFonts w:cstheme="minorHAnsi"/>
          <w:b w:val="0"/>
          <w:szCs w:val="24"/>
        </w:rPr>
        <w:t xml:space="preserve">2022 </w:t>
      </w:r>
      <w:r w:rsidR="005A46F9">
        <w:rPr>
          <w:rFonts w:cstheme="minorHAnsi"/>
          <w:b w:val="0"/>
          <w:szCs w:val="24"/>
        </w:rPr>
        <w:t xml:space="preserve">uložilo </w:t>
      </w:r>
      <w:r w:rsidR="00CA3221">
        <w:rPr>
          <w:rFonts w:cstheme="minorHAnsi"/>
          <w:b w:val="0"/>
          <w:szCs w:val="24"/>
        </w:rPr>
        <w:t>Ministerstvu zemědělství</w:t>
      </w:r>
      <w:r w:rsidR="005A46F9">
        <w:rPr>
          <w:rFonts w:cstheme="minorHAnsi"/>
          <w:b w:val="0"/>
          <w:szCs w:val="24"/>
        </w:rPr>
        <w:t xml:space="preserve"> ve spolupráci s MŽP, </w:t>
      </w:r>
      <w:proofErr w:type="spellStart"/>
      <w:r w:rsidR="005A46F9">
        <w:rPr>
          <w:rFonts w:cstheme="minorHAnsi"/>
          <w:b w:val="0"/>
          <w:szCs w:val="24"/>
        </w:rPr>
        <w:t>MZd</w:t>
      </w:r>
      <w:proofErr w:type="spellEnd"/>
      <w:r w:rsidR="005A46F9">
        <w:rPr>
          <w:rFonts w:cstheme="minorHAnsi"/>
          <w:b w:val="0"/>
          <w:szCs w:val="24"/>
        </w:rPr>
        <w:t>, ÚKZÚZ a S</w:t>
      </w:r>
      <w:r w:rsidR="000C2C70">
        <w:rPr>
          <w:rFonts w:cstheme="minorHAnsi"/>
          <w:b w:val="0"/>
          <w:szCs w:val="24"/>
        </w:rPr>
        <w:t xml:space="preserve">ZÚ </w:t>
      </w:r>
      <w:r>
        <w:rPr>
          <w:rFonts w:cstheme="minorHAnsi"/>
          <w:b w:val="0"/>
          <w:szCs w:val="24"/>
        </w:rPr>
        <w:t>prověřit možnosti pro zavedení povinné elektronické evidence použití přípravků na ochranu rostlin, resp. pesticid</w:t>
      </w:r>
      <w:r w:rsidR="000604B3">
        <w:rPr>
          <w:rFonts w:cstheme="minorHAnsi"/>
          <w:b w:val="0"/>
          <w:szCs w:val="24"/>
        </w:rPr>
        <w:t>ů</w:t>
      </w:r>
      <w:r>
        <w:rPr>
          <w:rFonts w:cstheme="minorHAnsi"/>
          <w:b w:val="0"/>
          <w:szCs w:val="24"/>
        </w:rPr>
        <w:t xml:space="preserve">. </w:t>
      </w:r>
      <w:r w:rsidR="00B23320" w:rsidRPr="00B23320">
        <w:rPr>
          <w:rFonts w:cstheme="minorHAnsi"/>
          <w:b w:val="0"/>
          <w:szCs w:val="24"/>
        </w:rPr>
        <w:t xml:space="preserve">Zavedení </w:t>
      </w:r>
      <w:r>
        <w:rPr>
          <w:rFonts w:cstheme="minorHAnsi"/>
          <w:b w:val="0"/>
          <w:szCs w:val="24"/>
        </w:rPr>
        <w:t>této</w:t>
      </w:r>
      <w:r w:rsidR="00B23320" w:rsidRPr="00B23320">
        <w:rPr>
          <w:rFonts w:cstheme="minorHAnsi"/>
          <w:b w:val="0"/>
          <w:szCs w:val="24"/>
        </w:rPr>
        <w:t xml:space="preserve"> evidence bylo v rámci jednání</w:t>
      </w:r>
      <w:r w:rsidR="005A46F9">
        <w:rPr>
          <w:rFonts w:cstheme="minorHAnsi"/>
          <w:b w:val="0"/>
          <w:szCs w:val="24"/>
        </w:rPr>
        <w:t xml:space="preserve"> pracovních skupin</w:t>
      </w:r>
      <w:r w:rsidR="00A65636">
        <w:rPr>
          <w:rFonts w:cstheme="minorHAnsi"/>
          <w:b w:val="0"/>
          <w:szCs w:val="24"/>
        </w:rPr>
        <w:t>, mj.</w:t>
      </w:r>
      <w:r w:rsidR="00A04F7D">
        <w:rPr>
          <w:rFonts w:cstheme="minorHAnsi"/>
          <w:b w:val="0"/>
          <w:szCs w:val="24"/>
        </w:rPr>
        <w:t xml:space="preserve"> za účasti zástupců </w:t>
      </w:r>
      <w:proofErr w:type="spellStart"/>
      <w:r w:rsidR="00A04F7D">
        <w:rPr>
          <w:rFonts w:cstheme="minorHAnsi"/>
          <w:b w:val="0"/>
          <w:szCs w:val="24"/>
        </w:rPr>
        <w:t>MZd</w:t>
      </w:r>
      <w:proofErr w:type="spellEnd"/>
      <w:r w:rsidR="00A04F7D">
        <w:rPr>
          <w:rFonts w:cstheme="minorHAnsi"/>
          <w:b w:val="0"/>
          <w:szCs w:val="24"/>
        </w:rPr>
        <w:t xml:space="preserve"> a MŽP</w:t>
      </w:r>
      <w:r w:rsidR="00A65636">
        <w:rPr>
          <w:rFonts w:cstheme="minorHAnsi"/>
          <w:b w:val="0"/>
          <w:szCs w:val="24"/>
        </w:rPr>
        <w:t>,</w:t>
      </w:r>
      <w:r w:rsidR="005A46F9">
        <w:rPr>
          <w:rFonts w:cstheme="minorHAnsi"/>
          <w:b w:val="0"/>
          <w:szCs w:val="24"/>
        </w:rPr>
        <w:t xml:space="preserve"> </w:t>
      </w:r>
      <w:r w:rsidR="00B23320" w:rsidRPr="00B23320">
        <w:rPr>
          <w:rFonts w:cstheme="minorHAnsi"/>
          <w:b w:val="0"/>
          <w:szCs w:val="24"/>
        </w:rPr>
        <w:t>diskutováno již v období přípravy a</w:t>
      </w:r>
      <w:r w:rsidR="00CA3221">
        <w:rPr>
          <w:rFonts w:cstheme="minorHAnsi"/>
          <w:b w:val="0"/>
          <w:szCs w:val="24"/>
        </w:rPr>
        <w:t> </w:t>
      </w:r>
      <w:r w:rsidR="00B23320" w:rsidRPr="00B23320">
        <w:rPr>
          <w:rFonts w:cstheme="minorHAnsi"/>
          <w:b w:val="0"/>
          <w:szCs w:val="24"/>
        </w:rPr>
        <w:t>tvorby NAP 2013</w:t>
      </w:r>
      <w:r w:rsidR="000604B3" w:rsidRPr="000604B3">
        <w:rPr>
          <w:b w:val="0"/>
        </w:rPr>
        <w:t>–</w:t>
      </w:r>
      <w:r w:rsidR="00B23320" w:rsidRPr="00B23320">
        <w:rPr>
          <w:rFonts w:cstheme="minorHAnsi"/>
          <w:b w:val="0"/>
          <w:szCs w:val="24"/>
        </w:rPr>
        <w:t xml:space="preserve">2017 v roce 2012, ale bylo </w:t>
      </w:r>
      <w:r w:rsidR="00CA3221">
        <w:rPr>
          <w:rFonts w:cstheme="minorHAnsi"/>
          <w:b w:val="0"/>
          <w:szCs w:val="24"/>
        </w:rPr>
        <w:t>Ministerstvem zemědělství</w:t>
      </w:r>
      <w:r w:rsidR="00B23320" w:rsidRPr="00B23320">
        <w:rPr>
          <w:rFonts w:cstheme="minorHAnsi"/>
          <w:b w:val="0"/>
          <w:szCs w:val="24"/>
        </w:rPr>
        <w:t xml:space="preserve"> zamítnuto. Při přípravě NAP 2018</w:t>
      </w:r>
      <w:r w:rsidR="000604B3" w:rsidRPr="000604B3">
        <w:rPr>
          <w:b w:val="0"/>
        </w:rPr>
        <w:t>–</w:t>
      </w:r>
      <w:r w:rsidR="00B23320" w:rsidRPr="00B23320">
        <w:rPr>
          <w:rFonts w:cstheme="minorHAnsi"/>
          <w:b w:val="0"/>
          <w:szCs w:val="24"/>
        </w:rPr>
        <w:t xml:space="preserve">2022 </w:t>
      </w:r>
      <w:r w:rsidR="00D35D0E">
        <w:rPr>
          <w:rFonts w:cstheme="minorHAnsi"/>
          <w:b w:val="0"/>
          <w:szCs w:val="24"/>
        </w:rPr>
        <w:t>u</w:t>
      </w:r>
      <w:r w:rsidR="00A04F7D" w:rsidRPr="00B23320">
        <w:rPr>
          <w:rFonts w:cstheme="minorHAnsi"/>
          <w:b w:val="0"/>
          <w:szCs w:val="24"/>
        </w:rPr>
        <w:t xml:space="preserve"> </w:t>
      </w:r>
      <w:r w:rsidR="00A04F7D">
        <w:rPr>
          <w:rFonts w:cstheme="minorHAnsi"/>
          <w:b w:val="0"/>
          <w:szCs w:val="24"/>
        </w:rPr>
        <w:t>opatření</w:t>
      </w:r>
      <w:r w:rsidR="00A04F7D" w:rsidRPr="00B23320">
        <w:rPr>
          <w:rFonts w:cstheme="minorHAnsi"/>
          <w:b w:val="0"/>
          <w:szCs w:val="24"/>
        </w:rPr>
        <w:t xml:space="preserve"> č. 4.26</w:t>
      </w:r>
      <w:r w:rsidR="00A04F7D">
        <w:rPr>
          <w:rFonts w:cstheme="minorHAnsi"/>
          <w:b w:val="0"/>
          <w:szCs w:val="24"/>
        </w:rPr>
        <w:t xml:space="preserve"> </w:t>
      </w:r>
      <w:r w:rsidR="00733FC0">
        <w:rPr>
          <w:rFonts w:cstheme="minorHAnsi"/>
          <w:b w:val="0"/>
          <w:szCs w:val="24"/>
        </w:rPr>
        <w:t xml:space="preserve">požadovala </w:t>
      </w:r>
      <w:r w:rsidR="00B23320" w:rsidRPr="00B23320">
        <w:rPr>
          <w:rFonts w:cstheme="minorHAnsi"/>
          <w:b w:val="0"/>
          <w:szCs w:val="24"/>
        </w:rPr>
        <w:t>Sekce vodního hospodářství</w:t>
      </w:r>
      <w:r w:rsidR="00A65636">
        <w:rPr>
          <w:rFonts w:cstheme="minorHAnsi"/>
          <w:b w:val="0"/>
          <w:szCs w:val="24"/>
        </w:rPr>
        <w:t xml:space="preserve"> </w:t>
      </w:r>
      <w:proofErr w:type="spellStart"/>
      <w:r w:rsidR="00A65636">
        <w:rPr>
          <w:rFonts w:cstheme="minorHAnsi"/>
          <w:b w:val="0"/>
          <w:szCs w:val="24"/>
        </w:rPr>
        <w:t>MZe</w:t>
      </w:r>
      <w:proofErr w:type="spellEnd"/>
      <w:r w:rsidR="00B23320" w:rsidRPr="00B23320">
        <w:rPr>
          <w:rFonts w:cstheme="minorHAnsi"/>
          <w:b w:val="0"/>
          <w:szCs w:val="24"/>
        </w:rPr>
        <w:t xml:space="preserve"> zavedení povinné elektronické evidence použití </w:t>
      </w:r>
      <w:r w:rsidR="004773E2">
        <w:rPr>
          <w:rFonts w:cstheme="minorHAnsi"/>
          <w:b w:val="0"/>
          <w:szCs w:val="24"/>
        </w:rPr>
        <w:t>pesticid</w:t>
      </w:r>
      <w:r w:rsidR="000604B3">
        <w:rPr>
          <w:rFonts w:cstheme="minorHAnsi"/>
          <w:b w:val="0"/>
          <w:szCs w:val="24"/>
        </w:rPr>
        <w:t>ů</w:t>
      </w:r>
      <w:r w:rsidR="00B23320" w:rsidRPr="00B23320">
        <w:rPr>
          <w:rFonts w:cstheme="minorHAnsi"/>
          <w:b w:val="0"/>
          <w:szCs w:val="24"/>
        </w:rPr>
        <w:t xml:space="preserve"> místo </w:t>
      </w:r>
      <w:r w:rsidR="00D35D0E">
        <w:rPr>
          <w:rFonts w:cstheme="minorHAnsi"/>
          <w:b w:val="0"/>
          <w:szCs w:val="24"/>
        </w:rPr>
        <w:t xml:space="preserve">definování opatření v podobě </w:t>
      </w:r>
      <w:r w:rsidR="000604B3">
        <w:rPr>
          <w:rFonts w:cstheme="minorHAnsi"/>
          <w:b w:val="0"/>
          <w:szCs w:val="24"/>
        </w:rPr>
        <w:t xml:space="preserve">pouhého </w:t>
      </w:r>
      <w:r w:rsidR="00D35D0E">
        <w:rPr>
          <w:rFonts w:cstheme="minorHAnsi"/>
          <w:b w:val="0"/>
          <w:szCs w:val="24"/>
        </w:rPr>
        <w:t>„</w:t>
      </w:r>
      <w:r w:rsidR="00B23320" w:rsidRPr="00381EB7">
        <w:rPr>
          <w:rFonts w:cstheme="minorHAnsi"/>
          <w:b w:val="0"/>
          <w:i/>
          <w:szCs w:val="24"/>
        </w:rPr>
        <w:t>prověření možnosti jejího zavedení</w:t>
      </w:r>
      <w:r w:rsidR="00D35D0E">
        <w:rPr>
          <w:rFonts w:cstheme="minorHAnsi"/>
          <w:b w:val="0"/>
          <w:szCs w:val="24"/>
        </w:rPr>
        <w:t>“</w:t>
      </w:r>
      <w:r w:rsidR="00B23320" w:rsidRPr="00B23320">
        <w:rPr>
          <w:rFonts w:cstheme="minorHAnsi"/>
          <w:b w:val="0"/>
          <w:szCs w:val="24"/>
        </w:rPr>
        <w:t xml:space="preserve">. </w:t>
      </w:r>
      <w:r w:rsidR="00733FC0">
        <w:rPr>
          <w:rFonts w:cstheme="minorHAnsi"/>
          <w:b w:val="0"/>
          <w:szCs w:val="24"/>
        </w:rPr>
        <w:t xml:space="preserve">Zavedení </w:t>
      </w:r>
      <w:r w:rsidR="00381EB7">
        <w:rPr>
          <w:rFonts w:cstheme="minorHAnsi"/>
          <w:b w:val="0"/>
          <w:szCs w:val="24"/>
        </w:rPr>
        <w:t xml:space="preserve">elektronické evidence jako </w:t>
      </w:r>
      <w:r w:rsidR="00D35D0E">
        <w:rPr>
          <w:rFonts w:cstheme="minorHAnsi"/>
          <w:b w:val="0"/>
          <w:szCs w:val="24"/>
        </w:rPr>
        <w:t>základní</w:t>
      </w:r>
      <w:r w:rsidR="00733FC0">
        <w:rPr>
          <w:rFonts w:cstheme="minorHAnsi"/>
          <w:b w:val="0"/>
          <w:szCs w:val="24"/>
        </w:rPr>
        <w:t>ho</w:t>
      </w:r>
      <w:r w:rsidR="00D35D0E">
        <w:rPr>
          <w:rFonts w:cstheme="minorHAnsi"/>
          <w:b w:val="0"/>
          <w:szCs w:val="24"/>
        </w:rPr>
        <w:t xml:space="preserve"> nástroj</w:t>
      </w:r>
      <w:r w:rsidR="00733FC0">
        <w:rPr>
          <w:rFonts w:cstheme="minorHAnsi"/>
          <w:b w:val="0"/>
          <w:szCs w:val="24"/>
        </w:rPr>
        <w:t>e</w:t>
      </w:r>
      <w:r w:rsidR="00D35D0E">
        <w:rPr>
          <w:rFonts w:cstheme="minorHAnsi"/>
          <w:b w:val="0"/>
          <w:szCs w:val="24"/>
        </w:rPr>
        <w:t xml:space="preserve"> </w:t>
      </w:r>
      <w:r w:rsidR="00B23320" w:rsidRPr="00B23320">
        <w:rPr>
          <w:rFonts w:cstheme="minorHAnsi"/>
          <w:b w:val="0"/>
          <w:szCs w:val="24"/>
        </w:rPr>
        <w:t>nezbyt</w:t>
      </w:r>
      <w:r w:rsidR="00D35D0E">
        <w:rPr>
          <w:rFonts w:cstheme="minorHAnsi"/>
          <w:b w:val="0"/>
          <w:szCs w:val="24"/>
        </w:rPr>
        <w:t>n</w:t>
      </w:r>
      <w:r w:rsidR="00733FC0">
        <w:rPr>
          <w:rFonts w:cstheme="minorHAnsi"/>
          <w:b w:val="0"/>
          <w:szCs w:val="24"/>
        </w:rPr>
        <w:t>ého</w:t>
      </w:r>
      <w:r w:rsidR="00B23320" w:rsidRPr="00B23320">
        <w:rPr>
          <w:rFonts w:cstheme="minorHAnsi"/>
          <w:b w:val="0"/>
          <w:szCs w:val="24"/>
        </w:rPr>
        <w:t xml:space="preserve"> pro </w:t>
      </w:r>
      <w:r w:rsidR="00733FC0">
        <w:rPr>
          <w:rFonts w:cstheme="minorHAnsi"/>
          <w:b w:val="0"/>
          <w:szCs w:val="24"/>
        </w:rPr>
        <w:t xml:space="preserve">zlepšení kvality vody v souvislosti </w:t>
      </w:r>
      <w:r w:rsidR="00CA3221">
        <w:rPr>
          <w:rFonts w:cstheme="minorHAnsi"/>
          <w:b w:val="0"/>
          <w:szCs w:val="24"/>
        </w:rPr>
        <w:t xml:space="preserve">s </w:t>
      </w:r>
      <w:r w:rsidR="00733FC0">
        <w:rPr>
          <w:rFonts w:cstheme="minorHAnsi"/>
          <w:b w:val="0"/>
          <w:szCs w:val="24"/>
        </w:rPr>
        <w:t xml:space="preserve">činností </w:t>
      </w:r>
      <w:r w:rsidR="00B23320" w:rsidRPr="00B23320">
        <w:rPr>
          <w:rFonts w:cstheme="minorHAnsi"/>
          <w:b w:val="0"/>
          <w:szCs w:val="24"/>
        </w:rPr>
        <w:t>státních podniků povodí</w:t>
      </w:r>
      <w:r w:rsidR="00733FC0">
        <w:rPr>
          <w:rFonts w:cstheme="minorHAnsi"/>
          <w:b w:val="0"/>
          <w:szCs w:val="24"/>
        </w:rPr>
        <w:t xml:space="preserve"> i</w:t>
      </w:r>
      <w:r w:rsidR="00B23320" w:rsidRPr="00B23320">
        <w:rPr>
          <w:rFonts w:cstheme="minorHAnsi"/>
          <w:b w:val="0"/>
          <w:szCs w:val="24"/>
        </w:rPr>
        <w:t xml:space="preserve"> vodohospodářů</w:t>
      </w:r>
      <w:r w:rsidR="00D35D0E">
        <w:rPr>
          <w:rFonts w:cstheme="minorHAnsi"/>
          <w:b w:val="0"/>
          <w:szCs w:val="24"/>
        </w:rPr>
        <w:t xml:space="preserve"> však v</w:t>
      </w:r>
      <w:r w:rsidR="00733FC0">
        <w:rPr>
          <w:rFonts w:cstheme="minorHAnsi"/>
          <w:b w:val="0"/>
          <w:szCs w:val="24"/>
        </w:rPr>
        <w:t> </w:t>
      </w:r>
      <w:r w:rsidR="00D35D0E">
        <w:rPr>
          <w:rFonts w:cstheme="minorHAnsi"/>
          <w:b w:val="0"/>
          <w:szCs w:val="24"/>
        </w:rPr>
        <w:t>aktuáln</w:t>
      </w:r>
      <w:r w:rsidR="00733FC0">
        <w:rPr>
          <w:rFonts w:cstheme="minorHAnsi"/>
          <w:b w:val="0"/>
          <w:szCs w:val="24"/>
        </w:rPr>
        <w:t xml:space="preserve">ě platném </w:t>
      </w:r>
      <w:r w:rsidR="00CA3221">
        <w:rPr>
          <w:rFonts w:cstheme="minorHAnsi"/>
          <w:b w:val="0"/>
          <w:szCs w:val="24"/>
        </w:rPr>
        <w:t>n</w:t>
      </w:r>
      <w:r w:rsidR="003C6C89">
        <w:rPr>
          <w:rFonts w:cstheme="minorHAnsi"/>
          <w:b w:val="0"/>
          <w:szCs w:val="24"/>
        </w:rPr>
        <w:t>árodním akčním plánu</w:t>
      </w:r>
      <w:r w:rsidR="00D35D0E">
        <w:rPr>
          <w:rFonts w:cstheme="minorHAnsi"/>
          <w:b w:val="0"/>
          <w:szCs w:val="24"/>
        </w:rPr>
        <w:t xml:space="preserve"> </w:t>
      </w:r>
      <w:r w:rsidR="00733FC0">
        <w:rPr>
          <w:rFonts w:cstheme="minorHAnsi"/>
          <w:b w:val="0"/>
          <w:szCs w:val="24"/>
        </w:rPr>
        <w:t>chybí.</w:t>
      </w:r>
    </w:p>
    <w:p w14:paraId="3F91AEAC" w14:textId="77777777" w:rsidR="00D527C2" w:rsidRDefault="00B23320" w:rsidP="00432A30">
      <w:proofErr w:type="spellStart"/>
      <w:r w:rsidRPr="00432A30">
        <w:rPr>
          <w:rFonts w:cstheme="minorHAnsi"/>
          <w:szCs w:val="24"/>
        </w:rPr>
        <w:t>MZe</w:t>
      </w:r>
      <w:proofErr w:type="spellEnd"/>
      <w:r w:rsidRPr="00432A30">
        <w:rPr>
          <w:rFonts w:cstheme="minorHAnsi"/>
          <w:szCs w:val="24"/>
        </w:rPr>
        <w:t xml:space="preserve"> připravilo </w:t>
      </w:r>
      <w:r w:rsidR="001C0DF6">
        <w:rPr>
          <w:rFonts w:cstheme="minorHAnsi"/>
          <w:szCs w:val="24"/>
        </w:rPr>
        <w:t xml:space="preserve">v roce 2020 </w:t>
      </w:r>
      <w:r w:rsidRPr="00432A30">
        <w:rPr>
          <w:rFonts w:cstheme="minorHAnsi"/>
          <w:szCs w:val="24"/>
        </w:rPr>
        <w:t>návrh novely rostlinolékařského zákona, kter</w:t>
      </w:r>
      <w:r w:rsidR="00CA3221">
        <w:rPr>
          <w:rFonts w:cstheme="minorHAnsi"/>
          <w:szCs w:val="24"/>
        </w:rPr>
        <w:t>ou</w:t>
      </w:r>
      <w:r w:rsidRPr="00432A30">
        <w:rPr>
          <w:rFonts w:cstheme="minorHAnsi"/>
          <w:szCs w:val="24"/>
        </w:rPr>
        <w:t xml:space="preserve"> má být povinná elektronická evidence použití </w:t>
      </w:r>
      <w:r w:rsidR="00432A30" w:rsidRPr="00432A30">
        <w:rPr>
          <w:rFonts w:cstheme="minorHAnsi"/>
          <w:szCs w:val="24"/>
        </w:rPr>
        <w:t>pesticid</w:t>
      </w:r>
      <w:r w:rsidR="00BF408D">
        <w:rPr>
          <w:rFonts w:cstheme="minorHAnsi"/>
          <w:szCs w:val="24"/>
        </w:rPr>
        <w:t>ů</w:t>
      </w:r>
      <w:r w:rsidRPr="00432A30">
        <w:rPr>
          <w:rFonts w:cstheme="minorHAnsi"/>
          <w:szCs w:val="24"/>
        </w:rPr>
        <w:t xml:space="preserve"> zavedena</w:t>
      </w:r>
      <w:r w:rsidR="00A22718" w:rsidRPr="00C0729D">
        <w:rPr>
          <w:rFonts w:cstheme="minorHAnsi"/>
          <w:szCs w:val="24"/>
        </w:rPr>
        <w:t>.</w:t>
      </w:r>
      <w:r w:rsidR="00432A30" w:rsidRPr="00C0729D">
        <w:rPr>
          <w:rFonts w:cstheme="minorHAnsi"/>
          <w:color w:val="000000" w:themeColor="text1"/>
          <w:szCs w:val="24"/>
        </w:rPr>
        <w:t xml:space="preserve"> T</w:t>
      </w:r>
      <w:r w:rsidR="00AB4E3D" w:rsidRPr="00C0729D">
        <w:rPr>
          <w:rFonts w:cstheme="minorHAnsi"/>
          <w:color w:val="000000" w:themeColor="text1"/>
          <w:szCs w:val="24"/>
        </w:rPr>
        <w:t xml:space="preserve">uto novelu předložilo </w:t>
      </w:r>
      <w:r w:rsidR="00C0729D" w:rsidRPr="00C0729D">
        <w:rPr>
          <w:rFonts w:cstheme="minorHAnsi"/>
          <w:color w:val="000000" w:themeColor="text1"/>
          <w:szCs w:val="24"/>
        </w:rPr>
        <w:t>v lednu 2021</w:t>
      </w:r>
      <w:r w:rsidR="00AB4E3D" w:rsidRPr="00C0729D">
        <w:rPr>
          <w:rFonts w:cstheme="minorHAnsi"/>
          <w:color w:val="000000" w:themeColor="text1"/>
          <w:szCs w:val="24"/>
        </w:rPr>
        <w:t xml:space="preserve"> vládě ČR. V době ukončení kontroly </w:t>
      </w:r>
      <w:r w:rsidR="00C0729D" w:rsidRPr="00C0729D">
        <w:rPr>
          <w:rFonts w:cstheme="minorHAnsi"/>
          <w:color w:val="000000" w:themeColor="text1"/>
          <w:szCs w:val="24"/>
        </w:rPr>
        <w:t>byla</w:t>
      </w:r>
      <w:r w:rsidR="00432A30" w:rsidRPr="00432A30">
        <w:rPr>
          <w:rFonts w:cstheme="minorHAnsi"/>
          <w:color w:val="000000" w:themeColor="text1"/>
          <w:szCs w:val="24"/>
        </w:rPr>
        <w:t xml:space="preserve"> novela </w:t>
      </w:r>
      <w:r w:rsidR="00C0729D" w:rsidRPr="00C0729D">
        <w:rPr>
          <w:rFonts w:cstheme="minorHAnsi"/>
          <w:color w:val="000000" w:themeColor="text1"/>
          <w:szCs w:val="24"/>
        </w:rPr>
        <w:t xml:space="preserve">projednávána v Poslanecké </w:t>
      </w:r>
      <w:r w:rsidR="00CA3221">
        <w:rPr>
          <w:rFonts w:cstheme="minorHAnsi"/>
          <w:color w:val="000000" w:themeColor="text1"/>
          <w:szCs w:val="24"/>
        </w:rPr>
        <w:t>s</w:t>
      </w:r>
      <w:r w:rsidR="00C0729D" w:rsidRPr="00C0729D">
        <w:rPr>
          <w:rFonts w:cstheme="minorHAnsi"/>
          <w:color w:val="000000" w:themeColor="text1"/>
          <w:szCs w:val="24"/>
        </w:rPr>
        <w:t>němovně Parlamentu ČR</w:t>
      </w:r>
      <w:r w:rsidR="00133CD6">
        <w:rPr>
          <w:rFonts w:cstheme="minorHAnsi"/>
          <w:color w:val="000000" w:themeColor="text1"/>
          <w:szCs w:val="24"/>
        </w:rPr>
        <w:t>.</w:t>
      </w:r>
      <w:r w:rsidR="00893420">
        <w:rPr>
          <w:rStyle w:val="Znakapoznpodarou"/>
          <w:rFonts w:cstheme="minorHAnsi"/>
          <w:color w:val="000000" w:themeColor="text1"/>
          <w:szCs w:val="24"/>
        </w:rPr>
        <w:footnoteReference w:id="29"/>
      </w:r>
      <w:r w:rsidR="00C0729D" w:rsidRPr="00C0729D">
        <w:rPr>
          <w:rFonts w:cstheme="minorHAnsi"/>
          <w:color w:val="000000" w:themeColor="text1"/>
          <w:szCs w:val="24"/>
        </w:rPr>
        <w:t xml:space="preserve"> </w:t>
      </w:r>
      <w:r w:rsidR="001C0DF6">
        <w:rPr>
          <w:rFonts w:cstheme="minorHAnsi"/>
          <w:color w:val="000000" w:themeColor="text1"/>
          <w:szCs w:val="24"/>
        </w:rPr>
        <w:t>Povinnost vést evidenci použití pesticid</w:t>
      </w:r>
      <w:r w:rsidR="00BF408D">
        <w:rPr>
          <w:rFonts w:cstheme="minorHAnsi"/>
          <w:color w:val="000000" w:themeColor="text1"/>
          <w:szCs w:val="24"/>
        </w:rPr>
        <w:t>ů</w:t>
      </w:r>
      <w:r w:rsidR="001C0DF6">
        <w:rPr>
          <w:rFonts w:cstheme="minorHAnsi"/>
          <w:color w:val="000000" w:themeColor="text1"/>
          <w:szCs w:val="24"/>
        </w:rPr>
        <w:t xml:space="preserve"> se </w:t>
      </w:r>
      <w:r w:rsidR="00CA3221">
        <w:rPr>
          <w:rFonts w:cstheme="minorHAnsi"/>
          <w:color w:val="000000" w:themeColor="text1"/>
          <w:szCs w:val="24"/>
        </w:rPr>
        <w:t xml:space="preserve">má </w:t>
      </w:r>
      <w:r w:rsidR="001C0DF6">
        <w:rPr>
          <w:rFonts w:cstheme="minorHAnsi"/>
          <w:color w:val="000000" w:themeColor="text1"/>
          <w:szCs w:val="24"/>
        </w:rPr>
        <w:t>dle navrhované novely</w:t>
      </w:r>
      <w:r w:rsidR="00BF408D">
        <w:rPr>
          <w:rFonts w:cstheme="minorHAnsi"/>
          <w:color w:val="000000" w:themeColor="text1"/>
          <w:szCs w:val="24"/>
        </w:rPr>
        <w:t xml:space="preserve"> týkat</w:t>
      </w:r>
      <w:r w:rsidR="001C0DF6">
        <w:rPr>
          <w:rFonts w:cstheme="minorHAnsi"/>
          <w:color w:val="000000" w:themeColor="text1"/>
          <w:szCs w:val="24"/>
        </w:rPr>
        <w:t xml:space="preserve"> zemědělských podnikatelů hospodařících na výměře větší než 200 ha. Tito podnikatelé </w:t>
      </w:r>
      <w:r w:rsidR="00BF408D">
        <w:rPr>
          <w:rFonts w:cstheme="minorHAnsi"/>
          <w:color w:val="000000" w:themeColor="text1"/>
          <w:szCs w:val="24"/>
        </w:rPr>
        <w:t xml:space="preserve">mají </w:t>
      </w:r>
      <w:r w:rsidR="00CA3221">
        <w:rPr>
          <w:rFonts w:cstheme="minorHAnsi"/>
          <w:color w:val="000000" w:themeColor="text1"/>
          <w:szCs w:val="24"/>
        </w:rPr>
        <w:t>mít</w:t>
      </w:r>
      <w:r w:rsidR="001C0DF6">
        <w:rPr>
          <w:rFonts w:cstheme="minorHAnsi"/>
          <w:color w:val="000000" w:themeColor="text1"/>
          <w:szCs w:val="24"/>
        </w:rPr>
        <w:t xml:space="preserve"> povinn</w:t>
      </w:r>
      <w:r w:rsidR="00CA3221">
        <w:rPr>
          <w:rFonts w:cstheme="minorHAnsi"/>
          <w:color w:val="000000" w:themeColor="text1"/>
          <w:szCs w:val="24"/>
        </w:rPr>
        <w:t>ost</w:t>
      </w:r>
      <w:r w:rsidR="001C0DF6">
        <w:rPr>
          <w:rFonts w:cstheme="minorHAnsi"/>
          <w:color w:val="000000" w:themeColor="text1"/>
          <w:szCs w:val="24"/>
        </w:rPr>
        <w:t xml:space="preserve"> elektronicky vedené údaje o použití pesticid</w:t>
      </w:r>
      <w:r w:rsidR="00BF408D">
        <w:rPr>
          <w:rFonts w:cstheme="minorHAnsi"/>
          <w:color w:val="000000" w:themeColor="text1"/>
          <w:szCs w:val="24"/>
        </w:rPr>
        <w:t xml:space="preserve">ů </w:t>
      </w:r>
      <w:r w:rsidR="001C0DF6">
        <w:rPr>
          <w:rFonts w:cstheme="minorHAnsi"/>
          <w:color w:val="000000" w:themeColor="text1"/>
          <w:szCs w:val="24"/>
        </w:rPr>
        <w:t>předávat ÚKZÚZ elektronicky do konce měsíce následujícího po aplikaci pesticid</w:t>
      </w:r>
      <w:r w:rsidR="00BF408D">
        <w:rPr>
          <w:rFonts w:cstheme="minorHAnsi"/>
          <w:color w:val="000000" w:themeColor="text1"/>
          <w:szCs w:val="24"/>
        </w:rPr>
        <w:t>u</w:t>
      </w:r>
      <w:r w:rsidR="001C0DF6">
        <w:rPr>
          <w:rFonts w:cstheme="minorHAnsi"/>
          <w:color w:val="000000" w:themeColor="text1"/>
          <w:szCs w:val="24"/>
        </w:rPr>
        <w:t xml:space="preserve">. </w:t>
      </w:r>
      <w:r w:rsidR="00D527C2">
        <w:t>V některých případech tak může být časový rozdíl mezi dnem aplikace pesticid</w:t>
      </w:r>
      <w:r w:rsidR="00BF408D">
        <w:t>u</w:t>
      </w:r>
      <w:r w:rsidR="00D527C2">
        <w:t xml:space="preserve"> a </w:t>
      </w:r>
      <w:r w:rsidR="00C86F12">
        <w:t xml:space="preserve">dnem </w:t>
      </w:r>
      <w:r w:rsidR="00D527C2">
        <w:t>předání</w:t>
      </w:r>
      <w:r w:rsidR="00841184">
        <w:t xml:space="preserve"> informací ÚKZÚZ až dva měsíce.</w:t>
      </w:r>
    </w:p>
    <w:p w14:paraId="52E6CB15" w14:textId="77777777" w:rsidR="00B23320" w:rsidRDefault="001C0DF6" w:rsidP="00733B69">
      <w:pPr>
        <w:rPr>
          <w:rFonts w:cstheme="minorHAnsi"/>
          <w:color w:val="000000" w:themeColor="text1"/>
          <w:szCs w:val="24"/>
        </w:rPr>
      </w:pPr>
      <w:r>
        <w:rPr>
          <w:rFonts w:cstheme="minorHAnsi"/>
          <w:color w:val="000000" w:themeColor="text1"/>
          <w:szCs w:val="24"/>
        </w:rPr>
        <w:t>Dle navrhované novely není povinná elektronická evidence zaváděna plošně, ale vztahuje se pouze na vybrané zemědělské podnikatele. Zároveň n</w:t>
      </w:r>
      <w:r w:rsidRPr="00432A30">
        <w:rPr>
          <w:rFonts w:cstheme="minorHAnsi"/>
          <w:color w:val="000000" w:themeColor="text1"/>
          <w:szCs w:val="24"/>
        </w:rPr>
        <w:t>avrhované znění novely nezajišťuje a</w:t>
      </w:r>
      <w:r w:rsidR="00CB21D6">
        <w:rPr>
          <w:rFonts w:cstheme="minorHAnsi"/>
          <w:color w:val="000000" w:themeColor="text1"/>
          <w:szCs w:val="24"/>
        </w:rPr>
        <w:t> </w:t>
      </w:r>
      <w:r w:rsidRPr="00432A30">
        <w:rPr>
          <w:rFonts w:cstheme="minorHAnsi"/>
          <w:color w:val="000000" w:themeColor="text1"/>
          <w:szCs w:val="24"/>
        </w:rPr>
        <w:t>neupravuje předávání evidovaných informací o</w:t>
      </w:r>
      <w:r w:rsidR="00C86F12">
        <w:rPr>
          <w:rFonts w:cstheme="minorHAnsi"/>
          <w:color w:val="000000" w:themeColor="text1"/>
          <w:szCs w:val="24"/>
        </w:rPr>
        <w:t xml:space="preserve"> </w:t>
      </w:r>
      <w:r w:rsidRPr="00432A30">
        <w:rPr>
          <w:rFonts w:cstheme="minorHAnsi"/>
          <w:color w:val="000000" w:themeColor="text1"/>
          <w:szCs w:val="24"/>
        </w:rPr>
        <w:t>aplikovaných pesticid</w:t>
      </w:r>
      <w:r w:rsidR="00BF408D">
        <w:rPr>
          <w:rFonts w:cstheme="minorHAnsi"/>
          <w:color w:val="000000" w:themeColor="text1"/>
          <w:szCs w:val="24"/>
        </w:rPr>
        <w:t>ech</w:t>
      </w:r>
      <w:r w:rsidRPr="00432A30">
        <w:rPr>
          <w:rFonts w:cstheme="minorHAnsi"/>
          <w:color w:val="000000" w:themeColor="text1"/>
          <w:szCs w:val="24"/>
        </w:rPr>
        <w:t xml:space="preserve"> producentům pitné vody</w:t>
      </w:r>
      <w:r w:rsidR="00BF408D">
        <w:rPr>
          <w:rFonts w:cstheme="minorHAnsi"/>
          <w:color w:val="000000" w:themeColor="text1"/>
          <w:szCs w:val="24"/>
        </w:rPr>
        <w:t xml:space="preserve"> tak</w:t>
      </w:r>
      <w:r w:rsidRPr="00432A30">
        <w:rPr>
          <w:rFonts w:cstheme="minorHAnsi"/>
          <w:color w:val="000000" w:themeColor="text1"/>
          <w:szCs w:val="24"/>
        </w:rPr>
        <w:t>, aby mohli provádět cílený monitoring pesticidních látek.</w:t>
      </w:r>
      <w:r w:rsidR="00A22718">
        <w:rPr>
          <w:rFonts w:cstheme="minorHAnsi"/>
          <w:color w:val="000000" w:themeColor="text1"/>
          <w:szCs w:val="24"/>
        </w:rPr>
        <w:t xml:space="preserve"> </w:t>
      </w:r>
      <w:r w:rsidR="00432A30" w:rsidRPr="00432A30">
        <w:rPr>
          <w:rFonts w:cstheme="minorHAnsi"/>
          <w:color w:val="000000" w:themeColor="text1"/>
          <w:szCs w:val="24"/>
        </w:rPr>
        <w:t xml:space="preserve">Existuje </w:t>
      </w:r>
      <w:r w:rsidR="00C86F12">
        <w:rPr>
          <w:rFonts w:cstheme="minorHAnsi"/>
          <w:color w:val="000000" w:themeColor="text1"/>
          <w:szCs w:val="24"/>
        </w:rPr>
        <w:t>tudíž</w:t>
      </w:r>
      <w:r w:rsidR="00432A30" w:rsidRPr="00432A30">
        <w:rPr>
          <w:rFonts w:cstheme="minorHAnsi"/>
          <w:color w:val="000000" w:themeColor="text1"/>
          <w:szCs w:val="24"/>
        </w:rPr>
        <w:t xml:space="preserve"> riziko, že i</w:t>
      </w:r>
      <w:r w:rsidR="00C86F12">
        <w:rPr>
          <w:rFonts w:cstheme="minorHAnsi"/>
          <w:color w:val="000000" w:themeColor="text1"/>
          <w:szCs w:val="24"/>
        </w:rPr>
        <w:t xml:space="preserve"> </w:t>
      </w:r>
      <w:r w:rsidR="00432A30" w:rsidRPr="00432A30">
        <w:rPr>
          <w:rFonts w:cstheme="minorHAnsi"/>
          <w:color w:val="000000" w:themeColor="text1"/>
          <w:szCs w:val="24"/>
        </w:rPr>
        <w:t>přes</w:t>
      </w:r>
      <w:r w:rsidR="00A223A2">
        <w:rPr>
          <w:rFonts w:cstheme="minorHAnsi"/>
          <w:color w:val="000000" w:themeColor="text1"/>
          <w:szCs w:val="24"/>
        </w:rPr>
        <w:t xml:space="preserve"> zavedení</w:t>
      </w:r>
      <w:r w:rsidR="00432A30" w:rsidRPr="00432A30">
        <w:rPr>
          <w:rFonts w:cstheme="minorHAnsi"/>
          <w:color w:val="000000" w:themeColor="text1"/>
          <w:szCs w:val="24"/>
        </w:rPr>
        <w:t xml:space="preserve"> evidence použití </w:t>
      </w:r>
      <w:r w:rsidR="00A22718">
        <w:rPr>
          <w:rFonts w:cstheme="minorHAnsi"/>
          <w:color w:val="000000" w:themeColor="text1"/>
          <w:szCs w:val="24"/>
        </w:rPr>
        <w:t>pesticidů</w:t>
      </w:r>
      <w:r w:rsidR="00432A30" w:rsidRPr="00432A30">
        <w:rPr>
          <w:rFonts w:cstheme="minorHAnsi"/>
          <w:color w:val="000000" w:themeColor="text1"/>
          <w:szCs w:val="24"/>
        </w:rPr>
        <w:t xml:space="preserve"> nebude taková evidence umožňovat cílený monitoring pesticidních látek.</w:t>
      </w:r>
    </w:p>
    <w:p w14:paraId="7B09D338" w14:textId="77777777" w:rsidR="008456B3" w:rsidRPr="00442B6D" w:rsidRDefault="00547717" w:rsidP="00442B6D">
      <w:pPr>
        <w:pStyle w:val="Nadpis2"/>
      </w:pPr>
      <w:r>
        <w:t xml:space="preserve">Plnění opatření v oblasti </w:t>
      </w:r>
      <w:r w:rsidR="006F4BCA">
        <w:t>ochranných pásem vodních zdrojů</w:t>
      </w:r>
    </w:p>
    <w:p w14:paraId="42F90F71" w14:textId="77777777" w:rsidR="006F5458" w:rsidRDefault="00547717" w:rsidP="00547717">
      <w:r>
        <w:t>Za realizaci opatření v</w:t>
      </w:r>
      <w:r w:rsidR="00FE4DEB">
        <w:t> </w:t>
      </w:r>
      <w:r>
        <w:t>oblasti</w:t>
      </w:r>
      <w:r w:rsidR="00FE4DEB">
        <w:t xml:space="preserve"> ochranných pásem vodních zdrojů</w:t>
      </w:r>
      <w:r>
        <w:t xml:space="preserve"> </w:t>
      </w:r>
      <w:r w:rsidR="00FE4DEB" w:rsidRPr="004D7C0C">
        <w:t>(</w:t>
      </w:r>
      <w:r w:rsidR="00FE4DEB">
        <w:t>dále také „</w:t>
      </w:r>
      <w:r w:rsidR="00FE4DEB" w:rsidRPr="004D7C0C">
        <w:t>OPVZ</w:t>
      </w:r>
      <w:r w:rsidR="00FE4DEB">
        <w:t>“</w:t>
      </w:r>
      <w:r w:rsidR="00FE4DEB" w:rsidRPr="004D7C0C">
        <w:t>)</w:t>
      </w:r>
      <w:r>
        <w:t xml:space="preserve"> odpovídaly MŽP a </w:t>
      </w:r>
      <w:proofErr w:type="spellStart"/>
      <w:r>
        <w:t>MZe</w:t>
      </w:r>
      <w:proofErr w:type="spellEnd"/>
      <w:r>
        <w:t>. V rámci NAP 2013</w:t>
      </w:r>
      <w:r w:rsidR="00B36F40" w:rsidRPr="00B36F40">
        <w:t>–</w:t>
      </w:r>
      <w:r>
        <w:t xml:space="preserve">2017 se jednalo o čtyři </w:t>
      </w:r>
      <w:r w:rsidRPr="00A22718">
        <w:t>opatření</w:t>
      </w:r>
      <w:r w:rsidR="000A51BB" w:rsidRPr="00A22718">
        <w:t xml:space="preserve"> (</w:t>
      </w:r>
      <w:r w:rsidR="00A22718" w:rsidRPr="00A22718">
        <w:t>4.42, 4.43, 4.31, 4.32)</w:t>
      </w:r>
      <w:r w:rsidRPr="00A22718">
        <w:t>,</w:t>
      </w:r>
      <w:r w:rsidR="006F5458" w:rsidRPr="00A22718">
        <w:t xml:space="preserve"> na</w:t>
      </w:r>
      <w:r w:rsidR="006F5458">
        <w:t xml:space="preserve"> která </w:t>
      </w:r>
      <w:r w:rsidR="00B36F40">
        <w:t xml:space="preserve">následně </w:t>
      </w:r>
      <w:r w:rsidR="006F5458">
        <w:t>navázala tři opatření v NAP 2018</w:t>
      </w:r>
      <w:r w:rsidR="00B36F40" w:rsidRPr="00B36F40">
        <w:t>–</w:t>
      </w:r>
      <w:r w:rsidR="006F5458">
        <w:t>2022</w:t>
      </w:r>
      <w:r w:rsidR="00A22718">
        <w:t xml:space="preserve"> (4.20, 4.21, 4.28)</w:t>
      </w:r>
      <w:r w:rsidR="006F5458">
        <w:t xml:space="preserve">. </w:t>
      </w:r>
      <w:r w:rsidR="00CD0EE0">
        <w:t xml:space="preserve">Věcně se tato opatření týkala stanovení zásad hospodaření v OPVZ a aplikace </w:t>
      </w:r>
      <w:r w:rsidR="00B36F40">
        <w:t>pesticidů</w:t>
      </w:r>
      <w:r w:rsidR="00CD0EE0">
        <w:t>, aktualizace evidence OPVZ a novelizace vyhlášky č.</w:t>
      </w:r>
      <w:r w:rsidR="006671B8">
        <w:t> </w:t>
      </w:r>
      <w:r w:rsidR="00CD0EE0">
        <w:t>137/1999</w:t>
      </w:r>
      <w:r w:rsidR="006671B8">
        <w:t> </w:t>
      </w:r>
      <w:r w:rsidR="00CD0EE0">
        <w:t>Sb.</w:t>
      </w:r>
      <w:r w:rsidR="00CD0EE0">
        <w:rPr>
          <w:rStyle w:val="Znakapoznpodarou"/>
        </w:rPr>
        <w:footnoteReference w:id="30"/>
      </w:r>
    </w:p>
    <w:p w14:paraId="67D244E1" w14:textId="77777777" w:rsidR="00547717" w:rsidRPr="000A51BB" w:rsidRDefault="006F5458" w:rsidP="00547717">
      <w:r>
        <w:t xml:space="preserve">OPVZ </w:t>
      </w:r>
      <w:r w:rsidR="0072139A">
        <w:t>jsou</w:t>
      </w:r>
      <w:r>
        <w:t xml:space="preserve"> j</w:t>
      </w:r>
      <w:r w:rsidR="00547717">
        <w:t>edním z nástrojů, kter</w:t>
      </w:r>
      <w:r w:rsidR="0072139A">
        <w:t>é</w:t>
      </w:r>
      <w:r w:rsidR="00547717">
        <w:t xml:space="preserve"> m</w:t>
      </w:r>
      <w:r w:rsidR="0072139A">
        <w:t>ají</w:t>
      </w:r>
      <w:r w:rsidR="00547717">
        <w:t xml:space="preserve"> zajistit ochranu vodních zdrojů</w:t>
      </w:r>
      <w:r>
        <w:t>.</w:t>
      </w:r>
      <w:r w:rsidR="00547717">
        <w:t xml:space="preserve"> </w:t>
      </w:r>
      <w:r>
        <w:t>OPVZ</w:t>
      </w:r>
      <w:r w:rsidR="00547717">
        <w:t xml:space="preserve"> mají zajistit, aby v</w:t>
      </w:r>
      <w:r w:rsidR="002C6D90">
        <w:t> </w:t>
      </w:r>
      <w:r w:rsidR="00547717">
        <w:t>daném území nebyly uskutečňovány takové činnosti, které by mohly znehodnotit zdroj vody užívané pro úpravu na v</w:t>
      </w:r>
      <w:r w:rsidR="000A463C">
        <w:t>odu pitnou. Subjektům, kte</w:t>
      </w:r>
      <w:r w:rsidR="00DB73BB">
        <w:t>ré</w:t>
      </w:r>
      <w:r w:rsidR="000A463C">
        <w:t xml:space="preserve"> hospodaří v</w:t>
      </w:r>
      <w:r w:rsidR="002C6D90">
        <w:t> </w:t>
      </w:r>
      <w:r w:rsidR="000A463C">
        <w:t>OPVZ</w:t>
      </w:r>
      <w:r w:rsidR="002C6D90">
        <w:t>,</w:t>
      </w:r>
      <w:r w:rsidR="000A463C">
        <w:t xml:space="preserve"> náleží </w:t>
      </w:r>
      <w:r w:rsidR="00547717">
        <w:t xml:space="preserve">finanční kompenzace. </w:t>
      </w:r>
      <w:r w:rsidR="000A463C">
        <w:t xml:space="preserve">Pravidla pro hospodaření v OPVZ i pravidla pro stanovování finančních kompenzací měla sjednotit </w:t>
      </w:r>
      <w:r w:rsidR="00547717">
        <w:t xml:space="preserve">metodika hospodaření v OPVZ, kterou mělo vytvořit </w:t>
      </w:r>
      <w:proofErr w:type="spellStart"/>
      <w:r w:rsidR="00547717">
        <w:t>MZe</w:t>
      </w:r>
      <w:proofErr w:type="spellEnd"/>
      <w:r w:rsidR="00547717">
        <w:t xml:space="preserve"> společně s MŽP a ÚKZÚZ. </w:t>
      </w:r>
      <w:proofErr w:type="spellStart"/>
      <w:r w:rsidR="00547717">
        <w:t>MZe</w:t>
      </w:r>
      <w:proofErr w:type="spellEnd"/>
      <w:r w:rsidR="00547717">
        <w:t xml:space="preserve"> mělo</w:t>
      </w:r>
      <w:r w:rsidR="003A610E">
        <w:t xml:space="preserve"> také</w:t>
      </w:r>
      <w:r w:rsidR="00547717">
        <w:t xml:space="preserve"> </w:t>
      </w:r>
      <w:r w:rsidR="0072139A">
        <w:t>tato</w:t>
      </w:r>
      <w:r w:rsidR="00547717">
        <w:t xml:space="preserve"> pravid</w:t>
      </w:r>
      <w:r w:rsidR="002C6D90">
        <w:t>la</w:t>
      </w:r>
      <w:r w:rsidR="00547717">
        <w:t xml:space="preserve"> hospodaření </w:t>
      </w:r>
      <w:r w:rsidR="002C6D90">
        <w:t xml:space="preserve">a </w:t>
      </w:r>
      <w:r w:rsidR="00547717">
        <w:t>vznikl</w:t>
      </w:r>
      <w:r w:rsidR="0072139A">
        <w:t>á</w:t>
      </w:r>
      <w:r w:rsidR="00547717">
        <w:t xml:space="preserve"> omezení hospodaření zohlednit v dotační politice. To se dosud povedlo zrealizovat </w:t>
      </w:r>
      <w:r w:rsidR="002C6D90">
        <w:t xml:space="preserve">pouze </w:t>
      </w:r>
      <w:r w:rsidR="00547717">
        <w:t>v rámci pilotního projektu u vodní nádrže Švihov</w:t>
      </w:r>
      <w:r w:rsidR="002C6D90">
        <w:t xml:space="preserve">. Pro tuto vodní nádrž byla vytvořena pravidla hospodaření a </w:t>
      </w:r>
      <w:r w:rsidR="00547717">
        <w:t xml:space="preserve">v letech </w:t>
      </w:r>
      <w:r w:rsidR="000A51BB">
        <w:t>2019</w:t>
      </w:r>
      <w:r w:rsidR="002C6D90" w:rsidRPr="002C6D90">
        <w:t>–</w:t>
      </w:r>
      <w:r w:rsidR="000A51BB">
        <w:t>2020</w:t>
      </w:r>
      <w:r w:rsidR="00547717">
        <w:t xml:space="preserve"> </w:t>
      </w:r>
      <w:r w:rsidR="002C6D90">
        <w:t xml:space="preserve">bylo </w:t>
      </w:r>
      <w:r w:rsidR="00547717">
        <w:t>z důvod</w:t>
      </w:r>
      <w:r w:rsidR="0072139A">
        <w:t>u</w:t>
      </w:r>
      <w:r w:rsidR="00547717">
        <w:t xml:space="preserve"> kompenzace omezení hospodaření </w:t>
      </w:r>
      <w:r w:rsidR="00547717">
        <w:lastRenderedPageBreak/>
        <w:t xml:space="preserve">vypláceno zemědělským subjektům ročně </w:t>
      </w:r>
      <w:r w:rsidR="000A51BB">
        <w:t xml:space="preserve">cca 50 mil. Kč. </w:t>
      </w:r>
      <w:r w:rsidR="003A610E">
        <w:t>Pro žádnou další vodní nádrž pravidla</w:t>
      </w:r>
      <w:r w:rsidR="000A51BB" w:rsidRPr="000A51BB">
        <w:t xml:space="preserve"> hospodaření v OPVZ </w:t>
      </w:r>
      <w:r w:rsidR="00547717" w:rsidRPr="000A51BB">
        <w:t>stanovena</w:t>
      </w:r>
      <w:r w:rsidR="006E771A">
        <w:t xml:space="preserve"> zatím</w:t>
      </w:r>
      <w:r w:rsidR="003A610E">
        <w:t xml:space="preserve"> nebyla</w:t>
      </w:r>
      <w:r w:rsidR="00547717" w:rsidRPr="000A51BB">
        <w:t>.</w:t>
      </w:r>
    </w:p>
    <w:p w14:paraId="08A95BFC" w14:textId="77777777" w:rsidR="00547717" w:rsidRDefault="00547717" w:rsidP="00547717">
      <w:r>
        <w:t>Základním předpokladem pro dodržování restriktivních opatření je možnost zemědělských subjektů seznámit</w:t>
      </w:r>
      <w:r w:rsidR="0072139A">
        <w:t xml:space="preserve"> se s těmito opatřeními</w:t>
      </w:r>
      <w:r>
        <w:t>. Až v posledních letech došlo k vytvoření el</w:t>
      </w:r>
      <w:r w:rsidR="000A51BB">
        <w:t>ektronické</w:t>
      </w:r>
      <w:r>
        <w:t xml:space="preserve"> databáze platných a ověřených OPVZ a </w:t>
      </w:r>
      <w:r w:rsidR="0072139A">
        <w:t xml:space="preserve">k </w:t>
      </w:r>
      <w:r>
        <w:t>její</w:t>
      </w:r>
      <w:r w:rsidR="0072139A">
        <w:t>mu</w:t>
      </w:r>
      <w:r>
        <w:t xml:space="preserve"> napojení na </w:t>
      </w:r>
      <w:r w:rsidRPr="00492BD7">
        <w:t>portál LPIS</w:t>
      </w:r>
      <w:r w:rsidR="00492BD7" w:rsidRPr="00492BD7">
        <w:rPr>
          <w:rStyle w:val="Znakapoznpodarou"/>
        </w:rPr>
        <w:footnoteReference w:id="31"/>
      </w:r>
      <w:r w:rsidRPr="00492BD7">
        <w:t>, který</w:t>
      </w:r>
      <w:r>
        <w:t xml:space="preserve"> je jedním z hlavních zdrojů informací pro zemědělce. Avšak tato databáze neobsahuje všechn</w:t>
      </w:r>
      <w:r w:rsidR="0072139A">
        <w:t>a</w:t>
      </w:r>
      <w:r>
        <w:t xml:space="preserve"> vyhlášen</w:t>
      </w:r>
      <w:r w:rsidR="0072139A">
        <w:t>á</w:t>
      </w:r>
      <w:r>
        <w:t xml:space="preserve"> OPVZ</w:t>
      </w:r>
      <w:r w:rsidR="0072139A">
        <w:t>,</w:t>
      </w:r>
      <w:r>
        <w:t xml:space="preserve"> a </w:t>
      </w:r>
      <w:r w:rsidR="0072139A">
        <w:t xml:space="preserve">tudíž </w:t>
      </w:r>
      <w:r>
        <w:t>stále neposkytuje úplné a potřebné informac</w:t>
      </w:r>
      <w:r w:rsidR="0072139A">
        <w:t>e</w:t>
      </w:r>
      <w:r>
        <w:t xml:space="preserve"> pro všechny zúčastněné subjekty.</w:t>
      </w:r>
    </w:p>
    <w:p w14:paraId="643A89C4" w14:textId="225B5C6D" w:rsidR="00C631E4" w:rsidRDefault="00493866" w:rsidP="000A51BB">
      <w:pPr>
        <w:pStyle w:val="Bezmezer"/>
        <w:rPr>
          <w:b w:val="0"/>
        </w:rPr>
      </w:pPr>
      <w:r>
        <w:rPr>
          <w:b w:val="0"/>
        </w:rPr>
        <w:t>NKÚ</w:t>
      </w:r>
      <w:r w:rsidR="000A51BB" w:rsidRPr="000A51BB">
        <w:rPr>
          <w:b w:val="0"/>
        </w:rPr>
        <w:t xml:space="preserve"> vyhodnotil </w:t>
      </w:r>
      <w:r w:rsidR="000A51BB" w:rsidRPr="00D87B0C">
        <w:rPr>
          <w:b w:val="0"/>
        </w:rPr>
        <w:t>opatření č. 4.28</w:t>
      </w:r>
      <w:r w:rsidR="000A51BB" w:rsidRPr="003A610E">
        <w:rPr>
          <w:b w:val="0"/>
        </w:rPr>
        <w:t xml:space="preserve"> </w:t>
      </w:r>
      <w:r w:rsidR="000A51BB" w:rsidRPr="000A51BB">
        <w:rPr>
          <w:b w:val="0"/>
        </w:rPr>
        <w:t>NAP 2018</w:t>
      </w:r>
      <w:r w:rsidR="003A610E">
        <w:rPr>
          <w:b w:val="0"/>
        </w:rPr>
        <w:t>–</w:t>
      </w:r>
      <w:r w:rsidR="000A51BB" w:rsidRPr="000A51BB">
        <w:rPr>
          <w:b w:val="0"/>
        </w:rPr>
        <w:t>2022 za částečně splněné, protože zásady hospodaření v OPVZ byly do konce roku 2020 připraveny pouze pro vodní nádrž Švihov.</w:t>
      </w:r>
      <w:r w:rsidR="003A610E">
        <w:rPr>
          <w:b w:val="0"/>
        </w:rPr>
        <w:t xml:space="preserve"> </w:t>
      </w:r>
      <w:r w:rsidR="000A51BB" w:rsidRPr="000A51BB">
        <w:rPr>
          <w:b w:val="0"/>
        </w:rPr>
        <w:t>Vzhledem k tomu, že projekty pro stanovení zásad hospodaření v OPVZ u zbývajících 4</w:t>
      </w:r>
      <w:r w:rsidR="003A610E">
        <w:rPr>
          <w:b w:val="0"/>
        </w:rPr>
        <w:t>6</w:t>
      </w:r>
      <w:r w:rsidR="006671B8">
        <w:rPr>
          <w:b w:val="0"/>
        </w:rPr>
        <w:t> </w:t>
      </w:r>
      <w:r w:rsidR="000A51BB" w:rsidRPr="000A51BB">
        <w:rPr>
          <w:b w:val="0"/>
        </w:rPr>
        <w:t>vodních nádrží nebyly doposud zahájeny, existuje riziko, že zásady hospodaření pro zbývajících 4</w:t>
      </w:r>
      <w:r w:rsidR="003A610E">
        <w:rPr>
          <w:b w:val="0"/>
        </w:rPr>
        <w:t>6</w:t>
      </w:r>
      <w:r w:rsidR="000A51BB" w:rsidRPr="000A51BB">
        <w:rPr>
          <w:b w:val="0"/>
        </w:rPr>
        <w:t xml:space="preserve"> vodních nádrží specifikovaných v příloze vyhlášky č. 137/1999 Sb. nebudou připraveny ani do roku 2022, tj. do konce platnosti NAP 2018</w:t>
      </w:r>
      <w:r w:rsidR="003A610E">
        <w:rPr>
          <w:b w:val="0"/>
        </w:rPr>
        <w:t>–</w:t>
      </w:r>
      <w:r w:rsidR="000A51BB" w:rsidRPr="000A51BB">
        <w:rPr>
          <w:b w:val="0"/>
        </w:rPr>
        <w:t>2022.</w:t>
      </w:r>
    </w:p>
    <w:p w14:paraId="25F58CD4" w14:textId="502B6251" w:rsidR="00397ADC" w:rsidRDefault="00397ADC" w:rsidP="000A51BB">
      <w:pPr>
        <w:pStyle w:val="Bezmezer"/>
        <w:rPr>
          <w:b w:val="0"/>
        </w:rPr>
      </w:pPr>
      <w:r w:rsidRPr="00C631E4">
        <w:rPr>
          <w:b w:val="0"/>
        </w:rPr>
        <w:t xml:space="preserve">S opatřením </w:t>
      </w:r>
      <w:r>
        <w:rPr>
          <w:b w:val="0"/>
        </w:rPr>
        <w:t xml:space="preserve">č. </w:t>
      </w:r>
      <w:r w:rsidRPr="00C631E4">
        <w:rPr>
          <w:b w:val="0"/>
        </w:rPr>
        <w:t>4.28 v oblasti protierozní ochrany půdy souvisí příprava vyhlášky o</w:t>
      </w:r>
      <w:r>
        <w:rPr>
          <w:b w:val="0"/>
        </w:rPr>
        <w:t xml:space="preserve"> </w:t>
      </w:r>
      <w:r w:rsidRPr="00C631E4">
        <w:rPr>
          <w:b w:val="0"/>
        </w:rPr>
        <w:t>ochraně zemědělské půdy před erozí</w:t>
      </w:r>
      <w:r>
        <w:rPr>
          <w:b w:val="0"/>
        </w:rPr>
        <w:t>.</w:t>
      </w:r>
      <w:r w:rsidRPr="00C631E4">
        <w:rPr>
          <w:b w:val="0"/>
        </w:rPr>
        <w:t xml:space="preserve"> </w:t>
      </w:r>
      <w:r>
        <w:rPr>
          <w:b w:val="0"/>
        </w:rPr>
        <w:t>Tato vyhláška</w:t>
      </w:r>
      <w:r w:rsidRPr="00C631E4">
        <w:rPr>
          <w:b w:val="0"/>
        </w:rPr>
        <w:t xml:space="preserve"> nebyla do ukončení kontroly schválena. Vzhledem </w:t>
      </w:r>
      <w:r>
        <w:rPr>
          <w:b w:val="0"/>
        </w:rPr>
        <w:t>k tomu</w:t>
      </w:r>
      <w:r w:rsidRPr="00C631E4">
        <w:rPr>
          <w:b w:val="0"/>
        </w:rPr>
        <w:t>, že proces přípravy protierozní vyhlášky trvá již od roku 2017, existuje riziko, že její schválení se bude dále posouvat.</w:t>
      </w:r>
    </w:p>
    <w:p w14:paraId="62F4E41E" w14:textId="1D6DA822" w:rsidR="00D23102" w:rsidRDefault="00D23102" w:rsidP="00442B6D">
      <w:pPr>
        <w:pStyle w:val="Nadpis2"/>
      </w:pPr>
      <w:r>
        <w:t>Vyhodnocení kvantitativních hodnot</w:t>
      </w:r>
      <w:r w:rsidR="0072139A">
        <w:t>i</w:t>
      </w:r>
      <w:r>
        <w:t>cích ukazatelů NAP 2018</w:t>
      </w:r>
      <w:r w:rsidR="008500A1">
        <w:t>–</w:t>
      </w:r>
      <w:r>
        <w:t>2022</w:t>
      </w:r>
    </w:p>
    <w:p w14:paraId="67E033DB" w14:textId="527AC720" w:rsidR="00D23102" w:rsidRPr="00D722A1" w:rsidRDefault="00D23102" w:rsidP="00D23102">
      <w:r>
        <w:t>Věcné n</w:t>
      </w:r>
      <w:r w:rsidRPr="00D722A1">
        <w:t xml:space="preserve">astavení cílů a opatření NAP 2013–2017 bylo projednáváno na jednáních </w:t>
      </w:r>
      <w:r>
        <w:t>KPS</w:t>
      </w:r>
      <w:r>
        <w:rPr>
          <w:rStyle w:val="Znakapoznpodarou"/>
        </w:rPr>
        <w:footnoteReference w:id="32"/>
      </w:r>
      <w:r>
        <w:t xml:space="preserve"> a</w:t>
      </w:r>
      <w:r w:rsidR="00C45C8E">
        <w:t> </w:t>
      </w:r>
      <w:r>
        <w:t>vycházelo především z</w:t>
      </w:r>
      <w:r w:rsidRPr="00D722A1">
        <w:t xml:space="preserve"> informac</w:t>
      </w:r>
      <w:r>
        <w:t>í</w:t>
      </w:r>
      <w:r w:rsidRPr="00D722A1">
        <w:t xml:space="preserve"> </w:t>
      </w:r>
      <w:r w:rsidR="00F333BB">
        <w:t xml:space="preserve">poskytnutých </w:t>
      </w:r>
      <w:r w:rsidRPr="00D722A1">
        <w:t>ČHMÚ o stavu jakosti podzemní</w:t>
      </w:r>
      <w:r w:rsidR="005D78D1">
        <w:t>ch</w:t>
      </w:r>
      <w:r w:rsidRPr="00D722A1">
        <w:t xml:space="preserve"> a</w:t>
      </w:r>
      <w:r w:rsidR="00DC3B74">
        <w:t> </w:t>
      </w:r>
      <w:r w:rsidRPr="00D722A1">
        <w:t>povrchov</w:t>
      </w:r>
      <w:r w:rsidR="005D78D1">
        <w:t>ých</w:t>
      </w:r>
      <w:r w:rsidRPr="00D722A1">
        <w:t xml:space="preserve"> vod</w:t>
      </w:r>
      <w:r w:rsidR="005D78D1">
        <w:t>. Z těchto informací</w:t>
      </w:r>
      <w:r w:rsidRPr="00D722A1">
        <w:t xml:space="preserve"> j</w:t>
      </w:r>
      <w:r w:rsidR="00A223A2">
        <w:t xml:space="preserve">ednoznačně </w:t>
      </w:r>
      <w:r w:rsidRPr="00D722A1">
        <w:t xml:space="preserve">vyplynulo, že </w:t>
      </w:r>
      <w:r w:rsidR="00A223A2" w:rsidRPr="00D722A1">
        <w:t>ve sledovaném období (1999–2011)</w:t>
      </w:r>
      <w:r w:rsidR="00A223A2">
        <w:t xml:space="preserve"> </w:t>
      </w:r>
      <w:r w:rsidR="00A223A2" w:rsidRPr="00D722A1">
        <w:t xml:space="preserve">četnost výskytu </w:t>
      </w:r>
      <w:r w:rsidR="0072139A">
        <w:t>předmětných</w:t>
      </w:r>
      <w:r w:rsidR="00A223A2" w:rsidRPr="00D722A1">
        <w:t xml:space="preserve"> látek v</w:t>
      </w:r>
      <w:r w:rsidR="00A223A2">
        <w:t> </w:t>
      </w:r>
      <w:r w:rsidR="00A223A2" w:rsidRPr="00D722A1">
        <w:t xml:space="preserve">povrchových vodách </w:t>
      </w:r>
      <w:r w:rsidR="0072139A">
        <w:t xml:space="preserve">odpovídá </w:t>
      </w:r>
      <w:r w:rsidRPr="00D722A1">
        <w:t>nárůst</w:t>
      </w:r>
      <w:r w:rsidR="0072139A">
        <w:t>u</w:t>
      </w:r>
      <w:r w:rsidRPr="00D722A1">
        <w:t xml:space="preserve"> spotřeby některých účinných látek</w:t>
      </w:r>
      <w:r w:rsidR="00A223A2">
        <w:t xml:space="preserve"> </w:t>
      </w:r>
      <w:r w:rsidR="0072139A">
        <w:t xml:space="preserve">– </w:t>
      </w:r>
      <w:r w:rsidRPr="00D722A1">
        <w:t xml:space="preserve">zejména pesticidů </w:t>
      </w:r>
      <w:r w:rsidR="005D78D1">
        <w:t>(</w:t>
      </w:r>
      <w:r w:rsidRPr="00D722A1">
        <w:t>herbicidů</w:t>
      </w:r>
      <w:r w:rsidR="005D78D1">
        <w:t>)</w:t>
      </w:r>
      <w:r w:rsidRPr="00D722A1">
        <w:t xml:space="preserve"> </w:t>
      </w:r>
      <w:r w:rsidR="0072139A">
        <w:t xml:space="preserve">– v důsledku </w:t>
      </w:r>
      <w:r w:rsidRPr="00D722A1">
        <w:t>změn</w:t>
      </w:r>
      <w:r w:rsidR="0072139A">
        <w:t>y</w:t>
      </w:r>
      <w:r w:rsidRPr="00D722A1">
        <w:t xml:space="preserve"> struktury pěstovaných plodin</w:t>
      </w:r>
      <w:r w:rsidR="00D87B0C">
        <w:t>.</w:t>
      </w:r>
      <w:r w:rsidRPr="00D722A1">
        <w:t xml:space="preserve"> Dále byly využity informace uvedené ve </w:t>
      </w:r>
      <w:r w:rsidR="0072139A">
        <w:rPr>
          <w:i/>
        </w:rPr>
        <w:t>z</w:t>
      </w:r>
      <w:r w:rsidRPr="0034520F">
        <w:rPr>
          <w:i/>
        </w:rPr>
        <w:t>právách o jakosti pitné vody</w:t>
      </w:r>
      <w:r w:rsidRPr="00D722A1">
        <w:t xml:space="preserve"> nebo SWOT analýza zpracov</w:t>
      </w:r>
      <w:r w:rsidR="00631284">
        <w:t>a</w:t>
      </w:r>
      <w:r w:rsidRPr="00D722A1">
        <w:t>n</w:t>
      </w:r>
      <w:r w:rsidR="00631284">
        <w:t>á</w:t>
      </w:r>
      <w:r w:rsidRPr="00D722A1">
        <w:t xml:space="preserve"> S</w:t>
      </w:r>
      <w:r w:rsidR="00D87B0C">
        <w:t>tátní rostlinolékařskou s</w:t>
      </w:r>
      <w:r w:rsidR="00631284">
        <w:t>právou</w:t>
      </w:r>
      <w:r w:rsidR="00D87B0C">
        <w:t>.</w:t>
      </w:r>
    </w:p>
    <w:p w14:paraId="1F32340C" w14:textId="77777777" w:rsidR="00D23102" w:rsidRDefault="00D23102" w:rsidP="00D23102">
      <w:r w:rsidRPr="00D722A1">
        <w:t xml:space="preserve">V roce 2018 byla v souvislosti s aktualizací NAP 2013–2017 opět provedena analýza výchozího stavu dotčených oblastí. Výstupy </w:t>
      </w:r>
      <w:r w:rsidR="00C631E4">
        <w:t>této analýzy</w:t>
      </w:r>
      <w:r w:rsidR="00F44DFD" w:rsidRPr="00D722A1">
        <w:t xml:space="preserve"> </w:t>
      </w:r>
      <w:r w:rsidRPr="00D722A1">
        <w:t>dokládaly nezměněný či horší stav kvality vody z hlediska výskytu pesticid</w:t>
      </w:r>
      <w:r>
        <w:t>ních látek</w:t>
      </w:r>
      <w:r w:rsidRPr="00D722A1">
        <w:t xml:space="preserve"> v </w:t>
      </w:r>
      <w:r w:rsidR="003D7F0A">
        <w:t xml:space="preserve">podzemních </w:t>
      </w:r>
      <w:r w:rsidR="00E30382">
        <w:t xml:space="preserve">i </w:t>
      </w:r>
      <w:r w:rsidR="003D7F0A">
        <w:t>povrchových vodách a</w:t>
      </w:r>
      <w:r w:rsidR="00E23B31">
        <w:t> </w:t>
      </w:r>
      <w:r w:rsidR="003D7F0A">
        <w:t>rovněž</w:t>
      </w:r>
      <w:r w:rsidR="003D7F0A" w:rsidRPr="00D722A1">
        <w:t xml:space="preserve"> </w:t>
      </w:r>
      <w:r w:rsidR="002A3FB4">
        <w:t>i</w:t>
      </w:r>
      <w:r w:rsidRPr="00D722A1">
        <w:t xml:space="preserve"> </w:t>
      </w:r>
      <w:r w:rsidR="003D7F0A">
        <w:t xml:space="preserve">ve vodě </w:t>
      </w:r>
      <w:r w:rsidRPr="00D722A1">
        <w:t xml:space="preserve">pitné. Nově z analýzy vyplynula informace, že i přes poměrně široké spektrum sledovaných látek nelze </w:t>
      </w:r>
      <w:r w:rsidR="002A3FB4">
        <w:t>nadále</w:t>
      </w:r>
      <w:r w:rsidRPr="00D722A1">
        <w:t xml:space="preserve"> stávající monitoring považovat za </w:t>
      </w:r>
      <w:r w:rsidR="002A3FB4">
        <w:t>optimálně</w:t>
      </w:r>
      <w:r w:rsidR="002A3FB4" w:rsidRPr="00D722A1">
        <w:t xml:space="preserve"> </w:t>
      </w:r>
      <w:r w:rsidR="002A3FB4">
        <w:t>za</w:t>
      </w:r>
      <w:r w:rsidRPr="00D722A1">
        <w:t>cílený, tj. založený na jednoznačném vztahu ke konkrétním aplikacím v</w:t>
      </w:r>
      <w:r w:rsidR="00A70C1B">
        <w:t xml:space="preserve"> daném</w:t>
      </w:r>
      <w:r w:rsidRPr="00D722A1">
        <w:t xml:space="preserve"> místě a</w:t>
      </w:r>
      <w:r w:rsidR="00E23B31">
        <w:t> </w:t>
      </w:r>
      <w:r w:rsidRPr="00D722A1">
        <w:t>čase.</w:t>
      </w:r>
    </w:p>
    <w:p w14:paraId="640381E1" w14:textId="25EA2C7A" w:rsidR="00A14F62" w:rsidRDefault="00FB5E28" w:rsidP="00D23102">
      <w:pPr>
        <w:rPr>
          <w:rFonts w:cstheme="minorHAnsi"/>
          <w:szCs w:val="24"/>
          <w:lang w:eastAsia="cs-CZ"/>
        </w:rPr>
      </w:pPr>
      <w:r>
        <w:rPr>
          <w:rFonts w:cstheme="minorHAnsi"/>
          <w:szCs w:val="24"/>
          <w:lang w:eastAsia="cs-CZ"/>
        </w:rPr>
        <w:t>Dle</w:t>
      </w:r>
      <w:r w:rsidR="00F44DFD">
        <w:rPr>
          <w:rFonts w:cstheme="minorHAnsi"/>
          <w:szCs w:val="24"/>
          <w:lang w:eastAsia="cs-CZ"/>
        </w:rPr>
        <w:t xml:space="preserve"> analýzy</w:t>
      </w:r>
      <w:r w:rsidRPr="004D1537">
        <w:rPr>
          <w:rFonts w:cstheme="minorHAnsi"/>
          <w:szCs w:val="24"/>
          <w:lang w:eastAsia="cs-CZ"/>
        </w:rPr>
        <w:t xml:space="preserve"> </w:t>
      </w:r>
      <w:r w:rsidR="00E30382">
        <w:rPr>
          <w:rFonts w:cstheme="minorHAnsi"/>
          <w:szCs w:val="24"/>
          <w:lang w:eastAsia="cs-CZ"/>
        </w:rPr>
        <w:t xml:space="preserve">NKÚ pracující s </w:t>
      </w:r>
      <w:r w:rsidRPr="004D1537">
        <w:rPr>
          <w:rFonts w:cstheme="minorHAnsi"/>
          <w:szCs w:val="24"/>
          <w:lang w:eastAsia="cs-CZ"/>
        </w:rPr>
        <w:t>údaj</w:t>
      </w:r>
      <w:r w:rsidR="00E30382">
        <w:rPr>
          <w:rFonts w:cstheme="minorHAnsi"/>
          <w:szCs w:val="24"/>
          <w:lang w:eastAsia="cs-CZ"/>
        </w:rPr>
        <w:t>i</w:t>
      </w:r>
      <w:r w:rsidRPr="004D1537">
        <w:rPr>
          <w:rFonts w:cstheme="minorHAnsi"/>
          <w:szCs w:val="24"/>
          <w:lang w:eastAsia="cs-CZ"/>
        </w:rPr>
        <w:t xml:space="preserve"> </w:t>
      </w:r>
      <w:r w:rsidR="00F44DFD">
        <w:rPr>
          <w:rFonts w:cstheme="minorHAnsi"/>
          <w:szCs w:val="24"/>
          <w:lang w:eastAsia="cs-CZ"/>
        </w:rPr>
        <w:t>poskytnutý</w:t>
      </w:r>
      <w:r w:rsidR="00F333BB">
        <w:rPr>
          <w:rFonts w:cstheme="minorHAnsi"/>
          <w:szCs w:val="24"/>
          <w:lang w:eastAsia="cs-CZ"/>
        </w:rPr>
        <w:t>mi</w:t>
      </w:r>
      <w:r w:rsidR="00F44DFD">
        <w:rPr>
          <w:rFonts w:cstheme="minorHAnsi"/>
          <w:szCs w:val="24"/>
          <w:lang w:eastAsia="cs-CZ"/>
        </w:rPr>
        <w:t xml:space="preserve"> </w:t>
      </w:r>
      <w:r w:rsidRPr="004D1537">
        <w:rPr>
          <w:rFonts w:cstheme="minorHAnsi"/>
          <w:szCs w:val="24"/>
          <w:lang w:eastAsia="cs-CZ"/>
        </w:rPr>
        <w:t>ČHMÚ byl stav podzemních a povrchových vod z hlediska výskytu pesticid</w:t>
      </w:r>
      <w:r>
        <w:rPr>
          <w:rFonts w:cstheme="minorHAnsi"/>
          <w:szCs w:val="24"/>
          <w:lang w:eastAsia="cs-CZ"/>
        </w:rPr>
        <w:t>ních látek</w:t>
      </w:r>
      <w:r w:rsidRPr="004D1537">
        <w:rPr>
          <w:rFonts w:cstheme="minorHAnsi"/>
          <w:szCs w:val="24"/>
          <w:lang w:eastAsia="cs-CZ"/>
        </w:rPr>
        <w:t xml:space="preserve"> </w:t>
      </w:r>
      <w:r>
        <w:rPr>
          <w:rFonts w:cstheme="minorHAnsi"/>
          <w:szCs w:val="24"/>
          <w:lang w:eastAsia="cs-CZ"/>
        </w:rPr>
        <w:t>v roce 2019</w:t>
      </w:r>
      <w:r w:rsidRPr="004D1537">
        <w:rPr>
          <w:rFonts w:cstheme="minorHAnsi"/>
          <w:szCs w:val="24"/>
          <w:lang w:eastAsia="cs-CZ"/>
        </w:rPr>
        <w:t xml:space="preserve"> </w:t>
      </w:r>
      <w:r>
        <w:rPr>
          <w:rFonts w:cstheme="minorHAnsi"/>
          <w:szCs w:val="24"/>
          <w:lang w:eastAsia="cs-CZ"/>
        </w:rPr>
        <w:t xml:space="preserve">celkově </w:t>
      </w:r>
      <w:r w:rsidRPr="004D1537">
        <w:rPr>
          <w:rFonts w:cstheme="minorHAnsi"/>
          <w:szCs w:val="24"/>
          <w:lang w:eastAsia="cs-CZ"/>
        </w:rPr>
        <w:t>stejný</w:t>
      </w:r>
      <w:r>
        <w:rPr>
          <w:rFonts w:cstheme="minorHAnsi"/>
          <w:szCs w:val="24"/>
          <w:lang w:eastAsia="cs-CZ"/>
        </w:rPr>
        <w:t xml:space="preserve"> jako v roce 2013</w:t>
      </w:r>
      <w:r w:rsidRPr="004D1537">
        <w:rPr>
          <w:rFonts w:cstheme="minorHAnsi"/>
          <w:szCs w:val="24"/>
          <w:lang w:eastAsia="cs-CZ"/>
        </w:rPr>
        <w:t>, případně horší</w:t>
      </w:r>
      <w:r w:rsidR="00F44DFD">
        <w:rPr>
          <w:rFonts w:cstheme="minorHAnsi"/>
          <w:szCs w:val="24"/>
          <w:lang w:eastAsia="cs-CZ"/>
        </w:rPr>
        <w:t xml:space="preserve"> (viz</w:t>
      </w:r>
      <w:r w:rsidR="00F45937">
        <w:rPr>
          <w:rFonts w:cstheme="minorHAnsi"/>
          <w:szCs w:val="24"/>
          <w:lang w:eastAsia="cs-CZ"/>
        </w:rPr>
        <w:t xml:space="preserve"> </w:t>
      </w:r>
      <w:r w:rsidR="00F44DFD">
        <w:rPr>
          <w:rFonts w:cstheme="minorHAnsi"/>
          <w:szCs w:val="24"/>
          <w:lang w:eastAsia="cs-CZ"/>
        </w:rPr>
        <w:t>kapitola 4.2)</w:t>
      </w:r>
      <w:r w:rsidRPr="004D1537">
        <w:rPr>
          <w:rFonts w:cstheme="minorHAnsi"/>
          <w:szCs w:val="24"/>
          <w:lang w:eastAsia="cs-CZ"/>
        </w:rPr>
        <w:t>.</w:t>
      </w:r>
      <w:r>
        <w:rPr>
          <w:rFonts w:cstheme="minorHAnsi"/>
          <w:szCs w:val="24"/>
          <w:lang w:eastAsia="cs-CZ"/>
        </w:rPr>
        <w:t xml:space="preserve"> </w:t>
      </w:r>
      <w:r w:rsidR="00F44DFD">
        <w:rPr>
          <w:rFonts w:cstheme="minorHAnsi"/>
          <w:szCs w:val="24"/>
          <w:lang w:eastAsia="cs-CZ"/>
        </w:rPr>
        <w:t xml:space="preserve">Z poskytnutých dat NKÚ také </w:t>
      </w:r>
      <w:r w:rsidR="00F21BA1">
        <w:rPr>
          <w:rFonts w:cstheme="minorHAnsi"/>
          <w:szCs w:val="24"/>
          <w:lang w:eastAsia="cs-CZ"/>
        </w:rPr>
        <w:t>s</w:t>
      </w:r>
      <w:r w:rsidR="00F44DFD">
        <w:rPr>
          <w:rFonts w:cstheme="minorHAnsi"/>
          <w:szCs w:val="24"/>
          <w:lang w:eastAsia="cs-CZ"/>
        </w:rPr>
        <w:t xml:space="preserve">počítal </w:t>
      </w:r>
      <w:r w:rsidR="00FF2B0D">
        <w:rPr>
          <w:rFonts w:cstheme="minorHAnsi"/>
          <w:szCs w:val="24"/>
          <w:lang w:eastAsia="cs-CZ"/>
        </w:rPr>
        <w:t xml:space="preserve">čtyři </w:t>
      </w:r>
      <w:r w:rsidR="00F44DFD">
        <w:rPr>
          <w:rFonts w:cstheme="minorHAnsi"/>
          <w:szCs w:val="24"/>
          <w:lang w:eastAsia="cs-CZ"/>
        </w:rPr>
        <w:t xml:space="preserve">kvantitativní ukazatele stanovené v NAP 2018–2022 za rok 2019 a porovnal je s referenčním </w:t>
      </w:r>
      <w:r w:rsidR="00FF2B0D">
        <w:rPr>
          <w:rFonts w:cstheme="minorHAnsi"/>
          <w:szCs w:val="24"/>
          <w:lang w:eastAsia="cs-CZ"/>
        </w:rPr>
        <w:t xml:space="preserve">rokem, </w:t>
      </w:r>
      <w:r w:rsidR="00FF2B0D">
        <w:rPr>
          <w:rFonts w:cstheme="minorHAnsi"/>
          <w:szCs w:val="24"/>
          <w:lang w:eastAsia="cs-CZ"/>
        </w:rPr>
        <w:lastRenderedPageBreak/>
        <w:t>tj.</w:t>
      </w:r>
      <w:r w:rsidR="00E66E70">
        <w:rPr>
          <w:rFonts w:cstheme="minorHAnsi"/>
          <w:szCs w:val="24"/>
          <w:lang w:eastAsia="cs-CZ"/>
        </w:rPr>
        <w:t> </w:t>
      </w:r>
      <w:r w:rsidR="00FF2B0D">
        <w:rPr>
          <w:rFonts w:cstheme="minorHAnsi"/>
          <w:szCs w:val="24"/>
          <w:lang w:eastAsia="cs-CZ"/>
        </w:rPr>
        <w:t>rokem 2017</w:t>
      </w:r>
      <w:r w:rsidR="00F21BA1">
        <w:rPr>
          <w:rFonts w:cstheme="minorHAnsi"/>
          <w:szCs w:val="24"/>
          <w:lang w:eastAsia="cs-CZ"/>
        </w:rPr>
        <w:t xml:space="preserve"> (viz tabulka </w:t>
      </w:r>
      <w:r w:rsidR="002657DC">
        <w:rPr>
          <w:rFonts w:cstheme="minorHAnsi"/>
          <w:szCs w:val="24"/>
          <w:lang w:eastAsia="cs-CZ"/>
        </w:rPr>
        <w:t>3</w:t>
      </w:r>
      <w:r w:rsidR="00F21BA1">
        <w:rPr>
          <w:rFonts w:cstheme="minorHAnsi"/>
          <w:szCs w:val="24"/>
          <w:lang w:eastAsia="cs-CZ"/>
        </w:rPr>
        <w:t xml:space="preserve">). </w:t>
      </w:r>
      <w:r w:rsidR="00A14F62">
        <w:rPr>
          <w:rFonts w:cstheme="minorHAnsi"/>
          <w:szCs w:val="24"/>
          <w:lang w:eastAsia="cs-CZ"/>
        </w:rPr>
        <w:t>Jak v případě PZV, tak POV došlo ke zhoršení stavu. Počet útvarů/</w:t>
      </w:r>
      <w:r w:rsidR="002F3158">
        <w:rPr>
          <w:rFonts w:cstheme="minorHAnsi"/>
          <w:szCs w:val="24"/>
          <w:lang w:eastAsia="cs-CZ"/>
        </w:rPr>
        <w:t>míst</w:t>
      </w:r>
      <w:r w:rsidR="00A14F62">
        <w:rPr>
          <w:rFonts w:cstheme="minorHAnsi"/>
          <w:szCs w:val="24"/>
          <w:lang w:eastAsia="cs-CZ"/>
        </w:rPr>
        <w:t xml:space="preserve"> s překročenou normou kvality vzrostl. Naopak v případě kvality pitné vody došlo ke zlepšení. Počet obyvatel zásobovaných pitnou vodou s nadlimitním výskytem pesticidních látek se snížil</w:t>
      </w:r>
      <w:r w:rsidR="00594979" w:rsidRPr="00C06A41">
        <w:rPr>
          <w:rFonts w:cstheme="minorHAnsi"/>
          <w:szCs w:val="24"/>
          <w:lang w:eastAsia="cs-CZ"/>
        </w:rPr>
        <w:t>. T</w:t>
      </w:r>
      <w:r w:rsidR="00BD5A64" w:rsidRPr="00C06A41">
        <w:rPr>
          <w:rFonts w:cstheme="minorHAnsi"/>
          <w:szCs w:val="24"/>
          <w:lang w:eastAsia="cs-CZ"/>
        </w:rPr>
        <w:t>oto zlepšení je však způsobeno modernizací technologií úpravy vody.</w:t>
      </w:r>
      <w:r w:rsidR="00BD5A64">
        <w:rPr>
          <w:rFonts w:cstheme="minorHAnsi"/>
          <w:szCs w:val="24"/>
          <w:lang w:eastAsia="cs-CZ"/>
        </w:rPr>
        <w:t xml:space="preserve"> </w:t>
      </w:r>
      <w:r w:rsidR="00183408">
        <w:rPr>
          <w:rFonts w:cstheme="minorHAnsi"/>
          <w:szCs w:val="24"/>
          <w:lang w:eastAsia="cs-CZ"/>
        </w:rPr>
        <w:t>Počet úpraven vod s technologií cíleného odstraňování pesticidn</w:t>
      </w:r>
      <w:r w:rsidR="00841184">
        <w:rPr>
          <w:rFonts w:cstheme="minorHAnsi"/>
          <w:szCs w:val="24"/>
          <w:lang w:eastAsia="cs-CZ"/>
        </w:rPr>
        <w:t>ích látek se v zásadě nezměnil.</w:t>
      </w:r>
    </w:p>
    <w:p w14:paraId="759A868D" w14:textId="7698C17C" w:rsidR="00F44DFD" w:rsidRPr="006671B8" w:rsidRDefault="00F44DFD" w:rsidP="001B094D">
      <w:pPr>
        <w:pStyle w:val="Titulek"/>
        <w:keepNext/>
        <w:spacing w:after="0"/>
        <w:ind w:left="1134" w:hanging="1134"/>
        <w:rPr>
          <w:b/>
          <w:i w:val="0"/>
          <w:color w:val="000000" w:themeColor="text1"/>
          <w:sz w:val="24"/>
          <w:szCs w:val="24"/>
        </w:rPr>
      </w:pPr>
      <w:r w:rsidRPr="000C5530">
        <w:rPr>
          <w:b/>
          <w:i w:val="0"/>
          <w:color w:val="000000" w:themeColor="text1"/>
          <w:sz w:val="24"/>
          <w:szCs w:val="24"/>
        </w:rPr>
        <w:t xml:space="preserve">Tabulka </w:t>
      </w:r>
      <w:r w:rsidR="006671B8" w:rsidRPr="006671B8">
        <w:rPr>
          <w:b/>
          <w:i w:val="0"/>
          <w:color w:val="000000" w:themeColor="text1"/>
          <w:sz w:val="24"/>
          <w:szCs w:val="24"/>
        </w:rPr>
        <w:fldChar w:fldCharType="begin"/>
      </w:r>
      <w:r w:rsidR="006671B8" w:rsidRPr="006671B8">
        <w:rPr>
          <w:b/>
          <w:i w:val="0"/>
          <w:color w:val="000000" w:themeColor="text1"/>
          <w:sz w:val="24"/>
          <w:szCs w:val="24"/>
        </w:rPr>
        <w:instrText xml:space="preserve"> SEQ Tabulka \* ARABIC </w:instrText>
      </w:r>
      <w:r w:rsidR="006671B8" w:rsidRPr="006671B8">
        <w:rPr>
          <w:b/>
          <w:i w:val="0"/>
          <w:color w:val="000000" w:themeColor="text1"/>
          <w:sz w:val="24"/>
          <w:szCs w:val="24"/>
        </w:rPr>
        <w:fldChar w:fldCharType="separate"/>
      </w:r>
      <w:r w:rsidR="007145CB">
        <w:rPr>
          <w:b/>
          <w:i w:val="0"/>
          <w:noProof/>
          <w:color w:val="000000" w:themeColor="text1"/>
          <w:sz w:val="24"/>
          <w:szCs w:val="24"/>
        </w:rPr>
        <w:t>3</w:t>
      </w:r>
      <w:r w:rsidR="006671B8" w:rsidRPr="006671B8">
        <w:rPr>
          <w:b/>
          <w:i w:val="0"/>
          <w:color w:val="000000" w:themeColor="text1"/>
          <w:sz w:val="24"/>
          <w:szCs w:val="24"/>
        </w:rPr>
        <w:fldChar w:fldCharType="end"/>
      </w:r>
      <w:r w:rsidR="00FF2B0D" w:rsidRPr="006671B8">
        <w:rPr>
          <w:b/>
          <w:i w:val="0"/>
          <w:color w:val="000000" w:themeColor="text1"/>
          <w:sz w:val="24"/>
          <w:szCs w:val="24"/>
        </w:rPr>
        <w:t>:</w:t>
      </w:r>
      <w:r w:rsidR="00FF2B0D">
        <w:rPr>
          <w:b/>
          <w:i w:val="0"/>
          <w:color w:val="000000" w:themeColor="text1"/>
          <w:sz w:val="24"/>
          <w:szCs w:val="24"/>
        </w:rPr>
        <w:t xml:space="preserve"> </w:t>
      </w:r>
      <w:r w:rsidR="001B094D">
        <w:rPr>
          <w:b/>
          <w:i w:val="0"/>
          <w:color w:val="000000" w:themeColor="text1"/>
          <w:sz w:val="24"/>
          <w:szCs w:val="24"/>
        </w:rPr>
        <w:tab/>
      </w:r>
      <w:r w:rsidR="00FF2B0D">
        <w:rPr>
          <w:b/>
          <w:i w:val="0"/>
          <w:color w:val="000000" w:themeColor="text1"/>
          <w:sz w:val="24"/>
          <w:szCs w:val="24"/>
        </w:rPr>
        <w:t>Hodnoty vybraných kvantitativních ukazatelů NAP 2018–2022 v letech 2017 a</w:t>
      </w:r>
      <w:r w:rsidR="00E66E70">
        <w:rPr>
          <w:b/>
          <w:i w:val="0"/>
          <w:color w:val="000000" w:themeColor="text1"/>
          <w:sz w:val="24"/>
          <w:szCs w:val="24"/>
        </w:rPr>
        <w:t> </w:t>
      </w:r>
      <w:r w:rsidR="00FF2B0D">
        <w:rPr>
          <w:b/>
          <w:i w:val="0"/>
          <w:color w:val="000000" w:themeColor="text1"/>
          <w:sz w:val="24"/>
          <w:szCs w:val="24"/>
        </w:rPr>
        <w:t>2019</w:t>
      </w:r>
    </w:p>
    <w:tbl>
      <w:tblPr>
        <w:tblStyle w:val="Mkatabulky"/>
        <w:tblW w:w="4884" w:type="pct"/>
        <w:tblInd w:w="108" w:type="dxa"/>
        <w:tblLook w:val="04A0" w:firstRow="1" w:lastRow="0" w:firstColumn="1" w:lastColumn="0" w:noHBand="0" w:noVBand="1"/>
      </w:tblPr>
      <w:tblGrid>
        <w:gridCol w:w="4776"/>
        <w:gridCol w:w="2201"/>
        <w:gridCol w:w="2096"/>
      </w:tblGrid>
      <w:tr w:rsidR="007C2AA0" w:rsidRPr="000C5530" w14:paraId="68002B89" w14:textId="77777777" w:rsidTr="00910BB2">
        <w:trPr>
          <w:trHeight w:val="567"/>
        </w:trPr>
        <w:tc>
          <w:tcPr>
            <w:tcW w:w="2632" w:type="pct"/>
            <w:tcBorders>
              <w:bottom w:val="double" w:sz="4" w:space="0" w:color="auto"/>
            </w:tcBorders>
            <w:shd w:val="clear" w:color="auto" w:fill="E5F1FF"/>
            <w:vAlign w:val="center"/>
          </w:tcPr>
          <w:p w14:paraId="4428CC0E" w14:textId="77777777" w:rsidR="007C2AA0" w:rsidRPr="000A1DDB" w:rsidRDefault="007C2AA0" w:rsidP="00910BB2">
            <w:pPr>
              <w:keepNext/>
              <w:spacing w:after="0"/>
              <w:jc w:val="left"/>
              <w:rPr>
                <w:rFonts w:cstheme="minorHAnsi"/>
                <w:b/>
                <w:color w:val="000000" w:themeColor="text1"/>
                <w:sz w:val="20"/>
                <w:szCs w:val="20"/>
                <w:lang w:eastAsia="cs-CZ"/>
              </w:rPr>
            </w:pPr>
            <w:r w:rsidRPr="000A1DDB">
              <w:rPr>
                <w:rFonts w:cstheme="minorHAnsi"/>
                <w:b/>
                <w:color w:val="000000" w:themeColor="text1"/>
                <w:sz w:val="20"/>
                <w:szCs w:val="20"/>
                <w:lang w:eastAsia="cs-CZ"/>
              </w:rPr>
              <w:t>Kvantitativní ukazatel</w:t>
            </w:r>
          </w:p>
        </w:tc>
        <w:tc>
          <w:tcPr>
            <w:tcW w:w="1213" w:type="pct"/>
            <w:tcBorders>
              <w:bottom w:val="double" w:sz="4" w:space="0" w:color="auto"/>
            </w:tcBorders>
            <w:shd w:val="clear" w:color="auto" w:fill="E5F1FF"/>
            <w:vAlign w:val="center"/>
          </w:tcPr>
          <w:p w14:paraId="6C29003D" w14:textId="77777777" w:rsidR="007C2AA0" w:rsidRPr="000A1DDB" w:rsidRDefault="007C2AA0" w:rsidP="001B094D">
            <w:pPr>
              <w:keepNext/>
              <w:spacing w:after="0"/>
              <w:jc w:val="center"/>
              <w:rPr>
                <w:rFonts w:cstheme="minorHAnsi"/>
                <w:b/>
                <w:color w:val="000000" w:themeColor="text1"/>
                <w:sz w:val="20"/>
                <w:szCs w:val="20"/>
                <w:lang w:eastAsia="cs-CZ"/>
              </w:rPr>
            </w:pPr>
            <w:r w:rsidRPr="000A1DDB">
              <w:rPr>
                <w:rFonts w:cstheme="minorHAnsi"/>
                <w:b/>
                <w:color w:val="000000" w:themeColor="text1"/>
                <w:sz w:val="20"/>
                <w:szCs w:val="20"/>
                <w:lang w:eastAsia="cs-CZ"/>
              </w:rPr>
              <w:t>2017</w:t>
            </w:r>
          </w:p>
        </w:tc>
        <w:tc>
          <w:tcPr>
            <w:tcW w:w="1155" w:type="pct"/>
            <w:tcBorders>
              <w:bottom w:val="double" w:sz="4" w:space="0" w:color="auto"/>
            </w:tcBorders>
            <w:shd w:val="clear" w:color="auto" w:fill="E5F1FF"/>
            <w:vAlign w:val="center"/>
          </w:tcPr>
          <w:p w14:paraId="7BFB051D" w14:textId="77777777" w:rsidR="007C2AA0" w:rsidRPr="000A1DDB" w:rsidRDefault="007C2AA0" w:rsidP="00141DD9">
            <w:pPr>
              <w:keepNext/>
              <w:spacing w:after="0"/>
              <w:jc w:val="center"/>
              <w:rPr>
                <w:rFonts w:cstheme="minorHAnsi"/>
                <w:b/>
                <w:color w:val="000000" w:themeColor="text1"/>
                <w:sz w:val="20"/>
                <w:szCs w:val="20"/>
                <w:lang w:eastAsia="cs-CZ"/>
              </w:rPr>
            </w:pPr>
            <w:r w:rsidRPr="000A1DDB">
              <w:rPr>
                <w:rFonts w:cstheme="minorHAnsi"/>
                <w:b/>
                <w:color w:val="000000" w:themeColor="text1"/>
                <w:sz w:val="20"/>
                <w:szCs w:val="20"/>
                <w:lang w:eastAsia="cs-CZ"/>
              </w:rPr>
              <w:t>2019</w:t>
            </w:r>
          </w:p>
        </w:tc>
      </w:tr>
      <w:tr w:rsidR="007C2AA0" w:rsidRPr="000C5530" w14:paraId="09C1EE10" w14:textId="77777777" w:rsidTr="00910BB2">
        <w:trPr>
          <w:trHeight w:val="567"/>
        </w:trPr>
        <w:tc>
          <w:tcPr>
            <w:tcW w:w="2632" w:type="pct"/>
            <w:tcBorders>
              <w:top w:val="double" w:sz="4" w:space="0" w:color="auto"/>
            </w:tcBorders>
            <w:vAlign w:val="center"/>
          </w:tcPr>
          <w:p w14:paraId="6993064D" w14:textId="77777777" w:rsidR="007C2AA0" w:rsidRPr="000A1DDB" w:rsidRDefault="007C2AA0" w:rsidP="0047348D">
            <w:pPr>
              <w:keepNext/>
              <w:spacing w:after="0"/>
              <w:jc w:val="left"/>
              <w:rPr>
                <w:rFonts w:cstheme="minorHAnsi"/>
                <w:sz w:val="20"/>
                <w:szCs w:val="20"/>
                <w:lang w:eastAsia="cs-CZ"/>
              </w:rPr>
            </w:pPr>
            <w:r w:rsidRPr="000A1DDB">
              <w:rPr>
                <w:rFonts w:cstheme="minorHAnsi"/>
                <w:sz w:val="20"/>
                <w:szCs w:val="20"/>
                <w:lang w:eastAsia="cs-CZ"/>
              </w:rPr>
              <w:t xml:space="preserve">Počet útvarů </w:t>
            </w:r>
            <w:r w:rsidR="00951E31" w:rsidRPr="000A1DDB">
              <w:rPr>
                <w:rFonts w:cstheme="minorHAnsi"/>
                <w:sz w:val="20"/>
                <w:szCs w:val="20"/>
                <w:lang w:eastAsia="cs-CZ"/>
              </w:rPr>
              <w:t>PZV s překročenou normou kvality</w:t>
            </w:r>
            <w:r w:rsidRPr="000A1DDB">
              <w:rPr>
                <w:rFonts w:cstheme="minorHAnsi"/>
                <w:sz w:val="20"/>
                <w:szCs w:val="20"/>
                <w:lang w:eastAsia="cs-CZ"/>
              </w:rPr>
              <w:t xml:space="preserve"> (mimo staré zátěže)</w:t>
            </w:r>
          </w:p>
        </w:tc>
        <w:tc>
          <w:tcPr>
            <w:tcW w:w="1213" w:type="pct"/>
            <w:tcBorders>
              <w:top w:val="double" w:sz="4" w:space="0" w:color="auto"/>
            </w:tcBorders>
            <w:vAlign w:val="center"/>
          </w:tcPr>
          <w:p w14:paraId="4865A884" w14:textId="77777777" w:rsidR="007C2AA0" w:rsidRPr="000A1DDB" w:rsidRDefault="007C2AA0" w:rsidP="0047348D">
            <w:pPr>
              <w:keepNext/>
              <w:spacing w:after="0"/>
              <w:jc w:val="center"/>
              <w:rPr>
                <w:rFonts w:cstheme="minorHAnsi"/>
                <w:sz w:val="20"/>
                <w:szCs w:val="20"/>
                <w:lang w:eastAsia="cs-CZ"/>
              </w:rPr>
            </w:pPr>
            <w:r w:rsidRPr="000A1DDB">
              <w:rPr>
                <w:rFonts w:cstheme="minorHAnsi"/>
                <w:sz w:val="20"/>
                <w:szCs w:val="20"/>
                <w:lang w:eastAsia="cs-CZ"/>
              </w:rPr>
              <w:t>75</w:t>
            </w:r>
          </w:p>
        </w:tc>
        <w:tc>
          <w:tcPr>
            <w:tcW w:w="1155" w:type="pct"/>
            <w:tcBorders>
              <w:top w:val="double" w:sz="4" w:space="0" w:color="auto"/>
            </w:tcBorders>
            <w:vAlign w:val="center"/>
          </w:tcPr>
          <w:p w14:paraId="7EFEA30C" w14:textId="77777777" w:rsidR="007C2AA0" w:rsidRPr="000A1DDB" w:rsidRDefault="007C2AA0" w:rsidP="0047348D">
            <w:pPr>
              <w:keepNext/>
              <w:spacing w:after="0"/>
              <w:jc w:val="center"/>
              <w:rPr>
                <w:rFonts w:cstheme="minorHAnsi"/>
                <w:sz w:val="20"/>
                <w:szCs w:val="20"/>
                <w:lang w:eastAsia="cs-CZ"/>
              </w:rPr>
            </w:pPr>
            <w:r w:rsidRPr="000A1DDB">
              <w:rPr>
                <w:rFonts w:cstheme="minorHAnsi"/>
                <w:sz w:val="20"/>
                <w:szCs w:val="20"/>
                <w:lang w:eastAsia="cs-CZ"/>
              </w:rPr>
              <w:t>86</w:t>
            </w:r>
          </w:p>
        </w:tc>
      </w:tr>
      <w:tr w:rsidR="007C2AA0" w:rsidRPr="000C5530" w14:paraId="72DC7419" w14:textId="77777777" w:rsidTr="00910BB2">
        <w:trPr>
          <w:trHeight w:val="567"/>
        </w:trPr>
        <w:tc>
          <w:tcPr>
            <w:tcW w:w="2632" w:type="pct"/>
            <w:vAlign w:val="center"/>
          </w:tcPr>
          <w:p w14:paraId="6FD68219" w14:textId="77777777" w:rsidR="007C2AA0" w:rsidRPr="000A1DDB" w:rsidRDefault="007C2AA0" w:rsidP="00571E89">
            <w:pPr>
              <w:spacing w:after="0"/>
              <w:jc w:val="left"/>
              <w:rPr>
                <w:sz w:val="20"/>
                <w:szCs w:val="20"/>
              </w:rPr>
            </w:pPr>
            <w:r w:rsidRPr="000A1DDB">
              <w:rPr>
                <w:rFonts w:cstheme="minorHAnsi"/>
                <w:sz w:val="20"/>
                <w:szCs w:val="20"/>
                <w:lang w:eastAsia="cs-CZ"/>
              </w:rPr>
              <w:t xml:space="preserve">Počet </w:t>
            </w:r>
            <w:r w:rsidR="002F3158" w:rsidRPr="000A1DDB">
              <w:rPr>
                <w:rFonts w:cstheme="minorHAnsi"/>
                <w:sz w:val="20"/>
                <w:szCs w:val="20"/>
                <w:lang w:eastAsia="cs-CZ"/>
              </w:rPr>
              <w:t>míst</w:t>
            </w:r>
            <w:r w:rsidR="00951E31" w:rsidRPr="000A1DDB">
              <w:rPr>
                <w:rFonts w:cstheme="minorHAnsi"/>
                <w:sz w:val="20"/>
                <w:szCs w:val="20"/>
                <w:lang w:eastAsia="cs-CZ"/>
              </w:rPr>
              <w:t xml:space="preserve"> POV s překročenou normou kvality</w:t>
            </w:r>
            <w:r w:rsidRPr="000A1DDB">
              <w:rPr>
                <w:rFonts w:cstheme="minorHAnsi"/>
                <w:sz w:val="20"/>
                <w:szCs w:val="20"/>
                <w:lang w:eastAsia="cs-CZ"/>
              </w:rPr>
              <w:t xml:space="preserve"> (mimo staré zátěže)</w:t>
            </w:r>
            <w:r w:rsidR="704892AC" w:rsidRPr="000A1DDB">
              <w:rPr>
                <w:rFonts w:ascii="Calibri" w:eastAsia="Calibri" w:hAnsi="Calibri" w:cs="Calibri"/>
                <w:sz w:val="20"/>
                <w:szCs w:val="20"/>
              </w:rPr>
              <w:t>*</w:t>
            </w:r>
          </w:p>
        </w:tc>
        <w:tc>
          <w:tcPr>
            <w:tcW w:w="1213" w:type="pct"/>
            <w:vAlign w:val="center"/>
          </w:tcPr>
          <w:p w14:paraId="1349F252" w14:textId="77777777" w:rsidR="007C2AA0" w:rsidRPr="000A1DDB" w:rsidRDefault="007C2AA0" w:rsidP="0047348D">
            <w:pPr>
              <w:keepNext/>
              <w:spacing w:after="0"/>
              <w:jc w:val="center"/>
              <w:rPr>
                <w:rFonts w:cstheme="minorHAnsi"/>
                <w:sz w:val="20"/>
                <w:szCs w:val="20"/>
                <w:lang w:eastAsia="cs-CZ"/>
              </w:rPr>
            </w:pPr>
            <w:r w:rsidRPr="000A1DDB">
              <w:rPr>
                <w:rFonts w:ascii="Calibri" w:hAnsi="Calibri" w:cs="Calibri"/>
                <w:color w:val="000000"/>
                <w:sz w:val="20"/>
                <w:szCs w:val="20"/>
              </w:rPr>
              <w:t>7</w:t>
            </w:r>
          </w:p>
        </w:tc>
        <w:tc>
          <w:tcPr>
            <w:tcW w:w="1155" w:type="pct"/>
            <w:vAlign w:val="center"/>
          </w:tcPr>
          <w:p w14:paraId="16E1E35F" w14:textId="77777777" w:rsidR="007C2AA0" w:rsidRPr="000A1DDB" w:rsidRDefault="007C2AA0" w:rsidP="00FF2B0D">
            <w:pPr>
              <w:keepNext/>
              <w:spacing w:after="0"/>
              <w:jc w:val="center"/>
              <w:rPr>
                <w:rFonts w:ascii="Calibri" w:hAnsi="Calibri" w:cs="Calibri"/>
                <w:color w:val="000000"/>
                <w:sz w:val="20"/>
                <w:szCs w:val="20"/>
              </w:rPr>
            </w:pPr>
            <w:r w:rsidRPr="000A1DDB">
              <w:rPr>
                <w:rFonts w:ascii="Calibri" w:hAnsi="Calibri" w:cs="Calibri"/>
                <w:color w:val="000000"/>
                <w:sz w:val="20"/>
                <w:szCs w:val="20"/>
              </w:rPr>
              <w:t>36</w:t>
            </w:r>
          </w:p>
        </w:tc>
      </w:tr>
      <w:tr w:rsidR="007C2AA0" w:rsidRPr="000C5530" w14:paraId="200DD1B7" w14:textId="77777777" w:rsidTr="00910BB2">
        <w:trPr>
          <w:trHeight w:val="567"/>
        </w:trPr>
        <w:tc>
          <w:tcPr>
            <w:tcW w:w="2632" w:type="pct"/>
            <w:vAlign w:val="center"/>
          </w:tcPr>
          <w:p w14:paraId="0E5ED2F4" w14:textId="77777777" w:rsidR="007C2AA0" w:rsidRPr="000A1DDB" w:rsidRDefault="007C2AA0" w:rsidP="0047348D">
            <w:pPr>
              <w:keepNext/>
              <w:spacing w:after="0"/>
              <w:jc w:val="left"/>
              <w:rPr>
                <w:rFonts w:cstheme="minorHAnsi"/>
                <w:sz w:val="20"/>
                <w:szCs w:val="20"/>
                <w:lang w:eastAsia="cs-CZ"/>
              </w:rPr>
            </w:pPr>
            <w:r w:rsidRPr="000A1DDB">
              <w:rPr>
                <w:rFonts w:cstheme="minorHAnsi"/>
                <w:sz w:val="20"/>
                <w:szCs w:val="20"/>
                <w:lang w:eastAsia="cs-CZ"/>
              </w:rPr>
              <w:t>Počet obyvatel zásobovaných pitnou vodou s nadlimitním výskytem pesticidních látek</w:t>
            </w:r>
          </w:p>
        </w:tc>
        <w:tc>
          <w:tcPr>
            <w:tcW w:w="1213" w:type="pct"/>
            <w:vAlign w:val="center"/>
          </w:tcPr>
          <w:p w14:paraId="66CF9575" w14:textId="77777777" w:rsidR="007C2AA0" w:rsidRPr="000A1DDB" w:rsidRDefault="007C2AA0" w:rsidP="0047348D">
            <w:pPr>
              <w:keepNext/>
              <w:spacing w:after="0"/>
              <w:jc w:val="center"/>
              <w:rPr>
                <w:rFonts w:cstheme="minorHAnsi"/>
                <w:sz w:val="20"/>
                <w:szCs w:val="20"/>
                <w:lang w:eastAsia="cs-CZ"/>
              </w:rPr>
            </w:pPr>
            <w:r w:rsidRPr="000A1DDB">
              <w:rPr>
                <w:rFonts w:cstheme="minorHAnsi"/>
                <w:sz w:val="20"/>
                <w:szCs w:val="20"/>
                <w:lang w:eastAsia="cs-CZ"/>
              </w:rPr>
              <w:t>256 539</w:t>
            </w:r>
          </w:p>
        </w:tc>
        <w:tc>
          <w:tcPr>
            <w:tcW w:w="1155" w:type="pct"/>
            <w:vAlign w:val="center"/>
          </w:tcPr>
          <w:p w14:paraId="44A599E5" w14:textId="77777777" w:rsidR="007C2AA0" w:rsidRPr="000A1DDB" w:rsidRDefault="007C2AA0" w:rsidP="0047348D">
            <w:pPr>
              <w:keepNext/>
              <w:spacing w:after="0"/>
              <w:jc w:val="center"/>
              <w:rPr>
                <w:rFonts w:cstheme="minorHAnsi"/>
                <w:sz w:val="20"/>
                <w:szCs w:val="20"/>
                <w:lang w:eastAsia="cs-CZ"/>
              </w:rPr>
            </w:pPr>
            <w:r w:rsidRPr="000A1DDB">
              <w:rPr>
                <w:rFonts w:cstheme="minorHAnsi"/>
                <w:sz w:val="20"/>
                <w:szCs w:val="20"/>
                <w:lang w:eastAsia="cs-CZ"/>
              </w:rPr>
              <w:t>220 241</w:t>
            </w:r>
            <w:r w:rsidR="0054304F" w:rsidRPr="000A1DDB">
              <w:rPr>
                <w:rFonts w:ascii="Calibri" w:eastAsia="Calibri" w:hAnsi="Calibri" w:cs="Calibri"/>
                <w:sz w:val="20"/>
                <w:szCs w:val="20"/>
              </w:rPr>
              <w:t>**</w:t>
            </w:r>
          </w:p>
        </w:tc>
      </w:tr>
      <w:tr w:rsidR="007C2AA0" w:rsidRPr="000C5530" w14:paraId="3517D850" w14:textId="77777777" w:rsidTr="00910BB2">
        <w:trPr>
          <w:trHeight w:val="567"/>
        </w:trPr>
        <w:tc>
          <w:tcPr>
            <w:tcW w:w="2632" w:type="pct"/>
            <w:vAlign w:val="center"/>
          </w:tcPr>
          <w:p w14:paraId="4D33260F" w14:textId="77777777" w:rsidR="007C2AA0" w:rsidRPr="000D3507" w:rsidRDefault="007C2AA0" w:rsidP="00F21BA1">
            <w:pPr>
              <w:keepNext/>
              <w:spacing w:after="0"/>
              <w:jc w:val="left"/>
              <w:rPr>
                <w:rFonts w:cstheme="minorHAnsi"/>
                <w:sz w:val="20"/>
                <w:szCs w:val="20"/>
                <w:highlight w:val="yellow"/>
                <w:lang w:eastAsia="cs-CZ"/>
              </w:rPr>
            </w:pPr>
            <w:r w:rsidRPr="000D3507">
              <w:rPr>
                <w:rFonts w:cstheme="minorHAnsi"/>
                <w:sz w:val="20"/>
                <w:szCs w:val="20"/>
                <w:lang w:eastAsia="cs-CZ"/>
              </w:rPr>
              <w:t xml:space="preserve">Počet úpraven vod s technologií cíleného odstraňování pesticidních látek </w:t>
            </w:r>
          </w:p>
        </w:tc>
        <w:tc>
          <w:tcPr>
            <w:tcW w:w="1213" w:type="pct"/>
            <w:vAlign w:val="center"/>
          </w:tcPr>
          <w:p w14:paraId="3E47D95A" w14:textId="77777777" w:rsidR="007C2AA0" w:rsidRPr="000A1DDB" w:rsidRDefault="704892AC" w:rsidP="00571E89">
            <w:pPr>
              <w:spacing w:after="0"/>
              <w:jc w:val="center"/>
              <w:rPr>
                <w:sz w:val="20"/>
                <w:szCs w:val="20"/>
              </w:rPr>
            </w:pPr>
            <w:r w:rsidRPr="000A1DDB">
              <w:rPr>
                <w:sz w:val="20"/>
                <w:szCs w:val="20"/>
              </w:rPr>
              <w:t>3/40/3</w:t>
            </w:r>
            <w:r w:rsidRPr="000A1DDB">
              <w:rPr>
                <w:rFonts w:ascii="Calibri" w:eastAsia="Calibri" w:hAnsi="Calibri" w:cs="Calibri"/>
                <w:sz w:val="20"/>
                <w:szCs w:val="20"/>
              </w:rPr>
              <w:t>**</w:t>
            </w:r>
            <w:r w:rsidR="0054304F" w:rsidRPr="000A1DDB">
              <w:rPr>
                <w:rFonts w:ascii="Calibri" w:eastAsia="Calibri" w:hAnsi="Calibri" w:cs="Calibri"/>
                <w:sz w:val="20"/>
                <w:szCs w:val="20"/>
              </w:rPr>
              <w:t>*</w:t>
            </w:r>
          </w:p>
        </w:tc>
        <w:tc>
          <w:tcPr>
            <w:tcW w:w="1155" w:type="pct"/>
            <w:vAlign w:val="center"/>
          </w:tcPr>
          <w:p w14:paraId="656A2B9B" w14:textId="77777777" w:rsidR="007C2AA0" w:rsidRPr="000D3507" w:rsidRDefault="704892AC" w:rsidP="0047348D">
            <w:pPr>
              <w:keepNext/>
              <w:spacing w:after="0"/>
              <w:jc w:val="center"/>
              <w:rPr>
                <w:rFonts w:cstheme="minorHAnsi"/>
                <w:sz w:val="20"/>
                <w:szCs w:val="20"/>
                <w:highlight w:val="yellow"/>
                <w:lang w:eastAsia="cs-CZ"/>
              </w:rPr>
            </w:pPr>
            <w:r w:rsidRPr="000D3507">
              <w:rPr>
                <w:sz w:val="20"/>
                <w:szCs w:val="20"/>
              </w:rPr>
              <w:t>3/40/4</w:t>
            </w:r>
          </w:p>
        </w:tc>
      </w:tr>
    </w:tbl>
    <w:p w14:paraId="6ED24A54" w14:textId="77777777" w:rsidR="00F44DFD" w:rsidRDefault="00F21BA1" w:rsidP="000D3507">
      <w:pPr>
        <w:keepNext/>
        <w:spacing w:after="0"/>
        <w:ind w:left="426" w:hanging="426"/>
        <w:rPr>
          <w:rFonts w:cstheme="minorHAnsi"/>
          <w:sz w:val="20"/>
          <w:szCs w:val="20"/>
          <w:lang w:eastAsia="cs-CZ"/>
        </w:rPr>
      </w:pPr>
      <w:r w:rsidRPr="00571E89" w:rsidDel="704892AC">
        <w:rPr>
          <w:rFonts w:ascii="Calibri" w:eastAsia="Calibri" w:hAnsi="Calibri" w:cs="Calibri"/>
          <w:sz w:val="20"/>
          <w:szCs w:val="20"/>
        </w:rPr>
        <w:t>*</w:t>
      </w:r>
      <w:r w:rsidR="000D3507">
        <w:rPr>
          <w:rFonts w:ascii="Calibri" w:eastAsia="Calibri" w:hAnsi="Calibri" w:cs="Calibri"/>
          <w:sz w:val="20"/>
          <w:szCs w:val="20"/>
        </w:rPr>
        <w:tab/>
      </w:r>
      <w:r w:rsidR="7DD4B2C8" w:rsidRPr="00571E89">
        <w:rPr>
          <w:rFonts w:eastAsiaTheme="minorEastAsia"/>
          <w:sz w:val="20"/>
          <w:szCs w:val="20"/>
          <w:lang w:eastAsia="cs-CZ"/>
        </w:rPr>
        <w:t>P</w:t>
      </w:r>
      <w:r w:rsidRPr="00571E89">
        <w:rPr>
          <w:rFonts w:eastAsiaTheme="minorEastAsia"/>
          <w:sz w:val="20"/>
          <w:szCs w:val="20"/>
          <w:lang w:eastAsia="cs-CZ"/>
        </w:rPr>
        <w:t>oskytnut</w:t>
      </w:r>
      <w:r w:rsidR="7DD4B2C8" w:rsidRPr="00571E89">
        <w:rPr>
          <w:rFonts w:eastAsiaTheme="minorEastAsia"/>
          <w:sz w:val="20"/>
          <w:szCs w:val="20"/>
          <w:lang w:eastAsia="cs-CZ"/>
        </w:rPr>
        <w:t>á</w:t>
      </w:r>
      <w:r w:rsidRPr="00571E89">
        <w:rPr>
          <w:rFonts w:eastAsiaTheme="minorEastAsia"/>
          <w:sz w:val="20"/>
          <w:szCs w:val="20"/>
          <w:lang w:eastAsia="cs-CZ"/>
        </w:rPr>
        <w:t xml:space="preserve"> dat</w:t>
      </w:r>
      <w:r w:rsidR="7DD4B2C8" w:rsidRPr="00571E89">
        <w:rPr>
          <w:rFonts w:eastAsiaTheme="minorEastAsia"/>
          <w:sz w:val="20"/>
          <w:szCs w:val="20"/>
          <w:lang w:eastAsia="cs-CZ"/>
        </w:rPr>
        <w:t xml:space="preserve">a ČHMÚ neumožnila </w:t>
      </w:r>
      <w:r w:rsidRPr="00571E89">
        <w:rPr>
          <w:rFonts w:eastAsiaTheme="minorEastAsia"/>
          <w:sz w:val="20"/>
          <w:szCs w:val="20"/>
          <w:lang w:eastAsia="cs-CZ"/>
        </w:rPr>
        <w:t>NKÚ zjistit po</w:t>
      </w:r>
      <w:r w:rsidR="00951E31">
        <w:rPr>
          <w:rFonts w:eastAsiaTheme="minorEastAsia"/>
          <w:sz w:val="20"/>
          <w:szCs w:val="20"/>
          <w:lang w:eastAsia="cs-CZ"/>
        </w:rPr>
        <w:t>čet útvarů POV s překročenou normou kvality</w:t>
      </w:r>
      <w:r w:rsidRPr="00571E89">
        <w:rPr>
          <w:rFonts w:eastAsiaTheme="minorEastAsia"/>
          <w:sz w:val="20"/>
          <w:szCs w:val="20"/>
          <w:lang w:eastAsia="cs-CZ"/>
        </w:rPr>
        <w:t xml:space="preserve">, </w:t>
      </w:r>
      <w:r w:rsidR="7DD4B2C8" w:rsidRPr="00571E89">
        <w:rPr>
          <w:rFonts w:eastAsiaTheme="minorEastAsia"/>
          <w:sz w:val="20"/>
          <w:szCs w:val="20"/>
          <w:lang w:eastAsia="cs-CZ"/>
        </w:rPr>
        <w:t xml:space="preserve">proto byl proveden kontrolní výpočet s použitím počtu </w:t>
      </w:r>
      <w:r w:rsidR="00D67DDC">
        <w:rPr>
          <w:rFonts w:eastAsiaTheme="minorEastAsia"/>
          <w:sz w:val="20"/>
          <w:szCs w:val="20"/>
          <w:lang w:eastAsia="cs-CZ"/>
        </w:rPr>
        <w:t>míst</w:t>
      </w:r>
      <w:r w:rsidR="00951E31">
        <w:rPr>
          <w:rFonts w:cstheme="minorHAnsi"/>
          <w:sz w:val="20"/>
          <w:szCs w:val="20"/>
          <w:lang w:eastAsia="cs-CZ"/>
        </w:rPr>
        <w:t xml:space="preserve"> POV s překročenou normou kvality</w:t>
      </w:r>
      <w:r w:rsidRPr="00571E89">
        <w:rPr>
          <w:rFonts w:cstheme="minorHAnsi"/>
          <w:sz w:val="20"/>
          <w:szCs w:val="20"/>
          <w:lang w:eastAsia="cs-CZ"/>
        </w:rPr>
        <w:t>.</w:t>
      </w:r>
    </w:p>
    <w:p w14:paraId="147A6D7B" w14:textId="77777777" w:rsidR="00571E89" w:rsidRPr="00574359" w:rsidRDefault="00571E89" w:rsidP="000D3507">
      <w:pPr>
        <w:keepNext/>
        <w:spacing w:after="0"/>
        <w:ind w:left="426" w:hanging="426"/>
        <w:rPr>
          <w:rFonts w:cstheme="minorHAnsi"/>
          <w:sz w:val="20"/>
          <w:szCs w:val="20"/>
          <w:lang w:eastAsia="cs-CZ"/>
        </w:rPr>
      </w:pPr>
      <w:r w:rsidRPr="00571E89">
        <w:rPr>
          <w:rFonts w:ascii="Calibri" w:eastAsia="Calibri" w:hAnsi="Calibri" w:cs="Calibri"/>
          <w:sz w:val="20"/>
          <w:szCs w:val="20"/>
        </w:rPr>
        <w:t>**</w:t>
      </w:r>
      <w:r>
        <w:rPr>
          <w:rFonts w:ascii="Calibri" w:eastAsia="Calibri" w:hAnsi="Calibri" w:cs="Calibri"/>
          <w:sz w:val="20"/>
          <w:szCs w:val="20"/>
        </w:rPr>
        <w:t xml:space="preserve"> </w:t>
      </w:r>
      <w:r w:rsidR="000D3507">
        <w:rPr>
          <w:rFonts w:ascii="Calibri" w:eastAsia="Calibri" w:hAnsi="Calibri" w:cs="Calibri"/>
          <w:sz w:val="20"/>
          <w:szCs w:val="20"/>
        </w:rPr>
        <w:tab/>
      </w:r>
      <w:r>
        <w:rPr>
          <w:rFonts w:ascii="Calibri" w:eastAsia="Calibri" w:hAnsi="Calibri" w:cs="Calibri"/>
          <w:sz w:val="20"/>
          <w:szCs w:val="20"/>
        </w:rPr>
        <w:t xml:space="preserve">Počet obyvatel se v tomto ukazateli sice snížil, ale počet míst, </w:t>
      </w:r>
      <w:r w:rsidR="00951E31">
        <w:rPr>
          <w:rFonts w:ascii="Calibri" w:eastAsia="Calibri" w:hAnsi="Calibri" w:cs="Calibri"/>
          <w:sz w:val="20"/>
          <w:szCs w:val="20"/>
        </w:rPr>
        <w:t>resp. vodovodů</w:t>
      </w:r>
      <w:r w:rsidR="00E30382">
        <w:rPr>
          <w:rFonts w:ascii="Calibri" w:eastAsia="Calibri" w:hAnsi="Calibri" w:cs="Calibri"/>
          <w:sz w:val="20"/>
          <w:szCs w:val="20"/>
        </w:rPr>
        <w:t>,</w:t>
      </w:r>
      <w:r w:rsidR="00951E31">
        <w:rPr>
          <w:rFonts w:ascii="Calibri" w:eastAsia="Calibri" w:hAnsi="Calibri" w:cs="Calibri"/>
          <w:sz w:val="20"/>
          <w:szCs w:val="20"/>
        </w:rPr>
        <w:t xml:space="preserve"> s překročeným hygienickým limitem</w:t>
      </w:r>
      <w:r w:rsidR="007A7580">
        <w:rPr>
          <w:rFonts w:ascii="Calibri" w:eastAsia="Calibri" w:hAnsi="Calibri" w:cs="Calibri"/>
          <w:sz w:val="20"/>
          <w:szCs w:val="20"/>
        </w:rPr>
        <w:t xml:space="preserve"> se zvýšil z 64 na 105.</w:t>
      </w:r>
    </w:p>
    <w:p w14:paraId="37C6CFFD" w14:textId="77777777" w:rsidR="00FC48B0" w:rsidRPr="006671B8" w:rsidRDefault="704892AC" w:rsidP="000D3507">
      <w:pPr>
        <w:pStyle w:val="Titulek"/>
        <w:keepNext/>
        <w:spacing w:after="0"/>
        <w:ind w:left="426" w:hanging="426"/>
        <w:rPr>
          <w:b/>
          <w:i w:val="0"/>
          <w:color w:val="auto"/>
          <w:sz w:val="24"/>
          <w:szCs w:val="24"/>
        </w:rPr>
      </w:pPr>
      <w:r w:rsidRPr="00594979">
        <w:rPr>
          <w:rFonts w:ascii="Calibri" w:eastAsia="Calibri" w:hAnsi="Calibri" w:cs="Calibri"/>
          <w:i w:val="0"/>
          <w:color w:val="auto"/>
          <w:sz w:val="20"/>
          <w:szCs w:val="20"/>
        </w:rPr>
        <w:t>*</w:t>
      </w:r>
      <w:r w:rsidR="00571E89" w:rsidRPr="00594979">
        <w:rPr>
          <w:rFonts w:ascii="Calibri" w:eastAsia="Calibri" w:hAnsi="Calibri" w:cs="Calibri"/>
          <w:i w:val="0"/>
          <w:color w:val="auto"/>
          <w:sz w:val="20"/>
          <w:szCs w:val="20"/>
        </w:rPr>
        <w:t>*</w:t>
      </w:r>
      <w:r w:rsidRPr="00594979">
        <w:rPr>
          <w:rFonts w:ascii="Calibri" w:eastAsia="Calibri" w:hAnsi="Calibri" w:cs="Calibri"/>
          <w:i w:val="0"/>
          <w:color w:val="auto"/>
          <w:sz w:val="20"/>
          <w:szCs w:val="20"/>
        </w:rPr>
        <w:t>*</w:t>
      </w:r>
      <w:r w:rsidR="000D3507">
        <w:rPr>
          <w:rFonts w:ascii="Calibri" w:eastAsia="Calibri" w:hAnsi="Calibri" w:cs="Calibri"/>
          <w:i w:val="0"/>
          <w:color w:val="auto"/>
          <w:sz w:val="20"/>
          <w:szCs w:val="20"/>
        </w:rPr>
        <w:tab/>
      </w:r>
      <w:r w:rsidR="006970DD" w:rsidRPr="00594979">
        <w:rPr>
          <w:rFonts w:ascii="Calibri" w:eastAsia="Calibri" w:hAnsi="Calibri" w:cs="Calibri"/>
          <w:i w:val="0"/>
          <w:color w:val="auto"/>
          <w:sz w:val="20"/>
          <w:szCs w:val="20"/>
        </w:rPr>
        <w:t xml:space="preserve">Počty technologií </w:t>
      </w:r>
      <w:r w:rsidR="00AE1FDA" w:rsidRPr="00594979">
        <w:rPr>
          <w:rFonts w:ascii="Calibri" w:eastAsia="Calibri" w:hAnsi="Calibri" w:cs="Calibri"/>
          <w:i w:val="0"/>
          <w:color w:val="auto"/>
          <w:sz w:val="20"/>
          <w:szCs w:val="20"/>
        </w:rPr>
        <w:t xml:space="preserve">dle typu: </w:t>
      </w:r>
      <w:r w:rsidR="00A70C1B">
        <w:rPr>
          <w:rFonts w:ascii="Calibri" w:eastAsia="Calibri" w:hAnsi="Calibri" w:cs="Calibri"/>
          <w:i w:val="0"/>
          <w:color w:val="auto"/>
          <w:sz w:val="20"/>
          <w:szCs w:val="20"/>
        </w:rPr>
        <w:t>g</w:t>
      </w:r>
      <w:r w:rsidR="00F47B29">
        <w:rPr>
          <w:rFonts w:ascii="Calibri" w:eastAsia="Calibri" w:hAnsi="Calibri" w:cs="Calibri"/>
          <w:i w:val="0"/>
          <w:color w:val="auto"/>
          <w:sz w:val="20"/>
          <w:szCs w:val="20"/>
        </w:rPr>
        <w:t xml:space="preserve">ranulované aktivní uhlí / </w:t>
      </w:r>
      <w:r w:rsidR="00A70C1B">
        <w:rPr>
          <w:rFonts w:ascii="Calibri" w:eastAsia="Calibri" w:hAnsi="Calibri" w:cs="Calibri"/>
          <w:i w:val="0"/>
          <w:color w:val="auto"/>
          <w:sz w:val="20"/>
          <w:szCs w:val="20"/>
        </w:rPr>
        <w:t>p</w:t>
      </w:r>
      <w:r w:rsidR="00F47B29">
        <w:rPr>
          <w:rFonts w:ascii="Calibri" w:eastAsia="Calibri" w:hAnsi="Calibri" w:cs="Calibri"/>
          <w:i w:val="0"/>
          <w:color w:val="auto"/>
          <w:sz w:val="20"/>
          <w:szCs w:val="20"/>
        </w:rPr>
        <w:t xml:space="preserve">ráškové aktivní uhlí </w:t>
      </w:r>
      <w:r w:rsidR="313E4E5B" w:rsidRPr="00594979">
        <w:rPr>
          <w:rFonts w:ascii="Calibri" w:eastAsia="Calibri" w:hAnsi="Calibri" w:cs="Calibri"/>
          <w:i w:val="0"/>
          <w:color w:val="auto"/>
          <w:sz w:val="20"/>
          <w:szCs w:val="20"/>
        </w:rPr>
        <w:t xml:space="preserve">/ </w:t>
      </w:r>
      <w:r w:rsidR="00A70C1B">
        <w:rPr>
          <w:rFonts w:ascii="Calibri" w:eastAsia="Calibri" w:hAnsi="Calibri" w:cs="Calibri"/>
          <w:i w:val="0"/>
          <w:color w:val="auto"/>
          <w:sz w:val="20"/>
          <w:szCs w:val="20"/>
        </w:rPr>
        <w:t>r</w:t>
      </w:r>
      <w:r w:rsidR="313E4E5B" w:rsidRPr="00594979">
        <w:rPr>
          <w:rFonts w:ascii="Calibri" w:eastAsia="Calibri" w:hAnsi="Calibri" w:cs="Calibri"/>
          <w:i w:val="0"/>
          <w:color w:val="auto"/>
          <w:sz w:val="20"/>
          <w:szCs w:val="20"/>
        </w:rPr>
        <w:t>everzní osmóza</w:t>
      </w:r>
      <w:r w:rsidR="006671B8">
        <w:rPr>
          <w:rFonts w:ascii="Calibri" w:eastAsia="Calibri" w:hAnsi="Calibri" w:cs="Calibri"/>
          <w:i w:val="0"/>
          <w:color w:val="auto"/>
          <w:sz w:val="20"/>
          <w:szCs w:val="20"/>
        </w:rPr>
        <w:t>.</w:t>
      </w:r>
    </w:p>
    <w:p w14:paraId="6126019D" w14:textId="77777777" w:rsidR="00570532" w:rsidRPr="00BF3C68" w:rsidRDefault="00502221" w:rsidP="00910BB2">
      <w:pPr>
        <w:pStyle w:val="Nadpis1"/>
        <w:numPr>
          <w:ilvl w:val="0"/>
          <w:numId w:val="21"/>
        </w:numPr>
        <w:spacing w:before="480"/>
      </w:pPr>
      <w:r w:rsidRPr="00BF3C68">
        <w:t>Udržitelné používání pesticidů a dusičnanů</w:t>
      </w:r>
      <w:r w:rsidR="00C45C8E">
        <w:t xml:space="preserve"> a d</w:t>
      </w:r>
      <w:r w:rsidR="0091328D" w:rsidRPr="00BF3C68">
        <w:t xml:space="preserve">ostupnost </w:t>
      </w:r>
      <w:r w:rsidR="00570532" w:rsidRPr="00BF3C68">
        <w:t>informac</w:t>
      </w:r>
      <w:r w:rsidR="0091328D" w:rsidRPr="00BF3C68">
        <w:t>í</w:t>
      </w:r>
      <w:r w:rsidR="00570532" w:rsidRPr="00BF3C68">
        <w:t xml:space="preserve"> o skutečné</w:t>
      </w:r>
      <w:r w:rsidR="00C45C8E">
        <w:t xml:space="preserve">m objemu </w:t>
      </w:r>
      <w:r w:rsidR="00E30382">
        <w:t xml:space="preserve">jejich </w:t>
      </w:r>
      <w:r w:rsidR="00C45C8E">
        <w:t>použití</w:t>
      </w:r>
    </w:p>
    <w:p w14:paraId="0A18C2AC" w14:textId="77777777" w:rsidR="00FD776D" w:rsidRDefault="00C867C7" w:rsidP="00FD776D">
      <w:pPr>
        <w:rPr>
          <w:rFonts w:cstheme="minorHAnsi"/>
          <w:szCs w:val="24"/>
          <w:lang w:eastAsia="cs-CZ"/>
        </w:rPr>
      </w:pPr>
      <w:r>
        <w:rPr>
          <w:rFonts w:cstheme="minorHAnsi"/>
          <w:szCs w:val="24"/>
          <w:lang w:eastAsia="cs-CZ"/>
        </w:rPr>
        <w:t>Evropská k</w:t>
      </w:r>
      <w:r w:rsidR="00FD776D" w:rsidRPr="001836F9">
        <w:rPr>
          <w:rFonts w:cstheme="minorHAnsi"/>
          <w:szCs w:val="24"/>
          <w:lang w:eastAsia="cs-CZ"/>
        </w:rPr>
        <w:t>omise směřuje svými doporučeními</w:t>
      </w:r>
      <w:r w:rsidR="00190C69">
        <w:rPr>
          <w:rStyle w:val="Znakapoznpodarou"/>
          <w:rFonts w:cstheme="minorHAnsi"/>
          <w:szCs w:val="24"/>
          <w:lang w:eastAsia="cs-CZ"/>
        </w:rPr>
        <w:footnoteReference w:id="33"/>
      </w:r>
      <w:r w:rsidR="00FD776D" w:rsidRPr="001836F9">
        <w:rPr>
          <w:rFonts w:cstheme="minorHAnsi"/>
          <w:szCs w:val="24"/>
          <w:lang w:eastAsia="cs-CZ"/>
        </w:rPr>
        <w:t xml:space="preserve"> k ambicióznímu omezení využívání pesticidů pro období let 2021</w:t>
      </w:r>
      <w:r w:rsidR="002F3158">
        <w:rPr>
          <w:rFonts w:cstheme="minorHAnsi"/>
          <w:szCs w:val="24"/>
          <w:lang w:eastAsia="cs-CZ"/>
        </w:rPr>
        <w:t>–</w:t>
      </w:r>
      <w:r w:rsidR="00FD776D" w:rsidRPr="001836F9">
        <w:rPr>
          <w:rFonts w:cstheme="minorHAnsi"/>
          <w:szCs w:val="24"/>
          <w:lang w:eastAsia="cs-CZ"/>
        </w:rPr>
        <w:t>2027</w:t>
      </w:r>
      <w:r w:rsidR="00805D93">
        <w:rPr>
          <w:rFonts w:cstheme="minorHAnsi"/>
          <w:szCs w:val="24"/>
          <w:lang w:eastAsia="cs-CZ"/>
        </w:rPr>
        <w:t>. Toto</w:t>
      </w:r>
      <w:r w:rsidR="00FD776D" w:rsidRPr="001836F9">
        <w:rPr>
          <w:rFonts w:cstheme="minorHAnsi"/>
          <w:szCs w:val="24"/>
          <w:lang w:eastAsia="cs-CZ"/>
        </w:rPr>
        <w:t xml:space="preserve"> vyžad</w:t>
      </w:r>
      <w:r w:rsidR="003825BF">
        <w:rPr>
          <w:rFonts w:cstheme="minorHAnsi"/>
          <w:szCs w:val="24"/>
          <w:lang w:eastAsia="cs-CZ"/>
        </w:rPr>
        <w:t xml:space="preserve">uje </w:t>
      </w:r>
      <w:r w:rsidR="004C3DBB">
        <w:rPr>
          <w:rFonts w:cstheme="minorHAnsi"/>
          <w:szCs w:val="24"/>
          <w:lang w:eastAsia="cs-CZ"/>
        </w:rPr>
        <w:t xml:space="preserve">postupný </w:t>
      </w:r>
      <w:r w:rsidR="003825BF">
        <w:rPr>
          <w:rFonts w:cstheme="minorHAnsi"/>
          <w:szCs w:val="24"/>
          <w:lang w:eastAsia="cs-CZ"/>
        </w:rPr>
        <w:t>pokl</w:t>
      </w:r>
      <w:r w:rsidR="00FD776D" w:rsidRPr="001836F9">
        <w:rPr>
          <w:rFonts w:cstheme="minorHAnsi"/>
          <w:szCs w:val="24"/>
          <w:lang w:eastAsia="cs-CZ"/>
        </w:rPr>
        <w:t>es spotřeby pesticid</w:t>
      </w:r>
      <w:r w:rsidR="00805D93">
        <w:rPr>
          <w:rFonts w:cstheme="minorHAnsi"/>
          <w:szCs w:val="24"/>
          <w:lang w:eastAsia="cs-CZ"/>
        </w:rPr>
        <w:t>ů a dusičnanů</w:t>
      </w:r>
      <w:r w:rsidR="004C3DBB">
        <w:rPr>
          <w:rFonts w:cstheme="minorHAnsi"/>
          <w:szCs w:val="24"/>
          <w:lang w:eastAsia="cs-CZ"/>
        </w:rPr>
        <w:t>, snížení závislosti na nich</w:t>
      </w:r>
      <w:r w:rsidR="003825BF">
        <w:rPr>
          <w:rFonts w:cstheme="minorHAnsi"/>
          <w:szCs w:val="24"/>
          <w:lang w:eastAsia="cs-CZ"/>
        </w:rPr>
        <w:t xml:space="preserve"> </w:t>
      </w:r>
      <w:r w:rsidR="00FD776D" w:rsidRPr="001836F9">
        <w:rPr>
          <w:rFonts w:cstheme="minorHAnsi"/>
          <w:szCs w:val="24"/>
          <w:lang w:eastAsia="cs-CZ"/>
        </w:rPr>
        <w:t>a zaměření se na šetrné způsoby hospodaření, což znamená odklon od konvenčního způsobu zemědělského hospodaření. E</w:t>
      </w:r>
      <w:r w:rsidR="003825BF">
        <w:rPr>
          <w:rFonts w:cstheme="minorHAnsi"/>
          <w:szCs w:val="24"/>
          <w:lang w:eastAsia="cs-CZ"/>
        </w:rPr>
        <w:t xml:space="preserve">vropská </w:t>
      </w:r>
      <w:r>
        <w:rPr>
          <w:rFonts w:cstheme="minorHAnsi"/>
          <w:szCs w:val="24"/>
          <w:lang w:eastAsia="cs-CZ"/>
        </w:rPr>
        <w:t>k</w:t>
      </w:r>
      <w:r w:rsidR="003825BF">
        <w:rPr>
          <w:rFonts w:cstheme="minorHAnsi"/>
          <w:szCs w:val="24"/>
          <w:lang w:eastAsia="cs-CZ"/>
        </w:rPr>
        <w:t>omise</w:t>
      </w:r>
      <w:r w:rsidR="00FD776D" w:rsidRPr="001836F9">
        <w:rPr>
          <w:rFonts w:cstheme="minorHAnsi"/>
          <w:szCs w:val="24"/>
          <w:lang w:eastAsia="cs-CZ"/>
        </w:rPr>
        <w:t xml:space="preserve"> klade </w:t>
      </w:r>
      <w:r w:rsidR="00734777">
        <w:rPr>
          <w:rFonts w:cstheme="minorHAnsi"/>
          <w:szCs w:val="24"/>
          <w:lang w:eastAsia="cs-CZ"/>
        </w:rPr>
        <w:t>d</w:t>
      </w:r>
      <w:r w:rsidR="00734777" w:rsidRPr="001836F9">
        <w:rPr>
          <w:rFonts w:cstheme="minorHAnsi"/>
          <w:szCs w:val="24"/>
          <w:lang w:eastAsia="cs-CZ"/>
        </w:rPr>
        <w:t xml:space="preserve">ůraz </w:t>
      </w:r>
      <w:r w:rsidR="00FD776D" w:rsidRPr="001836F9">
        <w:rPr>
          <w:rFonts w:cstheme="minorHAnsi"/>
          <w:szCs w:val="24"/>
          <w:lang w:eastAsia="cs-CZ"/>
        </w:rPr>
        <w:t xml:space="preserve">zejména na podporu ekologického zemědělství a </w:t>
      </w:r>
      <w:r w:rsidR="005D6780">
        <w:rPr>
          <w:rFonts w:cstheme="minorHAnsi"/>
          <w:szCs w:val="24"/>
          <w:lang w:eastAsia="cs-CZ"/>
        </w:rPr>
        <w:t>uplatňování</w:t>
      </w:r>
      <w:r w:rsidR="00A70C1B">
        <w:rPr>
          <w:rFonts w:cstheme="minorHAnsi"/>
          <w:szCs w:val="24"/>
          <w:lang w:eastAsia="cs-CZ"/>
        </w:rPr>
        <w:t xml:space="preserve"> </w:t>
      </w:r>
      <w:r w:rsidR="00012425">
        <w:rPr>
          <w:rFonts w:cstheme="minorHAnsi"/>
          <w:szCs w:val="24"/>
          <w:lang w:eastAsia="cs-CZ"/>
        </w:rPr>
        <w:t>zásad</w:t>
      </w:r>
      <w:r w:rsidR="00FD776D" w:rsidRPr="001836F9">
        <w:rPr>
          <w:rFonts w:cstheme="minorHAnsi"/>
          <w:szCs w:val="24"/>
          <w:lang w:eastAsia="cs-CZ"/>
        </w:rPr>
        <w:t xml:space="preserve"> </w:t>
      </w:r>
      <w:r w:rsidR="00391AF0">
        <w:rPr>
          <w:rFonts w:cstheme="minorHAnsi"/>
          <w:szCs w:val="24"/>
          <w:lang w:eastAsia="cs-CZ"/>
        </w:rPr>
        <w:t>IOR</w:t>
      </w:r>
      <w:r w:rsidR="00012425">
        <w:rPr>
          <w:rFonts w:cstheme="minorHAnsi"/>
          <w:szCs w:val="24"/>
          <w:lang w:eastAsia="cs-CZ"/>
        </w:rPr>
        <w:t>.</w:t>
      </w:r>
    </w:p>
    <w:p w14:paraId="72F103C4" w14:textId="03437E35" w:rsidR="00012425" w:rsidRDefault="00A02416" w:rsidP="00FD776D">
      <w:pPr>
        <w:rPr>
          <w:rFonts w:cstheme="minorHAnsi"/>
          <w:szCs w:val="24"/>
          <w:lang w:eastAsia="cs-CZ"/>
        </w:rPr>
      </w:pPr>
      <w:r w:rsidRPr="00A02416">
        <w:rPr>
          <w:rFonts w:cstheme="minorHAnsi"/>
          <w:szCs w:val="24"/>
          <w:lang w:eastAsia="cs-CZ"/>
        </w:rPr>
        <w:t>V ČR převládá konvenční způsob hospodaření, tedy zemědělské hospodaření orientované na výnos</w:t>
      </w:r>
      <w:r w:rsidR="00381EB7">
        <w:rPr>
          <w:rFonts w:cstheme="minorHAnsi"/>
          <w:szCs w:val="24"/>
          <w:lang w:eastAsia="cs-CZ"/>
        </w:rPr>
        <w:t>.</w:t>
      </w:r>
      <w:r w:rsidRPr="00A02416">
        <w:rPr>
          <w:rFonts w:cstheme="minorHAnsi"/>
          <w:szCs w:val="24"/>
          <w:lang w:eastAsia="cs-CZ"/>
        </w:rPr>
        <w:t xml:space="preserve"> Ekologické zemědělství v ČR zabírá pouze 15 % z celkového zemědělského půdního fondu, z</w:t>
      </w:r>
      <w:r w:rsidR="00F45937">
        <w:rPr>
          <w:rFonts w:cstheme="minorHAnsi"/>
          <w:szCs w:val="24"/>
          <w:lang w:eastAsia="cs-CZ"/>
        </w:rPr>
        <w:t xml:space="preserve"> </w:t>
      </w:r>
      <w:r w:rsidRPr="00A02416">
        <w:rPr>
          <w:rFonts w:cstheme="minorHAnsi"/>
          <w:szCs w:val="24"/>
          <w:lang w:eastAsia="cs-CZ"/>
        </w:rPr>
        <w:t>čehož z</w:t>
      </w:r>
      <w:r w:rsidR="00F45937">
        <w:rPr>
          <w:rFonts w:cstheme="minorHAnsi"/>
          <w:szCs w:val="24"/>
          <w:lang w:eastAsia="cs-CZ"/>
        </w:rPr>
        <w:t xml:space="preserve"> </w:t>
      </w:r>
      <w:r w:rsidRPr="00A02416">
        <w:rPr>
          <w:rFonts w:cstheme="minorHAnsi"/>
          <w:szCs w:val="24"/>
          <w:lang w:eastAsia="cs-CZ"/>
        </w:rPr>
        <w:t>hlediska struktury pěstovaných plodin převládají trvalé travní porosty na</w:t>
      </w:r>
      <w:r w:rsidR="00882AFA">
        <w:rPr>
          <w:rFonts w:cstheme="minorHAnsi"/>
          <w:szCs w:val="24"/>
          <w:lang w:eastAsia="cs-CZ"/>
        </w:rPr>
        <w:t xml:space="preserve"> </w:t>
      </w:r>
      <w:r w:rsidRPr="00A02416">
        <w:rPr>
          <w:rFonts w:cstheme="minorHAnsi"/>
          <w:szCs w:val="24"/>
          <w:lang w:eastAsia="cs-CZ"/>
        </w:rPr>
        <w:t>82</w:t>
      </w:r>
      <w:r w:rsidR="00E23B31">
        <w:rPr>
          <w:rFonts w:cstheme="minorHAnsi"/>
          <w:szCs w:val="24"/>
          <w:lang w:eastAsia="cs-CZ"/>
        </w:rPr>
        <w:t> </w:t>
      </w:r>
      <w:r w:rsidRPr="00A02416">
        <w:rPr>
          <w:rFonts w:cstheme="minorHAnsi"/>
          <w:szCs w:val="24"/>
          <w:lang w:eastAsia="cs-CZ"/>
        </w:rPr>
        <w:t>% plochy</w:t>
      </w:r>
      <w:r w:rsidR="00882AFA">
        <w:rPr>
          <w:rFonts w:cstheme="minorHAnsi"/>
          <w:szCs w:val="24"/>
          <w:lang w:eastAsia="cs-CZ"/>
        </w:rPr>
        <w:t xml:space="preserve"> a</w:t>
      </w:r>
      <w:r w:rsidR="00391AF0">
        <w:rPr>
          <w:rFonts w:cstheme="minorHAnsi"/>
          <w:szCs w:val="24"/>
          <w:lang w:eastAsia="cs-CZ"/>
        </w:rPr>
        <w:t xml:space="preserve"> </w:t>
      </w:r>
      <w:r w:rsidR="00882AFA">
        <w:rPr>
          <w:rFonts w:eastAsia="Calibri"/>
        </w:rPr>
        <w:t>n</w:t>
      </w:r>
      <w:r w:rsidRPr="00A02416">
        <w:rPr>
          <w:rFonts w:eastAsia="Calibri"/>
        </w:rPr>
        <w:t>a zbylých 18 % plochy připadá obhospodařování orné půdy, vinic, sadů</w:t>
      </w:r>
      <w:r w:rsidR="00E30382">
        <w:rPr>
          <w:rFonts w:eastAsia="Calibri"/>
        </w:rPr>
        <w:t>,</w:t>
      </w:r>
      <w:r w:rsidRPr="00A02416">
        <w:rPr>
          <w:rFonts w:eastAsia="Calibri"/>
        </w:rPr>
        <w:t xml:space="preserve"> chmelnic a dalších.</w:t>
      </w:r>
    </w:p>
    <w:p w14:paraId="232A7AC1" w14:textId="77777777" w:rsidR="000635AE" w:rsidRDefault="000635AE" w:rsidP="000635AE">
      <w:pPr>
        <w:pStyle w:val="Nadpis2"/>
        <w:rPr>
          <w:lang w:eastAsia="cs-CZ"/>
        </w:rPr>
      </w:pPr>
      <w:r>
        <w:rPr>
          <w:lang w:eastAsia="cs-CZ"/>
        </w:rPr>
        <w:t xml:space="preserve">Monitoring </w:t>
      </w:r>
      <w:r w:rsidR="00653BC6">
        <w:rPr>
          <w:lang w:eastAsia="cs-CZ"/>
        </w:rPr>
        <w:t xml:space="preserve">spotřeby </w:t>
      </w:r>
      <w:r>
        <w:rPr>
          <w:lang w:eastAsia="cs-CZ"/>
        </w:rPr>
        <w:t>pesticidů a dusičnanů</w:t>
      </w:r>
    </w:p>
    <w:p w14:paraId="2FB3FE07" w14:textId="77777777" w:rsidR="00BE1A11" w:rsidRDefault="00BE1A11" w:rsidP="00502221">
      <w:pPr>
        <w:rPr>
          <w:rFonts w:cstheme="minorHAnsi"/>
          <w:szCs w:val="24"/>
          <w:lang w:eastAsia="cs-CZ"/>
        </w:rPr>
      </w:pPr>
      <w:r>
        <w:rPr>
          <w:rFonts w:cstheme="minorHAnsi"/>
          <w:szCs w:val="24"/>
          <w:lang w:eastAsia="cs-CZ"/>
        </w:rPr>
        <w:t>Předpokladem pro to</w:t>
      </w:r>
      <w:r w:rsidR="004C3DBB">
        <w:rPr>
          <w:rFonts w:cstheme="minorHAnsi"/>
          <w:szCs w:val="24"/>
          <w:lang w:eastAsia="cs-CZ"/>
        </w:rPr>
        <w:t>, aby mohla být nastavena a realizována</w:t>
      </w:r>
      <w:r>
        <w:rPr>
          <w:rFonts w:cstheme="minorHAnsi"/>
          <w:szCs w:val="24"/>
          <w:lang w:eastAsia="cs-CZ"/>
        </w:rPr>
        <w:t xml:space="preserve"> relevantní opatření</w:t>
      </w:r>
      <w:r w:rsidR="00C867C7">
        <w:rPr>
          <w:rFonts w:cstheme="minorHAnsi"/>
          <w:szCs w:val="24"/>
          <w:lang w:eastAsia="cs-CZ"/>
        </w:rPr>
        <w:t xml:space="preserve"> k naplnění </w:t>
      </w:r>
      <w:r w:rsidR="00325FBD">
        <w:rPr>
          <w:rFonts w:cstheme="minorHAnsi"/>
          <w:szCs w:val="24"/>
          <w:lang w:eastAsia="cs-CZ"/>
        </w:rPr>
        <w:t xml:space="preserve">doporučení </w:t>
      </w:r>
      <w:r w:rsidR="00C867C7">
        <w:rPr>
          <w:rFonts w:cstheme="minorHAnsi"/>
          <w:szCs w:val="24"/>
          <w:lang w:eastAsia="cs-CZ"/>
        </w:rPr>
        <w:t>Evropské k</w:t>
      </w:r>
      <w:r>
        <w:rPr>
          <w:rFonts w:cstheme="minorHAnsi"/>
          <w:szCs w:val="24"/>
          <w:lang w:eastAsia="cs-CZ"/>
        </w:rPr>
        <w:t>omise</w:t>
      </w:r>
      <w:r w:rsidR="00325FBD">
        <w:rPr>
          <w:rStyle w:val="Znakapoznpodarou"/>
          <w:rFonts w:cstheme="minorHAnsi"/>
          <w:szCs w:val="24"/>
          <w:lang w:eastAsia="cs-CZ"/>
        </w:rPr>
        <w:footnoteReference w:id="34"/>
      </w:r>
      <w:r>
        <w:rPr>
          <w:rFonts w:cstheme="minorHAnsi"/>
          <w:szCs w:val="24"/>
          <w:lang w:eastAsia="cs-CZ"/>
        </w:rPr>
        <w:t xml:space="preserve">, je existence údajů o skutečné spotřebě </w:t>
      </w:r>
      <w:r w:rsidR="006D0ACA">
        <w:rPr>
          <w:rFonts w:cstheme="minorHAnsi"/>
          <w:szCs w:val="24"/>
          <w:lang w:eastAsia="cs-CZ"/>
        </w:rPr>
        <w:t>pesticidů a</w:t>
      </w:r>
      <w:r w:rsidR="00E23B31">
        <w:rPr>
          <w:rFonts w:cstheme="minorHAnsi"/>
          <w:szCs w:val="24"/>
          <w:lang w:eastAsia="cs-CZ"/>
        </w:rPr>
        <w:t> </w:t>
      </w:r>
      <w:r w:rsidR="006D0ACA">
        <w:rPr>
          <w:rFonts w:cstheme="minorHAnsi"/>
          <w:szCs w:val="24"/>
          <w:lang w:eastAsia="cs-CZ"/>
        </w:rPr>
        <w:t>dusičnanů.</w:t>
      </w:r>
    </w:p>
    <w:p w14:paraId="27252A10" w14:textId="77777777" w:rsidR="00C631E4" w:rsidRDefault="00C631E4" w:rsidP="00C631E4">
      <w:proofErr w:type="spellStart"/>
      <w:r>
        <w:lastRenderedPageBreak/>
        <w:t>MZe</w:t>
      </w:r>
      <w:proofErr w:type="spellEnd"/>
      <w:r>
        <w:t xml:space="preserve"> zveřejnilo statistiku, ze které vyplývá, že v letech 2011</w:t>
      </w:r>
      <w:r>
        <w:rPr>
          <w:rFonts w:cstheme="minorHAnsi"/>
          <w:szCs w:val="24"/>
          <w:lang w:eastAsia="cs-CZ"/>
        </w:rPr>
        <w:t>–</w:t>
      </w:r>
      <w:r>
        <w:t xml:space="preserve">2018 kleslo množství účinných látek </w:t>
      </w:r>
      <w:r w:rsidR="00A70C1B" w:rsidRPr="007C3B67">
        <w:t>v přípravcích na ochranu rostlin</w:t>
      </w:r>
      <w:r w:rsidR="00A70C1B">
        <w:t xml:space="preserve"> (dále také „POR“) </w:t>
      </w:r>
      <w:r>
        <w:t>uvedených na trh v ČR o 27 % a</w:t>
      </w:r>
      <w:r w:rsidR="00E23B31">
        <w:t> </w:t>
      </w:r>
      <w:r>
        <w:t>spotřeba pesticidů klesla v letech 2014</w:t>
      </w:r>
      <w:r>
        <w:rPr>
          <w:rFonts w:cstheme="minorHAnsi"/>
          <w:szCs w:val="24"/>
          <w:lang w:eastAsia="cs-CZ"/>
        </w:rPr>
        <w:t>–</w:t>
      </w:r>
      <w:r>
        <w:t>2019 o cca 13 %.</w:t>
      </w:r>
    </w:p>
    <w:p w14:paraId="57CB6148" w14:textId="7D0316C4" w:rsidR="00502221" w:rsidRDefault="00502221" w:rsidP="00502221">
      <w:proofErr w:type="spellStart"/>
      <w:r w:rsidRPr="007C3B67">
        <w:rPr>
          <w:rFonts w:cstheme="minorHAnsi"/>
          <w:szCs w:val="24"/>
          <w:lang w:eastAsia="cs-CZ"/>
        </w:rPr>
        <w:t>MZe</w:t>
      </w:r>
      <w:proofErr w:type="spellEnd"/>
      <w:r w:rsidRPr="007C3B67">
        <w:rPr>
          <w:rFonts w:cstheme="minorHAnsi"/>
          <w:szCs w:val="24"/>
          <w:lang w:eastAsia="cs-CZ"/>
        </w:rPr>
        <w:t xml:space="preserve"> sleduje </w:t>
      </w:r>
      <w:r w:rsidRPr="007C3B67">
        <w:t>údaj</w:t>
      </w:r>
      <w:r w:rsidR="006D0ACA">
        <w:t>e</w:t>
      </w:r>
      <w:r w:rsidRPr="007C3B67">
        <w:t xml:space="preserve"> o množství účinných látek obsažených v </w:t>
      </w:r>
      <w:r w:rsidR="00BE1A11">
        <w:t>POR</w:t>
      </w:r>
      <w:r w:rsidRPr="007C3B67">
        <w:t xml:space="preserve"> uvedených na trh v</w:t>
      </w:r>
      <w:r w:rsidR="00A41086">
        <w:t xml:space="preserve"> </w:t>
      </w:r>
      <w:r w:rsidRPr="007C3B67">
        <w:t xml:space="preserve">ČR </w:t>
      </w:r>
      <w:r w:rsidR="00A41086">
        <w:br/>
      </w:r>
      <w:r w:rsidR="002C286D">
        <w:t>a</w:t>
      </w:r>
      <w:r w:rsidR="00A41086">
        <w:t xml:space="preserve"> </w:t>
      </w:r>
      <w:r w:rsidRPr="007C3B67">
        <w:t>údaj</w:t>
      </w:r>
      <w:r w:rsidR="006D0ACA">
        <w:t>e</w:t>
      </w:r>
      <w:r w:rsidRPr="007C3B67">
        <w:t xml:space="preserve"> o</w:t>
      </w:r>
      <w:r w:rsidR="006D0ACA">
        <w:t xml:space="preserve"> roční</w:t>
      </w:r>
      <w:r w:rsidR="00A41086">
        <w:t xml:space="preserve"> </w:t>
      </w:r>
      <w:r w:rsidRPr="007C3B67">
        <w:t>spotřebě pesticidů u</w:t>
      </w:r>
      <w:r w:rsidR="00A41086">
        <w:t xml:space="preserve"> </w:t>
      </w:r>
      <w:r w:rsidRPr="007C3B67">
        <w:t>vybraného vzorku zemědělců</w:t>
      </w:r>
      <w:r w:rsidR="006D0ACA">
        <w:t>, které jsou následně extrapolovány na všechny zemědělské subjekty v ČR.</w:t>
      </w:r>
    </w:p>
    <w:p w14:paraId="305FED36" w14:textId="77777777" w:rsidR="00096EFB" w:rsidRDefault="00BE1A11" w:rsidP="00BE1A11">
      <w:r w:rsidRPr="007C3B67">
        <w:t xml:space="preserve">Oba způsoby získávání údajů </w:t>
      </w:r>
      <w:r w:rsidR="00D527C2">
        <w:t xml:space="preserve">však </w:t>
      </w:r>
      <w:r w:rsidRPr="007C3B67">
        <w:t xml:space="preserve">vykazují určitou míru nepřesnosti. </w:t>
      </w:r>
      <w:r w:rsidR="00F0790E">
        <w:t>V prvním případě se jedná pouze o statistiku o množství účinných látek obsažených v POR, které byl</w:t>
      </w:r>
      <w:r w:rsidR="00E30382">
        <w:t>y</w:t>
      </w:r>
      <w:r w:rsidR="00F0790E">
        <w:t xml:space="preserve"> uveden</w:t>
      </w:r>
      <w:r w:rsidR="00E30382">
        <w:t>y</w:t>
      </w:r>
      <w:r w:rsidR="00F0790E">
        <w:t xml:space="preserve"> na český trh, tj. nabídnut</w:t>
      </w:r>
      <w:r w:rsidR="003B3B8C">
        <w:t>y</w:t>
      </w:r>
      <w:r w:rsidR="00F0790E">
        <w:t xml:space="preserve"> </w:t>
      </w:r>
      <w:r w:rsidR="00321EC8">
        <w:t xml:space="preserve">v ČR </w:t>
      </w:r>
      <w:r w:rsidR="00F0790E">
        <w:t xml:space="preserve">k prodeji. Nezahrnuje údaje o prodaném množství, o </w:t>
      </w:r>
      <w:r w:rsidR="00321EC8">
        <w:t>místě prodeje</w:t>
      </w:r>
      <w:r w:rsidR="001E560E">
        <w:t xml:space="preserve"> ani o</w:t>
      </w:r>
      <w:r w:rsidR="003B3B8C">
        <w:t xml:space="preserve"> </w:t>
      </w:r>
      <w:r w:rsidR="00F0790E">
        <w:t xml:space="preserve">množství účinných látek nakoupených v zahraničí a dovezených do ČR. </w:t>
      </w:r>
      <w:r w:rsidR="002F3158">
        <w:t>N</w:t>
      </w:r>
      <w:r w:rsidR="00F0790E">
        <w:t xml:space="preserve">evypovídá </w:t>
      </w:r>
      <w:r w:rsidR="002F3158">
        <w:t>tedy</w:t>
      </w:r>
      <w:r w:rsidR="00F0790E">
        <w:t xml:space="preserve"> o spotřebovaném množství účinných látek </w:t>
      </w:r>
      <w:r w:rsidR="001E560E">
        <w:t>obsažených v POR</w:t>
      </w:r>
      <w:r w:rsidR="002C286D">
        <w:t xml:space="preserve"> </w:t>
      </w:r>
      <w:r w:rsidR="003B3B8C">
        <w:t>(</w:t>
      </w:r>
      <w:r w:rsidR="002C286D">
        <w:t>tj.</w:t>
      </w:r>
      <w:r w:rsidR="00E66E70">
        <w:t> </w:t>
      </w:r>
      <w:r w:rsidR="002C286D">
        <w:t>pesticidů</w:t>
      </w:r>
      <w:r w:rsidR="003B3B8C">
        <w:t>)</w:t>
      </w:r>
      <w:r w:rsidR="001E560E">
        <w:t xml:space="preserve"> </w:t>
      </w:r>
      <w:r w:rsidR="00F0790E">
        <w:t>v ČR.</w:t>
      </w:r>
      <w:r w:rsidR="007F199A">
        <w:t xml:space="preserve"> </w:t>
      </w:r>
      <w:r w:rsidR="001E560E">
        <w:t>V druhém případě jsou údaje o spotřebě pesticidů zjiš</w:t>
      </w:r>
      <w:r w:rsidR="007F199A">
        <w:t xml:space="preserve">ťovány u </w:t>
      </w:r>
      <w:r w:rsidR="00264FBD">
        <w:t xml:space="preserve">cca </w:t>
      </w:r>
      <w:r w:rsidR="001E560E">
        <w:t xml:space="preserve">3 000 zemědělců, což </w:t>
      </w:r>
      <w:r w:rsidR="003B3B8C">
        <w:t>je</w:t>
      </w:r>
      <w:r w:rsidR="001E560E">
        <w:t xml:space="preserve"> </w:t>
      </w:r>
      <w:r w:rsidR="00517388">
        <w:t xml:space="preserve">pouze </w:t>
      </w:r>
      <w:r w:rsidR="001E560E">
        <w:t>cca 10 % všech aktivně hospodařících zemědělských subjektů v ČR. Vybraní zemědělci (zpravidla hospodařící na výmě</w:t>
      </w:r>
      <w:r w:rsidR="00411A97">
        <w:t>ře větší než 10 ha) zasílají ÚKZ</w:t>
      </w:r>
      <w:r w:rsidR="001E560E">
        <w:t>ÚZ údaje o</w:t>
      </w:r>
      <w:r w:rsidR="002C286D">
        <w:t> </w:t>
      </w:r>
      <w:r w:rsidR="001E560E">
        <w:t>celkové spotřebě jednotlivých pesticidů u každé pěstované plodiny za předchozí rok</w:t>
      </w:r>
      <w:r w:rsidR="00132414">
        <w:t>. Tyto údaje jsou pak přepočteny na všechny zeměděl</w:t>
      </w:r>
      <w:r w:rsidR="00264FBD">
        <w:t>ce</w:t>
      </w:r>
      <w:r w:rsidR="00132414">
        <w:t xml:space="preserve"> </w:t>
      </w:r>
      <w:r w:rsidR="007F199A">
        <w:t xml:space="preserve">a jednotlivé plodiny </w:t>
      </w:r>
      <w:r w:rsidR="00132414">
        <w:t>za celou ČR nebo dle jednotlivých okresů.</w:t>
      </w:r>
      <w:r w:rsidR="007F199A">
        <w:t xml:space="preserve"> Výpočet spotřeby dle okresů je zkreslen </w:t>
      </w:r>
      <w:r w:rsidR="003B3B8C">
        <w:t>tím</w:t>
      </w:r>
      <w:r w:rsidR="007F199A">
        <w:t xml:space="preserve">, že data od vybraných zemědělců se vztahují k jejich oficiálnímu sídlu, nikoli k místu skutečného hospodaření, což může být v jiném okrese. </w:t>
      </w:r>
      <w:r w:rsidR="00132414">
        <w:t xml:space="preserve">Pro výpočet spotřeby pesticidů na </w:t>
      </w:r>
      <w:r w:rsidR="003B3B8C">
        <w:t>hektar</w:t>
      </w:r>
      <w:r w:rsidR="00132414">
        <w:t xml:space="preserve"> jednotlivých plodin jsou pak použity údaje Českého statistického úřadu</w:t>
      </w:r>
      <w:r w:rsidR="00411A97">
        <w:t xml:space="preserve"> (dále také „ČSÚ“)</w:t>
      </w:r>
      <w:r w:rsidR="00132414">
        <w:t xml:space="preserve"> o </w:t>
      </w:r>
      <w:r w:rsidR="007F199A">
        <w:t xml:space="preserve">celkových </w:t>
      </w:r>
      <w:r w:rsidR="00132414">
        <w:t>výmě</w:t>
      </w:r>
      <w:r w:rsidR="00264FBD">
        <w:t xml:space="preserve">rách, na kterých jsou </w:t>
      </w:r>
      <w:r w:rsidR="00132414">
        <w:t>plodin</w:t>
      </w:r>
      <w:r w:rsidR="00264FBD">
        <w:t>y v ČR pěstovány</w:t>
      </w:r>
      <w:r w:rsidR="00132414">
        <w:t>.</w:t>
      </w:r>
      <w:r w:rsidR="007F199A">
        <w:t xml:space="preserve"> </w:t>
      </w:r>
      <w:r w:rsidR="003B3B8C">
        <w:t>Data</w:t>
      </w:r>
      <w:r w:rsidR="00096EFB">
        <w:t xml:space="preserve"> o spotřebě </w:t>
      </w:r>
      <w:r w:rsidR="003B3B8C">
        <w:t>poskytnutá</w:t>
      </w:r>
      <w:r w:rsidR="00096EFB">
        <w:t xml:space="preserve"> vzork</w:t>
      </w:r>
      <w:r w:rsidR="003B3B8C">
        <w:t>em</w:t>
      </w:r>
      <w:r w:rsidR="00096EFB">
        <w:t xml:space="preserve"> zemědělců nejsou nijak ověřován</w:t>
      </w:r>
      <w:r w:rsidR="003B3B8C">
        <w:t>a</w:t>
      </w:r>
      <w:r w:rsidR="00096EFB">
        <w:t>. Výsledné údaje o spotřebě pesticidů jsou tak velmi hrubé a pouze orientační.</w:t>
      </w:r>
    </w:p>
    <w:p w14:paraId="6B1BF33A" w14:textId="0AFA18F9" w:rsidR="00BE1A11" w:rsidRPr="007C3B67" w:rsidRDefault="00BE1A11" w:rsidP="00BE1A11">
      <w:r>
        <w:t xml:space="preserve">Tyto skutečnosti </w:t>
      </w:r>
      <w:r w:rsidR="003B3B8C">
        <w:t xml:space="preserve">považuje </w:t>
      </w:r>
      <w:r>
        <w:t xml:space="preserve">NKÚ </w:t>
      </w:r>
      <w:r w:rsidR="003B3B8C">
        <w:t xml:space="preserve">za </w:t>
      </w:r>
      <w:r>
        <w:t>slab</w:t>
      </w:r>
      <w:r w:rsidR="003B3B8C">
        <w:t>á</w:t>
      </w:r>
      <w:r>
        <w:t xml:space="preserve"> míst</w:t>
      </w:r>
      <w:r w:rsidR="003B3B8C">
        <w:t>a</w:t>
      </w:r>
      <w:r>
        <w:t xml:space="preserve"> monitoringu skutečné spotřeby pesticid</w:t>
      </w:r>
      <w:r w:rsidR="000B7187">
        <w:t>ů</w:t>
      </w:r>
      <w:r>
        <w:t xml:space="preserve">, </w:t>
      </w:r>
      <w:r w:rsidR="00517388">
        <w:t xml:space="preserve">za který odpovídá </w:t>
      </w:r>
      <w:proofErr w:type="spellStart"/>
      <w:r w:rsidR="00517388">
        <w:t>MZe</w:t>
      </w:r>
      <w:proofErr w:type="spellEnd"/>
      <w:r w:rsidR="00517388">
        <w:t xml:space="preserve">, </w:t>
      </w:r>
      <w:r>
        <w:t xml:space="preserve">neboť zcela chybí </w:t>
      </w:r>
      <w:r w:rsidRPr="007C3B67">
        <w:t>informac</w:t>
      </w:r>
      <w:r>
        <w:t>e</w:t>
      </w:r>
      <w:r w:rsidRPr="007C3B67">
        <w:t xml:space="preserve"> o použití daného druhu </w:t>
      </w:r>
      <w:r w:rsidR="003B3B8C">
        <w:t xml:space="preserve">a </w:t>
      </w:r>
      <w:r w:rsidR="00517388">
        <w:t xml:space="preserve">množství </w:t>
      </w:r>
      <w:r w:rsidRPr="007C3B67">
        <w:t>pesticidu v konkrétním místě</w:t>
      </w:r>
      <w:r w:rsidR="00517388">
        <w:t xml:space="preserve"> a</w:t>
      </w:r>
      <w:r w:rsidRPr="007C3B67">
        <w:t xml:space="preserve"> čase</w:t>
      </w:r>
      <w:r>
        <w:t>. Tyto informace jsou zásadní</w:t>
      </w:r>
      <w:r w:rsidRPr="007C3B67">
        <w:t xml:space="preserve"> z pohledu </w:t>
      </w:r>
      <w:r w:rsidR="00BF6024">
        <w:t>sledování a</w:t>
      </w:r>
      <w:r w:rsidR="001B094D">
        <w:t> </w:t>
      </w:r>
      <w:r>
        <w:t>hodnocení kvality vod.</w:t>
      </w:r>
      <w:r w:rsidR="006E41A9">
        <w:t xml:space="preserve"> Elektronická data o spotřebě </w:t>
      </w:r>
      <w:r w:rsidR="00BF6024">
        <w:t xml:space="preserve">pesticidů </w:t>
      </w:r>
      <w:r w:rsidR="006E41A9">
        <w:t xml:space="preserve">jsou v současné době předávána pouze na dobrovolné bázi. Počty zemědělců, kteří v letech </w:t>
      </w:r>
      <w:r w:rsidR="00986493">
        <w:t>2013</w:t>
      </w:r>
      <w:r w:rsidR="003B3B8C">
        <w:t>–</w:t>
      </w:r>
      <w:r w:rsidR="006E41A9">
        <w:t xml:space="preserve">2019 dobrovolně evidovali spotřebu </w:t>
      </w:r>
      <w:r w:rsidR="00BF6024">
        <w:t>pesticidů</w:t>
      </w:r>
      <w:r w:rsidR="006E41A9">
        <w:t xml:space="preserve"> prostřednictvím </w:t>
      </w:r>
      <w:r w:rsidR="006E41A9" w:rsidRPr="00C135F0">
        <w:rPr>
          <w:i/>
        </w:rPr>
        <w:t>Portálu farmáře</w:t>
      </w:r>
      <w:r w:rsidR="000635AE">
        <w:t>,</w:t>
      </w:r>
      <w:r w:rsidR="006E41A9">
        <w:t xml:space="preserve"> se pohybovaly v rozmezí </w:t>
      </w:r>
      <w:r w:rsidR="00A41086">
        <w:br/>
      </w:r>
      <w:r w:rsidR="006E41A9">
        <w:t>11</w:t>
      </w:r>
      <w:r w:rsidR="00986493">
        <w:rPr>
          <w:rFonts w:cstheme="minorHAnsi"/>
          <w:szCs w:val="24"/>
          <w:lang w:eastAsia="cs-CZ"/>
        </w:rPr>
        <w:t>–</w:t>
      </w:r>
      <w:r w:rsidR="006E41A9">
        <w:t>14 % z celkového počtu aktivně hospodařících zemědělců.</w:t>
      </w:r>
    </w:p>
    <w:p w14:paraId="2A4EE445" w14:textId="77777777" w:rsidR="006E41A9" w:rsidRDefault="006A1832" w:rsidP="00D527C2">
      <w:r>
        <w:t xml:space="preserve">Spotřebu dusičnanů (hnojiv) </w:t>
      </w:r>
      <w:proofErr w:type="spellStart"/>
      <w:r w:rsidR="00502221" w:rsidRPr="007C3B67">
        <w:t>MZe</w:t>
      </w:r>
      <w:proofErr w:type="spellEnd"/>
      <w:r w:rsidR="00502221" w:rsidRPr="007C3B67">
        <w:t xml:space="preserve"> nesleduje </w:t>
      </w:r>
      <w:r>
        <w:t>vůbec.</w:t>
      </w:r>
      <w:r w:rsidR="00502221" w:rsidRPr="007C3B67">
        <w:t xml:space="preserve"> Zákon o hnojivech sice povinnost vést evidenci stanovuje, nicméně neukládá zemědělským subjektům povinnost předávat tyto informace </w:t>
      </w:r>
      <w:proofErr w:type="spellStart"/>
      <w:r w:rsidR="00502221" w:rsidRPr="007C3B67">
        <w:t>MZe</w:t>
      </w:r>
      <w:proofErr w:type="spellEnd"/>
      <w:r w:rsidR="00502221" w:rsidRPr="007C3B67">
        <w:t xml:space="preserve"> či jiným relevantním </w:t>
      </w:r>
      <w:r w:rsidR="00517388">
        <w:t>orgánům</w:t>
      </w:r>
      <w:r w:rsidR="00502221" w:rsidRPr="007C3B67">
        <w:t>.</w:t>
      </w:r>
      <w:r w:rsidR="00D527C2">
        <w:t xml:space="preserve"> Elektronická data o hnojení jsou předávána pouze na dobrovolné bázi.</w:t>
      </w:r>
    </w:p>
    <w:p w14:paraId="2F97E9A2" w14:textId="77777777" w:rsidR="00502221" w:rsidRPr="007C3B67" w:rsidRDefault="00610AB7" w:rsidP="00502221">
      <w:r>
        <w:t xml:space="preserve">NKÚ </w:t>
      </w:r>
      <w:r w:rsidR="00D527C2">
        <w:t>hodnotí současn</w:t>
      </w:r>
      <w:r>
        <w:t>ý</w:t>
      </w:r>
      <w:r w:rsidR="00D527C2">
        <w:t xml:space="preserve"> systém evidence </w:t>
      </w:r>
      <w:r w:rsidR="003630A5">
        <w:t>spotřeby dusičnanů</w:t>
      </w:r>
      <w:r w:rsidR="006E41A9">
        <w:t xml:space="preserve"> a pesticid</w:t>
      </w:r>
      <w:r>
        <w:t>ů</w:t>
      </w:r>
      <w:r w:rsidR="00D527C2">
        <w:t xml:space="preserve"> v zemědělské výrobě bez možnosti provádět komplexní monitoring spotřeby v reálném čase jako neefektivní</w:t>
      </w:r>
      <w:r>
        <w:t>, nedostatečný</w:t>
      </w:r>
      <w:r w:rsidR="00D527C2">
        <w:t xml:space="preserve"> a neprůkazn</w:t>
      </w:r>
      <w:r>
        <w:t>ý</w:t>
      </w:r>
      <w:r w:rsidR="00D527C2">
        <w:t xml:space="preserve">. </w:t>
      </w:r>
    </w:p>
    <w:p w14:paraId="71EAB906" w14:textId="77777777" w:rsidR="000635AE" w:rsidRDefault="00841184" w:rsidP="001B094D">
      <w:pPr>
        <w:pStyle w:val="Nadpis2"/>
        <w:rPr>
          <w:lang w:bidi="cs-CZ"/>
        </w:rPr>
      </w:pPr>
      <w:r>
        <w:rPr>
          <w:lang w:bidi="cs-CZ"/>
        </w:rPr>
        <w:t>Integrovaná ochrana rostlin</w:t>
      </w:r>
    </w:p>
    <w:p w14:paraId="54C91ED4" w14:textId="4DD41A44" w:rsidR="004779BF" w:rsidRPr="00853CE3" w:rsidRDefault="004779BF" w:rsidP="00CD24A0">
      <w:pPr>
        <w:rPr>
          <w:b/>
        </w:rPr>
      </w:pPr>
      <w:r>
        <w:rPr>
          <w:noProof/>
        </w:rPr>
        <w:t xml:space="preserve">Směrnice o udržitelném používání pesticidů uložila členským státům EU </w:t>
      </w:r>
      <w:r w:rsidR="002A38F4">
        <w:rPr>
          <w:noProof/>
        </w:rPr>
        <w:t>zajistit přijetí</w:t>
      </w:r>
      <w:r w:rsidR="002A38F4" w:rsidRPr="00F22EF4">
        <w:rPr>
          <w:noProof/>
        </w:rPr>
        <w:t xml:space="preserve"> </w:t>
      </w:r>
      <w:r w:rsidR="002A38F4">
        <w:rPr>
          <w:noProof/>
        </w:rPr>
        <w:t>vhodných opatření na ochranu vodního prostředí a zdrojů pitné vody před vlivem pesticidů a</w:t>
      </w:r>
      <w:r w:rsidR="00A41086">
        <w:rPr>
          <w:noProof/>
        </w:rPr>
        <w:t> </w:t>
      </w:r>
      <w:r w:rsidR="002A38F4">
        <w:rPr>
          <w:noProof/>
        </w:rPr>
        <w:t xml:space="preserve">dále stanovit sankce za porušení vnitrostátních právních předpisů přijatých na základě této směrnice a přijmout veškerá nezbytná opatření k zajištění uplatňování těchto sankcí, a to s cílem </w:t>
      </w:r>
      <w:r>
        <w:rPr>
          <w:noProof/>
        </w:rPr>
        <w:t xml:space="preserve">snížit rizika a omezit vliv používání pesticidů na lidské zdraví a životní prostředí. Směrnice </w:t>
      </w:r>
      <w:r w:rsidR="002A38F4">
        <w:rPr>
          <w:noProof/>
        </w:rPr>
        <w:t>konkrétně členským států</w:t>
      </w:r>
      <w:r w:rsidR="001B094D">
        <w:rPr>
          <w:noProof/>
        </w:rPr>
        <w:t>m</w:t>
      </w:r>
      <w:r w:rsidR="002A38F4">
        <w:rPr>
          <w:noProof/>
        </w:rPr>
        <w:t xml:space="preserve"> </w:t>
      </w:r>
      <w:r>
        <w:rPr>
          <w:noProof/>
        </w:rPr>
        <w:t xml:space="preserve">ukládá </w:t>
      </w:r>
      <w:r w:rsidR="002A38F4">
        <w:rPr>
          <w:noProof/>
        </w:rPr>
        <w:t>za</w:t>
      </w:r>
      <w:r w:rsidR="004E0DCE">
        <w:rPr>
          <w:noProof/>
        </w:rPr>
        <w:t xml:space="preserve">jistit, aby všichni profesionální uživatelé </w:t>
      </w:r>
      <w:r w:rsidR="004E0DCE">
        <w:rPr>
          <w:noProof/>
        </w:rPr>
        <w:lastRenderedPageBreak/>
        <w:t>uplatňovali obecné zásady IOR</w:t>
      </w:r>
      <w:r w:rsidR="004E0DCE" w:rsidRPr="001C15CD">
        <w:rPr>
          <w:rStyle w:val="Znakapoznpodarou"/>
          <w:noProof/>
        </w:rPr>
        <w:footnoteReference w:id="35"/>
      </w:r>
      <w:r w:rsidR="004E0DCE">
        <w:rPr>
          <w:noProof/>
        </w:rPr>
        <w:t xml:space="preserve"> uvedené v </w:t>
      </w:r>
      <w:r w:rsidR="002A2C1D">
        <w:rPr>
          <w:noProof/>
        </w:rPr>
        <w:t>p</w:t>
      </w:r>
      <w:r w:rsidR="004E0DCE">
        <w:rPr>
          <w:noProof/>
        </w:rPr>
        <w:t xml:space="preserve">říloze č. 3 </w:t>
      </w:r>
      <w:r w:rsidR="00F333BB">
        <w:rPr>
          <w:noProof/>
        </w:rPr>
        <w:t>této s</w:t>
      </w:r>
      <w:r w:rsidR="004E0DCE">
        <w:rPr>
          <w:noProof/>
        </w:rPr>
        <w:t>měrnice</w:t>
      </w:r>
      <w:r w:rsidR="004E0DCE">
        <w:rPr>
          <w:rStyle w:val="Znakapoznpodarou"/>
          <w:lang w:bidi="cs-CZ"/>
        </w:rPr>
        <w:footnoteReference w:id="36"/>
      </w:r>
      <w:r w:rsidR="004E0DCE">
        <w:rPr>
          <w:noProof/>
        </w:rPr>
        <w:t>.</w:t>
      </w:r>
      <w:r w:rsidR="00CD24A0">
        <w:rPr>
          <w:noProof/>
        </w:rPr>
        <w:t xml:space="preserve"> </w:t>
      </w:r>
      <w:r w:rsidRPr="004779BF">
        <w:t>Na základě Směrnice o</w:t>
      </w:r>
      <w:r w:rsidR="00E66E70">
        <w:t> </w:t>
      </w:r>
      <w:r w:rsidRPr="004779BF">
        <w:t>udržitelném používání pesticidů byla od 1. 1. 2014 novelou zákona o</w:t>
      </w:r>
      <w:r w:rsidR="00141DD9">
        <w:t xml:space="preserve"> </w:t>
      </w:r>
      <w:r w:rsidRPr="004779BF">
        <w:t xml:space="preserve">rostlinolékařské péči zakotvena povinnost profesionálních uživatelů uplatňovat zásady IOR. </w:t>
      </w:r>
      <w:r w:rsidRPr="00853CE3">
        <w:t xml:space="preserve">Následně byla zákonem č. 299/2017 Sb. s účinností od 31. 11. 2017 </w:t>
      </w:r>
      <w:r w:rsidR="00853CE3">
        <w:t>tato povinnost včetně</w:t>
      </w:r>
      <w:r>
        <w:t xml:space="preserve"> </w:t>
      </w:r>
      <w:r w:rsidRPr="00853CE3">
        <w:t>možnost</w:t>
      </w:r>
      <w:r w:rsidR="00853CE3">
        <w:t>i</w:t>
      </w:r>
      <w:r w:rsidRPr="00853CE3">
        <w:t xml:space="preserve"> uklád</w:t>
      </w:r>
      <w:r w:rsidR="00853CE3">
        <w:t xml:space="preserve">at </w:t>
      </w:r>
      <w:r w:rsidRPr="00853CE3">
        <w:t>sankc</w:t>
      </w:r>
      <w:r w:rsidR="00853CE3">
        <w:t>e</w:t>
      </w:r>
      <w:r w:rsidRPr="00853CE3">
        <w:t xml:space="preserve"> profesionální</w:t>
      </w:r>
      <w:r w:rsidR="00853CE3">
        <w:t>m</w:t>
      </w:r>
      <w:r w:rsidRPr="00853CE3">
        <w:t xml:space="preserve"> uživatel</w:t>
      </w:r>
      <w:r w:rsidR="00853CE3">
        <w:t xml:space="preserve">ům při </w:t>
      </w:r>
      <w:r w:rsidRPr="00853CE3">
        <w:t>neuplatňov</w:t>
      </w:r>
      <w:r w:rsidR="00853CE3">
        <w:t>ání</w:t>
      </w:r>
      <w:r w:rsidRPr="00853CE3">
        <w:t xml:space="preserve"> zásad IOR</w:t>
      </w:r>
      <w:r w:rsidR="00853CE3">
        <w:t xml:space="preserve"> zrušena</w:t>
      </w:r>
      <w:r w:rsidRPr="00853CE3">
        <w:t>.</w:t>
      </w:r>
    </w:p>
    <w:p w14:paraId="42B08A66" w14:textId="60D0714E" w:rsidR="004779BF" w:rsidRPr="004779BF" w:rsidRDefault="004779BF" w:rsidP="004779BF">
      <w:r w:rsidRPr="004779BF">
        <w:t xml:space="preserve">NKÚ v této souvislosti </w:t>
      </w:r>
      <w:r w:rsidR="003A5AF5">
        <w:t>upozorňuje</w:t>
      </w:r>
      <w:r w:rsidR="004E0DCE">
        <w:t>,</w:t>
      </w:r>
      <w:r w:rsidR="003A5AF5">
        <w:t xml:space="preserve"> že</w:t>
      </w:r>
      <w:r w:rsidR="004E0DCE">
        <w:t xml:space="preserve"> ze strany</w:t>
      </w:r>
      <w:r w:rsidR="003A5AF5">
        <w:t xml:space="preserve"> </w:t>
      </w:r>
      <w:proofErr w:type="spellStart"/>
      <w:r w:rsidR="0058231D">
        <w:t>MZe</w:t>
      </w:r>
      <w:proofErr w:type="spellEnd"/>
      <w:r w:rsidR="0058231D">
        <w:t xml:space="preserve"> </w:t>
      </w:r>
      <w:r w:rsidR="004E0DCE">
        <w:t xml:space="preserve">nebyla přijata taková opatření a vytvořeny takové podmínky, které by v oblasti uplatňování zásad IOR zajistily dosažení cílů </w:t>
      </w:r>
      <w:r w:rsidR="00452DAA">
        <w:t>S</w:t>
      </w:r>
      <w:r w:rsidR="004E0DCE">
        <w:t>měrnice</w:t>
      </w:r>
      <w:r w:rsidR="003A5AF5">
        <w:t xml:space="preserve"> o udržitelném používání pesticidů.</w:t>
      </w:r>
      <w:r w:rsidR="003A5AF5" w:rsidRPr="004779BF" w:rsidDel="003A5AF5">
        <w:t xml:space="preserve"> </w:t>
      </w:r>
    </w:p>
    <w:p w14:paraId="09BA4DAA" w14:textId="77777777" w:rsidR="00C631E4" w:rsidRDefault="00B12646" w:rsidP="00FD776D">
      <w:pPr>
        <w:rPr>
          <w:lang w:bidi="cs-CZ"/>
        </w:rPr>
      </w:pPr>
      <w:proofErr w:type="spellStart"/>
      <w:r w:rsidRPr="005C5101">
        <w:rPr>
          <w:lang w:bidi="cs-CZ"/>
        </w:rPr>
        <w:t>MZe</w:t>
      </w:r>
      <w:proofErr w:type="spellEnd"/>
      <w:r w:rsidRPr="005C5101">
        <w:rPr>
          <w:lang w:bidi="cs-CZ"/>
        </w:rPr>
        <w:t xml:space="preserve"> ve snaze naplnit požadavky</w:t>
      </w:r>
      <w:r w:rsidR="00C135F0">
        <w:rPr>
          <w:lang w:bidi="cs-CZ"/>
        </w:rPr>
        <w:t xml:space="preserve"> výše uvedené</w:t>
      </w:r>
      <w:r w:rsidRPr="005C5101">
        <w:rPr>
          <w:lang w:bidi="cs-CZ"/>
        </w:rPr>
        <w:t xml:space="preserve"> směrnice </w:t>
      </w:r>
      <w:r>
        <w:rPr>
          <w:lang w:bidi="cs-CZ"/>
        </w:rPr>
        <w:t xml:space="preserve">pouze </w:t>
      </w:r>
      <w:r w:rsidRPr="005C5101">
        <w:rPr>
          <w:lang w:bidi="cs-CZ"/>
        </w:rPr>
        <w:t>pravidelně zpřístupňuje informace vztahující se k uplatňování IOR pomocí rostlinolékařského portálu.</w:t>
      </w:r>
      <w:r w:rsidR="00853CE3">
        <w:rPr>
          <w:noProof/>
        </w:rPr>
        <w:t xml:space="preserve"> </w:t>
      </w:r>
      <w:r w:rsidR="004779BF" w:rsidRPr="004779BF">
        <w:rPr>
          <w:noProof/>
        </w:rPr>
        <w:t>ÚKZÚZ jako podřízená organizace MZe dále zavedl kontrolní systém pro uplatňování zásad IOR. Uplatňování zásad IOR</w:t>
      </w:r>
      <w:r w:rsidR="004779BF" w:rsidRPr="004779BF">
        <w:rPr>
          <w:lang w:bidi="cs-CZ"/>
        </w:rPr>
        <w:t xml:space="preserve"> je </w:t>
      </w:r>
      <w:r w:rsidR="00141DD9">
        <w:rPr>
          <w:lang w:bidi="cs-CZ"/>
        </w:rPr>
        <w:t xml:space="preserve">však </w:t>
      </w:r>
      <w:r w:rsidR="004779BF" w:rsidRPr="004779BF">
        <w:rPr>
          <w:lang w:bidi="cs-CZ"/>
        </w:rPr>
        <w:t>ověřován</w:t>
      </w:r>
      <w:r w:rsidR="00841184">
        <w:rPr>
          <w:lang w:bidi="cs-CZ"/>
        </w:rPr>
        <w:t xml:space="preserve">o </w:t>
      </w:r>
      <w:r w:rsidR="00517388">
        <w:rPr>
          <w:lang w:bidi="cs-CZ"/>
        </w:rPr>
        <w:t xml:space="preserve">pouze </w:t>
      </w:r>
      <w:r w:rsidR="00841184">
        <w:rPr>
          <w:lang w:bidi="cs-CZ"/>
        </w:rPr>
        <w:t>formou dotazníkového šetření.</w:t>
      </w:r>
    </w:p>
    <w:p w14:paraId="4B4227BB" w14:textId="77777777" w:rsidR="006076FE" w:rsidRDefault="004779BF" w:rsidP="00FD776D">
      <w:r w:rsidRPr="004779BF">
        <w:rPr>
          <w:lang w:bidi="cs-CZ"/>
        </w:rPr>
        <w:t>N</w:t>
      </w:r>
      <w:r w:rsidRPr="004779BF">
        <w:rPr>
          <w:noProof/>
        </w:rPr>
        <w:t xml:space="preserve">a základě předložených záznamů z šetření IOR bylo zjištěno, že kontrola plnění zásad či opatření IOR je prováděna formálně, ve zrychlené a zjednodušené formě, pouze na základě údajů uvedených kontrolovaným subjektem. </w:t>
      </w:r>
      <w:r w:rsidRPr="004779BF">
        <w:rPr>
          <w:shd w:val="clear" w:color="auto" w:fill="FFFFFF"/>
        </w:rPr>
        <w:t>Kontrolní šetření IOR</w:t>
      </w:r>
      <w:r w:rsidR="00771241">
        <w:rPr>
          <w:shd w:val="clear" w:color="auto" w:fill="FFFFFF"/>
        </w:rPr>
        <w:t xml:space="preserve"> </w:t>
      </w:r>
      <w:r w:rsidR="001E59B5">
        <w:rPr>
          <w:shd w:val="clear" w:color="auto" w:fill="FFFFFF"/>
        </w:rPr>
        <w:t xml:space="preserve">prováděná v zemědělských podnicích </w:t>
      </w:r>
      <w:r w:rsidRPr="004779BF">
        <w:rPr>
          <w:shd w:val="clear" w:color="auto" w:fill="FFFFFF"/>
        </w:rPr>
        <w:t>obsáhl</w:t>
      </w:r>
      <w:r w:rsidR="00771241">
        <w:rPr>
          <w:shd w:val="clear" w:color="auto" w:fill="FFFFFF"/>
        </w:rPr>
        <w:t>a</w:t>
      </w:r>
      <w:r w:rsidRPr="004779BF">
        <w:rPr>
          <w:shd w:val="clear" w:color="auto" w:fill="FFFFFF"/>
        </w:rPr>
        <w:t xml:space="preserve"> </w:t>
      </w:r>
      <w:r w:rsidR="001E59B5">
        <w:rPr>
          <w:shd w:val="clear" w:color="auto" w:fill="FFFFFF"/>
        </w:rPr>
        <w:t xml:space="preserve">ročně </w:t>
      </w:r>
      <w:r w:rsidRPr="004779BF">
        <w:rPr>
          <w:shd w:val="clear" w:color="auto" w:fill="FFFFFF"/>
        </w:rPr>
        <w:t>zhruba 0,28 % zemědělských subjektů, tzn. cca tři subjekty z tisíce.</w:t>
      </w:r>
      <w:r w:rsidRPr="004779BF">
        <w:rPr>
          <w:noProof/>
        </w:rPr>
        <w:t xml:space="preserve"> Celkový počet provedených šetření cca 100/rok hodnotí </w:t>
      </w:r>
      <w:r w:rsidR="00141DD9" w:rsidRPr="004779BF">
        <w:rPr>
          <w:noProof/>
        </w:rPr>
        <w:t xml:space="preserve">NKÚ </w:t>
      </w:r>
      <w:r w:rsidRPr="004779BF">
        <w:rPr>
          <w:noProof/>
        </w:rPr>
        <w:t xml:space="preserve">vzhledem k celkovému počtu </w:t>
      </w:r>
      <w:r w:rsidRPr="004779BF">
        <w:rPr>
          <w:color w:val="222222"/>
          <w:shd w:val="clear" w:color="auto" w:fill="FFFFFF"/>
        </w:rPr>
        <w:t>zemědělských subjektů v</w:t>
      </w:r>
      <w:r w:rsidR="00853CE3">
        <w:rPr>
          <w:color w:val="222222"/>
          <w:shd w:val="clear" w:color="auto" w:fill="FFFFFF"/>
        </w:rPr>
        <w:t> </w:t>
      </w:r>
      <w:r w:rsidRPr="004779BF">
        <w:rPr>
          <w:color w:val="222222"/>
          <w:shd w:val="clear" w:color="auto" w:fill="FFFFFF"/>
        </w:rPr>
        <w:t>ČR jako bezvýznamný</w:t>
      </w:r>
      <w:r w:rsidRPr="004779BF">
        <w:rPr>
          <w:noProof/>
        </w:rPr>
        <w:t>.</w:t>
      </w:r>
    </w:p>
    <w:p w14:paraId="43FB1AE2" w14:textId="77777777" w:rsidR="00770FE1" w:rsidRPr="00E97BD9" w:rsidRDefault="00770FE1" w:rsidP="00442B6D">
      <w:pPr>
        <w:pStyle w:val="Nadpis1"/>
        <w:numPr>
          <w:ilvl w:val="0"/>
          <w:numId w:val="21"/>
        </w:numPr>
      </w:pPr>
      <w:r w:rsidRPr="00C72C56">
        <w:t>Kvalitativní stav vod</w:t>
      </w:r>
      <w:r>
        <w:t xml:space="preserve"> </w:t>
      </w:r>
      <w:r w:rsidR="00B37E25">
        <w:t>z hlediska výskytu pesticidních a dusíkatých látek a monitoring vod</w:t>
      </w:r>
    </w:p>
    <w:p w14:paraId="134323CD" w14:textId="77777777" w:rsidR="00B37E25" w:rsidRDefault="00B37E25" w:rsidP="00442B6D">
      <w:pPr>
        <w:pStyle w:val="Nadpis2"/>
      </w:pPr>
      <w:r>
        <w:t>Monitoring vod</w:t>
      </w:r>
    </w:p>
    <w:p w14:paraId="11C11ED5" w14:textId="77777777" w:rsidR="00F705D4" w:rsidRDefault="00F705D4" w:rsidP="00F705D4">
      <w:r>
        <w:t xml:space="preserve">Na realizaci monitoringu jakosti </w:t>
      </w:r>
      <w:r w:rsidR="00C15575">
        <w:rPr>
          <w:b/>
        </w:rPr>
        <w:t>podzemních vod</w:t>
      </w:r>
      <w:r>
        <w:t xml:space="preserve"> vynaložil ČHMÚ v období 2013–2019 celkem </w:t>
      </w:r>
      <w:r w:rsidR="006E5505">
        <w:t xml:space="preserve">112 949 228 </w:t>
      </w:r>
      <w:r>
        <w:t xml:space="preserve">Kč. Za </w:t>
      </w:r>
      <w:r w:rsidR="00771241">
        <w:t>prvních sedm měsíců</w:t>
      </w:r>
      <w:r w:rsidR="001E59B5">
        <w:t xml:space="preserve"> roku 2020</w:t>
      </w:r>
      <w:r w:rsidR="00771241">
        <w:t xml:space="preserve"> </w:t>
      </w:r>
      <w:r>
        <w:t>vynaložil 605 211 Kč.</w:t>
      </w:r>
      <w:r w:rsidR="003A5823">
        <w:t xml:space="preserve"> Monitoring </w:t>
      </w:r>
      <w:r w:rsidR="0092193D">
        <w:t xml:space="preserve">PZV </w:t>
      </w:r>
      <w:r w:rsidR="003A5823">
        <w:t>byl ze strany ČHMÚ prováděn v souladu s právními předpisy a dle schváleného programu.</w:t>
      </w:r>
    </w:p>
    <w:p w14:paraId="38C87D10" w14:textId="2EA1B0C8" w:rsidR="00F705D4" w:rsidRDefault="00F705D4" w:rsidP="00F705D4">
      <w:pPr>
        <w:rPr>
          <w:szCs w:val="24"/>
        </w:rPr>
      </w:pPr>
      <w:r>
        <w:rPr>
          <w:szCs w:val="24"/>
        </w:rPr>
        <w:t>Monitorovací síť PZV zahrnovala v</w:t>
      </w:r>
      <w:r w:rsidR="00452DAA">
        <w:rPr>
          <w:szCs w:val="24"/>
        </w:rPr>
        <w:t xml:space="preserve"> </w:t>
      </w:r>
      <w:r>
        <w:rPr>
          <w:szCs w:val="24"/>
        </w:rPr>
        <w:t>každém roce téměř 700 míst. Jakost vody tak byla sledována u většiny útvarů PZV. Na každém monitorovacím místě byly každý rok odebrány dva vzorky – jeden na jaře a jeden na podzim</w:t>
      </w:r>
      <w:r w:rsidR="007457B7">
        <w:rPr>
          <w:rStyle w:val="Znakapoznpodarou"/>
          <w:szCs w:val="24"/>
        </w:rPr>
        <w:footnoteReference w:id="37"/>
      </w:r>
      <w:r>
        <w:rPr>
          <w:szCs w:val="24"/>
        </w:rPr>
        <w:t xml:space="preserve">. </w:t>
      </w:r>
      <w:r w:rsidR="009E6C86">
        <w:rPr>
          <w:szCs w:val="24"/>
        </w:rPr>
        <w:t>Při stanovení rozsahu sledovaných ukazatelů postupoval ČHMÚ cíleně. Vycházel z legislativních požadavků, výsledků monitoringů předchozích let, pravděpodobnosti výskytu na základě zjištěných informací o</w:t>
      </w:r>
      <w:r w:rsidR="001B094D">
        <w:rPr>
          <w:szCs w:val="24"/>
        </w:rPr>
        <w:t xml:space="preserve"> </w:t>
      </w:r>
      <w:r w:rsidR="009E6C86">
        <w:rPr>
          <w:szCs w:val="24"/>
        </w:rPr>
        <w:t>pěstovaných plodinách a o použití pesticidů, z rešeršní práce a z optimalizace nákladů.</w:t>
      </w:r>
    </w:p>
    <w:p w14:paraId="7E72A4AD" w14:textId="4D8B3EF1" w:rsidR="00F705D4" w:rsidRDefault="00F705D4" w:rsidP="00F705D4">
      <w:pPr>
        <w:rPr>
          <w:szCs w:val="24"/>
        </w:rPr>
      </w:pPr>
      <w:r w:rsidRPr="000B781F">
        <w:rPr>
          <w:szCs w:val="24"/>
        </w:rPr>
        <w:lastRenderedPageBreak/>
        <w:t xml:space="preserve">K zacílení monitoringu </w:t>
      </w:r>
      <w:r w:rsidR="008347C5" w:rsidRPr="000B781F">
        <w:rPr>
          <w:szCs w:val="24"/>
        </w:rPr>
        <w:t xml:space="preserve">mapuje </w:t>
      </w:r>
      <w:r w:rsidRPr="000B781F">
        <w:rPr>
          <w:szCs w:val="24"/>
        </w:rPr>
        <w:t>ČHMÚ pěstování plodin a nakládání s pesticidy v ČR.</w:t>
      </w:r>
      <w:r w:rsidR="00C867C7">
        <w:rPr>
          <w:szCs w:val="24"/>
        </w:rPr>
        <w:t xml:space="preserve"> </w:t>
      </w:r>
      <w:r w:rsidR="00C867C7" w:rsidRPr="000B781F">
        <w:rPr>
          <w:szCs w:val="24"/>
        </w:rPr>
        <w:t>Od ÚKZ</w:t>
      </w:r>
      <w:r w:rsidR="00C867C7">
        <w:rPr>
          <w:szCs w:val="24"/>
        </w:rPr>
        <w:t>ÚZ získává informace o </w:t>
      </w:r>
      <w:r w:rsidR="00C867C7" w:rsidRPr="000B781F">
        <w:rPr>
          <w:szCs w:val="24"/>
        </w:rPr>
        <w:t xml:space="preserve">spotřebě jednotlivých pesticidů a údaje o ploše </w:t>
      </w:r>
      <w:r w:rsidR="009E6C86">
        <w:rPr>
          <w:szCs w:val="24"/>
        </w:rPr>
        <w:t>ošetřené jednotlivými pesticidy</w:t>
      </w:r>
      <w:r w:rsidR="00C867C7" w:rsidRPr="000B781F">
        <w:rPr>
          <w:szCs w:val="24"/>
        </w:rPr>
        <w:t xml:space="preserve">. </w:t>
      </w:r>
      <w:r w:rsidR="00C867C7">
        <w:rPr>
          <w:szCs w:val="24"/>
        </w:rPr>
        <w:t>Dále získává export dat z IS </w:t>
      </w:r>
      <w:proofErr w:type="spellStart"/>
      <w:r w:rsidRPr="000B781F">
        <w:rPr>
          <w:szCs w:val="24"/>
        </w:rPr>
        <w:t>PiVo</w:t>
      </w:r>
      <w:proofErr w:type="spellEnd"/>
      <w:r w:rsidRPr="000B781F">
        <w:rPr>
          <w:szCs w:val="24"/>
        </w:rPr>
        <w:t xml:space="preserve"> </w:t>
      </w:r>
      <w:r w:rsidR="000B781F">
        <w:rPr>
          <w:szCs w:val="24"/>
        </w:rPr>
        <w:t xml:space="preserve">od SZÚ </w:t>
      </w:r>
      <w:r w:rsidRPr="000B781F">
        <w:rPr>
          <w:szCs w:val="24"/>
        </w:rPr>
        <w:t xml:space="preserve">o výskytu pesticidů v pitné vodě a výsledky analýz surové vody prováděných jednotlivými úpravnami vody z IS </w:t>
      </w:r>
      <w:r w:rsidRPr="008E0FE9">
        <w:rPr>
          <w:i/>
          <w:szCs w:val="24"/>
        </w:rPr>
        <w:t>Surová voda</w:t>
      </w:r>
      <w:r w:rsidR="0092193D" w:rsidRPr="000B781F">
        <w:rPr>
          <w:rStyle w:val="Znakapoznpodarou"/>
          <w:szCs w:val="24"/>
        </w:rPr>
        <w:footnoteReference w:id="38"/>
      </w:r>
      <w:r w:rsidRPr="000B781F">
        <w:rPr>
          <w:szCs w:val="24"/>
        </w:rPr>
        <w:t xml:space="preserve">. Vždy se jedná </w:t>
      </w:r>
      <w:r w:rsidR="00BC514F" w:rsidRPr="000B781F">
        <w:rPr>
          <w:szCs w:val="24"/>
        </w:rPr>
        <w:t>o</w:t>
      </w:r>
      <w:r w:rsidR="00452DAA">
        <w:rPr>
          <w:szCs w:val="24"/>
        </w:rPr>
        <w:t xml:space="preserve"> </w:t>
      </w:r>
      <w:r w:rsidRPr="000B781F">
        <w:rPr>
          <w:szCs w:val="24"/>
        </w:rPr>
        <w:t>sumární reporty za předch</w:t>
      </w:r>
      <w:r w:rsidR="008347C5">
        <w:rPr>
          <w:szCs w:val="24"/>
        </w:rPr>
        <w:t>ozí</w:t>
      </w:r>
      <w:r w:rsidRPr="000B781F">
        <w:rPr>
          <w:szCs w:val="24"/>
        </w:rPr>
        <w:t xml:space="preserve"> rok. Kromě uvedeného </w:t>
      </w:r>
      <w:r w:rsidR="008347C5" w:rsidRPr="000B781F">
        <w:rPr>
          <w:szCs w:val="24"/>
        </w:rPr>
        <w:t xml:space="preserve">využívá </w:t>
      </w:r>
      <w:r w:rsidRPr="000B781F">
        <w:rPr>
          <w:szCs w:val="24"/>
        </w:rPr>
        <w:t>ČHMÚ také dálkový průzkum zem</w:t>
      </w:r>
      <w:r w:rsidR="000A1DDB">
        <w:rPr>
          <w:szCs w:val="24"/>
        </w:rPr>
        <w:t>ě</w:t>
      </w:r>
      <w:r w:rsidRPr="000B781F">
        <w:rPr>
          <w:szCs w:val="24"/>
        </w:rPr>
        <w:t>, na základě kterého identifikuje, co se kde pěstuje, a</w:t>
      </w:r>
      <w:r w:rsidR="008347C5">
        <w:rPr>
          <w:szCs w:val="24"/>
        </w:rPr>
        <w:t xml:space="preserve"> </w:t>
      </w:r>
      <w:r w:rsidRPr="000B781F">
        <w:rPr>
          <w:szCs w:val="24"/>
        </w:rPr>
        <w:t>následně odhaduje, jaké pesticidy mohly být v daném místě aplikovány. V období 2013</w:t>
      </w:r>
      <w:r w:rsidR="008347C5">
        <w:rPr>
          <w:szCs w:val="24"/>
        </w:rPr>
        <w:t>–</w:t>
      </w:r>
      <w:r w:rsidRPr="000B781F">
        <w:rPr>
          <w:szCs w:val="24"/>
        </w:rPr>
        <w:t>2019 vynaložil na tuto službu 952 959 Kč.</w:t>
      </w:r>
    </w:p>
    <w:p w14:paraId="0F248733" w14:textId="77777777" w:rsidR="00F705D4" w:rsidRDefault="00F705D4" w:rsidP="00F705D4">
      <w:pPr>
        <w:rPr>
          <w:szCs w:val="24"/>
        </w:rPr>
      </w:pPr>
      <w:r>
        <w:t xml:space="preserve">ČHMÚ každoročně vyhodnocuje a dále zpracovává údaje o stavu </w:t>
      </w:r>
      <w:r w:rsidR="004430AC">
        <w:t>jak podzemních, tak povrchových vod</w:t>
      </w:r>
      <w:r>
        <w:t xml:space="preserve"> </w:t>
      </w:r>
      <w:proofErr w:type="gramStart"/>
      <w:r w:rsidR="004430AC">
        <w:t>obsažené v IS</w:t>
      </w:r>
      <w:proofErr w:type="gramEnd"/>
      <w:r w:rsidR="004430AC">
        <w:t xml:space="preserve"> ARROW, </w:t>
      </w:r>
      <w:r w:rsidR="008347C5">
        <w:t xml:space="preserve">využívá je při tvorbě </w:t>
      </w:r>
      <w:r w:rsidR="008347C5">
        <w:rPr>
          <w:i/>
        </w:rPr>
        <w:t>h</w:t>
      </w:r>
      <w:r w:rsidRPr="00306135">
        <w:rPr>
          <w:i/>
        </w:rPr>
        <w:t>ydrologick</w:t>
      </w:r>
      <w:r w:rsidR="008347C5">
        <w:rPr>
          <w:i/>
        </w:rPr>
        <w:t>ých</w:t>
      </w:r>
      <w:r w:rsidRPr="00306135">
        <w:rPr>
          <w:i/>
        </w:rPr>
        <w:t xml:space="preserve"> ročen</w:t>
      </w:r>
      <w:r w:rsidR="008347C5">
        <w:rPr>
          <w:i/>
        </w:rPr>
        <w:t>e</w:t>
      </w:r>
      <w:r w:rsidRPr="00306135">
        <w:rPr>
          <w:i/>
        </w:rPr>
        <w:t>k</w:t>
      </w:r>
      <w:r>
        <w:t xml:space="preserve"> a</w:t>
      </w:r>
      <w:r w:rsidR="008347C5">
        <w:t> </w:t>
      </w:r>
      <w:r w:rsidR="008347C5">
        <w:rPr>
          <w:i/>
        </w:rPr>
        <w:t>h</w:t>
      </w:r>
      <w:r w:rsidRPr="00306135">
        <w:rPr>
          <w:i/>
        </w:rPr>
        <w:t>ydrologick</w:t>
      </w:r>
      <w:r w:rsidR="008347C5">
        <w:rPr>
          <w:i/>
        </w:rPr>
        <w:t>ých</w:t>
      </w:r>
      <w:r w:rsidRPr="00306135">
        <w:rPr>
          <w:i/>
        </w:rPr>
        <w:t xml:space="preserve"> bilanc</w:t>
      </w:r>
      <w:r w:rsidR="008347C5">
        <w:rPr>
          <w:i/>
        </w:rPr>
        <w:t>í</w:t>
      </w:r>
      <w:r>
        <w:t xml:space="preserve"> </w:t>
      </w:r>
      <w:r w:rsidR="008347C5">
        <w:t>nebo při sestavování</w:t>
      </w:r>
      <w:r>
        <w:t xml:space="preserve"> podkladů pro příslušné kapitoly </w:t>
      </w:r>
      <w:r w:rsidR="008347C5">
        <w:rPr>
          <w:i/>
        </w:rPr>
        <w:t>z</w:t>
      </w:r>
      <w:r w:rsidRPr="00306135">
        <w:rPr>
          <w:i/>
        </w:rPr>
        <w:t>práv o stavu vodního hospodářství</w:t>
      </w:r>
      <w:r>
        <w:t xml:space="preserve">, </w:t>
      </w:r>
      <w:r w:rsidR="008347C5">
        <w:rPr>
          <w:i/>
        </w:rPr>
        <w:t>s</w:t>
      </w:r>
      <w:r w:rsidRPr="00306135">
        <w:rPr>
          <w:i/>
        </w:rPr>
        <w:t>tatistick</w:t>
      </w:r>
      <w:r w:rsidR="008347C5">
        <w:rPr>
          <w:i/>
        </w:rPr>
        <w:t>ých</w:t>
      </w:r>
      <w:r w:rsidRPr="00306135">
        <w:rPr>
          <w:i/>
        </w:rPr>
        <w:t xml:space="preserve"> ročen</w:t>
      </w:r>
      <w:r w:rsidR="008347C5">
        <w:rPr>
          <w:i/>
        </w:rPr>
        <w:t>e</w:t>
      </w:r>
      <w:r w:rsidRPr="00306135">
        <w:rPr>
          <w:i/>
        </w:rPr>
        <w:t>k o stavu životního prostředí</w:t>
      </w:r>
      <w:r>
        <w:t xml:space="preserve"> a </w:t>
      </w:r>
      <w:r w:rsidR="008347C5">
        <w:rPr>
          <w:i/>
        </w:rPr>
        <w:t>z</w:t>
      </w:r>
      <w:r w:rsidRPr="00306135">
        <w:rPr>
          <w:i/>
        </w:rPr>
        <w:t>práv o stavu zemědělství</w:t>
      </w:r>
      <w:r>
        <w:t xml:space="preserve">. </w:t>
      </w:r>
      <w:r w:rsidR="004430AC">
        <w:t xml:space="preserve">ČHMÚ pravidelně i </w:t>
      </w:r>
      <w:r w:rsidDel="000A1DDB">
        <w:t xml:space="preserve">ad hoc </w:t>
      </w:r>
      <w:r w:rsidR="004430AC">
        <w:t xml:space="preserve">(na základě </w:t>
      </w:r>
      <w:r w:rsidDel="000A1DDB">
        <w:t>žádostí</w:t>
      </w:r>
      <w:r w:rsidR="004430AC">
        <w:t>) poskytuje</w:t>
      </w:r>
      <w:r w:rsidR="000A1DDB" w:rsidDel="000A1DDB">
        <w:t xml:space="preserve"> zpracovaná, vyhodnocená i </w:t>
      </w:r>
      <w:r w:rsidR="00A65039">
        <w:t>primární</w:t>
      </w:r>
      <w:r w:rsidR="000A1DDB" w:rsidDel="000A1DDB">
        <w:t xml:space="preserve"> data z IS</w:t>
      </w:r>
      <w:r w:rsidR="004430AC">
        <w:t xml:space="preserve"> </w:t>
      </w:r>
      <w:r w:rsidR="000A1DDB" w:rsidDel="000A1DDB">
        <w:t>ARROW řadě subjektů</w:t>
      </w:r>
      <w:r w:rsidR="004430AC">
        <w:t xml:space="preserve"> vč.</w:t>
      </w:r>
      <w:r w:rsidR="000A1DDB" w:rsidDel="000A1DDB">
        <w:t xml:space="preserve"> MŽP, </w:t>
      </w:r>
      <w:proofErr w:type="spellStart"/>
      <w:r w:rsidR="000A1DDB" w:rsidDel="000A1DDB">
        <w:t>MZe</w:t>
      </w:r>
      <w:proofErr w:type="spellEnd"/>
      <w:r w:rsidR="004430AC">
        <w:t xml:space="preserve"> a </w:t>
      </w:r>
      <w:proofErr w:type="spellStart"/>
      <w:r w:rsidR="004430AC">
        <w:t>MZd</w:t>
      </w:r>
      <w:proofErr w:type="spellEnd"/>
      <w:r w:rsidR="004430AC">
        <w:t>.</w:t>
      </w:r>
    </w:p>
    <w:p w14:paraId="076356DE" w14:textId="77777777" w:rsidR="00F705D4" w:rsidRPr="00030623" w:rsidRDefault="00F705D4" w:rsidP="00F705D4">
      <w:pPr>
        <w:rPr>
          <w:szCs w:val="24"/>
        </w:rPr>
      </w:pPr>
      <w:r>
        <w:rPr>
          <w:szCs w:val="24"/>
        </w:rPr>
        <w:t>Provozovatelé vodovodů jsou povinni sledovat v </w:t>
      </w:r>
      <w:r w:rsidRPr="00C15575">
        <w:rPr>
          <w:b/>
          <w:szCs w:val="24"/>
        </w:rPr>
        <w:t>pitné vodě</w:t>
      </w:r>
      <w:r>
        <w:rPr>
          <w:szCs w:val="24"/>
        </w:rPr>
        <w:t xml:space="preserve"> pouze ty pesticid</w:t>
      </w:r>
      <w:r w:rsidR="001D64F6">
        <w:rPr>
          <w:szCs w:val="24"/>
        </w:rPr>
        <w:t>ní látky</w:t>
      </w:r>
      <w:r>
        <w:rPr>
          <w:szCs w:val="24"/>
        </w:rPr>
        <w:t xml:space="preserve">, jejichž výskyt je v daném vodním zdroji pravděpodobný. </w:t>
      </w:r>
      <w:r w:rsidR="00355E00" w:rsidRPr="007325F6">
        <w:rPr>
          <w:szCs w:val="24"/>
        </w:rPr>
        <w:t xml:space="preserve">S ohledem na neexistenci </w:t>
      </w:r>
      <w:r w:rsidR="00F02B31" w:rsidRPr="007325F6">
        <w:rPr>
          <w:szCs w:val="24"/>
        </w:rPr>
        <w:t>relevantních informací o aplikovaných pesticidech na konkrétním místě je v</w:t>
      </w:r>
      <w:r w:rsidRPr="007325F6">
        <w:rPr>
          <w:szCs w:val="24"/>
        </w:rPr>
        <w:t>ýběr</w:t>
      </w:r>
      <w:r>
        <w:rPr>
          <w:szCs w:val="24"/>
        </w:rPr>
        <w:t xml:space="preserve"> </w:t>
      </w:r>
      <w:r w:rsidR="001D64F6">
        <w:rPr>
          <w:szCs w:val="24"/>
        </w:rPr>
        <w:t>pesticidních látek</w:t>
      </w:r>
      <w:r>
        <w:rPr>
          <w:szCs w:val="24"/>
        </w:rPr>
        <w:t xml:space="preserve"> ke sledování pro provozovatele problematický</w:t>
      </w:r>
      <w:r w:rsidR="00AC1004">
        <w:rPr>
          <w:szCs w:val="24"/>
        </w:rPr>
        <w:t xml:space="preserve"> a </w:t>
      </w:r>
      <w:r w:rsidR="007325F6" w:rsidRPr="007325F6">
        <w:rPr>
          <w:szCs w:val="24"/>
        </w:rPr>
        <w:t xml:space="preserve">do jisté míry </w:t>
      </w:r>
      <w:r w:rsidR="00AC1004" w:rsidRPr="007325F6">
        <w:rPr>
          <w:szCs w:val="24"/>
        </w:rPr>
        <w:t>subjektivní</w:t>
      </w:r>
      <w:r w:rsidR="007D598E">
        <w:rPr>
          <w:szCs w:val="24"/>
        </w:rPr>
        <w:t>.</w:t>
      </w:r>
      <w:r>
        <w:rPr>
          <w:szCs w:val="24"/>
        </w:rPr>
        <w:t xml:space="preserve"> Při stanovení rozsahu sledovaných </w:t>
      </w:r>
      <w:r w:rsidR="001D64F6">
        <w:rPr>
          <w:szCs w:val="24"/>
        </w:rPr>
        <w:t>pesticidních látek</w:t>
      </w:r>
      <w:r>
        <w:rPr>
          <w:szCs w:val="24"/>
        </w:rPr>
        <w:t xml:space="preserve"> vycházejí </w:t>
      </w:r>
      <w:r w:rsidR="00771241">
        <w:rPr>
          <w:szCs w:val="24"/>
        </w:rPr>
        <w:t xml:space="preserve">provozovatelé </w:t>
      </w:r>
      <w:r>
        <w:rPr>
          <w:szCs w:val="24"/>
        </w:rPr>
        <w:t>z</w:t>
      </w:r>
      <w:r w:rsidR="008347C5">
        <w:rPr>
          <w:szCs w:val="24"/>
        </w:rPr>
        <w:t xml:space="preserve"> informací </w:t>
      </w:r>
      <w:r w:rsidR="00771241">
        <w:rPr>
          <w:szCs w:val="24"/>
        </w:rPr>
        <w:t xml:space="preserve">ČHMÚ </w:t>
      </w:r>
      <w:r w:rsidR="008347C5">
        <w:rPr>
          <w:szCs w:val="24"/>
        </w:rPr>
        <w:t>o</w:t>
      </w:r>
      <w:r>
        <w:rPr>
          <w:szCs w:val="24"/>
        </w:rPr>
        <w:t xml:space="preserve"> výsled</w:t>
      </w:r>
      <w:r w:rsidR="008347C5">
        <w:rPr>
          <w:szCs w:val="24"/>
        </w:rPr>
        <w:t>cích</w:t>
      </w:r>
      <w:r>
        <w:rPr>
          <w:szCs w:val="24"/>
        </w:rPr>
        <w:t xml:space="preserve"> monitoringu podzemních </w:t>
      </w:r>
      <w:r w:rsidR="0036527D">
        <w:rPr>
          <w:szCs w:val="24"/>
        </w:rPr>
        <w:t>a</w:t>
      </w:r>
      <w:r w:rsidR="00CE79BC">
        <w:rPr>
          <w:szCs w:val="24"/>
        </w:rPr>
        <w:t xml:space="preserve"> </w:t>
      </w:r>
      <w:r>
        <w:rPr>
          <w:szCs w:val="24"/>
        </w:rPr>
        <w:t>povrchových vod za př</w:t>
      </w:r>
      <w:r w:rsidR="00AF5534">
        <w:rPr>
          <w:szCs w:val="24"/>
        </w:rPr>
        <w:t>edchozí rok. ČHMÚ také sestavil přehled pesticidních látek</w:t>
      </w:r>
      <w:r>
        <w:rPr>
          <w:szCs w:val="24"/>
        </w:rPr>
        <w:t xml:space="preserve"> vyskytujících se v</w:t>
      </w:r>
      <w:r w:rsidR="00CE79BC">
        <w:rPr>
          <w:szCs w:val="24"/>
        </w:rPr>
        <w:t xml:space="preserve"> </w:t>
      </w:r>
      <w:r w:rsidR="00AF5534">
        <w:rPr>
          <w:szCs w:val="24"/>
        </w:rPr>
        <w:t>PZV</w:t>
      </w:r>
      <w:r w:rsidDel="007457B7">
        <w:rPr>
          <w:szCs w:val="24"/>
        </w:rPr>
        <w:t xml:space="preserve"> a </w:t>
      </w:r>
      <w:r>
        <w:rPr>
          <w:szCs w:val="24"/>
        </w:rPr>
        <w:t>v</w:t>
      </w:r>
      <w:r w:rsidR="00CE79BC">
        <w:rPr>
          <w:szCs w:val="24"/>
        </w:rPr>
        <w:t xml:space="preserve"> </w:t>
      </w:r>
      <w:r w:rsidR="00AF5534">
        <w:rPr>
          <w:szCs w:val="24"/>
        </w:rPr>
        <w:t>POV.</w:t>
      </w:r>
      <w:r w:rsidDel="007457B7">
        <w:rPr>
          <w:szCs w:val="24"/>
        </w:rPr>
        <w:t xml:space="preserve"> </w:t>
      </w:r>
      <w:r>
        <w:rPr>
          <w:szCs w:val="24"/>
        </w:rPr>
        <w:t>Provozovatelé dále využívají informace o</w:t>
      </w:r>
      <w:r w:rsidR="000B781F">
        <w:rPr>
          <w:szCs w:val="24"/>
        </w:rPr>
        <w:t> </w:t>
      </w:r>
      <w:r>
        <w:rPr>
          <w:szCs w:val="24"/>
        </w:rPr>
        <w:t>spotřebě pesticidů za př</w:t>
      </w:r>
      <w:r w:rsidR="00841184">
        <w:rPr>
          <w:szCs w:val="24"/>
        </w:rPr>
        <w:t>edchozí rok zveřejňované ÚKZÚZ.</w:t>
      </w:r>
    </w:p>
    <w:p w14:paraId="090843FD" w14:textId="77777777" w:rsidR="00F705D4" w:rsidRDefault="00F705D4" w:rsidP="00F705D4">
      <w:pPr>
        <w:rPr>
          <w:szCs w:val="24"/>
        </w:rPr>
      </w:pPr>
      <w:r w:rsidRPr="00030623">
        <w:rPr>
          <w:szCs w:val="24"/>
        </w:rPr>
        <w:t>K</w:t>
      </w:r>
      <w:r w:rsidR="00CB10BB">
        <w:rPr>
          <w:szCs w:val="24"/>
        </w:rPr>
        <w:t>HS</w:t>
      </w:r>
      <w:r w:rsidRPr="00030623">
        <w:rPr>
          <w:szCs w:val="24"/>
        </w:rPr>
        <w:t xml:space="preserve"> na žádost provozovatelů </w:t>
      </w:r>
      <w:r w:rsidR="008347C5">
        <w:rPr>
          <w:szCs w:val="24"/>
        </w:rPr>
        <w:t xml:space="preserve">vodovodů </w:t>
      </w:r>
      <w:r w:rsidRPr="00030623">
        <w:rPr>
          <w:szCs w:val="24"/>
        </w:rPr>
        <w:t>rozhodují o povolení užívat po časově omezenou dobu pitnou vodu, která nesplňuje stanovené požadavky a normy jakosti.</w:t>
      </w:r>
      <w:r>
        <w:rPr>
          <w:szCs w:val="24"/>
        </w:rPr>
        <w:t xml:space="preserve"> Povolují tzv.</w:t>
      </w:r>
      <w:r w:rsidR="008347C5">
        <w:rPr>
          <w:szCs w:val="24"/>
        </w:rPr>
        <w:t> </w:t>
      </w:r>
      <w:r>
        <w:rPr>
          <w:szCs w:val="24"/>
        </w:rPr>
        <w:t>výjimku z hygienického limitu.</w:t>
      </w:r>
    </w:p>
    <w:p w14:paraId="1D250360" w14:textId="77777777" w:rsidR="00B37E25" w:rsidRDefault="00B37E25" w:rsidP="00442B6D">
      <w:pPr>
        <w:pStyle w:val="Nadpis2"/>
      </w:pPr>
      <w:r>
        <w:t>Kvalitativní stav vod</w:t>
      </w:r>
    </w:p>
    <w:p w14:paraId="2FFF31C6" w14:textId="0FE766EB" w:rsidR="0071383C" w:rsidRDefault="00865BD6" w:rsidP="00041B3F">
      <w:pPr>
        <w:rPr>
          <w:rFonts w:cstheme="minorHAnsi"/>
          <w:szCs w:val="24"/>
        </w:rPr>
      </w:pPr>
      <w:r>
        <w:rPr>
          <w:rFonts w:cstheme="minorHAnsi"/>
          <w:szCs w:val="24"/>
        </w:rPr>
        <w:t xml:space="preserve">NKÚ provedl analýzu dat poskytnutých ČHMÚ. Na základě této analýzy </w:t>
      </w:r>
      <w:r w:rsidR="005F536C">
        <w:rPr>
          <w:rFonts w:cstheme="minorHAnsi"/>
          <w:szCs w:val="24"/>
        </w:rPr>
        <w:t xml:space="preserve">vyhodnotil, že kvalitativní stav podzemních a povrchových </w:t>
      </w:r>
      <w:r w:rsidR="003B5BFA">
        <w:rPr>
          <w:rFonts w:cstheme="minorHAnsi"/>
          <w:szCs w:val="24"/>
        </w:rPr>
        <w:t>vod</w:t>
      </w:r>
      <w:r w:rsidR="005F536C">
        <w:rPr>
          <w:rFonts w:cstheme="minorHAnsi"/>
          <w:szCs w:val="24"/>
        </w:rPr>
        <w:t xml:space="preserve"> se z</w:t>
      </w:r>
      <w:r w:rsidR="003B5BFA">
        <w:rPr>
          <w:rFonts w:cstheme="minorHAnsi"/>
          <w:szCs w:val="24"/>
        </w:rPr>
        <w:t> </w:t>
      </w:r>
      <w:r w:rsidR="005F536C">
        <w:rPr>
          <w:rFonts w:cstheme="minorHAnsi"/>
          <w:szCs w:val="24"/>
        </w:rPr>
        <w:t xml:space="preserve">hlediska výskytu pesticidních </w:t>
      </w:r>
      <w:r w:rsidR="00F45937">
        <w:rPr>
          <w:rFonts w:cstheme="minorHAnsi"/>
          <w:szCs w:val="24"/>
        </w:rPr>
        <w:br/>
      </w:r>
      <w:r w:rsidR="005F536C">
        <w:rPr>
          <w:rFonts w:cstheme="minorHAnsi"/>
          <w:szCs w:val="24"/>
        </w:rPr>
        <w:t>a</w:t>
      </w:r>
      <w:r w:rsidR="00F45937">
        <w:rPr>
          <w:rFonts w:cstheme="minorHAnsi"/>
          <w:szCs w:val="24"/>
        </w:rPr>
        <w:t xml:space="preserve"> </w:t>
      </w:r>
      <w:r w:rsidR="005F536C">
        <w:rPr>
          <w:rFonts w:cstheme="minorHAnsi"/>
          <w:szCs w:val="24"/>
        </w:rPr>
        <w:t>dusíkatých látek výrazně nezměnil</w:t>
      </w:r>
      <w:r w:rsidR="00D91DF8">
        <w:rPr>
          <w:rFonts w:cstheme="minorHAnsi"/>
          <w:szCs w:val="24"/>
        </w:rPr>
        <w:t xml:space="preserve"> a stále se ve vodách objevují zakázané nebo již nepoužívané látky</w:t>
      </w:r>
      <w:r w:rsidR="005F536C">
        <w:rPr>
          <w:rFonts w:cstheme="minorHAnsi"/>
          <w:szCs w:val="24"/>
        </w:rPr>
        <w:t xml:space="preserve">. </w:t>
      </w:r>
      <w:r w:rsidR="0071383C">
        <w:rPr>
          <w:rFonts w:cstheme="minorHAnsi"/>
          <w:szCs w:val="24"/>
        </w:rPr>
        <w:t xml:space="preserve">Tyto zjištěné informace využil </w:t>
      </w:r>
      <w:r w:rsidR="00CE79BC">
        <w:rPr>
          <w:rFonts w:cstheme="minorHAnsi"/>
          <w:szCs w:val="24"/>
        </w:rPr>
        <w:t xml:space="preserve">NKÚ </w:t>
      </w:r>
      <w:r w:rsidR="0071383C">
        <w:rPr>
          <w:rFonts w:cstheme="minorHAnsi"/>
          <w:szCs w:val="24"/>
        </w:rPr>
        <w:t xml:space="preserve">při vyhodnocení dopadů realizovaných opatření </w:t>
      </w:r>
      <w:r w:rsidR="00CE79BC">
        <w:rPr>
          <w:rFonts w:cstheme="minorHAnsi"/>
          <w:szCs w:val="24"/>
        </w:rPr>
        <w:t>n</w:t>
      </w:r>
      <w:r w:rsidR="0071383C">
        <w:rPr>
          <w:rFonts w:cstheme="minorHAnsi"/>
          <w:szCs w:val="24"/>
        </w:rPr>
        <w:t>árodních akčních plánů.</w:t>
      </w:r>
    </w:p>
    <w:p w14:paraId="6C253FBC" w14:textId="77777777" w:rsidR="00C26C54" w:rsidRPr="00041B3F" w:rsidRDefault="00041B3F" w:rsidP="00041B3F">
      <w:pPr>
        <w:rPr>
          <w:rFonts w:cstheme="minorHAnsi"/>
          <w:szCs w:val="24"/>
          <w:lang w:eastAsia="cs-CZ"/>
        </w:rPr>
      </w:pPr>
      <w:r>
        <w:rPr>
          <w:rFonts w:cstheme="minorHAnsi"/>
          <w:szCs w:val="24"/>
        </w:rPr>
        <w:t>Podrobné údaje</w:t>
      </w:r>
      <w:r w:rsidR="0071383C">
        <w:rPr>
          <w:rFonts w:cstheme="minorHAnsi"/>
          <w:szCs w:val="24"/>
        </w:rPr>
        <w:t xml:space="preserve"> o kvalitativním stavu podzemních a povrchových vod</w:t>
      </w:r>
      <w:r w:rsidR="00144C63">
        <w:rPr>
          <w:rFonts w:cstheme="minorHAnsi"/>
          <w:szCs w:val="24"/>
        </w:rPr>
        <w:t xml:space="preserve"> za roky 2013 až 2019</w:t>
      </w:r>
      <w:r>
        <w:rPr>
          <w:rFonts w:cstheme="minorHAnsi"/>
          <w:szCs w:val="24"/>
        </w:rPr>
        <w:t xml:space="preserve"> jsou uvedeny v </w:t>
      </w:r>
      <w:hyperlink r:id="rId21" w:history="1">
        <w:r w:rsidRPr="009560D4">
          <w:rPr>
            <w:rStyle w:val="Hypertextovodkaz"/>
            <w:rFonts w:cstheme="minorHAnsi"/>
            <w:szCs w:val="24"/>
          </w:rPr>
          <w:t>příloze č. 1</w:t>
        </w:r>
      </w:hyperlink>
      <w:r>
        <w:rPr>
          <w:rFonts w:cstheme="minorHAnsi"/>
          <w:szCs w:val="24"/>
        </w:rPr>
        <w:t>.</w:t>
      </w:r>
    </w:p>
    <w:p w14:paraId="6C0B0216" w14:textId="77777777" w:rsidR="00770FE1" w:rsidRPr="00267BE9" w:rsidRDefault="00770FE1" w:rsidP="00770FE1">
      <w:pPr>
        <w:keepNext/>
        <w:rPr>
          <w:b/>
          <w:szCs w:val="24"/>
          <w:u w:val="single"/>
        </w:rPr>
      </w:pPr>
      <w:r w:rsidRPr="00505668">
        <w:rPr>
          <w:b/>
          <w:szCs w:val="24"/>
          <w:u w:val="single"/>
        </w:rPr>
        <w:t>Podzemní vod</w:t>
      </w:r>
      <w:r>
        <w:rPr>
          <w:b/>
          <w:szCs w:val="24"/>
          <w:u w:val="single"/>
        </w:rPr>
        <w:t>y</w:t>
      </w:r>
    </w:p>
    <w:p w14:paraId="7D5BEA51" w14:textId="77777777" w:rsidR="00F014E3" w:rsidRDefault="00F014E3" w:rsidP="00BB3667">
      <w:pPr>
        <w:rPr>
          <w:szCs w:val="24"/>
        </w:rPr>
      </w:pPr>
      <w:r w:rsidRPr="00B26C9E">
        <w:rPr>
          <w:szCs w:val="24"/>
        </w:rPr>
        <w:t>ČHM</w:t>
      </w:r>
      <w:r w:rsidR="00433465">
        <w:rPr>
          <w:szCs w:val="24"/>
        </w:rPr>
        <w:t>Ú</w:t>
      </w:r>
      <w:r w:rsidR="00770FE1">
        <w:rPr>
          <w:szCs w:val="24"/>
        </w:rPr>
        <w:t xml:space="preserve"> v období 2013–2019 sledoval v podzemní vodě 229 látek, které lze zařadit mezi látky pesticidní</w:t>
      </w:r>
      <w:r>
        <w:rPr>
          <w:szCs w:val="24"/>
        </w:rPr>
        <w:t xml:space="preserve">, </w:t>
      </w:r>
      <w:r w:rsidR="000A57EE">
        <w:rPr>
          <w:szCs w:val="24"/>
        </w:rPr>
        <w:t>a</w:t>
      </w:r>
      <w:r>
        <w:rPr>
          <w:szCs w:val="24"/>
        </w:rPr>
        <w:t xml:space="preserve"> tři dusíkaté látky: amonné ionty, dusitany</w:t>
      </w:r>
      <w:r w:rsidR="00770FE1">
        <w:rPr>
          <w:szCs w:val="24"/>
        </w:rPr>
        <w:t xml:space="preserve"> a </w:t>
      </w:r>
      <w:r>
        <w:rPr>
          <w:szCs w:val="24"/>
        </w:rPr>
        <w:t>dusičnany.</w:t>
      </w:r>
      <w:r w:rsidR="000A57EE">
        <w:rPr>
          <w:szCs w:val="24"/>
        </w:rPr>
        <w:t xml:space="preserve"> Dále z naměřených hodnot pesticidních látek vypočítával dva souhrnné ukazatele.</w:t>
      </w:r>
    </w:p>
    <w:p w14:paraId="0EA754C1" w14:textId="0DC404DA" w:rsidR="008E0FE9" w:rsidRDefault="008E0FE9" w:rsidP="00BB3667">
      <w:pPr>
        <w:rPr>
          <w:szCs w:val="24"/>
        </w:rPr>
      </w:pPr>
    </w:p>
    <w:p w14:paraId="446B28E9" w14:textId="77777777" w:rsidR="008E0FE9" w:rsidRPr="00F333BB" w:rsidRDefault="008E0FE9" w:rsidP="00F45937">
      <w:pPr>
        <w:keepNext/>
        <w:rPr>
          <w:b/>
          <w:szCs w:val="24"/>
          <w:u w:val="single"/>
        </w:rPr>
      </w:pPr>
      <w:r w:rsidRPr="003009BF">
        <w:rPr>
          <w:szCs w:val="24"/>
          <w:u w:val="single"/>
        </w:rPr>
        <w:lastRenderedPageBreak/>
        <w:t>Pesticidní látky</w:t>
      </w:r>
    </w:p>
    <w:p w14:paraId="5E0D4058" w14:textId="77777777" w:rsidR="003B5BFA" w:rsidRDefault="004202D2" w:rsidP="00CF75C0">
      <w:pPr>
        <w:rPr>
          <w:szCs w:val="24"/>
        </w:rPr>
      </w:pPr>
      <w:r>
        <w:rPr>
          <w:szCs w:val="24"/>
        </w:rPr>
        <w:t>A</w:t>
      </w:r>
      <w:r w:rsidR="00770FE1">
        <w:rPr>
          <w:szCs w:val="24"/>
        </w:rPr>
        <w:t>lespoň jedn</w:t>
      </w:r>
      <w:r>
        <w:rPr>
          <w:szCs w:val="24"/>
        </w:rPr>
        <w:t>a</w:t>
      </w:r>
      <w:r w:rsidR="00770FE1">
        <w:rPr>
          <w:szCs w:val="24"/>
        </w:rPr>
        <w:t xml:space="preserve"> pesticidní látk</w:t>
      </w:r>
      <w:r>
        <w:rPr>
          <w:szCs w:val="24"/>
        </w:rPr>
        <w:t>a</w:t>
      </w:r>
      <w:r w:rsidR="00770FE1">
        <w:rPr>
          <w:szCs w:val="24"/>
        </w:rPr>
        <w:t xml:space="preserve"> byla </w:t>
      </w:r>
      <w:r w:rsidR="007324A2">
        <w:rPr>
          <w:szCs w:val="24"/>
        </w:rPr>
        <w:t xml:space="preserve">každý rok zjištěna v průměru na 55 % míst. </w:t>
      </w:r>
      <w:r>
        <w:rPr>
          <w:szCs w:val="24"/>
        </w:rPr>
        <w:t>Za sledo</w:t>
      </w:r>
      <w:r w:rsidR="004C5457">
        <w:rPr>
          <w:szCs w:val="24"/>
        </w:rPr>
        <w:t xml:space="preserve">vané období </w:t>
      </w:r>
      <w:r>
        <w:rPr>
          <w:szCs w:val="24"/>
        </w:rPr>
        <w:t>počet míst se zjištěnou alespoň jednou pe</w:t>
      </w:r>
      <w:r w:rsidR="004C5457">
        <w:rPr>
          <w:szCs w:val="24"/>
        </w:rPr>
        <w:t>sticidní látkou celkově rostl (v roce 2019 oproti roku 2013 o 8 %)</w:t>
      </w:r>
      <w:r>
        <w:rPr>
          <w:szCs w:val="24"/>
        </w:rPr>
        <w:t>.</w:t>
      </w:r>
    </w:p>
    <w:p w14:paraId="13D06ACE" w14:textId="7B1041E9" w:rsidR="00BD6A53" w:rsidRDefault="00770FE1" w:rsidP="00770FE1">
      <w:pPr>
        <w:rPr>
          <w:szCs w:val="24"/>
        </w:rPr>
      </w:pPr>
      <w:r>
        <w:rPr>
          <w:szCs w:val="24"/>
        </w:rPr>
        <w:t xml:space="preserve">Norma jakosti byla stanovena pro </w:t>
      </w:r>
      <w:r w:rsidRPr="0018562A">
        <w:rPr>
          <w:szCs w:val="24"/>
        </w:rPr>
        <w:t>228</w:t>
      </w:r>
      <w:r>
        <w:rPr>
          <w:szCs w:val="24"/>
        </w:rPr>
        <w:t xml:space="preserve"> pesticidních látek</w:t>
      </w:r>
      <w:r w:rsidR="000F7A72">
        <w:rPr>
          <w:szCs w:val="24"/>
        </w:rPr>
        <w:t xml:space="preserve"> a pro ukazatel </w:t>
      </w:r>
      <w:r w:rsidR="00CE79BC">
        <w:rPr>
          <w:szCs w:val="24"/>
        </w:rPr>
        <w:t>„</w:t>
      </w:r>
      <w:r w:rsidR="000F7A72" w:rsidRPr="000F7A72">
        <w:rPr>
          <w:i/>
          <w:szCs w:val="24"/>
        </w:rPr>
        <w:t>suma pesticidů</w:t>
      </w:r>
      <w:r w:rsidR="00CE79BC">
        <w:rPr>
          <w:szCs w:val="24"/>
        </w:rPr>
        <w:t>“</w:t>
      </w:r>
      <w:r w:rsidR="00C0729D" w:rsidRPr="00CE79BC">
        <w:rPr>
          <w:rStyle w:val="Znakapoznpodarou"/>
          <w:szCs w:val="24"/>
        </w:rPr>
        <w:footnoteReference w:id="39"/>
      </w:r>
      <w:r w:rsidR="003B5BFA">
        <w:rPr>
          <w:szCs w:val="24"/>
        </w:rPr>
        <w:t xml:space="preserve">. Norma pro ukazatel </w:t>
      </w:r>
      <w:r w:rsidR="00CE79BC">
        <w:rPr>
          <w:szCs w:val="24"/>
        </w:rPr>
        <w:t>„</w:t>
      </w:r>
      <w:r w:rsidR="003B5BFA" w:rsidRPr="00DC18CA">
        <w:rPr>
          <w:i/>
          <w:szCs w:val="24"/>
        </w:rPr>
        <w:t>suma pesticidů</w:t>
      </w:r>
      <w:r w:rsidR="00CE79BC" w:rsidRPr="00CE79BC">
        <w:rPr>
          <w:szCs w:val="24"/>
        </w:rPr>
        <w:t>“</w:t>
      </w:r>
      <w:r w:rsidR="003B5BFA">
        <w:rPr>
          <w:szCs w:val="24"/>
        </w:rPr>
        <w:t xml:space="preserve"> byla každý rok překročena v průměru na 27 % </w:t>
      </w:r>
      <w:r w:rsidR="00D057FC">
        <w:rPr>
          <w:szCs w:val="24"/>
        </w:rPr>
        <w:t xml:space="preserve">monitorovacích </w:t>
      </w:r>
      <w:r w:rsidR="003B5BFA">
        <w:rPr>
          <w:szCs w:val="24"/>
        </w:rPr>
        <w:t>míst. Za</w:t>
      </w:r>
      <w:r w:rsidR="00433465">
        <w:rPr>
          <w:szCs w:val="24"/>
        </w:rPr>
        <w:t xml:space="preserve"> </w:t>
      </w:r>
      <w:r w:rsidR="003B5BFA">
        <w:rPr>
          <w:szCs w:val="24"/>
        </w:rPr>
        <w:t>sledované období</w:t>
      </w:r>
      <w:r w:rsidR="003B5BFA" w:rsidDel="003D418D">
        <w:rPr>
          <w:szCs w:val="24"/>
        </w:rPr>
        <w:t xml:space="preserve"> </w:t>
      </w:r>
      <w:r w:rsidR="003B5BFA">
        <w:rPr>
          <w:szCs w:val="24"/>
        </w:rPr>
        <w:t>počet míst s překročenou normou celkově rostl</w:t>
      </w:r>
      <w:r w:rsidR="004C5457">
        <w:rPr>
          <w:szCs w:val="24"/>
        </w:rPr>
        <w:t xml:space="preserve"> (v roce 2019 oproti roku 2013 o 9 %)</w:t>
      </w:r>
      <w:r w:rsidR="003B5BFA">
        <w:rPr>
          <w:szCs w:val="24"/>
        </w:rPr>
        <w:t xml:space="preserve">. </w:t>
      </w:r>
      <w:r w:rsidR="000F7A72">
        <w:rPr>
          <w:szCs w:val="24"/>
        </w:rPr>
        <w:t>Alespoň u</w:t>
      </w:r>
      <w:r w:rsidR="000A6431">
        <w:rPr>
          <w:szCs w:val="24"/>
        </w:rPr>
        <w:t> </w:t>
      </w:r>
      <w:r w:rsidR="000F7A72">
        <w:rPr>
          <w:szCs w:val="24"/>
        </w:rPr>
        <w:t>jedné látky byla</w:t>
      </w:r>
      <w:r w:rsidR="007324A2">
        <w:rPr>
          <w:szCs w:val="24"/>
        </w:rPr>
        <w:t xml:space="preserve"> každý rok</w:t>
      </w:r>
      <w:r w:rsidR="000F7A72">
        <w:rPr>
          <w:szCs w:val="24"/>
        </w:rPr>
        <w:t xml:space="preserve"> </w:t>
      </w:r>
      <w:r w:rsidR="006C7603">
        <w:rPr>
          <w:szCs w:val="24"/>
        </w:rPr>
        <w:t xml:space="preserve">norma </w:t>
      </w:r>
      <w:r w:rsidR="000F7A72">
        <w:rPr>
          <w:szCs w:val="24"/>
        </w:rPr>
        <w:t xml:space="preserve">překročena </w:t>
      </w:r>
      <w:r w:rsidR="007324A2">
        <w:rPr>
          <w:szCs w:val="24"/>
        </w:rPr>
        <w:t xml:space="preserve">v průměru na 39 % </w:t>
      </w:r>
      <w:r w:rsidR="003B5BFA">
        <w:rPr>
          <w:szCs w:val="24"/>
        </w:rPr>
        <w:t xml:space="preserve">monitorovacích </w:t>
      </w:r>
      <w:r>
        <w:rPr>
          <w:szCs w:val="24"/>
        </w:rPr>
        <w:t>míst</w:t>
      </w:r>
      <w:r w:rsidR="002B08B2">
        <w:rPr>
          <w:szCs w:val="24"/>
        </w:rPr>
        <w:t>.</w:t>
      </w:r>
      <w:r>
        <w:rPr>
          <w:szCs w:val="24"/>
        </w:rPr>
        <w:t xml:space="preserve"> </w:t>
      </w:r>
      <w:r w:rsidR="00D057FC">
        <w:rPr>
          <w:szCs w:val="24"/>
        </w:rPr>
        <w:t>P</w:t>
      </w:r>
      <w:r w:rsidR="003B5BFA">
        <w:rPr>
          <w:szCs w:val="24"/>
        </w:rPr>
        <w:t xml:space="preserve">očet </w:t>
      </w:r>
      <w:r w:rsidR="00E91CDC">
        <w:rPr>
          <w:szCs w:val="24"/>
        </w:rPr>
        <w:t xml:space="preserve">míst s překročenou normou </w:t>
      </w:r>
      <w:r>
        <w:rPr>
          <w:szCs w:val="24"/>
        </w:rPr>
        <w:t xml:space="preserve">za sledované období celkově </w:t>
      </w:r>
      <w:r w:rsidRPr="0036333F">
        <w:rPr>
          <w:szCs w:val="24"/>
        </w:rPr>
        <w:t>rostl</w:t>
      </w:r>
      <w:r w:rsidR="004C5457">
        <w:rPr>
          <w:szCs w:val="24"/>
        </w:rPr>
        <w:t xml:space="preserve"> (v roce 2019 oproti roku 2013 o 6 %)</w:t>
      </w:r>
      <w:r w:rsidR="0036333F" w:rsidRPr="0036333F">
        <w:rPr>
          <w:szCs w:val="24"/>
        </w:rPr>
        <w:t>, v</w:t>
      </w:r>
      <w:r w:rsidR="00354CB9" w:rsidRPr="0036333F">
        <w:rPr>
          <w:szCs w:val="24"/>
        </w:rPr>
        <w:t>iz graf 1.</w:t>
      </w:r>
    </w:p>
    <w:p w14:paraId="33B223F2" w14:textId="21916CDF" w:rsidR="00770FE1" w:rsidRDefault="00770FE1" w:rsidP="008532D5">
      <w:pPr>
        <w:pStyle w:val="Titulek"/>
        <w:keepNext/>
        <w:spacing w:after="0"/>
        <w:ind w:left="737" w:hanging="737"/>
        <w:rPr>
          <w:b/>
          <w:i w:val="0"/>
          <w:color w:val="auto"/>
          <w:sz w:val="24"/>
          <w:szCs w:val="24"/>
        </w:rPr>
      </w:pPr>
      <w:r w:rsidRPr="00510881">
        <w:rPr>
          <w:b/>
          <w:i w:val="0"/>
          <w:color w:val="000000" w:themeColor="text1"/>
          <w:sz w:val="24"/>
          <w:szCs w:val="24"/>
        </w:rPr>
        <w:t xml:space="preserve">Graf </w:t>
      </w:r>
      <w:r w:rsidRPr="00510881">
        <w:rPr>
          <w:b/>
          <w:i w:val="0"/>
          <w:color w:val="000000" w:themeColor="text1"/>
          <w:sz w:val="24"/>
          <w:szCs w:val="24"/>
        </w:rPr>
        <w:fldChar w:fldCharType="begin"/>
      </w:r>
      <w:r w:rsidRPr="00510881">
        <w:rPr>
          <w:b/>
          <w:i w:val="0"/>
          <w:color w:val="000000" w:themeColor="text1"/>
          <w:sz w:val="24"/>
          <w:szCs w:val="24"/>
        </w:rPr>
        <w:instrText xml:space="preserve"> SEQ Graf \* ARABIC </w:instrText>
      </w:r>
      <w:r w:rsidRPr="00510881">
        <w:rPr>
          <w:b/>
          <w:i w:val="0"/>
          <w:color w:val="000000" w:themeColor="text1"/>
          <w:sz w:val="24"/>
          <w:szCs w:val="24"/>
        </w:rPr>
        <w:fldChar w:fldCharType="separate"/>
      </w:r>
      <w:r w:rsidR="007145CB">
        <w:rPr>
          <w:b/>
          <w:i w:val="0"/>
          <w:noProof/>
          <w:color w:val="000000" w:themeColor="text1"/>
          <w:sz w:val="24"/>
          <w:szCs w:val="24"/>
        </w:rPr>
        <w:t>1</w:t>
      </w:r>
      <w:r w:rsidRPr="00510881">
        <w:rPr>
          <w:b/>
          <w:i w:val="0"/>
          <w:color w:val="000000" w:themeColor="text1"/>
          <w:sz w:val="24"/>
          <w:szCs w:val="24"/>
        </w:rPr>
        <w:fldChar w:fldCharType="end"/>
      </w:r>
      <w:r w:rsidRPr="00510881">
        <w:rPr>
          <w:b/>
          <w:i w:val="0"/>
          <w:color w:val="000000" w:themeColor="text1"/>
          <w:sz w:val="24"/>
          <w:szCs w:val="24"/>
        </w:rPr>
        <w:t xml:space="preserve">: </w:t>
      </w:r>
      <w:r w:rsidR="00C47039">
        <w:rPr>
          <w:b/>
          <w:i w:val="0"/>
          <w:color w:val="000000" w:themeColor="text1"/>
          <w:sz w:val="24"/>
          <w:szCs w:val="24"/>
        </w:rPr>
        <w:tab/>
      </w:r>
      <w:r w:rsidR="00BD6A53">
        <w:rPr>
          <w:b/>
          <w:i w:val="0"/>
          <w:color w:val="000000" w:themeColor="text1"/>
          <w:sz w:val="24"/>
          <w:szCs w:val="24"/>
        </w:rPr>
        <w:t>Výsledky monitoringu pesticidních látek v podzemních vodách v letech 2013</w:t>
      </w:r>
      <w:r w:rsidR="00BD6A53" w:rsidRPr="009673A8">
        <w:rPr>
          <w:b/>
          <w:i w:val="0"/>
          <w:color w:val="auto"/>
          <w:sz w:val="24"/>
          <w:szCs w:val="24"/>
        </w:rPr>
        <w:t>–</w:t>
      </w:r>
      <w:r w:rsidR="00BD6A53">
        <w:rPr>
          <w:b/>
          <w:i w:val="0"/>
          <w:color w:val="auto"/>
          <w:sz w:val="24"/>
          <w:szCs w:val="24"/>
        </w:rPr>
        <w:t>2019</w:t>
      </w:r>
    </w:p>
    <w:p w14:paraId="5419D92C" w14:textId="77777777" w:rsidR="00770FE1" w:rsidRPr="00F81B3D" w:rsidRDefault="00194845" w:rsidP="00770FE1">
      <w:pPr>
        <w:keepNext/>
        <w:spacing w:after="0"/>
        <w:rPr>
          <w:i/>
        </w:rPr>
      </w:pPr>
      <w:r>
        <w:rPr>
          <w:noProof/>
          <w:lang w:eastAsia="cs-CZ"/>
        </w:rPr>
        <w:drawing>
          <wp:inline distT="0" distB="0" distL="0" distR="0" wp14:anchorId="25378C31" wp14:editId="5F0A07A5">
            <wp:extent cx="5762625" cy="2819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AD5A27" w14:textId="77777777" w:rsidR="004202D2" w:rsidRDefault="00770FE1" w:rsidP="004202D2">
      <w:pPr>
        <w:rPr>
          <w:sz w:val="20"/>
          <w:szCs w:val="20"/>
        </w:rPr>
      </w:pPr>
      <w:r w:rsidRPr="002C2AF7">
        <w:rPr>
          <w:b/>
          <w:sz w:val="20"/>
          <w:szCs w:val="20"/>
        </w:rPr>
        <w:t>Zdroj:</w:t>
      </w:r>
      <w:r w:rsidRPr="002C2AF7">
        <w:rPr>
          <w:sz w:val="20"/>
          <w:szCs w:val="20"/>
        </w:rPr>
        <w:t xml:space="preserve"> data z IS ARROW; vlastní zpracování</w:t>
      </w:r>
      <w:r w:rsidR="00CE79BC">
        <w:rPr>
          <w:sz w:val="20"/>
          <w:szCs w:val="20"/>
        </w:rPr>
        <w:t xml:space="preserve"> NKÚ</w:t>
      </w:r>
      <w:r w:rsidR="00F0473E">
        <w:rPr>
          <w:sz w:val="20"/>
          <w:szCs w:val="20"/>
        </w:rPr>
        <w:t>.</w:t>
      </w:r>
    </w:p>
    <w:p w14:paraId="68D9D4F1" w14:textId="75604BE2" w:rsidR="00BD6A53" w:rsidRDefault="00BD6A53" w:rsidP="004202D2">
      <w:pPr>
        <w:rPr>
          <w:szCs w:val="24"/>
        </w:rPr>
      </w:pPr>
    </w:p>
    <w:p w14:paraId="528EA755" w14:textId="77777777" w:rsidR="008E0FE9" w:rsidRPr="003009BF" w:rsidRDefault="008E0FE9" w:rsidP="004202D2">
      <w:pPr>
        <w:rPr>
          <w:szCs w:val="24"/>
          <w:u w:val="single"/>
        </w:rPr>
      </w:pPr>
      <w:r w:rsidRPr="003009BF">
        <w:rPr>
          <w:szCs w:val="24"/>
          <w:u w:val="single"/>
        </w:rPr>
        <w:t>Staré zátěže</w:t>
      </w:r>
    </w:p>
    <w:p w14:paraId="45B64A09" w14:textId="77777777" w:rsidR="00643412" w:rsidRDefault="001C6FD6" w:rsidP="00770FE1">
      <w:pPr>
        <w:rPr>
          <w:szCs w:val="24"/>
        </w:rPr>
      </w:pPr>
      <w:r w:rsidRPr="003A5823">
        <w:rPr>
          <w:szCs w:val="24"/>
        </w:rPr>
        <w:t>Z</w:t>
      </w:r>
      <w:r w:rsidR="00561FB2">
        <w:rPr>
          <w:szCs w:val="24"/>
        </w:rPr>
        <w:t xml:space="preserve"> 229 </w:t>
      </w:r>
      <w:r w:rsidRPr="003A5823">
        <w:rPr>
          <w:szCs w:val="24"/>
        </w:rPr>
        <w:t xml:space="preserve">sledovaných pesticidních látek řadí ČHMÚ mezi tzv. staré zátěže </w:t>
      </w:r>
      <w:r w:rsidR="002A5DA3">
        <w:rPr>
          <w:szCs w:val="24"/>
        </w:rPr>
        <w:t>80</w:t>
      </w:r>
      <w:r w:rsidRPr="003A5823">
        <w:rPr>
          <w:szCs w:val="24"/>
        </w:rPr>
        <w:t xml:space="preserve"> látek. Jedná se </w:t>
      </w:r>
      <w:r w:rsidR="001A05FB">
        <w:rPr>
          <w:szCs w:val="24"/>
        </w:rPr>
        <w:br/>
      </w:r>
      <w:r w:rsidRPr="003A5823">
        <w:rPr>
          <w:szCs w:val="24"/>
        </w:rPr>
        <w:t>o</w:t>
      </w:r>
      <w:r w:rsidR="001A05FB">
        <w:rPr>
          <w:szCs w:val="24"/>
        </w:rPr>
        <w:t xml:space="preserve"> </w:t>
      </w:r>
      <w:r>
        <w:rPr>
          <w:szCs w:val="24"/>
        </w:rPr>
        <w:t>58</w:t>
      </w:r>
      <w:r w:rsidR="001A05FB">
        <w:rPr>
          <w:szCs w:val="24"/>
        </w:rPr>
        <w:t xml:space="preserve"> </w:t>
      </w:r>
      <w:r w:rsidRPr="003A5823">
        <w:rPr>
          <w:szCs w:val="24"/>
        </w:rPr>
        <w:t xml:space="preserve">pesticidů, které se dnes nepoužívají nebo je jejich použití zakázané, a </w:t>
      </w:r>
      <w:r w:rsidR="00BF6FD1">
        <w:rPr>
          <w:szCs w:val="24"/>
        </w:rPr>
        <w:t>22</w:t>
      </w:r>
      <w:r w:rsidRPr="003A5823">
        <w:rPr>
          <w:szCs w:val="24"/>
        </w:rPr>
        <w:t xml:space="preserve"> jejich metabolitů. </w:t>
      </w:r>
      <w:r w:rsidR="00186EF9" w:rsidRPr="003A5823">
        <w:rPr>
          <w:szCs w:val="24"/>
        </w:rPr>
        <w:t xml:space="preserve">Za období </w:t>
      </w:r>
      <w:r w:rsidR="00970612">
        <w:rPr>
          <w:szCs w:val="24"/>
        </w:rPr>
        <w:t xml:space="preserve">2013–2019 </w:t>
      </w:r>
      <w:r w:rsidR="004202D2">
        <w:rPr>
          <w:szCs w:val="24"/>
        </w:rPr>
        <w:t>byla a</w:t>
      </w:r>
      <w:r w:rsidR="00837082" w:rsidRPr="003A5823">
        <w:rPr>
          <w:szCs w:val="24"/>
        </w:rPr>
        <w:t>lespoň je</w:t>
      </w:r>
      <w:r w:rsidR="00C1138C" w:rsidRPr="003A5823">
        <w:rPr>
          <w:szCs w:val="24"/>
        </w:rPr>
        <w:t xml:space="preserve">dna </w:t>
      </w:r>
      <w:r w:rsidR="004202D2">
        <w:rPr>
          <w:szCs w:val="24"/>
        </w:rPr>
        <w:t xml:space="preserve">látka </w:t>
      </w:r>
      <w:r w:rsidR="005732D9">
        <w:rPr>
          <w:szCs w:val="24"/>
        </w:rPr>
        <w:t>každý rok</w:t>
      </w:r>
      <w:r w:rsidR="00837082" w:rsidRPr="003A5823">
        <w:rPr>
          <w:szCs w:val="24"/>
        </w:rPr>
        <w:t xml:space="preserve"> zjištěna </w:t>
      </w:r>
      <w:r w:rsidR="005732D9">
        <w:rPr>
          <w:szCs w:val="24"/>
        </w:rPr>
        <w:t xml:space="preserve">v průměru na </w:t>
      </w:r>
      <w:r w:rsidR="00643412">
        <w:rPr>
          <w:szCs w:val="24"/>
        </w:rPr>
        <w:t>41</w:t>
      </w:r>
      <w:r w:rsidR="005F536C">
        <w:rPr>
          <w:szCs w:val="24"/>
        </w:rPr>
        <w:t xml:space="preserve"> %</w:t>
      </w:r>
      <w:r w:rsidR="005732D9">
        <w:rPr>
          <w:szCs w:val="24"/>
        </w:rPr>
        <w:t xml:space="preserve"> </w:t>
      </w:r>
      <w:r w:rsidR="00643412">
        <w:rPr>
          <w:szCs w:val="24"/>
        </w:rPr>
        <w:t>monitorovacích míst</w:t>
      </w:r>
      <w:r w:rsidR="00837082" w:rsidRPr="003A5823">
        <w:rPr>
          <w:szCs w:val="24"/>
        </w:rPr>
        <w:t xml:space="preserve"> </w:t>
      </w:r>
      <w:r w:rsidR="005C5ACA">
        <w:rPr>
          <w:szCs w:val="24"/>
        </w:rPr>
        <w:t xml:space="preserve">u </w:t>
      </w:r>
      <w:r w:rsidR="005C5ACA" w:rsidRPr="002A5DA3">
        <w:rPr>
          <w:szCs w:val="24"/>
        </w:rPr>
        <w:t>30</w:t>
      </w:r>
      <w:r w:rsidR="005C5ACA">
        <w:rPr>
          <w:szCs w:val="24"/>
        </w:rPr>
        <w:t xml:space="preserve"> látek</w:t>
      </w:r>
      <w:r w:rsidR="005732D9">
        <w:rPr>
          <w:szCs w:val="24"/>
        </w:rPr>
        <w:t xml:space="preserve">. </w:t>
      </w:r>
      <w:r w:rsidR="00C1138C" w:rsidRPr="005E1538">
        <w:rPr>
          <w:szCs w:val="24"/>
        </w:rPr>
        <w:t xml:space="preserve">Norma jakosti byla u </w:t>
      </w:r>
      <w:r w:rsidR="00970612">
        <w:rPr>
          <w:szCs w:val="24"/>
        </w:rPr>
        <w:t xml:space="preserve">těchto </w:t>
      </w:r>
      <w:r w:rsidR="00C1138C" w:rsidRPr="005E1538">
        <w:rPr>
          <w:szCs w:val="24"/>
        </w:rPr>
        <w:t xml:space="preserve">látek </w:t>
      </w:r>
      <w:r w:rsidR="005732D9">
        <w:rPr>
          <w:szCs w:val="24"/>
        </w:rPr>
        <w:t xml:space="preserve">každý rok </w:t>
      </w:r>
      <w:r w:rsidR="00C1138C" w:rsidRPr="005E1538">
        <w:rPr>
          <w:szCs w:val="24"/>
        </w:rPr>
        <w:t xml:space="preserve">překročena </w:t>
      </w:r>
      <w:r w:rsidR="005732D9">
        <w:rPr>
          <w:szCs w:val="24"/>
        </w:rPr>
        <w:t xml:space="preserve">v průměru na </w:t>
      </w:r>
      <w:r w:rsidR="00643412">
        <w:rPr>
          <w:szCs w:val="24"/>
        </w:rPr>
        <w:t>19</w:t>
      </w:r>
      <w:r w:rsidR="005F536C">
        <w:rPr>
          <w:szCs w:val="24"/>
        </w:rPr>
        <w:t xml:space="preserve"> % </w:t>
      </w:r>
      <w:r w:rsidR="00643412">
        <w:rPr>
          <w:szCs w:val="24"/>
        </w:rPr>
        <w:t>míst</w:t>
      </w:r>
      <w:r w:rsidR="005732D9">
        <w:rPr>
          <w:szCs w:val="24"/>
        </w:rPr>
        <w:t xml:space="preserve"> u 18 látek</w:t>
      </w:r>
      <w:r w:rsidR="000411BD" w:rsidRPr="005E1538">
        <w:rPr>
          <w:szCs w:val="24"/>
        </w:rPr>
        <w:t>.</w:t>
      </w:r>
      <w:r w:rsidR="00851CCF" w:rsidRPr="005E1538">
        <w:rPr>
          <w:szCs w:val="24"/>
        </w:rPr>
        <w:t xml:space="preserve"> </w:t>
      </w:r>
      <w:r w:rsidR="00643412">
        <w:rPr>
          <w:szCs w:val="24"/>
        </w:rPr>
        <w:t xml:space="preserve">Jak počet míst se zjištěnou látkou, tak počet míst s překročenou normou za období 2013–2019 </w:t>
      </w:r>
      <w:r w:rsidR="00B317A8">
        <w:rPr>
          <w:szCs w:val="24"/>
        </w:rPr>
        <w:t xml:space="preserve">celkově </w:t>
      </w:r>
      <w:r w:rsidR="00643412">
        <w:rPr>
          <w:szCs w:val="24"/>
        </w:rPr>
        <w:t>kles</w:t>
      </w:r>
      <w:r w:rsidR="0033713A">
        <w:rPr>
          <w:szCs w:val="24"/>
        </w:rPr>
        <w:t>a</w:t>
      </w:r>
      <w:r w:rsidR="00643412">
        <w:rPr>
          <w:szCs w:val="24"/>
        </w:rPr>
        <w:t>l</w:t>
      </w:r>
      <w:r w:rsidR="000A6431">
        <w:rPr>
          <w:szCs w:val="24"/>
        </w:rPr>
        <w:t>y</w:t>
      </w:r>
      <w:r w:rsidR="00766BE8">
        <w:rPr>
          <w:szCs w:val="24"/>
        </w:rPr>
        <w:t xml:space="preserve">. V roce 2019 byl oproti roku 2013 počet míst </w:t>
      </w:r>
      <w:r w:rsidR="003F374C">
        <w:rPr>
          <w:szCs w:val="24"/>
        </w:rPr>
        <w:t>se zjištěnou látkou nižší o 1 %</w:t>
      </w:r>
      <w:r w:rsidR="00766BE8">
        <w:rPr>
          <w:szCs w:val="24"/>
        </w:rPr>
        <w:t>, počet</w:t>
      </w:r>
      <w:r w:rsidR="000A6431">
        <w:rPr>
          <w:szCs w:val="24"/>
        </w:rPr>
        <w:t xml:space="preserve"> míst s překročenou normou o 18 %.</w:t>
      </w:r>
    </w:p>
    <w:p w14:paraId="1142E836" w14:textId="664F0F92" w:rsidR="00894572" w:rsidRDefault="00894572" w:rsidP="00CB21D6">
      <w:pPr>
        <w:rPr>
          <w:szCs w:val="24"/>
        </w:rPr>
      </w:pPr>
    </w:p>
    <w:p w14:paraId="4ED30AB3" w14:textId="77777777" w:rsidR="00894572" w:rsidRPr="003009BF" w:rsidRDefault="00894572" w:rsidP="00F45937">
      <w:pPr>
        <w:keepNext/>
        <w:rPr>
          <w:szCs w:val="24"/>
          <w:u w:val="single"/>
        </w:rPr>
      </w:pPr>
      <w:r w:rsidRPr="003009BF">
        <w:rPr>
          <w:szCs w:val="24"/>
          <w:u w:val="single"/>
        </w:rPr>
        <w:lastRenderedPageBreak/>
        <w:t>Dusíkaté látky</w:t>
      </w:r>
    </w:p>
    <w:p w14:paraId="114E5FE1" w14:textId="77777777" w:rsidR="00643412" w:rsidRDefault="00F659FB" w:rsidP="00CB21D6">
      <w:pPr>
        <w:rPr>
          <w:szCs w:val="24"/>
        </w:rPr>
      </w:pPr>
      <w:r>
        <w:rPr>
          <w:szCs w:val="24"/>
        </w:rPr>
        <w:t>Alespoň jedna</w:t>
      </w:r>
      <w:r w:rsidR="005C5ACA">
        <w:rPr>
          <w:szCs w:val="24"/>
        </w:rPr>
        <w:t xml:space="preserve"> dusíkat</w:t>
      </w:r>
      <w:r>
        <w:rPr>
          <w:szCs w:val="24"/>
        </w:rPr>
        <w:t>á</w:t>
      </w:r>
      <w:r w:rsidR="005C5ACA">
        <w:rPr>
          <w:szCs w:val="24"/>
        </w:rPr>
        <w:t xml:space="preserve"> látk</w:t>
      </w:r>
      <w:r>
        <w:rPr>
          <w:szCs w:val="24"/>
        </w:rPr>
        <w:t>a</w:t>
      </w:r>
      <w:r w:rsidR="005C5ACA">
        <w:rPr>
          <w:szCs w:val="24"/>
        </w:rPr>
        <w:t xml:space="preserve"> byla během období 2013–2019 </w:t>
      </w:r>
      <w:r w:rsidR="004C5457">
        <w:rPr>
          <w:szCs w:val="24"/>
        </w:rPr>
        <w:t xml:space="preserve">každý rok </w:t>
      </w:r>
      <w:r w:rsidR="005C5ACA">
        <w:rPr>
          <w:szCs w:val="24"/>
        </w:rPr>
        <w:t xml:space="preserve">zjištěna </w:t>
      </w:r>
      <w:r w:rsidR="004C5457">
        <w:rPr>
          <w:szCs w:val="24"/>
        </w:rPr>
        <w:t>na většině monitorovacích míst, přičemž jejich počet za toto období celkově rostl (v roce 2019 oproti roku 2013 o 10 %).</w:t>
      </w:r>
    </w:p>
    <w:p w14:paraId="06C0EEF8" w14:textId="77777777" w:rsidR="00770FE1" w:rsidRDefault="00A2594A" w:rsidP="00770FE1">
      <w:pPr>
        <w:rPr>
          <w:szCs w:val="24"/>
        </w:rPr>
      </w:pPr>
      <w:r>
        <w:rPr>
          <w:szCs w:val="24"/>
        </w:rPr>
        <w:t>Za období 2013–2019 byla n</w:t>
      </w:r>
      <w:r w:rsidR="00770FE1">
        <w:rPr>
          <w:szCs w:val="24"/>
        </w:rPr>
        <w:t xml:space="preserve">orma jakosti alespoň jedné dusíkaté látky </w:t>
      </w:r>
      <w:r w:rsidR="005C5ACA">
        <w:rPr>
          <w:szCs w:val="24"/>
        </w:rPr>
        <w:t xml:space="preserve">každý rok </w:t>
      </w:r>
      <w:r w:rsidR="004C5457">
        <w:rPr>
          <w:szCs w:val="24"/>
        </w:rPr>
        <w:t xml:space="preserve">překročena </w:t>
      </w:r>
      <w:r w:rsidR="005C5ACA">
        <w:rPr>
          <w:szCs w:val="24"/>
        </w:rPr>
        <w:t>v průměru na 25 %</w:t>
      </w:r>
      <w:r w:rsidR="00643412">
        <w:rPr>
          <w:szCs w:val="24"/>
        </w:rPr>
        <w:t xml:space="preserve"> míst</w:t>
      </w:r>
      <w:r w:rsidR="005C5ACA">
        <w:rPr>
          <w:szCs w:val="24"/>
        </w:rPr>
        <w:t>.</w:t>
      </w:r>
      <w:r w:rsidR="00770FE1">
        <w:rPr>
          <w:szCs w:val="24"/>
        </w:rPr>
        <w:t xml:space="preserve"> Za sledované období počet míst s </w:t>
      </w:r>
      <w:r>
        <w:rPr>
          <w:szCs w:val="24"/>
        </w:rPr>
        <w:t xml:space="preserve">překročenou normou alespoň jedné dusíkaté látky </w:t>
      </w:r>
      <w:r w:rsidR="00770FE1">
        <w:rPr>
          <w:szCs w:val="24"/>
        </w:rPr>
        <w:t xml:space="preserve">celkově </w:t>
      </w:r>
      <w:r w:rsidR="00770FE1" w:rsidRPr="0036333F">
        <w:rPr>
          <w:szCs w:val="24"/>
        </w:rPr>
        <w:t>rostl</w:t>
      </w:r>
      <w:r w:rsidR="004C5457">
        <w:rPr>
          <w:szCs w:val="24"/>
        </w:rPr>
        <w:t xml:space="preserve"> (v roce 2019 oproti roku 2013 o 8 %)</w:t>
      </w:r>
      <w:r w:rsidR="0036333F" w:rsidRPr="0036333F">
        <w:rPr>
          <w:szCs w:val="24"/>
        </w:rPr>
        <w:t>, v</w:t>
      </w:r>
      <w:r w:rsidR="00354CB9" w:rsidRPr="0036333F">
        <w:rPr>
          <w:szCs w:val="24"/>
        </w:rPr>
        <w:t>iz graf 2.</w:t>
      </w:r>
    </w:p>
    <w:p w14:paraId="329C445C" w14:textId="03941A5A" w:rsidR="00770FE1" w:rsidRPr="00510881" w:rsidRDefault="00770FE1" w:rsidP="008532D5">
      <w:pPr>
        <w:pStyle w:val="Titulek"/>
        <w:keepNext/>
        <w:spacing w:after="0"/>
        <w:ind w:left="737" w:hanging="737"/>
        <w:rPr>
          <w:b/>
          <w:i w:val="0"/>
          <w:color w:val="000000" w:themeColor="text1"/>
          <w:sz w:val="24"/>
          <w:szCs w:val="24"/>
        </w:rPr>
      </w:pPr>
      <w:r w:rsidRPr="00510881">
        <w:rPr>
          <w:b/>
          <w:i w:val="0"/>
          <w:color w:val="000000" w:themeColor="text1"/>
          <w:sz w:val="24"/>
          <w:szCs w:val="24"/>
        </w:rPr>
        <w:t xml:space="preserve">Graf </w:t>
      </w:r>
      <w:r w:rsidRPr="00510881">
        <w:rPr>
          <w:b/>
          <w:i w:val="0"/>
          <w:color w:val="000000" w:themeColor="text1"/>
          <w:sz w:val="24"/>
          <w:szCs w:val="24"/>
        </w:rPr>
        <w:fldChar w:fldCharType="begin"/>
      </w:r>
      <w:r w:rsidRPr="00510881">
        <w:rPr>
          <w:b/>
          <w:i w:val="0"/>
          <w:color w:val="000000" w:themeColor="text1"/>
          <w:sz w:val="24"/>
          <w:szCs w:val="24"/>
        </w:rPr>
        <w:instrText xml:space="preserve"> SEQ Graf \* ARABIC </w:instrText>
      </w:r>
      <w:r w:rsidRPr="00510881">
        <w:rPr>
          <w:b/>
          <w:i w:val="0"/>
          <w:color w:val="000000" w:themeColor="text1"/>
          <w:sz w:val="24"/>
          <w:szCs w:val="24"/>
        </w:rPr>
        <w:fldChar w:fldCharType="separate"/>
      </w:r>
      <w:r w:rsidR="007145CB">
        <w:rPr>
          <w:b/>
          <w:i w:val="0"/>
          <w:noProof/>
          <w:color w:val="000000" w:themeColor="text1"/>
          <w:sz w:val="24"/>
          <w:szCs w:val="24"/>
        </w:rPr>
        <w:t>2</w:t>
      </w:r>
      <w:r w:rsidRPr="00510881">
        <w:rPr>
          <w:b/>
          <w:i w:val="0"/>
          <w:color w:val="000000" w:themeColor="text1"/>
          <w:sz w:val="24"/>
          <w:szCs w:val="24"/>
        </w:rPr>
        <w:fldChar w:fldCharType="end"/>
      </w:r>
      <w:r w:rsidRPr="00510881">
        <w:rPr>
          <w:b/>
          <w:i w:val="0"/>
          <w:color w:val="000000" w:themeColor="text1"/>
          <w:sz w:val="24"/>
          <w:szCs w:val="24"/>
        </w:rPr>
        <w:t xml:space="preserve">: </w:t>
      </w:r>
      <w:r w:rsidR="00F0473E">
        <w:rPr>
          <w:b/>
          <w:i w:val="0"/>
          <w:color w:val="000000" w:themeColor="text1"/>
          <w:sz w:val="24"/>
          <w:szCs w:val="24"/>
        </w:rPr>
        <w:tab/>
      </w:r>
      <w:r w:rsidR="00BD6A53">
        <w:rPr>
          <w:b/>
          <w:i w:val="0"/>
          <w:color w:val="000000" w:themeColor="text1"/>
          <w:sz w:val="24"/>
          <w:szCs w:val="24"/>
        </w:rPr>
        <w:t>Výsledky monitoringu dusíkatých látek v podzemních vodách v letech 2013</w:t>
      </w:r>
      <w:r w:rsidR="00BD6A53" w:rsidRPr="009673A8">
        <w:rPr>
          <w:b/>
          <w:i w:val="0"/>
          <w:color w:val="auto"/>
          <w:sz w:val="24"/>
          <w:szCs w:val="24"/>
        </w:rPr>
        <w:t>–</w:t>
      </w:r>
      <w:r w:rsidR="00BD6A53">
        <w:rPr>
          <w:b/>
          <w:i w:val="0"/>
          <w:color w:val="auto"/>
          <w:sz w:val="24"/>
          <w:szCs w:val="24"/>
        </w:rPr>
        <w:t>2019</w:t>
      </w:r>
    </w:p>
    <w:p w14:paraId="2FF753F7" w14:textId="77777777" w:rsidR="00770FE1" w:rsidRDefault="004633E4" w:rsidP="00770FE1">
      <w:pPr>
        <w:keepNext/>
        <w:spacing w:after="0"/>
        <w:rPr>
          <w:szCs w:val="24"/>
        </w:rPr>
      </w:pPr>
      <w:r>
        <w:rPr>
          <w:noProof/>
          <w:lang w:eastAsia="cs-CZ"/>
        </w:rPr>
        <w:drawing>
          <wp:inline distT="0" distB="0" distL="0" distR="0" wp14:anchorId="1ED43F9A" wp14:editId="4F98B7AF">
            <wp:extent cx="5760720" cy="279082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5CFCB4" w14:textId="77777777" w:rsidR="00770FE1" w:rsidRPr="002C2AF7" w:rsidRDefault="00770FE1" w:rsidP="00770FE1">
      <w:pPr>
        <w:rPr>
          <w:sz w:val="20"/>
          <w:szCs w:val="20"/>
        </w:rPr>
      </w:pPr>
      <w:r w:rsidRPr="002C2AF7">
        <w:rPr>
          <w:b/>
          <w:sz w:val="20"/>
          <w:szCs w:val="20"/>
        </w:rPr>
        <w:t>Zdroj:</w:t>
      </w:r>
      <w:r w:rsidRPr="002C2AF7">
        <w:rPr>
          <w:sz w:val="20"/>
          <w:szCs w:val="20"/>
        </w:rPr>
        <w:t xml:space="preserve"> data z IS ARROW; vlastní zpracování</w:t>
      </w:r>
      <w:r w:rsidR="00CE79BC">
        <w:rPr>
          <w:sz w:val="20"/>
          <w:szCs w:val="20"/>
        </w:rPr>
        <w:t xml:space="preserve"> NKÚ.</w:t>
      </w:r>
    </w:p>
    <w:p w14:paraId="1057544B" w14:textId="77777777" w:rsidR="00770FE1" w:rsidRDefault="00770FE1" w:rsidP="00770FE1">
      <w:pPr>
        <w:rPr>
          <w:szCs w:val="24"/>
        </w:rPr>
      </w:pPr>
      <w:r>
        <w:rPr>
          <w:szCs w:val="24"/>
        </w:rPr>
        <w:t xml:space="preserve">NKÚ </w:t>
      </w:r>
      <w:r w:rsidR="00B95367">
        <w:rPr>
          <w:szCs w:val="24"/>
        </w:rPr>
        <w:t>p</w:t>
      </w:r>
      <w:r w:rsidR="001E59B5">
        <w:rPr>
          <w:szCs w:val="24"/>
        </w:rPr>
        <w:t xml:space="preserve">rovedl </w:t>
      </w:r>
      <w:r w:rsidR="00B95367">
        <w:rPr>
          <w:szCs w:val="24"/>
        </w:rPr>
        <w:t xml:space="preserve">výpočet </w:t>
      </w:r>
      <w:r>
        <w:rPr>
          <w:szCs w:val="24"/>
        </w:rPr>
        <w:t>trend</w:t>
      </w:r>
      <w:r w:rsidR="001E59B5">
        <w:rPr>
          <w:szCs w:val="24"/>
        </w:rPr>
        <w:t xml:space="preserve">u </w:t>
      </w:r>
      <w:r>
        <w:rPr>
          <w:szCs w:val="24"/>
        </w:rPr>
        <w:t xml:space="preserve">naměřených hodnot jednotlivých sledovaných látek/ukazatelů na monitorovacích místech. Trend byl spočítán z minimálně 6 naměřených hodnot dané látky/ukazatele na konkrétním místě. </w:t>
      </w:r>
      <w:r w:rsidR="00DA7993">
        <w:rPr>
          <w:szCs w:val="24"/>
        </w:rPr>
        <w:t>Většina monitorovacích míst vykazovala převážně neměnné hodnoty sledovaných látek a ukazatelů.</w:t>
      </w:r>
      <w:r w:rsidR="00DA7993" w:rsidRPr="005D3A59">
        <w:rPr>
          <w:szCs w:val="24"/>
        </w:rPr>
        <w:t xml:space="preserve"> Detailní přehled </w:t>
      </w:r>
      <w:r w:rsidR="00DA7993">
        <w:rPr>
          <w:szCs w:val="24"/>
        </w:rPr>
        <w:t>počtu sledovaných látek a</w:t>
      </w:r>
      <w:r w:rsidR="0009422A">
        <w:rPr>
          <w:szCs w:val="24"/>
        </w:rPr>
        <w:t> </w:t>
      </w:r>
      <w:r w:rsidR="00DA7993">
        <w:rPr>
          <w:szCs w:val="24"/>
        </w:rPr>
        <w:t>ukazatelů s daným trendem na jednotlivých monitorovacích místech je uveden v příloze č.</w:t>
      </w:r>
      <w:r w:rsidR="0009422A">
        <w:rPr>
          <w:szCs w:val="24"/>
        </w:rPr>
        <w:t> </w:t>
      </w:r>
      <w:r w:rsidR="00DA7993">
        <w:rPr>
          <w:szCs w:val="24"/>
        </w:rPr>
        <w:t>1.</w:t>
      </w:r>
      <w:r w:rsidR="00DA7993" w:rsidDel="00DA7993">
        <w:rPr>
          <w:szCs w:val="24"/>
        </w:rPr>
        <w:t xml:space="preserve"> </w:t>
      </w:r>
    </w:p>
    <w:p w14:paraId="01497EFE" w14:textId="77777777" w:rsidR="00770FE1" w:rsidRPr="00267BE9" w:rsidRDefault="00770FE1" w:rsidP="00770FE1">
      <w:pPr>
        <w:rPr>
          <w:b/>
          <w:szCs w:val="24"/>
          <w:u w:val="single"/>
        </w:rPr>
      </w:pPr>
      <w:r w:rsidRPr="00505668">
        <w:rPr>
          <w:b/>
          <w:szCs w:val="24"/>
          <w:u w:val="single"/>
        </w:rPr>
        <w:t>Povrchov</w:t>
      </w:r>
      <w:r>
        <w:rPr>
          <w:b/>
          <w:szCs w:val="24"/>
          <w:u w:val="single"/>
        </w:rPr>
        <w:t>é</w:t>
      </w:r>
      <w:r w:rsidRPr="00267BE9">
        <w:rPr>
          <w:b/>
          <w:szCs w:val="24"/>
          <w:u w:val="single"/>
        </w:rPr>
        <w:t xml:space="preserve"> vod</w:t>
      </w:r>
      <w:r>
        <w:rPr>
          <w:b/>
          <w:szCs w:val="24"/>
          <w:u w:val="single"/>
        </w:rPr>
        <w:t>y</w:t>
      </w:r>
    </w:p>
    <w:p w14:paraId="7B997D28" w14:textId="470B03EF" w:rsidR="00262560" w:rsidRDefault="008A60AB" w:rsidP="00770FE1">
      <w:pPr>
        <w:rPr>
          <w:szCs w:val="24"/>
        </w:rPr>
      </w:pPr>
      <w:r>
        <w:rPr>
          <w:szCs w:val="24"/>
        </w:rPr>
        <w:t>Správci povodí v období 2013–2019 sledovali v </w:t>
      </w:r>
      <w:r w:rsidR="00BE5A01">
        <w:rPr>
          <w:szCs w:val="24"/>
        </w:rPr>
        <w:t>POV</w:t>
      </w:r>
      <w:r>
        <w:rPr>
          <w:szCs w:val="24"/>
        </w:rPr>
        <w:t xml:space="preserve"> celkem 289 látek, které lze zařadit mezi látky pesticidní. V</w:t>
      </w:r>
      <w:r w:rsidR="00B90186">
        <w:rPr>
          <w:szCs w:val="24"/>
        </w:rPr>
        <w:t xml:space="preserve"> </w:t>
      </w:r>
      <w:r>
        <w:rPr>
          <w:szCs w:val="24"/>
        </w:rPr>
        <w:t xml:space="preserve">případě potřeby dopočítával </w:t>
      </w:r>
      <w:r w:rsidR="00DD4130">
        <w:rPr>
          <w:szCs w:val="24"/>
        </w:rPr>
        <w:t xml:space="preserve">ČHMÚ </w:t>
      </w:r>
      <w:r>
        <w:rPr>
          <w:szCs w:val="24"/>
        </w:rPr>
        <w:t xml:space="preserve">na základě údajů </w:t>
      </w:r>
      <w:r w:rsidR="00DD4130">
        <w:rPr>
          <w:szCs w:val="24"/>
        </w:rPr>
        <w:t>z</w:t>
      </w:r>
      <w:r w:rsidR="00B90186">
        <w:rPr>
          <w:szCs w:val="24"/>
        </w:rPr>
        <w:t xml:space="preserve"> </w:t>
      </w:r>
      <w:r>
        <w:rPr>
          <w:szCs w:val="24"/>
        </w:rPr>
        <w:t>databáz</w:t>
      </w:r>
      <w:r w:rsidR="00DD4130">
        <w:rPr>
          <w:szCs w:val="24"/>
        </w:rPr>
        <w:t>e</w:t>
      </w:r>
      <w:r>
        <w:rPr>
          <w:szCs w:val="24"/>
        </w:rPr>
        <w:t xml:space="preserve"> </w:t>
      </w:r>
      <w:r w:rsidR="00DD4130">
        <w:rPr>
          <w:szCs w:val="24"/>
        </w:rPr>
        <w:br/>
      </w:r>
      <w:r>
        <w:rPr>
          <w:szCs w:val="24"/>
        </w:rPr>
        <w:t xml:space="preserve">IS ARROW </w:t>
      </w:r>
      <w:r w:rsidR="00262560">
        <w:rPr>
          <w:szCs w:val="24"/>
        </w:rPr>
        <w:t>dva souhrnné ukazatele</w:t>
      </w:r>
      <w:r>
        <w:rPr>
          <w:szCs w:val="24"/>
        </w:rPr>
        <w:t>.</w:t>
      </w:r>
      <w:r w:rsidR="00262560">
        <w:rPr>
          <w:szCs w:val="24"/>
        </w:rPr>
        <w:t xml:space="preserve"> </w:t>
      </w:r>
      <w:r>
        <w:rPr>
          <w:szCs w:val="24"/>
        </w:rPr>
        <w:t xml:space="preserve">Dále správci </w:t>
      </w:r>
      <w:r w:rsidR="00262560">
        <w:rPr>
          <w:szCs w:val="24"/>
        </w:rPr>
        <w:t>sledovali v </w:t>
      </w:r>
      <w:r w:rsidR="00BE5A01">
        <w:rPr>
          <w:szCs w:val="24"/>
        </w:rPr>
        <w:t>POV</w:t>
      </w:r>
      <w:r w:rsidR="00262560">
        <w:rPr>
          <w:szCs w:val="24"/>
        </w:rPr>
        <w:t xml:space="preserve"> celkem deset dusíkatých látek/ukazatel</w:t>
      </w:r>
      <w:r w:rsidR="00227A2A">
        <w:rPr>
          <w:szCs w:val="24"/>
        </w:rPr>
        <w:t>ů –</w:t>
      </w:r>
      <w:r w:rsidR="00262560">
        <w:rPr>
          <w:szCs w:val="24"/>
        </w:rPr>
        <w:t xml:space="preserve"> nejčastěji: celkový dusík, dusík amoniakální, dusík dusitanový a dusík dusičnanový.</w:t>
      </w:r>
    </w:p>
    <w:p w14:paraId="641F0288" w14:textId="77777777" w:rsidR="00BA6AA5" w:rsidRPr="003009BF" w:rsidRDefault="00BA6AA5" w:rsidP="00770FE1">
      <w:pPr>
        <w:rPr>
          <w:szCs w:val="24"/>
          <w:u w:val="single"/>
        </w:rPr>
      </w:pPr>
      <w:r w:rsidRPr="003009BF">
        <w:rPr>
          <w:szCs w:val="24"/>
          <w:u w:val="single"/>
        </w:rPr>
        <w:t xml:space="preserve">Pesticidní látky </w:t>
      </w:r>
    </w:p>
    <w:p w14:paraId="14B0F65F" w14:textId="77777777" w:rsidR="00770FE1" w:rsidRPr="000057DC" w:rsidRDefault="004633E4" w:rsidP="0098278E">
      <w:pPr>
        <w:rPr>
          <w:szCs w:val="24"/>
        </w:rPr>
      </w:pPr>
      <w:r>
        <w:rPr>
          <w:szCs w:val="24"/>
        </w:rPr>
        <w:t>A</w:t>
      </w:r>
      <w:r w:rsidR="00BE5A01" w:rsidRPr="000057DC">
        <w:rPr>
          <w:szCs w:val="24"/>
        </w:rPr>
        <w:t>lespoň jedn</w:t>
      </w:r>
      <w:r>
        <w:rPr>
          <w:szCs w:val="24"/>
        </w:rPr>
        <w:t>a</w:t>
      </w:r>
      <w:r w:rsidR="00770FE1" w:rsidRPr="000057DC">
        <w:rPr>
          <w:szCs w:val="24"/>
        </w:rPr>
        <w:t xml:space="preserve"> pesticidní látk</w:t>
      </w:r>
      <w:r>
        <w:rPr>
          <w:szCs w:val="24"/>
        </w:rPr>
        <w:t>a</w:t>
      </w:r>
      <w:r w:rsidR="00770FE1" w:rsidRPr="000057DC">
        <w:rPr>
          <w:szCs w:val="24"/>
        </w:rPr>
        <w:t xml:space="preserve"> </w:t>
      </w:r>
      <w:r w:rsidR="000057DC">
        <w:rPr>
          <w:szCs w:val="24"/>
        </w:rPr>
        <w:t xml:space="preserve">byla každý rok </w:t>
      </w:r>
      <w:r w:rsidR="00770FE1" w:rsidRPr="000057DC">
        <w:rPr>
          <w:szCs w:val="24"/>
        </w:rPr>
        <w:t xml:space="preserve">zjištěna </w:t>
      </w:r>
      <w:r w:rsidR="000057DC">
        <w:rPr>
          <w:szCs w:val="24"/>
        </w:rPr>
        <w:t>v průměru</w:t>
      </w:r>
      <w:r w:rsidR="00770FE1">
        <w:rPr>
          <w:szCs w:val="24"/>
        </w:rPr>
        <w:t xml:space="preserve"> na </w:t>
      </w:r>
      <w:r w:rsidR="000057DC">
        <w:rPr>
          <w:szCs w:val="24"/>
        </w:rPr>
        <w:t xml:space="preserve">88 </w:t>
      </w:r>
      <w:r w:rsidR="001D6F1D">
        <w:rPr>
          <w:szCs w:val="24"/>
        </w:rPr>
        <w:t>%</w:t>
      </w:r>
      <w:r w:rsidR="00770FE1">
        <w:rPr>
          <w:szCs w:val="24"/>
        </w:rPr>
        <w:t xml:space="preserve"> </w:t>
      </w:r>
      <w:r w:rsidR="001D6F1D">
        <w:rPr>
          <w:szCs w:val="24"/>
        </w:rPr>
        <w:t>analyzovaných</w:t>
      </w:r>
      <w:r w:rsidR="00770FE1" w:rsidRPr="000057DC">
        <w:rPr>
          <w:szCs w:val="24"/>
        </w:rPr>
        <w:t xml:space="preserve"> </w:t>
      </w:r>
      <w:r w:rsidR="008E042E">
        <w:rPr>
          <w:szCs w:val="24"/>
        </w:rPr>
        <w:t>míst</w:t>
      </w:r>
      <w:r w:rsidR="000057DC">
        <w:rPr>
          <w:szCs w:val="24"/>
        </w:rPr>
        <w:t>.</w:t>
      </w:r>
      <w:r w:rsidR="00770FE1" w:rsidRPr="000057DC" w:rsidDel="004633E4">
        <w:rPr>
          <w:szCs w:val="24"/>
        </w:rPr>
        <w:t xml:space="preserve"> </w:t>
      </w:r>
      <w:r w:rsidR="001A496D">
        <w:rPr>
          <w:szCs w:val="24"/>
        </w:rPr>
        <w:t xml:space="preserve">Počet míst se zjištěnou pesticidní látkou </w:t>
      </w:r>
      <w:r w:rsidR="00770FE1" w:rsidRPr="000057DC">
        <w:rPr>
          <w:szCs w:val="24"/>
        </w:rPr>
        <w:t>za sledované období celkově rostl</w:t>
      </w:r>
      <w:r w:rsidR="00A115CC">
        <w:rPr>
          <w:szCs w:val="24"/>
        </w:rPr>
        <w:t xml:space="preserve"> (v roce 2019 oproti roku 2013 o 50 %)</w:t>
      </w:r>
      <w:r w:rsidR="00354CB9">
        <w:rPr>
          <w:szCs w:val="24"/>
        </w:rPr>
        <w:t>.</w:t>
      </w:r>
    </w:p>
    <w:p w14:paraId="63E8619E" w14:textId="77777777" w:rsidR="00770FE1" w:rsidRPr="000057DC" w:rsidRDefault="00770FE1" w:rsidP="00770FE1">
      <w:pPr>
        <w:rPr>
          <w:szCs w:val="24"/>
        </w:rPr>
      </w:pPr>
      <w:r w:rsidRPr="000057DC">
        <w:rPr>
          <w:szCs w:val="24"/>
        </w:rPr>
        <w:t xml:space="preserve">Norma environmentální kvality byla stanovena pro 48, resp. 57 pesticidních látek. </w:t>
      </w:r>
      <w:r w:rsidR="00BE5A01" w:rsidRPr="000057DC">
        <w:rPr>
          <w:szCs w:val="24"/>
        </w:rPr>
        <w:t>Alespoň u</w:t>
      </w:r>
      <w:r w:rsidR="000A6431">
        <w:rPr>
          <w:szCs w:val="24"/>
        </w:rPr>
        <w:t> </w:t>
      </w:r>
      <w:r w:rsidR="00BE5A01" w:rsidRPr="000057DC">
        <w:rPr>
          <w:szCs w:val="24"/>
        </w:rPr>
        <w:t xml:space="preserve">jedné pesticidní látky byla </w:t>
      </w:r>
      <w:r w:rsidR="000057DC">
        <w:rPr>
          <w:szCs w:val="24"/>
        </w:rPr>
        <w:t xml:space="preserve">každý rok </w:t>
      </w:r>
      <w:r w:rsidR="00BE5A01" w:rsidRPr="000057DC">
        <w:rPr>
          <w:szCs w:val="24"/>
        </w:rPr>
        <w:t xml:space="preserve">překročena </w:t>
      </w:r>
      <w:r w:rsidR="000057DC">
        <w:rPr>
          <w:szCs w:val="24"/>
        </w:rPr>
        <w:t>v průměru</w:t>
      </w:r>
      <w:r>
        <w:rPr>
          <w:szCs w:val="24"/>
        </w:rPr>
        <w:t xml:space="preserve"> na </w:t>
      </w:r>
      <w:r w:rsidR="000057DC">
        <w:rPr>
          <w:szCs w:val="24"/>
        </w:rPr>
        <w:t xml:space="preserve">26 </w:t>
      </w:r>
      <w:r w:rsidR="00354CB9">
        <w:rPr>
          <w:szCs w:val="24"/>
        </w:rPr>
        <w:t>%</w:t>
      </w:r>
      <w:r>
        <w:rPr>
          <w:szCs w:val="24"/>
        </w:rPr>
        <w:t xml:space="preserve"> </w:t>
      </w:r>
      <w:r w:rsidR="00354CB9">
        <w:rPr>
          <w:szCs w:val="24"/>
        </w:rPr>
        <w:t>analyzovaných</w:t>
      </w:r>
      <w:r>
        <w:rPr>
          <w:szCs w:val="24"/>
        </w:rPr>
        <w:t xml:space="preserve"> </w:t>
      </w:r>
      <w:r w:rsidR="008E042E">
        <w:rPr>
          <w:szCs w:val="24"/>
        </w:rPr>
        <w:t>míst</w:t>
      </w:r>
      <w:r>
        <w:rPr>
          <w:szCs w:val="24"/>
        </w:rPr>
        <w:t xml:space="preserve">. Za sledované období počet </w:t>
      </w:r>
      <w:r w:rsidR="008E042E">
        <w:rPr>
          <w:szCs w:val="24"/>
        </w:rPr>
        <w:t>míst</w:t>
      </w:r>
      <w:r w:rsidRPr="000057DC">
        <w:rPr>
          <w:szCs w:val="24"/>
        </w:rPr>
        <w:t xml:space="preserve"> s překročenou normou celkově </w:t>
      </w:r>
      <w:r w:rsidR="00AF6185" w:rsidRPr="0036333F">
        <w:rPr>
          <w:szCs w:val="24"/>
        </w:rPr>
        <w:t>rostl</w:t>
      </w:r>
      <w:r w:rsidR="00A115CC">
        <w:rPr>
          <w:szCs w:val="24"/>
        </w:rPr>
        <w:t xml:space="preserve">, nicméně po výrazném růstu v roce 2017 </w:t>
      </w:r>
      <w:r w:rsidR="0033713A">
        <w:rPr>
          <w:szCs w:val="24"/>
        </w:rPr>
        <w:t xml:space="preserve">klesl </w:t>
      </w:r>
      <w:r w:rsidR="00A115CC">
        <w:rPr>
          <w:szCs w:val="24"/>
        </w:rPr>
        <w:t xml:space="preserve">v roce 2019 pod </w:t>
      </w:r>
      <w:r w:rsidR="00DD4130">
        <w:rPr>
          <w:szCs w:val="24"/>
        </w:rPr>
        <w:t xml:space="preserve">úroveň </w:t>
      </w:r>
      <w:r w:rsidR="00A115CC">
        <w:rPr>
          <w:szCs w:val="24"/>
        </w:rPr>
        <w:t>rok</w:t>
      </w:r>
      <w:r w:rsidR="00DD4130">
        <w:rPr>
          <w:szCs w:val="24"/>
        </w:rPr>
        <w:t>u</w:t>
      </w:r>
      <w:r w:rsidR="00A115CC">
        <w:rPr>
          <w:szCs w:val="24"/>
        </w:rPr>
        <w:t xml:space="preserve"> 2013</w:t>
      </w:r>
      <w:r w:rsidR="0036333F" w:rsidRPr="0036333F">
        <w:rPr>
          <w:szCs w:val="24"/>
        </w:rPr>
        <w:t xml:space="preserve">, </w:t>
      </w:r>
      <w:r w:rsidR="0033713A">
        <w:rPr>
          <w:szCs w:val="24"/>
        </w:rPr>
        <w:t>a to o 9 %</w:t>
      </w:r>
      <w:r w:rsidR="00DD4130">
        <w:rPr>
          <w:szCs w:val="24"/>
        </w:rPr>
        <w:t>;</w:t>
      </w:r>
      <w:r w:rsidR="0033713A">
        <w:rPr>
          <w:szCs w:val="24"/>
        </w:rPr>
        <w:t xml:space="preserve"> </w:t>
      </w:r>
      <w:r w:rsidR="0036333F" w:rsidRPr="0036333F">
        <w:rPr>
          <w:szCs w:val="24"/>
        </w:rPr>
        <w:t>v</w:t>
      </w:r>
      <w:r w:rsidR="00354CB9" w:rsidRPr="0036333F">
        <w:rPr>
          <w:szCs w:val="24"/>
        </w:rPr>
        <w:t>iz graf 3.</w:t>
      </w:r>
    </w:p>
    <w:p w14:paraId="64F5D2B2" w14:textId="503C0E84" w:rsidR="00770FE1" w:rsidRPr="00AF6185" w:rsidRDefault="00770FE1" w:rsidP="008532D5">
      <w:pPr>
        <w:pStyle w:val="Titulek"/>
        <w:keepNext/>
        <w:spacing w:after="0"/>
        <w:ind w:left="737" w:hanging="737"/>
        <w:rPr>
          <w:b/>
          <w:i w:val="0"/>
          <w:color w:val="auto"/>
          <w:sz w:val="24"/>
          <w:szCs w:val="24"/>
        </w:rPr>
      </w:pPr>
      <w:r w:rsidRPr="00AF6185">
        <w:rPr>
          <w:b/>
          <w:i w:val="0"/>
          <w:color w:val="auto"/>
          <w:sz w:val="24"/>
          <w:szCs w:val="24"/>
        </w:rPr>
        <w:lastRenderedPageBreak/>
        <w:t xml:space="preserve">Graf </w:t>
      </w:r>
      <w:r w:rsidRPr="00AF6185">
        <w:rPr>
          <w:b/>
          <w:i w:val="0"/>
          <w:color w:val="auto"/>
          <w:sz w:val="24"/>
          <w:szCs w:val="24"/>
        </w:rPr>
        <w:fldChar w:fldCharType="begin"/>
      </w:r>
      <w:r w:rsidRPr="00AF6185">
        <w:rPr>
          <w:b/>
          <w:i w:val="0"/>
          <w:color w:val="auto"/>
          <w:sz w:val="24"/>
          <w:szCs w:val="24"/>
        </w:rPr>
        <w:instrText xml:space="preserve"> SEQ Graf \* ARABIC </w:instrText>
      </w:r>
      <w:r w:rsidRPr="00AF6185">
        <w:rPr>
          <w:b/>
          <w:i w:val="0"/>
          <w:color w:val="auto"/>
          <w:sz w:val="24"/>
          <w:szCs w:val="24"/>
        </w:rPr>
        <w:fldChar w:fldCharType="separate"/>
      </w:r>
      <w:r w:rsidR="007145CB">
        <w:rPr>
          <w:b/>
          <w:i w:val="0"/>
          <w:noProof/>
          <w:color w:val="auto"/>
          <w:sz w:val="24"/>
          <w:szCs w:val="24"/>
        </w:rPr>
        <w:t>3</w:t>
      </w:r>
      <w:r w:rsidRPr="00AF6185">
        <w:rPr>
          <w:b/>
          <w:i w:val="0"/>
          <w:color w:val="auto"/>
          <w:sz w:val="24"/>
          <w:szCs w:val="24"/>
        </w:rPr>
        <w:fldChar w:fldCharType="end"/>
      </w:r>
      <w:r w:rsidRPr="00AF6185">
        <w:rPr>
          <w:b/>
          <w:i w:val="0"/>
          <w:color w:val="auto"/>
          <w:sz w:val="24"/>
          <w:szCs w:val="24"/>
        </w:rPr>
        <w:t xml:space="preserve">: </w:t>
      </w:r>
      <w:r w:rsidR="00F0473E">
        <w:rPr>
          <w:b/>
          <w:i w:val="0"/>
          <w:color w:val="auto"/>
          <w:sz w:val="24"/>
          <w:szCs w:val="24"/>
        </w:rPr>
        <w:tab/>
      </w:r>
      <w:r w:rsidR="004C35DA">
        <w:rPr>
          <w:b/>
          <w:i w:val="0"/>
          <w:color w:val="auto"/>
          <w:sz w:val="24"/>
          <w:szCs w:val="24"/>
        </w:rPr>
        <w:t>Výsledky monitoringu pesticidních látek v povrchových vodách v letech 2013</w:t>
      </w:r>
      <w:r w:rsidR="004C35DA" w:rsidRPr="009673A8">
        <w:rPr>
          <w:b/>
          <w:i w:val="0"/>
          <w:color w:val="auto"/>
          <w:sz w:val="24"/>
          <w:szCs w:val="24"/>
        </w:rPr>
        <w:t>–</w:t>
      </w:r>
      <w:r w:rsidR="004C35DA">
        <w:rPr>
          <w:b/>
          <w:i w:val="0"/>
          <w:color w:val="auto"/>
          <w:sz w:val="24"/>
          <w:szCs w:val="24"/>
        </w:rPr>
        <w:t>2019</w:t>
      </w:r>
    </w:p>
    <w:p w14:paraId="45A0F0DF" w14:textId="77777777" w:rsidR="00770FE1" w:rsidRPr="00512821" w:rsidRDefault="004633E4" w:rsidP="00770FE1">
      <w:pPr>
        <w:keepNext/>
        <w:spacing w:after="0"/>
        <w:rPr>
          <w:highlight w:val="yellow"/>
        </w:rPr>
      </w:pPr>
      <w:r>
        <w:rPr>
          <w:noProof/>
          <w:lang w:eastAsia="cs-CZ"/>
        </w:rPr>
        <w:drawing>
          <wp:inline distT="0" distB="0" distL="0" distR="0" wp14:anchorId="30CB8C04" wp14:editId="0BC74E52">
            <wp:extent cx="5753100" cy="27051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457EAB" w14:textId="77777777" w:rsidR="00770FE1" w:rsidRPr="002C2AF7" w:rsidRDefault="00770FE1" w:rsidP="00770FE1">
      <w:pPr>
        <w:rPr>
          <w:sz w:val="20"/>
          <w:szCs w:val="20"/>
        </w:rPr>
      </w:pPr>
      <w:r w:rsidRPr="002C2AF7">
        <w:rPr>
          <w:b/>
          <w:sz w:val="20"/>
          <w:szCs w:val="20"/>
        </w:rPr>
        <w:t>Zdroj:</w:t>
      </w:r>
      <w:r w:rsidRPr="002C2AF7">
        <w:rPr>
          <w:sz w:val="20"/>
          <w:szCs w:val="20"/>
        </w:rPr>
        <w:t xml:space="preserve"> data z IS ARROW; vlastní zpracování</w:t>
      </w:r>
      <w:r w:rsidR="00DD4130">
        <w:rPr>
          <w:sz w:val="20"/>
          <w:szCs w:val="20"/>
        </w:rPr>
        <w:t xml:space="preserve"> NKÚ.</w:t>
      </w:r>
    </w:p>
    <w:p w14:paraId="67192FEC" w14:textId="77777777" w:rsidR="00251E07" w:rsidRDefault="00251E07" w:rsidP="00770FE1">
      <w:pPr>
        <w:rPr>
          <w:szCs w:val="24"/>
        </w:rPr>
      </w:pPr>
    </w:p>
    <w:p w14:paraId="4C506DB7" w14:textId="77777777" w:rsidR="00E91EFC" w:rsidRPr="003009BF" w:rsidRDefault="00E91EFC" w:rsidP="00770FE1">
      <w:pPr>
        <w:rPr>
          <w:szCs w:val="24"/>
          <w:u w:val="single"/>
        </w:rPr>
      </w:pPr>
      <w:r w:rsidRPr="003009BF">
        <w:rPr>
          <w:szCs w:val="24"/>
          <w:u w:val="single"/>
        </w:rPr>
        <w:t>Staré zátěže</w:t>
      </w:r>
    </w:p>
    <w:p w14:paraId="448DDE6C" w14:textId="31770500" w:rsidR="0062291F" w:rsidRDefault="00561FB2" w:rsidP="002E350D">
      <w:pPr>
        <w:rPr>
          <w:szCs w:val="24"/>
        </w:rPr>
      </w:pPr>
      <w:r w:rsidRPr="00381264">
        <w:rPr>
          <w:szCs w:val="24"/>
        </w:rPr>
        <w:t>Z 289 sledovaných pesticidních látek řadí ČHMÚ mezi tzv. staré zátěže 133 látek. Jedná se o </w:t>
      </w:r>
      <w:r w:rsidR="00FF20FE" w:rsidRPr="00381264">
        <w:rPr>
          <w:szCs w:val="24"/>
        </w:rPr>
        <w:t>101</w:t>
      </w:r>
      <w:r w:rsidRPr="00381264">
        <w:rPr>
          <w:szCs w:val="24"/>
        </w:rPr>
        <w:t xml:space="preserve"> pesticidů, které se dnes nepoužívají nebo je jejich použití dokonce zakázané, a </w:t>
      </w:r>
      <w:r w:rsidR="00FF20FE" w:rsidRPr="00381264">
        <w:rPr>
          <w:szCs w:val="24"/>
        </w:rPr>
        <w:t>32</w:t>
      </w:r>
      <w:r w:rsidRPr="00381264">
        <w:rPr>
          <w:szCs w:val="24"/>
        </w:rPr>
        <w:t xml:space="preserve"> jejich metabolitů.</w:t>
      </w:r>
      <w:r w:rsidR="00AF7153">
        <w:rPr>
          <w:rStyle w:val="Znakapoznpodarou"/>
          <w:szCs w:val="24"/>
        </w:rPr>
        <w:footnoteReference w:id="40"/>
      </w:r>
      <w:r w:rsidRPr="00381264">
        <w:rPr>
          <w:szCs w:val="24"/>
        </w:rPr>
        <w:t xml:space="preserve"> Za období 2013–2019 </w:t>
      </w:r>
      <w:r w:rsidR="004633E4">
        <w:rPr>
          <w:szCs w:val="24"/>
        </w:rPr>
        <w:t>byla alespoň jedna látka</w:t>
      </w:r>
      <w:r w:rsidRPr="00381264">
        <w:rPr>
          <w:szCs w:val="24"/>
        </w:rPr>
        <w:t xml:space="preserve"> </w:t>
      </w:r>
      <w:r w:rsidR="00381264">
        <w:rPr>
          <w:szCs w:val="24"/>
        </w:rPr>
        <w:t>každý rok</w:t>
      </w:r>
      <w:r>
        <w:rPr>
          <w:szCs w:val="24"/>
        </w:rPr>
        <w:t xml:space="preserve"> </w:t>
      </w:r>
      <w:r w:rsidRPr="00381264">
        <w:rPr>
          <w:szCs w:val="24"/>
        </w:rPr>
        <w:t xml:space="preserve">zjištěna </w:t>
      </w:r>
      <w:r w:rsidR="00381264">
        <w:rPr>
          <w:szCs w:val="24"/>
        </w:rPr>
        <w:t xml:space="preserve">v průměru </w:t>
      </w:r>
      <w:r>
        <w:rPr>
          <w:szCs w:val="24"/>
        </w:rPr>
        <w:t xml:space="preserve">na </w:t>
      </w:r>
      <w:r w:rsidR="00381264">
        <w:rPr>
          <w:szCs w:val="24"/>
        </w:rPr>
        <w:t>84</w:t>
      </w:r>
      <w:r w:rsidR="005F22BF">
        <w:rPr>
          <w:szCs w:val="24"/>
        </w:rPr>
        <w:t> </w:t>
      </w:r>
      <w:r w:rsidR="00354CB9">
        <w:rPr>
          <w:szCs w:val="24"/>
        </w:rPr>
        <w:t xml:space="preserve">% analyzovaných míst. </w:t>
      </w:r>
      <w:r w:rsidRPr="00381264">
        <w:rPr>
          <w:szCs w:val="24"/>
        </w:rPr>
        <w:t>N</w:t>
      </w:r>
      <w:r w:rsidR="00BA12C1">
        <w:rPr>
          <w:szCs w:val="24"/>
        </w:rPr>
        <w:t xml:space="preserve">EK </w:t>
      </w:r>
      <w:r w:rsidRPr="00381264">
        <w:rPr>
          <w:szCs w:val="24"/>
        </w:rPr>
        <w:t xml:space="preserve">těchto látek </w:t>
      </w:r>
      <w:r w:rsidR="00381264">
        <w:rPr>
          <w:szCs w:val="24"/>
        </w:rPr>
        <w:t xml:space="preserve">byla každý rok </w:t>
      </w:r>
      <w:r w:rsidRPr="00381264">
        <w:rPr>
          <w:szCs w:val="24"/>
        </w:rPr>
        <w:t xml:space="preserve">překročena </w:t>
      </w:r>
      <w:r w:rsidR="00381264">
        <w:rPr>
          <w:szCs w:val="24"/>
        </w:rPr>
        <w:t>v průměru</w:t>
      </w:r>
      <w:r>
        <w:rPr>
          <w:szCs w:val="24"/>
        </w:rPr>
        <w:t xml:space="preserve"> na </w:t>
      </w:r>
      <w:r w:rsidR="00354CB9">
        <w:rPr>
          <w:szCs w:val="24"/>
        </w:rPr>
        <w:t>26</w:t>
      </w:r>
      <w:r w:rsidR="005F22BF">
        <w:rPr>
          <w:szCs w:val="24"/>
        </w:rPr>
        <w:t> </w:t>
      </w:r>
      <w:r w:rsidR="00354CB9">
        <w:rPr>
          <w:szCs w:val="24"/>
        </w:rPr>
        <w:t>% analyzovaných míst u</w:t>
      </w:r>
      <w:r w:rsidR="00381264">
        <w:rPr>
          <w:szCs w:val="24"/>
        </w:rPr>
        <w:t xml:space="preserve"> 10 látek.</w:t>
      </w:r>
      <w:r w:rsidR="00B317A8">
        <w:rPr>
          <w:szCs w:val="24"/>
        </w:rPr>
        <w:t xml:space="preserve"> Jak počet míst se zjištěnou látkou, tak počet míst s překročenou normou za období 2013–201</w:t>
      </w:r>
      <w:r w:rsidR="003009BF">
        <w:rPr>
          <w:szCs w:val="24"/>
        </w:rPr>
        <w:t>9</w:t>
      </w:r>
      <w:r w:rsidR="00B317A8">
        <w:rPr>
          <w:szCs w:val="24"/>
        </w:rPr>
        <w:t xml:space="preserve"> celkově rostl</w:t>
      </w:r>
      <w:r w:rsidR="000A6431">
        <w:rPr>
          <w:szCs w:val="24"/>
        </w:rPr>
        <w:t>y</w:t>
      </w:r>
      <w:r w:rsidR="00766BE8">
        <w:rPr>
          <w:szCs w:val="24"/>
        </w:rPr>
        <w:t>. V roce 2019 byl oproti roku 2013 počet míst se zjištěnou látkou vyšší o 46 %.</w:t>
      </w:r>
    </w:p>
    <w:p w14:paraId="119AA004" w14:textId="77777777" w:rsidR="0062291F" w:rsidRPr="003009BF" w:rsidRDefault="0062291F" w:rsidP="002E350D">
      <w:pPr>
        <w:rPr>
          <w:szCs w:val="24"/>
          <w:u w:val="single"/>
        </w:rPr>
      </w:pPr>
      <w:r w:rsidRPr="003009BF">
        <w:rPr>
          <w:szCs w:val="24"/>
          <w:u w:val="single"/>
        </w:rPr>
        <w:t>Dusíkaté látky</w:t>
      </w:r>
    </w:p>
    <w:p w14:paraId="73F97791" w14:textId="77777777" w:rsidR="00770FE1" w:rsidRPr="00AC0EF7" w:rsidRDefault="00282B4A" w:rsidP="002E350D">
      <w:pPr>
        <w:rPr>
          <w:szCs w:val="24"/>
          <w:highlight w:val="yellow"/>
        </w:rPr>
      </w:pPr>
      <w:r>
        <w:rPr>
          <w:szCs w:val="24"/>
        </w:rPr>
        <w:t>A</w:t>
      </w:r>
      <w:r w:rsidR="00012301" w:rsidRPr="00A30231">
        <w:rPr>
          <w:szCs w:val="24"/>
        </w:rPr>
        <w:t>lespoň jedn</w:t>
      </w:r>
      <w:r>
        <w:rPr>
          <w:szCs w:val="24"/>
        </w:rPr>
        <w:t>a</w:t>
      </w:r>
      <w:r w:rsidR="00012301" w:rsidRPr="00A30231">
        <w:rPr>
          <w:szCs w:val="24"/>
        </w:rPr>
        <w:t xml:space="preserve"> dusíkat</w:t>
      </w:r>
      <w:r>
        <w:rPr>
          <w:szCs w:val="24"/>
        </w:rPr>
        <w:t>á látka</w:t>
      </w:r>
      <w:r w:rsidR="00012301" w:rsidRPr="00A30231">
        <w:rPr>
          <w:szCs w:val="24"/>
        </w:rPr>
        <w:t xml:space="preserve"> </w:t>
      </w:r>
      <w:r w:rsidR="00354CB9">
        <w:rPr>
          <w:szCs w:val="24"/>
        </w:rPr>
        <w:t xml:space="preserve">a ukazatel </w:t>
      </w:r>
      <w:r w:rsidR="00DD4130">
        <w:rPr>
          <w:szCs w:val="24"/>
        </w:rPr>
        <w:t>„</w:t>
      </w:r>
      <w:r w:rsidR="00354CB9" w:rsidRPr="00354CB9">
        <w:rPr>
          <w:i/>
          <w:szCs w:val="24"/>
        </w:rPr>
        <w:t>celkový dusík</w:t>
      </w:r>
      <w:r w:rsidR="00DD4130">
        <w:rPr>
          <w:szCs w:val="24"/>
        </w:rPr>
        <w:t>“</w:t>
      </w:r>
      <w:r w:rsidR="00354CB9">
        <w:rPr>
          <w:szCs w:val="24"/>
        </w:rPr>
        <w:t xml:space="preserve"> byly</w:t>
      </w:r>
      <w:r w:rsidR="001B5B36" w:rsidRPr="00A30231">
        <w:rPr>
          <w:szCs w:val="24"/>
        </w:rPr>
        <w:t xml:space="preserve"> každý rok</w:t>
      </w:r>
      <w:r w:rsidR="00354CB9">
        <w:rPr>
          <w:szCs w:val="24"/>
        </w:rPr>
        <w:t xml:space="preserve"> zjištěny</w:t>
      </w:r>
      <w:r w:rsidR="00012301" w:rsidRPr="00A30231">
        <w:rPr>
          <w:szCs w:val="24"/>
        </w:rPr>
        <w:t xml:space="preserve"> </w:t>
      </w:r>
      <w:r w:rsidR="00354CB9">
        <w:rPr>
          <w:szCs w:val="24"/>
        </w:rPr>
        <w:t>na takřka všech analyzovaných místech. Za</w:t>
      </w:r>
      <w:r w:rsidR="00C170AE">
        <w:rPr>
          <w:szCs w:val="24"/>
        </w:rPr>
        <w:t xml:space="preserve"> </w:t>
      </w:r>
      <w:r w:rsidR="001B5B36" w:rsidRPr="00A30231" w:rsidDel="00282B4A">
        <w:rPr>
          <w:szCs w:val="24"/>
        </w:rPr>
        <w:t xml:space="preserve">období 2013–2019 </w:t>
      </w:r>
      <w:r w:rsidR="00770FE1">
        <w:rPr>
          <w:szCs w:val="24"/>
        </w:rPr>
        <w:t xml:space="preserve">počet </w:t>
      </w:r>
      <w:r w:rsidR="007D4296">
        <w:rPr>
          <w:szCs w:val="24"/>
        </w:rPr>
        <w:t>míst</w:t>
      </w:r>
      <w:r>
        <w:rPr>
          <w:szCs w:val="24"/>
        </w:rPr>
        <w:t xml:space="preserve"> se zjištěnou a</w:t>
      </w:r>
      <w:r w:rsidR="00C170AE">
        <w:rPr>
          <w:szCs w:val="24"/>
        </w:rPr>
        <w:t xml:space="preserve">lespoň jednou dusíkatou látkou nebo </w:t>
      </w:r>
      <w:r w:rsidR="00DD4130">
        <w:rPr>
          <w:szCs w:val="24"/>
        </w:rPr>
        <w:t>„</w:t>
      </w:r>
      <w:r w:rsidR="00C170AE" w:rsidRPr="00F653BA">
        <w:rPr>
          <w:i/>
          <w:szCs w:val="24"/>
        </w:rPr>
        <w:t>celkovým dusíkem</w:t>
      </w:r>
      <w:r w:rsidR="00DD4130">
        <w:rPr>
          <w:szCs w:val="24"/>
        </w:rPr>
        <w:t>“</w:t>
      </w:r>
      <w:r w:rsidR="00C170AE">
        <w:rPr>
          <w:szCs w:val="24"/>
        </w:rPr>
        <w:t xml:space="preserve"> celkově rostl</w:t>
      </w:r>
      <w:r w:rsidR="00A115CC">
        <w:rPr>
          <w:szCs w:val="24"/>
        </w:rPr>
        <w:t xml:space="preserve"> (v roce 2019 oproti roku 2013 o 20 %, resp. 14 %)</w:t>
      </w:r>
      <w:r w:rsidR="00C170AE">
        <w:rPr>
          <w:szCs w:val="24"/>
        </w:rPr>
        <w:t>. Nej</w:t>
      </w:r>
      <w:r w:rsidR="00F653BA">
        <w:rPr>
          <w:szCs w:val="24"/>
        </w:rPr>
        <w:t>čas</w:t>
      </w:r>
      <w:r w:rsidR="00DD4130">
        <w:rPr>
          <w:szCs w:val="24"/>
        </w:rPr>
        <w:t>t</w:t>
      </w:r>
      <w:r w:rsidR="00F653BA">
        <w:rPr>
          <w:szCs w:val="24"/>
        </w:rPr>
        <w:t>ěji</w:t>
      </w:r>
      <w:r w:rsidR="00C170AE">
        <w:rPr>
          <w:szCs w:val="24"/>
        </w:rPr>
        <w:t xml:space="preserve"> byl v POV přítomen dusičnanový dusík, nejméně amoniakální dusík.</w:t>
      </w:r>
    </w:p>
    <w:p w14:paraId="446CE5C5" w14:textId="77777777" w:rsidR="00770FE1" w:rsidRDefault="00770FE1" w:rsidP="00770FE1">
      <w:pPr>
        <w:rPr>
          <w:szCs w:val="24"/>
        </w:rPr>
      </w:pPr>
      <w:r>
        <w:rPr>
          <w:szCs w:val="24"/>
        </w:rPr>
        <w:t>Norma environmentální kvality byla stanovena pro amoniakální dusík</w:t>
      </w:r>
      <w:r w:rsidR="00F653BA">
        <w:rPr>
          <w:szCs w:val="24"/>
        </w:rPr>
        <w:t xml:space="preserve">, </w:t>
      </w:r>
      <w:r>
        <w:rPr>
          <w:szCs w:val="24"/>
        </w:rPr>
        <w:t>dusičnanový dusík</w:t>
      </w:r>
      <w:r w:rsidR="00F653BA">
        <w:rPr>
          <w:szCs w:val="24"/>
        </w:rPr>
        <w:t xml:space="preserve"> a</w:t>
      </w:r>
      <w:r w:rsidR="002E350D">
        <w:rPr>
          <w:szCs w:val="24"/>
        </w:rPr>
        <w:t> </w:t>
      </w:r>
      <w:r w:rsidR="00F653BA">
        <w:rPr>
          <w:szCs w:val="24"/>
        </w:rPr>
        <w:t xml:space="preserve">pro ukazatel </w:t>
      </w:r>
      <w:r w:rsidR="005F22BF">
        <w:rPr>
          <w:szCs w:val="24"/>
        </w:rPr>
        <w:t>„</w:t>
      </w:r>
      <w:r w:rsidR="00F653BA" w:rsidRPr="00F653BA">
        <w:rPr>
          <w:i/>
          <w:szCs w:val="24"/>
        </w:rPr>
        <w:t>celkový dusík</w:t>
      </w:r>
      <w:r w:rsidR="005F22BF">
        <w:rPr>
          <w:szCs w:val="24"/>
        </w:rPr>
        <w:t>“</w:t>
      </w:r>
      <w:r>
        <w:rPr>
          <w:szCs w:val="24"/>
        </w:rPr>
        <w:t xml:space="preserve">. </w:t>
      </w:r>
      <w:r w:rsidR="00F653BA">
        <w:rPr>
          <w:szCs w:val="24"/>
        </w:rPr>
        <w:t xml:space="preserve">Za období 2013–2019 </w:t>
      </w:r>
      <w:r w:rsidR="0036333F">
        <w:rPr>
          <w:szCs w:val="24"/>
        </w:rPr>
        <w:t>byla</w:t>
      </w:r>
      <w:r w:rsidR="00F653BA">
        <w:rPr>
          <w:szCs w:val="24"/>
        </w:rPr>
        <w:t xml:space="preserve"> </w:t>
      </w:r>
      <w:r w:rsidR="00F653BA" w:rsidRPr="00A30231">
        <w:rPr>
          <w:szCs w:val="24"/>
        </w:rPr>
        <w:t>NEK al</w:t>
      </w:r>
      <w:r w:rsidR="0036333F">
        <w:rPr>
          <w:szCs w:val="24"/>
        </w:rPr>
        <w:t xml:space="preserve">espoň jedné dusíkaté látky </w:t>
      </w:r>
      <w:r w:rsidR="00A30231" w:rsidRPr="00A30231">
        <w:rPr>
          <w:szCs w:val="24"/>
        </w:rPr>
        <w:t>každý rok</w:t>
      </w:r>
      <w:r w:rsidR="00F653BA" w:rsidRPr="00A30231">
        <w:rPr>
          <w:szCs w:val="24"/>
        </w:rPr>
        <w:t xml:space="preserve"> překročena</w:t>
      </w:r>
      <w:r w:rsidR="00A30231" w:rsidRPr="00A30231">
        <w:rPr>
          <w:szCs w:val="24"/>
        </w:rPr>
        <w:t xml:space="preserve"> v průměru na 33 </w:t>
      </w:r>
      <w:r w:rsidR="00354CB9">
        <w:rPr>
          <w:szCs w:val="24"/>
        </w:rPr>
        <w:t>%</w:t>
      </w:r>
      <w:r w:rsidR="00F653BA" w:rsidRPr="00A30231">
        <w:rPr>
          <w:szCs w:val="24"/>
        </w:rPr>
        <w:t xml:space="preserve"> </w:t>
      </w:r>
      <w:r w:rsidR="00354CB9">
        <w:rPr>
          <w:szCs w:val="24"/>
        </w:rPr>
        <w:t>analyzovaných</w:t>
      </w:r>
      <w:r w:rsidR="00F653BA" w:rsidRPr="00A30231">
        <w:rPr>
          <w:szCs w:val="24"/>
        </w:rPr>
        <w:t xml:space="preserve"> </w:t>
      </w:r>
      <w:r w:rsidR="007D4296">
        <w:rPr>
          <w:szCs w:val="24"/>
        </w:rPr>
        <w:t>míst</w:t>
      </w:r>
      <w:r w:rsidR="00F653BA" w:rsidRPr="00A30231">
        <w:rPr>
          <w:szCs w:val="24"/>
        </w:rPr>
        <w:t>.</w:t>
      </w:r>
      <w:r w:rsidR="00F653BA">
        <w:rPr>
          <w:szCs w:val="24"/>
        </w:rPr>
        <w:t xml:space="preserve"> NEK ukazatele </w:t>
      </w:r>
      <w:r w:rsidR="005F22BF">
        <w:rPr>
          <w:szCs w:val="24"/>
        </w:rPr>
        <w:t>„</w:t>
      </w:r>
      <w:r w:rsidR="00F653BA" w:rsidRPr="00F653BA">
        <w:rPr>
          <w:i/>
          <w:szCs w:val="24"/>
        </w:rPr>
        <w:t>celkový dusík</w:t>
      </w:r>
      <w:r w:rsidR="005F22BF">
        <w:rPr>
          <w:szCs w:val="24"/>
        </w:rPr>
        <w:t>“</w:t>
      </w:r>
      <w:r w:rsidR="00F653BA">
        <w:rPr>
          <w:szCs w:val="24"/>
        </w:rPr>
        <w:t xml:space="preserve"> byla </w:t>
      </w:r>
      <w:r w:rsidR="00512821">
        <w:rPr>
          <w:szCs w:val="24"/>
        </w:rPr>
        <w:t xml:space="preserve">každý rok </w:t>
      </w:r>
      <w:r w:rsidR="00F653BA">
        <w:rPr>
          <w:szCs w:val="24"/>
        </w:rPr>
        <w:t xml:space="preserve">překročena </w:t>
      </w:r>
      <w:r w:rsidR="00512821">
        <w:rPr>
          <w:szCs w:val="24"/>
        </w:rPr>
        <w:t>v průměru</w:t>
      </w:r>
      <w:r w:rsidR="00F653BA">
        <w:rPr>
          <w:szCs w:val="24"/>
        </w:rPr>
        <w:t xml:space="preserve"> na </w:t>
      </w:r>
      <w:r w:rsidR="00512821">
        <w:rPr>
          <w:szCs w:val="24"/>
        </w:rPr>
        <w:t>1</w:t>
      </w:r>
      <w:r w:rsidR="00354CB9">
        <w:rPr>
          <w:szCs w:val="24"/>
        </w:rPr>
        <w:t>9 % analyzovaných</w:t>
      </w:r>
      <w:r w:rsidR="00F653BA">
        <w:rPr>
          <w:szCs w:val="24"/>
        </w:rPr>
        <w:t xml:space="preserve"> </w:t>
      </w:r>
      <w:r w:rsidR="007D4296" w:rsidRPr="0036333F">
        <w:rPr>
          <w:szCs w:val="24"/>
        </w:rPr>
        <w:t>míst</w:t>
      </w:r>
      <w:r w:rsidR="00A115CC">
        <w:rPr>
          <w:szCs w:val="24"/>
        </w:rPr>
        <w:t xml:space="preserve">. Za sledované období počet míst s překročenou normou ukazatele </w:t>
      </w:r>
      <w:r w:rsidR="005F22BF">
        <w:rPr>
          <w:szCs w:val="24"/>
        </w:rPr>
        <w:t>„</w:t>
      </w:r>
      <w:r w:rsidR="00A115CC" w:rsidRPr="00A115CC">
        <w:rPr>
          <w:i/>
          <w:szCs w:val="24"/>
        </w:rPr>
        <w:t>celkový dusík</w:t>
      </w:r>
      <w:r w:rsidR="005F22BF">
        <w:rPr>
          <w:szCs w:val="24"/>
        </w:rPr>
        <w:t>“</w:t>
      </w:r>
      <w:r w:rsidR="00A115CC">
        <w:rPr>
          <w:szCs w:val="24"/>
        </w:rPr>
        <w:t xml:space="preserve"> celkově kles</w:t>
      </w:r>
      <w:r w:rsidR="0033713A">
        <w:rPr>
          <w:szCs w:val="24"/>
        </w:rPr>
        <w:t>a</w:t>
      </w:r>
      <w:r w:rsidR="00A115CC">
        <w:rPr>
          <w:szCs w:val="24"/>
        </w:rPr>
        <w:t>l</w:t>
      </w:r>
      <w:r w:rsidR="00DB4E91">
        <w:rPr>
          <w:szCs w:val="24"/>
        </w:rPr>
        <w:t xml:space="preserve"> (v roce 2019 oproti roku 2013 o</w:t>
      </w:r>
      <w:r w:rsidR="00EB2699">
        <w:rPr>
          <w:szCs w:val="24"/>
        </w:rPr>
        <w:t xml:space="preserve"> </w:t>
      </w:r>
      <w:r w:rsidR="00DB4E91">
        <w:rPr>
          <w:szCs w:val="24"/>
        </w:rPr>
        <w:t>8 %). Naopak p</w:t>
      </w:r>
      <w:r w:rsidR="00A115CC">
        <w:rPr>
          <w:szCs w:val="24"/>
        </w:rPr>
        <w:t xml:space="preserve">očet míst s překročenou normou </w:t>
      </w:r>
      <w:r w:rsidR="00DB4E91">
        <w:rPr>
          <w:szCs w:val="24"/>
        </w:rPr>
        <w:t xml:space="preserve">dusíkatých látek celkově </w:t>
      </w:r>
      <w:r w:rsidR="0033713A">
        <w:rPr>
          <w:szCs w:val="24"/>
        </w:rPr>
        <w:t>rostl</w:t>
      </w:r>
      <w:r w:rsidR="00DB4E91">
        <w:rPr>
          <w:szCs w:val="24"/>
        </w:rPr>
        <w:t xml:space="preserve"> (v</w:t>
      </w:r>
      <w:r w:rsidR="0033713A">
        <w:rPr>
          <w:szCs w:val="24"/>
        </w:rPr>
        <w:t> </w:t>
      </w:r>
      <w:r w:rsidR="00DB4E91">
        <w:rPr>
          <w:szCs w:val="24"/>
        </w:rPr>
        <w:t>roce 2019 oproti roku 2013 o 11 %),</w:t>
      </w:r>
      <w:r w:rsidR="00F653BA" w:rsidRPr="0036333F">
        <w:rPr>
          <w:szCs w:val="24"/>
        </w:rPr>
        <w:t xml:space="preserve"> </w:t>
      </w:r>
      <w:r w:rsidR="0036333F" w:rsidRPr="0036333F">
        <w:rPr>
          <w:szCs w:val="24"/>
        </w:rPr>
        <w:t>v</w:t>
      </w:r>
      <w:r w:rsidR="00354CB9" w:rsidRPr="0036333F">
        <w:rPr>
          <w:szCs w:val="24"/>
        </w:rPr>
        <w:t>iz graf</w:t>
      </w:r>
      <w:r w:rsidR="00E372BB" w:rsidRPr="0036333F">
        <w:rPr>
          <w:szCs w:val="24"/>
        </w:rPr>
        <w:t xml:space="preserve"> </w:t>
      </w:r>
      <w:r w:rsidR="00354CB9" w:rsidRPr="0036333F">
        <w:rPr>
          <w:szCs w:val="24"/>
        </w:rPr>
        <w:t>4</w:t>
      </w:r>
      <w:r w:rsidR="00E372BB" w:rsidRPr="0036333F">
        <w:rPr>
          <w:szCs w:val="24"/>
        </w:rPr>
        <w:t>.</w:t>
      </w:r>
    </w:p>
    <w:p w14:paraId="20B78638" w14:textId="46F7FD2A" w:rsidR="00770FE1" w:rsidRDefault="00770FE1" w:rsidP="00FE199C">
      <w:pPr>
        <w:pStyle w:val="Titulek"/>
        <w:keepNext/>
        <w:spacing w:after="120"/>
        <w:ind w:left="737" w:hanging="737"/>
        <w:rPr>
          <w:b/>
          <w:i w:val="0"/>
          <w:color w:val="auto"/>
          <w:sz w:val="24"/>
          <w:szCs w:val="24"/>
        </w:rPr>
      </w:pPr>
      <w:r w:rsidRPr="00A30231">
        <w:rPr>
          <w:b/>
          <w:i w:val="0"/>
          <w:color w:val="auto"/>
          <w:sz w:val="24"/>
          <w:szCs w:val="24"/>
        </w:rPr>
        <w:lastRenderedPageBreak/>
        <w:t xml:space="preserve">Graf </w:t>
      </w:r>
      <w:r w:rsidRPr="00A30231">
        <w:rPr>
          <w:b/>
          <w:i w:val="0"/>
          <w:color w:val="auto"/>
          <w:sz w:val="24"/>
          <w:szCs w:val="24"/>
        </w:rPr>
        <w:fldChar w:fldCharType="begin"/>
      </w:r>
      <w:r w:rsidRPr="00A30231">
        <w:rPr>
          <w:b/>
          <w:i w:val="0"/>
          <w:color w:val="auto"/>
          <w:sz w:val="24"/>
          <w:szCs w:val="24"/>
        </w:rPr>
        <w:instrText xml:space="preserve"> SEQ Graf \* ARABIC </w:instrText>
      </w:r>
      <w:r w:rsidRPr="00A30231">
        <w:rPr>
          <w:b/>
          <w:i w:val="0"/>
          <w:color w:val="auto"/>
          <w:sz w:val="24"/>
          <w:szCs w:val="24"/>
        </w:rPr>
        <w:fldChar w:fldCharType="separate"/>
      </w:r>
      <w:r w:rsidR="007145CB">
        <w:rPr>
          <w:b/>
          <w:i w:val="0"/>
          <w:noProof/>
          <w:color w:val="auto"/>
          <w:sz w:val="24"/>
          <w:szCs w:val="24"/>
        </w:rPr>
        <w:t>4</w:t>
      </w:r>
      <w:r w:rsidRPr="00A30231">
        <w:rPr>
          <w:b/>
          <w:i w:val="0"/>
          <w:color w:val="auto"/>
          <w:sz w:val="24"/>
          <w:szCs w:val="24"/>
        </w:rPr>
        <w:fldChar w:fldCharType="end"/>
      </w:r>
      <w:r w:rsidRPr="00A30231">
        <w:rPr>
          <w:b/>
          <w:i w:val="0"/>
          <w:color w:val="auto"/>
          <w:sz w:val="24"/>
          <w:szCs w:val="24"/>
        </w:rPr>
        <w:t>:</w:t>
      </w:r>
      <w:r w:rsidR="004C35DA">
        <w:rPr>
          <w:b/>
          <w:i w:val="0"/>
          <w:color w:val="auto"/>
          <w:sz w:val="24"/>
          <w:szCs w:val="24"/>
        </w:rPr>
        <w:t xml:space="preserve"> Výsledky monitoringu dusíkatých látek v povrchových vodách v letech 2013</w:t>
      </w:r>
      <w:r w:rsidR="004C35DA" w:rsidRPr="009673A8">
        <w:rPr>
          <w:b/>
          <w:i w:val="0"/>
          <w:color w:val="auto"/>
          <w:sz w:val="24"/>
          <w:szCs w:val="24"/>
        </w:rPr>
        <w:t>–</w:t>
      </w:r>
      <w:r w:rsidR="004C35DA">
        <w:rPr>
          <w:b/>
          <w:i w:val="0"/>
          <w:color w:val="auto"/>
          <w:sz w:val="24"/>
          <w:szCs w:val="24"/>
        </w:rPr>
        <w:t>2019</w:t>
      </w:r>
      <w:r w:rsidRPr="00A30231">
        <w:rPr>
          <w:b/>
          <w:i w:val="0"/>
          <w:color w:val="auto"/>
          <w:sz w:val="24"/>
          <w:szCs w:val="24"/>
        </w:rPr>
        <w:t xml:space="preserve"> </w:t>
      </w:r>
    </w:p>
    <w:p w14:paraId="3BA4C90B" w14:textId="77777777" w:rsidR="00770FE1" w:rsidRDefault="00282B4A" w:rsidP="00770FE1">
      <w:pPr>
        <w:keepNext/>
        <w:spacing w:after="0"/>
        <w:rPr>
          <w:szCs w:val="24"/>
        </w:rPr>
      </w:pPr>
      <w:r>
        <w:rPr>
          <w:noProof/>
          <w:lang w:eastAsia="cs-CZ"/>
        </w:rPr>
        <w:drawing>
          <wp:inline distT="0" distB="0" distL="0" distR="0" wp14:anchorId="78146399" wp14:editId="413DCD2F">
            <wp:extent cx="5760720" cy="2733675"/>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17567" w14:textId="77777777" w:rsidR="00770FE1" w:rsidRPr="002C2AF7" w:rsidRDefault="00770FE1" w:rsidP="00770FE1">
      <w:pPr>
        <w:rPr>
          <w:sz w:val="20"/>
          <w:szCs w:val="20"/>
        </w:rPr>
      </w:pPr>
      <w:r w:rsidRPr="002C2AF7">
        <w:rPr>
          <w:b/>
          <w:sz w:val="20"/>
          <w:szCs w:val="20"/>
        </w:rPr>
        <w:t>Zdroj:</w:t>
      </w:r>
      <w:r w:rsidRPr="002C2AF7">
        <w:rPr>
          <w:sz w:val="20"/>
          <w:szCs w:val="20"/>
        </w:rPr>
        <w:t xml:space="preserve"> data z IS ARROW; vlastní zpracování</w:t>
      </w:r>
      <w:r w:rsidR="00CE79BC">
        <w:rPr>
          <w:sz w:val="20"/>
          <w:szCs w:val="20"/>
        </w:rPr>
        <w:t xml:space="preserve"> NKÚ.</w:t>
      </w:r>
    </w:p>
    <w:p w14:paraId="07C1B20F" w14:textId="77777777" w:rsidR="0018653D" w:rsidRDefault="00C13618" w:rsidP="00C13618">
      <w:pPr>
        <w:rPr>
          <w:szCs w:val="24"/>
        </w:rPr>
      </w:pPr>
      <w:r>
        <w:rPr>
          <w:szCs w:val="24"/>
        </w:rPr>
        <w:t xml:space="preserve">NKÚ </w:t>
      </w:r>
      <w:r w:rsidR="001E59B5">
        <w:rPr>
          <w:szCs w:val="24"/>
        </w:rPr>
        <w:t>provedl výpočet</w:t>
      </w:r>
      <w:r>
        <w:rPr>
          <w:szCs w:val="24"/>
        </w:rPr>
        <w:t xml:space="preserve"> trend</w:t>
      </w:r>
      <w:r w:rsidR="001E59B5">
        <w:rPr>
          <w:szCs w:val="24"/>
        </w:rPr>
        <w:t>u</w:t>
      </w:r>
      <w:r w:rsidR="004951A1">
        <w:rPr>
          <w:szCs w:val="24"/>
        </w:rPr>
        <w:t xml:space="preserve"> </w:t>
      </w:r>
      <w:r>
        <w:rPr>
          <w:szCs w:val="24"/>
        </w:rPr>
        <w:t>naměřených hodnot jednotlivých sledovaných látek/uka</w:t>
      </w:r>
      <w:r w:rsidR="00C91E84">
        <w:rPr>
          <w:szCs w:val="24"/>
        </w:rPr>
        <w:t xml:space="preserve">zatelů na monitorovacích </w:t>
      </w:r>
      <w:r w:rsidR="00770607">
        <w:rPr>
          <w:szCs w:val="24"/>
        </w:rPr>
        <w:t>místech</w:t>
      </w:r>
      <w:r>
        <w:rPr>
          <w:szCs w:val="24"/>
        </w:rPr>
        <w:t xml:space="preserve">. </w:t>
      </w:r>
      <w:r w:rsidR="00C91E84">
        <w:rPr>
          <w:szCs w:val="24"/>
        </w:rPr>
        <w:t>Trend byl spočítán z minimálně 12</w:t>
      </w:r>
      <w:r>
        <w:rPr>
          <w:szCs w:val="24"/>
        </w:rPr>
        <w:t xml:space="preserve"> naměřených hodnot dané lát</w:t>
      </w:r>
      <w:r w:rsidR="00C91E84">
        <w:rPr>
          <w:szCs w:val="24"/>
        </w:rPr>
        <w:t xml:space="preserve">ky/ukazatele na konkrétním </w:t>
      </w:r>
      <w:r w:rsidR="00770607">
        <w:rPr>
          <w:szCs w:val="24"/>
        </w:rPr>
        <w:t>míst</w:t>
      </w:r>
      <w:r w:rsidR="005F22BF">
        <w:rPr>
          <w:szCs w:val="24"/>
        </w:rPr>
        <w:t>ě</w:t>
      </w:r>
      <w:r w:rsidR="00C91E84">
        <w:rPr>
          <w:szCs w:val="24"/>
        </w:rPr>
        <w:t xml:space="preserve">. </w:t>
      </w:r>
      <w:r w:rsidR="00DA7993">
        <w:rPr>
          <w:szCs w:val="24"/>
        </w:rPr>
        <w:t>Většina monitorovacích míst vykazovala převážně neměnné hodnoty sledovaných látek a ukazatelů.</w:t>
      </w:r>
      <w:r w:rsidRPr="005D3A59">
        <w:rPr>
          <w:szCs w:val="24"/>
        </w:rPr>
        <w:t xml:space="preserve"> </w:t>
      </w:r>
      <w:r w:rsidR="00D7774C" w:rsidRPr="005D3A59">
        <w:rPr>
          <w:szCs w:val="24"/>
        </w:rPr>
        <w:t xml:space="preserve">Detailní přehled </w:t>
      </w:r>
      <w:r w:rsidR="00DA7993">
        <w:rPr>
          <w:szCs w:val="24"/>
        </w:rPr>
        <w:t>počtu sledovaných látek a</w:t>
      </w:r>
      <w:r w:rsidR="00E24DDC">
        <w:rPr>
          <w:szCs w:val="24"/>
        </w:rPr>
        <w:t> </w:t>
      </w:r>
      <w:r w:rsidR="00DA7993">
        <w:rPr>
          <w:szCs w:val="24"/>
        </w:rPr>
        <w:t>ukazatelů s daným trendem na jednotlivých monitorovacích místech je uveden v příloze č.</w:t>
      </w:r>
      <w:r w:rsidR="00E24DDC">
        <w:rPr>
          <w:szCs w:val="24"/>
        </w:rPr>
        <w:t> </w:t>
      </w:r>
      <w:r w:rsidR="00DA7993">
        <w:rPr>
          <w:szCs w:val="24"/>
        </w:rPr>
        <w:t>1.</w:t>
      </w:r>
    </w:p>
    <w:p w14:paraId="2CD8A16C" w14:textId="77777777" w:rsidR="00770FE1" w:rsidRPr="003112DE" w:rsidRDefault="00770FE1" w:rsidP="00770FE1">
      <w:pPr>
        <w:rPr>
          <w:b/>
          <w:szCs w:val="24"/>
          <w:u w:val="single"/>
        </w:rPr>
      </w:pPr>
      <w:r w:rsidRPr="003112DE">
        <w:rPr>
          <w:b/>
          <w:szCs w:val="24"/>
          <w:u w:val="single"/>
        </w:rPr>
        <w:t>Pitná voda</w:t>
      </w:r>
    </w:p>
    <w:p w14:paraId="0DB57A03" w14:textId="77777777" w:rsidR="000F2665" w:rsidRDefault="000F2665" w:rsidP="000F2665">
      <w:pPr>
        <w:rPr>
          <w:szCs w:val="24"/>
        </w:rPr>
      </w:pPr>
      <w:r>
        <w:rPr>
          <w:szCs w:val="24"/>
        </w:rPr>
        <w:t>Koncentrace dusičnanů v pitné vodě v období 2004–2019 měla klesající tendenci. V roce 2004 se dusičnany vyskytovaly v pitné vodě v průměrné koncentraci 18,31 mg/l, v roce 2013 v průměrné koncentraci 17,73 mg/l a v roce 2019 v průměrné koncentraci 15,86 mg/l. Stejně tak celkově klesl i počet překročení hygienického limitu (z 960 hodnot s překročeným limitem v roce 2004 přes 4</w:t>
      </w:r>
      <w:r w:rsidR="00865BD6">
        <w:rPr>
          <w:szCs w:val="24"/>
        </w:rPr>
        <w:t>56</w:t>
      </w:r>
      <w:r>
        <w:rPr>
          <w:szCs w:val="24"/>
        </w:rPr>
        <w:t xml:space="preserve"> hodnot s překročeným limitem v roce 2013 na 459 hodnot s překročeným limitem v roce 2019). Poklesl i počet povolení mírnějšího hygienického limitu. V roce 2004 bylo 96 oblastí a 75 453 obyvatel dotčen</w:t>
      </w:r>
      <w:r w:rsidR="005F22BF">
        <w:rPr>
          <w:szCs w:val="24"/>
        </w:rPr>
        <w:t>o</w:t>
      </w:r>
      <w:r>
        <w:rPr>
          <w:szCs w:val="24"/>
        </w:rPr>
        <w:t xml:space="preserve"> výjimkou, zatímco v roce 2019 bylo </w:t>
      </w:r>
      <w:r w:rsidR="005F22BF">
        <w:rPr>
          <w:szCs w:val="24"/>
        </w:rPr>
        <w:t xml:space="preserve">výjimkou dotčeno </w:t>
      </w:r>
      <w:r>
        <w:rPr>
          <w:szCs w:val="24"/>
        </w:rPr>
        <w:t>pouze 27 oblastí a 6 773 obyvatel.</w:t>
      </w:r>
    </w:p>
    <w:p w14:paraId="06168D66" w14:textId="77777777" w:rsidR="005366E8" w:rsidRDefault="00770FE1" w:rsidP="000F2665">
      <w:pPr>
        <w:rPr>
          <w:szCs w:val="24"/>
        </w:rPr>
      </w:pPr>
      <w:r>
        <w:rPr>
          <w:szCs w:val="24"/>
        </w:rPr>
        <w:t>Od roku 2004 roste poče</w:t>
      </w:r>
      <w:r w:rsidR="0093265A">
        <w:rPr>
          <w:szCs w:val="24"/>
        </w:rPr>
        <w:t>t sledovaných pesticidních látek</w:t>
      </w:r>
      <w:r>
        <w:rPr>
          <w:szCs w:val="24"/>
        </w:rPr>
        <w:t xml:space="preserve"> (ze 70 v roce 2004 na 213 v roce 2019) i po</w:t>
      </w:r>
      <w:r w:rsidR="0093265A">
        <w:rPr>
          <w:szCs w:val="24"/>
        </w:rPr>
        <w:t>čet provedených analýz pesticidních látek</w:t>
      </w:r>
      <w:r>
        <w:rPr>
          <w:szCs w:val="24"/>
        </w:rPr>
        <w:t xml:space="preserve"> (z 35 487 v roce 2004 na 266 786 v roce 2019). Zá</w:t>
      </w:r>
      <w:r w:rsidR="0093265A">
        <w:rPr>
          <w:szCs w:val="24"/>
        </w:rPr>
        <w:t>roveň také roste počet pesticidních látek a rozborů pesticidních látek</w:t>
      </w:r>
      <w:r>
        <w:rPr>
          <w:szCs w:val="24"/>
        </w:rPr>
        <w:t>, u kterých bylo zjištěno překročení hygienického limit</w:t>
      </w:r>
      <w:r w:rsidR="0093265A">
        <w:rPr>
          <w:szCs w:val="24"/>
        </w:rPr>
        <w:t>u. Pesticidní látky</w:t>
      </w:r>
      <w:r>
        <w:rPr>
          <w:szCs w:val="24"/>
        </w:rPr>
        <w:t xml:space="preserve"> jsou v současné době nejčastější příčinou povolování mírnějšího hygienického limitu. V roc</w:t>
      </w:r>
      <w:r w:rsidR="0093265A">
        <w:rPr>
          <w:szCs w:val="24"/>
        </w:rPr>
        <w:t>e 2004 byly výjimkou zasaženy 3 </w:t>
      </w:r>
      <w:r>
        <w:rPr>
          <w:szCs w:val="24"/>
        </w:rPr>
        <w:t>oblasti a 10 328 obyvatel, v roce 2013 již 15 oblastí a 231 900 obyvatel a v roce 2019 dokonce 105 oblastí a 220 241 obyvatel</w:t>
      </w:r>
      <w:r w:rsidR="005366E8">
        <w:rPr>
          <w:szCs w:val="24"/>
        </w:rPr>
        <w:t xml:space="preserve">, </w:t>
      </w:r>
      <w:r w:rsidR="00DB4E91">
        <w:rPr>
          <w:szCs w:val="24"/>
        </w:rPr>
        <w:t>viz</w:t>
      </w:r>
      <w:r w:rsidR="005366E8">
        <w:rPr>
          <w:szCs w:val="24"/>
        </w:rPr>
        <w:t xml:space="preserve"> graf</w:t>
      </w:r>
      <w:r w:rsidR="00DB4E91">
        <w:rPr>
          <w:szCs w:val="24"/>
        </w:rPr>
        <w:t xml:space="preserve"> 5</w:t>
      </w:r>
      <w:r>
        <w:rPr>
          <w:szCs w:val="24"/>
        </w:rPr>
        <w:t>.</w:t>
      </w:r>
    </w:p>
    <w:p w14:paraId="2A3B4066" w14:textId="0D0B446A" w:rsidR="005366E8" w:rsidRPr="0040253D" w:rsidRDefault="005366E8" w:rsidP="008532D5">
      <w:pPr>
        <w:keepNext/>
        <w:spacing w:after="0"/>
        <w:ind w:left="737" w:hanging="737"/>
        <w:rPr>
          <w:szCs w:val="24"/>
        </w:rPr>
      </w:pPr>
      <w:r w:rsidRPr="0040253D">
        <w:rPr>
          <w:b/>
          <w:color w:val="000000" w:themeColor="text1"/>
          <w:szCs w:val="24"/>
        </w:rPr>
        <w:lastRenderedPageBreak/>
        <w:t xml:space="preserve">Graf </w:t>
      </w:r>
      <w:r w:rsidRPr="0040253D">
        <w:rPr>
          <w:b/>
          <w:color w:val="000000" w:themeColor="text1"/>
          <w:szCs w:val="24"/>
        </w:rPr>
        <w:fldChar w:fldCharType="begin"/>
      </w:r>
      <w:r w:rsidRPr="0040253D">
        <w:rPr>
          <w:b/>
          <w:color w:val="000000" w:themeColor="text1"/>
          <w:szCs w:val="24"/>
        </w:rPr>
        <w:instrText xml:space="preserve"> SEQ Graf \* ARABIC </w:instrText>
      </w:r>
      <w:r w:rsidRPr="0040253D">
        <w:rPr>
          <w:b/>
          <w:color w:val="000000" w:themeColor="text1"/>
          <w:szCs w:val="24"/>
        </w:rPr>
        <w:fldChar w:fldCharType="separate"/>
      </w:r>
      <w:r w:rsidR="007145CB">
        <w:rPr>
          <w:b/>
          <w:noProof/>
          <w:color w:val="000000" w:themeColor="text1"/>
          <w:szCs w:val="24"/>
        </w:rPr>
        <w:t>5</w:t>
      </w:r>
      <w:r w:rsidRPr="0040253D">
        <w:rPr>
          <w:b/>
          <w:color w:val="000000" w:themeColor="text1"/>
          <w:szCs w:val="24"/>
        </w:rPr>
        <w:fldChar w:fldCharType="end"/>
      </w:r>
      <w:r w:rsidRPr="0040253D">
        <w:rPr>
          <w:b/>
          <w:color w:val="000000" w:themeColor="text1"/>
          <w:szCs w:val="24"/>
        </w:rPr>
        <w:t xml:space="preserve">: </w:t>
      </w:r>
      <w:r w:rsidR="00F0473E">
        <w:rPr>
          <w:b/>
          <w:color w:val="000000" w:themeColor="text1"/>
          <w:szCs w:val="24"/>
        </w:rPr>
        <w:tab/>
      </w:r>
      <w:r w:rsidR="0015351B">
        <w:rPr>
          <w:b/>
          <w:color w:val="000000" w:themeColor="text1"/>
          <w:szCs w:val="24"/>
        </w:rPr>
        <w:t>Vývoj po</w:t>
      </w:r>
      <w:r w:rsidRPr="0040253D">
        <w:rPr>
          <w:b/>
          <w:szCs w:val="24"/>
        </w:rPr>
        <w:t>č</w:t>
      </w:r>
      <w:r w:rsidR="0015351B">
        <w:rPr>
          <w:b/>
          <w:szCs w:val="24"/>
        </w:rPr>
        <w:t>tu</w:t>
      </w:r>
      <w:r w:rsidRPr="0040253D">
        <w:rPr>
          <w:b/>
          <w:szCs w:val="24"/>
        </w:rPr>
        <w:t xml:space="preserve"> </w:t>
      </w:r>
      <w:r w:rsidR="00A65039">
        <w:rPr>
          <w:b/>
          <w:szCs w:val="24"/>
        </w:rPr>
        <w:t xml:space="preserve">obyvatel a </w:t>
      </w:r>
      <w:r w:rsidRPr="0040253D">
        <w:rPr>
          <w:b/>
          <w:szCs w:val="24"/>
        </w:rPr>
        <w:t>oblastí zasažených výjimkou</w:t>
      </w:r>
      <w:r w:rsidR="00016AED">
        <w:rPr>
          <w:b/>
          <w:szCs w:val="24"/>
        </w:rPr>
        <w:t xml:space="preserve"> z hygienického limitu pro pesticidní látky v období </w:t>
      </w:r>
      <w:r w:rsidR="000F2665">
        <w:rPr>
          <w:b/>
          <w:szCs w:val="24"/>
        </w:rPr>
        <w:t>2004</w:t>
      </w:r>
      <w:r w:rsidR="00016AED">
        <w:rPr>
          <w:b/>
          <w:szCs w:val="24"/>
        </w:rPr>
        <w:t>–2019</w:t>
      </w:r>
    </w:p>
    <w:p w14:paraId="3E224154" w14:textId="77777777" w:rsidR="005366E8" w:rsidRPr="00AE2FFC" w:rsidRDefault="000A3F17" w:rsidP="00034C5A">
      <w:pPr>
        <w:keepNext/>
        <w:spacing w:after="0"/>
        <w:rPr>
          <w:szCs w:val="24"/>
        </w:rPr>
      </w:pPr>
      <w:r>
        <w:rPr>
          <w:noProof/>
          <w:lang w:eastAsia="cs-CZ"/>
        </w:rPr>
        <w:drawing>
          <wp:inline distT="0" distB="0" distL="0" distR="0" wp14:anchorId="7AF54D6D" wp14:editId="2FA84822">
            <wp:extent cx="5760720" cy="3043555"/>
            <wp:effectExtent l="0" t="0" r="0" b="44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30F6CD" w14:textId="77777777" w:rsidR="005366E8" w:rsidRPr="0062291F" w:rsidRDefault="005366E8" w:rsidP="005366E8">
      <w:pPr>
        <w:rPr>
          <w:sz w:val="20"/>
          <w:szCs w:val="20"/>
        </w:rPr>
      </w:pPr>
      <w:r w:rsidRPr="009240B5">
        <w:rPr>
          <w:b/>
          <w:sz w:val="20"/>
          <w:szCs w:val="20"/>
        </w:rPr>
        <w:t>Zdroj</w:t>
      </w:r>
      <w:r w:rsidRPr="0062291F">
        <w:rPr>
          <w:b/>
          <w:sz w:val="20"/>
          <w:szCs w:val="20"/>
        </w:rPr>
        <w:t>:</w:t>
      </w:r>
      <w:r w:rsidRPr="00034C5A">
        <w:rPr>
          <w:i/>
          <w:sz w:val="20"/>
          <w:szCs w:val="20"/>
        </w:rPr>
        <w:t xml:space="preserve"> </w:t>
      </w:r>
      <w:r w:rsidR="00D60CA2">
        <w:rPr>
          <w:sz w:val="20"/>
          <w:szCs w:val="20"/>
        </w:rPr>
        <w:t>i</w:t>
      </w:r>
      <w:r w:rsidRPr="009268C2">
        <w:rPr>
          <w:sz w:val="20"/>
          <w:szCs w:val="20"/>
        </w:rPr>
        <w:t xml:space="preserve">nformace z IS </w:t>
      </w:r>
      <w:proofErr w:type="spellStart"/>
      <w:r w:rsidRPr="009268C2">
        <w:rPr>
          <w:sz w:val="20"/>
          <w:szCs w:val="20"/>
        </w:rPr>
        <w:t>PiVo</w:t>
      </w:r>
      <w:proofErr w:type="spellEnd"/>
      <w:r w:rsidR="00016AED" w:rsidRPr="0062291F">
        <w:rPr>
          <w:sz w:val="20"/>
          <w:szCs w:val="20"/>
        </w:rPr>
        <w:t>;</w:t>
      </w:r>
      <w:r w:rsidRPr="00034C5A">
        <w:rPr>
          <w:i/>
          <w:sz w:val="20"/>
          <w:szCs w:val="20"/>
        </w:rPr>
        <w:t xml:space="preserve"> </w:t>
      </w:r>
      <w:r w:rsidRPr="009268C2">
        <w:rPr>
          <w:sz w:val="20"/>
          <w:szCs w:val="20"/>
        </w:rPr>
        <w:t>vlastní zpracování</w:t>
      </w:r>
      <w:r w:rsidR="00D60CA2">
        <w:rPr>
          <w:sz w:val="20"/>
          <w:szCs w:val="20"/>
        </w:rPr>
        <w:t xml:space="preserve"> NKÚ</w:t>
      </w:r>
      <w:r w:rsidR="00F0473E">
        <w:rPr>
          <w:sz w:val="20"/>
          <w:szCs w:val="20"/>
        </w:rPr>
        <w:t>.</w:t>
      </w:r>
    </w:p>
    <w:p w14:paraId="4878F4A8" w14:textId="77777777" w:rsidR="00770FE1" w:rsidRDefault="00770FE1" w:rsidP="00770FE1">
      <w:pPr>
        <w:rPr>
          <w:szCs w:val="24"/>
        </w:rPr>
      </w:pPr>
      <w:r>
        <w:rPr>
          <w:szCs w:val="24"/>
        </w:rPr>
        <w:t xml:space="preserve">Počet obyvatel zasažených výjimkou z hygienického limitu pro pitnou vodu byl nejvyšší v roce 2016, kdy dosahoval 440 671 obyvatel. </w:t>
      </w:r>
      <w:r w:rsidR="007C00AD">
        <w:rPr>
          <w:szCs w:val="24"/>
        </w:rPr>
        <w:t>Dále j</w:t>
      </w:r>
      <w:r>
        <w:rPr>
          <w:szCs w:val="24"/>
        </w:rPr>
        <w:t>e zřejmé, že výjimky postihují stále více oblasti zásobující menší počty obyvatel</w:t>
      </w:r>
      <w:r w:rsidR="00E33B37">
        <w:rPr>
          <w:szCs w:val="24"/>
        </w:rPr>
        <w:t>, jak</w:t>
      </w:r>
      <w:r w:rsidR="00DB4E91">
        <w:rPr>
          <w:szCs w:val="24"/>
        </w:rPr>
        <w:t xml:space="preserve"> ukazuje</w:t>
      </w:r>
      <w:r w:rsidR="00E33B37">
        <w:rPr>
          <w:szCs w:val="24"/>
        </w:rPr>
        <w:t xml:space="preserve"> graf</w:t>
      </w:r>
      <w:r w:rsidR="00DB4E91">
        <w:rPr>
          <w:szCs w:val="24"/>
        </w:rPr>
        <w:t xml:space="preserve"> 6</w:t>
      </w:r>
      <w:r>
        <w:rPr>
          <w:szCs w:val="24"/>
        </w:rPr>
        <w:t>.</w:t>
      </w:r>
    </w:p>
    <w:p w14:paraId="634EB73B" w14:textId="272C22B0" w:rsidR="0099622B" w:rsidRDefault="0099622B" w:rsidP="00F202AB">
      <w:pPr>
        <w:pStyle w:val="Titulek"/>
        <w:keepNext/>
        <w:spacing w:before="480" w:after="0"/>
        <w:ind w:left="737" w:hanging="737"/>
        <w:rPr>
          <w:b/>
          <w:i w:val="0"/>
          <w:color w:val="000000" w:themeColor="text1"/>
          <w:sz w:val="24"/>
          <w:szCs w:val="24"/>
        </w:rPr>
      </w:pPr>
      <w:r w:rsidRPr="00510881">
        <w:rPr>
          <w:b/>
          <w:i w:val="0"/>
          <w:color w:val="000000" w:themeColor="text1"/>
          <w:sz w:val="24"/>
          <w:szCs w:val="24"/>
        </w:rPr>
        <w:t xml:space="preserve">Graf </w:t>
      </w:r>
      <w:r w:rsidRPr="00510881">
        <w:rPr>
          <w:b/>
          <w:i w:val="0"/>
          <w:color w:val="000000" w:themeColor="text1"/>
          <w:sz w:val="24"/>
          <w:szCs w:val="24"/>
        </w:rPr>
        <w:fldChar w:fldCharType="begin"/>
      </w:r>
      <w:r w:rsidRPr="00510881">
        <w:rPr>
          <w:b/>
          <w:i w:val="0"/>
          <w:color w:val="000000" w:themeColor="text1"/>
          <w:sz w:val="24"/>
          <w:szCs w:val="24"/>
        </w:rPr>
        <w:instrText xml:space="preserve"> SEQ Graf \* ARABIC </w:instrText>
      </w:r>
      <w:r w:rsidRPr="00510881">
        <w:rPr>
          <w:b/>
          <w:i w:val="0"/>
          <w:color w:val="000000" w:themeColor="text1"/>
          <w:sz w:val="24"/>
          <w:szCs w:val="24"/>
        </w:rPr>
        <w:fldChar w:fldCharType="separate"/>
      </w:r>
      <w:r w:rsidR="007145CB">
        <w:rPr>
          <w:b/>
          <w:i w:val="0"/>
          <w:noProof/>
          <w:color w:val="000000" w:themeColor="text1"/>
          <w:sz w:val="24"/>
          <w:szCs w:val="24"/>
        </w:rPr>
        <w:t>6</w:t>
      </w:r>
      <w:r w:rsidRPr="00510881">
        <w:rPr>
          <w:b/>
          <w:i w:val="0"/>
          <w:color w:val="000000" w:themeColor="text1"/>
          <w:sz w:val="24"/>
          <w:szCs w:val="24"/>
        </w:rPr>
        <w:fldChar w:fldCharType="end"/>
      </w:r>
      <w:r w:rsidRPr="00510881">
        <w:rPr>
          <w:b/>
          <w:i w:val="0"/>
          <w:color w:val="000000" w:themeColor="text1"/>
          <w:sz w:val="24"/>
          <w:szCs w:val="24"/>
        </w:rPr>
        <w:t xml:space="preserve">: </w:t>
      </w:r>
      <w:r w:rsidR="00F0473E">
        <w:rPr>
          <w:b/>
          <w:i w:val="0"/>
          <w:color w:val="000000" w:themeColor="text1"/>
          <w:sz w:val="24"/>
          <w:szCs w:val="24"/>
        </w:rPr>
        <w:tab/>
      </w:r>
      <w:r w:rsidR="0015351B">
        <w:rPr>
          <w:b/>
          <w:i w:val="0"/>
          <w:color w:val="000000" w:themeColor="text1"/>
          <w:sz w:val="24"/>
          <w:szCs w:val="24"/>
        </w:rPr>
        <w:t>Vývoj p</w:t>
      </w:r>
      <w:r w:rsidR="0040253D" w:rsidRPr="0040253D">
        <w:rPr>
          <w:b/>
          <w:i w:val="0"/>
          <w:color w:val="000000" w:themeColor="text1"/>
          <w:sz w:val="24"/>
          <w:szCs w:val="24"/>
        </w:rPr>
        <w:t>odíl</w:t>
      </w:r>
      <w:r w:rsidR="0015351B">
        <w:rPr>
          <w:b/>
          <w:i w:val="0"/>
          <w:color w:val="000000" w:themeColor="text1"/>
          <w:sz w:val="24"/>
          <w:szCs w:val="24"/>
        </w:rPr>
        <w:t>u</w:t>
      </w:r>
      <w:r w:rsidR="0040253D" w:rsidRPr="0040253D">
        <w:rPr>
          <w:b/>
          <w:i w:val="0"/>
          <w:color w:val="000000" w:themeColor="text1"/>
          <w:sz w:val="24"/>
          <w:szCs w:val="24"/>
        </w:rPr>
        <w:t xml:space="preserve"> oblastí do 5</w:t>
      </w:r>
      <w:r w:rsidR="00FF2CFD">
        <w:rPr>
          <w:b/>
          <w:i w:val="0"/>
          <w:color w:val="000000" w:themeColor="text1"/>
          <w:sz w:val="24"/>
          <w:szCs w:val="24"/>
        </w:rPr>
        <w:t xml:space="preserve"> </w:t>
      </w:r>
      <w:r w:rsidR="0040253D" w:rsidRPr="0040253D">
        <w:rPr>
          <w:b/>
          <w:i w:val="0"/>
          <w:color w:val="000000" w:themeColor="text1"/>
          <w:sz w:val="24"/>
          <w:szCs w:val="24"/>
        </w:rPr>
        <w:t>000 obyv</w:t>
      </w:r>
      <w:r w:rsidR="000F2665">
        <w:rPr>
          <w:b/>
          <w:i w:val="0"/>
          <w:color w:val="000000" w:themeColor="text1"/>
          <w:sz w:val="24"/>
          <w:szCs w:val="24"/>
        </w:rPr>
        <w:t>atel</w:t>
      </w:r>
      <w:r w:rsidR="0040253D" w:rsidRPr="0040253D">
        <w:rPr>
          <w:b/>
          <w:i w:val="0"/>
          <w:color w:val="000000" w:themeColor="text1"/>
          <w:sz w:val="24"/>
          <w:szCs w:val="24"/>
        </w:rPr>
        <w:t xml:space="preserve"> na celkovém počtu oblastí s udělenou výjimkou</w:t>
      </w:r>
      <w:r w:rsidR="000F2665">
        <w:rPr>
          <w:b/>
          <w:i w:val="0"/>
          <w:color w:val="000000" w:themeColor="text1"/>
          <w:sz w:val="24"/>
          <w:szCs w:val="24"/>
        </w:rPr>
        <w:t xml:space="preserve"> z hygienického limitu pro </w:t>
      </w:r>
      <w:r w:rsidR="00495E17">
        <w:rPr>
          <w:b/>
          <w:i w:val="0"/>
          <w:color w:val="000000" w:themeColor="text1"/>
          <w:sz w:val="24"/>
          <w:szCs w:val="24"/>
        </w:rPr>
        <w:t>pesticidní látky</w:t>
      </w:r>
      <w:r w:rsidR="00122E46">
        <w:rPr>
          <w:b/>
          <w:i w:val="0"/>
          <w:color w:val="000000" w:themeColor="text1"/>
          <w:sz w:val="24"/>
          <w:szCs w:val="24"/>
        </w:rPr>
        <w:t xml:space="preserve"> v období</w:t>
      </w:r>
      <w:r w:rsidR="000F2665">
        <w:rPr>
          <w:b/>
          <w:i w:val="0"/>
          <w:color w:val="000000" w:themeColor="text1"/>
          <w:sz w:val="24"/>
          <w:szCs w:val="24"/>
        </w:rPr>
        <w:t xml:space="preserve"> 2013–2019</w:t>
      </w:r>
    </w:p>
    <w:p w14:paraId="5DD84958" w14:textId="77777777" w:rsidR="00057AD8" w:rsidRDefault="00E67BFC" w:rsidP="00034C5A">
      <w:pPr>
        <w:keepNext/>
        <w:spacing w:after="0"/>
        <w:rPr>
          <w:szCs w:val="24"/>
        </w:rPr>
      </w:pPr>
      <w:r>
        <w:rPr>
          <w:noProof/>
          <w:lang w:eastAsia="cs-CZ"/>
        </w:rPr>
        <w:drawing>
          <wp:inline distT="0" distB="0" distL="0" distR="0" wp14:anchorId="65E40BCD" wp14:editId="78A5B44D">
            <wp:extent cx="5780405"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8298EC" w14:textId="77777777" w:rsidR="00770FE1" w:rsidRPr="0062291F" w:rsidRDefault="00B258E8" w:rsidP="00770FE1">
      <w:pPr>
        <w:rPr>
          <w:sz w:val="20"/>
          <w:szCs w:val="20"/>
        </w:rPr>
      </w:pPr>
      <w:r w:rsidRPr="0062291F">
        <w:rPr>
          <w:b/>
          <w:sz w:val="20"/>
          <w:szCs w:val="20"/>
        </w:rPr>
        <w:t>Zdroj:</w:t>
      </w:r>
      <w:r w:rsidRPr="0062291F">
        <w:rPr>
          <w:sz w:val="20"/>
          <w:szCs w:val="20"/>
        </w:rPr>
        <w:t xml:space="preserve"> </w:t>
      </w:r>
      <w:r w:rsidR="00D60CA2">
        <w:rPr>
          <w:sz w:val="20"/>
          <w:szCs w:val="20"/>
        </w:rPr>
        <w:t>i</w:t>
      </w:r>
      <w:r w:rsidRPr="0062291F">
        <w:rPr>
          <w:sz w:val="20"/>
          <w:szCs w:val="20"/>
        </w:rPr>
        <w:t xml:space="preserve">nformace z IS </w:t>
      </w:r>
      <w:proofErr w:type="spellStart"/>
      <w:r w:rsidRPr="0062291F">
        <w:rPr>
          <w:sz w:val="20"/>
          <w:szCs w:val="20"/>
        </w:rPr>
        <w:t>PiVo</w:t>
      </w:r>
      <w:proofErr w:type="spellEnd"/>
      <w:r w:rsidR="000F2665" w:rsidRPr="0062291F">
        <w:rPr>
          <w:sz w:val="20"/>
          <w:szCs w:val="20"/>
        </w:rPr>
        <w:t>;</w:t>
      </w:r>
      <w:r w:rsidRPr="0062291F">
        <w:rPr>
          <w:sz w:val="20"/>
          <w:szCs w:val="20"/>
        </w:rPr>
        <w:t xml:space="preserve"> vlastní zpracování</w:t>
      </w:r>
      <w:r w:rsidR="00D60CA2">
        <w:rPr>
          <w:sz w:val="20"/>
          <w:szCs w:val="20"/>
        </w:rPr>
        <w:t xml:space="preserve"> NKÚ</w:t>
      </w:r>
      <w:r w:rsidR="00F0473E">
        <w:rPr>
          <w:sz w:val="20"/>
          <w:szCs w:val="20"/>
        </w:rPr>
        <w:t>.</w:t>
      </w:r>
    </w:p>
    <w:p w14:paraId="26317B6A" w14:textId="77777777" w:rsidR="002D351E" w:rsidRDefault="00137A15" w:rsidP="00041B3F">
      <w:pPr>
        <w:pStyle w:val="Nadpis1"/>
        <w:numPr>
          <w:ilvl w:val="0"/>
          <w:numId w:val="21"/>
        </w:numPr>
      </w:pPr>
      <w:r>
        <w:lastRenderedPageBreak/>
        <w:t>I</w:t>
      </w:r>
      <w:r w:rsidR="0028263F">
        <w:t xml:space="preserve">nvestice do úpraven vod – dopady </w:t>
      </w:r>
      <w:r w:rsidR="0091328D">
        <w:t xml:space="preserve">vyvolané </w:t>
      </w:r>
      <w:r w:rsidR="0028263F">
        <w:t>neefektiv</w:t>
      </w:r>
      <w:r w:rsidR="00E82A82">
        <w:t>ností</w:t>
      </w:r>
      <w:r w:rsidR="0028263F">
        <w:t xml:space="preserve"> opatření </w:t>
      </w:r>
      <w:r w:rsidR="00AB54E8">
        <w:t>n</w:t>
      </w:r>
      <w:r w:rsidR="00FF2CFD">
        <w:t>árodních akčních plánů</w:t>
      </w:r>
    </w:p>
    <w:p w14:paraId="535857A4" w14:textId="77777777" w:rsidR="00CF0797" w:rsidRDefault="00CB2238" w:rsidP="00487402">
      <w:pPr>
        <w:keepNext/>
        <w:keepLines/>
        <w:rPr>
          <w:rFonts w:cstheme="minorHAnsi"/>
          <w:lang w:eastAsia="cs-CZ"/>
        </w:rPr>
      </w:pPr>
      <w:r>
        <w:rPr>
          <w:rFonts w:cstheme="minorHAnsi"/>
          <w:lang w:eastAsia="cs-CZ"/>
        </w:rPr>
        <w:t>Znečištění</w:t>
      </w:r>
      <w:r w:rsidR="00487402">
        <w:rPr>
          <w:rFonts w:cstheme="minorHAnsi"/>
          <w:lang w:eastAsia="cs-CZ"/>
        </w:rPr>
        <w:t xml:space="preserve"> surové vody</w:t>
      </w:r>
      <w:r w:rsidR="00A65039">
        <w:rPr>
          <w:rFonts w:cstheme="minorHAnsi"/>
          <w:lang w:eastAsia="cs-CZ"/>
        </w:rPr>
        <w:t>,</w:t>
      </w:r>
      <w:r w:rsidR="00487402">
        <w:rPr>
          <w:rFonts w:cstheme="minorHAnsi"/>
          <w:lang w:eastAsia="cs-CZ"/>
        </w:rPr>
        <w:t xml:space="preserve"> tj. vody užívané pro výrobu pitné vody</w:t>
      </w:r>
      <w:r w:rsidR="00A65039">
        <w:rPr>
          <w:rFonts w:cstheme="minorHAnsi"/>
          <w:lang w:eastAsia="cs-CZ"/>
        </w:rPr>
        <w:t>,</w:t>
      </w:r>
      <w:r w:rsidR="00487402">
        <w:rPr>
          <w:rFonts w:cstheme="minorHAnsi"/>
          <w:lang w:eastAsia="cs-CZ"/>
        </w:rPr>
        <w:t xml:space="preserve"> vede ke zvýšeným nárokům na její úpravu a použité technologie. Míra znečištění surové vody může vést až k tomu, že úpravna vody nemusí být schopn</w:t>
      </w:r>
      <w:r w:rsidR="00AB54E8">
        <w:rPr>
          <w:rFonts w:cstheme="minorHAnsi"/>
          <w:lang w:eastAsia="cs-CZ"/>
        </w:rPr>
        <w:t>a</w:t>
      </w:r>
      <w:r w:rsidR="00487402">
        <w:rPr>
          <w:rFonts w:cstheme="minorHAnsi"/>
          <w:lang w:eastAsia="cs-CZ"/>
        </w:rPr>
        <w:t xml:space="preserve"> zajistit dostatečnou kvalitu pitné vody dle požadavků vyhlášky č. 252/2004 Sb. V takovém případě může úpravna vody požádat </w:t>
      </w:r>
      <w:r w:rsidR="00393710">
        <w:rPr>
          <w:rFonts w:cstheme="minorHAnsi"/>
          <w:lang w:eastAsia="cs-CZ"/>
        </w:rPr>
        <w:t>KHS o</w:t>
      </w:r>
      <w:r w:rsidR="00487402">
        <w:rPr>
          <w:rFonts w:cstheme="minorHAnsi"/>
          <w:lang w:eastAsia="cs-CZ"/>
        </w:rPr>
        <w:t xml:space="preserve"> udělení dočasné výjimky z hygienického limitu. Dlouhodobým řešením může být pouze snížení míry znečištění surové vody nebo zajištění vyšší účinnosti úpravy vody</w:t>
      </w:r>
      <w:r w:rsidR="00A65039">
        <w:rPr>
          <w:rFonts w:cstheme="minorHAnsi"/>
          <w:lang w:eastAsia="cs-CZ"/>
        </w:rPr>
        <w:t xml:space="preserve"> </w:t>
      </w:r>
      <w:r w:rsidR="00AB54E8">
        <w:rPr>
          <w:rFonts w:cstheme="minorHAnsi"/>
          <w:lang w:eastAsia="cs-CZ"/>
        </w:rPr>
        <w:t xml:space="preserve">– </w:t>
      </w:r>
      <w:r w:rsidR="00487402">
        <w:rPr>
          <w:rFonts w:cstheme="minorHAnsi"/>
          <w:lang w:eastAsia="cs-CZ"/>
        </w:rPr>
        <w:t xml:space="preserve">např. nasazením (přidáním) dalšího stupně </w:t>
      </w:r>
      <w:r w:rsidR="006413F7">
        <w:rPr>
          <w:rFonts w:cstheme="minorHAnsi"/>
          <w:lang w:eastAsia="cs-CZ"/>
        </w:rPr>
        <w:t xml:space="preserve">úpravy </w:t>
      </w:r>
      <w:r w:rsidR="00487402">
        <w:rPr>
          <w:rFonts w:cstheme="minorHAnsi"/>
          <w:lang w:eastAsia="cs-CZ"/>
        </w:rPr>
        <w:t xml:space="preserve">prostřednictvím </w:t>
      </w:r>
      <w:r w:rsidR="006F7CA3">
        <w:rPr>
          <w:rFonts w:cstheme="minorHAnsi"/>
          <w:lang w:eastAsia="cs-CZ"/>
        </w:rPr>
        <w:t>GAU.</w:t>
      </w:r>
    </w:p>
    <w:p w14:paraId="7F270903" w14:textId="68A904F2" w:rsidR="00487402" w:rsidRDefault="00487402" w:rsidP="00487402">
      <w:pPr>
        <w:rPr>
          <w:rFonts w:cstheme="minorHAnsi"/>
          <w:szCs w:val="24"/>
          <w:lang w:eastAsia="cs-CZ"/>
        </w:rPr>
      </w:pPr>
      <w:r>
        <w:t xml:space="preserve">Potřeba podpory instalace nových technologických zařízení a technologií pro snižování obsahu </w:t>
      </w:r>
      <w:r w:rsidR="006F7CA3">
        <w:t xml:space="preserve">pesticidních látek </w:t>
      </w:r>
      <w:r>
        <w:t xml:space="preserve">v pitných vodách byla </w:t>
      </w:r>
      <w:r w:rsidR="00CB2238">
        <w:t xml:space="preserve">uvedena v obou </w:t>
      </w:r>
      <w:r w:rsidR="00AB54E8">
        <w:t>n</w:t>
      </w:r>
      <w:r w:rsidR="00CB2238">
        <w:t>árodních akčních plánech.</w:t>
      </w:r>
      <w:r>
        <w:t xml:space="preserve"> Z</w:t>
      </w:r>
      <w:r w:rsidR="00CB2238">
        <w:t xml:space="preserve"> výročních zpráv </w:t>
      </w:r>
      <w:r w:rsidR="00AB54E8">
        <w:t xml:space="preserve">o </w:t>
      </w:r>
      <w:r w:rsidR="00393710">
        <w:t xml:space="preserve">jejich </w:t>
      </w:r>
      <w:r w:rsidR="00CB2238">
        <w:t xml:space="preserve">plnění vyplynulo, že </w:t>
      </w:r>
      <w:r w:rsidR="00AB54E8">
        <w:t>s ohledem</w:t>
      </w:r>
      <w:r>
        <w:t xml:space="preserve"> na princip předběžné opatrnosti</w:t>
      </w:r>
      <w:r>
        <w:rPr>
          <w:rStyle w:val="Znakapoznpodarou"/>
        </w:rPr>
        <w:footnoteReference w:id="41"/>
      </w:r>
      <w:r>
        <w:t xml:space="preserve"> bude </w:t>
      </w:r>
      <w:r w:rsidR="00CB2238">
        <w:t xml:space="preserve">nezbytné doplnit technologie úpraven vod, které využívají jako zdroj povrchovou </w:t>
      </w:r>
      <w:r w:rsidR="00FE199C">
        <w:br/>
      </w:r>
      <w:r w:rsidR="00CB2238">
        <w:t>vodu,</w:t>
      </w:r>
      <w:r>
        <w:t xml:space="preserve"> o </w:t>
      </w:r>
      <w:r w:rsidR="00CB2238">
        <w:t xml:space="preserve">filtrační </w:t>
      </w:r>
      <w:r>
        <w:t>stupeň s aktivním uhlím</w:t>
      </w:r>
      <w:r w:rsidR="00CB2238">
        <w:t>.</w:t>
      </w:r>
      <w:r>
        <w:t xml:space="preserve"> </w:t>
      </w:r>
      <w:r w:rsidR="00043B25">
        <w:t xml:space="preserve">Taková modernizace však představuje </w:t>
      </w:r>
      <w:r w:rsidR="00043B25">
        <w:rPr>
          <w:rFonts w:cstheme="minorHAnsi"/>
          <w:lang w:eastAsia="cs-CZ"/>
        </w:rPr>
        <w:t>zn</w:t>
      </w:r>
      <w:r>
        <w:rPr>
          <w:rFonts w:cstheme="minorHAnsi"/>
          <w:lang w:eastAsia="cs-CZ"/>
        </w:rPr>
        <w:t>ačné finanční nároky.</w:t>
      </w:r>
      <w:r w:rsidR="006F7CA3">
        <w:rPr>
          <w:rFonts w:cstheme="minorHAnsi"/>
          <w:lang w:eastAsia="cs-CZ"/>
        </w:rPr>
        <w:t xml:space="preserve"> Z tohoto důvodu </w:t>
      </w:r>
      <w:r>
        <w:rPr>
          <w:rFonts w:cstheme="minorHAnsi"/>
          <w:szCs w:val="24"/>
          <w:lang w:eastAsia="cs-CZ"/>
        </w:rPr>
        <w:t>byly v období 2007</w:t>
      </w:r>
      <w:r w:rsidR="006F7CA3">
        <w:rPr>
          <w:rFonts w:cstheme="minorHAnsi"/>
          <w:szCs w:val="24"/>
          <w:lang w:eastAsia="cs-CZ"/>
        </w:rPr>
        <w:t>–</w:t>
      </w:r>
      <w:r>
        <w:rPr>
          <w:rFonts w:cstheme="minorHAnsi"/>
          <w:szCs w:val="24"/>
          <w:lang w:eastAsia="cs-CZ"/>
        </w:rPr>
        <w:t>2020 z</w:t>
      </w:r>
      <w:r w:rsidR="006F7CA3" w:rsidDel="006F7CA3">
        <w:rPr>
          <w:rFonts w:cstheme="minorHAnsi"/>
          <w:szCs w:val="24"/>
          <w:lang w:eastAsia="cs-CZ"/>
        </w:rPr>
        <w:t xml:space="preserve"> </w:t>
      </w:r>
      <w:r>
        <w:rPr>
          <w:rFonts w:cstheme="minorHAnsi"/>
          <w:szCs w:val="24"/>
          <w:lang w:eastAsia="cs-CZ"/>
        </w:rPr>
        <w:t>OPŽP 2007</w:t>
      </w:r>
      <w:r w:rsidR="006F7CA3">
        <w:rPr>
          <w:rFonts w:cstheme="minorHAnsi"/>
          <w:szCs w:val="24"/>
          <w:lang w:eastAsia="cs-CZ"/>
        </w:rPr>
        <w:t>–</w:t>
      </w:r>
      <w:r>
        <w:rPr>
          <w:rFonts w:cstheme="minorHAnsi"/>
          <w:szCs w:val="24"/>
          <w:lang w:eastAsia="cs-CZ"/>
        </w:rPr>
        <w:t xml:space="preserve">2013 a dále také </w:t>
      </w:r>
      <w:r w:rsidR="00393710">
        <w:rPr>
          <w:rFonts w:cstheme="minorHAnsi"/>
          <w:szCs w:val="24"/>
          <w:lang w:eastAsia="cs-CZ"/>
        </w:rPr>
        <w:t>z</w:t>
      </w:r>
      <w:r w:rsidR="00FE199C">
        <w:rPr>
          <w:rFonts w:cstheme="minorHAnsi"/>
          <w:szCs w:val="24"/>
          <w:lang w:eastAsia="cs-CZ"/>
        </w:rPr>
        <w:t> </w:t>
      </w:r>
      <w:r>
        <w:rPr>
          <w:rFonts w:cstheme="minorHAnsi"/>
          <w:szCs w:val="24"/>
          <w:lang w:eastAsia="cs-CZ"/>
        </w:rPr>
        <w:t>OPŽP 2014</w:t>
      </w:r>
      <w:r w:rsidR="00FC17B7">
        <w:rPr>
          <w:rFonts w:cstheme="minorHAnsi"/>
          <w:szCs w:val="24"/>
          <w:lang w:eastAsia="cs-CZ"/>
        </w:rPr>
        <w:t>–</w:t>
      </w:r>
      <w:r>
        <w:rPr>
          <w:rFonts w:cstheme="minorHAnsi"/>
          <w:szCs w:val="24"/>
          <w:lang w:eastAsia="cs-CZ"/>
        </w:rPr>
        <w:t xml:space="preserve">2020 podpořeny projekty v celkové částce </w:t>
      </w:r>
      <w:r w:rsidR="00607158" w:rsidRPr="00607158">
        <w:rPr>
          <w:rFonts w:cstheme="minorHAnsi"/>
          <w:szCs w:val="24"/>
          <w:lang w:eastAsia="cs-CZ"/>
        </w:rPr>
        <w:t>16</w:t>
      </w:r>
      <w:r w:rsidR="00146D41">
        <w:rPr>
          <w:rFonts w:cstheme="minorHAnsi"/>
          <w:szCs w:val="24"/>
          <w:lang w:eastAsia="cs-CZ"/>
        </w:rPr>
        <w:t xml:space="preserve"> 00</w:t>
      </w:r>
      <w:r w:rsidR="007F34A5">
        <w:rPr>
          <w:rFonts w:cstheme="minorHAnsi"/>
          <w:szCs w:val="24"/>
          <w:lang w:eastAsia="cs-CZ"/>
        </w:rPr>
        <w:t>5</w:t>
      </w:r>
      <w:r w:rsidR="00146D41">
        <w:rPr>
          <w:rFonts w:cstheme="minorHAnsi"/>
          <w:szCs w:val="24"/>
          <w:lang w:eastAsia="cs-CZ"/>
        </w:rPr>
        <w:t xml:space="preserve"> mil</w:t>
      </w:r>
      <w:r w:rsidR="00975A79">
        <w:rPr>
          <w:rFonts w:cstheme="minorHAnsi"/>
          <w:szCs w:val="24"/>
          <w:lang w:eastAsia="cs-CZ"/>
        </w:rPr>
        <w:t>.</w:t>
      </w:r>
      <w:r w:rsidRPr="00FC17B7">
        <w:rPr>
          <w:rFonts w:cstheme="minorHAnsi"/>
          <w:szCs w:val="24"/>
          <w:lang w:eastAsia="cs-CZ"/>
        </w:rPr>
        <w:t xml:space="preserve"> Kč</w:t>
      </w:r>
      <w:r>
        <w:rPr>
          <w:rFonts w:cstheme="minorHAnsi"/>
          <w:szCs w:val="24"/>
          <w:lang w:eastAsia="cs-CZ"/>
        </w:rPr>
        <w:t>, které měly za cíl zajistit zásobování obyvatelstva kvalitní pitnou vodou</w:t>
      </w:r>
      <w:r w:rsidR="00AB54E8">
        <w:rPr>
          <w:rFonts w:cstheme="minorHAnsi"/>
          <w:szCs w:val="24"/>
          <w:lang w:eastAsia="cs-CZ"/>
        </w:rPr>
        <w:t>.</w:t>
      </w:r>
      <w:r>
        <w:rPr>
          <w:rStyle w:val="Znakapoznpodarou"/>
          <w:rFonts w:cstheme="minorHAnsi"/>
          <w:szCs w:val="24"/>
          <w:lang w:eastAsia="cs-CZ"/>
        </w:rPr>
        <w:footnoteReference w:id="42"/>
      </w:r>
      <w:r w:rsidR="00FC17B7">
        <w:rPr>
          <w:rFonts w:cstheme="minorHAnsi"/>
          <w:szCs w:val="24"/>
          <w:lang w:eastAsia="cs-CZ"/>
        </w:rPr>
        <w:t xml:space="preserve"> </w:t>
      </w:r>
      <w:r>
        <w:rPr>
          <w:rFonts w:cstheme="minorHAnsi"/>
          <w:szCs w:val="24"/>
          <w:lang w:eastAsia="cs-CZ"/>
        </w:rPr>
        <w:t xml:space="preserve">Současně </w:t>
      </w:r>
      <w:proofErr w:type="spellStart"/>
      <w:r>
        <w:rPr>
          <w:rFonts w:cstheme="minorHAnsi"/>
          <w:szCs w:val="24"/>
          <w:lang w:eastAsia="cs-CZ"/>
        </w:rPr>
        <w:t>MZe</w:t>
      </w:r>
      <w:proofErr w:type="spellEnd"/>
      <w:r>
        <w:rPr>
          <w:rFonts w:cstheme="minorHAnsi"/>
          <w:szCs w:val="24"/>
          <w:lang w:eastAsia="cs-CZ"/>
        </w:rPr>
        <w:t xml:space="preserve"> podpořilo v letech 2013</w:t>
      </w:r>
      <w:r w:rsidR="00AB54E8">
        <w:rPr>
          <w:rFonts w:cstheme="minorHAnsi"/>
          <w:szCs w:val="24"/>
          <w:lang w:eastAsia="cs-CZ"/>
        </w:rPr>
        <w:t>–</w:t>
      </w:r>
      <w:r>
        <w:rPr>
          <w:rFonts w:cstheme="minorHAnsi"/>
          <w:szCs w:val="24"/>
          <w:lang w:eastAsia="cs-CZ"/>
        </w:rPr>
        <w:t xml:space="preserve">2020 v rámci národních dotačních </w:t>
      </w:r>
      <w:r w:rsidR="00146D41">
        <w:rPr>
          <w:rFonts w:cstheme="minorHAnsi"/>
          <w:szCs w:val="24"/>
          <w:lang w:eastAsia="cs-CZ"/>
        </w:rPr>
        <w:t>p</w:t>
      </w:r>
      <w:r>
        <w:rPr>
          <w:rFonts w:cstheme="minorHAnsi"/>
          <w:szCs w:val="24"/>
          <w:lang w:eastAsia="cs-CZ"/>
        </w:rPr>
        <w:t xml:space="preserve">odprogramů </w:t>
      </w:r>
      <w:r w:rsidR="00043B25">
        <w:rPr>
          <w:rFonts w:cstheme="minorHAnsi"/>
          <w:szCs w:val="24"/>
          <w:lang w:eastAsia="cs-CZ"/>
        </w:rPr>
        <w:t xml:space="preserve">celkem </w:t>
      </w:r>
      <w:r w:rsidR="009E738D">
        <w:rPr>
          <w:rFonts w:cstheme="minorHAnsi"/>
          <w:szCs w:val="24"/>
          <w:lang w:eastAsia="cs-CZ"/>
        </w:rPr>
        <w:t xml:space="preserve">43 </w:t>
      </w:r>
      <w:r w:rsidR="00A65039">
        <w:rPr>
          <w:rFonts w:cstheme="minorHAnsi"/>
          <w:szCs w:val="24"/>
          <w:lang w:eastAsia="cs-CZ"/>
        </w:rPr>
        <w:t xml:space="preserve">menších </w:t>
      </w:r>
      <w:r w:rsidRPr="00E01D34">
        <w:rPr>
          <w:rFonts w:cstheme="minorHAnsi"/>
          <w:szCs w:val="24"/>
          <w:lang w:eastAsia="cs-CZ"/>
        </w:rPr>
        <w:t>projekt</w:t>
      </w:r>
      <w:r w:rsidR="00043B25" w:rsidRPr="00E01D34">
        <w:rPr>
          <w:rFonts w:cstheme="minorHAnsi"/>
          <w:szCs w:val="24"/>
          <w:lang w:eastAsia="cs-CZ"/>
        </w:rPr>
        <w:t>ů</w:t>
      </w:r>
      <w:r w:rsidR="00043B25">
        <w:rPr>
          <w:rFonts w:cstheme="minorHAnsi"/>
          <w:szCs w:val="24"/>
          <w:lang w:eastAsia="cs-CZ"/>
        </w:rPr>
        <w:t xml:space="preserve"> v souhrnné</w:t>
      </w:r>
      <w:r>
        <w:rPr>
          <w:rFonts w:cstheme="minorHAnsi"/>
          <w:szCs w:val="24"/>
          <w:lang w:eastAsia="cs-CZ"/>
        </w:rPr>
        <w:t xml:space="preserve"> výši </w:t>
      </w:r>
      <w:r w:rsidR="009E738D">
        <w:rPr>
          <w:rFonts w:cstheme="minorHAnsi"/>
          <w:szCs w:val="24"/>
          <w:lang w:eastAsia="cs-CZ"/>
        </w:rPr>
        <w:t>39</w:t>
      </w:r>
      <w:r w:rsidR="00146D41">
        <w:rPr>
          <w:rFonts w:cstheme="minorHAnsi"/>
          <w:szCs w:val="24"/>
          <w:lang w:eastAsia="cs-CZ"/>
        </w:rPr>
        <w:t>5 mil.</w:t>
      </w:r>
      <w:r w:rsidR="009E738D" w:rsidRPr="009E738D" w:rsidDel="009E738D">
        <w:rPr>
          <w:rFonts w:cstheme="minorHAnsi"/>
          <w:szCs w:val="24"/>
          <w:lang w:eastAsia="cs-CZ"/>
        </w:rPr>
        <w:t xml:space="preserve"> </w:t>
      </w:r>
      <w:r w:rsidRPr="00E01D34">
        <w:rPr>
          <w:rFonts w:cstheme="minorHAnsi"/>
          <w:szCs w:val="24"/>
          <w:lang w:eastAsia="cs-CZ"/>
        </w:rPr>
        <w:t>Kč</w:t>
      </w:r>
      <w:r w:rsidR="00043B25">
        <w:rPr>
          <w:rFonts w:cstheme="minorHAnsi"/>
          <w:szCs w:val="24"/>
          <w:lang w:eastAsia="cs-CZ"/>
        </w:rPr>
        <w:t>. Jejich</w:t>
      </w:r>
      <w:r>
        <w:rPr>
          <w:rFonts w:cstheme="minorHAnsi"/>
          <w:szCs w:val="24"/>
          <w:lang w:eastAsia="cs-CZ"/>
        </w:rPr>
        <w:t xml:space="preserve"> cílem byl</w:t>
      </w:r>
      <w:r w:rsidR="009E738D">
        <w:rPr>
          <w:rFonts w:cstheme="minorHAnsi"/>
          <w:szCs w:val="24"/>
          <w:lang w:eastAsia="cs-CZ"/>
        </w:rPr>
        <w:t>a mj. podpora výstavby</w:t>
      </w:r>
      <w:r w:rsidR="009E738D" w:rsidRPr="009E738D">
        <w:rPr>
          <w:rFonts w:cstheme="minorHAnsi"/>
          <w:szCs w:val="24"/>
          <w:lang w:eastAsia="cs-CZ"/>
        </w:rPr>
        <w:t xml:space="preserve"> vodovodních řadů, vodojemů, čerpacích stanic, úpraven vod a dalších souvisejících</w:t>
      </w:r>
      <w:r w:rsidR="009E738D">
        <w:rPr>
          <w:rFonts w:cstheme="minorHAnsi"/>
          <w:szCs w:val="24"/>
          <w:lang w:eastAsia="cs-CZ"/>
        </w:rPr>
        <w:t xml:space="preserve"> </w:t>
      </w:r>
      <w:r w:rsidR="009E738D">
        <w:rPr>
          <w:rFonts w:eastAsia="Times New Roman"/>
        </w:rPr>
        <w:t>objektů sloužících k zásobování obyvatelstva pitnou vodou v obcích všech velikostních kategorií</w:t>
      </w:r>
      <w:r w:rsidR="00C40D10">
        <w:rPr>
          <w:rFonts w:eastAsia="Times New Roman"/>
        </w:rPr>
        <w:t xml:space="preserve">. </w:t>
      </w:r>
      <w:r w:rsidR="00146D41">
        <w:rPr>
          <w:rFonts w:eastAsia="Times New Roman"/>
        </w:rPr>
        <w:t xml:space="preserve">Z těchto projektů byla u </w:t>
      </w:r>
      <w:r w:rsidR="00C40D10">
        <w:rPr>
          <w:rFonts w:eastAsia="Times New Roman"/>
        </w:rPr>
        <w:t>osm</w:t>
      </w:r>
      <w:r w:rsidR="00146D41">
        <w:rPr>
          <w:rFonts w:eastAsia="Times New Roman"/>
        </w:rPr>
        <w:t>i</w:t>
      </w:r>
      <w:r w:rsidR="00C40D10">
        <w:rPr>
          <w:rFonts w:eastAsia="Times New Roman"/>
        </w:rPr>
        <w:t xml:space="preserve"> projektů</w:t>
      </w:r>
      <w:r w:rsidR="00146D41">
        <w:rPr>
          <w:rFonts w:eastAsia="Times New Roman"/>
        </w:rPr>
        <w:t xml:space="preserve"> (</w:t>
      </w:r>
      <w:r w:rsidR="00C40D10">
        <w:rPr>
          <w:rFonts w:eastAsia="Times New Roman"/>
        </w:rPr>
        <w:t>v celkové výši 14</w:t>
      </w:r>
      <w:r w:rsidR="00146D41">
        <w:rPr>
          <w:rFonts w:eastAsia="Times New Roman"/>
        </w:rPr>
        <w:t>,</w:t>
      </w:r>
      <w:r w:rsidR="00C40D10">
        <w:rPr>
          <w:rFonts w:eastAsia="Times New Roman"/>
        </w:rPr>
        <w:t>5</w:t>
      </w:r>
      <w:r w:rsidR="00146D41">
        <w:rPr>
          <w:rFonts w:eastAsia="Times New Roman"/>
        </w:rPr>
        <w:t xml:space="preserve"> mil.</w:t>
      </w:r>
      <w:r w:rsidR="00C40D10">
        <w:rPr>
          <w:rFonts w:eastAsia="Times New Roman"/>
        </w:rPr>
        <w:t xml:space="preserve"> Kč</w:t>
      </w:r>
      <w:r w:rsidR="00146D41">
        <w:rPr>
          <w:rFonts w:eastAsia="Times New Roman"/>
        </w:rPr>
        <w:t>) modernizována</w:t>
      </w:r>
      <w:r w:rsidR="00C40D10">
        <w:rPr>
          <w:rFonts w:eastAsia="Times New Roman"/>
        </w:rPr>
        <w:t xml:space="preserve"> technologie na úpravu vody za účelem odstranění nebezpečných látek z pitné vody, např. pesticidních látek, selenu či arsenu.</w:t>
      </w:r>
    </w:p>
    <w:p w14:paraId="1791C183" w14:textId="77777777" w:rsidR="00C07EB4" w:rsidRDefault="00C07EB4" w:rsidP="0015351B">
      <w:pPr>
        <w:pStyle w:val="Odstavecseseznamem"/>
        <w:ind w:left="0"/>
        <w:rPr>
          <w:rFonts w:cstheme="minorHAnsi"/>
          <w:szCs w:val="24"/>
          <w:lang w:eastAsia="cs-CZ"/>
        </w:rPr>
      </w:pPr>
      <w:r>
        <w:rPr>
          <w:rFonts w:cstheme="minorHAnsi"/>
          <w:szCs w:val="24"/>
          <w:lang w:eastAsia="cs-CZ"/>
        </w:rPr>
        <w:t>NKÚ spatřuje rizika v</w:t>
      </w:r>
      <w:r w:rsidR="00314806">
        <w:rPr>
          <w:rFonts w:cstheme="minorHAnsi"/>
          <w:szCs w:val="24"/>
          <w:lang w:eastAsia="cs-CZ"/>
        </w:rPr>
        <w:t> proveditelnosti</w:t>
      </w:r>
      <w:r>
        <w:rPr>
          <w:rFonts w:cstheme="minorHAnsi"/>
          <w:szCs w:val="24"/>
          <w:lang w:eastAsia="cs-CZ"/>
        </w:rPr>
        <w:t xml:space="preserve"> těchto nákladných opatření zejména u úpraven vod zajišťující</w:t>
      </w:r>
      <w:r w:rsidR="00AB54E8">
        <w:rPr>
          <w:rFonts w:cstheme="minorHAnsi"/>
          <w:szCs w:val="24"/>
          <w:lang w:eastAsia="cs-CZ"/>
        </w:rPr>
        <w:t>ch</w:t>
      </w:r>
      <w:r>
        <w:rPr>
          <w:rFonts w:cstheme="minorHAnsi"/>
          <w:szCs w:val="24"/>
          <w:lang w:eastAsia="cs-CZ"/>
        </w:rPr>
        <w:t xml:space="preserve"> dodávky </w:t>
      </w:r>
      <w:r w:rsidR="00AB54E8">
        <w:rPr>
          <w:rFonts w:cstheme="minorHAnsi"/>
          <w:szCs w:val="24"/>
          <w:lang w:eastAsia="cs-CZ"/>
        </w:rPr>
        <w:t xml:space="preserve">pro oblasti s </w:t>
      </w:r>
      <w:r>
        <w:rPr>
          <w:rFonts w:cstheme="minorHAnsi"/>
          <w:szCs w:val="24"/>
          <w:lang w:eastAsia="cs-CZ"/>
        </w:rPr>
        <w:t xml:space="preserve">malým </w:t>
      </w:r>
      <w:r w:rsidR="00AB54E8">
        <w:rPr>
          <w:rFonts w:cstheme="minorHAnsi"/>
          <w:szCs w:val="24"/>
          <w:lang w:eastAsia="cs-CZ"/>
        </w:rPr>
        <w:t>počtem odběratelů</w:t>
      </w:r>
      <w:r>
        <w:rPr>
          <w:rFonts w:cstheme="minorHAnsi"/>
          <w:szCs w:val="24"/>
          <w:lang w:eastAsia="cs-CZ"/>
        </w:rPr>
        <w:t xml:space="preserve">. Vodovody těchto </w:t>
      </w:r>
      <w:r w:rsidR="00314806">
        <w:rPr>
          <w:rFonts w:cstheme="minorHAnsi"/>
          <w:szCs w:val="24"/>
          <w:lang w:eastAsia="cs-CZ"/>
        </w:rPr>
        <w:t>oblastí</w:t>
      </w:r>
      <w:r>
        <w:rPr>
          <w:rFonts w:cstheme="minorHAnsi"/>
          <w:szCs w:val="24"/>
          <w:lang w:eastAsia="cs-CZ"/>
        </w:rPr>
        <w:t xml:space="preserve"> tvoří většinu ze všech </w:t>
      </w:r>
      <w:r w:rsidR="00314806">
        <w:rPr>
          <w:rFonts w:cstheme="minorHAnsi"/>
          <w:szCs w:val="24"/>
          <w:lang w:eastAsia="cs-CZ"/>
        </w:rPr>
        <w:t>oblastí, kterým byla povolena</w:t>
      </w:r>
      <w:r w:rsidR="006B73BB">
        <w:rPr>
          <w:rFonts w:cstheme="minorHAnsi"/>
          <w:szCs w:val="24"/>
          <w:lang w:eastAsia="cs-CZ"/>
        </w:rPr>
        <w:t xml:space="preserve"> </w:t>
      </w:r>
      <w:r>
        <w:rPr>
          <w:rFonts w:cstheme="minorHAnsi"/>
          <w:szCs w:val="24"/>
          <w:lang w:eastAsia="cs-CZ"/>
        </w:rPr>
        <w:t>výjimk</w:t>
      </w:r>
      <w:r w:rsidR="00314806">
        <w:rPr>
          <w:rFonts w:cstheme="minorHAnsi"/>
          <w:szCs w:val="24"/>
          <w:lang w:eastAsia="cs-CZ"/>
        </w:rPr>
        <w:t>a</w:t>
      </w:r>
      <w:r>
        <w:rPr>
          <w:rFonts w:cstheme="minorHAnsi"/>
          <w:szCs w:val="24"/>
          <w:lang w:eastAsia="cs-CZ"/>
        </w:rPr>
        <w:t xml:space="preserve"> z hygienického limitu v roce</w:t>
      </w:r>
      <w:r w:rsidR="00393710">
        <w:rPr>
          <w:rFonts w:cstheme="minorHAnsi"/>
          <w:szCs w:val="24"/>
          <w:lang w:eastAsia="cs-CZ"/>
        </w:rPr>
        <w:t xml:space="preserve"> 2019, viz výše uvedený graf </w:t>
      </w:r>
      <w:r w:rsidR="00B40AE1">
        <w:rPr>
          <w:rFonts w:cstheme="minorHAnsi"/>
          <w:szCs w:val="24"/>
          <w:lang w:eastAsia="cs-CZ"/>
        </w:rPr>
        <w:t>6</w:t>
      </w:r>
      <w:r>
        <w:rPr>
          <w:rFonts w:cstheme="minorHAnsi"/>
          <w:szCs w:val="24"/>
          <w:lang w:eastAsia="cs-CZ"/>
        </w:rPr>
        <w:t>. Vysoká finanční náročnost nových technologií na úpravu vody tak bude bez dotačních prostředků u těchto úpraven vody hlavní překážkou. Rovněž</w:t>
      </w:r>
      <w:r w:rsidR="00393710">
        <w:rPr>
          <w:rFonts w:cstheme="minorHAnsi"/>
          <w:szCs w:val="24"/>
          <w:lang w:eastAsia="cs-CZ"/>
        </w:rPr>
        <w:t xml:space="preserve"> nelze opomenout, že se jedná o </w:t>
      </w:r>
      <w:r>
        <w:rPr>
          <w:rFonts w:cstheme="minorHAnsi"/>
          <w:szCs w:val="24"/>
          <w:lang w:eastAsia="cs-CZ"/>
        </w:rPr>
        <w:t>řešení spočívající v </w:t>
      </w:r>
      <w:r w:rsidR="00AB54E8">
        <w:rPr>
          <w:rFonts w:cstheme="minorHAnsi"/>
          <w:szCs w:val="24"/>
          <w:lang w:eastAsia="cs-CZ"/>
        </w:rPr>
        <w:t>odstraňování</w:t>
      </w:r>
      <w:r>
        <w:rPr>
          <w:rFonts w:cstheme="minorHAnsi"/>
          <w:szCs w:val="24"/>
          <w:lang w:eastAsia="cs-CZ"/>
        </w:rPr>
        <w:t xml:space="preserve"> důsledků</w:t>
      </w:r>
      <w:r w:rsidR="00AB54E8">
        <w:rPr>
          <w:rFonts w:cstheme="minorHAnsi"/>
          <w:szCs w:val="24"/>
          <w:lang w:eastAsia="cs-CZ"/>
        </w:rPr>
        <w:t>,</w:t>
      </w:r>
      <w:r>
        <w:rPr>
          <w:rFonts w:cstheme="minorHAnsi"/>
          <w:szCs w:val="24"/>
          <w:lang w:eastAsia="cs-CZ"/>
        </w:rPr>
        <w:t xml:space="preserve"> nikoli příčin.</w:t>
      </w:r>
    </w:p>
    <w:p w14:paraId="4DB97729" w14:textId="77777777" w:rsidR="00487402" w:rsidRDefault="00487402" w:rsidP="00442B6D">
      <w:pPr>
        <w:pStyle w:val="Nadpis2"/>
      </w:pPr>
      <w:r>
        <w:t xml:space="preserve">Rekonstrukce a modernizace úpravny vody </w:t>
      </w:r>
      <w:r w:rsidR="00AB54E8">
        <w:t xml:space="preserve">v </w:t>
      </w:r>
      <w:r>
        <w:t>Plz</w:t>
      </w:r>
      <w:r w:rsidR="00AB54E8">
        <w:t>ni</w:t>
      </w:r>
    </w:p>
    <w:p w14:paraId="5F1D3F0D" w14:textId="77777777" w:rsidR="00487402" w:rsidRDefault="00487402" w:rsidP="00487402">
      <w:pPr>
        <w:rPr>
          <w:rFonts w:cstheme="minorHAnsi"/>
          <w:szCs w:val="24"/>
          <w:lang w:eastAsia="cs-CZ"/>
        </w:rPr>
      </w:pPr>
      <w:r>
        <w:rPr>
          <w:rFonts w:cstheme="minorHAnsi"/>
        </w:rPr>
        <w:t>Z 34. výzvy OPŽP 2013</w:t>
      </w:r>
      <w:r w:rsidR="00E4770B">
        <w:rPr>
          <w:rFonts w:cstheme="minorHAnsi"/>
          <w:szCs w:val="24"/>
          <w:lang w:eastAsia="cs-CZ"/>
        </w:rPr>
        <w:t>–</w:t>
      </w:r>
      <w:r>
        <w:rPr>
          <w:rFonts w:cstheme="minorHAnsi"/>
        </w:rPr>
        <w:t xml:space="preserve">2017 byl mj. podpořen projekt </w:t>
      </w:r>
      <w:r>
        <w:rPr>
          <w:rFonts w:cstheme="minorHAnsi"/>
          <w:i/>
        </w:rPr>
        <w:t>Rekonstrukce a modernizace úpravny vody Plzeň</w:t>
      </w:r>
      <w:r>
        <w:rPr>
          <w:rFonts w:cstheme="minorHAnsi"/>
        </w:rPr>
        <w:t>.</w:t>
      </w:r>
      <w:r w:rsidR="00E4770B">
        <w:rPr>
          <w:rFonts w:cstheme="minorHAnsi"/>
          <w:lang w:eastAsia="cs-CZ"/>
        </w:rPr>
        <w:t xml:space="preserve"> </w:t>
      </w:r>
      <w:r>
        <w:rPr>
          <w:rFonts w:cstheme="minorHAnsi"/>
          <w:lang w:eastAsia="cs-CZ"/>
        </w:rPr>
        <w:t xml:space="preserve">Důvodem pro realizaci </w:t>
      </w:r>
      <w:r w:rsidR="00E4770B">
        <w:rPr>
          <w:rFonts w:cstheme="minorHAnsi"/>
          <w:lang w:eastAsia="cs-CZ"/>
        </w:rPr>
        <w:t>tohoto</w:t>
      </w:r>
      <w:r>
        <w:rPr>
          <w:rFonts w:cstheme="minorHAnsi"/>
          <w:lang w:eastAsia="cs-CZ"/>
        </w:rPr>
        <w:t xml:space="preserve"> projektu byla nevyhovující kvalita pitné vody, která </w:t>
      </w:r>
      <w:r>
        <w:rPr>
          <w:rFonts w:cstheme="minorHAnsi"/>
          <w:szCs w:val="24"/>
          <w:lang w:eastAsia="cs-CZ"/>
        </w:rPr>
        <w:t xml:space="preserve">v roce 2011 vedla k potřebě povolení výjimky z hygienického limitu pro </w:t>
      </w:r>
      <w:proofErr w:type="spellStart"/>
      <w:r>
        <w:rPr>
          <w:rFonts w:cstheme="minorHAnsi"/>
          <w:lang w:eastAsia="cs-CZ"/>
        </w:rPr>
        <w:t>acetochlor</w:t>
      </w:r>
      <w:proofErr w:type="spellEnd"/>
      <w:r>
        <w:rPr>
          <w:rFonts w:cstheme="minorHAnsi"/>
          <w:lang w:eastAsia="cs-CZ"/>
        </w:rPr>
        <w:t xml:space="preserve">, </w:t>
      </w:r>
      <w:proofErr w:type="spellStart"/>
      <w:r>
        <w:rPr>
          <w:rFonts w:cstheme="minorHAnsi"/>
          <w:lang w:eastAsia="cs-CZ"/>
        </w:rPr>
        <w:t>metolachlor</w:t>
      </w:r>
      <w:proofErr w:type="spellEnd"/>
      <w:r>
        <w:rPr>
          <w:rFonts w:cstheme="minorHAnsi"/>
          <w:lang w:eastAsia="cs-CZ"/>
        </w:rPr>
        <w:t xml:space="preserve">, </w:t>
      </w:r>
      <w:proofErr w:type="spellStart"/>
      <w:r>
        <w:rPr>
          <w:rFonts w:cstheme="minorHAnsi"/>
          <w:lang w:eastAsia="cs-CZ"/>
        </w:rPr>
        <w:t>terbuthylazin</w:t>
      </w:r>
      <w:proofErr w:type="spellEnd"/>
      <w:r>
        <w:rPr>
          <w:rFonts w:cstheme="minorHAnsi"/>
          <w:lang w:eastAsia="cs-CZ"/>
        </w:rPr>
        <w:t xml:space="preserve">, </w:t>
      </w:r>
      <w:proofErr w:type="spellStart"/>
      <w:r>
        <w:rPr>
          <w:rFonts w:cstheme="minorHAnsi"/>
          <w:lang w:eastAsia="cs-CZ"/>
        </w:rPr>
        <w:t>metazachlor</w:t>
      </w:r>
      <w:proofErr w:type="spellEnd"/>
      <w:r>
        <w:rPr>
          <w:rFonts w:cstheme="minorHAnsi"/>
          <w:lang w:eastAsia="cs-CZ"/>
        </w:rPr>
        <w:t xml:space="preserve">, </w:t>
      </w:r>
      <w:proofErr w:type="spellStart"/>
      <w:r w:rsidR="00EE37C3">
        <w:rPr>
          <w:rFonts w:cstheme="minorHAnsi"/>
          <w:lang w:eastAsia="cs-CZ"/>
        </w:rPr>
        <w:t>chlor</w:t>
      </w:r>
      <w:r w:rsidR="00BE12B0">
        <w:rPr>
          <w:rFonts w:cstheme="minorHAnsi"/>
          <w:lang w:eastAsia="cs-CZ"/>
        </w:rPr>
        <w:t>o</w:t>
      </w:r>
      <w:r w:rsidR="00EE37C3">
        <w:rPr>
          <w:rFonts w:cstheme="minorHAnsi"/>
          <w:lang w:eastAsia="cs-CZ"/>
        </w:rPr>
        <w:t>toluron</w:t>
      </w:r>
      <w:proofErr w:type="spellEnd"/>
      <w:r>
        <w:rPr>
          <w:rFonts w:cstheme="minorHAnsi"/>
          <w:lang w:eastAsia="cs-CZ"/>
        </w:rPr>
        <w:t xml:space="preserve"> </w:t>
      </w:r>
      <w:r w:rsidR="00393710">
        <w:rPr>
          <w:rFonts w:cstheme="minorHAnsi"/>
          <w:szCs w:val="24"/>
          <w:lang w:eastAsia="cs-CZ"/>
        </w:rPr>
        <w:t xml:space="preserve">a </w:t>
      </w:r>
      <w:r w:rsidR="00AB54E8">
        <w:rPr>
          <w:rFonts w:cstheme="minorHAnsi"/>
          <w:szCs w:val="24"/>
          <w:lang w:eastAsia="cs-CZ"/>
        </w:rPr>
        <w:t>také pro</w:t>
      </w:r>
      <w:r w:rsidR="00393710">
        <w:rPr>
          <w:rFonts w:cstheme="minorHAnsi"/>
          <w:szCs w:val="24"/>
          <w:lang w:eastAsia="cs-CZ"/>
        </w:rPr>
        <w:t xml:space="preserve"> ukazatel</w:t>
      </w:r>
      <w:r>
        <w:rPr>
          <w:rFonts w:cstheme="minorHAnsi"/>
          <w:szCs w:val="24"/>
          <w:lang w:eastAsia="cs-CZ"/>
        </w:rPr>
        <w:t xml:space="preserve"> </w:t>
      </w:r>
      <w:r w:rsidR="00AB54E8">
        <w:rPr>
          <w:rFonts w:cstheme="minorHAnsi"/>
          <w:szCs w:val="24"/>
          <w:lang w:eastAsia="cs-CZ"/>
        </w:rPr>
        <w:t>„</w:t>
      </w:r>
      <w:r>
        <w:rPr>
          <w:rFonts w:cstheme="minorHAnsi"/>
          <w:i/>
          <w:szCs w:val="24"/>
          <w:lang w:eastAsia="cs-CZ"/>
        </w:rPr>
        <w:t>suma pesticidů</w:t>
      </w:r>
      <w:r w:rsidR="00AB54E8">
        <w:rPr>
          <w:rFonts w:cstheme="minorHAnsi"/>
          <w:szCs w:val="24"/>
          <w:lang w:eastAsia="cs-CZ"/>
        </w:rPr>
        <w:t>“</w:t>
      </w:r>
      <w:r>
        <w:rPr>
          <w:rFonts w:cstheme="minorHAnsi"/>
          <w:szCs w:val="24"/>
          <w:lang w:eastAsia="cs-CZ"/>
        </w:rPr>
        <w:t xml:space="preserve">, přičemž tato výjimka </w:t>
      </w:r>
      <w:r w:rsidR="00EC22B9">
        <w:rPr>
          <w:rFonts w:cstheme="minorHAnsi"/>
          <w:szCs w:val="24"/>
          <w:lang w:eastAsia="cs-CZ"/>
        </w:rPr>
        <w:t>zasáhla</w:t>
      </w:r>
      <w:r>
        <w:rPr>
          <w:rFonts w:cstheme="minorHAnsi"/>
          <w:szCs w:val="24"/>
          <w:lang w:eastAsia="cs-CZ"/>
        </w:rPr>
        <w:t xml:space="preserve"> 200 000 </w:t>
      </w:r>
      <w:r w:rsidR="00AB54E8">
        <w:rPr>
          <w:rFonts w:cstheme="minorHAnsi"/>
          <w:szCs w:val="24"/>
          <w:lang w:eastAsia="cs-CZ"/>
        </w:rPr>
        <w:t>odběratelů pitné vody</w:t>
      </w:r>
      <w:r>
        <w:rPr>
          <w:rFonts w:cstheme="minorHAnsi"/>
          <w:szCs w:val="24"/>
          <w:lang w:eastAsia="cs-CZ"/>
        </w:rPr>
        <w:t>.</w:t>
      </w:r>
    </w:p>
    <w:p w14:paraId="0008C9CA" w14:textId="21526ABB" w:rsidR="00487402" w:rsidRPr="008F4EB3" w:rsidRDefault="00487402" w:rsidP="006A27F5">
      <w:pPr>
        <w:pStyle w:val="Titulek"/>
        <w:keepNext/>
        <w:spacing w:after="0"/>
        <w:rPr>
          <w:b/>
          <w:i w:val="0"/>
          <w:color w:val="000000" w:themeColor="text1"/>
          <w:sz w:val="24"/>
          <w:szCs w:val="24"/>
        </w:rPr>
      </w:pPr>
      <w:r w:rsidRPr="008F4EB3">
        <w:rPr>
          <w:b/>
          <w:i w:val="0"/>
          <w:color w:val="000000" w:themeColor="text1"/>
          <w:sz w:val="24"/>
          <w:szCs w:val="24"/>
        </w:rPr>
        <w:lastRenderedPageBreak/>
        <w:t xml:space="preserve">Tabulka </w:t>
      </w:r>
      <w:r w:rsidR="008F4EB3" w:rsidRPr="008F4EB3">
        <w:rPr>
          <w:b/>
          <w:i w:val="0"/>
          <w:color w:val="000000" w:themeColor="text1"/>
          <w:sz w:val="24"/>
          <w:szCs w:val="24"/>
        </w:rPr>
        <w:fldChar w:fldCharType="begin"/>
      </w:r>
      <w:r w:rsidR="008F4EB3" w:rsidRPr="008F4EB3">
        <w:rPr>
          <w:b/>
          <w:i w:val="0"/>
          <w:color w:val="000000" w:themeColor="text1"/>
          <w:sz w:val="24"/>
          <w:szCs w:val="24"/>
        </w:rPr>
        <w:instrText xml:space="preserve"> SEQ Tabulka \* ARABIC </w:instrText>
      </w:r>
      <w:r w:rsidR="008F4EB3" w:rsidRPr="008F4EB3">
        <w:rPr>
          <w:b/>
          <w:i w:val="0"/>
          <w:color w:val="000000" w:themeColor="text1"/>
          <w:sz w:val="24"/>
          <w:szCs w:val="24"/>
        </w:rPr>
        <w:fldChar w:fldCharType="separate"/>
      </w:r>
      <w:r w:rsidR="007145CB">
        <w:rPr>
          <w:b/>
          <w:i w:val="0"/>
          <w:noProof/>
          <w:color w:val="000000" w:themeColor="text1"/>
          <w:sz w:val="24"/>
          <w:szCs w:val="24"/>
        </w:rPr>
        <w:t>4</w:t>
      </w:r>
      <w:r w:rsidR="008F4EB3" w:rsidRPr="008F4EB3">
        <w:rPr>
          <w:b/>
          <w:i w:val="0"/>
          <w:color w:val="000000" w:themeColor="text1"/>
          <w:sz w:val="24"/>
          <w:szCs w:val="24"/>
        </w:rPr>
        <w:fldChar w:fldCharType="end"/>
      </w:r>
      <w:r w:rsidRPr="008F4EB3">
        <w:rPr>
          <w:b/>
          <w:i w:val="0"/>
          <w:color w:val="000000" w:themeColor="text1"/>
          <w:sz w:val="24"/>
          <w:szCs w:val="24"/>
        </w:rPr>
        <w:t xml:space="preserve">: Rozbory pitné vody skupinového vodovodu </w:t>
      </w:r>
      <w:r w:rsidR="00AB54E8">
        <w:rPr>
          <w:b/>
          <w:i w:val="0"/>
          <w:color w:val="000000" w:themeColor="text1"/>
          <w:sz w:val="24"/>
          <w:szCs w:val="24"/>
        </w:rPr>
        <w:t xml:space="preserve">v </w:t>
      </w:r>
      <w:r w:rsidRPr="008F4EB3">
        <w:rPr>
          <w:b/>
          <w:i w:val="0"/>
          <w:color w:val="000000" w:themeColor="text1"/>
          <w:sz w:val="24"/>
          <w:szCs w:val="24"/>
        </w:rPr>
        <w:t>Plz</w:t>
      </w:r>
      <w:r w:rsidR="00AB54E8">
        <w:rPr>
          <w:b/>
          <w:i w:val="0"/>
          <w:color w:val="000000" w:themeColor="text1"/>
          <w:sz w:val="24"/>
          <w:szCs w:val="24"/>
        </w:rPr>
        <w:t>ni</w:t>
      </w:r>
      <w:r w:rsidR="00547732">
        <w:rPr>
          <w:b/>
          <w:i w:val="0"/>
          <w:color w:val="000000" w:themeColor="text1"/>
          <w:sz w:val="24"/>
          <w:szCs w:val="24"/>
        </w:rPr>
        <w:t xml:space="preserve"> v období 2009</w:t>
      </w:r>
      <w:r w:rsidR="00D7774C">
        <w:rPr>
          <w:b/>
          <w:i w:val="0"/>
          <w:color w:val="000000" w:themeColor="text1"/>
          <w:sz w:val="24"/>
          <w:szCs w:val="24"/>
        </w:rPr>
        <w:t>–</w:t>
      </w:r>
      <w:r w:rsidR="00547732">
        <w:rPr>
          <w:b/>
          <w:i w:val="0"/>
          <w:color w:val="000000" w:themeColor="text1"/>
          <w:sz w:val="24"/>
          <w:szCs w:val="24"/>
        </w:rPr>
        <w:t>2011</w:t>
      </w:r>
    </w:p>
    <w:tbl>
      <w:tblPr>
        <w:tblStyle w:val="Mkatabulky"/>
        <w:tblW w:w="4884" w:type="pct"/>
        <w:tblInd w:w="108" w:type="dxa"/>
        <w:tblLook w:val="04A0" w:firstRow="1" w:lastRow="0" w:firstColumn="1" w:lastColumn="0" w:noHBand="0" w:noVBand="1"/>
      </w:tblPr>
      <w:tblGrid>
        <w:gridCol w:w="1561"/>
        <w:gridCol w:w="3119"/>
        <w:gridCol w:w="2009"/>
        <w:gridCol w:w="2384"/>
      </w:tblGrid>
      <w:tr w:rsidR="00487402" w:rsidRPr="00A8488B" w14:paraId="7A59688F" w14:textId="77777777" w:rsidTr="00E4770B">
        <w:trPr>
          <w:trHeight w:val="454"/>
        </w:trPr>
        <w:tc>
          <w:tcPr>
            <w:tcW w:w="860" w:type="pct"/>
            <w:tcBorders>
              <w:top w:val="single" w:sz="4" w:space="0" w:color="auto"/>
              <w:left w:val="single" w:sz="4" w:space="0" w:color="auto"/>
              <w:bottom w:val="double" w:sz="4" w:space="0" w:color="auto"/>
              <w:right w:val="single" w:sz="4" w:space="0" w:color="auto"/>
            </w:tcBorders>
            <w:shd w:val="clear" w:color="auto" w:fill="E5F1FF"/>
            <w:vAlign w:val="center"/>
            <w:hideMark/>
          </w:tcPr>
          <w:p w14:paraId="6C320BB8" w14:textId="77777777" w:rsidR="00487402" w:rsidRPr="0015351B" w:rsidRDefault="00487402" w:rsidP="0015351B">
            <w:pPr>
              <w:pStyle w:val="obsahtabulky"/>
              <w:jc w:val="center"/>
              <w:rPr>
                <w:rFonts w:asciiTheme="minorHAnsi" w:hAnsiTheme="minorHAnsi"/>
                <w:b/>
                <w:color w:val="000000" w:themeColor="text1"/>
                <w:szCs w:val="20"/>
                <w:lang w:eastAsia="en-US"/>
              </w:rPr>
            </w:pPr>
            <w:r w:rsidRPr="0015351B">
              <w:rPr>
                <w:rFonts w:asciiTheme="minorHAnsi" w:hAnsiTheme="minorHAnsi"/>
                <w:b/>
                <w:color w:val="000000" w:themeColor="text1"/>
                <w:szCs w:val="20"/>
                <w:lang w:eastAsia="en-US"/>
              </w:rPr>
              <w:t>Ukazatel</w:t>
            </w:r>
          </w:p>
        </w:tc>
        <w:tc>
          <w:tcPr>
            <w:tcW w:w="1719" w:type="pct"/>
            <w:tcBorders>
              <w:top w:val="single" w:sz="4" w:space="0" w:color="auto"/>
              <w:left w:val="single" w:sz="4" w:space="0" w:color="auto"/>
              <w:bottom w:val="double" w:sz="4" w:space="0" w:color="auto"/>
              <w:right w:val="single" w:sz="4" w:space="0" w:color="auto"/>
            </w:tcBorders>
            <w:shd w:val="clear" w:color="auto" w:fill="E5F1FF"/>
            <w:vAlign w:val="center"/>
            <w:hideMark/>
          </w:tcPr>
          <w:p w14:paraId="56F87AAB" w14:textId="77777777" w:rsidR="00487402" w:rsidRPr="0015351B" w:rsidRDefault="00487402" w:rsidP="0015351B">
            <w:pPr>
              <w:pStyle w:val="obsahtabulky"/>
              <w:jc w:val="center"/>
              <w:rPr>
                <w:rFonts w:asciiTheme="minorHAnsi" w:hAnsiTheme="minorHAnsi"/>
                <w:b/>
                <w:color w:val="000000" w:themeColor="text1"/>
                <w:szCs w:val="20"/>
                <w:lang w:eastAsia="en-US"/>
              </w:rPr>
            </w:pPr>
            <w:r w:rsidRPr="0015351B">
              <w:rPr>
                <w:rFonts w:asciiTheme="minorHAnsi" w:hAnsiTheme="minorHAnsi"/>
                <w:b/>
                <w:color w:val="000000" w:themeColor="text1"/>
                <w:szCs w:val="20"/>
                <w:lang w:eastAsia="en-US"/>
              </w:rPr>
              <w:t>Nejvyšší bodová naměřená hodnota</w:t>
            </w:r>
          </w:p>
        </w:tc>
        <w:tc>
          <w:tcPr>
            <w:tcW w:w="1107" w:type="pct"/>
            <w:tcBorders>
              <w:top w:val="single" w:sz="4" w:space="0" w:color="auto"/>
              <w:left w:val="single" w:sz="4" w:space="0" w:color="auto"/>
              <w:bottom w:val="double" w:sz="4" w:space="0" w:color="auto"/>
              <w:right w:val="single" w:sz="4" w:space="0" w:color="auto"/>
            </w:tcBorders>
            <w:shd w:val="clear" w:color="auto" w:fill="E5F1FF"/>
            <w:vAlign w:val="center"/>
            <w:hideMark/>
          </w:tcPr>
          <w:p w14:paraId="1586DE18" w14:textId="77777777" w:rsidR="00487402" w:rsidRPr="0015351B" w:rsidRDefault="00487402" w:rsidP="0015351B">
            <w:pPr>
              <w:pStyle w:val="obsahtabulky"/>
              <w:jc w:val="center"/>
              <w:rPr>
                <w:rFonts w:asciiTheme="minorHAnsi" w:hAnsiTheme="minorHAnsi"/>
                <w:b/>
                <w:color w:val="000000" w:themeColor="text1"/>
                <w:szCs w:val="20"/>
                <w:lang w:eastAsia="en-US"/>
              </w:rPr>
            </w:pPr>
            <w:r w:rsidRPr="0015351B">
              <w:rPr>
                <w:rFonts w:asciiTheme="minorHAnsi" w:hAnsiTheme="minorHAnsi"/>
                <w:b/>
                <w:color w:val="000000" w:themeColor="text1"/>
                <w:szCs w:val="20"/>
                <w:lang w:eastAsia="en-US"/>
              </w:rPr>
              <w:t>Průměrná hodnota</w:t>
            </w:r>
          </w:p>
        </w:tc>
        <w:tc>
          <w:tcPr>
            <w:tcW w:w="1314" w:type="pct"/>
            <w:tcBorders>
              <w:top w:val="single" w:sz="4" w:space="0" w:color="auto"/>
              <w:left w:val="single" w:sz="4" w:space="0" w:color="auto"/>
              <w:bottom w:val="double" w:sz="4" w:space="0" w:color="auto"/>
              <w:right w:val="single" w:sz="4" w:space="0" w:color="auto"/>
            </w:tcBorders>
            <w:shd w:val="clear" w:color="auto" w:fill="E5F1FF"/>
            <w:vAlign w:val="center"/>
            <w:hideMark/>
          </w:tcPr>
          <w:p w14:paraId="72030EBD" w14:textId="77777777" w:rsidR="00487402" w:rsidRPr="0015351B" w:rsidRDefault="00487402" w:rsidP="0015351B">
            <w:pPr>
              <w:pStyle w:val="obsahtabulky"/>
              <w:jc w:val="center"/>
              <w:rPr>
                <w:rFonts w:asciiTheme="minorHAnsi" w:hAnsiTheme="minorHAnsi"/>
                <w:b/>
                <w:color w:val="000000" w:themeColor="text1"/>
                <w:szCs w:val="20"/>
                <w:lang w:eastAsia="en-US"/>
              </w:rPr>
            </w:pPr>
            <w:r w:rsidRPr="0015351B">
              <w:rPr>
                <w:rFonts w:asciiTheme="minorHAnsi" w:hAnsiTheme="minorHAnsi"/>
                <w:b/>
                <w:color w:val="000000" w:themeColor="text1"/>
                <w:szCs w:val="20"/>
                <w:lang w:eastAsia="en-US"/>
              </w:rPr>
              <w:t>Limitní hodnota dle vyhlášky č. 252/2004 Sb.</w:t>
            </w:r>
          </w:p>
        </w:tc>
      </w:tr>
      <w:tr w:rsidR="00487402" w:rsidRPr="00A8488B" w14:paraId="16AE718D" w14:textId="77777777" w:rsidTr="00E4770B">
        <w:trPr>
          <w:trHeight w:val="397"/>
        </w:trPr>
        <w:tc>
          <w:tcPr>
            <w:tcW w:w="860" w:type="pct"/>
            <w:tcBorders>
              <w:top w:val="double" w:sz="4" w:space="0" w:color="auto"/>
              <w:left w:val="single" w:sz="4" w:space="0" w:color="auto"/>
              <w:bottom w:val="single" w:sz="4" w:space="0" w:color="auto"/>
              <w:right w:val="single" w:sz="4" w:space="0" w:color="auto"/>
            </w:tcBorders>
            <w:vAlign w:val="center"/>
            <w:hideMark/>
          </w:tcPr>
          <w:p w14:paraId="530D388C" w14:textId="77777777" w:rsidR="00487402" w:rsidRPr="0015351B" w:rsidRDefault="00487402">
            <w:pPr>
              <w:pStyle w:val="obsahtabulky"/>
              <w:jc w:val="left"/>
              <w:rPr>
                <w:rFonts w:asciiTheme="minorHAnsi" w:hAnsiTheme="minorHAnsi"/>
                <w:color w:val="000000" w:themeColor="text1"/>
                <w:szCs w:val="20"/>
                <w:lang w:eastAsia="en-US"/>
              </w:rPr>
            </w:pPr>
            <w:proofErr w:type="spellStart"/>
            <w:r w:rsidRPr="0015351B">
              <w:rPr>
                <w:rFonts w:asciiTheme="minorHAnsi" w:hAnsiTheme="minorHAnsi"/>
                <w:color w:val="000000" w:themeColor="text1"/>
                <w:szCs w:val="20"/>
                <w:lang w:eastAsia="en-US"/>
              </w:rPr>
              <w:t>Acetochlor</w:t>
            </w:r>
            <w:proofErr w:type="spellEnd"/>
          </w:p>
        </w:tc>
        <w:tc>
          <w:tcPr>
            <w:tcW w:w="1719" w:type="pct"/>
            <w:tcBorders>
              <w:top w:val="double" w:sz="4" w:space="0" w:color="auto"/>
              <w:left w:val="single" w:sz="4" w:space="0" w:color="auto"/>
              <w:bottom w:val="single" w:sz="4" w:space="0" w:color="auto"/>
              <w:right w:val="single" w:sz="4" w:space="0" w:color="auto"/>
            </w:tcBorders>
            <w:vAlign w:val="center"/>
            <w:hideMark/>
          </w:tcPr>
          <w:p w14:paraId="3D3F43C7"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0,791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 xml:space="preserve">/l (1,31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 úpravna)</w:t>
            </w:r>
          </w:p>
        </w:tc>
        <w:tc>
          <w:tcPr>
            <w:tcW w:w="1107" w:type="pct"/>
            <w:tcBorders>
              <w:top w:val="double" w:sz="4" w:space="0" w:color="auto"/>
              <w:left w:val="single" w:sz="4" w:space="0" w:color="auto"/>
              <w:bottom w:val="single" w:sz="4" w:space="0" w:color="auto"/>
              <w:right w:val="single" w:sz="4" w:space="0" w:color="auto"/>
            </w:tcBorders>
            <w:vAlign w:val="center"/>
            <w:hideMark/>
          </w:tcPr>
          <w:p w14:paraId="3F17F8DE"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0,0235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double" w:sz="4" w:space="0" w:color="auto"/>
              <w:left w:val="single" w:sz="4" w:space="0" w:color="auto"/>
              <w:bottom w:val="single" w:sz="4" w:space="0" w:color="auto"/>
              <w:right w:val="single" w:sz="4" w:space="0" w:color="auto"/>
            </w:tcBorders>
            <w:vAlign w:val="center"/>
            <w:hideMark/>
          </w:tcPr>
          <w:p w14:paraId="15B332BE"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r w:rsidR="00487402" w:rsidRPr="00A8488B" w14:paraId="477C62BB" w14:textId="77777777" w:rsidTr="00E4770B">
        <w:trPr>
          <w:trHeight w:val="397"/>
        </w:trPr>
        <w:tc>
          <w:tcPr>
            <w:tcW w:w="860" w:type="pct"/>
            <w:tcBorders>
              <w:top w:val="single" w:sz="4" w:space="0" w:color="auto"/>
              <w:left w:val="single" w:sz="4" w:space="0" w:color="auto"/>
              <w:bottom w:val="single" w:sz="4" w:space="0" w:color="auto"/>
              <w:right w:val="single" w:sz="4" w:space="0" w:color="auto"/>
            </w:tcBorders>
            <w:vAlign w:val="center"/>
            <w:hideMark/>
          </w:tcPr>
          <w:p w14:paraId="3D46EF7C" w14:textId="77777777" w:rsidR="00487402" w:rsidRPr="0015351B" w:rsidRDefault="00487402">
            <w:pPr>
              <w:pStyle w:val="obsahtabulky"/>
              <w:jc w:val="left"/>
              <w:rPr>
                <w:rFonts w:asciiTheme="minorHAnsi" w:hAnsiTheme="minorHAnsi"/>
                <w:color w:val="000000" w:themeColor="text1"/>
                <w:szCs w:val="20"/>
                <w:lang w:eastAsia="en-US"/>
              </w:rPr>
            </w:pPr>
            <w:proofErr w:type="spellStart"/>
            <w:r w:rsidRPr="0015351B">
              <w:rPr>
                <w:rFonts w:asciiTheme="minorHAnsi" w:hAnsiTheme="minorHAnsi"/>
                <w:color w:val="000000" w:themeColor="text1"/>
                <w:szCs w:val="20"/>
                <w:lang w:eastAsia="en-US"/>
              </w:rPr>
              <w:t>Metolachlor</w:t>
            </w:r>
            <w:proofErr w:type="spellEnd"/>
          </w:p>
        </w:tc>
        <w:tc>
          <w:tcPr>
            <w:tcW w:w="1719" w:type="pct"/>
            <w:tcBorders>
              <w:top w:val="single" w:sz="4" w:space="0" w:color="auto"/>
              <w:left w:val="single" w:sz="4" w:space="0" w:color="auto"/>
              <w:bottom w:val="single" w:sz="4" w:space="0" w:color="auto"/>
              <w:right w:val="single" w:sz="4" w:space="0" w:color="auto"/>
            </w:tcBorders>
            <w:vAlign w:val="center"/>
            <w:hideMark/>
          </w:tcPr>
          <w:p w14:paraId="655E49E7"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0,180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107" w:type="pct"/>
            <w:tcBorders>
              <w:top w:val="single" w:sz="4" w:space="0" w:color="auto"/>
              <w:left w:val="single" w:sz="4" w:space="0" w:color="auto"/>
              <w:bottom w:val="single" w:sz="4" w:space="0" w:color="auto"/>
              <w:right w:val="single" w:sz="4" w:space="0" w:color="auto"/>
            </w:tcBorders>
            <w:vAlign w:val="center"/>
            <w:hideMark/>
          </w:tcPr>
          <w:p w14:paraId="6D46054C"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0,0080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single" w:sz="4" w:space="0" w:color="auto"/>
              <w:left w:val="single" w:sz="4" w:space="0" w:color="auto"/>
              <w:bottom w:val="single" w:sz="4" w:space="0" w:color="auto"/>
              <w:right w:val="single" w:sz="4" w:space="0" w:color="auto"/>
            </w:tcBorders>
            <w:vAlign w:val="center"/>
            <w:hideMark/>
          </w:tcPr>
          <w:p w14:paraId="32462168"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r w:rsidR="00487402" w:rsidRPr="00A8488B" w14:paraId="49A8C88E" w14:textId="77777777" w:rsidTr="00E4770B">
        <w:trPr>
          <w:trHeight w:val="397"/>
        </w:trPr>
        <w:tc>
          <w:tcPr>
            <w:tcW w:w="860" w:type="pct"/>
            <w:tcBorders>
              <w:top w:val="single" w:sz="4" w:space="0" w:color="auto"/>
              <w:left w:val="single" w:sz="4" w:space="0" w:color="auto"/>
              <w:bottom w:val="single" w:sz="4" w:space="0" w:color="auto"/>
              <w:right w:val="single" w:sz="4" w:space="0" w:color="auto"/>
            </w:tcBorders>
            <w:vAlign w:val="center"/>
            <w:hideMark/>
          </w:tcPr>
          <w:p w14:paraId="09E47282" w14:textId="77777777" w:rsidR="00487402" w:rsidRPr="0015351B" w:rsidRDefault="00487402">
            <w:pPr>
              <w:pStyle w:val="obsahtabulky"/>
              <w:jc w:val="left"/>
              <w:rPr>
                <w:rFonts w:asciiTheme="minorHAnsi" w:hAnsiTheme="minorHAnsi"/>
                <w:color w:val="000000" w:themeColor="text1"/>
                <w:szCs w:val="20"/>
                <w:lang w:eastAsia="en-US"/>
              </w:rPr>
            </w:pPr>
            <w:proofErr w:type="spellStart"/>
            <w:r w:rsidRPr="0015351B">
              <w:rPr>
                <w:rFonts w:asciiTheme="minorHAnsi" w:hAnsiTheme="minorHAnsi"/>
                <w:color w:val="000000" w:themeColor="text1"/>
                <w:szCs w:val="20"/>
                <w:lang w:eastAsia="en-US"/>
              </w:rPr>
              <w:t>Terbuthylazin</w:t>
            </w:r>
            <w:proofErr w:type="spellEnd"/>
          </w:p>
        </w:tc>
        <w:tc>
          <w:tcPr>
            <w:tcW w:w="1719" w:type="pct"/>
            <w:tcBorders>
              <w:top w:val="single" w:sz="4" w:space="0" w:color="auto"/>
              <w:left w:val="single" w:sz="4" w:space="0" w:color="auto"/>
              <w:bottom w:val="single" w:sz="4" w:space="0" w:color="auto"/>
              <w:right w:val="single" w:sz="4" w:space="0" w:color="auto"/>
            </w:tcBorders>
            <w:vAlign w:val="center"/>
            <w:hideMark/>
          </w:tcPr>
          <w:p w14:paraId="1C099F26"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1,200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 xml:space="preserve">/l (1,81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 xml:space="preserve"> /l úpravna)</w:t>
            </w:r>
          </w:p>
        </w:tc>
        <w:tc>
          <w:tcPr>
            <w:tcW w:w="1107" w:type="pct"/>
            <w:tcBorders>
              <w:top w:val="single" w:sz="4" w:space="0" w:color="auto"/>
              <w:left w:val="single" w:sz="4" w:space="0" w:color="auto"/>
              <w:bottom w:val="single" w:sz="4" w:space="0" w:color="auto"/>
              <w:right w:val="single" w:sz="4" w:space="0" w:color="auto"/>
            </w:tcBorders>
            <w:vAlign w:val="center"/>
            <w:hideMark/>
          </w:tcPr>
          <w:p w14:paraId="382B37F1"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0,0575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single" w:sz="4" w:space="0" w:color="auto"/>
              <w:left w:val="single" w:sz="4" w:space="0" w:color="auto"/>
              <w:bottom w:val="single" w:sz="4" w:space="0" w:color="auto"/>
              <w:right w:val="single" w:sz="4" w:space="0" w:color="auto"/>
            </w:tcBorders>
            <w:vAlign w:val="center"/>
            <w:hideMark/>
          </w:tcPr>
          <w:p w14:paraId="6D0DE8CC"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r w:rsidR="00487402" w:rsidRPr="00A8488B" w14:paraId="248362C3" w14:textId="77777777" w:rsidTr="00E4770B">
        <w:trPr>
          <w:trHeight w:val="397"/>
        </w:trPr>
        <w:tc>
          <w:tcPr>
            <w:tcW w:w="860" w:type="pct"/>
            <w:tcBorders>
              <w:top w:val="single" w:sz="4" w:space="0" w:color="auto"/>
              <w:left w:val="single" w:sz="4" w:space="0" w:color="auto"/>
              <w:bottom w:val="single" w:sz="4" w:space="0" w:color="auto"/>
              <w:right w:val="single" w:sz="4" w:space="0" w:color="auto"/>
            </w:tcBorders>
            <w:vAlign w:val="center"/>
            <w:hideMark/>
          </w:tcPr>
          <w:p w14:paraId="6B22BF88" w14:textId="77777777" w:rsidR="00487402" w:rsidRPr="0015351B" w:rsidRDefault="00487402">
            <w:pPr>
              <w:pStyle w:val="obsahtabulky"/>
              <w:jc w:val="left"/>
              <w:rPr>
                <w:rFonts w:asciiTheme="minorHAnsi" w:hAnsiTheme="minorHAnsi"/>
                <w:color w:val="000000" w:themeColor="text1"/>
                <w:szCs w:val="20"/>
                <w:lang w:eastAsia="en-US"/>
              </w:rPr>
            </w:pPr>
            <w:proofErr w:type="spellStart"/>
            <w:r w:rsidRPr="0015351B">
              <w:rPr>
                <w:rFonts w:asciiTheme="minorHAnsi" w:hAnsiTheme="minorHAnsi"/>
                <w:color w:val="000000" w:themeColor="text1"/>
                <w:szCs w:val="20"/>
                <w:lang w:eastAsia="en-US"/>
              </w:rPr>
              <w:t>Metazachlor</w:t>
            </w:r>
            <w:proofErr w:type="spellEnd"/>
          </w:p>
        </w:tc>
        <w:tc>
          <w:tcPr>
            <w:tcW w:w="1719" w:type="pct"/>
            <w:tcBorders>
              <w:top w:val="single" w:sz="4" w:space="0" w:color="auto"/>
              <w:left w:val="single" w:sz="4" w:space="0" w:color="auto"/>
              <w:bottom w:val="single" w:sz="4" w:space="0" w:color="auto"/>
              <w:right w:val="single" w:sz="4" w:space="0" w:color="auto"/>
            </w:tcBorders>
            <w:vAlign w:val="center"/>
            <w:hideMark/>
          </w:tcPr>
          <w:p w14:paraId="2F1ABD58"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0,819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107" w:type="pct"/>
            <w:tcBorders>
              <w:top w:val="single" w:sz="4" w:space="0" w:color="auto"/>
              <w:left w:val="single" w:sz="4" w:space="0" w:color="auto"/>
              <w:bottom w:val="single" w:sz="4" w:space="0" w:color="auto"/>
              <w:right w:val="single" w:sz="4" w:space="0" w:color="auto"/>
            </w:tcBorders>
            <w:vAlign w:val="center"/>
            <w:hideMark/>
          </w:tcPr>
          <w:p w14:paraId="2FDE930A"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0,0042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single" w:sz="4" w:space="0" w:color="auto"/>
              <w:left w:val="single" w:sz="4" w:space="0" w:color="auto"/>
              <w:bottom w:val="single" w:sz="4" w:space="0" w:color="auto"/>
              <w:right w:val="single" w:sz="4" w:space="0" w:color="auto"/>
            </w:tcBorders>
            <w:vAlign w:val="center"/>
            <w:hideMark/>
          </w:tcPr>
          <w:p w14:paraId="08BBB7B5"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r w:rsidR="00487402" w:rsidRPr="00A8488B" w14:paraId="3CF211BB" w14:textId="77777777" w:rsidTr="00E4770B">
        <w:trPr>
          <w:trHeight w:val="397"/>
        </w:trPr>
        <w:tc>
          <w:tcPr>
            <w:tcW w:w="860" w:type="pct"/>
            <w:tcBorders>
              <w:top w:val="single" w:sz="4" w:space="0" w:color="auto"/>
              <w:left w:val="single" w:sz="4" w:space="0" w:color="auto"/>
              <w:bottom w:val="single" w:sz="4" w:space="0" w:color="auto"/>
              <w:right w:val="single" w:sz="4" w:space="0" w:color="auto"/>
            </w:tcBorders>
            <w:vAlign w:val="center"/>
            <w:hideMark/>
          </w:tcPr>
          <w:p w14:paraId="5F709BAB" w14:textId="77777777" w:rsidR="00487402" w:rsidRPr="0015351B" w:rsidRDefault="00487402">
            <w:pPr>
              <w:pStyle w:val="obsahtabulky"/>
              <w:jc w:val="left"/>
              <w:rPr>
                <w:rFonts w:asciiTheme="minorHAnsi" w:hAnsiTheme="minorHAnsi"/>
                <w:color w:val="000000" w:themeColor="text1"/>
                <w:szCs w:val="20"/>
                <w:lang w:eastAsia="en-US"/>
              </w:rPr>
            </w:pPr>
            <w:proofErr w:type="spellStart"/>
            <w:r w:rsidRPr="0015351B">
              <w:rPr>
                <w:rFonts w:asciiTheme="minorHAnsi" w:hAnsiTheme="minorHAnsi"/>
                <w:color w:val="000000" w:themeColor="text1"/>
                <w:szCs w:val="20"/>
                <w:lang w:eastAsia="en-US"/>
              </w:rPr>
              <w:t>Chlor</w:t>
            </w:r>
            <w:r w:rsidR="00BE12B0">
              <w:rPr>
                <w:rFonts w:asciiTheme="minorHAnsi" w:hAnsiTheme="minorHAnsi"/>
                <w:color w:val="000000" w:themeColor="text1"/>
                <w:szCs w:val="20"/>
                <w:lang w:eastAsia="en-US"/>
              </w:rPr>
              <w:t>o</w:t>
            </w:r>
            <w:r w:rsidRPr="0015351B">
              <w:rPr>
                <w:rFonts w:asciiTheme="minorHAnsi" w:hAnsiTheme="minorHAnsi"/>
                <w:color w:val="000000" w:themeColor="text1"/>
                <w:szCs w:val="20"/>
                <w:lang w:eastAsia="en-US"/>
              </w:rPr>
              <w:t>toluron</w:t>
            </w:r>
            <w:proofErr w:type="spellEnd"/>
          </w:p>
        </w:tc>
        <w:tc>
          <w:tcPr>
            <w:tcW w:w="1719" w:type="pct"/>
            <w:tcBorders>
              <w:top w:val="single" w:sz="4" w:space="0" w:color="auto"/>
              <w:left w:val="single" w:sz="4" w:space="0" w:color="auto"/>
              <w:bottom w:val="single" w:sz="4" w:space="0" w:color="auto"/>
              <w:right w:val="single" w:sz="4" w:space="0" w:color="auto"/>
            </w:tcBorders>
            <w:vAlign w:val="center"/>
            <w:hideMark/>
          </w:tcPr>
          <w:p w14:paraId="7E10DE3C"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0,14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107" w:type="pct"/>
            <w:tcBorders>
              <w:top w:val="single" w:sz="4" w:space="0" w:color="auto"/>
              <w:left w:val="single" w:sz="4" w:space="0" w:color="auto"/>
              <w:bottom w:val="single" w:sz="4" w:space="0" w:color="auto"/>
              <w:right w:val="single" w:sz="4" w:space="0" w:color="auto"/>
            </w:tcBorders>
            <w:vAlign w:val="center"/>
            <w:hideMark/>
          </w:tcPr>
          <w:p w14:paraId="682AB24F"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0,0015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single" w:sz="4" w:space="0" w:color="auto"/>
              <w:left w:val="single" w:sz="4" w:space="0" w:color="auto"/>
              <w:bottom w:val="single" w:sz="4" w:space="0" w:color="auto"/>
              <w:right w:val="single" w:sz="4" w:space="0" w:color="auto"/>
            </w:tcBorders>
            <w:vAlign w:val="center"/>
            <w:hideMark/>
          </w:tcPr>
          <w:p w14:paraId="49076D1F"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0,1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r w:rsidR="00487402" w:rsidRPr="00A8488B" w14:paraId="04E72608" w14:textId="77777777" w:rsidTr="00E4770B">
        <w:trPr>
          <w:trHeight w:val="397"/>
        </w:trPr>
        <w:tc>
          <w:tcPr>
            <w:tcW w:w="860" w:type="pct"/>
            <w:tcBorders>
              <w:top w:val="single" w:sz="4" w:space="0" w:color="auto"/>
              <w:left w:val="single" w:sz="4" w:space="0" w:color="auto"/>
              <w:bottom w:val="single" w:sz="4" w:space="0" w:color="auto"/>
              <w:right w:val="single" w:sz="4" w:space="0" w:color="auto"/>
            </w:tcBorders>
            <w:vAlign w:val="center"/>
            <w:hideMark/>
          </w:tcPr>
          <w:p w14:paraId="2D9F1A1C" w14:textId="77777777" w:rsidR="00487402" w:rsidRPr="0015351B" w:rsidRDefault="00487402">
            <w:pPr>
              <w:pStyle w:val="obsahtabulky"/>
              <w:jc w:val="left"/>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Suma </w:t>
            </w:r>
            <w:r w:rsidR="00E4770B">
              <w:rPr>
                <w:rFonts w:asciiTheme="minorHAnsi" w:hAnsiTheme="minorHAnsi"/>
                <w:color w:val="000000" w:themeColor="text1"/>
                <w:szCs w:val="20"/>
                <w:lang w:eastAsia="en-US"/>
              </w:rPr>
              <w:t>pe</w:t>
            </w:r>
            <w:r w:rsidR="000C60B5">
              <w:rPr>
                <w:rFonts w:asciiTheme="minorHAnsi" w:hAnsiTheme="minorHAnsi"/>
                <w:color w:val="000000" w:themeColor="text1"/>
                <w:szCs w:val="20"/>
                <w:lang w:eastAsia="en-US"/>
              </w:rPr>
              <w:t>s</w:t>
            </w:r>
            <w:r w:rsidR="00E4770B">
              <w:rPr>
                <w:rFonts w:asciiTheme="minorHAnsi" w:hAnsiTheme="minorHAnsi"/>
                <w:color w:val="000000" w:themeColor="text1"/>
                <w:szCs w:val="20"/>
                <w:lang w:eastAsia="en-US"/>
              </w:rPr>
              <w:t>ticidů</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BB98295"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2,30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107" w:type="pct"/>
            <w:tcBorders>
              <w:top w:val="single" w:sz="4" w:space="0" w:color="auto"/>
              <w:left w:val="single" w:sz="4" w:space="0" w:color="auto"/>
              <w:bottom w:val="single" w:sz="4" w:space="0" w:color="auto"/>
              <w:right w:val="single" w:sz="4" w:space="0" w:color="auto"/>
            </w:tcBorders>
            <w:vAlign w:val="center"/>
            <w:hideMark/>
          </w:tcPr>
          <w:p w14:paraId="26D362E0"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0,0935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c>
          <w:tcPr>
            <w:tcW w:w="1314" w:type="pct"/>
            <w:tcBorders>
              <w:top w:val="single" w:sz="4" w:space="0" w:color="auto"/>
              <w:left w:val="single" w:sz="4" w:space="0" w:color="auto"/>
              <w:bottom w:val="single" w:sz="4" w:space="0" w:color="auto"/>
              <w:right w:val="single" w:sz="4" w:space="0" w:color="auto"/>
            </w:tcBorders>
            <w:vAlign w:val="center"/>
            <w:hideMark/>
          </w:tcPr>
          <w:p w14:paraId="1684EF90" w14:textId="77777777" w:rsidR="00487402" w:rsidRPr="0015351B" w:rsidRDefault="00487402" w:rsidP="0015351B">
            <w:pPr>
              <w:pStyle w:val="obsahtabulky"/>
              <w:jc w:val="center"/>
              <w:rPr>
                <w:rFonts w:asciiTheme="minorHAnsi" w:hAnsiTheme="minorHAnsi"/>
                <w:color w:val="000000" w:themeColor="text1"/>
                <w:szCs w:val="20"/>
                <w:lang w:eastAsia="en-US"/>
              </w:rPr>
            </w:pPr>
            <w:r w:rsidRPr="0015351B">
              <w:rPr>
                <w:rFonts w:asciiTheme="minorHAnsi" w:hAnsiTheme="minorHAnsi"/>
                <w:color w:val="000000" w:themeColor="text1"/>
                <w:szCs w:val="20"/>
                <w:lang w:eastAsia="en-US"/>
              </w:rPr>
              <w:t xml:space="preserve">0,5 </w:t>
            </w:r>
            <w:proofErr w:type="spellStart"/>
            <w:r w:rsidRPr="0015351B">
              <w:rPr>
                <w:rFonts w:asciiTheme="minorHAnsi" w:hAnsiTheme="minorHAnsi"/>
                <w:color w:val="000000" w:themeColor="text1"/>
                <w:szCs w:val="20"/>
                <w:lang w:eastAsia="en-US"/>
              </w:rPr>
              <w:t>μg</w:t>
            </w:r>
            <w:proofErr w:type="spellEnd"/>
            <w:r w:rsidRPr="0015351B">
              <w:rPr>
                <w:rFonts w:asciiTheme="minorHAnsi" w:hAnsiTheme="minorHAnsi"/>
                <w:color w:val="000000" w:themeColor="text1"/>
                <w:szCs w:val="20"/>
                <w:lang w:eastAsia="en-US"/>
              </w:rPr>
              <w:t>/l</w:t>
            </w:r>
          </w:p>
        </w:tc>
      </w:tr>
    </w:tbl>
    <w:p w14:paraId="32AAB5A8" w14:textId="77777777" w:rsidR="00487402" w:rsidRPr="00152CAE" w:rsidRDefault="00487402" w:rsidP="0015351B">
      <w:pPr>
        <w:pStyle w:val="Zdroj"/>
        <w:spacing w:after="120"/>
        <w:rPr>
          <w:rFonts w:asciiTheme="minorHAnsi" w:hAnsiTheme="minorHAnsi" w:cstheme="minorHAnsi"/>
          <w:b w:val="0"/>
        </w:rPr>
      </w:pPr>
      <w:r w:rsidRPr="0062291F">
        <w:rPr>
          <w:rFonts w:asciiTheme="minorHAnsi" w:hAnsiTheme="minorHAnsi" w:cstheme="minorHAnsi"/>
          <w:spacing w:val="-2"/>
        </w:rPr>
        <w:t>Zdroj:</w:t>
      </w:r>
      <w:r w:rsidRPr="0062291F">
        <w:rPr>
          <w:rFonts w:asciiTheme="minorHAnsi" w:hAnsiTheme="minorHAnsi" w:cstheme="minorHAnsi"/>
          <w:b w:val="0"/>
          <w:spacing w:val="-2"/>
        </w:rPr>
        <w:t xml:space="preserve"> </w:t>
      </w:r>
      <w:r w:rsidRPr="0062291F">
        <w:rPr>
          <w:rFonts w:asciiTheme="minorHAnsi" w:hAnsiTheme="minorHAnsi" w:cstheme="minorHAnsi"/>
          <w:b w:val="0"/>
          <w:i/>
          <w:spacing w:val="-2"/>
        </w:rPr>
        <w:t>Určení mírnějšího hygienického limitu pro vodovod Plzeň</w:t>
      </w:r>
      <w:r w:rsidRPr="0062291F">
        <w:rPr>
          <w:rFonts w:asciiTheme="minorHAnsi" w:hAnsiTheme="minorHAnsi" w:cstheme="minorHAnsi"/>
          <w:b w:val="0"/>
          <w:spacing w:val="-2"/>
        </w:rPr>
        <w:t>, vyhláška č. 252/2004 Sb</w:t>
      </w:r>
      <w:r w:rsidR="00E4770B" w:rsidRPr="0062291F">
        <w:rPr>
          <w:rFonts w:asciiTheme="minorHAnsi" w:hAnsiTheme="minorHAnsi" w:cstheme="minorHAnsi"/>
          <w:b w:val="0"/>
          <w:spacing w:val="-2"/>
        </w:rPr>
        <w:t>.; vlastní zpracování</w:t>
      </w:r>
      <w:r w:rsidR="00AB54E8" w:rsidRPr="0062291F">
        <w:rPr>
          <w:rFonts w:asciiTheme="minorHAnsi" w:hAnsiTheme="minorHAnsi" w:cstheme="minorHAnsi"/>
          <w:b w:val="0"/>
          <w:spacing w:val="-2"/>
        </w:rPr>
        <w:t xml:space="preserve"> NKÚ.</w:t>
      </w:r>
    </w:p>
    <w:p w14:paraId="5A07C313" w14:textId="77777777" w:rsidR="00487402" w:rsidRPr="00A8488B" w:rsidRDefault="00487402" w:rsidP="00487402">
      <w:pPr>
        <w:pStyle w:val="Zdroj"/>
        <w:rPr>
          <w:rFonts w:asciiTheme="minorHAnsi" w:hAnsiTheme="minorHAnsi" w:cstheme="minorHAnsi"/>
          <w:b w:val="0"/>
          <w:sz w:val="24"/>
        </w:rPr>
      </w:pPr>
      <w:r w:rsidRPr="00A8488B">
        <w:rPr>
          <w:rFonts w:asciiTheme="minorHAnsi" w:hAnsiTheme="minorHAnsi" w:cstheme="minorHAnsi"/>
          <w:b w:val="0"/>
          <w:sz w:val="24"/>
        </w:rPr>
        <w:t xml:space="preserve">Realizace projektu byla zahájena v roce 2013 a dokončena v roce 2016, tj. ve stanoveném termínu. Celkové výdaje na projekt </w:t>
      </w:r>
      <w:r w:rsidR="00EC22B9">
        <w:rPr>
          <w:rFonts w:asciiTheme="minorHAnsi" w:hAnsiTheme="minorHAnsi" w:cstheme="minorHAnsi"/>
          <w:b w:val="0"/>
          <w:sz w:val="24"/>
        </w:rPr>
        <w:t>dosáhly</w:t>
      </w:r>
      <w:r w:rsidRPr="00A8488B">
        <w:rPr>
          <w:rFonts w:asciiTheme="minorHAnsi" w:hAnsiTheme="minorHAnsi" w:cstheme="minorHAnsi"/>
          <w:b w:val="0"/>
          <w:sz w:val="24"/>
        </w:rPr>
        <w:t xml:space="preserve"> 1</w:t>
      </w:r>
      <w:r w:rsidR="007F34A5">
        <w:rPr>
          <w:rFonts w:asciiTheme="minorHAnsi" w:hAnsiTheme="minorHAnsi" w:cstheme="minorHAnsi"/>
          <w:b w:val="0"/>
          <w:sz w:val="24"/>
        </w:rPr>
        <w:t> </w:t>
      </w:r>
      <w:r w:rsidRPr="00A8488B">
        <w:rPr>
          <w:rFonts w:asciiTheme="minorHAnsi" w:hAnsiTheme="minorHAnsi" w:cstheme="minorHAnsi"/>
          <w:b w:val="0"/>
          <w:sz w:val="24"/>
        </w:rPr>
        <w:t>085</w:t>
      </w:r>
      <w:r w:rsidR="007F34A5">
        <w:rPr>
          <w:rFonts w:asciiTheme="minorHAnsi" w:hAnsiTheme="minorHAnsi" w:cstheme="minorHAnsi"/>
          <w:b w:val="0"/>
          <w:sz w:val="24"/>
        </w:rPr>
        <w:t xml:space="preserve"> mil.</w:t>
      </w:r>
      <w:r w:rsidRPr="00A8488B">
        <w:rPr>
          <w:rFonts w:asciiTheme="minorHAnsi" w:hAnsiTheme="minorHAnsi" w:cstheme="minorHAnsi"/>
          <w:b w:val="0"/>
          <w:sz w:val="24"/>
        </w:rPr>
        <w:t xml:space="preserve"> Kč</w:t>
      </w:r>
      <w:r w:rsidR="00EC22B9">
        <w:rPr>
          <w:rFonts w:asciiTheme="minorHAnsi" w:hAnsiTheme="minorHAnsi" w:cstheme="minorHAnsi"/>
          <w:b w:val="0"/>
          <w:sz w:val="24"/>
        </w:rPr>
        <w:t xml:space="preserve">, z toho </w:t>
      </w:r>
      <w:r w:rsidRPr="00A8488B">
        <w:rPr>
          <w:rFonts w:asciiTheme="minorHAnsi" w:hAnsiTheme="minorHAnsi" w:cstheme="minorHAnsi"/>
          <w:b w:val="0"/>
          <w:sz w:val="24"/>
        </w:rPr>
        <w:t>skutečně přidělená dotace z</w:t>
      </w:r>
      <w:r w:rsidR="00152CAE">
        <w:rPr>
          <w:rFonts w:asciiTheme="minorHAnsi" w:hAnsiTheme="minorHAnsi" w:cstheme="minorHAnsi"/>
          <w:b w:val="0"/>
          <w:sz w:val="24"/>
        </w:rPr>
        <w:t> </w:t>
      </w:r>
      <w:r w:rsidRPr="00A8488B">
        <w:rPr>
          <w:rFonts w:asciiTheme="minorHAnsi" w:hAnsiTheme="minorHAnsi" w:cstheme="minorHAnsi"/>
          <w:b w:val="0"/>
          <w:sz w:val="24"/>
        </w:rPr>
        <w:t xml:space="preserve">OPŽP </w:t>
      </w:r>
      <w:r w:rsidR="00EC22B9">
        <w:rPr>
          <w:rFonts w:asciiTheme="minorHAnsi" w:hAnsiTheme="minorHAnsi" w:cstheme="minorHAnsi"/>
          <w:b w:val="0"/>
          <w:sz w:val="24"/>
        </w:rPr>
        <w:t>činila</w:t>
      </w:r>
      <w:r w:rsidRPr="00A8488B">
        <w:rPr>
          <w:rFonts w:asciiTheme="minorHAnsi" w:hAnsiTheme="minorHAnsi" w:cstheme="minorHAnsi"/>
          <w:b w:val="0"/>
          <w:sz w:val="24"/>
        </w:rPr>
        <w:t xml:space="preserve"> celkem 653</w:t>
      </w:r>
      <w:r w:rsidR="007F34A5">
        <w:rPr>
          <w:rFonts w:asciiTheme="minorHAnsi" w:hAnsiTheme="minorHAnsi" w:cstheme="minorHAnsi"/>
          <w:b w:val="0"/>
          <w:sz w:val="24"/>
        </w:rPr>
        <w:t xml:space="preserve"> mil.</w:t>
      </w:r>
      <w:r w:rsidRPr="00A8488B">
        <w:rPr>
          <w:rFonts w:asciiTheme="minorHAnsi" w:hAnsiTheme="minorHAnsi" w:cstheme="minorHAnsi"/>
          <w:b w:val="0"/>
          <w:sz w:val="24"/>
        </w:rPr>
        <w:t xml:space="preserve"> Kč. Modernizací došlo ke zlepšení jakosti pitné vody, která již </w:t>
      </w:r>
      <w:r w:rsidR="000C60B5">
        <w:rPr>
          <w:rFonts w:asciiTheme="minorHAnsi" w:hAnsiTheme="minorHAnsi" w:cstheme="minorHAnsi"/>
          <w:b w:val="0"/>
          <w:sz w:val="24"/>
        </w:rPr>
        <w:t>poté</w:t>
      </w:r>
      <w:r w:rsidR="000C60B5" w:rsidRPr="00A8488B">
        <w:rPr>
          <w:rFonts w:asciiTheme="minorHAnsi" w:hAnsiTheme="minorHAnsi" w:cstheme="minorHAnsi"/>
          <w:b w:val="0"/>
          <w:sz w:val="24"/>
        </w:rPr>
        <w:t xml:space="preserve"> </w:t>
      </w:r>
      <w:r w:rsidRPr="00A8488B">
        <w:rPr>
          <w:rFonts w:asciiTheme="minorHAnsi" w:hAnsiTheme="minorHAnsi" w:cstheme="minorHAnsi"/>
          <w:b w:val="0"/>
          <w:sz w:val="24"/>
        </w:rPr>
        <w:t xml:space="preserve">splňovala </w:t>
      </w:r>
      <w:r w:rsidR="00EC22B9">
        <w:rPr>
          <w:rFonts w:asciiTheme="minorHAnsi" w:hAnsiTheme="minorHAnsi" w:cstheme="minorHAnsi"/>
          <w:b w:val="0"/>
          <w:sz w:val="24"/>
        </w:rPr>
        <w:t xml:space="preserve">limity </w:t>
      </w:r>
      <w:r w:rsidRPr="00A8488B">
        <w:rPr>
          <w:rFonts w:asciiTheme="minorHAnsi" w:hAnsiTheme="minorHAnsi" w:cstheme="minorHAnsi"/>
          <w:b w:val="0"/>
          <w:sz w:val="24"/>
        </w:rPr>
        <w:t>požad</w:t>
      </w:r>
      <w:r w:rsidR="00EC22B9">
        <w:rPr>
          <w:rFonts w:asciiTheme="minorHAnsi" w:hAnsiTheme="minorHAnsi" w:cstheme="minorHAnsi"/>
          <w:b w:val="0"/>
          <w:sz w:val="24"/>
        </w:rPr>
        <w:t>ované</w:t>
      </w:r>
      <w:r w:rsidRPr="00A8488B">
        <w:rPr>
          <w:rFonts w:asciiTheme="minorHAnsi" w:hAnsiTheme="minorHAnsi" w:cstheme="minorHAnsi"/>
          <w:b w:val="0"/>
          <w:sz w:val="24"/>
        </w:rPr>
        <w:t xml:space="preserve"> vyhlášk</w:t>
      </w:r>
      <w:r w:rsidR="00EC22B9">
        <w:rPr>
          <w:rFonts w:asciiTheme="minorHAnsi" w:hAnsiTheme="minorHAnsi" w:cstheme="minorHAnsi"/>
          <w:b w:val="0"/>
          <w:sz w:val="24"/>
        </w:rPr>
        <w:t>ou</w:t>
      </w:r>
      <w:r w:rsidRPr="00A8488B">
        <w:rPr>
          <w:rFonts w:asciiTheme="minorHAnsi" w:hAnsiTheme="minorHAnsi" w:cstheme="minorHAnsi"/>
          <w:b w:val="0"/>
          <w:sz w:val="24"/>
        </w:rPr>
        <w:t xml:space="preserve"> č. 252/2004 Sb. Výsledky zkušebního provozu prokázaly, že modernizace </w:t>
      </w:r>
      <w:r w:rsidR="00EC22B9">
        <w:rPr>
          <w:rFonts w:asciiTheme="minorHAnsi" w:hAnsiTheme="minorHAnsi" w:cstheme="minorHAnsi"/>
          <w:b w:val="0"/>
          <w:sz w:val="24"/>
        </w:rPr>
        <w:t>úpravny vody v Plzni</w:t>
      </w:r>
      <w:r w:rsidRPr="00A8488B">
        <w:rPr>
          <w:rFonts w:asciiTheme="minorHAnsi" w:hAnsiTheme="minorHAnsi" w:cstheme="minorHAnsi"/>
          <w:b w:val="0"/>
          <w:sz w:val="24"/>
        </w:rPr>
        <w:t xml:space="preserve"> </w:t>
      </w:r>
      <w:r w:rsidR="00EC22B9">
        <w:rPr>
          <w:rFonts w:asciiTheme="minorHAnsi" w:hAnsiTheme="minorHAnsi" w:cstheme="minorHAnsi"/>
          <w:b w:val="0"/>
          <w:sz w:val="24"/>
        </w:rPr>
        <w:t>při</w:t>
      </w:r>
      <w:r w:rsidRPr="00A8488B">
        <w:rPr>
          <w:rFonts w:asciiTheme="minorHAnsi" w:hAnsiTheme="minorHAnsi" w:cstheme="minorHAnsi"/>
          <w:b w:val="0"/>
          <w:sz w:val="24"/>
        </w:rPr>
        <w:t xml:space="preserve"> nasazení filtračního stupně GAU vedla ke snížení obsahu pesticidních látek s účinností až 100 %</w:t>
      </w:r>
      <w:r w:rsidR="00EC22B9">
        <w:rPr>
          <w:rFonts w:asciiTheme="minorHAnsi" w:hAnsiTheme="minorHAnsi" w:cstheme="minorHAnsi"/>
          <w:b w:val="0"/>
          <w:sz w:val="24"/>
        </w:rPr>
        <w:t>.</w:t>
      </w:r>
    </w:p>
    <w:p w14:paraId="76D38FF5" w14:textId="77777777" w:rsidR="00487402" w:rsidRDefault="00487402" w:rsidP="00442B6D">
      <w:pPr>
        <w:pStyle w:val="Nadpis2"/>
      </w:pPr>
      <w:r>
        <w:t>Modernizace úpravny vody Želivka</w:t>
      </w:r>
    </w:p>
    <w:p w14:paraId="2D46A4F6" w14:textId="77777777" w:rsidR="00487402" w:rsidRDefault="00487402" w:rsidP="00487402">
      <w:pPr>
        <w:rPr>
          <w:rFonts w:cstheme="minorHAnsi"/>
        </w:rPr>
      </w:pPr>
      <w:r>
        <w:rPr>
          <w:rFonts w:cstheme="minorHAnsi"/>
        </w:rPr>
        <w:t>Ze 73. výzvy OPŽP 2014</w:t>
      </w:r>
      <w:r w:rsidR="000C60B5">
        <w:rPr>
          <w:rFonts w:cstheme="minorHAnsi"/>
          <w:szCs w:val="24"/>
          <w:lang w:eastAsia="cs-CZ"/>
        </w:rPr>
        <w:t>–</w:t>
      </w:r>
      <w:r>
        <w:rPr>
          <w:rFonts w:cstheme="minorHAnsi"/>
        </w:rPr>
        <w:t xml:space="preserve">2020 byl mj. podpořen projekt </w:t>
      </w:r>
      <w:r>
        <w:rPr>
          <w:rFonts w:cstheme="minorHAnsi"/>
          <w:i/>
        </w:rPr>
        <w:t>Modernizace úpravny vody Želivka, 2. stavba</w:t>
      </w:r>
      <w:r w:rsidR="00D06F55">
        <w:rPr>
          <w:rFonts w:cstheme="minorHAnsi"/>
          <w:i/>
        </w:rPr>
        <w:t xml:space="preserve"> – </w:t>
      </w:r>
      <w:r>
        <w:rPr>
          <w:rFonts w:cstheme="minorHAnsi"/>
          <w:i/>
        </w:rPr>
        <w:t>sorpce na granulovaném aktivním uhlí (GAU)</w:t>
      </w:r>
      <w:r>
        <w:rPr>
          <w:rFonts w:cstheme="minorHAnsi"/>
          <w:color w:val="000000"/>
          <w:lang w:eastAsia="cs-CZ"/>
        </w:rPr>
        <w:t>.</w:t>
      </w:r>
      <w:r w:rsidR="000C60B5">
        <w:rPr>
          <w:rFonts w:cstheme="minorHAnsi"/>
        </w:rPr>
        <w:t xml:space="preserve"> </w:t>
      </w:r>
      <w:r>
        <w:rPr>
          <w:rFonts w:cstheme="minorHAnsi"/>
        </w:rPr>
        <w:t xml:space="preserve">Předmětem </w:t>
      </w:r>
      <w:r w:rsidR="000C60B5">
        <w:rPr>
          <w:rFonts w:cstheme="minorHAnsi"/>
        </w:rPr>
        <w:t>tohoto</w:t>
      </w:r>
      <w:r>
        <w:rPr>
          <w:rFonts w:cstheme="minorHAnsi"/>
        </w:rPr>
        <w:t xml:space="preserve"> projektu byla modernizace úpravny vody Želivka, která zásobuje pitnou vodou cca 1 300 000 obyvatel ČR. Modernizace měla mj. spočívat v doplnění technologie úpravy vody o samostatný sorpční stupeň </w:t>
      </w:r>
      <w:r w:rsidR="00152CAE">
        <w:rPr>
          <w:rFonts w:cstheme="minorHAnsi"/>
        </w:rPr>
        <w:t>využívající</w:t>
      </w:r>
      <w:r>
        <w:rPr>
          <w:rFonts w:cstheme="minorHAnsi"/>
        </w:rPr>
        <w:t xml:space="preserve"> GAU. Tím mělo být dosaženo potřebné účinnosti </w:t>
      </w:r>
      <w:r w:rsidR="00152CAE">
        <w:rPr>
          <w:rFonts w:cstheme="minorHAnsi"/>
        </w:rPr>
        <w:t xml:space="preserve">v </w:t>
      </w:r>
      <w:r>
        <w:rPr>
          <w:rFonts w:cstheme="minorHAnsi"/>
        </w:rPr>
        <w:t>odstra</w:t>
      </w:r>
      <w:r w:rsidR="00152CAE">
        <w:rPr>
          <w:rFonts w:cstheme="minorHAnsi"/>
        </w:rPr>
        <w:t>ňování</w:t>
      </w:r>
      <w:r>
        <w:rPr>
          <w:rFonts w:cstheme="minorHAnsi"/>
        </w:rPr>
        <w:t xml:space="preserve"> nejen pestic</w:t>
      </w:r>
      <w:r w:rsidR="00393710">
        <w:rPr>
          <w:rFonts w:cstheme="minorHAnsi"/>
        </w:rPr>
        <w:t>idních látek</w:t>
      </w:r>
      <w:r>
        <w:rPr>
          <w:rFonts w:cstheme="minorHAnsi"/>
        </w:rPr>
        <w:t>, ale i</w:t>
      </w:r>
      <w:r w:rsidR="00152CAE">
        <w:rPr>
          <w:rFonts w:cstheme="minorHAnsi"/>
        </w:rPr>
        <w:t xml:space="preserve"> </w:t>
      </w:r>
      <w:r>
        <w:rPr>
          <w:rFonts w:cstheme="minorHAnsi"/>
        </w:rPr>
        <w:t xml:space="preserve">dalších látek. Technologická část </w:t>
      </w:r>
      <w:r w:rsidR="000C60B5">
        <w:rPr>
          <w:rFonts w:cstheme="minorHAnsi"/>
        </w:rPr>
        <w:t>úpravny vody</w:t>
      </w:r>
      <w:r>
        <w:rPr>
          <w:rFonts w:cstheme="minorHAnsi"/>
        </w:rPr>
        <w:t xml:space="preserve"> totiž nebyla schopna odstraňovat vysoké obsahy těchto látek a mimořádně docházelo i</w:t>
      </w:r>
      <w:r w:rsidR="005A3C36">
        <w:rPr>
          <w:rFonts w:cstheme="minorHAnsi"/>
        </w:rPr>
        <w:t> </w:t>
      </w:r>
      <w:r>
        <w:rPr>
          <w:rFonts w:cstheme="minorHAnsi"/>
        </w:rPr>
        <w:t xml:space="preserve">k překračování jejich limitů v pitné vodě. V posledních letech se </w:t>
      </w:r>
      <w:r w:rsidR="000C60B5">
        <w:rPr>
          <w:rFonts w:cstheme="minorHAnsi"/>
        </w:rPr>
        <w:t xml:space="preserve">navíc </w:t>
      </w:r>
      <w:r>
        <w:rPr>
          <w:rFonts w:cstheme="minorHAnsi"/>
        </w:rPr>
        <w:t xml:space="preserve">obsahy </w:t>
      </w:r>
      <w:r w:rsidR="000C60B5">
        <w:rPr>
          <w:rFonts w:cstheme="minorHAnsi"/>
        </w:rPr>
        <w:t>pesticidních látek</w:t>
      </w:r>
      <w:r>
        <w:rPr>
          <w:rFonts w:cstheme="minorHAnsi"/>
        </w:rPr>
        <w:t xml:space="preserve"> v nádrži </w:t>
      </w:r>
      <w:r w:rsidR="00B14E34">
        <w:rPr>
          <w:rFonts w:cstheme="minorHAnsi"/>
        </w:rPr>
        <w:t xml:space="preserve">Švihov (vodní zdroj) </w:t>
      </w:r>
      <w:r w:rsidR="000C60B5">
        <w:rPr>
          <w:rFonts w:cstheme="minorHAnsi"/>
        </w:rPr>
        <w:t xml:space="preserve">stále </w:t>
      </w:r>
      <w:r>
        <w:rPr>
          <w:rFonts w:cstheme="minorHAnsi"/>
        </w:rPr>
        <w:t>zvyšovaly.</w:t>
      </w:r>
    </w:p>
    <w:p w14:paraId="0A334E0F" w14:textId="77777777" w:rsidR="00487402" w:rsidRDefault="00487402" w:rsidP="002B37C0">
      <w:r>
        <w:rPr>
          <w:rFonts w:cstheme="minorHAnsi"/>
        </w:rPr>
        <w:t xml:space="preserve">Příčinou znečištění </w:t>
      </w:r>
      <w:r w:rsidR="00B14E34">
        <w:rPr>
          <w:rFonts w:cstheme="minorHAnsi"/>
        </w:rPr>
        <w:t xml:space="preserve">vodní nádrže Švihov </w:t>
      </w:r>
      <w:r>
        <w:rPr>
          <w:rFonts w:cstheme="minorHAnsi"/>
        </w:rPr>
        <w:t>je intenzivní zemědělská činnost v</w:t>
      </w:r>
      <w:r w:rsidR="00B14E34">
        <w:rPr>
          <w:rFonts w:cstheme="minorHAnsi"/>
        </w:rPr>
        <w:t xml:space="preserve"> jejím </w:t>
      </w:r>
      <w:r>
        <w:rPr>
          <w:rFonts w:cstheme="minorHAnsi"/>
        </w:rPr>
        <w:t>okolí, kde se podíl zemědělsky užívaných ploch pohybuje mezi 50</w:t>
      </w:r>
      <w:r w:rsidR="00F055CA">
        <w:rPr>
          <w:rFonts w:cstheme="minorHAnsi"/>
          <w:szCs w:val="24"/>
          <w:lang w:eastAsia="cs-CZ"/>
        </w:rPr>
        <w:t>–</w:t>
      </w:r>
      <w:r>
        <w:rPr>
          <w:rFonts w:cstheme="minorHAnsi"/>
        </w:rPr>
        <w:t xml:space="preserve">80 %. To společně s problémy </w:t>
      </w:r>
      <w:r w:rsidR="00152CAE">
        <w:rPr>
          <w:rFonts w:cstheme="minorHAnsi"/>
        </w:rPr>
        <w:t xml:space="preserve">s erozí </w:t>
      </w:r>
      <w:r>
        <w:rPr>
          <w:rFonts w:cstheme="minorHAnsi"/>
        </w:rPr>
        <w:t xml:space="preserve">půdy vede k </w:t>
      </w:r>
      <w:r w:rsidR="00152CAE">
        <w:rPr>
          <w:rFonts w:cstheme="minorHAnsi"/>
        </w:rPr>
        <w:t>zanášení</w:t>
      </w:r>
      <w:r>
        <w:rPr>
          <w:rFonts w:cstheme="minorHAnsi"/>
        </w:rPr>
        <w:t xml:space="preserve"> vodních toků sedimenty, které obsahují jak </w:t>
      </w:r>
      <w:r w:rsidR="005A3C36">
        <w:rPr>
          <w:rFonts w:cstheme="minorHAnsi"/>
        </w:rPr>
        <w:t>pesticidní látky</w:t>
      </w:r>
      <w:r>
        <w:rPr>
          <w:rFonts w:cstheme="minorHAnsi"/>
        </w:rPr>
        <w:t xml:space="preserve">, tak </w:t>
      </w:r>
      <w:r w:rsidR="000A2DB4">
        <w:rPr>
          <w:rFonts w:cstheme="minorHAnsi"/>
        </w:rPr>
        <w:t>i</w:t>
      </w:r>
      <w:r w:rsidR="00152CAE">
        <w:rPr>
          <w:rFonts w:cstheme="minorHAnsi"/>
        </w:rPr>
        <w:t xml:space="preserve"> </w:t>
      </w:r>
      <w:r>
        <w:rPr>
          <w:rFonts w:cstheme="minorHAnsi"/>
        </w:rPr>
        <w:t>dusík a</w:t>
      </w:r>
      <w:r w:rsidR="00344C09">
        <w:rPr>
          <w:rFonts w:cstheme="minorHAnsi"/>
        </w:rPr>
        <w:t> </w:t>
      </w:r>
      <w:r>
        <w:rPr>
          <w:rFonts w:cstheme="minorHAnsi"/>
        </w:rPr>
        <w:t>fosfor (</w:t>
      </w:r>
      <w:proofErr w:type="spellStart"/>
      <w:r>
        <w:rPr>
          <w:rFonts w:cstheme="minorHAnsi"/>
        </w:rPr>
        <w:t>nutrienty</w:t>
      </w:r>
      <w:proofErr w:type="spellEnd"/>
      <w:r>
        <w:rPr>
          <w:rFonts w:cstheme="minorHAnsi"/>
        </w:rPr>
        <w:t xml:space="preserve">). </w:t>
      </w:r>
      <w:r w:rsidR="00B322D0">
        <w:rPr>
          <w:lang w:eastAsia="cs-CZ"/>
        </w:rPr>
        <w:t xml:space="preserve">Poměrně husté osídlení povodí pak znamená, že se </w:t>
      </w:r>
      <w:r w:rsidR="00871704">
        <w:rPr>
          <w:lang w:eastAsia="cs-CZ"/>
        </w:rPr>
        <w:t xml:space="preserve">v </w:t>
      </w:r>
      <w:r w:rsidR="00B322D0">
        <w:rPr>
          <w:lang w:eastAsia="cs-CZ"/>
        </w:rPr>
        <w:t>odpadních vod</w:t>
      </w:r>
      <w:r w:rsidR="00871704">
        <w:rPr>
          <w:lang w:eastAsia="cs-CZ"/>
        </w:rPr>
        <w:t>ách dostávají do vodních toků</w:t>
      </w:r>
      <w:r w:rsidR="00B322D0">
        <w:rPr>
          <w:lang w:eastAsia="cs-CZ"/>
        </w:rPr>
        <w:t xml:space="preserve"> další látky</w:t>
      </w:r>
      <w:r w:rsidR="00152CAE">
        <w:rPr>
          <w:lang w:eastAsia="cs-CZ"/>
        </w:rPr>
        <w:t>,</w:t>
      </w:r>
      <w:r w:rsidR="00B322D0">
        <w:rPr>
          <w:lang w:eastAsia="cs-CZ"/>
        </w:rPr>
        <w:t xml:space="preserve"> např. léčiva, hormonáln</w:t>
      </w:r>
      <w:r w:rsidR="002B37C0">
        <w:rPr>
          <w:lang w:eastAsia="cs-CZ"/>
        </w:rPr>
        <w:t>ě</w:t>
      </w:r>
      <w:r w:rsidR="00B322D0">
        <w:rPr>
          <w:lang w:eastAsia="cs-CZ"/>
        </w:rPr>
        <w:t xml:space="preserve"> </w:t>
      </w:r>
      <w:r w:rsidR="002B37C0">
        <w:rPr>
          <w:lang w:eastAsia="cs-CZ"/>
        </w:rPr>
        <w:t xml:space="preserve">aktivní látky </w:t>
      </w:r>
      <w:r w:rsidR="00B322D0">
        <w:rPr>
          <w:lang w:eastAsia="cs-CZ"/>
        </w:rPr>
        <w:t>apod. Taková směs látek pak má</w:t>
      </w:r>
      <w:r w:rsidR="002B37C0">
        <w:rPr>
          <w:lang w:eastAsia="cs-CZ"/>
        </w:rPr>
        <w:t xml:space="preserve"> dle studie proveditelnosti</w:t>
      </w:r>
      <w:r w:rsidR="00B322D0">
        <w:rPr>
          <w:lang w:eastAsia="cs-CZ"/>
        </w:rPr>
        <w:t xml:space="preserve"> „</w:t>
      </w:r>
      <w:r w:rsidR="00E84AF0">
        <w:rPr>
          <w:lang w:eastAsia="cs-CZ"/>
        </w:rPr>
        <w:t xml:space="preserve">… </w:t>
      </w:r>
      <w:r w:rsidR="00B322D0">
        <w:rPr>
          <w:i/>
          <w:lang w:eastAsia="cs-CZ"/>
        </w:rPr>
        <w:t>d</w:t>
      </w:r>
      <w:r w:rsidR="00B322D0">
        <w:rPr>
          <w:i/>
        </w:rPr>
        <w:t>osud nepopsané vlivy na životní prostředí, přičemž vzájemné působení látek může mít výrazný synergický účinek</w:t>
      </w:r>
      <w:r w:rsidR="00B322D0" w:rsidRPr="0062291F">
        <w:t>“</w:t>
      </w:r>
      <w:r w:rsidR="00B1413A" w:rsidRPr="0062291F">
        <w:t>,</w:t>
      </w:r>
      <w:r w:rsidR="002B37C0">
        <w:rPr>
          <w:rFonts w:cstheme="minorHAnsi"/>
        </w:rPr>
        <w:t xml:space="preserve"> navíc </w:t>
      </w:r>
      <w:r w:rsidR="00F055CA">
        <w:t>by</w:t>
      </w:r>
      <w:r w:rsidR="000B4BEA">
        <w:t xml:space="preserve"> se </w:t>
      </w:r>
      <w:r>
        <w:t xml:space="preserve">efekt případně </w:t>
      </w:r>
      <w:r w:rsidR="00F055CA">
        <w:t xml:space="preserve">realizovaných </w:t>
      </w:r>
      <w:r>
        <w:t xml:space="preserve">opatření v ploše povodí </w:t>
      </w:r>
      <w:r w:rsidR="002F0579">
        <w:t>mohl</w:t>
      </w:r>
      <w:r w:rsidR="000B4BEA">
        <w:t xml:space="preserve"> </w:t>
      </w:r>
      <w:r>
        <w:t>projevit až za několik desítek let</w:t>
      </w:r>
      <w:r w:rsidR="00F055CA">
        <w:t>. Z</w:t>
      </w:r>
      <w:r>
        <w:t xml:space="preserve"> tohoto pohledu </w:t>
      </w:r>
      <w:r w:rsidR="009D6F8E">
        <w:t xml:space="preserve">bylo </w:t>
      </w:r>
      <w:r>
        <w:t>nezbytné moderniz</w:t>
      </w:r>
      <w:r w:rsidR="00B14E34">
        <w:t>ovat</w:t>
      </w:r>
      <w:r>
        <w:t xml:space="preserve"> technologie </w:t>
      </w:r>
      <w:r w:rsidR="00B14E34">
        <w:t>úpravny</w:t>
      </w:r>
      <w:r w:rsidR="002E350D">
        <w:t xml:space="preserve"> vod</w:t>
      </w:r>
      <w:r w:rsidR="00B14E34">
        <w:t>.</w:t>
      </w:r>
    </w:p>
    <w:p w14:paraId="6D463D02" w14:textId="306E40E6" w:rsidR="00487402" w:rsidRDefault="00487402" w:rsidP="00487402">
      <w:pPr>
        <w:rPr>
          <w:lang w:eastAsia="cs-CZ"/>
        </w:rPr>
      </w:pPr>
      <w:r>
        <w:rPr>
          <w:lang w:eastAsia="cs-CZ"/>
        </w:rPr>
        <w:t xml:space="preserve">Modernizace </w:t>
      </w:r>
      <w:r w:rsidR="00D02EE8">
        <w:rPr>
          <w:lang w:eastAsia="cs-CZ"/>
        </w:rPr>
        <w:t>úpravny vod</w:t>
      </w:r>
      <w:r>
        <w:rPr>
          <w:lang w:eastAsia="cs-CZ"/>
        </w:rPr>
        <w:t xml:space="preserve"> byla zahájena dne 17. 4. 2018, kdy byla uzavřena smlouva o dílo, přičemž realizace projektu by měla být dokončena do 1. 3. 2022. Celková smluvní cena </w:t>
      </w:r>
      <w:r w:rsidR="00FE199C">
        <w:rPr>
          <w:lang w:eastAsia="cs-CZ"/>
        </w:rPr>
        <w:br/>
      </w:r>
      <w:r>
        <w:rPr>
          <w:lang w:eastAsia="cs-CZ"/>
        </w:rPr>
        <w:t>díla činí téměř 1,5 mld. Kč, přičemž z OPŽP bude tento projekt podpořen částkou ve výši cca</w:t>
      </w:r>
      <w:r w:rsidR="00FE199C">
        <w:rPr>
          <w:lang w:eastAsia="cs-CZ"/>
        </w:rPr>
        <w:t> </w:t>
      </w:r>
      <w:r>
        <w:rPr>
          <w:lang w:eastAsia="cs-CZ"/>
        </w:rPr>
        <w:t>753</w:t>
      </w:r>
      <w:r w:rsidR="00B71ADC">
        <w:rPr>
          <w:lang w:eastAsia="cs-CZ"/>
        </w:rPr>
        <w:t> </w:t>
      </w:r>
      <w:r>
        <w:rPr>
          <w:lang w:eastAsia="cs-CZ"/>
        </w:rPr>
        <w:t>mil. Kč.</w:t>
      </w:r>
    </w:p>
    <w:p w14:paraId="3A9F7255" w14:textId="77777777" w:rsidR="00D17AD7" w:rsidRDefault="00D17AD7">
      <w:pPr>
        <w:spacing w:after="160" w:line="259" w:lineRule="auto"/>
        <w:jc w:val="left"/>
        <w:rPr>
          <w:lang w:eastAsia="cs-CZ"/>
        </w:rPr>
      </w:pPr>
      <w:r>
        <w:rPr>
          <w:lang w:eastAsia="cs-CZ"/>
        </w:rPr>
        <w:br w:type="page"/>
      </w:r>
    </w:p>
    <w:p w14:paraId="11F2036B" w14:textId="77777777" w:rsidR="006970DD" w:rsidRPr="004C6B91" w:rsidRDefault="00762A7D" w:rsidP="00F53435">
      <w:pPr>
        <w:spacing w:after="60"/>
        <w:rPr>
          <w:b/>
          <w:szCs w:val="24"/>
        </w:rPr>
      </w:pPr>
      <w:r w:rsidRPr="004C6B91">
        <w:rPr>
          <w:b/>
          <w:szCs w:val="24"/>
        </w:rPr>
        <w:lastRenderedPageBreak/>
        <w:t>Seznam zkratek</w:t>
      </w:r>
    </w:p>
    <w:p w14:paraId="0C79DFDD" w14:textId="77777777" w:rsidR="00460A9C" w:rsidRPr="0062291F" w:rsidRDefault="00460A9C" w:rsidP="00FD5C1F">
      <w:pPr>
        <w:tabs>
          <w:tab w:val="left" w:pos="3544"/>
        </w:tabs>
        <w:spacing w:after="0"/>
        <w:rPr>
          <w:sz w:val="22"/>
        </w:rPr>
      </w:pPr>
      <w:r w:rsidRPr="0062291F">
        <w:rPr>
          <w:sz w:val="22"/>
        </w:rPr>
        <w:t>ČHMÚ</w:t>
      </w:r>
      <w:r w:rsidRPr="0062291F">
        <w:rPr>
          <w:sz w:val="22"/>
        </w:rPr>
        <w:tab/>
        <w:t>Český hydrometeorologický ústav</w:t>
      </w:r>
    </w:p>
    <w:p w14:paraId="3A8DD968" w14:textId="77777777" w:rsidR="00152CAE" w:rsidRPr="0062291F" w:rsidRDefault="00152CAE" w:rsidP="00FD5C1F">
      <w:pPr>
        <w:tabs>
          <w:tab w:val="left" w:pos="3544"/>
        </w:tabs>
        <w:spacing w:after="0"/>
        <w:rPr>
          <w:sz w:val="22"/>
        </w:rPr>
      </w:pPr>
      <w:r w:rsidRPr="0062291F">
        <w:rPr>
          <w:sz w:val="22"/>
        </w:rPr>
        <w:t>ČIŽP</w:t>
      </w:r>
      <w:r w:rsidRPr="0062291F">
        <w:rPr>
          <w:sz w:val="22"/>
        </w:rPr>
        <w:tab/>
        <w:t>Česká inspekce životního prostředí</w:t>
      </w:r>
    </w:p>
    <w:p w14:paraId="6EDA467E" w14:textId="77777777" w:rsidR="00460A9C" w:rsidRPr="0062291F" w:rsidRDefault="00460A9C" w:rsidP="00FD5C1F">
      <w:pPr>
        <w:tabs>
          <w:tab w:val="left" w:pos="3544"/>
        </w:tabs>
        <w:spacing w:after="0"/>
        <w:rPr>
          <w:sz w:val="22"/>
        </w:rPr>
      </w:pPr>
      <w:r w:rsidRPr="0062291F">
        <w:rPr>
          <w:sz w:val="22"/>
        </w:rPr>
        <w:t>ČR</w:t>
      </w:r>
      <w:r w:rsidRPr="0062291F">
        <w:rPr>
          <w:sz w:val="22"/>
        </w:rPr>
        <w:tab/>
        <w:t>Česká republika</w:t>
      </w:r>
    </w:p>
    <w:p w14:paraId="46CF3633" w14:textId="77777777" w:rsidR="00460A9C" w:rsidRPr="0062291F" w:rsidRDefault="00460A9C" w:rsidP="00FD5C1F">
      <w:pPr>
        <w:tabs>
          <w:tab w:val="left" w:pos="3544"/>
        </w:tabs>
        <w:spacing w:after="0"/>
        <w:rPr>
          <w:sz w:val="22"/>
        </w:rPr>
      </w:pPr>
      <w:r w:rsidRPr="0062291F">
        <w:rPr>
          <w:sz w:val="22"/>
        </w:rPr>
        <w:t>ČSÚ</w:t>
      </w:r>
      <w:r w:rsidRPr="0062291F">
        <w:rPr>
          <w:sz w:val="22"/>
        </w:rPr>
        <w:tab/>
        <w:t>Český statistický úřad</w:t>
      </w:r>
    </w:p>
    <w:p w14:paraId="165F280F" w14:textId="77777777" w:rsidR="00460A9C" w:rsidRPr="0062291F" w:rsidRDefault="00460A9C" w:rsidP="00FD5C1F">
      <w:pPr>
        <w:tabs>
          <w:tab w:val="left" w:pos="3544"/>
        </w:tabs>
        <w:spacing w:after="0"/>
        <w:rPr>
          <w:sz w:val="22"/>
        </w:rPr>
      </w:pPr>
      <w:r w:rsidRPr="0062291F">
        <w:rPr>
          <w:sz w:val="22"/>
        </w:rPr>
        <w:t>DZ</w:t>
      </w:r>
      <w:r w:rsidR="00C069E8" w:rsidRPr="0062291F">
        <w:rPr>
          <w:sz w:val="22"/>
        </w:rPr>
        <w:t>E</w:t>
      </w:r>
      <w:r w:rsidRPr="0062291F">
        <w:rPr>
          <w:sz w:val="22"/>
        </w:rPr>
        <w:t>S</w:t>
      </w:r>
      <w:r w:rsidR="006A21D1" w:rsidRPr="0062291F">
        <w:rPr>
          <w:sz w:val="22"/>
        </w:rPr>
        <w:tab/>
      </w:r>
      <w:r w:rsidR="006A21D1" w:rsidRPr="0062291F">
        <w:rPr>
          <w:rFonts w:cstheme="minorHAnsi"/>
          <w:sz w:val="22"/>
          <w:lang w:eastAsia="cs-CZ"/>
        </w:rPr>
        <w:t>dobrý zemědělský a environmentální stav</w:t>
      </w:r>
    </w:p>
    <w:p w14:paraId="5B907FA5" w14:textId="77777777" w:rsidR="00460A9C" w:rsidRPr="0062291F" w:rsidRDefault="00460A9C" w:rsidP="00FD5C1F">
      <w:pPr>
        <w:tabs>
          <w:tab w:val="left" w:pos="3544"/>
        </w:tabs>
        <w:spacing w:after="0"/>
        <w:rPr>
          <w:sz w:val="22"/>
        </w:rPr>
      </w:pPr>
      <w:r w:rsidRPr="0062291F">
        <w:rPr>
          <w:sz w:val="22"/>
        </w:rPr>
        <w:t>EU</w:t>
      </w:r>
      <w:r w:rsidRPr="0062291F">
        <w:rPr>
          <w:sz w:val="22"/>
        </w:rPr>
        <w:tab/>
        <w:t>Evropská unie</w:t>
      </w:r>
    </w:p>
    <w:p w14:paraId="517DBF9F" w14:textId="77777777" w:rsidR="00460A9C" w:rsidRPr="0062291F" w:rsidRDefault="00460A9C" w:rsidP="00FD5C1F">
      <w:pPr>
        <w:tabs>
          <w:tab w:val="left" w:pos="3544"/>
        </w:tabs>
        <w:spacing w:after="0"/>
        <w:rPr>
          <w:sz w:val="22"/>
        </w:rPr>
      </w:pPr>
      <w:r w:rsidRPr="0062291F">
        <w:rPr>
          <w:sz w:val="22"/>
        </w:rPr>
        <w:t>GAU</w:t>
      </w:r>
      <w:r w:rsidR="006A21D1" w:rsidRPr="0062291F">
        <w:rPr>
          <w:sz w:val="22"/>
        </w:rPr>
        <w:tab/>
      </w:r>
      <w:r w:rsidR="006A21D1" w:rsidRPr="0062291F">
        <w:rPr>
          <w:rFonts w:cstheme="minorHAnsi"/>
          <w:sz w:val="22"/>
          <w:lang w:eastAsia="cs-CZ"/>
        </w:rPr>
        <w:t>granulované aktivní uhlí</w:t>
      </w:r>
    </w:p>
    <w:p w14:paraId="602D1911" w14:textId="77777777" w:rsidR="00460A9C" w:rsidRPr="0062291F" w:rsidRDefault="00460A9C" w:rsidP="00FD5C1F">
      <w:pPr>
        <w:tabs>
          <w:tab w:val="left" w:pos="3544"/>
        </w:tabs>
        <w:spacing w:after="0"/>
        <w:rPr>
          <w:sz w:val="22"/>
        </w:rPr>
      </w:pPr>
      <w:r w:rsidRPr="0062291F">
        <w:rPr>
          <w:sz w:val="22"/>
        </w:rPr>
        <w:t>IOR</w:t>
      </w:r>
      <w:r w:rsidRPr="0062291F">
        <w:rPr>
          <w:sz w:val="22"/>
        </w:rPr>
        <w:tab/>
        <w:t>integrovaná ochrana rostlin</w:t>
      </w:r>
    </w:p>
    <w:p w14:paraId="3D278701" w14:textId="77777777" w:rsidR="00DE4C0F" w:rsidRPr="0062291F" w:rsidRDefault="00DE4C0F" w:rsidP="00FD5C1F">
      <w:pPr>
        <w:tabs>
          <w:tab w:val="left" w:pos="3544"/>
        </w:tabs>
        <w:spacing w:after="0"/>
        <w:rPr>
          <w:sz w:val="22"/>
        </w:rPr>
      </w:pPr>
      <w:r w:rsidRPr="0062291F">
        <w:rPr>
          <w:sz w:val="22"/>
        </w:rPr>
        <w:t>IS ARROW</w:t>
      </w:r>
      <w:r w:rsidRPr="0062291F">
        <w:rPr>
          <w:sz w:val="22"/>
        </w:rPr>
        <w:tab/>
      </w:r>
      <w:r w:rsidR="00152CAE" w:rsidRPr="0062291F">
        <w:rPr>
          <w:sz w:val="22"/>
        </w:rPr>
        <w:t>i</w:t>
      </w:r>
      <w:r w:rsidRPr="0062291F">
        <w:rPr>
          <w:sz w:val="22"/>
        </w:rPr>
        <w:t xml:space="preserve">nformační systém </w:t>
      </w:r>
      <w:proofErr w:type="spellStart"/>
      <w:r w:rsidRPr="0062291F">
        <w:rPr>
          <w:i/>
          <w:sz w:val="22"/>
        </w:rPr>
        <w:t>Assessment</w:t>
      </w:r>
      <w:proofErr w:type="spellEnd"/>
      <w:r w:rsidRPr="0062291F">
        <w:rPr>
          <w:i/>
          <w:sz w:val="22"/>
        </w:rPr>
        <w:t xml:space="preserve"> and Reference </w:t>
      </w:r>
      <w:proofErr w:type="spellStart"/>
      <w:r w:rsidRPr="0062291F">
        <w:rPr>
          <w:i/>
          <w:sz w:val="22"/>
        </w:rPr>
        <w:t>Reports</w:t>
      </w:r>
      <w:proofErr w:type="spellEnd"/>
    </w:p>
    <w:p w14:paraId="3073056F" w14:textId="77777777" w:rsidR="00DE4C0F" w:rsidRPr="0062291F" w:rsidRDefault="00DE4C0F" w:rsidP="00FD5C1F">
      <w:pPr>
        <w:tabs>
          <w:tab w:val="left" w:pos="3544"/>
        </w:tabs>
        <w:spacing w:after="0"/>
        <w:rPr>
          <w:i/>
          <w:sz w:val="22"/>
        </w:rPr>
      </w:pPr>
      <w:r w:rsidRPr="0062291F">
        <w:rPr>
          <w:sz w:val="22"/>
        </w:rPr>
        <w:tab/>
      </w:r>
      <w:proofErr w:type="spellStart"/>
      <w:r w:rsidRPr="0062291F">
        <w:rPr>
          <w:i/>
          <w:sz w:val="22"/>
        </w:rPr>
        <w:t>of</w:t>
      </w:r>
      <w:proofErr w:type="spellEnd"/>
      <w:r w:rsidRPr="0062291F">
        <w:rPr>
          <w:i/>
          <w:sz w:val="22"/>
        </w:rPr>
        <w:t xml:space="preserve"> </w:t>
      </w:r>
      <w:proofErr w:type="spellStart"/>
      <w:r w:rsidRPr="0062291F">
        <w:rPr>
          <w:i/>
          <w:sz w:val="22"/>
        </w:rPr>
        <w:t>Water</w:t>
      </w:r>
      <w:proofErr w:type="spellEnd"/>
      <w:r w:rsidRPr="0062291F">
        <w:rPr>
          <w:i/>
          <w:sz w:val="22"/>
        </w:rPr>
        <w:t xml:space="preserve"> Monitoring</w:t>
      </w:r>
    </w:p>
    <w:p w14:paraId="47A44585" w14:textId="77777777" w:rsidR="00DE4C0F" w:rsidRPr="0062291F" w:rsidRDefault="00DE4C0F" w:rsidP="00FD5C1F">
      <w:pPr>
        <w:tabs>
          <w:tab w:val="left" w:pos="3544"/>
        </w:tabs>
        <w:spacing w:after="0"/>
        <w:rPr>
          <w:sz w:val="22"/>
        </w:rPr>
      </w:pPr>
      <w:r w:rsidRPr="0062291F">
        <w:rPr>
          <w:sz w:val="22"/>
        </w:rPr>
        <w:t xml:space="preserve">IS </w:t>
      </w:r>
      <w:proofErr w:type="spellStart"/>
      <w:r w:rsidRPr="0062291F">
        <w:rPr>
          <w:sz w:val="22"/>
        </w:rPr>
        <w:t>PiVo</w:t>
      </w:r>
      <w:proofErr w:type="spellEnd"/>
      <w:r w:rsidRPr="0062291F">
        <w:rPr>
          <w:sz w:val="22"/>
        </w:rPr>
        <w:tab/>
      </w:r>
      <w:r w:rsidR="00152CAE" w:rsidRPr="0062291F">
        <w:rPr>
          <w:sz w:val="22"/>
        </w:rPr>
        <w:t>i</w:t>
      </w:r>
      <w:r w:rsidRPr="0062291F">
        <w:rPr>
          <w:sz w:val="22"/>
        </w:rPr>
        <w:t xml:space="preserve">nformační systém </w:t>
      </w:r>
      <w:r w:rsidRPr="0062291F">
        <w:rPr>
          <w:i/>
          <w:sz w:val="22"/>
        </w:rPr>
        <w:t>Pitná voda</w:t>
      </w:r>
    </w:p>
    <w:p w14:paraId="040BE320" w14:textId="77777777" w:rsidR="00011947" w:rsidRPr="0062291F" w:rsidRDefault="00011947" w:rsidP="00FD5C1F">
      <w:pPr>
        <w:tabs>
          <w:tab w:val="left" w:pos="3544"/>
        </w:tabs>
        <w:spacing w:after="0"/>
        <w:rPr>
          <w:sz w:val="22"/>
        </w:rPr>
      </w:pPr>
      <w:r w:rsidRPr="0062291F">
        <w:rPr>
          <w:sz w:val="22"/>
        </w:rPr>
        <w:t>KHS</w:t>
      </w:r>
      <w:r w:rsidRPr="0062291F">
        <w:rPr>
          <w:sz w:val="22"/>
        </w:rPr>
        <w:tab/>
        <w:t xml:space="preserve">krajská(é) </w:t>
      </w:r>
      <w:proofErr w:type="gramStart"/>
      <w:r w:rsidRPr="0062291F">
        <w:rPr>
          <w:sz w:val="22"/>
        </w:rPr>
        <w:t>hygienická(é) stanice</w:t>
      </w:r>
      <w:proofErr w:type="gramEnd"/>
    </w:p>
    <w:p w14:paraId="5714F400" w14:textId="77777777" w:rsidR="0038107D" w:rsidRPr="0062291F" w:rsidRDefault="00460A9C" w:rsidP="00FD5C1F">
      <w:pPr>
        <w:tabs>
          <w:tab w:val="left" w:pos="3544"/>
        </w:tabs>
        <w:spacing w:after="0"/>
        <w:rPr>
          <w:i/>
          <w:sz w:val="22"/>
        </w:rPr>
      </w:pPr>
      <w:r w:rsidRPr="0062291F">
        <w:rPr>
          <w:sz w:val="22"/>
        </w:rPr>
        <w:t>KPS</w:t>
      </w:r>
      <w:r w:rsidR="006A21D1" w:rsidRPr="0062291F">
        <w:rPr>
          <w:sz w:val="22"/>
        </w:rPr>
        <w:tab/>
      </w:r>
      <w:r w:rsidR="006A21D1" w:rsidRPr="0062291F">
        <w:rPr>
          <w:i/>
          <w:sz w:val="22"/>
        </w:rPr>
        <w:t>Koordinační pracovní skupina pro přípravu</w:t>
      </w:r>
      <w:r w:rsidR="0038107D" w:rsidRPr="0062291F">
        <w:rPr>
          <w:i/>
          <w:sz w:val="22"/>
        </w:rPr>
        <w:t xml:space="preserve"> Národního</w:t>
      </w:r>
    </w:p>
    <w:p w14:paraId="59E198BD" w14:textId="77777777" w:rsidR="0038107D" w:rsidRPr="0062291F" w:rsidRDefault="0038107D" w:rsidP="00FD5C1F">
      <w:pPr>
        <w:tabs>
          <w:tab w:val="left" w:pos="3544"/>
        </w:tabs>
        <w:spacing w:after="0"/>
        <w:rPr>
          <w:i/>
          <w:sz w:val="22"/>
        </w:rPr>
      </w:pPr>
      <w:r w:rsidRPr="0062291F">
        <w:rPr>
          <w:i/>
          <w:sz w:val="22"/>
        </w:rPr>
        <w:tab/>
      </w:r>
      <w:r w:rsidR="006A21D1" w:rsidRPr="0062291F">
        <w:rPr>
          <w:i/>
          <w:sz w:val="22"/>
        </w:rPr>
        <w:t>akčního plánu (NAP) k</w:t>
      </w:r>
      <w:r w:rsidRPr="0062291F">
        <w:rPr>
          <w:i/>
          <w:sz w:val="22"/>
        </w:rPr>
        <w:t> </w:t>
      </w:r>
      <w:r w:rsidR="006A21D1" w:rsidRPr="0062291F">
        <w:rPr>
          <w:i/>
          <w:sz w:val="22"/>
        </w:rPr>
        <w:t>zajištění</w:t>
      </w:r>
      <w:r w:rsidRPr="0062291F">
        <w:rPr>
          <w:i/>
          <w:sz w:val="22"/>
        </w:rPr>
        <w:t xml:space="preserve"> </w:t>
      </w:r>
      <w:r w:rsidR="006A21D1" w:rsidRPr="0062291F">
        <w:rPr>
          <w:i/>
          <w:sz w:val="22"/>
        </w:rPr>
        <w:t>udržiteln</w:t>
      </w:r>
      <w:r w:rsidRPr="0062291F">
        <w:rPr>
          <w:i/>
          <w:sz w:val="22"/>
        </w:rPr>
        <w:t>ého používání</w:t>
      </w:r>
    </w:p>
    <w:p w14:paraId="3EAD645A" w14:textId="77777777" w:rsidR="0038107D" w:rsidRPr="0062291F" w:rsidRDefault="0038107D" w:rsidP="00FD5C1F">
      <w:pPr>
        <w:tabs>
          <w:tab w:val="left" w:pos="3544"/>
        </w:tabs>
        <w:spacing w:after="0"/>
        <w:rPr>
          <w:i/>
          <w:sz w:val="22"/>
        </w:rPr>
      </w:pPr>
      <w:r w:rsidRPr="0062291F">
        <w:rPr>
          <w:i/>
          <w:sz w:val="22"/>
        </w:rPr>
        <w:tab/>
      </w:r>
      <w:r w:rsidR="006A21D1" w:rsidRPr="0062291F">
        <w:rPr>
          <w:i/>
          <w:sz w:val="22"/>
        </w:rPr>
        <w:t>pesticidů v ČR na</w:t>
      </w:r>
      <w:r w:rsidRPr="0062291F">
        <w:rPr>
          <w:i/>
          <w:sz w:val="22"/>
        </w:rPr>
        <w:t xml:space="preserve"> </w:t>
      </w:r>
      <w:r w:rsidR="006A21D1" w:rsidRPr="0062291F">
        <w:rPr>
          <w:i/>
          <w:sz w:val="22"/>
        </w:rPr>
        <w:t>implementaci Směrnice o udržitelném</w:t>
      </w:r>
    </w:p>
    <w:p w14:paraId="1CEF946F" w14:textId="77777777" w:rsidR="00460A9C" w:rsidRPr="0062291F" w:rsidRDefault="0038107D" w:rsidP="00FD5C1F">
      <w:pPr>
        <w:tabs>
          <w:tab w:val="left" w:pos="3544"/>
        </w:tabs>
        <w:spacing w:after="0"/>
        <w:rPr>
          <w:i/>
          <w:sz w:val="22"/>
        </w:rPr>
      </w:pPr>
      <w:r w:rsidRPr="0062291F">
        <w:rPr>
          <w:i/>
          <w:sz w:val="22"/>
        </w:rPr>
        <w:tab/>
      </w:r>
      <w:r w:rsidR="006A21D1" w:rsidRPr="0062291F">
        <w:rPr>
          <w:i/>
          <w:sz w:val="22"/>
        </w:rPr>
        <w:t>používání pesticidů v</w:t>
      </w:r>
      <w:r w:rsidR="00152CAE" w:rsidRPr="0062291F">
        <w:rPr>
          <w:i/>
          <w:sz w:val="22"/>
        </w:rPr>
        <w:t> </w:t>
      </w:r>
      <w:r w:rsidR="006A21D1" w:rsidRPr="0062291F">
        <w:rPr>
          <w:i/>
          <w:sz w:val="22"/>
        </w:rPr>
        <w:t>ČR</w:t>
      </w:r>
    </w:p>
    <w:p w14:paraId="2E1E2198" w14:textId="77777777" w:rsidR="00152CAE" w:rsidRPr="0062291F" w:rsidRDefault="00152CAE" w:rsidP="0062291F">
      <w:pPr>
        <w:tabs>
          <w:tab w:val="left" w:pos="3544"/>
        </w:tabs>
        <w:spacing w:after="0"/>
        <w:ind w:left="3544" w:hanging="3544"/>
        <w:jc w:val="left"/>
        <w:rPr>
          <w:sz w:val="22"/>
        </w:rPr>
      </w:pPr>
      <w:r w:rsidRPr="0062291F">
        <w:rPr>
          <w:sz w:val="22"/>
        </w:rPr>
        <w:t>LPIS</w:t>
      </w:r>
      <w:r w:rsidRPr="0062291F">
        <w:rPr>
          <w:sz w:val="22"/>
        </w:rPr>
        <w:tab/>
        <w:t>registr</w:t>
      </w:r>
      <w:r w:rsidR="00DD338D" w:rsidRPr="0062291F">
        <w:rPr>
          <w:sz w:val="22"/>
        </w:rPr>
        <w:t xml:space="preserve"> využití</w:t>
      </w:r>
      <w:r w:rsidRPr="0062291F">
        <w:rPr>
          <w:sz w:val="22"/>
        </w:rPr>
        <w:t xml:space="preserve"> půdních bloků (z angl. </w:t>
      </w:r>
      <w:r w:rsidRPr="0062291F">
        <w:rPr>
          <w:i/>
          <w:sz w:val="22"/>
        </w:rPr>
        <w:t xml:space="preserve">Land Parcel </w:t>
      </w:r>
      <w:proofErr w:type="spellStart"/>
      <w:r w:rsidRPr="0062291F">
        <w:rPr>
          <w:i/>
          <w:sz w:val="22"/>
        </w:rPr>
        <w:t>Identification</w:t>
      </w:r>
      <w:proofErr w:type="spellEnd"/>
      <w:r w:rsidRPr="0062291F">
        <w:rPr>
          <w:i/>
          <w:sz w:val="22"/>
        </w:rPr>
        <w:t xml:space="preserve"> </w:t>
      </w:r>
      <w:proofErr w:type="spellStart"/>
      <w:r w:rsidRPr="0062291F">
        <w:rPr>
          <w:i/>
          <w:sz w:val="22"/>
        </w:rPr>
        <w:t>System</w:t>
      </w:r>
      <w:proofErr w:type="spellEnd"/>
      <w:r w:rsidRPr="0062291F">
        <w:rPr>
          <w:sz w:val="22"/>
        </w:rPr>
        <w:t>)</w:t>
      </w:r>
      <w:r w:rsidR="0014599C">
        <w:rPr>
          <w:sz w:val="22"/>
        </w:rPr>
        <w:t>, označovaný též jako geografický informační systém</w:t>
      </w:r>
    </w:p>
    <w:p w14:paraId="54FB91B2" w14:textId="77777777" w:rsidR="00CE1C0B" w:rsidRPr="0062291F" w:rsidRDefault="00152CAE" w:rsidP="00FD5C1F">
      <w:pPr>
        <w:tabs>
          <w:tab w:val="left" w:pos="3544"/>
        </w:tabs>
        <w:spacing w:after="0"/>
        <w:rPr>
          <w:sz w:val="22"/>
        </w:rPr>
      </w:pPr>
      <w:r w:rsidRPr="0062291F">
        <w:rPr>
          <w:sz w:val="22"/>
        </w:rPr>
        <w:t>m</w:t>
      </w:r>
      <w:r w:rsidR="00CE1C0B" w:rsidRPr="0062291F">
        <w:rPr>
          <w:sz w:val="22"/>
        </w:rPr>
        <w:t>inisterstva</w:t>
      </w:r>
      <w:r w:rsidR="00CE1C0B" w:rsidRPr="0062291F">
        <w:rPr>
          <w:sz w:val="22"/>
        </w:rPr>
        <w:tab/>
        <w:t>Ministerstvo zdravotnictví, Ministerstvo zemědělství,</w:t>
      </w:r>
    </w:p>
    <w:p w14:paraId="52112C76" w14:textId="77777777" w:rsidR="00CE1C0B" w:rsidRPr="0062291F" w:rsidRDefault="00CE1C0B" w:rsidP="00FD5C1F">
      <w:pPr>
        <w:tabs>
          <w:tab w:val="left" w:pos="3544"/>
        </w:tabs>
        <w:spacing w:after="0"/>
        <w:rPr>
          <w:sz w:val="22"/>
        </w:rPr>
      </w:pPr>
      <w:r w:rsidRPr="0062291F">
        <w:rPr>
          <w:sz w:val="22"/>
        </w:rPr>
        <w:tab/>
        <w:t>Ministerstvo životního prostředí</w:t>
      </w:r>
    </w:p>
    <w:p w14:paraId="77E379B0" w14:textId="77777777" w:rsidR="00393710" w:rsidRPr="0062291F" w:rsidRDefault="00393710" w:rsidP="00FD5C1F">
      <w:pPr>
        <w:tabs>
          <w:tab w:val="left" w:pos="3544"/>
        </w:tabs>
        <w:spacing w:after="0"/>
        <w:rPr>
          <w:sz w:val="22"/>
        </w:rPr>
      </w:pPr>
      <w:proofErr w:type="spellStart"/>
      <w:r w:rsidRPr="0062291F">
        <w:rPr>
          <w:sz w:val="22"/>
        </w:rPr>
        <w:t>MZd</w:t>
      </w:r>
      <w:proofErr w:type="spellEnd"/>
      <w:r w:rsidRPr="0062291F">
        <w:rPr>
          <w:sz w:val="22"/>
        </w:rPr>
        <w:tab/>
        <w:t>Ministerstvo zdravotnictví</w:t>
      </w:r>
    </w:p>
    <w:p w14:paraId="6CC0586F" w14:textId="77777777" w:rsidR="00393710" w:rsidRPr="0062291F" w:rsidRDefault="00393710" w:rsidP="00FD5C1F">
      <w:pPr>
        <w:tabs>
          <w:tab w:val="left" w:pos="3544"/>
        </w:tabs>
        <w:spacing w:after="0"/>
        <w:rPr>
          <w:sz w:val="22"/>
        </w:rPr>
      </w:pPr>
      <w:proofErr w:type="spellStart"/>
      <w:r w:rsidRPr="0062291F">
        <w:rPr>
          <w:sz w:val="22"/>
        </w:rPr>
        <w:t>MZe</w:t>
      </w:r>
      <w:proofErr w:type="spellEnd"/>
      <w:r w:rsidRPr="0062291F">
        <w:rPr>
          <w:sz w:val="22"/>
        </w:rPr>
        <w:tab/>
        <w:t>Ministerstvo zemědělství</w:t>
      </w:r>
    </w:p>
    <w:p w14:paraId="2A0D9223" w14:textId="77777777" w:rsidR="00393710" w:rsidRPr="0062291F" w:rsidRDefault="00393710" w:rsidP="00FD5C1F">
      <w:pPr>
        <w:tabs>
          <w:tab w:val="left" w:pos="3544"/>
        </w:tabs>
        <w:spacing w:after="0"/>
        <w:rPr>
          <w:sz w:val="22"/>
        </w:rPr>
      </w:pPr>
      <w:r w:rsidRPr="0062291F">
        <w:rPr>
          <w:sz w:val="22"/>
        </w:rPr>
        <w:t>MŽP</w:t>
      </w:r>
      <w:r w:rsidRPr="0062291F">
        <w:rPr>
          <w:sz w:val="22"/>
        </w:rPr>
        <w:tab/>
        <w:t>Ministerstvo životního prostředí</w:t>
      </w:r>
    </w:p>
    <w:p w14:paraId="65AC0D46" w14:textId="77777777" w:rsidR="00CE1C0B" w:rsidRPr="0062291F" w:rsidRDefault="00460A9C" w:rsidP="00FD5C1F">
      <w:pPr>
        <w:tabs>
          <w:tab w:val="left" w:pos="3544"/>
        </w:tabs>
        <w:spacing w:after="0"/>
        <w:rPr>
          <w:i/>
          <w:sz w:val="22"/>
        </w:rPr>
      </w:pPr>
      <w:r w:rsidRPr="0062291F">
        <w:rPr>
          <w:sz w:val="22"/>
        </w:rPr>
        <w:t>NAP 2013–2017</w:t>
      </w:r>
      <w:r w:rsidR="006628BB" w:rsidRPr="0062291F">
        <w:rPr>
          <w:sz w:val="22"/>
        </w:rPr>
        <w:tab/>
      </w:r>
      <w:r w:rsidR="006628BB" w:rsidRPr="0062291F">
        <w:rPr>
          <w:i/>
          <w:sz w:val="22"/>
        </w:rPr>
        <w:t>Národní akční plán ke snížení používání</w:t>
      </w:r>
      <w:r w:rsidR="0038107D" w:rsidRPr="0062291F">
        <w:rPr>
          <w:i/>
          <w:sz w:val="22"/>
        </w:rPr>
        <w:t xml:space="preserve"> pesticidů</w:t>
      </w:r>
    </w:p>
    <w:p w14:paraId="148617FD" w14:textId="77777777" w:rsidR="006628BB" w:rsidRPr="0062291F" w:rsidRDefault="0038107D" w:rsidP="00FD5C1F">
      <w:pPr>
        <w:tabs>
          <w:tab w:val="left" w:pos="3544"/>
        </w:tabs>
        <w:spacing w:after="0"/>
        <w:rPr>
          <w:sz w:val="22"/>
        </w:rPr>
      </w:pPr>
      <w:r w:rsidRPr="0062291F">
        <w:rPr>
          <w:i/>
          <w:sz w:val="22"/>
        </w:rPr>
        <w:tab/>
      </w:r>
      <w:r w:rsidR="006628BB" w:rsidRPr="0062291F">
        <w:rPr>
          <w:i/>
          <w:sz w:val="22"/>
        </w:rPr>
        <w:t>v České republice</w:t>
      </w:r>
    </w:p>
    <w:p w14:paraId="77530B6A" w14:textId="77777777" w:rsidR="0038107D" w:rsidRPr="0062291F" w:rsidRDefault="00460A9C" w:rsidP="00FD5C1F">
      <w:pPr>
        <w:tabs>
          <w:tab w:val="left" w:pos="3544"/>
        </w:tabs>
        <w:spacing w:after="0"/>
        <w:rPr>
          <w:bCs/>
          <w:i/>
          <w:sz w:val="22"/>
        </w:rPr>
      </w:pPr>
      <w:r w:rsidRPr="0062291F">
        <w:rPr>
          <w:sz w:val="22"/>
        </w:rPr>
        <w:t>NAP 2018–2022</w:t>
      </w:r>
      <w:r w:rsidR="006628BB" w:rsidRPr="0062291F">
        <w:rPr>
          <w:sz w:val="22"/>
        </w:rPr>
        <w:tab/>
      </w:r>
      <w:r w:rsidR="006628BB" w:rsidRPr="0062291F">
        <w:rPr>
          <w:bCs/>
          <w:i/>
          <w:sz w:val="22"/>
        </w:rPr>
        <w:t>Národní akční plán k</w:t>
      </w:r>
      <w:r w:rsidR="0038107D" w:rsidRPr="0062291F">
        <w:rPr>
          <w:bCs/>
          <w:i/>
          <w:sz w:val="22"/>
        </w:rPr>
        <w:t> </w:t>
      </w:r>
      <w:r w:rsidR="006628BB" w:rsidRPr="0062291F">
        <w:rPr>
          <w:bCs/>
          <w:i/>
          <w:sz w:val="22"/>
        </w:rPr>
        <w:t>bezpečnému</w:t>
      </w:r>
      <w:r w:rsidR="0038107D" w:rsidRPr="0062291F">
        <w:rPr>
          <w:i/>
          <w:sz w:val="22"/>
        </w:rPr>
        <w:t xml:space="preserve"> </w:t>
      </w:r>
      <w:r w:rsidR="0038107D" w:rsidRPr="0062291F">
        <w:rPr>
          <w:bCs/>
          <w:i/>
          <w:sz w:val="22"/>
        </w:rPr>
        <w:t>používání</w:t>
      </w:r>
    </w:p>
    <w:p w14:paraId="47E9DECA" w14:textId="77777777" w:rsidR="00460A9C" w:rsidRPr="0062291F" w:rsidRDefault="0038107D" w:rsidP="00FD5C1F">
      <w:pPr>
        <w:tabs>
          <w:tab w:val="left" w:pos="3544"/>
        </w:tabs>
        <w:spacing w:after="0"/>
        <w:rPr>
          <w:i/>
          <w:sz w:val="22"/>
        </w:rPr>
      </w:pPr>
      <w:r w:rsidRPr="0062291F">
        <w:rPr>
          <w:bCs/>
          <w:i/>
          <w:sz w:val="22"/>
        </w:rPr>
        <w:tab/>
      </w:r>
      <w:r w:rsidR="006628BB" w:rsidRPr="0062291F">
        <w:rPr>
          <w:bCs/>
          <w:i/>
          <w:sz w:val="22"/>
        </w:rPr>
        <w:t>pesticidů v České republice pro</w:t>
      </w:r>
      <w:r w:rsidRPr="0062291F">
        <w:rPr>
          <w:i/>
          <w:sz w:val="22"/>
        </w:rPr>
        <w:t xml:space="preserve"> </w:t>
      </w:r>
      <w:r w:rsidR="006628BB" w:rsidRPr="0062291F">
        <w:rPr>
          <w:bCs/>
          <w:i/>
          <w:sz w:val="22"/>
        </w:rPr>
        <w:t>2018–2022</w:t>
      </w:r>
    </w:p>
    <w:p w14:paraId="7214B9D4" w14:textId="77777777" w:rsidR="00460A9C" w:rsidRPr="0062291F" w:rsidRDefault="00460A9C" w:rsidP="00FD5C1F">
      <w:pPr>
        <w:tabs>
          <w:tab w:val="left" w:pos="3544"/>
        </w:tabs>
        <w:spacing w:after="0"/>
        <w:rPr>
          <w:sz w:val="22"/>
        </w:rPr>
      </w:pPr>
      <w:r w:rsidRPr="0062291F">
        <w:rPr>
          <w:sz w:val="22"/>
        </w:rPr>
        <w:t>NEK</w:t>
      </w:r>
      <w:r w:rsidRPr="0062291F">
        <w:rPr>
          <w:sz w:val="22"/>
        </w:rPr>
        <w:tab/>
        <w:t>norma environmentální kvality</w:t>
      </w:r>
    </w:p>
    <w:p w14:paraId="202A010A" w14:textId="77777777" w:rsidR="00D17AD7" w:rsidRPr="0062291F" w:rsidRDefault="00393710" w:rsidP="00FD5C1F">
      <w:pPr>
        <w:tabs>
          <w:tab w:val="left" w:pos="3544"/>
        </w:tabs>
        <w:spacing w:after="0"/>
        <w:rPr>
          <w:sz w:val="22"/>
        </w:rPr>
      </w:pPr>
      <w:r w:rsidRPr="0062291F">
        <w:rPr>
          <w:sz w:val="22"/>
        </w:rPr>
        <w:t>NKÚ</w:t>
      </w:r>
      <w:r w:rsidRPr="0062291F">
        <w:rPr>
          <w:sz w:val="22"/>
        </w:rPr>
        <w:tab/>
        <w:t>Nejvyšší kontrolní úřad</w:t>
      </w:r>
    </w:p>
    <w:p w14:paraId="06769C67" w14:textId="77777777" w:rsidR="00460A9C" w:rsidRPr="0062291F" w:rsidRDefault="00460A9C" w:rsidP="00FD5C1F">
      <w:pPr>
        <w:tabs>
          <w:tab w:val="left" w:pos="3544"/>
        </w:tabs>
        <w:spacing w:after="0"/>
        <w:rPr>
          <w:sz w:val="22"/>
        </w:rPr>
      </w:pPr>
      <w:r w:rsidRPr="0062291F">
        <w:rPr>
          <w:sz w:val="22"/>
        </w:rPr>
        <w:t>OPVZ</w:t>
      </w:r>
      <w:r w:rsidRPr="0062291F">
        <w:rPr>
          <w:sz w:val="22"/>
        </w:rPr>
        <w:tab/>
        <w:t>ochranná pásma vodních zdrojů</w:t>
      </w:r>
    </w:p>
    <w:p w14:paraId="0F5ABEA3" w14:textId="77777777" w:rsidR="00460A9C" w:rsidRPr="0062291F" w:rsidRDefault="00460A9C" w:rsidP="00FD5C1F">
      <w:pPr>
        <w:tabs>
          <w:tab w:val="left" w:pos="3544"/>
        </w:tabs>
        <w:spacing w:after="0"/>
        <w:rPr>
          <w:sz w:val="22"/>
        </w:rPr>
      </w:pPr>
      <w:r w:rsidRPr="0062291F">
        <w:rPr>
          <w:sz w:val="22"/>
        </w:rPr>
        <w:t>OPŽP</w:t>
      </w:r>
      <w:r w:rsidRPr="0062291F">
        <w:rPr>
          <w:sz w:val="22"/>
        </w:rPr>
        <w:tab/>
      </w:r>
      <w:r w:rsidR="00DD338D" w:rsidRPr="0062291F">
        <w:rPr>
          <w:sz w:val="22"/>
        </w:rPr>
        <w:t>o</w:t>
      </w:r>
      <w:r w:rsidRPr="0062291F">
        <w:rPr>
          <w:sz w:val="22"/>
        </w:rPr>
        <w:t xml:space="preserve">perační program </w:t>
      </w:r>
      <w:r w:rsidRPr="0062291F">
        <w:rPr>
          <w:i/>
          <w:sz w:val="22"/>
        </w:rPr>
        <w:t>Životní prostředí</w:t>
      </w:r>
    </w:p>
    <w:p w14:paraId="275034EE" w14:textId="77777777" w:rsidR="00DD338D" w:rsidRPr="0062291F" w:rsidRDefault="00DD338D" w:rsidP="00FD5C1F">
      <w:pPr>
        <w:tabs>
          <w:tab w:val="left" w:pos="3544"/>
        </w:tabs>
        <w:spacing w:after="0"/>
        <w:rPr>
          <w:sz w:val="22"/>
        </w:rPr>
      </w:pPr>
      <w:r w:rsidRPr="0062291F">
        <w:rPr>
          <w:sz w:val="22"/>
        </w:rPr>
        <w:t>PHO</w:t>
      </w:r>
      <w:r w:rsidRPr="0062291F">
        <w:rPr>
          <w:sz w:val="22"/>
        </w:rPr>
        <w:tab/>
        <w:t>pásma hygienické ochrany</w:t>
      </w:r>
    </w:p>
    <w:p w14:paraId="4B0B4D66" w14:textId="77777777" w:rsidR="00460A9C" w:rsidRPr="0062291F" w:rsidRDefault="00460A9C" w:rsidP="00FD5C1F">
      <w:pPr>
        <w:tabs>
          <w:tab w:val="left" w:pos="3544"/>
        </w:tabs>
        <w:spacing w:after="0"/>
        <w:rPr>
          <w:sz w:val="22"/>
        </w:rPr>
      </w:pPr>
      <w:r w:rsidRPr="0062291F">
        <w:rPr>
          <w:sz w:val="22"/>
        </w:rPr>
        <w:t>POR</w:t>
      </w:r>
      <w:r w:rsidRPr="0062291F">
        <w:rPr>
          <w:sz w:val="22"/>
        </w:rPr>
        <w:tab/>
        <w:t>přípravky na ochranu rostlin</w:t>
      </w:r>
    </w:p>
    <w:p w14:paraId="0BA53213" w14:textId="77777777" w:rsidR="00460A9C" w:rsidRPr="0062291F" w:rsidRDefault="00460A9C" w:rsidP="00FD5C1F">
      <w:pPr>
        <w:tabs>
          <w:tab w:val="left" w:pos="3544"/>
        </w:tabs>
        <w:spacing w:after="0"/>
        <w:rPr>
          <w:sz w:val="22"/>
        </w:rPr>
      </w:pPr>
      <w:r w:rsidRPr="0062291F">
        <w:rPr>
          <w:sz w:val="22"/>
        </w:rPr>
        <w:t>POV</w:t>
      </w:r>
      <w:r w:rsidRPr="0062291F">
        <w:rPr>
          <w:sz w:val="22"/>
        </w:rPr>
        <w:tab/>
        <w:t>povrchové vody</w:t>
      </w:r>
    </w:p>
    <w:p w14:paraId="5B7ECB95" w14:textId="77777777" w:rsidR="00460A9C" w:rsidRPr="0062291F" w:rsidRDefault="00460A9C" w:rsidP="00FD5C1F">
      <w:pPr>
        <w:tabs>
          <w:tab w:val="left" w:pos="3544"/>
        </w:tabs>
        <w:spacing w:after="0"/>
        <w:rPr>
          <w:rFonts w:cstheme="minorHAnsi"/>
          <w:sz w:val="22"/>
          <w:lang w:eastAsia="cs-CZ"/>
        </w:rPr>
      </w:pPr>
      <w:r w:rsidRPr="0062291F">
        <w:rPr>
          <w:sz w:val="22"/>
        </w:rPr>
        <w:t>PPH</w:t>
      </w:r>
      <w:r w:rsidR="006628BB" w:rsidRPr="0062291F">
        <w:rPr>
          <w:sz w:val="22"/>
        </w:rPr>
        <w:tab/>
      </w:r>
      <w:r w:rsidR="006628BB" w:rsidRPr="0062291F">
        <w:rPr>
          <w:rFonts w:cstheme="minorHAnsi"/>
          <w:sz w:val="22"/>
          <w:lang w:eastAsia="cs-CZ"/>
        </w:rPr>
        <w:t>povinné požadavky na hospodaření</w:t>
      </w:r>
    </w:p>
    <w:p w14:paraId="2A54F450" w14:textId="77777777" w:rsidR="00DD338D" w:rsidRPr="0062291F" w:rsidRDefault="00DD338D" w:rsidP="00FD5C1F">
      <w:pPr>
        <w:tabs>
          <w:tab w:val="left" w:pos="3544"/>
        </w:tabs>
        <w:spacing w:after="0"/>
        <w:rPr>
          <w:sz w:val="22"/>
        </w:rPr>
      </w:pPr>
      <w:r w:rsidRPr="0062291F">
        <w:rPr>
          <w:rFonts w:cstheme="minorHAnsi"/>
          <w:sz w:val="22"/>
          <w:lang w:eastAsia="cs-CZ"/>
        </w:rPr>
        <w:t>přípravky</w:t>
      </w:r>
      <w:r w:rsidRPr="0062291F">
        <w:rPr>
          <w:rFonts w:cstheme="minorHAnsi"/>
          <w:sz w:val="22"/>
          <w:lang w:eastAsia="cs-CZ"/>
        </w:rPr>
        <w:tab/>
      </w:r>
      <w:proofErr w:type="spellStart"/>
      <w:r w:rsidRPr="0062291F">
        <w:rPr>
          <w:rFonts w:cstheme="minorHAnsi"/>
          <w:sz w:val="22"/>
          <w:lang w:eastAsia="cs-CZ"/>
        </w:rPr>
        <w:t>přípravky</w:t>
      </w:r>
      <w:proofErr w:type="spellEnd"/>
      <w:r w:rsidRPr="0062291F">
        <w:rPr>
          <w:rFonts w:cstheme="minorHAnsi"/>
          <w:sz w:val="22"/>
          <w:lang w:eastAsia="cs-CZ"/>
        </w:rPr>
        <w:t xml:space="preserve"> na ochranu rostlin</w:t>
      </w:r>
    </w:p>
    <w:p w14:paraId="182D6B18" w14:textId="77777777" w:rsidR="00460A9C" w:rsidRPr="0062291F" w:rsidRDefault="00460A9C" w:rsidP="00FD5C1F">
      <w:pPr>
        <w:tabs>
          <w:tab w:val="left" w:pos="3544"/>
        </w:tabs>
        <w:spacing w:after="0"/>
        <w:rPr>
          <w:sz w:val="22"/>
        </w:rPr>
      </w:pPr>
      <w:r w:rsidRPr="0062291F">
        <w:rPr>
          <w:sz w:val="22"/>
        </w:rPr>
        <w:t>PZV</w:t>
      </w:r>
      <w:r w:rsidRPr="0062291F">
        <w:rPr>
          <w:sz w:val="22"/>
        </w:rPr>
        <w:tab/>
        <w:t>podzemní vody</w:t>
      </w:r>
    </w:p>
    <w:p w14:paraId="21723CE1" w14:textId="2E283877" w:rsidR="00901297" w:rsidRPr="0062291F" w:rsidRDefault="00452DAA" w:rsidP="00FD5C1F">
      <w:pPr>
        <w:tabs>
          <w:tab w:val="left" w:pos="3544"/>
        </w:tabs>
        <w:spacing w:after="0"/>
        <w:rPr>
          <w:sz w:val="22"/>
        </w:rPr>
      </w:pPr>
      <w:r>
        <w:rPr>
          <w:sz w:val="22"/>
        </w:rPr>
        <w:t>S</w:t>
      </w:r>
      <w:r w:rsidR="006628BB" w:rsidRPr="0062291F">
        <w:rPr>
          <w:sz w:val="22"/>
        </w:rPr>
        <w:t>měrnice o udržitelném používání</w:t>
      </w:r>
      <w:r w:rsidR="006628BB" w:rsidRPr="0062291F">
        <w:rPr>
          <w:sz w:val="22"/>
        </w:rPr>
        <w:tab/>
      </w:r>
      <w:r w:rsidR="00DD338D" w:rsidRPr="0062291F">
        <w:rPr>
          <w:sz w:val="22"/>
        </w:rPr>
        <w:t>s</w:t>
      </w:r>
      <w:r w:rsidR="006628BB" w:rsidRPr="0062291F">
        <w:rPr>
          <w:sz w:val="22"/>
        </w:rPr>
        <w:t>měrnice Evropského parlamentu a</w:t>
      </w:r>
      <w:r w:rsidR="00901297" w:rsidRPr="0062291F">
        <w:rPr>
          <w:sz w:val="22"/>
        </w:rPr>
        <w:t xml:space="preserve"> </w:t>
      </w:r>
      <w:r w:rsidR="006628BB" w:rsidRPr="0062291F">
        <w:rPr>
          <w:sz w:val="22"/>
        </w:rPr>
        <w:t>Rady</w:t>
      </w:r>
      <w:r w:rsidR="00901297" w:rsidRPr="0062291F">
        <w:rPr>
          <w:sz w:val="22"/>
        </w:rPr>
        <w:t xml:space="preserve"> 2009/128/ES pesticidů</w:t>
      </w:r>
      <w:r w:rsidR="00901297" w:rsidRPr="0062291F">
        <w:rPr>
          <w:sz w:val="22"/>
        </w:rPr>
        <w:tab/>
      </w:r>
      <w:r w:rsidR="006628BB" w:rsidRPr="0062291F">
        <w:rPr>
          <w:sz w:val="22"/>
        </w:rPr>
        <w:t>ze dne 21. října 2009, kterou se</w:t>
      </w:r>
      <w:r w:rsidR="00901297" w:rsidRPr="0062291F">
        <w:rPr>
          <w:sz w:val="22"/>
        </w:rPr>
        <w:t xml:space="preserve"> stanoví rámec pro</w:t>
      </w:r>
    </w:p>
    <w:p w14:paraId="36965051" w14:textId="77777777" w:rsidR="00901297" w:rsidRPr="0062291F" w:rsidRDefault="00901297" w:rsidP="00FD5C1F">
      <w:pPr>
        <w:tabs>
          <w:tab w:val="left" w:pos="3544"/>
        </w:tabs>
        <w:spacing w:after="0"/>
        <w:rPr>
          <w:sz w:val="22"/>
        </w:rPr>
      </w:pPr>
      <w:r w:rsidRPr="0062291F">
        <w:rPr>
          <w:sz w:val="22"/>
        </w:rPr>
        <w:tab/>
      </w:r>
      <w:r w:rsidR="006628BB" w:rsidRPr="0062291F">
        <w:rPr>
          <w:sz w:val="22"/>
        </w:rPr>
        <w:t>činnost Společenství za účelem</w:t>
      </w:r>
      <w:r w:rsidRPr="0062291F">
        <w:rPr>
          <w:sz w:val="22"/>
        </w:rPr>
        <w:t xml:space="preserve"> dosažení udržitelného</w:t>
      </w:r>
    </w:p>
    <w:p w14:paraId="3F93FF54" w14:textId="77777777" w:rsidR="00460A9C" w:rsidRPr="0062291F" w:rsidRDefault="00901297" w:rsidP="00FD5C1F">
      <w:pPr>
        <w:tabs>
          <w:tab w:val="left" w:pos="3544"/>
        </w:tabs>
        <w:spacing w:after="0"/>
        <w:rPr>
          <w:sz w:val="22"/>
        </w:rPr>
      </w:pPr>
      <w:r w:rsidRPr="0062291F">
        <w:rPr>
          <w:sz w:val="22"/>
        </w:rPr>
        <w:tab/>
      </w:r>
      <w:r w:rsidR="006628BB" w:rsidRPr="0062291F">
        <w:rPr>
          <w:sz w:val="22"/>
        </w:rPr>
        <w:t>používání pesticidů</w:t>
      </w:r>
    </w:p>
    <w:p w14:paraId="2BB7136E" w14:textId="77777777" w:rsidR="00460A9C" w:rsidRPr="0062291F" w:rsidRDefault="00460A9C" w:rsidP="00FD5C1F">
      <w:pPr>
        <w:tabs>
          <w:tab w:val="left" w:pos="3544"/>
        </w:tabs>
        <w:spacing w:after="0"/>
        <w:rPr>
          <w:sz w:val="22"/>
        </w:rPr>
      </w:pPr>
      <w:r w:rsidRPr="0062291F">
        <w:rPr>
          <w:sz w:val="22"/>
        </w:rPr>
        <w:t>SOVAK</w:t>
      </w:r>
      <w:r w:rsidR="006628BB" w:rsidRPr="0062291F">
        <w:rPr>
          <w:sz w:val="22"/>
        </w:rPr>
        <w:tab/>
        <w:t xml:space="preserve">Sdružení oboru vodovodů a kanalizací </w:t>
      </w:r>
      <w:proofErr w:type="gramStart"/>
      <w:r w:rsidR="006628BB" w:rsidRPr="0062291F">
        <w:rPr>
          <w:sz w:val="22"/>
        </w:rPr>
        <w:t xml:space="preserve">ČR, </w:t>
      </w:r>
      <w:proofErr w:type="spellStart"/>
      <w:r w:rsidR="006628BB" w:rsidRPr="0062291F">
        <w:rPr>
          <w:sz w:val="22"/>
        </w:rPr>
        <w:t>z.s</w:t>
      </w:r>
      <w:proofErr w:type="spellEnd"/>
      <w:r w:rsidR="006628BB" w:rsidRPr="0062291F">
        <w:rPr>
          <w:sz w:val="22"/>
        </w:rPr>
        <w:t>.</w:t>
      </w:r>
      <w:proofErr w:type="gramEnd"/>
    </w:p>
    <w:p w14:paraId="29713B9A" w14:textId="77777777" w:rsidR="00DD338D" w:rsidRPr="0062291F" w:rsidRDefault="00DD338D" w:rsidP="00FD5C1F">
      <w:pPr>
        <w:tabs>
          <w:tab w:val="left" w:pos="3544"/>
        </w:tabs>
        <w:spacing w:after="0"/>
        <w:rPr>
          <w:sz w:val="22"/>
        </w:rPr>
      </w:pPr>
      <w:r w:rsidRPr="0062291F">
        <w:rPr>
          <w:sz w:val="22"/>
        </w:rPr>
        <w:t>SRS</w:t>
      </w:r>
      <w:r w:rsidRPr="0062291F">
        <w:rPr>
          <w:sz w:val="22"/>
        </w:rPr>
        <w:tab/>
        <w:t>Státní rostlinolékařská správa</w:t>
      </w:r>
    </w:p>
    <w:p w14:paraId="78085836" w14:textId="77777777" w:rsidR="00460A9C" w:rsidRPr="0062291F" w:rsidRDefault="00460A9C" w:rsidP="00FD5C1F">
      <w:pPr>
        <w:tabs>
          <w:tab w:val="left" w:pos="3544"/>
        </w:tabs>
        <w:spacing w:after="0"/>
        <w:rPr>
          <w:sz w:val="22"/>
        </w:rPr>
      </w:pPr>
      <w:r w:rsidRPr="0062291F">
        <w:rPr>
          <w:sz w:val="22"/>
        </w:rPr>
        <w:t>SZÚ</w:t>
      </w:r>
      <w:r w:rsidR="006628BB" w:rsidRPr="0062291F">
        <w:rPr>
          <w:sz w:val="22"/>
        </w:rPr>
        <w:tab/>
      </w:r>
      <w:r w:rsidR="006628BB" w:rsidRPr="0062291F">
        <w:rPr>
          <w:sz w:val="22"/>
          <w:lang w:eastAsia="cs-CZ"/>
        </w:rPr>
        <w:t>Státní zdravotní ústav</w:t>
      </w:r>
    </w:p>
    <w:p w14:paraId="732D0494" w14:textId="77777777" w:rsidR="00356965" w:rsidRPr="0062291F" w:rsidRDefault="00460A9C" w:rsidP="00FD5C1F">
      <w:pPr>
        <w:tabs>
          <w:tab w:val="left" w:pos="3544"/>
        </w:tabs>
        <w:spacing w:after="0"/>
        <w:rPr>
          <w:sz w:val="22"/>
        </w:rPr>
      </w:pPr>
      <w:r w:rsidRPr="0062291F">
        <w:rPr>
          <w:sz w:val="22"/>
        </w:rPr>
        <w:t>ÚKZÚZ</w:t>
      </w:r>
      <w:r w:rsidR="006628BB" w:rsidRPr="0062291F">
        <w:rPr>
          <w:sz w:val="22"/>
        </w:rPr>
        <w:tab/>
        <w:t>Ústřední kontrolní a zkušební ústav zemědělský</w:t>
      </w:r>
    </w:p>
    <w:p w14:paraId="21159070" w14:textId="77777777" w:rsidR="00DD338D" w:rsidRPr="0062291F" w:rsidRDefault="00DD338D" w:rsidP="00FD5C1F">
      <w:pPr>
        <w:tabs>
          <w:tab w:val="left" w:pos="3544"/>
        </w:tabs>
        <w:spacing w:after="0"/>
        <w:rPr>
          <w:sz w:val="22"/>
        </w:rPr>
      </w:pPr>
      <w:r w:rsidRPr="0062291F">
        <w:rPr>
          <w:sz w:val="22"/>
        </w:rPr>
        <w:t>Ústav</w:t>
      </w:r>
      <w:r w:rsidRPr="0062291F">
        <w:rPr>
          <w:sz w:val="22"/>
        </w:rPr>
        <w:tab/>
        <w:t>Ústřední kontrolní a zkušební ústav zemědělský</w:t>
      </w:r>
    </w:p>
    <w:p w14:paraId="5352D71A" w14:textId="77777777" w:rsidR="00DB24E5" w:rsidRDefault="00DB24E5" w:rsidP="00F53435">
      <w:pPr>
        <w:tabs>
          <w:tab w:val="left" w:pos="3544"/>
        </w:tabs>
        <w:spacing w:after="60"/>
        <w:rPr>
          <w:b/>
          <w:szCs w:val="24"/>
        </w:rPr>
      </w:pPr>
    </w:p>
    <w:p w14:paraId="2C12E60D" w14:textId="77777777" w:rsidR="0062291F" w:rsidRDefault="0062291F" w:rsidP="00F53435">
      <w:pPr>
        <w:tabs>
          <w:tab w:val="left" w:pos="3544"/>
        </w:tabs>
        <w:spacing w:after="60"/>
        <w:rPr>
          <w:b/>
          <w:szCs w:val="24"/>
        </w:rPr>
      </w:pPr>
    </w:p>
    <w:p w14:paraId="6C103FE3" w14:textId="77777777" w:rsidR="0062291F" w:rsidRDefault="0062291F" w:rsidP="00F53435">
      <w:pPr>
        <w:tabs>
          <w:tab w:val="left" w:pos="3544"/>
        </w:tabs>
        <w:spacing w:after="60"/>
        <w:rPr>
          <w:b/>
          <w:szCs w:val="24"/>
        </w:rPr>
      </w:pPr>
    </w:p>
    <w:p w14:paraId="466FC606" w14:textId="77777777" w:rsidR="00F53435" w:rsidRDefault="009D1F41" w:rsidP="00F53435">
      <w:pPr>
        <w:tabs>
          <w:tab w:val="left" w:pos="3544"/>
        </w:tabs>
        <w:spacing w:after="60"/>
        <w:rPr>
          <w:b/>
          <w:szCs w:val="24"/>
        </w:rPr>
      </w:pPr>
      <w:r w:rsidRPr="009F54F5">
        <w:rPr>
          <w:b/>
          <w:szCs w:val="24"/>
        </w:rPr>
        <w:lastRenderedPageBreak/>
        <w:t>Seznam příloh</w:t>
      </w:r>
    </w:p>
    <w:p w14:paraId="490CB703" w14:textId="77777777" w:rsidR="00196CB7" w:rsidRDefault="00040EAC" w:rsidP="00F53435">
      <w:pPr>
        <w:tabs>
          <w:tab w:val="left" w:pos="3544"/>
        </w:tabs>
        <w:spacing w:after="60"/>
        <w:rPr>
          <w:rStyle w:val="Hypertextovodkaz"/>
        </w:rPr>
      </w:pPr>
      <w:r w:rsidRPr="00040EAC">
        <w:rPr>
          <w:szCs w:val="24"/>
        </w:rPr>
        <w:t xml:space="preserve">Příloha č. 1: </w:t>
      </w:r>
      <w:r>
        <w:rPr>
          <w:szCs w:val="24"/>
        </w:rPr>
        <w:t>Kvalita podzemních a povrchových vod –</w:t>
      </w:r>
      <w:r w:rsidR="0014599C">
        <w:rPr>
          <w:szCs w:val="24"/>
        </w:rPr>
        <w:t xml:space="preserve"> </w:t>
      </w:r>
      <w:r w:rsidR="0014599C" w:rsidRPr="0062291F">
        <w:rPr>
          <w:i/>
          <w:szCs w:val="24"/>
        </w:rPr>
        <w:t>příloha je</w:t>
      </w:r>
      <w:r>
        <w:rPr>
          <w:szCs w:val="24"/>
        </w:rPr>
        <w:t xml:space="preserve"> </w:t>
      </w:r>
      <w:r w:rsidRPr="00040EAC">
        <w:rPr>
          <w:i/>
          <w:szCs w:val="24"/>
        </w:rPr>
        <w:t>dostupná pouze online</w:t>
      </w:r>
    </w:p>
    <w:p w14:paraId="07D5B7F9" w14:textId="77777777" w:rsidR="00DB24E5" w:rsidRDefault="007145CB" w:rsidP="00F53435">
      <w:pPr>
        <w:tabs>
          <w:tab w:val="left" w:pos="3544"/>
        </w:tabs>
        <w:spacing w:after="60"/>
      </w:pPr>
      <w:hyperlink r:id="rId28" w:history="1">
        <w:r w:rsidR="00DB24E5" w:rsidRPr="00BF2A01">
          <w:rPr>
            <w:rStyle w:val="Hypertextovodkaz"/>
          </w:rPr>
          <w:t>https://www.nku.cz/scripts/detail.php?id=11898</w:t>
        </w:r>
      </w:hyperlink>
    </w:p>
    <w:p w14:paraId="2CFF82AE" w14:textId="77777777" w:rsidR="00040EAC" w:rsidRDefault="00040EAC" w:rsidP="00F53435">
      <w:pPr>
        <w:tabs>
          <w:tab w:val="left" w:pos="3544"/>
        </w:tabs>
        <w:spacing w:after="60"/>
      </w:pPr>
      <w:r>
        <w:t xml:space="preserve">Příloha č. 2: Cíle </w:t>
      </w:r>
      <w:r w:rsidR="00FE24D3">
        <w:t>n</w:t>
      </w:r>
      <w:r>
        <w:t>árodních akčních plánů</w:t>
      </w:r>
    </w:p>
    <w:p w14:paraId="61452207" w14:textId="77777777" w:rsidR="00040EAC" w:rsidRDefault="00040EAC" w:rsidP="00F53435">
      <w:pPr>
        <w:tabs>
          <w:tab w:val="left" w:pos="3544"/>
        </w:tabs>
        <w:spacing w:after="60"/>
      </w:pPr>
      <w:r>
        <w:t>Příloha č. 3: Kvantitativní hodnot</w:t>
      </w:r>
      <w:r w:rsidR="00FE24D3">
        <w:t>i</w:t>
      </w:r>
      <w:r>
        <w:t xml:space="preserve">cí ukazatele </w:t>
      </w:r>
      <w:r w:rsidR="00FE24D3">
        <w:t>n</w:t>
      </w:r>
      <w:r>
        <w:t>árodních akčních plánů</w:t>
      </w:r>
    </w:p>
    <w:p w14:paraId="3437580F" w14:textId="77777777" w:rsidR="00040EAC" w:rsidRDefault="00040EAC" w:rsidP="00F53435">
      <w:pPr>
        <w:tabs>
          <w:tab w:val="left" w:pos="3544"/>
        </w:tabs>
        <w:spacing w:after="60"/>
      </w:pPr>
      <w:r>
        <w:t xml:space="preserve">Příloha č. 4: Opatření </w:t>
      </w:r>
      <w:r w:rsidR="00FE24D3">
        <w:t>n</w:t>
      </w:r>
      <w:r>
        <w:t>árodních akčních plánů</w:t>
      </w:r>
    </w:p>
    <w:p w14:paraId="4A3A1868" w14:textId="77777777" w:rsidR="009F54F5" w:rsidRDefault="009F54F5" w:rsidP="00F53435">
      <w:pPr>
        <w:tabs>
          <w:tab w:val="left" w:pos="3544"/>
        </w:tabs>
        <w:spacing w:after="60"/>
        <w:rPr>
          <w:b/>
          <w:szCs w:val="24"/>
        </w:rPr>
      </w:pPr>
    </w:p>
    <w:p w14:paraId="31C72945" w14:textId="77777777" w:rsidR="00AE7347" w:rsidRDefault="00AE7347" w:rsidP="00F53435">
      <w:pPr>
        <w:tabs>
          <w:tab w:val="left" w:pos="3544"/>
        </w:tabs>
        <w:spacing w:after="60"/>
        <w:rPr>
          <w:b/>
          <w:szCs w:val="24"/>
        </w:rPr>
      </w:pPr>
    </w:p>
    <w:p w14:paraId="40870D97" w14:textId="77777777" w:rsidR="00AE7347" w:rsidRDefault="00AE7347" w:rsidP="00F53435">
      <w:pPr>
        <w:tabs>
          <w:tab w:val="left" w:pos="3544"/>
        </w:tabs>
        <w:spacing w:after="60"/>
        <w:rPr>
          <w:b/>
          <w:szCs w:val="24"/>
        </w:rPr>
        <w:sectPr w:rsidR="00AE7347" w:rsidSect="00574359">
          <w:type w:val="continuous"/>
          <w:pgSz w:w="11906" w:h="16838"/>
          <w:pgMar w:top="1417" w:right="1417" w:bottom="1417" w:left="1417" w:header="708" w:footer="708" w:gutter="0"/>
          <w:cols w:space="708"/>
          <w:titlePg/>
          <w:docGrid w:linePitch="360"/>
        </w:sectPr>
      </w:pPr>
    </w:p>
    <w:p w14:paraId="18212550" w14:textId="77777777" w:rsidR="00AE7347" w:rsidRPr="00AE7347" w:rsidRDefault="00AE7347" w:rsidP="00AE7347">
      <w:pPr>
        <w:spacing w:after="0"/>
        <w:rPr>
          <w:rFonts w:ascii="Calibri" w:eastAsia="Times New Roman" w:hAnsi="Calibri" w:cs="Times New Roman"/>
          <w:b/>
          <w:szCs w:val="24"/>
        </w:rPr>
      </w:pPr>
      <w:r w:rsidRPr="00AE7347">
        <w:rPr>
          <w:rFonts w:ascii="Calibri" w:eastAsia="Times New Roman" w:hAnsi="Calibri" w:cs="Times New Roman"/>
          <w:b/>
          <w:szCs w:val="24"/>
        </w:rPr>
        <w:lastRenderedPageBreak/>
        <w:t xml:space="preserve">Nastavení cíle I. a jeho vybraných dílčích cílů </w:t>
      </w:r>
      <w:r w:rsidR="0014599C">
        <w:rPr>
          <w:rFonts w:ascii="Calibri" w:eastAsia="Times New Roman" w:hAnsi="Calibri" w:cs="Times New Roman"/>
          <w:b/>
          <w:szCs w:val="24"/>
        </w:rPr>
        <w:t xml:space="preserve">v </w:t>
      </w:r>
      <w:r w:rsidRPr="00AE7347">
        <w:rPr>
          <w:rFonts w:ascii="Calibri" w:eastAsia="Times New Roman" w:hAnsi="Calibri" w:cs="Times New Roman"/>
          <w:b/>
          <w:szCs w:val="24"/>
        </w:rPr>
        <w:t xml:space="preserve">NAP 2013–2017 a </w:t>
      </w:r>
      <w:r w:rsidR="0014599C">
        <w:rPr>
          <w:rFonts w:ascii="Calibri" w:eastAsia="Times New Roman" w:hAnsi="Calibri" w:cs="Times New Roman"/>
          <w:b/>
          <w:szCs w:val="24"/>
        </w:rPr>
        <w:t xml:space="preserve">v </w:t>
      </w:r>
      <w:r w:rsidRPr="00AE7347">
        <w:rPr>
          <w:rFonts w:ascii="Calibri" w:eastAsia="Times New Roman" w:hAnsi="Calibri" w:cs="Times New Roman"/>
          <w:b/>
          <w:szCs w:val="24"/>
        </w:rPr>
        <w:t xml:space="preserve">NAP 2018–2022 včetně způsobu jejich plnění a přiřazených specifických indikátorů </w:t>
      </w:r>
    </w:p>
    <w:p w14:paraId="4AA11E2B" w14:textId="77777777" w:rsidR="00AE7347" w:rsidRPr="00AE7347" w:rsidRDefault="00AE7347" w:rsidP="00AE7347">
      <w:pPr>
        <w:spacing w:after="0"/>
        <w:jc w:val="left"/>
        <w:rPr>
          <w:rFonts w:ascii="Calibri" w:eastAsia="Times New Roman" w:hAnsi="Calibri" w:cs="Times New Roman"/>
          <w:szCs w:val="24"/>
        </w:rPr>
      </w:pPr>
    </w:p>
    <w:tbl>
      <w:tblPr>
        <w:tblStyle w:val="Mkatabulky"/>
        <w:tblW w:w="0" w:type="auto"/>
        <w:tblLook w:val="04A0" w:firstRow="1" w:lastRow="0" w:firstColumn="1" w:lastColumn="0" w:noHBand="0" w:noVBand="1"/>
      </w:tblPr>
      <w:tblGrid>
        <w:gridCol w:w="1152"/>
        <w:gridCol w:w="6118"/>
        <w:gridCol w:w="6872"/>
      </w:tblGrid>
      <w:tr w:rsidR="00AE7347" w:rsidRPr="00AE7347" w14:paraId="35DA9A2C" w14:textId="77777777" w:rsidTr="00714253">
        <w:tc>
          <w:tcPr>
            <w:tcW w:w="7270" w:type="dxa"/>
            <w:gridSpan w:val="2"/>
            <w:shd w:val="clear" w:color="auto" w:fill="E5F1FF"/>
            <w:vAlign w:val="center"/>
          </w:tcPr>
          <w:p w14:paraId="220F22A0" w14:textId="77777777" w:rsidR="00AE7347" w:rsidRPr="00AE7347" w:rsidRDefault="00AE7347" w:rsidP="00E84AF0">
            <w:pPr>
              <w:jc w:val="center"/>
              <w:rPr>
                <w:rFonts w:ascii="Calibri" w:eastAsia="Times New Roman" w:hAnsi="Calibri" w:cs="Times New Roman"/>
                <w:sz w:val="22"/>
              </w:rPr>
            </w:pPr>
            <w:r w:rsidRPr="00AE7347">
              <w:rPr>
                <w:rFonts w:ascii="Calibri" w:eastAsia="Times New Roman" w:hAnsi="Calibri" w:cs="Times New Roman"/>
                <w:b/>
                <w:sz w:val="22"/>
              </w:rPr>
              <w:t>NAP 2013–2017</w:t>
            </w:r>
          </w:p>
        </w:tc>
        <w:tc>
          <w:tcPr>
            <w:tcW w:w="6872" w:type="dxa"/>
            <w:shd w:val="clear" w:color="auto" w:fill="E5F1FF"/>
            <w:vAlign w:val="center"/>
          </w:tcPr>
          <w:p w14:paraId="39B02725" w14:textId="77777777" w:rsidR="00AE7347" w:rsidRPr="00AE7347" w:rsidRDefault="00AE7347" w:rsidP="00E84AF0">
            <w:pPr>
              <w:jc w:val="center"/>
              <w:rPr>
                <w:rFonts w:ascii="Calibri" w:eastAsia="Times New Roman" w:hAnsi="Calibri" w:cs="Times New Roman"/>
                <w:sz w:val="22"/>
              </w:rPr>
            </w:pPr>
            <w:r w:rsidRPr="00AE7347">
              <w:rPr>
                <w:rFonts w:ascii="Calibri" w:eastAsia="Times New Roman" w:hAnsi="Calibri" w:cs="Times New Roman"/>
                <w:b/>
                <w:sz w:val="22"/>
              </w:rPr>
              <w:t>NAP 2018–2022</w:t>
            </w:r>
          </w:p>
        </w:tc>
      </w:tr>
      <w:tr w:rsidR="00AE7347" w:rsidRPr="00AE7347" w14:paraId="64FB96F8" w14:textId="77777777" w:rsidTr="00714253">
        <w:tc>
          <w:tcPr>
            <w:tcW w:w="14142" w:type="dxa"/>
            <w:gridSpan w:val="3"/>
            <w:shd w:val="clear" w:color="auto" w:fill="A6A6A6"/>
          </w:tcPr>
          <w:p w14:paraId="1E595AC2"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Cíl I. Omezení rizik spojených s používáním přípravků</w:t>
            </w:r>
          </w:p>
        </w:tc>
      </w:tr>
      <w:tr w:rsidR="00AE7347" w:rsidRPr="00AE7347" w14:paraId="6852E74F" w14:textId="77777777" w:rsidTr="00714253">
        <w:tc>
          <w:tcPr>
            <w:tcW w:w="7270" w:type="dxa"/>
            <w:gridSpan w:val="2"/>
            <w:shd w:val="clear" w:color="auto" w:fill="A6A6A6"/>
          </w:tcPr>
          <w:p w14:paraId="22DBA7C6"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Oblast ochrany podzemních a povrchových vod</w:t>
            </w:r>
          </w:p>
        </w:tc>
        <w:tc>
          <w:tcPr>
            <w:tcW w:w="6872" w:type="dxa"/>
            <w:shd w:val="clear" w:color="auto" w:fill="A6A6A6"/>
          </w:tcPr>
          <w:p w14:paraId="5FC01E2F"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 xml:space="preserve">Oblast ochrany podzemních a povrchových vod </w:t>
            </w:r>
          </w:p>
        </w:tc>
      </w:tr>
      <w:tr w:rsidR="00AE7347" w:rsidRPr="00AE7347" w14:paraId="4376B52E" w14:textId="77777777" w:rsidTr="00714253">
        <w:tc>
          <w:tcPr>
            <w:tcW w:w="7270" w:type="dxa"/>
            <w:gridSpan w:val="2"/>
            <w:shd w:val="clear" w:color="auto" w:fill="DBDBDB"/>
          </w:tcPr>
          <w:p w14:paraId="4F80B3AA"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e)</w:t>
            </w:r>
          </w:p>
          <w:p w14:paraId="1779652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Přijmout preventivní opatření vedoucí ke snížení výskytu reziduí v povrchových a podzemních vodách s důrazem na zdroje využívané nebo využitelné pro zásobování obyvatelstva pitnou vodou.</w:t>
            </w:r>
          </w:p>
        </w:tc>
        <w:tc>
          <w:tcPr>
            <w:tcW w:w="6872" w:type="dxa"/>
            <w:shd w:val="clear" w:color="auto" w:fill="DBDBDB"/>
          </w:tcPr>
          <w:p w14:paraId="272ABF05"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e)</w:t>
            </w:r>
          </w:p>
          <w:p w14:paraId="2DEEF696"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Přijmout preventivní opatření vedoucí ke snížení výskytu reziduí v</w:t>
            </w:r>
            <w:r w:rsidR="00452E01">
              <w:rPr>
                <w:rFonts w:ascii="Calibri" w:eastAsia="Times New Roman" w:hAnsi="Calibri" w:cs="Times New Roman"/>
                <w:sz w:val="22"/>
              </w:rPr>
              <w:t> </w:t>
            </w:r>
            <w:r w:rsidRPr="00AE7347">
              <w:rPr>
                <w:rFonts w:ascii="Calibri" w:eastAsia="Times New Roman" w:hAnsi="Calibri" w:cs="Times New Roman"/>
                <w:sz w:val="22"/>
              </w:rPr>
              <w:t>povrchových a podzemních vodách s důrazem na zdroje využívané nebo využitelné pro zásobování obyvatelstva pitnou vodou.</w:t>
            </w:r>
          </w:p>
        </w:tc>
      </w:tr>
      <w:tr w:rsidR="00AE7347" w:rsidRPr="00AE7347" w14:paraId="5EFC111D" w14:textId="77777777" w:rsidTr="00714253">
        <w:tc>
          <w:tcPr>
            <w:tcW w:w="1152" w:type="dxa"/>
            <w:vMerge w:val="restart"/>
            <w:shd w:val="clear" w:color="auto" w:fill="C5E0B3"/>
            <w:vAlign w:val="center"/>
          </w:tcPr>
          <w:p w14:paraId="3C1173A3" w14:textId="77777777" w:rsidR="00AE7347" w:rsidRPr="00AE7347" w:rsidRDefault="00AE7347" w:rsidP="00AE7347">
            <w:pPr>
              <w:rPr>
                <w:rFonts w:ascii="Calibri" w:eastAsia="Times New Roman" w:hAnsi="Calibri" w:cs="Times New Roman"/>
                <w:b/>
                <w:sz w:val="22"/>
              </w:rPr>
            </w:pPr>
            <w:r w:rsidRPr="00AE7347">
              <w:rPr>
                <w:rFonts w:ascii="Calibri" w:eastAsia="Times New Roman" w:hAnsi="Calibri" w:cs="Times New Roman"/>
                <w:b/>
                <w:sz w:val="22"/>
              </w:rPr>
              <w:t>Způsob plnění</w:t>
            </w:r>
          </w:p>
        </w:tc>
        <w:tc>
          <w:tcPr>
            <w:tcW w:w="6118" w:type="dxa"/>
            <w:shd w:val="clear" w:color="auto" w:fill="D9D9D9"/>
          </w:tcPr>
          <w:p w14:paraId="048E0A76" w14:textId="5325A34A"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Metodicky a legislativně zajistit provádění vhodných preventivních opatření v ochranných pásmech vodních zdrojů </w:t>
            </w:r>
            <w:r w:rsidR="003A0E52">
              <w:rPr>
                <w:rFonts w:ascii="Calibri" w:eastAsia="Times New Roman" w:hAnsi="Calibri" w:cs="Times New Roman"/>
                <w:sz w:val="22"/>
              </w:rPr>
              <w:br/>
            </w:r>
            <w:r w:rsidRPr="00AE7347">
              <w:rPr>
                <w:rFonts w:ascii="Calibri" w:eastAsia="Times New Roman" w:hAnsi="Calibri" w:cs="Times New Roman"/>
                <w:sz w:val="22"/>
              </w:rPr>
              <w:t>a</w:t>
            </w:r>
            <w:r w:rsidR="003A0E52">
              <w:rPr>
                <w:rFonts w:ascii="Calibri" w:eastAsia="Times New Roman" w:hAnsi="Calibri" w:cs="Times New Roman"/>
                <w:sz w:val="22"/>
              </w:rPr>
              <w:t xml:space="preserve"> </w:t>
            </w:r>
            <w:r w:rsidRPr="00AE7347">
              <w:rPr>
                <w:rFonts w:ascii="Calibri" w:eastAsia="Times New Roman" w:hAnsi="Calibri" w:cs="Times New Roman"/>
                <w:sz w:val="22"/>
              </w:rPr>
              <w:t>zajistit dostupnost aktuálních informací o vyhlášených ochranných pásmech pro hospodařící subjekty – např. formou mapové vrstvy v LPIS.</w:t>
            </w:r>
          </w:p>
        </w:tc>
        <w:tc>
          <w:tcPr>
            <w:tcW w:w="6872" w:type="dxa"/>
            <w:shd w:val="clear" w:color="auto" w:fill="D9D9D9"/>
          </w:tcPr>
          <w:p w14:paraId="583406F7" w14:textId="77777777" w:rsidR="00AE7347" w:rsidRPr="00AE7347" w:rsidRDefault="00AE7347">
            <w:pPr>
              <w:rPr>
                <w:rFonts w:ascii="Calibri" w:eastAsia="Times New Roman" w:hAnsi="Calibri" w:cs="Times New Roman"/>
                <w:sz w:val="22"/>
              </w:rPr>
            </w:pPr>
            <w:r w:rsidRPr="00AE7347">
              <w:rPr>
                <w:rFonts w:ascii="Calibri" w:eastAsia="Times New Roman" w:hAnsi="Calibri" w:cs="Times New Roman"/>
                <w:sz w:val="22"/>
              </w:rPr>
              <w:t>Podpořit výzkum v oblasti vyhodnocení vztahů mezi způsobem hospodaření, kvalitou půdy, klimatickými podmínkami, aplikací POR a</w:t>
            </w:r>
            <w:r w:rsidR="00452E01">
              <w:rPr>
                <w:rFonts w:ascii="Calibri" w:eastAsia="Times New Roman" w:hAnsi="Calibri" w:cs="Times New Roman"/>
                <w:sz w:val="22"/>
              </w:rPr>
              <w:t> </w:t>
            </w:r>
            <w:r w:rsidRPr="00AE7347">
              <w:rPr>
                <w:rFonts w:ascii="Calibri" w:eastAsia="Times New Roman" w:hAnsi="Calibri" w:cs="Times New Roman"/>
                <w:sz w:val="22"/>
              </w:rPr>
              <w:t xml:space="preserve">následným výskytem reziduí ve vodách. </w:t>
            </w:r>
          </w:p>
        </w:tc>
      </w:tr>
      <w:tr w:rsidR="00AE7347" w:rsidRPr="00AE7347" w14:paraId="6A7FC032" w14:textId="77777777" w:rsidTr="00714253">
        <w:tc>
          <w:tcPr>
            <w:tcW w:w="1152" w:type="dxa"/>
            <w:vMerge/>
            <w:shd w:val="clear" w:color="auto" w:fill="C5E0B3"/>
          </w:tcPr>
          <w:p w14:paraId="07296825"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5A8D086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 xml:space="preserve">Legislativně upravit použití </w:t>
            </w:r>
            <w:proofErr w:type="spellStart"/>
            <w:r w:rsidRPr="00AE7347">
              <w:rPr>
                <w:rFonts w:ascii="Calibri" w:eastAsia="Times New Roman" w:hAnsi="Calibri" w:cs="Times New Roman"/>
                <w:sz w:val="22"/>
              </w:rPr>
              <w:t>nízkoúletových</w:t>
            </w:r>
            <w:proofErr w:type="spellEnd"/>
            <w:r w:rsidRPr="00AE7347">
              <w:rPr>
                <w:rFonts w:ascii="Calibri" w:eastAsia="Times New Roman" w:hAnsi="Calibri" w:cs="Times New Roman"/>
                <w:sz w:val="22"/>
              </w:rPr>
              <w:t xml:space="preserve"> technologií a způsob dodržení požadavků na používání přípravků v ochranných vzdálenostech od zdrojů vod založený zejména na agrotechnických opatřeních.</w:t>
            </w:r>
          </w:p>
        </w:tc>
        <w:tc>
          <w:tcPr>
            <w:tcW w:w="6872" w:type="dxa"/>
            <w:shd w:val="clear" w:color="auto" w:fill="D9D9D9"/>
          </w:tcPr>
          <w:p w14:paraId="6F88B474"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Metodicky zajistit agrotechnické zásady aplikace POR v OPVZ z hlediska ochrany vod s ohledem na konkrétní geologické, terénní a klimatické podmínky a typ a druh půdy.</w:t>
            </w:r>
          </w:p>
        </w:tc>
      </w:tr>
      <w:tr w:rsidR="00AE7347" w:rsidRPr="00AE7347" w14:paraId="1639F87D" w14:textId="77777777" w:rsidTr="00714253">
        <w:tc>
          <w:tcPr>
            <w:tcW w:w="1152" w:type="dxa"/>
            <w:vMerge/>
            <w:shd w:val="clear" w:color="auto" w:fill="C5E0B3"/>
          </w:tcPr>
          <w:p w14:paraId="41FD3A52"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2AB334CE"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Zajistit větší komunikaci mezi orgány státní správy, profesionálními uživateli přípravků a vodohospodáři, zejména pokud jde o dostupnost informací o relevantních metabolitech účinných látek přípravků, metodách jejich analytického stanovení a toxikologických vlastnostech.</w:t>
            </w:r>
          </w:p>
        </w:tc>
        <w:tc>
          <w:tcPr>
            <w:tcW w:w="6872" w:type="dxa"/>
            <w:shd w:val="clear" w:color="auto" w:fill="D9D9D9"/>
          </w:tcPr>
          <w:p w14:paraId="37FD9495"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Zajistit systematickou podporu udržování a zlepšování a ochrany vlastností půdy z hlediska sorpčních vlastností s cílem prevence vyplavování reziduí POR (</w:t>
            </w:r>
            <w:proofErr w:type="spellStart"/>
            <w:r w:rsidRPr="00AE7347">
              <w:rPr>
                <w:rFonts w:ascii="Calibri" w:eastAsia="Times New Roman" w:hAnsi="Calibri" w:cs="Times New Roman"/>
                <w:sz w:val="22"/>
              </w:rPr>
              <w:t>utuženost</w:t>
            </w:r>
            <w:proofErr w:type="spellEnd"/>
            <w:r w:rsidRPr="00AE7347">
              <w:rPr>
                <w:rFonts w:ascii="Calibri" w:eastAsia="Times New Roman" w:hAnsi="Calibri" w:cs="Times New Roman"/>
                <w:sz w:val="22"/>
              </w:rPr>
              <w:t>, obsah humusu, protierozní opatření apod.).</w:t>
            </w:r>
          </w:p>
        </w:tc>
      </w:tr>
      <w:tr w:rsidR="00AE7347" w:rsidRPr="00AE7347" w14:paraId="51A6D358" w14:textId="77777777" w:rsidTr="00714253">
        <w:tc>
          <w:tcPr>
            <w:tcW w:w="1152" w:type="dxa"/>
            <w:vMerge/>
            <w:shd w:val="clear" w:color="auto" w:fill="C5E0B3"/>
          </w:tcPr>
          <w:p w14:paraId="48FE9D84"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6AED9D14" w14:textId="0DCC6E0F"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Zlepšit osvětu a komunikaci mezi profesionálními uživateli přípravků hospodařícími v ochranných pásmech vodních </w:t>
            </w:r>
            <w:r w:rsidR="00452E01">
              <w:rPr>
                <w:rFonts w:ascii="Calibri" w:eastAsia="Times New Roman" w:hAnsi="Calibri" w:cs="Times New Roman"/>
                <w:sz w:val="22"/>
              </w:rPr>
              <w:br/>
            </w:r>
            <w:r w:rsidRPr="00AE7347">
              <w:rPr>
                <w:rFonts w:ascii="Calibri" w:eastAsia="Times New Roman" w:hAnsi="Calibri" w:cs="Times New Roman"/>
                <w:sz w:val="22"/>
              </w:rPr>
              <w:t>zdrojů a</w:t>
            </w:r>
            <w:r w:rsidR="00452E01">
              <w:rPr>
                <w:rFonts w:ascii="Calibri" w:eastAsia="Times New Roman" w:hAnsi="Calibri" w:cs="Times New Roman"/>
                <w:sz w:val="22"/>
              </w:rPr>
              <w:t xml:space="preserve"> </w:t>
            </w:r>
            <w:r w:rsidRPr="00AE7347">
              <w:rPr>
                <w:rFonts w:ascii="Calibri" w:eastAsia="Times New Roman" w:hAnsi="Calibri" w:cs="Times New Roman"/>
                <w:sz w:val="22"/>
              </w:rPr>
              <w:t xml:space="preserve">ochranných vzdálenostech, vodoprávními úřady </w:t>
            </w:r>
            <w:r w:rsidR="003A0E52">
              <w:rPr>
                <w:rFonts w:ascii="Calibri" w:eastAsia="Times New Roman" w:hAnsi="Calibri" w:cs="Times New Roman"/>
                <w:sz w:val="22"/>
              </w:rPr>
              <w:br/>
            </w:r>
            <w:r w:rsidRPr="00AE7347">
              <w:rPr>
                <w:rFonts w:ascii="Calibri" w:eastAsia="Times New Roman" w:hAnsi="Calibri" w:cs="Times New Roman"/>
                <w:sz w:val="22"/>
              </w:rPr>
              <w:t>a</w:t>
            </w:r>
            <w:r w:rsidR="003A0E52">
              <w:rPr>
                <w:rFonts w:ascii="Calibri" w:eastAsia="Times New Roman" w:hAnsi="Calibri" w:cs="Times New Roman"/>
                <w:sz w:val="22"/>
              </w:rPr>
              <w:t xml:space="preserve"> </w:t>
            </w:r>
            <w:r w:rsidRPr="00AE7347">
              <w:rPr>
                <w:rFonts w:ascii="Calibri" w:eastAsia="Times New Roman" w:hAnsi="Calibri" w:cs="Times New Roman"/>
                <w:sz w:val="22"/>
              </w:rPr>
              <w:t>vodohospodáři dobudovat systém odborného poradenství v</w:t>
            </w:r>
            <w:r w:rsidR="00452E01">
              <w:rPr>
                <w:rFonts w:ascii="Calibri" w:eastAsia="Times New Roman" w:hAnsi="Calibri" w:cs="Times New Roman"/>
                <w:sz w:val="22"/>
              </w:rPr>
              <w:t> </w:t>
            </w:r>
            <w:r w:rsidRPr="00AE7347">
              <w:rPr>
                <w:rFonts w:ascii="Calibri" w:eastAsia="Times New Roman" w:hAnsi="Calibri" w:cs="Times New Roman"/>
                <w:sz w:val="22"/>
              </w:rPr>
              <w:t>ochraně rostlin.</w:t>
            </w:r>
          </w:p>
        </w:tc>
        <w:tc>
          <w:tcPr>
            <w:tcW w:w="6872" w:type="dxa"/>
            <w:shd w:val="clear" w:color="auto" w:fill="D9D9D9"/>
          </w:tcPr>
          <w:p w14:paraId="38AFF716" w14:textId="77777777" w:rsidR="00AE7347" w:rsidRPr="00AE7347" w:rsidRDefault="00AE7347">
            <w:pPr>
              <w:rPr>
                <w:rFonts w:ascii="Calibri" w:eastAsia="Times New Roman" w:hAnsi="Calibri" w:cs="Times New Roman"/>
                <w:sz w:val="22"/>
              </w:rPr>
            </w:pPr>
            <w:r w:rsidRPr="00AE7347">
              <w:rPr>
                <w:rFonts w:ascii="Calibri" w:eastAsia="Times New Roman" w:hAnsi="Calibri" w:cs="Times New Roman"/>
                <w:sz w:val="22"/>
              </w:rPr>
              <w:t xml:space="preserve">Zlepšit osvětu a komunikaci mezi profesionálními uživateli přípravků hospodařícími v ochranných pásmech vodních zdrojů a ochranných vzdálenostech, vodoprávními úřady a vodohospodáři přes dobudování dokončené elektronické aktualizace pozemků v OPVZ ve státní správě. Připravit podklady pro zavedení systému vedení evidence použití </w:t>
            </w:r>
            <w:r w:rsidRPr="00AE7347">
              <w:rPr>
                <w:rFonts w:ascii="Calibri" w:eastAsia="Times New Roman" w:hAnsi="Calibri" w:cs="Times New Roman"/>
                <w:sz w:val="22"/>
              </w:rPr>
              <w:lastRenderedPageBreak/>
              <w:t>přípravků na ochranu rostlin dostupné pro ochranu zdrojů pitné vody a</w:t>
            </w:r>
            <w:r w:rsidR="00452E01">
              <w:rPr>
                <w:rFonts w:ascii="Calibri" w:eastAsia="Times New Roman" w:hAnsi="Calibri" w:cs="Times New Roman"/>
                <w:sz w:val="22"/>
              </w:rPr>
              <w:t> </w:t>
            </w:r>
            <w:r w:rsidRPr="00AE7347">
              <w:rPr>
                <w:rFonts w:ascii="Calibri" w:eastAsia="Times New Roman" w:hAnsi="Calibri" w:cs="Times New Roman"/>
                <w:sz w:val="22"/>
              </w:rPr>
              <w:t>subjekty produkující pitnou vodu.</w:t>
            </w:r>
          </w:p>
        </w:tc>
      </w:tr>
      <w:tr w:rsidR="00AE7347" w:rsidRPr="00AE7347" w14:paraId="4210212C" w14:textId="77777777" w:rsidTr="00714253">
        <w:tc>
          <w:tcPr>
            <w:tcW w:w="1152" w:type="dxa"/>
            <w:vMerge/>
            <w:vAlign w:val="center"/>
          </w:tcPr>
          <w:p w14:paraId="0806B455"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0440E0CC"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47FCA343"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Ve smyslu § 30 vodního zákona dokončit vyhlášku pro stanovení OPVZ.</w:t>
            </w:r>
          </w:p>
        </w:tc>
      </w:tr>
      <w:tr w:rsidR="00AE7347" w:rsidRPr="00AE7347" w14:paraId="69702EA4" w14:textId="77777777" w:rsidTr="00714253">
        <w:tc>
          <w:tcPr>
            <w:tcW w:w="1152" w:type="dxa"/>
            <w:vMerge w:val="restart"/>
            <w:shd w:val="clear" w:color="auto" w:fill="F7CAAC"/>
            <w:vAlign w:val="center"/>
          </w:tcPr>
          <w:p w14:paraId="7FD57B08" w14:textId="77777777" w:rsidR="00AE7347" w:rsidRPr="00AE7347" w:rsidRDefault="00AE7347" w:rsidP="00AE7347">
            <w:pPr>
              <w:rPr>
                <w:rFonts w:ascii="Calibri" w:eastAsia="Times New Roman" w:hAnsi="Calibri" w:cs="Times New Roman"/>
                <w:b/>
                <w:sz w:val="22"/>
              </w:rPr>
            </w:pPr>
            <w:r w:rsidRPr="00AE7347">
              <w:rPr>
                <w:rFonts w:ascii="Calibri" w:eastAsia="Times New Roman" w:hAnsi="Calibri" w:cs="Times New Roman"/>
                <w:b/>
                <w:sz w:val="22"/>
              </w:rPr>
              <w:t>Specifické indikátory plnění dílčího cíle</w:t>
            </w:r>
          </w:p>
        </w:tc>
        <w:tc>
          <w:tcPr>
            <w:tcW w:w="6118" w:type="dxa"/>
            <w:shd w:val="clear" w:color="auto" w:fill="D9D9D9"/>
          </w:tcPr>
          <w:p w14:paraId="3BDDF13F"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legislativních úprav a metodik zajišťujících provádění vhodných preventivních opatření</w:t>
            </w:r>
            <w:r w:rsidR="005F73FF">
              <w:rPr>
                <w:rFonts w:ascii="Calibri" w:eastAsia="Times New Roman" w:hAnsi="Calibri" w:cs="Times New Roman"/>
                <w:sz w:val="22"/>
              </w:rPr>
              <w:t>.</w:t>
            </w:r>
          </w:p>
        </w:tc>
        <w:tc>
          <w:tcPr>
            <w:tcW w:w="6872" w:type="dxa"/>
            <w:shd w:val="clear" w:color="auto" w:fill="D9D9D9"/>
          </w:tcPr>
          <w:p w14:paraId="4C7CC3CB"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podpořených projektů v oblasti výzkumu vyhodnocení vztahů mezi způsobem hospodaření, kvalitou půdy, klimatickými podmínkami, aplikací POR a následným výskytem reziduí ve vodách</w:t>
            </w:r>
            <w:r w:rsidR="005F73FF">
              <w:rPr>
                <w:rFonts w:ascii="Calibri" w:eastAsia="Times New Roman" w:hAnsi="Calibri" w:cs="Times New Roman"/>
                <w:sz w:val="22"/>
              </w:rPr>
              <w:t>.</w:t>
            </w:r>
          </w:p>
        </w:tc>
      </w:tr>
      <w:tr w:rsidR="00AE7347" w:rsidRPr="00AE7347" w14:paraId="7B86BF29" w14:textId="77777777" w:rsidTr="00714253">
        <w:tc>
          <w:tcPr>
            <w:tcW w:w="1152" w:type="dxa"/>
            <w:vMerge/>
            <w:shd w:val="clear" w:color="auto" w:fill="F7CAAC"/>
          </w:tcPr>
          <w:p w14:paraId="0FBA3900"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76296C4B"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aktualizací evidence ochranných pásem vodních zdrojů</w:t>
            </w:r>
            <w:r w:rsidR="005F73FF">
              <w:rPr>
                <w:rFonts w:ascii="Calibri" w:eastAsia="Times New Roman" w:hAnsi="Calibri" w:cs="Times New Roman"/>
                <w:sz w:val="22"/>
              </w:rPr>
              <w:t>.</w:t>
            </w:r>
          </w:p>
        </w:tc>
        <w:tc>
          <w:tcPr>
            <w:tcW w:w="6872" w:type="dxa"/>
            <w:shd w:val="clear" w:color="auto" w:fill="D9D9D9"/>
          </w:tcPr>
          <w:p w14:paraId="2E2C7B66"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provedených aktualizací souhrnné evidence ochranných pásem vodních zdrojů vedené dle zákona č. 254/2001 Sb.</w:t>
            </w:r>
          </w:p>
        </w:tc>
      </w:tr>
      <w:tr w:rsidR="00AE7347" w:rsidRPr="00AE7347" w14:paraId="65E95B46" w14:textId="77777777" w:rsidTr="00714253">
        <w:tc>
          <w:tcPr>
            <w:tcW w:w="1152" w:type="dxa"/>
            <w:vMerge/>
            <w:shd w:val="clear" w:color="auto" w:fill="F7CAAC"/>
          </w:tcPr>
          <w:p w14:paraId="7B607031"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3DBD020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nově vyhlášených a úpravy stávajících ochranných pásem vodních zdrojů</w:t>
            </w:r>
            <w:r w:rsidR="005F73FF">
              <w:rPr>
                <w:rFonts w:ascii="Calibri" w:eastAsia="Times New Roman" w:hAnsi="Calibri" w:cs="Times New Roman"/>
                <w:sz w:val="22"/>
              </w:rPr>
              <w:t>.</w:t>
            </w:r>
          </w:p>
        </w:tc>
        <w:tc>
          <w:tcPr>
            <w:tcW w:w="6872" w:type="dxa"/>
            <w:shd w:val="clear" w:color="auto" w:fill="D9D9D9"/>
          </w:tcPr>
          <w:p w14:paraId="1702EA75"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seminářů, publikací a workshopů zaměřených na předávání informací o výskytu reziduí POR ve vodách mezi vodoprávními úřady, hospodařícími společnostmi a vodohospodáři</w:t>
            </w:r>
            <w:r w:rsidR="005F73FF">
              <w:rPr>
                <w:rFonts w:ascii="Calibri" w:eastAsia="Times New Roman" w:hAnsi="Calibri" w:cs="Times New Roman"/>
                <w:sz w:val="22"/>
              </w:rPr>
              <w:t>.</w:t>
            </w:r>
          </w:p>
        </w:tc>
      </w:tr>
      <w:tr w:rsidR="00AE7347" w:rsidRPr="00AE7347" w14:paraId="1038D6E5" w14:textId="77777777" w:rsidTr="00714253">
        <w:tc>
          <w:tcPr>
            <w:tcW w:w="1152" w:type="dxa"/>
            <w:vMerge/>
            <w:shd w:val="clear" w:color="auto" w:fill="F7CAAC"/>
          </w:tcPr>
          <w:p w14:paraId="445F854A"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1F894133"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seminářů, publikací a workshopů zaměřených na předávání informací o relevantních metabolitech účinných látek přípravků, metodách jejich analytického stanovení a toxikologických vlastnostech</w:t>
            </w:r>
            <w:r w:rsidR="005F73FF">
              <w:rPr>
                <w:rFonts w:ascii="Calibri" w:eastAsia="Times New Roman" w:hAnsi="Calibri" w:cs="Times New Roman"/>
                <w:sz w:val="22"/>
              </w:rPr>
              <w:t>.</w:t>
            </w:r>
          </w:p>
        </w:tc>
        <w:tc>
          <w:tcPr>
            <w:tcW w:w="6872" w:type="dxa"/>
            <w:shd w:val="clear" w:color="auto" w:fill="D9D9D9"/>
          </w:tcPr>
          <w:p w14:paraId="6F9708C8"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seminářů, publikací a workshopů zaměřených na agrotechnické zásady aplikace POR ve vztahu k ochraně vod</w:t>
            </w:r>
            <w:r w:rsidR="005F73FF">
              <w:rPr>
                <w:rFonts w:ascii="Calibri" w:eastAsia="Times New Roman" w:hAnsi="Calibri" w:cs="Times New Roman"/>
                <w:sz w:val="22"/>
              </w:rPr>
              <w:t>.</w:t>
            </w:r>
          </w:p>
        </w:tc>
      </w:tr>
      <w:tr w:rsidR="00AE7347" w:rsidRPr="00AE7347" w14:paraId="7FCAE260" w14:textId="77777777" w:rsidTr="00714253">
        <w:tc>
          <w:tcPr>
            <w:tcW w:w="1152" w:type="dxa"/>
            <w:vMerge/>
            <w:shd w:val="clear" w:color="auto" w:fill="F7CAAC"/>
          </w:tcPr>
          <w:p w14:paraId="6F98DAF1"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561441E4"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seminářů, publikací a workshopů zaměřených na předávání informací mezi vodoprávními úřady a vodohospodáři</w:t>
            </w:r>
            <w:r w:rsidR="005F73FF">
              <w:rPr>
                <w:rFonts w:ascii="Calibri" w:eastAsia="Times New Roman" w:hAnsi="Calibri" w:cs="Times New Roman"/>
                <w:sz w:val="22"/>
              </w:rPr>
              <w:t>.</w:t>
            </w:r>
          </w:p>
        </w:tc>
        <w:tc>
          <w:tcPr>
            <w:tcW w:w="6872" w:type="dxa"/>
            <w:shd w:val="clear" w:color="auto" w:fill="D9D9D9"/>
          </w:tcPr>
          <w:p w14:paraId="6230A8DC"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Zabezpečení realizace legislativních nebo podpůrných nástrojů pro zajištění a podporu ochrany příznivých vlastností půdy</w:t>
            </w:r>
            <w:r w:rsidR="005F73FF">
              <w:rPr>
                <w:rFonts w:ascii="Calibri" w:eastAsia="Times New Roman" w:hAnsi="Calibri" w:cs="Times New Roman"/>
                <w:sz w:val="22"/>
              </w:rPr>
              <w:t>.</w:t>
            </w:r>
          </w:p>
        </w:tc>
      </w:tr>
      <w:tr w:rsidR="00AE7347" w:rsidRPr="00AE7347" w14:paraId="5CF4B539" w14:textId="77777777" w:rsidTr="00714253">
        <w:tc>
          <w:tcPr>
            <w:tcW w:w="1152" w:type="dxa"/>
            <w:vMerge/>
            <w:shd w:val="clear" w:color="auto" w:fill="F7CAAC"/>
          </w:tcPr>
          <w:p w14:paraId="255B70A4"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3FFD0F7B"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6A47BB98"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 xml:space="preserve">Počet vodních útvarů s nadlimitním výskytem reziduí POR </w:t>
            </w:r>
            <w:r w:rsidR="00452E01">
              <w:rPr>
                <w:rFonts w:ascii="Calibri" w:eastAsia="Times New Roman" w:hAnsi="Calibri" w:cs="Times New Roman"/>
                <w:sz w:val="22"/>
              </w:rPr>
              <w:t xml:space="preserve">– </w:t>
            </w:r>
            <w:r w:rsidRPr="00AE7347">
              <w:rPr>
                <w:rFonts w:ascii="Calibri" w:eastAsia="Times New Roman" w:hAnsi="Calibri" w:cs="Times New Roman"/>
                <w:sz w:val="22"/>
              </w:rPr>
              <w:t>překročením norem environmentální kvality, na základě přítomnosti reziduí</w:t>
            </w:r>
            <w:r w:rsidRPr="00AE7347">
              <w:rPr>
                <w:rFonts w:ascii="Calibri" w:eastAsia="Times New Roman" w:hAnsi="Calibri" w:cs="Times New Roman"/>
                <w:sz w:val="22"/>
                <w:vertAlign w:val="superscript"/>
              </w:rPr>
              <w:footnoteReference w:id="43"/>
            </w:r>
            <w:r w:rsidR="005F73FF">
              <w:rPr>
                <w:rFonts w:ascii="Calibri" w:eastAsia="Times New Roman" w:hAnsi="Calibri" w:cs="Times New Roman"/>
                <w:sz w:val="22"/>
              </w:rPr>
              <w:t>.</w:t>
            </w:r>
          </w:p>
        </w:tc>
      </w:tr>
      <w:tr w:rsidR="00AE7347" w:rsidRPr="00AE7347" w14:paraId="32F53AF8" w14:textId="77777777" w:rsidTr="00714253">
        <w:tc>
          <w:tcPr>
            <w:tcW w:w="1152" w:type="dxa"/>
            <w:vMerge/>
            <w:shd w:val="clear" w:color="auto" w:fill="F7CAAC"/>
          </w:tcPr>
          <w:p w14:paraId="32D920FA"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ED2E56B"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0BB82878"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Dokončení elektronické evidence pozemků v OPVZ ve státní správě</w:t>
            </w:r>
            <w:r w:rsidR="005F73FF">
              <w:rPr>
                <w:rFonts w:ascii="Calibri" w:eastAsia="Times New Roman" w:hAnsi="Calibri" w:cs="Times New Roman"/>
                <w:sz w:val="22"/>
              </w:rPr>
              <w:t>.</w:t>
            </w:r>
          </w:p>
        </w:tc>
      </w:tr>
      <w:tr w:rsidR="00AE7347" w:rsidRPr="00AE7347" w14:paraId="579A4194" w14:textId="77777777" w:rsidTr="00714253">
        <w:tc>
          <w:tcPr>
            <w:tcW w:w="1152" w:type="dxa"/>
            <w:vMerge/>
            <w:shd w:val="clear" w:color="auto" w:fill="F7CAAC"/>
          </w:tcPr>
          <w:p w14:paraId="04E3F87D"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38C09652"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4F53A97F"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Rozloha zemědělské půdy, kde byla nově aplikována „vhodná preventivní opatření“.</w:t>
            </w:r>
          </w:p>
        </w:tc>
      </w:tr>
      <w:tr w:rsidR="00AE7347" w:rsidRPr="00AE7347" w14:paraId="1E787130" w14:textId="77777777" w:rsidTr="00714253">
        <w:trPr>
          <w:trHeight w:val="1020"/>
        </w:trPr>
        <w:tc>
          <w:tcPr>
            <w:tcW w:w="7270" w:type="dxa"/>
            <w:gridSpan w:val="2"/>
            <w:shd w:val="clear" w:color="auto" w:fill="DBDBDB"/>
          </w:tcPr>
          <w:p w14:paraId="53D2BFCD"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lastRenderedPageBreak/>
              <w:t>Dílčí cíl I. f)</w:t>
            </w:r>
          </w:p>
          <w:p w14:paraId="57151109"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Přijmout opatření pro zvýšení efektivity monitoringu výskytu reziduí v</w:t>
            </w:r>
            <w:r w:rsidR="00452E01">
              <w:rPr>
                <w:rFonts w:ascii="Calibri" w:eastAsia="Times New Roman" w:hAnsi="Calibri" w:cs="Times New Roman"/>
                <w:sz w:val="22"/>
              </w:rPr>
              <w:t> </w:t>
            </w:r>
            <w:r w:rsidRPr="00AE7347">
              <w:rPr>
                <w:rFonts w:ascii="Calibri" w:eastAsia="Times New Roman" w:hAnsi="Calibri" w:cs="Times New Roman"/>
                <w:sz w:val="22"/>
              </w:rPr>
              <w:t>podzemních, povrchových a pitných vodách.</w:t>
            </w:r>
          </w:p>
        </w:tc>
        <w:tc>
          <w:tcPr>
            <w:tcW w:w="6872" w:type="dxa"/>
            <w:shd w:val="clear" w:color="auto" w:fill="DBDBDB"/>
          </w:tcPr>
          <w:p w14:paraId="5E3B5FE2"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f)</w:t>
            </w:r>
          </w:p>
          <w:p w14:paraId="26DA443C" w14:textId="77777777" w:rsidR="00AE7347" w:rsidRPr="00AE7347" w:rsidRDefault="00AE7347" w:rsidP="00714253">
            <w:pPr>
              <w:rPr>
                <w:rFonts w:ascii="Calibri" w:eastAsia="Times New Roman" w:hAnsi="Calibri" w:cs="Times New Roman"/>
                <w:sz w:val="22"/>
              </w:rPr>
            </w:pPr>
            <w:r w:rsidRPr="00AE7347">
              <w:rPr>
                <w:rFonts w:ascii="Calibri" w:eastAsia="Times New Roman" w:hAnsi="Calibri" w:cs="Times New Roman"/>
                <w:sz w:val="22"/>
              </w:rPr>
              <w:t>Přijmout opatření pro zvýšení efektivity monitoringu výskytu reziduí podzemních, povrchových a pitných vod.</w:t>
            </w:r>
          </w:p>
        </w:tc>
      </w:tr>
      <w:tr w:rsidR="00AE7347" w:rsidRPr="00AE7347" w14:paraId="6B03EA84" w14:textId="77777777" w:rsidTr="00714253">
        <w:tc>
          <w:tcPr>
            <w:tcW w:w="1152" w:type="dxa"/>
            <w:vMerge w:val="restart"/>
            <w:shd w:val="clear" w:color="auto" w:fill="C5E0B3"/>
            <w:vAlign w:val="center"/>
          </w:tcPr>
          <w:p w14:paraId="0D9B0B8B" w14:textId="77777777" w:rsidR="00AE7347" w:rsidRPr="00AE7347" w:rsidRDefault="00AE7347" w:rsidP="00AE7347">
            <w:pPr>
              <w:rPr>
                <w:rFonts w:ascii="Calibri" w:eastAsia="Times New Roman" w:hAnsi="Calibri" w:cs="Times New Roman"/>
                <w:b/>
                <w:sz w:val="22"/>
              </w:rPr>
            </w:pPr>
            <w:r w:rsidRPr="00AE7347">
              <w:rPr>
                <w:rFonts w:ascii="Calibri" w:eastAsia="Times New Roman" w:hAnsi="Calibri" w:cs="Times New Roman"/>
                <w:b/>
                <w:sz w:val="22"/>
              </w:rPr>
              <w:t>Způsob plnění</w:t>
            </w:r>
          </w:p>
        </w:tc>
        <w:tc>
          <w:tcPr>
            <w:tcW w:w="6118" w:type="dxa"/>
            <w:shd w:val="clear" w:color="auto" w:fill="D9D9D9"/>
          </w:tcPr>
          <w:p w14:paraId="10168374"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Zpracovat metodiku cíleného monitoringu výskytu relevantních reziduí v povrchových a podzemních vodách založeného na znalosti souvislostí mezi spektrem pěstovaných plodin a</w:t>
            </w:r>
            <w:r w:rsidR="00452E01">
              <w:rPr>
                <w:rFonts w:ascii="Calibri" w:eastAsia="Times New Roman" w:hAnsi="Calibri" w:cs="Times New Roman"/>
                <w:sz w:val="22"/>
              </w:rPr>
              <w:t> </w:t>
            </w:r>
            <w:r w:rsidRPr="00AE7347">
              <w:rPr>
                <w:rFonts w:ascii="Calibri" w:eastAsia="Times New Roman" w:hAnsi="Calibri" w:cs="Times New Roman"/>
                <w:sz w:val="22"/>
              </w:rPr>
              <w:t xml:space="preserve">použitými přípravky, charakterem přírodního prostředí (např. hydrologie, </w:t>
            </w:r>
            <w:proofErr w:type="spellStart"/>
            <w:r w:rsidRPr="00AE7347">
              <w:rPr>
                <w:rFonts w:ascii="Calibri" w:eastAsia="Times New Roman" w:hAnsi="Calibri" w:cs="Times New Roman"/>
                <w:sz w:val="22"/>
              </w:rPr>
              <w:t>hydropedologie</w:t>
            </w:r>
            <w:proofErr w:type="spellEnd"/>
            <w:r w:rsidRPr="00AE7347">
              <w:rPr>
                <w:rFonts w:ascii="Calibri" w:eastAsia="Times New Roman" w:hAnsi="Calibri" w:cs="Times New Roman"/>
                <w:sz w:val="22"/>
              </w:rPr>
              <w:t xml:space="preserve"> a další charakteristiky území), a to zejména ve vyhlášených ochranných pásmech vodních zdrojů; výsledky monitoringu vyhodnocovat s ohledem na výše uvedené.</w:t>
            </w:r>
          </w:p>
        </w:tc>
        <w:tc>
          <w:tcPr>
            <w:tcW w:w="6872" w:type="dxa"/>
            <w:shd w:val="clear" w:color="auto" w:fill="D9D9D9"/>
          </w:tcPr>
          <w:p w14:paraId="4ABDB635" w14:textId="16E0CFB2"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Zpracovat metodiky cíleného monitoringu výskytu POR a jejich metabolitů a to samostatně pro monitorování povrchových, podzemních vod a</w:t>
            </w:r>
            <w:r w:rsidR="00452E01">
              <w:rPr>
                <w:rFonts w:ascii="Calibri" w:eastAsia="Times New Roman" w:hAnsi="Calibri" w:cs="Times New Roman"/>
                <w:sz w:val="22"/>
              </w:rPr>
              <w:t> </w:t>
            </w:r>
            <w:r w:rsidRPr="00AE7347">
              <w:rPr>
                <w:rFonts w:ascii="Calibri" w:eastAsia="Times New Roman" w:hAnsi="Calibri" w:cs="Times New Roman"/>
                <w:sz w:val="22"/>
              </w:rPr>
              <w:t>monitorování pitných vod, a to včetně screeningového monitoringu vodních zdrojů pro individuální zásobování pitnou vodou. Při zapracování metodiky by měl být zohledněn stávající monitoring povrchových a</w:t>
            </w:r>
            <w:r w:rsidR="00452E01">
              <w:rPr>
                <w:rFonts w:ascii="Calibri" w:eastAsia="Times New Roman" w:hAnsi="Calibri" w:cs="Times New Roman"/>
                <w:sz w:val="22"/>
              </w:rPr>
              <w:t> </w:t>
            </w:r>
            <w:r w:rsidRPr="00AE7347">
              <w:rPr>
                <w:rFonts w:ascii="Calibri" w:eastAsia="Times New Roman" w:hAnsi="Calibri" w:cs="Times New Roman"/>
                <w:sz w:val="22"/>
              </w:rPr>
              <w:t xml:space="preserve">podzemních vod. Monitoring podzemních a povrchových vod by měl být založen na znalosti souvislostí mezi spektrem pěstovaných plodin </w:t>
            </w:r>
            <w:r w:rsidR="003A0E52">
              <w:rPr>
                <w:rFonts w:ascii="Calibri" w:eastAsia="Times New Roman" w:hAnsi="Calibri" w:cs="Times New Roman"/>
                <w:sz w:val="22"/>
              </w:rPr>
              <w:br/>
            </w:r>
            <w:r w:rsidRPr="00AE7347">
              <w:rPr>
                <w:rFonts w:ascii="Calibri" w:eastAsia="Times New Roman" w:hAnsi="Calibri" w:cs="Times New Roman"/>
                <w:sz w:val="22"/>
              </w:rPr>
              <w:t>a</w:t>
            </w:r>
            <w:r w:rsidR="003A0E52">
              <w:rPr>
                <w:rFonts w:ascii="Calibri" w:eastAsia="Times New Roman" w:hAnsi="Calibri" w:cs="Times New Roman"/>
                <w:sz w:val="22"/>
              </w:rPr>
              <w:t xml:space="preserve"> </w:t>
            </w:r>
            <w:r w:rsidRPr="00AE7347">
              <w:rPr>
                <w:rFonts w:ascii="Calibri" w:eastAsia="Times New Roman" w:hAnsi="Calibri" w:cs="Times New Roman"/>
                <w:sz w:val="22"/>
              </w:rPr>
              <w:t xml:space="preserve">použitými přípravky, charakterem přírodního prostředí (např. hydrologie, </w:t>
            </w:r>
            <w:proofErr w:type="spellStart"/>
            <w:r w:rsidRPr="00AE7347">
              <w:rPr>
                <w:rFonts w:ascii="Calibri" w:eastAsia="Times New Roman" w:hAnsi="Calibri" w:cs="Times New Roman"/>
                <w:sz w:val="22"/>
              </w:rPr>
              <w:t>hydropedologie</w:t>
            </w:r>
            <w:proofErr w:type="spellEnd"/>
            <w:r w:rsidRPr="00AE7347">
              <w:rPr>
                <w:rFonts w:ascii="Calibri" w:eastAsia="Times New Roman" w:hAnsi="Calibri" w:cs="Times New Roman"/>
                <w:sz w:val="22"/>
              </w:rPr>
              <w:t xml:space="preserve"> a další charakteristiky území), a to zejména ve vyhlášených ochranných pásmech vodních zdrojů, popř. dalších územích důležitých z hlediska možného ovlivnění kvality surových vod. Dále zajistit provádění tohoto monitoringu a jeho výsledky vyhodnocovat s ohledem na výše uvedené a zpřístupnit je příslušným provozovatelům vodovodů (výrobcům pitné vody).</w:t>
            </w:r>
          </w:p>
        </w:tc>
      </w:tr>
      <w:tr w:rsidR="00AE7347" w:rsidRPr="00AE7347" w14:paraId="6C84A931" w14:textId="77777777" w:rsidTr="00714253">
        <w:tc>
          <w:tcPr>
            <w:tcW w:w="1152" w:type="dxa"/>
            <w:vMerge/>
            <w:shd w:val="clear" w:color="auto" w:fill="C5E0B3"/>
          </w:tcPr>
          <w:p w14:paraId="1048ACF0"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F1F24B7"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Zajistit provádění monitoringu výskytu relevantních reziduí v</w:t>
            </w:r>
            <w:r w:rsidR="00452E01">
              <w:rPr>
                <w:rFonts w:ascii="Calibri" w:eastAsia="Times New Roman" w:hAnsi="Calibri" w:cs="Times New Roman"/>
                <w:sz w:val="22"/>
              </w:rPr>
              <w:t> </w:t>
            </w:r>
            <w:r w:rsidRPr="00AE7347">
              <w:rPr>
                <w:rFonts w:ascii="Calibri" w:eastAsia="Times New Roman" w:hAnsi="Calibri" w:cs="Times New Roman"/>
                <w:sz w:val="22"/>
              </w:rPr>
              <w:t>povrchových a podzemních vodách v rámci situačního a</w:t>
            </w:r>
            <w:r w:rsidR="00452E01">
              <w:rPr>
                <w:rFonts w:ascii="Calibri" w:eastAsia="Times New Roman" w:hAnsi="Calibri" w:cs="Times New Roman"/>
                <w:sz w:val="22"/>
              </w:rPr>
              <w:t> </w:t>
            </w:r>
            <w:r w:rsidRPr="00AE7347">
              <w:rPr>
                <w:rFonts w:ascii="Calibri" w:eastAsia="Times New Roman" w:hAnsi="Calibri" w:cs="Times New Roman"/>
                <w:sz w:val="22"/>
              </w:rPr>
              <w:t>provozního monitoringu povrchových a podzemních vod.</w:t>
            </w:r>
          </w:p>
        </w:tc>
        <w:tc>
          <w:tcPr>
            <w:tcW w:w="6872" w:type="dxa"/>
            <w:shd w:val="clear" w:color="auto" w:fill="D9D9D9"/>
          </w:tcPr>
          <w:p w14:paraId="78D05CCA" w14:textId="0F52A791"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Metodická pravidla cíleného monitoringu výskytu reziduí POR v dodávané pitné vodě (popř. též vodě surové a upravované) by měla zohlednit </w:t>
            </w:r>
            <w:r w:rsidR="003A0E52">
              <w:rPr>
                <w:rFonts w:ascii="Calibri" w:eastAsia="Times New Roman" w:hAnsi="Calibri" w:cs="Times New Roman"/>
                <w:sz w:val="22"/>
              </w:rPr>
              <w:br/>
            </w:r>
            <w:r w:rsidRPr="00AE7347">
              <w:rPr>
                <w:rFonts w:ascii="Calibri" w:eastAsia="Times New Roman" w:hAnsi="Calibri" w:cs="Times New Roman"/>
                <w:sz w:val="22"/>
              </w:rPr>
              <w:t>i</w:t>
            </w:r>
            <w:r w:rsidR="003A0E52">
              <w:rPr>
                <w:rFonts w:ascii="Calibri" w:eastAsia="Times New Roman" w:hAnsi="Calibri" w:cs="Times New Roman"/>
                <w:sz w:val="22"/>
              </w:rPr>
              <w:t xml:space="preserve"> </w:t>
            </w:r>
            <w:r w:rsidRPr="00AE7347">
              <w:rPr>
                <w:rFonts w:ascii="Calibri" w:eastAsia="Times New Roman" w:hAnsi="Calibri" w:cs="Times New Roman"/>
                <w:sz w:val="22"/>
              </w:rPr>
              <w:t>případnou nutnost vyšetření zdrojů podzemních vod (studní) pro individuální potřebu v zemědělských oblastech.</w:t>
            </w:r>
          </w:p>
        </w:tc>
      </w:tr>
      <w:tr w:rsidR="00AE7347" w:rsidRPr="00AE7347" w14:paraId="351124ED" w14:textId="77777777" w:rsidTr="00714253">
        <w:tc>
          <w:tcPr>
            <w:tcW w:w="1152" w:type="dxa"/>
            <w:vMerge/>
            <w:shd w:val="clear" w:color="auto" w:fill="C5E0B3"/>
          </w:tcPr>
          <w:p w14:paraId="385BA7B9"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2F3E45D7"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Zajistit komunikaci mezi SRS, profesionálními uživateli přípravků a</w:t>
            </w:r>
            <w:r w:rsidR="00452E01">
              <w:rPr>
                <w:rFonts w:ascii="Calibri" w:eastAsia="Times New Roman" w:hAnsi="Calibri" w:cs="Times New Roman"/>
                <w:sz w:val="22"/>
              </w:rPr>
              <w:t> </w:t>
            </w:r>
            <w:r w:rsidRPr="00AE7347">
              <w:rPr>
                <w:rFonts w:ascii="Calibri" w:eastAsia="Times New Roman" w:hAnsi="Calibri" w:cs="Times New Roman"/>
                <w:sz w:val="22"/>
              </w:rPr>
              <w:t>vodohospodáři, zejména pokud jde o dostupnost informací o</w:t>
            </w:r>
            <w:r w:rsidR="00452E01">
              <w:rPr>
                <w:rFonts w:ascii="Calibri" w:eastAsia="Times New Roman" w:hAnsi="Calibri" w:cs="Times New Roman"/>
                <w:sz w:val="22"/>
              </w:rPr>
              <w:t> </w:t>
            </w:r>
            <w:r w:rsidRPr="00AE7347">
              <w:rPr>
                <w:rFonts w:ascii="Calibri" w:eastAsia="Times New Roman" w:hAnsi="Calibri" w:cs="Times New Roman"/>
                <w:sz w:val="22"/>
              </w:rPr>
              <w:t>účinných látkách, relevantních metabolitech účinných látek přípravků, metodách jejich analytického stanovení a</w:t>
            </w:r>
            <w:r w:rsidR="00452E01">
              <w:rPr>
                <w:rFonts w:ascii="Calibri" w:eastAsia="Times New Roman" w:hAnsi="Calibri" w:cs="Times New Roman"/>
                <w:sz w:val="22"/>
              </w:rPr>
              <w:t> </w:t>
            </w:r>
            <w:r w:rsidRPr="00AE7347">
              <w:rPr>
                <w:rFonts w:ascii="Calibri" w:eastAsia="Times New Roman" w:hAnsi="Calibri" w:cs="Times New Roman"/>
                <w:sz w:val="22"/>
              </w:rPr>
              <w:t>toxikologických vlastnostech ve vztahu k pitným, povrchovým a</w:t>
            </w:r>
            <w:r w:rsidR="00452E01">
              <w:rPr>
                <w:rFonts w:ascii="Calibri" w:eastAsia="Times New Roman" w:hAnsi="Calibri" w:cs="Times New Roman"/>
                <w:sz w:val="22"/>
              </w:rPr>
              <w:t> </w:t>
            </w:r>
            <w:r w:rsidRPr="00AE7347">
              <w:rPr>
                <w:rFonts w:ascii="Calibri" w:eastAsia="Times New Roman" w:hAnsi="Calibri" w:cs="Times New Roman"/>
                <w:sz w:val="22"/>
              </w:rPr>
              <w:t>podzemním vodám.</w:t>
            </w:r>
          </w:p>
        </w:tc>
        <w:tc>
          <w:tcPr>
            <w:tcW w:w="6872" w:type="dxa"/>
            <w:shd w:val="clear" w:color="auto" w:fill="D9D9D9"/>
          </w:tcPr>
          <w:p w14:paraId="030A1696" w14:textId="77777777" w:rsidR="00AE7347" w:rsidRPr="00AE7347" w:rsidRDefault="00AE7347">
            <w:pPr>
              <w:rPr>
                <w:rFonts w:ascii="Calibri" w:eastAsia="Times New Roman" w:hAnsi="Calibri" w:cs="Times New Roman"/>
                <w:sz w:val="22"/>
              </w:rPr>
            </w:pPr>
            <w:r w:rsidRPr="00AE7347">
              <w:rPr>
                <w:rFonts w:ascii="Calibri" w:eastAsia="Times New Roman" w:hAnsi="Calibri" w:cs="Times New Roman"/>
                <w:sz w:val="22"/>
              </w:rPr>
              <w:t>Zajistit kontinuální komunikaci mezi Ústavem, SZÚ, profesionálními uživateli přípravků a vodohospodáři, zejména pokud jde o dostupnost informací o účinných látkách a jejich vlastnostech relevantních metabolitech účinných látek přípravků, metodách jejich analytického stanovení, toxikologických vlastnostech ve vztahu k pitným, povrchovým a</w:t>
            </w:r>
            <w:r w:rsidR="00452E01">
              <w:rPr>
                <w:rFonts w:ascii="Calibri" w:eastAsia="Times New Roman" w:hAnsi="Calibri" w:cs="Times New Roman"/>
                <w:sz w:val="22"/>
              </w:rPr>
              <w:t> </w:t>
            </w:r>
            <w:r w:rsidRPr="00AE7347">
              <w:rPr>
                <w:rFonts w:ascii="Calibri" w:eastAsia="Times New Roman" w:hAnsi="Calibri" w:cs="Times New Roman"/>
                <w:sz w:val="22"/>
              </w:rPr>
              <w:t>podzemním vodám a oznamování doby aplikace současně se specifikami aplikovaných látek na zemědělské i nezemědělské půdě.</w:t>
            </w:r>
          </w:p>
        </w:tc>
      </w:tr>
      <w:tr w:rsidR="00AE7347" w:rsidRPr="00AE7347" w14:paraId="6671A3A7" w14:textId="77777777" w:rsidTr="00714253">
        <w:tc>
          <w:tcPr>
            <w:tcW w:w="1152" w:type="dxa"/>
            <w:vMerge w:val="restart"/>
            <w:shd w:val="clear" w:color="auto" w:fill="F7CAAC"/>
            <w:vAlign w:val="center"/>
          </w:tcPr>
          <w:p w14:paraId="6DC266EC"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 xml:space="preserve">Specifické indikátory </w:t>
            </w:r>
            <w:r w:rsidRPr="00AE7347">
              <w:rPr>
                <w:rFonts w:ascii="Calibri" w:eastAsia="Times New Roman" w:hAnsi="Calibri" w:cs="Times New Roman"/>
                <w:b/>
                <w:sz w:val="22"/>
              </w:rPr>
              <w:lastRenderedPageBreak/>
              <w:t>plnění dílčího cíle</w:t>
            </w:r>
          </w:p>
        </w:tc>
        <w:tc>
          <w:tcPr>
            <w:tcW w:w="6118" w:type="dxa"/>
            <w:shd w:val="clear" w:color="auto" w:fill="D9D9D9"/>
          </w:tcPr>
          <w:p w14:paraId="55F35FDF"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lastRenderedPageBreak/>
              <w:t>Stav přípravy metodiky cíleného monitoringu</w:t>
            </w:r>
            <w:r w:rsidR="005F73FF">
              <w:rPr>
                <w:rFonts w:ascii="Calibri" w:eastAsia="Times New Roman" w:hAnsi="Calibri" w:cs="Times New Roman"/>
                <w:sz w:val="22"/>
              </w:rPr>
              <w:t>.</w:t>
            </w:r>
          </w:p>
        </w:tc>
        <w:tc>
          <w:tcPr>
            <w:tcW w:w="6872" w:type="dxa"/>
            <w:shd w:val="clear" w:color="auto" w:fill="D9D9D9"/>
          </w:tcPr>
          <w:p w14:paraId="74B1DCD4"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Vytvoření metodiky cíleného monitoringu</w:t>
            </w:r>
            <w:r w:rsidR="005F73FF">
              <w:rPr>
                <w:rFonts w:ascii="Calibri" w:eastAsia="Times New Roman" w:hAnsi="Calibri" w:cs="Times New Roman"/>
                <w:sz w:val="22"/>
              </w:rPr>
              <w:t>.</w:t>
            </w:r>
          </w:p>
        </w:tc>
      </w:tr>
      <w:tr w:rsidR="00AE7347" w:rsidRPr="00AE7347" w14:paraId="5B53E008" w14:textId="77777777" w:rsidTr="00714253">
        <w:tc>
          <w:tcPr>
            <w:tcW w:w="1152" w:type="dxa"/>
            <w:vMerge/>
            <w:shd w:val="clear" w:color="auto" w:fill="F7CAAC"/>
          </w:tcPr>
          <w:p w14:paraId="30A03A93"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0DF3EB6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 xml:space="preserve">Počet monitorovacích objektů, na kterých je prováděn monitoring </w:t>
            </w:r>
            <w:r w:rsidRPr="00AE7347">
              <w:rPr>
                <w:rFonts w:ascii="Calibri" w:eastAsia="Times New Roman" w:hAnsi="Calibri" w:cs="Times New Roman"/>
                <w:sz w:val="22"/>
              </w:rPr>
              <w:lastRenderedPageBreak/>
              <w:t>povrchových a podzemních vod</w:t>
            </w:r>
            <w:r w:rsidR="005F73FF">
              <w:rPr>
                <w:rFonts w:ascii="Calibri" w:eastAsia="Times New Roman" w:hAnsi="Calibri" w:cs="Times New Roman"/>
                <w:sz w:val="22"/>
              </w:rPr>
              <w:t>.</w:t>
            </w:r>
          </w:p>
        </w:tc>
        <w:tc>
          <w:tcPr>
            <w:tcW w:w="6872" w:type="dxa"/>
            <w:shd w:val="clear" w:color="auto" w:fill="D9D9D9"/>
          </w:tcPr>
          <w:p w14:paraId="619990C6"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lastRenderedPageBreak/>
              <w:t xml:space="preserve">Počet monitorovacích objektů, na kterých je prováděn monitoring reziduí </w:t>
            </w:r>
            <w:r w:rsidRPr="00AE7347">
              <w:rPr>
                <w:rFonts w:ascii="Calibri" w:eastAsia="Times New Roman" w:hAnsi="Calibri" w:cs="Times New Roman"/>
                <w:sz w:val="22"/>
              </w:rPr>
              <w:lastRenderedPageBreak/>
              <w:t>POR povrchových a podzemních vod</w:t>
            </w:r>
            <w:r w:rsidR="005F73FF">
              <w:rPr>
                <w:rFonts w:ascii="Calibri" w:eastAsia="Times New Roman" w:hAnsi="Calibri" w:cs="Times New Roman"/>
                <w:sz w:val="22"/>
              </w:rPr>
              <w:t>.</w:t>
            </w:r>
          </w:p>
        </w:tc>
      </w:tr>
      <w:tr w:rsidR="00AE7347" w:rsidRPr="00AE7347" w14:paraId="09FB5916" w14:textId="77777777" w:rsidTr="00714253">
        <w:tc>
          <w:tcPr>
            <w:tcW w:w="1152" w:type="dxa"/>
            <w:vMerge/>
            <w:shd w:val="clear" w:color="auto" w:fill="F7CAAC"/>
          </w:tcPr>
          <w:p w14:paraId="3BC68685"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A23809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OPVZ s nastaveným cíleným monitoringem výskytu relevantních reziduí</w:t>
            </w:r>
            <w:r w:rsidR="005F73FF">
              <w:rPr>
                <w:rFonts w:ascii="Calibri" w:eastAsia="Times New Roman" w:hAnsi="Calibri" w:cs="Times New Roman"/>
                <w:sz w:val="22"/>
              </w:rPr>
              <w:t>.</w:t>
            </w:r>
          </w:p>
        </w:tc>
        <w:tc>
          <w:tcPr>
            <w:tcW w:w="6872" w:type="dxa"/>
            <w:shd w:val="clear" w:color="auto" w:fill="D9D9D9"/>
          </w:tcPr>
          <w:p w14:paraId="4F083C3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distribučních oblastí pitné vody s cíleným monitoringem reziduí POR</w:t>
            </w:r>
            <w:r w:rsidR="005F73FF">
              <w:rPr>
                <w:rFonts w:ascii="Calibri" w:eastAsia="Times New Roman" w:hAnsi="Calibri" w:cs="Times New Roman"/>
                <w:sz w:val="22"/>
              </w:rPr>
              <w:t>.</w:t>
            </w:r>
          </w:p>
        </w:tc>
      </w:tr>
      <w:tr w:rsidR="00AE7347" w:rsidRPr="00AE7347" w14:paraId="5056679F" w14:textId="77777777" w:rsidTr="00714253">
        <w:tc>
          <w:tcPr>
            <w:tcW w:w="1152" w:type="dxa"/>
            <w:vMerge/>
            <w:shd w:val="clear" w:color="auto" w:fill="F7CAAC"/>
          </w:tcPr>
          <w:p w14:paraId="0A955692"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1E26CDA6"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seminářů, publikací a workshopů zaměřených na předávání informací o relevantních metabolitech účinných látek přípravků, metodách jejich analytického stanovení a toxikologických vlastnostech</w:t>
            </w:r>
            <w:r w:rsidR="005F73FF">
              <w:rPr>
                <w:rFonts w:ascii="Calibri" w:eastAsia="Times New Roman" w:hAnsi="Calibri" w:cs="Times New Roman"/>
                <w:sz w:val="22"/>
              </w:rPr>
              <w:t>.</w:t>
            </w:r>
          </w:p>
        </w:tc>
        <w:tc>
          <w:tcPr>
            <w:tcW w:w="6872" w:type="dxa"/>
            <w:shd w:val="clear" w:color="auto" w:fill="D9D9D9"/>
          </w:tcPr>
          <w:p w14:paraId="51AC0C08"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Postupné zavedení elektronického portálu pro vkládání dat o aplikaci POR profesionálnímu uživateli</w:t>
            </w:r>
            <w:r w:rsidR="005F73FF">
              <w:rPr>
                <w:rFonts w:ascii="Calibri" w:eastAsia="Times New Roman" w:hAnsi="Calibri" w:cs="Times New Roman"/>
                <w:sz w:val="22"/>
              </w:rPr>
              <w:t>.</w:t>
            </w:r>
          </w:p>
        </w:tc>
      </w:tr>
      <w:tr w:rsidR="00AE7347" w:rsidRPr="00AE7347" w14:paraId="76F80D18" w14:textId="77777777" w:rsidTr="00714253">
        <w:tc>
          <w:tcPr>
            <w:tcW w:w="1152" w:type="dxa"/>
            <w:vMerge/>
            <w:shd w:val="clear" w:color="auto" w:fill="F7CAAC"/>
          </w:tcPr>
          <w:p w14:paraId="1DD21B00"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2062997B"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01A6CC4B"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monitorovaných objektů screeningového monitoringu vodních zdrojů pro individuální zásobování.</w:t>
            </w:r>
          </w:p>
        </w:tc>
      </w:tr>
      <w:tr w:rsidR="00AE7347" w:rsidRPr="00AE7347" w14:paraId="3249763C" w14:textId="77777777" w:rsidTr="00714253">
        <w:tc>
          <w:tcPr>
            <w:tcW w:w="7270" w:type="dxa"/>
            <w:gridSpan w:val="2"/>
            <w:shd w:val="clear" w:color="auto" w:fill="DBDBDB"/>
          </w:tcPr>
          <w:p w14:paraId="251B463C"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g)</w:t>
            </w:r>
          </w:p>
          <w:p w14:paraId="22623C3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Přijmout legislativní opatření pro zvýšení efektivity kontrol dodržování správných zásad použití přípravků.</w:t>
            </w:r>
          </w:p>
        </w:tc>
        <w:tc>
          <w:tcPr>
            <w:tcW w:w="6872" w:type="dxa"/>
            <w:shd w:val="clear" w:color="auto" w:fill="DBDBDB"/>
          </w:tcPr>
          <w:p w14:paraId="2DAC202F"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g)</w:t>
            </w:r>
          </w:p>
          <w:p w14:paraId="3F5B72A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Přijmout legislativní opatření pro zvýšení efektivity kontrol dodržování správných zásad použití přípravků.</w:t>
            </w:r>
          </w:p>
        </w:tc>
      </w:tr>
      <w:tr w:rsidR="00AE7347" w:rsidRPr="00AE7347" w14:paraId="7A46148A" w14:textId="77777777" w:rsidTr="00714253">
        <w:tc>
          <w:tcPr>
            <w:tcW w:w="1152" w:type="dxa"/>
            <w:vMerge w:val="restart"/>
            <w:shd w:val="clear" w:color="auto" w:fill="C5E0B3"/>
            <w:vAlign w:val="center"/>
          </w:tcPr>
          <w:p w14:paraId="4749BD47" w14:textId="77777777" w:rsidR="00AE7347" w:rsidRPr="00AE7347" w:rsidRDefault="00AE7347" w:rsidP="00AE7347">
            <w:pPr>
              <w:rPr>
                <w:rFonts w:ascii="Calibri" w:eastAsia="Times New Roman" w:hAnsi="Calibri" w:cs="Times New Roman"/>
                <w:b/>
                <w:sz w:val="22"/>
              </w:rPr>
            </w:pPr>
            <w:r w:rsidRPr="00AE7347">
              <w:rPr>
                <w:rFonts w:ascii="Calibri" w:eastAsia="Times New Roman" w:hAnsi="Calibri" w:cs="Times New Roman"/>
                <w:b/>
                <w:sz w:val="22"/>
              </w:rPr>
              <w:t>Způsob plnění</w:t>
            </w:r>
          </w:p>
        </w:tc>
        <w:tc>
          <w:tcPr>
            <w:tcW w:w="6118" w:type="dxa"/>
            <w:shd w:val="clear" w:color="auto" w:fill="D9D9D9"/>
          </w:tcPr>
          <w:p w14:paraId="72EF32B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Zavést systém pružného předávání informací o zjištění nadlimitního výskytu reziduí v povrchové, podzemní a pitné vodě mezi ČHMÚ, podniky Povodí, SRS, vodohospodáři a ČIŽP.</w:t>
            </w:r>
          </w:p>
        </w:tc>
        <w:tc>
          <w:tcPr>
            <w:tcW w:w="6872" w:type="dxa"/>
            <w:shd w:val="clear" w:color="auto" w:fill="D9D9D9"/>
          </w:tcPr>
          <w:p w14:paraId="5D78B1B3" w14:textId="6C2D98D8"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Dokončit zavedení a průběžně udržovat systém pružného předávání informací o zjištění nadlimitního výskytu reziduí v povrchové, podzemní </w:t>
            </w:r>
            <w:r w:rsidR="003A0E52">
              <w:rPr>
                <w:rFonts w:ascii="Calibri" w:eastAsia="Times New Roman" w:hAnsi="Calibri" w:cs="Times New Roman"/>
                <w:sz w:val="22"/>
              </w:rPr>
              <w:br/>
            </w:r>
            <w:r w:rsidRPr="00AE7347">
              <w:rPr>
                <w:rFonts w:ascii="Calibri" w:eastAsia="Times New Roman" w:hAnsi="Calibri" w:cs="Times New Roman"/>
                <w:sz w:val="22"/>
              </w:rPr>
              <w:t>a</w:t>
            </w:r>
            <w:r w:rsidR="003A0E52">
              <w:rPr>
                <w:rFonts w:ascii="Calibri" w:eastAsia="Times New Roman" w:hAnsi="Calibri" w:cs="Times New Roman"/>
                <w:sz w:val="22"/>
              </w:rPr>
              <w:t xml:space="preserve"> </w:t>
            </w:r>
            <w:r w:rsidRPr="00AE7347">
              <w:rPr>
                <w:rFonts w:ascii="Calibri" w:eastAsia="Times New Roman" w:hAnsi="Calibri" w:cs="Times New Roman"/>
                <w:sz w:val="22"/>
              </w:rPr>
              <w:t>pitné vodě mezi ČHMÚ, podniky Povodí, Ústavem, vodohospodáři a</w:t>
            </w:r>
            <w:r w:rsidR="005F73FF">
              <w:rPr>
                <w:rFonts w:ascii="Calibri" w:eastAsia="Times New Roman" w:hAnsi="Calibri" w:cs="Times New Roman"/>
                <w:sz w:val="22"/>
              </w:rPr>
              <w:t> </w:t>
            </w:r>
            <w:r w:rsidRPr="00AE7347">
              <w:rPr>
                <w:rFonts w:ascii="Calibri" w:eastAsia="Times New Roman" w:hAnsi="Calibri" w:cs="Times New Roman"/>
                <w:sz w:val="22"/>
              </w:rPr>
              <w:t>ČIŽP.</w:t>
            </w:r>
          </w:p>
        </w:tc>
      </w:tr>
      <w:tr w:rsidR="00AE7347" w:rsidRPr="00AE7347" w14:paraId="29F8D1F5" w14:textId="77777777" w:rsidTr="00714253">
        <w:tc>
          <w:tcPr>
            <w:tcW w:w="1152" w:type="dxa"/>
            <w:vMerge/>
            <w:shd w:val="clear" w:color="auto" w:fill="C5E0B3"/>
          </w:tcPr>
          <w:p w14:paraId="6D8EDD47"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1CCBE368" w14:textId="52E777C9"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Zavést systém cílené a pružné kontroly dodržování správných zásad použití a aplikace přípravků, a to na základě předávání informací o zjištěném nadlimitním výskytu přípravků ve vodách, zejména v oblastech se zjištěným nadlimitním výskytem reziduí </w:t>
            </w:r>
            <w:r w:rsidR="003A0E52">
              <w:rPr>
                <w:rFonts w:ascii="Calibri" w:eastAsia="Times New Roman" w:hAnsi="Calibri" w:cs="Times New Roman"/>
                <w:sz w:val="22"/>
              </w:rPr>
              <w:br/>
            </w:r>
            <w:r w:rsidRPr="00AE7347">
              <w:rPr>
                <w:rFonts w:ascii="Calibri" w:eastAsia="Times New Roman" w:hAnsi="Calibri" w:cs="Times New Roman"/>
                <w:sz w:val="22"/>
              </w:rPr>
              <w:t>v</w:t>
            </w:r>
            <w:r w:rsidR="003A0E52">
              <w:rPr>
                <w:rFonts w:ascii="Calibri" w:eastAsia="Times New Roman" w:hAnsi="Calibri" w:cs="Times New Roman"/>
                <w:sz w:val="22"/>
              </w:rPr>
              <w:t xml:space="preserve"> </w:t>
            </w:r>
            <w:r w:rsidRPr="00AE7347">
              <w:rPr>
                <w:rFonts w:ascii="Calibri" w:eastAsia="Times New Roman" w:hAnsi="Calibri" w:cs="Times New Roman"/>
                <w:sz w:val="22"/>
              </w:rPr>
              <w:t xml:space="preserve">povrchové, podzemní a pitné vodě </w:t>
            </w:r>
            <w:r w:rsidR="005F73FF">
              <w:rPr>
                <w:rFonts w:ascii="Calibri" w:eastAsia="Times New Roman" w:hAnsi="Calibri" w:cs="Times New Roman"/>
                <w:sz w:val="22"/>
              </w:rPr>
              <w:t xml:space="preserve">– </w:t>
            </w:r>
            <w:r w:rsidRPr="00AE7347">
              <w:rPr>
                <w:rFonts w:ascii="Calibri" w:eastAsia="Times New Roman" w:hAnsi="Calibri" w:cs="Times New Roman"/>
                <w:sz w:val="22"/>
              </w:rPr>
              <w:t>dále jen „ohrožené oblasti“.</w:t>
            </w:r>
          </w:p>
        </w:tc>
        <w:tc>
          <w:tcPr>
            <w:tcW w:w="6872" w:type="dxa"/>
            <w:shd w:val="clear" w:color="auto" w:fill="D9D9D9"/>
          </w:tcPr>
          <w:p w14:paraId="54DFD4F0" w14:textId="56121663"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Průběžně udržovat systém cílené a pružné kontroly dodržování správných zásad použití a aplikace přípravků, a to na základě předávání informací </w:t>
            </w:r>
            <w:r w:rsidR="003A0E52">
              <w:rPr>
                <w:rFonts w:ascii="Calibri" w:eastAsia="Times New Roman" w:hAnsi="Calibri" w:cs="Times New Roman"/>
                <w:sz w:val="22"/>
              </w:rPr>
              <w:br/>
            </w:r>
            <w:r w:rsidRPr="00AE7347">
              <w:rPr>
                <w:rFonts w:ascii="Calibri" w:eastAsia="Times New Roman" w:hAnsi="Calibri" w:cs="Times New Roman"/>
                <w:sz w:val="22"/>
              </w:rPr>
              <w:t>o</w:t>
            </w:r>
            <w:r w:rsidR="003A0E52">
              <w:rPr>
                <w:rFonts w:ascii="Calibri" w:eastAsia="Times New Roman" w:hAnsi="Calibri" w:cs="Times New Roman"/>
                <w:sz w:val="22"/>
              </w:rPr>
              <w:t xml:space="preserve"> </w:t>
            </w:r>
            <w:r w:rsidRPr="00AE7347">
              <w:rPr>
                <w:rFonts w:ascii="Calibri" w:eastAsia="Times New Roman" w:hAnsi="Calibri" w:cs="Times New Roman"/>
                <w:sz w:val="22"/>
              </w:rPr>
              <w:t xml:space="preserve">zjištěném nadlimitním výskytu přípravků ve vodách, zejména </w:t>
            </w:r>
            <w:r w:rsidR="003A0E52">
              <w:rPr>
                <w:rFonts w:ascii="Calibri" w:eastAsia="Times New Roman" w:hAnsi="Calibri" w:cs="Times New Roman"/>
                <w:sz w:val="22"/>
              </w:rPr>
              <w:br/>
            </w:r>
            <w:r w:rsidRPr="00AE7347">
              <w:rPr>
                <w:rFonts w:ascii="Calibri" w:eastAsia="Times New Roman" w:hAnsi="Calibri" w:cs="Times New Roman"/>
                <w:sz w:val="22"/>
              </w:rPr>
              <w:t>v</w:t>
            </w:r>
            <w:r w:rsidR="003A0E52">
              <w:rPr>
                <w:rFonts w:ascii="Calibri" w:eastAsia="Times New Roman" w:hAnsi="Calibri" w:cs="Times New Roman"/>
                <w:sz w:val="22"/>
              </w:rPr>
              <w:t xml:space="preserve"> </w:t>
            </w:r>
            <w:r w:rsidRPr="00AE7347">
              <w:rPr>
                <w:rFonts w:ascii="Calibri" w:eastAsia="Times New Roman" w:hAnsi="Calibri" w:cs="Times New Roman"/>
                <w:sz w:val="22"/>
              </w:rPr>
              <w:t>oblastech se zjištěným nadlimitním výskytem reziduí v povrchové, podzemní a pitné vodě.</w:t>
            </w:r>
          </w:p>
        </w:tc>
      </w:tr>
      <w:tr w:rsidR="00AE7347" w:rsidRPr="00AE7347" w14:paraId="3ECD8C49" w14:textId="77777777" w:rsidTr="00714253">
        <w:tc>
          <w:tcPr>
            <w:tcW w:w="1152" w:type="dxa"/>
            <w:vMerge w:val="restart"/>
            <w:shd w:val="clear" w:color="auto" w:fill="F7CAAC"/>
            <w:vAlign w:val="center"/>
          </w:tcPr>
          <w:p w14:paraId="499B6484"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Specifické indikátory plnění dílčího cíle</w:t>
            </w:r>
          </w:p>
        </w:tc>
        <w:tc>
          <w:tcPr>
            <w:tcW w:w="6118" w:type="dxa"/>
            <w:shd w:val="clear" w:color="auto" w:fill="D9D9D9"/>
          </w:tcPr>
          <w:p w14:paraId="696C04D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a rozsah předaných údajů mezi ČHMÚ, podniky Povodí, SRS, vodohospodáři a ČIŽP</w:t>
            </w:r>
            <w:r w:rsidR="005F73FF">
              <w:rPr>
                <w:rFonts w:ascii="Calibri" w:eastAsia="Times New Roman" w:hAnsi="Calibri" w:cs="Times New Roman"/>
                <w:sz w:val="22"/>
              </w:rPr>
              <w:t>.</w:t>
            </w:r>
          </w:p>
        </w:tc>
        <w:tc>
          <w:tcPr>
            <w:tcW w:w="6872" w:type="dxa"/>
            <w:shd w:val="clear" w:color="auto" w:fill="D9D9D9"/>
          </w:tcPr>
          <w:p w14:paraId="7003046C"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provedených kontrol na základě podnětů dodržování správných zásad použití POR</w:t>
            </w:r>
            <w:r w:rsidR="005F73FF">
              <w:rPr>
                <w:rFonts w:ascii="Calibri" w:eastAsia="Times New Roman" w:hAnsi="Calibri" w:cs="Times New Roman"/>
                <w:sz w:val="22"/>
              </w:rPr>
              <w:t>.</w:t>
            </w:r>
          </w:p>
        </w:tc>
      </w:tr>
      <w:tr w:rsidR="00AE7347" w:rsidRPr="00AE7347" w14:paraId="4F733856" w14:textId="77777777" w:rsidTr="007D2BEC">
        <w:trPr>
          <w:trHeight w:val="1247"/>
        </w:trPr>
        <w:tc>
          <w:tcPr>
            <w:tcW w:w="1152" w:type="dxa"/>
            <w:vMerge/>
            <w:shd w:val="clear" w:color="auto" w:fill="F7CAAC"/>
          </w:tcPr>
          <w:p w14:paraId="6E8B9978"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7C8B7F56" w14:textId="1202F287" w:rsidR="00AE7347" w:rsidRPr="00AE7347" w:rsidRDefault="00AE7347" w:rsidP="003A0E52">
            <w:pPr>
              <w:rPr>
                <w:rFonts w:ascii="Calibri" w:eastAsia="Times New Roman" w:hAnsi="Calibri" w:cs="Times New Roman"/>
                <w:sz w:val="22"/>
              </w:rPr>
            </w:pPr>
            <w:r w:rsidRPr="00AE7347">
              <w:rPr>
                <w:rFonts w:ascii="Calibri" w:eastAsia="Times New Roman" w:hAnsi="Calibri" w:cs="Times New Roman"/>
                <w:sz w:val="22"/>
              </w:rPr>
              <w:t xml:space="preserve">Počet provedených kontrol dodržování správných zásad použití </w:t>
            </w:r>
            <w:r w:rsidR="003A0E52">
              <w:rPr>
                <w:rFonts w:ascii="Calibri" w:eastAsia="Times New Roman" w:hAnsi="Calibri" w:cs="Times New Roman"/>
                <w:sz w:val="22"/>
              </w:rPr>
              <w:br/>
            </w:r>
            <w:r w:rsidRPr="00AE7347">
              <w:rPr>
                <w:rFonts w:ascii="Calibri" w:eastAsia="Times New Roman" w:hAnsi="Calibri" w:cs="Times New Roman"/>
                <w:sz w:val="22"/>
              </w:rPr>
              <w:t>a</w:t>
            </w:r>
            <w:r w:rsidR="003A0E52">
              <w:rPr>
                <w:rFonts w:ascii="Calibri" w:eastAsia="Times New Roman" w:hAnsi="Calibri" w:cs="Times New Roman"/>
                <w:sz w:val="22"/>
              </w:rPr>
              <w:t xml:space="preserve"> </w:t>
            </w:r>
            <w:r w:rsidRPr="00AE7347">
              <w:rPr>
                <w:rFonts w:ascii="Calibri" w:eastAsia="Times New Roman" w:hAnsi="Calibri" w:cs="Times New Roman"/>
                <w:sz w:val="22"/>
              </w:rPr>
              <w:t>aplikace přípravků a počet závad zjištěných při těchto kontrolách uskutečněných na základě zavedení systému cílené a</w:t>
            </w:r>
            <w:r w:rsidR="00452E01">
              <w:rPr>
                <w:rFonts w:ascii="Calibri" w:eastAsia="Times New Roman" w:hAnsi="Calibri" w:cs="Times New Roman"/>
                <w:sz w:val="22"/>
              </w:rPr>
              <w:t> </w:t>
            </w:r>
            <w:r w:rsidRPr="00AE7347">
              <w:rPr>
                <w:rFonts w:ascii="Calibri" w:eastAsia="Times New Roman" w:hAnsi="Calibri" w:cs="Times New Roman"/>
                <w:sz w:val="22"/>
              </w:rPr>
              <w:t>pružné kontroly</w:t>
            </w:r>
            <w:r w:rsidR="005F73FF">
              <w:rPr>
                <w:rFonts w:ascii="Calibri" w:eastAsia="Times New Roman" w:hAnsi="Calibri" w:cs="Times New Roman"/>
                <w:sz w:val="22"/>
              </w:rPr>
              <w:t>.</w:t>
            </w:r>
          </w:p>
        </w:tc>
        <w:tc>
          <w:tcPr>
            <w:tcW w:w="6872" w:type="dxa"/>
            <w:shd w:val="clear" w:color="auto" w:fill="D9D9D9"/>
          </w:tcPr>
          <w:p w14:paraId="0EA0F21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závad zjištěných při těchto kontrolách uskutečněných na základě zavedení systému cílené a pružné kontroly, jak na zemědělské tak na nezemědělské půdě</w:t>
            </w:r>
            <w:r w:rsidR="005F73FF">
              <w:rPr>
                <w:rFonts w:ascii="Calibri" w:eastAsia="Times New Roman" w:hAnsi="Calibri" w:cs="Times New Roman"/>
                <w:sz w:val="22"/>
              </w:rPr>
              <w:t>.</w:t>
            </w:r>
          </w:p>
        </w:tc>
      </w:tr>
      <w:tr w:rsidR="00AE7347" w:rsidRPr="00AE7347" w14:paraId="225D6DC7" w14:textId="77777777" w:rsidTr="00714253">
        <w:tc>
          <w:tcPr>
            <w:tcW w:w="7270" w:type="dxa"/>
            <w:gridSpan w:val="2"/>
            <w:shd w:val="clear" w:color="auto" w:fill="DBDBDB"/>
          </w:tcPr>
          <w:p w14:paraId="124523FF"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lastRenderedPageBreak/>
              <w:t>Dílčí cíl I. h)</w:t>
            </w:r>
          </w:p>
          <w:p w14:paraId="01829E9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Přijmout opatření k regulaci aplikace přípravků v ohrožených oblastech.</w:t>
            </w:r>
          </w:p>
        </w:tc>
        <w:tc>
          <w:tcPr>
            <w:tcW w:w="6872" w:type="dxa"/>
            <w:shd w:val="clear" w:color="auto" w:fill="DBDBDB"/>
          </w:tcPr>
          <w:p w14:paraId="0B09EB9C"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h)</w:t>
            </w:r>
          </w:p>
          <w:p w14:paraId="16A0655D"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Regulace používání některých POR v oblasti, kde účinná látka a její rezidua byla opakovaně zjištěna v nadlimitním množství (viz bod 4.24) ve vodním zdroji nebo v útvaru povrchové či podzemní vody.</w:t>
            </w:r>
          </w:p>
        </w:tc>
      </w:tr>
      <w:tr w:rsidR="00AE7347" w:rsidRPr="00AE7347" w14:paraId="7E3CF379" w14:textId="77777777" w:rsidTr="00714253">
        <w:tc>
          <w:tcPr>
            <w:tcW w:w="1152" w:type="dxa"/>
            <w:vMerge w:val="restart"/>
            <w:shd w:val="clear" w:color="auto" w:fill="C5E0B3"/>
            <w:vAlign w:val="center"/>
          </w:tcPr>
          <w:p w14:paraId="754923F9"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Způsob plnění</w:t>
            </w:r>
          </w:p>
        </w:tc>
        <w:tc>
          <w:tcPr>
            <w:tcW w:w="6118" w:type="dxa"/>
            <w:shd w:val="clear" w:color="auto" w:fill="D9D9D9"/>
          </w:tcPr>
          <w:p w14:paraId="11F6044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Definovat a připravit systém evidence a aktualizace seznamu ohrožených oblastí.</w:t>
            </w:r>
          </w:p>
        </w:tc>
        <w:tc>
          <w:tcPr>
            <w:tcW w:w="6872" w:type="dxa"/>
            <w:shd w:val="clear" w:color="auto" w:fill="D9D9D9"/>
          </w:tcPr>
          <w:p w14:paraId="260DE5FD"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Zajistit postupné přehodnocení některých již nevyhovujících PHO, případně OPVZ tak aby odpovídaly současné situaci (POR, mechanizace aj.)</w:t>
            </w:r>
            <w:r w:rsidR="005F73FF">
              <w:rPr>
                <w:rFonts w:ascii="Calibri" w:eastAsia="Times New Roman" w:hAnsi="Calibri" w:cs="Times New Roman"/>
                <w:sz w:val="22"/>
              </w:rPr>
              <w:t>.</w:t>
            </w:r>
          </w:p>
        </w:tc>
      </w:tr>
      <w:tr w:rsidR="00AE7347" w:rsidRPr="00AE7347" w14:paraId="2C299325" w14:textId="77777777" w:rsidTr="00714253">
        <w:tc>
          <w:tcPr>
            <w:tcW w:w="1152" w:type="dxa"/>
            <w:vMerge/>
            <w:shd w:val="clear" w:color="auto" w:fill="C5E0B3"/>
            <w:vAlign w:val="center"/>
          </w:tcPr>
          <w:p w14:paraId="03555DA0"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7CF56F8E" w14:textId="77777777" w:rsidR="00AE7347" w:rsidRPr="00AE7347" w:rsidRDefault="00AE7347" w:rsidP="009466F9">
            <w:pPr>
              <w:rPr>
                <w:rFonts w:ascii="Calibri" w:eastAsia="Times New Roman" w:hAnsi="Calibri" w:cs="Times New Roman"/>
                <w:sz w:val="22"/>
              </w:rPr>
            </w:pPr>
            <w:r w:rsidRPr="00AE7347">
              <w:rPr>
                <w:rFonts w:ascii="Calibri" w:eastAsia="Times New Roman" w:hAnsi="Calibri" w:cs="Times New Roman"/>
                <w:sz w:val="22"/>
              </w:rPr>
              <w:t>Metodicky upravit a zavádět vhodné způsoby regulace aplikace přípravků v ohrožených oblastech, včetně podpory systémů pěstování plodin méně náročných na používání přípravků v</w:t>
            </w:r>
            <w:r w:rsidR="009466F9">
              <w:rPr>
                <w:rFonts w:ascii="Calibri" w:eastAsia="Times New Roman" w:hAnsi="Calibri" w:cs="Times New Roman"/>
                <w:sz w:val="22"/>
              </w:rPr>
              <w:t> </w:t>
            </w:r>
            <w:r w:rsidRPr="00AE7347">
              <w:rPr>
                <w:rFonts w:ascii="Calibri" w:eastAsia="Times New Roman" w:hAnsi="Calibri" w:cs="Times New Roman"/>
                <w:sz w:val="22"/>
              </w:rPr>
              <w:t>kombinaci s povolením použitelných přípravků využíváním ustanovení §</w:t>
            </w:r>
            <w:r w:rsidR="009466F9">
              <w:rPr>
                <w:rFonts w:ascii="Calibri" w:eastAsia="Times New Roman" w:hAnsi="Calibri" w:cs="Times New Roman"/>
                <w:sz w:val="22"/>
              </w:rPr>
              <w:t> </w:t>
            </w:r>
            <w:r w:rsidRPr="00AE7347">
              <w:rPr>
                <w:rFonts w:ascii="Calibri" w:eastAsia="Times New Roman" w:hAnsi="Calibri" w:cs="Times New Roman"/>
                <w:sz w:val="22"/>
              </w:rPr>
              <w:t>38b rostlinolékařského zákona.</w:t>
            </w:r>
          </w:p>
        </w:tc>
        <w:tc>
          <w:tcPr>
            <w:tcW w:w="6872" w:type="dxa"/>
            <w:shd w:val="clear" w:color="auto" w:fill="D9D9D9"/>
          </w:tcPr>
          <w:p w14:paraId="6EC58FC6" w14:textId="1BD58C54" w:rsidR="00AE7347" w:rsidRPr="00AE7347" w:rsidRDefault="00AE7347" w:rsidP="001C07E4">
            <w:pPr>
              <w:rPr>
                <w:rFonts w:ascii="Calibri" w:eastAsia="Times New Roman" w:hAnsi="Calibri" w:cs="Times New Roman"/>
                <w:sz w:val="22"/>
              </w:rPr>
            </w:pPr>
            <w:r w:rsidRPr="00AE7347">
              <w:rPr>
                <w:rFonts w:ascii="Calibri" w:eastAsia="Times New Roman" w:hAnsi="Calibri" w:cs="Times New Roman"/>
                <w:sz w:val="22"/>
              </w:rPr>
              <w:t xml:space="preserve">Metodicky zajistit agrotechnické zásady aplikace POR v OPVZ s možností využití na pozemcích sousedících s OPVZ a na pozemcích tvořících povodí útvarů povrchových a podzemních vod s nadlimitním výskytem reziduí POR z hlediska ochrany vod s ohledem na konkrétní geologické, terénní </w:t>
            </w:r>
            <w:r w:rsidR="001C07E4">
              <w:rPr>
                <w:rFonts w:ascii="Calibri" w:eastAsia="Times New Roman" w:hAnsi="Calibri" w:cs="Times New Roman"/>
                <w:sz w:val="22"/>
              </w:rPr>
              <w:br/>
            </w:r>
            <w:r w:rsidRPr="00AE7347">
              <w:rPr>
                <w:rFonts w:ascii="Calibri" w:eastAsia="Times New Roman" w:hAnsi="Calibri" w:cs="Times New Roman"/>
                <w:sz w:val="22"/>
              </w:rPr>
              <w:t>a</w:t>
            </w:r>
            <w:r w:rsidR="001C07E4">
              <w:rPr>
                <w:rFonts w:ascii="Calibri" w:eastAsia="Times New Roman" w:hAnsi="Calibri" w:cs="Times New Roman"/>
                <w:sz w:val="22"/>
              </w:rPr>
              <w:t xml:space="preserve"> </w:t>
            </w:r>
            <w:r w:rsidRPr="00AE7347">
              <w:rPr>
                <w:rFonts w:ascii="Calibri" w:eastAsia="Times New Roman" w:hAnsi="Calibri" w:cs="Times New Roman"/>
                <w:sz w:val="22"/>
              </w:rPr>
              <w:t xml:space="preserve">klimatické podmínky a typ a bonitu půdy včetně podpory systémů pěstování plodin méně náročných na používání POR v kombinaci </w:t>
            </w:r>
            <w:r w:rsidR="003A0E52">
              <w:rPr>
                <w:rFonts w:ascii="Calibri" w:eastAsia="Times New Roman" w:hAnsi="Calibri" w:cs="Times New Roman"/>
                <w:sz w:val="22"/>
              </w:rPr>
              <w:br/>
            </w:r>
            <w:r w:rsidRPr="00AE7347">
              <w:rPr>
                <w:rFonts w:ascii="Calibri" w:eastAsia="Times New Roman" w:hAnsi="Calibri" w:cs="Times New Roman"/>
                <w:sz w:val="22"/>
              </w:rPr>
              <w:t>s</w:t>
            </w:r>
            <w:r w:rsidR="003A0E52">
              <w:rPr>
                <w:rFonts w:ascii="Calibri" w:eastAsia="Times New Roman" w:hAnsi="Calibri" w:cs="Times New Roman"/>
                <w:sz w:val="22"/>
              </w:rPr>
              <w:t xml:space="preserve"> </w:t>
            </w:r>
            <w:r w:rsidRPr="00AE7347">
              <w:rPr>
                <w:rFonts w:ascii="Calibri" w:eastAsia="Times New Roman" w:hAnsi="Calibri" w:cs="Times New Roman"/>
                <w:sz w:val="22"/>
              </w:rPr>
              <w:t>povolením použitelných POR využíváním ustanovení §</w:t>
            </w:r>
            <w:r w:rsidR="00452E01">
              <w:rPr>
                <w:rFonts w:ascii="Calibri" w:eastAsia="Times New Roman" w:hAnsi="Calibri" w:cs="Times New Roman"/>
                <w:sz w:val="22"/>
              </w:rPr>
              <w:t> </w:t>
            </w:r>
            <w:r w:rsidRPr="00AE7347">
              <w:rPr>
                <w:rFonts w:ascii="Calibri" w:eastAsia="Times New Roman" w:hAnsi="Calibri" w:cs="Times New Roman"/>
                <w:sz w:val="22"/>
              </w:rPr>
              <w:t>38b rostlinolékařského zákona.</w:t>
            </w:r>
          </w:p>
        </w:tc>
      </w:tr>
      <w:tr w:rsidR="00AE7347" w:rsidRPr="00AE7347" w14:paraId="715B9C9E" w14:textId="77777777" w:rsidTr="00714253">
        <w:tc>
          <w:tcPr>
            <w:tcW w:w="1152" w:type="dxa"/>
            <w:vMerge/>
            <w:shd w:val="clear" w:color="auto" w:fill="C5E0B3"/>
            <w:vAlign w:val="center"/>
          </w:tcPr>
          <w:p w14:paraId="51FEC1CA"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355D49EF"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Analyzovat možnosti zavedení ekonomických nástrojů např. daně z prodeje přípravků nevhodných pro použití v systémech integrované ochrany rostlin a vyhodnotit jejich reálný efekt a</w:t>
            </w:r>
            <w:r w:rsidR="00452E01">
              <w:rPr>
                <w:rFonts w:ascii="Calibri" w:eastAsia="Times New Roman" w:hAnsi="Calibri" w:cs="Times New Roman"/>
                <w:sz w:val="22"/>
              </w:rPr>
              <w:t> </w:t>
            </w:r>
            <w:r w:rsidRPr="00AE7347">
              <w:rPr>
                <w:rFonts w:ascii="Calibri" w:eastAsia="Times New Roman" w:hAnsi="Calibri" w:cs="Times New Roman"/>
                <w:sz w:val="22"/>
              </w:rPr>
              <w:t>dopady.</w:t>
            </w:r>
          </w:p>
        </w:tc>
        <w:tc>
          <w:tcPr>
            <w:tcW w:w="6872" w:type="dxa"/>
            <w:shd w:val="clear" w:color="auto" w:fill="D9D9D9"/>
          </w:tcPr>
          <w:p w14:paraId="56EA30B6"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r>
      <w:tr w:rsidR="00AE7347" w:rsidRPr="00AE7347" w14:paraId="4295001E" w14:textId="77777777" w:rsidTr="00714253">
        <w:tc>
          <w:tcPr>
            <w:tcW w:w="1152" w:type="dxa"/>
            <w:vMerge/>
            <w:shd w:val="clear" w:color="auto" w:fill="C5E0B3"/>
            <w:vAlign w:val="center"/>
          </w:tcPr>
          <w:p w14:paraId="629445D1"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6D475CD5"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Harmonizovat zavádění výše uvedených opatření s přípravou a</w:t>
            </w:r>
            <w:r w:rsidR="00452E01">
              <w:rPr>
                <w:rFonts w:ascii="Calibri" w:eastAsia="Times New Roman" w:hAnsi="Calibri" w:cs="Times New Roman"/>
                <w:sz w:val="22"/>
              </w:rPr>
              <w:t> </w:t>
            </w:r>
            <w:r w:rsidRPr="00AE7347">
              <w:rPr>
                <w:rFonts w:ascii="Calibri" w:eastAsia="Times New Roman" w:hAnsi="Calibri" w:cs="Times New Roman"/>
                <w:sz w:val="22"/>
              </w:rPr>
              <w:t>výstupy plánů povodí podle vodního zákona.</w:t>
            </w:r>
          </w:p>
        </w:tc>
        <w:tc>
          <w:tcPr>
            <w:tcW w:w="6872" w:type="dxa"/>
            <w:shd w:val="clear" w:color="auto" w:fill="D9D9D9"/>
          </w:tcPr>
          <w:p w14:paraId="65C14586"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r>
      <w:tr w:rsidR="00AE7347" w:rsidRPr="00AE7347" w14:paraId="4EEE283B" w14:textId="77777777" w:rsidTr="00714253">
        <w:tc>
          <w:tcPr>
            <w:tcW w:w="1152" w:type="dxa"/>
            <w:vMerge/>
            <w:shd w:val="clear" w:color="auto" w:fill="C5E0B3"/>
            <w:vAlign w:val="center"/>
          </w:tcPr>
          <w:p w14:paraId="693261F4"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CE4AC6D"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Vyhodnotit reálný dopad výše uvedených opatření na zemědělské subjekty, hospodařící zejména v ochranných pásmech vodních zdrojů, a dle výsledků upravit dotační politiku ČR (např. finanční podpora za omezené užívání pozemků).</w:t>
            </w:r>
          </w:p>
        </w:tc>
        <w:tc>
          <w:tcPr>
            <w:tcW w:w="6872" w:type="dxa"/>
            <w:shd w:val="clear" w:color="auto" w:fill="D9D9D9"/>
          </w:tcPr>
          <w:p w14:paraId="7BB7A2D1"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r>
      <w:tr w:rsidR="00AE7347" w:rsidRPr="00AE7347" w14:paraId="3BC82DA8" w14:textId="77777777" w:rsidTr="00714253">
        <w:tc>
          <w:tcPr>
            <w:tcW w:w="1152" w:type="dxa"/>
            <w:vMerge w:val="restart"/>
            <w:shd w:val="clear" w:color="auto" w:fill="F7CAAC"/>
          </w:tcPr>
          <w:p w14:paraId="218A4676"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 xml:space="preserve">Specifické indikátory plnění </w:t>
            </w:r>
            <w:r w:rsidRPr="00AE7347">
              <w:rPr>
                <w:rFonts w:ascii="Calibri" w:eastAsia="Times New Roman" w:hAnsi="Calibri" w:cs="Times New Roman"/>
                <w:b/>
                <w:sz w:val="22"/>
              </w:rPr>
              <w:lastRenderedPageBreak/>
              <w:t>dílčího cíle</w:t>
            </w:r>
          </w:p>
        </w:tc>
        <w:tc>
          <w:tcPr>
            <w:tcW w:w="6118" w:type="dxa"/>
            <w:shd w:val="clear" w:color="auto" w:fill="D9D9D9"/>
          </w:tcPr>
          <w:p w14:paraId="50BDED57"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lastRenderedPageBreak/>
              <w:t>Počet ohrožených oblastí</w:t>
            </w:r>
            <w:r w:rsidR="005F73FF">
              <w:rPr>
                <w:rFonts w:ascii="Calibri" w:eastAsia="Times New Roman" w:hAnsi="Calibri" w:cs="Times New Roman"/>
                <w:sz w:val="22"/>
              </w:rPr>
              <w:t>.</w:t>
            </w:r>
          </w:p>
        </w:tc>
        <w:tc>
          <w:tcPr>
            <w:tcW w:w="6872" w:type="dxa"/>
            <w:shd w:val="clear" w:color="auto" w:fill="D9D9D9"/>
          </w:tcPr>
          <w:p w14:paraId="2146FF98"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účinných látek, které byly zjištěny v nadlimitním množství ve vodním zdroji</w:t>
            </w:r>
            <w:r w:rsidR="005F73FF">
              <w:rPr>
                <w:rFonts w:ascii="Calibri" w:eastAsia="Times New Roman" w:hAnsi="Calibri" w:cs="Times New Roman"/>
                <w:sz w:val="22"/>
              </w:rPr>
              <w:t>.</w:t>
            </w:r>
          </w:p>
        </w:tc>
      </w:tr>
      <w:tr w:rsidR="00AE7347" w:rsidRPr="00AE7347" w14:paraId="35BA5C9D" w14:textId="77777777" w:rsidTr="00714253">
        <w:tc>
          <w:tcPr>
            <w:tcW w:w="1152" w:type="dxa"/>
            <w:vMerge/>
            <w:shd w:val="clear" w:color="auto" w:fill="F7CAAC"/>
          </w:tcPr>
          <w:p w14:paraId="098C4BCB"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66446257"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687D9B44"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Vhodné způsoby regulace aplikace POR v</w:t>
            </w:r>
            <w:r w:rsidR="005F73FF">
              <w:rPr>
                <w:rFonts w:ascii="Calibri" w:eastAsia="Times New Roman" w:hAnsi="Calibri" w:cs="Times New Roman"/>
                <w:sz w:val="22"/>
              </w:rPr>
              <w:t> </w:t>
            </w:r>
            <w:r w:rsidRPr="00AE7347">
              <w:rPr>
                <w:rFonts w:ascii="Calibri" w:eastAsia="Times New Roman" w:hAnsi="Calibri" w:cs="Times New Roman"/>
                <w:sz w:val="22"/>
              </w:rPr>
              <w:t>OPVZ</w:t>
            </w:r>
            <w:r w:rsidR="005F73FF">
              <w:rPr>
                <w:rFonts w:ascii="Calibri" w:eastAsia="Times New Roman" w:hAnsi="Calibri" w:cs="Times New Roman"/>
                <w:sz w:val="22"/>
              </w:rPr>
              <w:t>.</w:t>
            </w:r>
          </w:p>
        </w:tc>
      </w:tr>
      <w:tr w:rsidR="00AE7347" w:rsidRPr="00AE7347" w14:paraId="0620D450" w14:textId="77777777" w:rsidTr="00714253">
        <w:tc>
          <w:tcPr>
            <w:tcW w:w="1152" w:type="dxa"/>
            <w:vMerge/>
            <w:shd w:val="clear" w:color="auto" w:fill="F7CAAC"/>
          </w:tcPr>
          <w:p w14:paraId="497FD5DE"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83C6F87"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518F6BA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plánovaných kontrol u subjektů hospodařících na pozemcích v OPVZ a sousedících s útvary povrchových vod (ano lze se zvýšeně zaměřit i na subjekty hospodařící v sousedství OPVZ)</w:t>
            </w:r>
            <w:r w:rsidR="005F73FF">
              <w:rPr>
                <w:rFonts w:ascii="Calibri" w:eastAsia="Times New Roman" w:hAnsi="Calibri" w:cs="Times New Roman"/>
                <w:sz w:val="22"/>
              </w:rPr>
              <w:t>.</w:t>
            </w:r>
          </w:p>
        </w:tc>
      </w:tr>
      <w:tr w:rsidR="00AE7347" w:rsidRPr="00AE7347" w14:paraId="41B3550A" w14:textId="77777777" w:rsidTr="00714253">
        <w:tc>
          <w:tcPr>
            <w:tcW w:w="7270" w:type="dxa"/>
            <w:gridSpan w:val="2"/>
            <w:shd w:val="clear" w:color="auto" w:fill="DBDBDB"/>
          </w:tcPr>
          <w:p w14:paraId="347DA5DA"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j)</w:t>
            </w:r>
          </w:p>
          <w:p w14:paraId="53507D27"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Zajistit cílenou podporu opatření vedoucí ke snížení nadlimitního výskytu reziduí v dodávané pitné vodě tam, kde nebude dosaženo vyhovující kvality regulací aplikace přípravků v ohrožených oblastech.</w:t>
            </w:r>
          </w:p>
        </w:tc>
        <w:tc>
          <w:tcPr>
            <w:tcW w:w="6872" w:type="dxa"/>
            <w:shd w:val="clear" w:color="auto" w:fill="DBDBDB"/>
          </w:tcPr>
          <w:p w14:paraId="51DE1CA8" w14:textId="77777777" w:rsidR="00AE7347" w:rsidRPr="00AE7347" w:rsidRDefault="00AE7347" w:rsidP="00AE7347">
            <w:pPr>
              <w:jc w:val="center"/>
              <w:rPr>
                <w:rFonts w:ascii="Calibri" w:eastAsia="Times New Roman" w:hAnsi="Calibri" w:cs="Times New Roman"/>
                <w:b/>
                <w:sz w:val="22"/>
              </w:rPr>
            </w:pPr>
            <w:r w:rsidRPr="00AE7347">
              <w:rPr>
                <w:rFonts w:ascii="Calibri" w:eastAsia="Times New Roman" w:hAnsi="Calibri" w:cs="Times New Roman"/>
                <w:b/>
                <w:sz w:val="22"/>
              </w:rPr>
              <w:t>Dílčí cíl I. j)</w:t>
            </w:r>
          </w:p>
          <w:p w14:paraId="50FE2A8D"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 xml:space="preserve">Zajistit cílenou podporu opatření ke snížení nadlimitního místního výskytu reziduí v dodávané pitné vodě tam, kde dočasně nebude dosaženo vyhovující kvality regulací aplikace přípravků prostřednictvím preventivních opatření dle dílčího </w:t>
            </w:r>
            <w:proofErr w:type="gramStart"/>
            <w:r w:rsidRPr="00AE7347">
              <w:rPr>
                <w:rFonts w:ascii="Calibri" w:eastAsia="Times New Roman" w:hAnsi="Calibri" w:cs="Times New Roman"/>
                <w:sz w:val="22"/>
              </w:rPr>
              <w:t xml:space="preserve">cíle </w:t>
            </w:r>
            <w:proofErr w:type="spellStart"/>
            <w:r w:rsidRPr="00AE7347">
              <w:rPr>
                <w:rFonts w:ascii="Calibri" w:eastAsia="Times New Roman" w:hAnsi="Calibri" w:cs="Times New Roman"/>
                <w:sz w:val="22"/>
              </w:rPr>
              <w:t>I.e</w:t>
            </w:r>
            <w:proofErr w:type="spellEnd"/>
            <w:r w:rsidRPr="00AE7347">
              <w:rPr>
                <w:rFonts w:ascii="Calibri" w:eastAsia="Times New Roman" w:hAnsi="Calibri" w:cs="Times New Roman"/>
                <w:sz w:val="22"/>
              </w:rPr>
              <w:t>.</w:t>
            </w:r>
            <w:proofErr w:type="gramEnd"/>
            <w:r w:rsidRPr="00AE7347">
              <w:rPr>
                <w:rFonts w:ascii="Calibri" w:eastAsia="Times New Roman" w:hAnsi="Calibri" w:cs="Times New Roman"/>
                <w:sz w:val="22"/>
              </w:rPr>
              <w:t xml:space="preserve"> Tato technologická opatření však nesmí nahrazovat realizaci efektivních opatření v povodí vodárenských zdrojů.</w:t>
            </w:r>
          </w:p>
        </w:tc>
      </w:tr>
      <w:tr w:rsidR="00AE7347" w:rsidRPr="00AE7347" w14:paraId="5447CED7" w14:textId="77777777" w:rsidTr="00714253">
        <w:tc>
          <w:tcPr>
            <w:tcW w:w="1152" w:type="dxa"/>
            <w:vMerge w:val="restart"/>
            <w:shd w:val="clear" w:color="auto" w:fill="C5E0B3"/>
          </w:tcPr>
          <w:p w14:paraId="17D2371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Způsob plnění</w:t>
            </w:r>
          </w:p>
        </w:tc>
        <w:tc>
          <w:tcPr>
            <w:tcW w:w="6118" w:type="dxa"/>
            <w:shd w:val="clear" w:color="auto" w:fill="D9D9D9"/>
          </w:tcPr>
          <w:p w14:paraId="7698AB7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Vytvořit systém cílené podpory realizace opatření na úpravnách vod a vodních zdrojích zaměřených na odstraňování nadlimitních obsahů reziduí při úpravě vody na vodu pitnou.</w:t>
            </w:r>
          </w:p>
        </w:tc>
        <w:tc>
          <w:tcPr>
            <w:tcW w:w="6872" w:type="dxa"/>
            <w:shd w:val="clear" w:color="auto" w:fill="D9D9D9"/>
          </w:tcPr>
          <w:p w14:paraId="59F62DCC" w14:textId="23A1CCDA" w:rsidR="00AE7347" w:rsidRPr="00AE7347" w:rsidRDefault="00AE7347" w:rsidP="001C07E4">
            <w:pPr>
              <w:rPr>
                <w:rFonts w:ascii="Calibri" w:eastAsia="Times New Roman" w:hAnsi="Calibri" w:cs="Times New Roman"/>
                <w:sz w:val="22"/>
              </w:rPr>
            </w:pPr>
            <w:r w:rsidRPr="00AE7347">
              <w:rPr>
                <w:rFonts w:ascii="Calibri" w:eastAsia="Times New Roman" w:hAnsi="Calibri" w:cs="Times New Roman"/>
                <w:sz w:val="22"/>
              </w:rPr>
              <w:t xml:space="preserve">Vytvořit systém cílené podpory realizace opatření na úpravnách vod </w:t>
            </w:r>
            <w:r w:rsidR="001C07E4">
              <w:rPr>
                <w:rFonts w:ascii="Calibri" w:eastAsia="Times New Roman" w:hAnsi="Calibri" w:cs="Times New Roman"/>
                <w:sz w:val="22"/>
              </w:rPr>
              <w:br/>
            </w:r>
            <w:r w:rsidRPr="00AE7347">
              <w:rPr>
                <w:rFonts w:ascii="Calibri" w:eastAsia="Times New Roman" w:hAnsi="Calibri" w:cs="Times New Roman"/>
                <w:sz w:val="22"/>
              </w:rPr>
              <w:t>a</w:t>
            </w:r>
            <w:r w:rsidR="001C07E4">
              <w:rPr>
                <w:rFonts w:ascii="Calibri" w:eastAsia="Times New Roman" w:hAnsi="Calibri" w:cs="Times New Roman"/>
                <w:sz w:val="22"/>
              </w:rPr>
              <w:t xml:space="preserve"> </w:t>
            </w:r>
            <w:r w:rsidRPr="00AE7347">
              <w:rPr>
                <w:rFonts w:ascii="Calibri" w:eastAsia="Times New Roman" w:hAnsi="Calibri" w:cs="Times New Roman"/>
                <w:sz w:val="22"/>
              </w:rPr>
              <w:t>vodních zdrojích zaměřených na odstraňování nadlimitních obsahů reziduí POR při úpravě vody na vodu pitnou.</w:t>
            </w:r>
          </w:p>
        </w:tc>
      </w:tr>
      <w:tr w:rsidR="00AE7347" w:rsidRPr="00AE7347" w14:paraId="19F8EACB" w14:textId="77777777" w:rsidTr="00714253">
        <w:tc>
          <w:tcPr>
            <w:tcW w:w="1152" w:type="dxa"/>
            <w:vMerge/>
            <w:shd w:val="clear" w:color="auto" w:fill="C5E0B3"/>
          </w:tcPr>
          <w:p w14:paraId="61D6DEE0"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0B31303D"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c>
          <w:tcPr>
            <w:tcW w:w="6872" w:type="dxa"/>
            <w:shd w:val="clear" w:color="auto" w:fill="D9D9D9"/>
          </w:tcPr>
          <w:p w14:paraId="7914471C"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Vytvořit metodickou podporu pro návrh a realizaci opatření v oblastech, kde se neprojevila dostatečná efektivita již realizovaných zásahů.</w:t>
            </w:r>
          </w:p>
        </w:tc>
      </w:tr>
      <w:tr w:rsidR="00AE7347" w:rsidRPr="00AE7347" w14:paraId="760E3681" w14:textId="77777777" w:rsidTr="00714253">
        <w:tc>
          <w:tcPr>
            <w:tcW w:w="1152" w:type="dxa"/>
            <w:vMerge w:val="restart"/>
            <w:shd w:val="clear" w:color="auto" w:fill="F7CAAC"/>
            <w:vAlign w:val="center"/>
          </w:tcPr>
          <w:p w14:paraId="7D543DB1"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b/>
                <w:sz w:val="22"/>
              </w:rPr>
              <w:t>Specifické indikátory plnění dílčího cíle</w:t>
            </w:r>
          </w:p>
        </w:tc>
        <w:tc>
          <w:tcPr>
            <w:tcW w:w="6118" w:type="dxa"/>
            <w:shd w:val="clear" w:color="auto" w:fill="D9D9D9"/>
          </w:tcPr>
          <w:p w14:paraId="23CFA83D"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osob zásobovaných pitnou vodou ze zdrojů s výskytem reziduí</w:t>
            </w:r>
            <w:r w:rsidR="005F73FF">
              <w:rPr>
                <w:rFonts w:ascii="Calibri" w:eastAsia="Times New Roman" w:hAnsi="Calibri" w:cs="Times New Roman"/>
                <w:sz w:val="22"/>
              </w:rPr>
              <w:t>.</w:t>
            </w:r>
          </w:p>
        </w:tc>
        <w:tc>
          <w:tcPr>
            <w:tcW w:w="6872" w:type="dxa"/>
            <w:shd w:val="clear" w:color="auto" w:fill="D9D9D9"/>
          </w:tcPr>
          <w:p w14:paraId="7075E63A"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osob zásobovaných pitnou vodou ze zdrojů s nadlimitním výskytem reziduí</w:t>
            </w:r>
            <w:r w:rsidR="005F73FF">
              <w:rPr>
                <w:rFonts w:ascii="Calibri" w:eastAsia="Times New Roman" w:hAnsi="Calibri" w:cs="Times New Roman"/>
                <w:sz w:val="22"/>
              </w:rPr>
              <w:t>.</w:t>
            </w:r>
          </w:p>
        </w:tc>
      </w:tr>
      <w:tr w:rsidR="00AE7347" w:rsidRPr="00AE7347" w14:paraId="4687BCF8" w14:textId="77777777" w:rsidTr="00714253">
        <w:tc>
          <w:tcPr>
            <w:tcW w:w="1152" w:type="dxa"/>
            <w:vMerge/>
            <w:shd w:val="clear" w:color="auto" w:fill="F7CAAC"/>
          </w:tcPr>
          <w:p w14:paraId="1A4DE163"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38CC4372" w14:textId="77777777" w:rsidR="00AE7347" w:rsidRPr="00AE7347" w:rsidRDefault="00AE7347" w:rsidP="00AE7347">
            <w:pPr>
              <w:rPr>
                <w:rFonts w:ascii="Calibri" w:eastAsia="Times New Roman" w:hAnsi="Calibri" w:cs="Times New Roman"/>
                <w:sz w:val="22"/>
              </w:rPr>
            </w:pPr>
            <w:r w:rsidRPr="00AE7347">
              <w:rPr>
                <w:rFonts w:ascii="Calibri" w:eastAsia="Times New Roman" w:hAnsi="Calibri" w:cs="Times New Roman"/>
                <w:sz w:val="22"/>
              </w:rPr>
              <w:t>Počet podnětů k šetření případů podezření z nesprávné aplikace přípravků s ohledem na ochranu vod</w:t>
            </w:r>
            <w:r w:rsidR="005F73FF">
              <w:rPr>
                <w:rFonts w:ascii="Calibri" w:eastAsia="Times New Roman" w:hAnsi="Calibri" w:cs="Times New Roman"/>
                <w:sz w:val="22"/>
              </w:rPr>
              <w:t>.</w:t>
            </w:r>
          </w:p>
        </w:tc>
        <w:tc>
          <w:tcPr>
            <w:tcW w:w="6872" w:type="dxa"/>
            <w:shd w:val="clear" w:color="auto" w:fill="D9D9D9"/>
          </w:tcPr>
          <w:p w14:paraId="0F4433E6"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r>
      <w:tr w:rsidR="00AE7347" w:rsidRPr="00AE7347" w14:paraId="1A78B31B" w14:textId="77777777" w:rsidTr="00714253">
        <w:tc>
          <w:tcPr>
            <w:tcW w:w="1152" w:type="dxa"/>
            <w:vMerge/>
            <w:shd w:val="clear" w:color="auto" w:fill="F7CAAC"/>
          </w:tcPr>
          <w:p w14:paraId="60695BB2" w14:textId="77777777" w:rsidR="00AE7347" w:rsidRPr="00AE7347" w:rsidRDefault="00AE7347" w:rsidP="00AE7347">
            <w:pPr>
              <w:rPr>
                <w:rFonts w:ascii="Calibri" w:eastAsia="Times New Roman" w:hAnsi="Calibri" w:cs="Times New Roman"/>
                <w:sz w:val="22"/>
              </w:rPr>
            </w:pPr>
          </w:p>
        </w:tc>
        <w:tc>
          <w:tcPr>
            <w:tcW w:w="6118" w:type="dxa"/>
            <w:shd w:val="clear" w:color="auto" w:fill="D9D9D9"/>
          </w:tcPr>
          <w:p w14:paraId="44EFA131" w14:textId="77777777" w:rsidR="00AE7347" w:rsidRPr="00AE7347" w:rsidRDefault="00AE7347" w:rsidP="00452E01">
            <w:pPr>
              <w:rPr>
                <w:rFonts w:ascii="Calibri" w:eastAsia="Times New Roman" w:hAnsi="Calibri" w:cs="Times New Roman"/>
                <w:sz w:val="22"/>
              </w:rPr>
            </w:pPr>
            <w:r w:rsidRPr="00AE7347">
              <w:rPr>
                <w:rFonts w:ascii="Calibri" w:eastAsia="Times New Roman" w:hAnsi="Calibri" w:cs="Times New Roman"/>
                <w:sz w:val="22"/>
              </w:rPr>
              <w:t>Počet vzorků s rezidui v povrchových a podzemních vodách v</w:t>
            </w:r>
            <w:r w:rsidR="00452E01">
              <w:rPr>
                <w:rFonts w:ascii="Calibri" w:eastAsia="Times New Roman" w:hAnsi="Calibri" w:cs="Times New Roman"/>
                <w:sz w:val="22"/>
              </w:rPr>
              <w:t> </w:t>
            </w:r>
            <w:r w:rsidRPr="00AE7347">
              <w:rPr>
                <w:rFonts w:ascii="Calibri" w:eastAsia="Times New Roman" w:hAnsi="Calibri" w:cs="Times New Roman"/>
                <w:sz w:val="22"/>
              </w:rPr>
              <w:t>návaznosti na plochu vyhlášených OPVZ</w:t>
            </w:r>
            <w:r w:rsidR="005F73FF">
              <w:rPr>
                <w:rFonts w:ascii="Calibri" w:eastAsia="Times New Roman" w:hAnsi="Calibri" w:cs="Times New Roman"/>
                <w:sz w:val="22"/>
              </w:rPr>
              <w:t>.</w:t>
            </w:r>
          </w:p>
        </w:tc>
        <w:tc>
          <w:tcPr>
            <w:tcW w:w="6872" w:type="dxa"/>
            <w:shd w:val="clear" w:color="auto" w:fill="D9D9D9"/>
          </w:tcPr>
          <w:p w14:paraId="3807B35C" w14:textId="77777777" w:rsidR="00AE7347" w:rsidRPr="00AE7347" w:rsidRDefault="00AE7347" w:rsidP="00AE7347">
            <w:pPr>
              <w:jc w:val="center"/>
              <w:rPr>
                <w:rFonts w:ascii="Calibri" w:eastAsia="Times New Roman" w:hAnsi="Calibri" w:cs="Times New Roman"/>
                <w:sz w:val="22"/>
              </w:rPr>
            </w:pPr>
            <w:r w:rsidRPr="00AE7347">
              <w:rPr>
                <w:rFonts w:ascii="Calibri" w:eastAsia="Times New Roman" w:hAnsi="Calibri" w:cs="Times New Roman"/>
                <w:sz w:val="22"/>
              </w:rPr>
              <w:t>-----------------------------</w:t>
            </w:r>
          </w:p>
        </w:tc>
      </w:tr>
    </w:tbl>
    <w:p w14:paraId="237BCEC1" w14:textId="77777777" w:rsidR="00AE7347" w:rsidRPr="009A69BE" w:rsidRDefault="00AE7347" w:rsidP="00AE7347">
      <w:pPr>
        <w:spacing w:after="0"/>
        <w:jc w:val="left"/>
        <w:rPr>
          <w:rFonts w:ascii="Calibri" w:eastAsia="Times New Roman" w:hAnsi="Calibri" w:cs="Times New Roman"/>
          <w:sz w:val="20"/>
          <w:szCs w:val="20"/>
        </w:rPr>
      </w:pPr>
      <w:r w:rsidRPr="009A69BE">
        <w:rPr>
          <w:rFonts w:ascii="Calibri" w:eastAsia="Times New Roman" w:hAnsi="Calibri" w:cs="Times New Roman"/>
          <w:b/>
          <w:sz w:val="20"/>
          <w:szCs w:val="20"/>
        </w:rPr>
        <w:t>Zdroj:</w:t>
      </w:r>
      <w:r w:rsidRPr="009A69BE">
        <w:rPr>
          <w:rFonts w:ascii="Calibri" w:eastAsia="Times New Roman" w:hAnsi="Calibri" w:cs="Times New Roman"/>
          <w:sz w:val="20"/>
          <w:szCs w:val="20"/>
        </w:rPr>
        <w:t xml:space="preserve"> NAP 2013–2017, NAP 2018–2022</w:t>
      </w:r>
      <w:r w:rsidR="00E84AF0">
        <w:rPr>
          <w:rFonts w:ascii="Calibri" w:eastAsia="Times New Roman" w:hAnsi="Calibri" w:cs="Times New Roman"/>
          <w:sz w:val="20"/>
          <w:szCs w:val="20"/>
        </w:rPr>
        <w:t>.</w:t>
      </w:r>
    </w:p>
    <w:p w14:paraId="5FB78193" w14:textId="77777777" w:rsidR="00AE7347" w:rsidRPr="00AE7347" w:rsidRDefault="00AE7347" w:rsidP="00AE7347">
      <w:pPr>
        <w:spacing w:after="0"/>
        <w:jc w:val="left"/>
        <w:rPr>
          <w:rFonts w:ascii="Calibri" w:eastAsia="Times New Roman" w:hAnsi="Calibri" w:cs="Times New Roman"/>
          <w:szCs w:val="24"/>
        </w:rPr>
      </w:pPr>
    </w:p>
    <w:p w14:paraId="1DF2DED6" w14:textId="77777777" w:rsidR="00AE7347" w:rsidRDefault="00AE7347" w:rsidP="00AE7347">
      <w:pPr>
        <w:tabs>
          <w:tab w:val="left" w:pos="3544"/>
        </w:tabs>
        <w:spacing w:after="0"/>
        <w:rPr>
          <w:b/>
          <w:szCs w:val="24"/>
        </w:rPr>
      </w:pPr>
    </w:p>
    <w:p w14:paraId="095B89F1" w14:textId="77777777" w:rsidR="00714253" w:rsidRDefault="00714253" w:rsidP="00AE7347">
      <w:pPr>
        <w:tabs>
          <w:tab w:val="left" w:pos="3544"/>
        </w:tabs>
        <w:spacing w:after="0"/>
        <w:rPr>
          <w:b/>
          <w:szCs w:val="24"/>
        </w:rPr>
        <w:sectPr w:rsidR="00714253" w:rsidSect="00AE7347">
          <w:headerReference w:type="default" r:id="rId29"/>
          <w:pgSz w:w="16838" w:h="11906" w:orient="landscape"/>
          <w:pgMar w:top="1417" w:right="1417" w:bottom="1417" w:left="1417" w:header="708" w:footer="708" w:gutter="0"/>
          <w:cols w:space="708"/>
          <w:docGrid w:linePitch="360"/>
        </w:sectPr>
      </w:pPr>
    </w:p>
    <w:p w14:paraId="17C79FFF" w14:textId="77777777" w:rsidR="00714253" w:rsidRPr="00714253" w:rsidRDefault="00714253" w:rsidP="00714253">
      <w:pPr>
        <w:spacing w:after="160" w:line="259" w:lineRule="auto"/>
        <w:jc w:val="left"/>
        <w:rPr>
          <w:rFonts w:ascii="Calibri" w:eastAsia="Calibri" w:hAnsi="Calibri" w:cs="Times New Roman"/>
          <w:b/>
          <w:szCs w:val="24"/>
          <w:u w:val="single"/>
        </w:rPr>
      </w:pPr>
      <w:r w:rsidRPr="00714253">
        <w:rPr>
          <w:rFonts w:ascii="Calibri" w:eastAsia="Calibri" w:hAnsi="Calibri" w:cs="Times New Roman"/>
          <w:b/>
          <w:szCs w:val="24"/>
          <w:u w:val="single"/>
        </w:rPr>
        <w:lastRenderedPageBreak/>
        <w:t>Kvantitativní hodnot</w:t>
      </w:r>
      <w:r w:rsidR="005F73FF">
        <w:rPr>
          <w:rFonts w:ascii="Calibri" w:eastAsia="Calibri" w:hAnsi="Calibri" w:cs="Times New Roman"/>
          <w:b/>
          <w:szCs w:val="24"/>
          <w:u w:val="single"/>
        </w:rPr>
        <w:t>i</w:t>
      </w:r>
      <w:r w:rsidRPr="00714253">
        <w:rPr>
          <w:rFonts w:ascii="Calibri" w:eastAsia="Calibri" w:hAnsi="Calibri" w:cs="Times New Roman"/>
          <w:b/>
          <w:szCs w:val="24"/>
          <w:u w:val="single"/>
        </w:rPr>
        <w:t xml:space="preserve">cí ukazatele </w:t>
      </w:r>
      <w:r w:rsidR="005F73FF">
        <w:rPr>
          <w:rFonts w:ascii="Calibri" w:eastAsia="Calibri" w:hAnsi="Calibri" w:cs="Times New Roman"/>
          <w:b/>
          <w:szCs w:val="24"/>
          <w:u w:val="single"/>
        </w:rPr>
        <w:t>n</w:t>
      </w:r>
      <w:r w:rsidRPr="00714253">
        <w:rPr>
          <w:rFonts w:ascii="Calibri" w:eastAsia="Calibri" w:hAnsi="Calibri" w:cs="Times New Roman"/>
          <w:b/>
          <w:szCs w:val="24"/>
          <w:u w:val="single"/>
        </w:rPr>
        <w:t>árodních akčních plánů</w:t>
      </w:r>
    </w:p>
    <w:p w14:paraId="6051AB03" w14:textId="77777777" w:rsidR="00714253" w:rsidRPr="00714253" w:rsidRDefault="00714253" w:rsidP="00714253">
      <w:pPr>
        <w:spacing w:after="160" w:line="259" w:lineRule="auto"/>
        <w:rPr>
          <w:rFonts w:ascii="Calibri" w:eastAsia="Calibri" w:hAnsi="Calibri" w:cs="Times New Roman"/>
          <w:szCs w:val="24"/>
        </w:rPr>
      </w:pPr>
      <w:r w:rsidRPr="00714253">
        <w:rPr>
          <w:rFonts w:ascii="Calibri" w:eastAsia="Calibri" w:hAnsi="Calibri" w:cs="Times New Roman"/>
          <w:szCs w:val="24"/>
        </w:rPr>
        <w:t>Kvantitativní hodnot</w:t>
      </w:r>
      <w:r w:rsidR="005F73FF">
        <w:rPr>
          <w:rFonts w:ascii="Calibri" w:eastAsia="Calibri" w:hAnsi="Calibri" w:cs="Times New Roman"/>
          <w:szCs w:val="24"/>
        </w:rPr>
        <w:t>i</w:t>
      </w:r>
      <w:r w:rsidRPr="00714253">
        <w:rPr>
          <w:rFonts w:ascii="Calibri" w:eastAsia="Calibri" w:hAnsi="Calibri" w:cs="Times New Roman"/>
          <w:szCs w:val="24"/>
        </w:rPr>
        <w:t>cí ukazatele plnění cílů stanovené v části B. NAP 2013</w:t>
      </w:r>
      <w:r w:rsidR="00E84AF0">
        <w:rPr>
          <w:rFonts w:ascii="Calibri" w:eastAsia="Calibri" w:hAnsi="Calibri" w:cs="Times New Roman"/>
          <w:szCs w:val="24"/>
        </w:rPr>
        <w:t>–</w:t>
      </w:r>
      <w:r w:rsidRPr="00714253">
        <w:rPr>
          <w:rFonts w:ascii="Calibri" w:eastAsia="Calibri" w:hAnsi="Calibri" w:cs="Times New Roman"/>
          <w:szCs w:val="24"/>
        </w:rPr>
        <w:t xml:space="preserve">2017 </w:t>
      </w:r>
      <w:r w:rsidR="005F73FF">
        <w:rPr>
          <w:rFonts w:ascii="Calibri" w:eastAsia="Calibri" w:hAnsi="Calibri" w:cs="Times New Roman"/>
          <w:szCs w:val="24"/>
        </w:rPr>
        <w:t>a </w:t>
      </w:r>
      <w:r w:rsidRPr="00714253">
        <w:rPr>
          <w:rFonts w:ascii="Calibri" w:eastAsia="Calibri" w:hAnsi="Calibri" w:cs="Times New Roman"/>
          <w:szCs w:val="24"/>
        </w:rPr>
        <w:t>relevantní pro kontrolní akci č. 20/04:</w:t>
      </w:r>
    </w:p>
    <w:p w14:paraId="381A86D4" w14:textId="77777777" w:rsidR="00714253" w:rsidRPr="0058156B" w:rsidRDefault="005F73FF"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2</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s</w:t>
      </w:r>
      <w:r w:rsidR="00714253" w:rsidRPr="0058156B">
        <w:rPr>
          <w:rFonts w:ascii="Calibri" w:eastAsia="Times New Roman" w:hAnsi="Calibri" w:cs="Calibri"/>
          <w:szCs w:val="24"/>
          <w:lang w:eastAsia="cs-CZ"/>
        </w:rPr>
        <w:t>nížení plochy útvarů podzemních vod s nevyhovujícím chemickým stavem z důvodu překročení norem environmentální kvality, na základě přítomnosti reziduí.</w:t>
      </w:r>
      <w:r w:rsidR="00714253" w:rsidRPr="00714253">
        <w:rPr>
          <w:vertAlign w:val="superscript"/>
          <w:lang w:eastAsia="cs-CZ"/>
        </w:rPr>
        <w:footnoteReference w:id="44"/>
      </w:r>
    </w:p>
    <w:p w14:paraId="6CB34CB4" w14:textId="77777777" w:rsidR="00714253" w:rsidRPr="00714253" w:rsidRDefault="00714253" w:rsidP="00EB2699">
      <w:pPr>
        <w:spacing w:after="160" w:line="259" w:lineRule="auto"/>
        <w:ind w:firstLine="567"/>
        <w:jc w:val="left"/>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plocha útvarů podzemních vod</w:t>
      </w:r>
      <w:r w:rsidR="005F73FF">
        <w:rPr>
          <w:rFonts w:ascii="Calibri" w:eastAsia="Calibri" w:hAnsi="Calibri" w:cs="Times New Roman"/>
          <w:szCs w:val="24"/>
        </w:rPr>
        <w:t>.</w:t>
      </w:r>
    </w:p>
    <w:p w14:paraId="35927F7D" w14:textId="77777777" w:rsidR="00714253" w:rsidRPr="0058156B" w:rsidRDefault="005F73FF"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3</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s</w:t>
      </w:r>
      <w:r w:rsidR="00714253" w:rsidRPr="0058156B">
        <w:rPr>
          <w:rFonts w:ascii="Calibri" w:eastAsia="Times New Roman" w:hAnsi="Calibri" w:cs="Calibri"/>
          <w:szCs w:val="24"/>
          <w:lang w:eastAsia="cs-CZ"/>
        </w:rPr>
        <w:t>nížení počtu útvarů povrchových vod, které na základě přítomnosti reziduí nedosahují dobrého chemického stavu z důvodu překročení norem environmentální kvality</w:t>
      </w:r>
      <w:r w:rsidR="00714253" w:rsidRPr="00714253">
        <w:rPr>
          <w:vertAlign w:val="superscript"/>
          <w:lang w:eastAsia="cs-CZ"/>
        </w:rPr>
        <w:footnoteReference w:id="45"/>
      </w:r>
      <w:r w:rsidR="00714253" w:rsidRPr="0058156B">
        <w:rPr>
          <w:rFonts w:ascii="Calibri" w:eastAsia="Times New Roman" w:hAnsi="Calibri" w:cs="Calibri"/>
          <w:szCs w:val="24"/>
          <w:lang w:eastAsia="cs-CZ"/>
        </w:rPr>
        <w:t xml:space="preserve"> nebo nedosahují dobrého ekologického stavu nebo dobrého ekologického potenciálu v důsledku nesplnění jedné nebo více norem environmentální kvality.</w:t>
      </w:r>
      <w:r w:rsidR="00714253" w:rsidRPr="00714253">
        <w:rPr>
          <w:vertAlign w:val="superscript"/>
          <w:lang w:eastAsia="cs-CZ"/>
        </w:rPr>
        <w:footnoteReference w:id="46"/>
      </w:r>
    </w:p>
    <w:p w14:paraId="5031C00B" w14:textId="77777777" w:rsidR="00714253" w:rsidRPr="00714253" w:rsidRDefault="00714253" w:rsidP="00E50598">
      <w:pPr>
        <w:spacing w:after="160" w:line="259" w:lineRule="auto"/>
        <w:ind w:firstLine="567"/>
        <w:jc w:val="left"/>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počet útvarů povrchových vod</w:t>
      </w:r>
      <w:r w:rsidR="005F73FF">
        <w:rPr>
          <w:rFonts w:ascii="Calibri" w:eastAsia="Calibri" w:hAnsi="Calibri" w:cs="Times New Roman"/>
          <w:szCs w:val="24"/>
        </w:rPr>
        <w:t>.</w:t>
      </w:r>
    </w:p>
    <w:p w14:paraId="1FA13379" w14:textId="77777777" w:rsidR="00714253" w:rsidRPr="00714253" w:rsidRDefault="00714253" w:rsidP="00714253">
      <w:pPr>
        <w:spacing w:after="160" w:line="259" w:lineRule="auto"/>
        <w:jc w:val="left"/>
        <w:rPr>
          <w:rFonts w:ascii="Calibri" w:eastAsia="Calibri" w:hAnsi="Calibri" w:cs="Times New Roman"/>
          <w:sz w:val="22"/>
        </w:rPr>
      </w:pPr>
    </w:p>
    <w:p w14:paraId="06407BC2" w14:textId="77777777" w:rsidR="00714253" w:rsidRPr="00714253" w:rsidRDefault="00714253" w:rsidP="00714253">
      <w:pPr>
        <w:spacing w:after="160" w:line="259" w:lineRule="auto"/>
        <w:rPr>
          <w:rFonts w:ascii="Calibri" w:eastAsia="Calibri" w:hAnsi="Calibri" w:cs="Times New Roman"/>
          <w:szCs w:val="24"/>
        </w:rPr>
      </w:pPr>
      <w:r w:rsidRPr="00714253">
        <w:rPr>
          <w:rFonts w:ascii="Calibri" w:eastAsia="Calibri" w:hAnsi="Calibri" w:cs="Times New Roman"/>
          <w:szCs w:val="24"/>
        </w:rPr>
        <w:t>Kvantitativní hodnot</w:t>
      </w:r>
      <w:r w:rsidR="005F73FF">
        <w:rPr>
          <w:rFonts w:ascii="Calibri" w:eastAsia="Calibri" w:hAnsi="Calibri" w:cs="Times New Roman"/>
          <w:szCs w:val="24"/>
        </w:rPr>
        <w:t>i</w:t>
      </w:r>
      <w:r w:rsidRPr="00714253">
        <w:rPr>
          <w:rFonts w:ascii="Calibri" w:eastAsia="Calibri" w:hAnsi="Calibri" w:cs="Times New Roman"/>
          <w:szCs w:val="24"/>
        </w:rPr>
        <w:t>cí ukazatele plnění cílů stanovené v části B. NAP 2018</w:t>
      </w:r>
      <w:r w:rsidR="00E84AF0">
        <w:rPr>
          <w:rFonts w:ascii="Calibri" w:eastAsia="Calibri" w:hAnsi="Calibri" w:cs="Times New Roman"/>
          <w:szCs w:val="24"/>
        </w:rPr>
        <w:t>–</w:t>
      </w:r>
      <w:r w:rsidRPr="00714253">
        <w:rPr>
          <w:rFonts w:ascii="Calibri" w:eastAsia="Calibri" w:hAnsi="Calibri" w:cs="Times New Roman"/>
          <w:szCs w:val="24"/>
        </w:rPr>
        <w:t xml:space="preserve">2022 </w:t>
      </w:r>
      <w:r w:rsidR="005F73FF">
        <w:rPr>
          <w:rFonts w:ascii="Calibri" w:eastAsia="Calibri" w:hAnsi="Calibri" w:cs="Times New Roman"/>
          <w:szCs w:val="24"/>
        </w:rPr>
        <w:t>a </w:t>
      </w:r>
      <w:r w:rsidRPr="00714253">
        <w:rPr>
          <w:rFonts w:ascii="Calibri" w:eastAsia="Calibri" w:hAnsi="Calibri" w:cs="Times New Roman"/>
          <w:szCs w:val="24"/>
        </w:rPr>
        <w:t>relevantní pro kontrolní akci č. 20/04:</w:t>
      </w:r>
    </w:p>
    <w:p w14:paraId="72D869EF" w14:textId="77777777" w:rsidR="00714253" w:rsidRPr="00E50598" w:rsidRDefault="005F73FF"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E50598">
        <w:rPr>
          <w:rFonts w:ascii="Calibri" w:eastAsia="Times New Roman" w:hAnsi="Calibri" w:cs="Calibri"/>
          <w:szCs w:val="24"/>
          <w:u w:val="single"/>
          <w:lang w:eastAsia="cs-CZ"/>
        </w:rPr>
        <w:t>kazatel č. 2</w:t>
      </w:r>
      <w:r w:rsidR="00714253" w:rsidRPr="00E50598">
        <w:rPr>
          <w:rFonts w:ascii="Calibri" w:eastAsia="Times New Roman" w:hAnsi="Calibri" w:cs="Calibri"/>
          <w:szCs w:val="24"/>
          <w:lang w:eastAsia="cs-CZ"/>
        </w:rPr>
        <w:t xml:space="preserve">: </w:t>
      </w:r>
      <w:r>
        <w:rPr>
          <w:rFonts w:ascii="Calibri" w:eastAsia="Times New Roman" w:hAnsi="Calibri" w:cs="Calibri"/>
          <w:szCs w:val="24"/>
          <w:lang w:eastAsia="cs-CZ"/>
        </w:rPr>
        <w:t>s</w:t>
      </w:r>
      <w:r w:rsidR="00714253" w:rsidRPr="00E50598">
        <w:rPr>
          <w:rFonts w:ascii="Calibri" w:eastAsia="Times New Roman" w:hAnsi="Calibri" w:cs="Calibri"/>
          <w:szCs w:val="24"/>
          <w:lang w:eastAsia="cs-CZ"/>
        </w:rPr>
        <w:t>nížení počtu útvarů podzemních vod s nevyhovujícím chemickým stavem z důvodu překročení norem environmentální kvality, na základě přítomnosti reziduí</w:t>
      </w:r>
      <w:r w:rsidR="0058156B">
        <w:rPr>
          <w:rStyle w:val="Znakapoznpodarou"/>
          <w:rFonts w:ascii="Calibri" w:eastAsia="Times New Roman" w:hAnsi="Calibri" w:cs="Calibri"/>
          <w:szCs w:val="24"/>
          <w:lang w:eastAsia="cs-CZ"/>
        </w:rPr>
        <w:footnoteReference w:id="47"/>
      </w:r>
      <w:r w:rsidR="00714253" w:rsidRPr="00E50598">
        <w:rPr>
          <w:rFonts w:ascii="Calibri" w:eastAsia="Times New Roman" w:hAnsi="Calibri" w:cs="Calibri"/>
          <w:szCs w:val="24"/>
          <w:lang w:eastAsia="cs-CZ"/>
        </w:rPr>
        <w:t xml:space="preserve"> „s výjimkou reziduí již v ČR nepovolených přípravků“.</w:t>
      </w:r>
    </w:p>
    <w:p w14:paraId="7364F952" w14:textId="77777777" w:rsidR="00714253" w:rsidRPr="00714253" w:rsidRDefault="00714253" w:rsidP="0058156B">
      <w:pPr>
        <w:spacing w:after="160" w:line="259" w:lineRule="auto"/>
        <w:ind w:firstLine="567"/>
        <w:jc w:val="left"/>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počet útvarů podzemních vod</w:t>
      </w:r>
      <w:r w:rsidR="005F73FF">
        <w:rPr>
          <w:rFonts w:ascii="Calibri" w:eastAsia="Calibri" w:hAnsi="Calibri" w:cs="Times New Roman"/>
          <w:szCs w:val="24"/>
        </w:rPr>
        <w:t>.</w:t>
      </w:r>
      <w:r w:rsidRPr="00714253">
        <w:rPr>
          <w:rFonts w:ascii="Calibri" w:eastAsia="Calibri" w:hAnsi="Calibri" w:cs="Times New Roman"/>
          <w:szCs w:val="24"/>
        </w:rPr>
        <w:t xml:space="preserve"> </w:t>
      </w:r>
    </w:p>
    <w:p w14:paraId="03BDB69A" w14:textId="77777777" w:rsidR="00714253" w:rsidRPr="0058156B" w:rsidRDefault="005F73FF"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3</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s</w:t>
      </w:r>
      <w:r w:rsidR="00714253" w:rsidRPr="0058156B">
        <w:rPr>
          <w:rFonts w:ascii="Calibri" w:eastAsia="Times New Roman" w:hAnsi="Calibri" w:cs="Calibri"/>
          <w:szCs w:val="24"/>
          <w:lang w:eastAsia="cs-CZ"/>
        </w:rPr>
        <w:t>nížení počtu útvarů povrchových vod, které na základě přítomnosti reziduí nedosahují dobrého chemického stavu z důvodu překročení norem environmentální kvality nebo nedosahují dobrého ekologického stavu nebo dobrého ekologického potenciálu v důsledku nesplnění jedné nebo více norem environmentální kvality, „s výjimkou reziduí již v ČR nepovolených přípravků“.</w:t>
      </w:r>
    </w:p>
    <w:p w14:paraId="2012F682" w14:textId="77777777" w:rsidR="00714253" w:rsidRPr="00714253" w:rsidRDefault="00714253" w:rsidP="0058156B">
      <w:pPr>
        <w:spacing w:after="160" w:line="259" w:lineRule="auto"/>
        <w:ind w:firstLine="567"/>
        <w:jc w:val="left"/>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počet útvarů povrchových vod</w:t>
      </w:r>
      <w:r w:rsidR="005F73FF">
        <w:rPr>
          <w:rFonts w:ascii="Calibri" w:eastAsia="Calibri" w:hAnsi="Calibri" w:cs="Times New Roman"/>
          <w:szCs w:val="24"/>
        </w:rPr>
        <w:t>.</w:t>
      </w:r>
    </w:p>
    <w:p w14:paraId="1287946C" w14:textId="77777777" w:rsidR="00714253" w:rsidRPr="0058156B" w:rsidRDefault="005F73FF"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4</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s</w:t>
      </w:r>
      <w:r w:rsidR="00714253" w:rsidRPr="0058156B">
        <w:rPr>
          <w:rFonts w:ascii="Calibri" w:eastAsia="Times New Roman" w:hAnsi="Calibri" w:cs="Calibri"/>
          <w:szCs w:val="24"/>
          <w:lang w:eastAsia="cs-CZ"/>
        </w:rPr>
        <w:t>nížení počtu obyvatel zásobovaných pitnou vodou s nadlimitním obsahem reziduí POR v porovnání s rokem 2017, vč. obyvatel zásobovaných z individuálních zdrojů.</w:t>
      </w:r>
    </w:p>
    <w:p w14:paraId="7655B9BD" w14:textId="77777777" w:rsidR="00714253" w:rsidRPr="00714253" w:rsidRDefault="00714253" w:rsidP="0058156B">
      <w:pPr>
        <w:spacing w:after="160" w:line="259" w:lineRule="auto"/>
        <w:ind w:left="567"/>
        <w:rPr>
          <w:rFonts w:ascii="Calibri" w:eastAsia="Calibri" w:hAnsi="Calibri" w:cs="Times New Roman"/>
          <w:szCs w:val="24"/>
        </w:rPr>
      </w:pPr>
      <w:r w:rsidRPr="00714253">
        <w:rPr>
          <w:rFonts w:ascii="Calibri" w:eastAsia="Calibri" w:hAnsi="Calibri" w:cs="Times New Roman"/>
          <w:szCs w:val="24"/>
          <w:u w:val="single"/>
        </w:rPr>
        <w:lastRenderedPageBreak/>
        <w:t>Hodnotitelný parametr</w:t>
      </w:r>
      <w:r w:rsidRPr="00714253">
        <w:rPr>
          <w:rFonts w:ascii="Calibri" w:eastAsia="Calibri" w:hAnsi="Calibri" w:cs="Times New Roman"/>
          <w:szCs w:val="24"/>
        </w:rPr>
        <w:t>: počet zásobovaných obyvatel v distribučních oblastech s nadlimitním obsahem reziduí POR, počet zásobovaných obyvatel z individuálních zdrojů s nadlimitním obsahem reziduí POR</w:t>
      </w:r>
      <w:r w:rsidR="00B85D0C">
        <w:rPr>
          <w:rFonts w:ascii="Calibri" w:eastAsia="Calibri" w:hAnsi="Calibri" w:cs="Times New Roman"/>
          <w:szCs w:val="24"/>
        </w:rPr>
        <w:t>.</w:t>
      </w:r>
      <w:r w:rsidRPr="00714253">
        <w:rPr>
          <w:rFonts w:ascii="Calibri" w:eastAsia="Calibri" w:hAnsi="Calibri" w:cs="Times New Roman"/>
          <w:szCs w:val="24"/>
        </w:rPr>
        <w:t xml:space="preserve"> </w:t>
      </w:r>
    </w:p>
    <w:p w14:paraId="51C384F1" w14:textId="77777777" w:rsidR="00714253" w:rsidRPr="0058156B" w:rsidRDefault="00B85D0C"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5</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z</w:t>
      </w:r>
      <w:r w:rsidR="00714253" w:rsidRPr="0058156B">
        <w:rPr>
          <w:rFonts w:ascii="Calibri" w:eastAsia="Times New Roman" w:hAnsi="Calibri" w:cs="Calibri"/>
          <w:szCs w:val="24"/>
          <w:lang w:eastAsia="cs-CZ"/>
        </w:rPr>
        <w:t>výšení počtu distribučních oblastí pitné vody s cíleným monitoringem výskytu reziduí oproti referenčnímu roku 2017.</w:t>
      </w:r>
    </w:p>
    <w:p w14:paraId="54CFE000" w14:textId="77777777" w:rsidR="00714253" w:rsidRPr="00714253" w:rsidRDefault="00714253" w:rsidP="0058156B">
      <w:pPr>
        <w:spacing w:after="160" w:line="259" w:lineRule="auto"/>
        <w:ind w:left="567"/>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počet distribučních oblastí s cíleným monitoringem výskytu POR v pitné vodě</w:t>
      </w:r>
      <w:r w:rsidR="00B85D0C">
        <w:rPr>
          <w:rFonts w:ascii="Calibri" w:eastAsia="Calibri" w:hAnsi="Calibri" w:cs="Times New Roman"/>
          <w:szCs w:val="24"/>
        </w:rPr>
        <w:t>.</w:t>
      </w:r>
    </w:p>
    <w:p w14:paraId="45D140A8" w14:textId="77777777" w:rsidR="00714253" w:rsidRPr="0058156B" w:rsidRDefault="00B85D0C" w:rsidP="0058156B">
      <w:pPr>
        <w:pStyle w:val="Odstavecseseznamem"/>
        <w:numPr>
          <w:ilvl w:val="0"/>
          <w:numId w:val="23"/>
        </w:numPr>
        <w:ind w:left="567" w:hanging="283"/>
        <w:rPr>
          <w:rFonts w:ascii="Calibri" w:eastAsia="Times New Roman" w:hAnsi="Calibri" w:cs="Calibri"/>
          <w:szCs w:val="24"/>
          <w:lang w:eastAsia="cs-CZ"/>
        </w:rPr>
      </w:pPr>
      <w:r>
        <w:rPr>
          <w:rFonts w:ascii="Calibri" w:eastAsia="Times New Roman" w:hAnsi="Calibri" w:cs="Calibri"/>
          <w:szCs w:val="24"/>
          <w:u w:val="single"/>
          <w:lang w:eastAsia="cs-CZ"/>
        </w:rPr>
        <w:t>U</w:t>
      </w:r>
      <w:r w:rsidR="00714253" w:rsidRPr="0058156B">
        <w:rPr>
          <w:rFonts w:ascii="Calibri" w:eastAsia="Times New Roman" w:hAnsi="Calibri" w:cs="Calibri"/>
          <w:szCs w:val="24"/>
          <w:u w:val="single"/>
          <w:lang w:eastAsia="cs-CZ"/>
        </w:rPr>
        <w:t>kazatel č. 6</w:t>
      </w:r>
      <w:r w:rsidR="00714253" w:rsidRPr="0058156B">
        <w:rPr>
          <w:rFonts w:ascii="Calibri" w:eastAsia="Times New Roman" w:hAnsi="Calibri" w:cs="Calibri"/>
          <w:szCs w:val="24"/>
          <w:lang w:eastAsia="cs-CZ"/>
        </w:rPr>
        <w:t xml:space="preserve">: </w:t>
      </w:r>
      <w:r>
        <w:rPr>
          <w:rFonts w:ascii="Calibri" w:eastAsia="Times New Roman" w:hAnsi="Calibri" w:cs="Calibri"/>
          <w:szCs w:val="24"/>
          <w:lang w:eastAsia="cs-CZ"/>
        </w:rPr>
        <w:t>z</w:t>
      </w:r>
      <w:r w:rsidR="00714253" w:rsidRPr="0058156B">
        <w:rPr>
          <w:rFonts w:ascii="Calibri" w:eastAsia="Times New Roman" w:hAnsi="Calibri" w:cs="Calibri"/>
          <w:szCs w:val="24"/>
          <w:lang w:eastAsia="cs-CZ"/>
        </w:rPr>
        <w:t>výšení počtu úpraven vod s technologií cíleného odstraňování reziduí POR ve srovnání s referenčním rokem 2017.</w:t>
      </w:r>
    </w:p>
    <w:p w14:paraId="07AA5303" w14:textId="77777777" w:rsidR="00714253" w:rsidRPr="00714253" w:rsidRDefault="00714253" w:rsidP="0058156B">
      <w:pPr>
        <w:spacing w:after="160" w:line="259" w:lineRule="auto"/>
        <w:ind w:left="567"/>
        <w:jc w:val="left"/>
        <w:rPr>
          <w:rFonts w:ascii="Calibri" w:eastAsia="Calibri" w:hAnsi="Calibri" w:cs="Times New Roman"/>
          <w:szCs w:val="24"/>
        </w:rPr>
      </w:pPr>
      <w:r w:rsidRPr="00714253">
        <w:rPr>
          <w:rFonts w:ascii="Calibri" w:eastAsia="Calibri" w:hAnsi="Calibri" w:cs="Times New Roman"/>
          <w:szCs w:val="24"/>
          <w:u w:val="single"/>
        </w:rPr>
        <w:t>Hodnotitelný parametr</w:t>
      </w:r>
      <w:r w:rsidRPr="00714253">
        <w:rPr>
          <w:rFonts w:ascii="Calibri" w:eastAsia="Calibri" w:hAnsi="Calibri" w:cs="Times New Roman"/>
          <w:szCs w:val="24"/>
        </w:rPr>
        <w:t>: počet úpraven vod s doplněnou technologií</w:t>
      </w:r>
      <w:r w:rsidR="00B85D0C">
        <w:rPr>
          <w:rFonts w:ascii="Calibri" w:eastAsia="Calibri" w:hAnsi="Calibri" w:cs="Times New Roman"/>
          <w:szCs w:val="24"/>
        </w:rPr>
        <w:t>.</w:t>
      </w:r>
    </w:p>
    <w:p w14:paraId="2C3F55BC" w14:textId="77777777" w:rsidR="00714253" w:rsidRPr="00714253" w:rsidRDefault="00714253" w:rsidP="00714253">
      <w:pPr>
        <w:spacing w:after="160" w:line="259" w:lineRule="auto"/>
        <w:jc w:val="left"/>
        <w:rPr>
          <w:rFonts w:ascii="Calibri" w:eastAsia="Calibri" w:hAnsi="Calibri" w:cs="Times New Roman"/>
          <w:szCs w:val="24"/>
        </w:rPr>
      </w:pPr>
    </w:p>
    <w:p w14:paraId="14C8D741" w14:textId="77777777" w:rsidR="00714253" w:rsidRPr="00714253" w:rsidRDefault="00714253" w:rsidP="00714253">
      <w:pPr>
        <w:spacing w:after="160" w:line="259" w:lineRule="auto"/>
        <w:jc w:val="left"/>
        <w:rPr>
          <w:rFonts w:ascii="Calibri" w:eastAsia="Calibri" w:hAnsi="Calibri" w:cs="Times New Roman"/>
          <w:sz w:val="22"/>
        </w:rPr>
      </w:pPr>
    </w:p>
    <w:p w14:paraId="77F696CD" w14:textId="77777777" w:rsidR="00714253" w:rsidRDefault="00714253" w:rsidP="00AE7347">
      <w:pPr>
        <w:tabs>
          <w:tab w:val="left" w:pos="3544"/>
        </w:tabs>
        <w:spacing w:after="0"/>
        <w:rPr>
          <w:b/>
          <w:szCs w:val="24"/>
        </w:rPr>
        <w:sectPr w:rsidR="00714253">
          <w:headerReference w:type="default" r:id="rId30"/>
          <w:pgSz w:w="11906" w:h="16838"/>
          <w:pgMar w:top="1417" w:right="1417" w:bottom="1417" w:left="1417" w:header="708" w:footer="708" w:gutter="0"/>
          <w:cols w:space="708"/>
          <w:docGrid w:linePitch="360"/>
        </w:sectPr>
      </w:pPr>
    </w:p>
    <w:p w14:paraId="4A042D89" w14:textId="77777777" w:rsidR="00AC7DB1" w:rsidRPr="00AC7DB1" w:rsidRDefault="00AC7DB1" w:rsidP="00AC7DB1">
      <w:pPr>
        <w:spacing w:after="160" w:line="259" w:lineRule="auto"/>
        <w:jc w:val="center"/>
        <w:rPr>
          <w:rFonts w:ascii="Calibri" w:eastAsia="Calibri" w:hAnsi="Calibri" w:cs="Times New Roman"/>
          <w:b/>
          <w:sz w:val="28"/>
          <w:u w:val="single"/>
        </w:rPr>
      </w:pPr>
      <w:r w:rsidRPr="00AC7DB1">
        <w:rPr>
          <w:rFonts w:ascii="Calibri" w:eastAsia="Calibri" w:hAnsi="Calibri" w:cs="Times New Roman"/>
          <w:b/>
          <w:sz w:val="28"/>
          <w:u w:val="single"/>
        </w:rPr>
        <w:lastRenderedPageBreak/>
        <w:t>Opatření NAP 2013–2017 a NAP 2018–2022 v oblasti ochrany vod</w:t>
      </w:r>
    </w:p>
    <w:p w14:paraId="1D53AC60" w14:textId="77777777" w:rsidR="00AC7DB1" w:rsidRPr="00AC7DB1" w:rsidRDefault="00AC7DB1" w:rsidP="00AC7DB1">
      <w:pPr>
        <w:keepNext/>
        <w:keepLines/>
        <w:spacing w:before="240" w:after="0" w:line="259" w:lineRule="auto"/>
        <w:jc w:val="left"/>
        <w:outlineLvl w:val="0"/>
        <w:rPr>
          <w:rFonts w:ascii="Calibri" w:eastAsia="Times New Roman" w:hAnsi="Calibri" w:cs="Times New Roman"/>
          <w:color w:val="2E74B5"/>
          <w:sz w:val="32"/>
          <w:szCs w:val="32"/>
        </w:rPr>
      </w:pPr>
      <w:r w:rsidRPr="00AC7DB1">
        <w:rPr>
          <w:rFonts w:ascii="Calibri" w:eastAsia="Times New Roman" w:hAnsi="Calibri" w:cs="Times New Roman"/>
          <w:color w:val="2E74B5"/>
          <w:sz w:val="32"/>
          <w:szCs w:val="32"/>
        </w:rPr>
        <w:t>Opatření v oblasti ochranných pásem vod</w:t>
      </w:r>
      <w:r w:rsidR="00B85D0C">
        <w:rPr>
          <w:rFonts w:ascii="Calibri" w:eastAsia="Times New Roman" w:hAnsi="Calibri" w:cs="Times New Roman"/>
          <w:color w:val="2E74B5"/>
          <w:sz w:val="32"/>
          <w:szCs w:val="32"/>
        </w:rPr>
        <w:t>ních zdrojů</w:t>
      </w:r>
      <w:r w:rsidRPr="00AC7DB1">
        <w:rPr>
          <w:rFonts w:ascii="Calibri" w:eastAsia="Times New Roman" w:hAnsi="Calibri" w:cs="Times New Roman"/>
          <w:color w:val="2E74B5"/>
          <w:sz w:val="32"/>
          <w:szCs w:val="32"/>
        </w:rPr>
        <w:t xml:space="preserve"> (OPVZ)</w:t>
      </w:r>
    </w:p>
    <w:p w14:paraId="2E089CEB"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rPr>
      </w:pPr>
      <w:r w:rsidRPr="00AC7DB1">
        <w:rPr>
          <w:rFonts w:ascii="Calibri" w:eastAsia="Times New Roman" w:hAnsi="Calibri" w:cs="Times New Roman"/>
          <w:b/>
          <w:color w:val="2E74B5"/>
          <w:sz w:val="26"/>
          <w:szCs w:val="26"/>
        </w:rPr>
        <w:t>Zásady hospodaření v OPVZ</w:t>
      </w:r>
    </w:p>
    <w:p w14:paraId="1B78A622" w14:textId="77777777" w:rsidR="00AC7DB1" w:rsidRPr="00AC7DB1" w:rsidRDefault="00AC7DB1" w:rsidP="00AC7DB1">
      <w:pPr>
        <w:keepNext/>
        <w:keepLines/>
        <w:spacing w:before="40" w:after="0" w:line="259" w:lineRule="auto"/>
        <w:jc w:val="left"/>
        <w:outlineLvl w:val="2"/>
        <w:rPr>
          <w:rFonts w:ascii="Calibri" w:eastAsia="Times New Roman" w:hAnsi="Calibri" w:cs="Calibri"/>
          <w:szCs w:val="24"/>
          <w:u w:val="single"/>
        </w:rPr>
      </w:pPr>
      <w:r w:rsidRPr="00AC7DB1">
        <w:rPr>
          <w:rFonts w:ascii="Calibri" w:eastAsia="Times New Roman" w:hAnsi="Calibri" w:cs="Calibri"/>
          <w:szCs w:val="24"/>
          <w:u w:val="single"/>
        </w:rPr>
        <w:t>Opatření č. 4.42 NAP 2013–2017</w:t>
      </w:r>
    </w:p>
    <w:p w14:paraId="7E8A3A1E"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Odpovědný subjekt: </w:t>
      </w:r>
      <w:proofErr w:type="spellStart"/>
      <w:r w:rsidRPr="00AC7DB1">
        <w:rPr>
          <w:rFonts w:ascii="Calibri" w:eastAsia="Calibri" w:hAnsi="Calibri" w:cs="Times New Roman"/>
          <w:sz w:val="22"/>
        </w:rPr>
        <w:t>MZe</w:t>
      </w:r>
      <w:proofErr w:type="spellEnd"/>
      <w:r w:rsidRPr="00AC7DB1">
        <w:rPr>
          <w:rFonts w:ascii="Calibri" w:eastAsia="Calibri" w:hAnsi="Calibri" w:cs="Times New Roman"/>
          <w:sz w:val="22"/>
        </w:rPr>
        <w:t>/MŽP</w:t>
      </w:r>
      <w:r w:rsidR="00B85D0C">
        <w:rPr>
          <w:rFonts w:ascii="Calibri" w:eastAsia="Calibri" w:hAnsi="Calibri" w:cs="Times New Roman"/>
          <w:sz w:val="22"/>
        </w:rPr>
        <w:t>.</w:t>
      </w:r>
    </w:p>
    <w:p w14:paraId="17E493F3"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370C9F47"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Times New Roman"/>
          <w:sz w:val="22"/>
        </w:rPr>
        <w:t>„</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spolupráci se SRS a MŽP připraví do 2015 zásady hospodaření v OPVZ zdrojů pitné vody (zejména vodárenských nádrží) založené zejména na agrotechnických opatřeních (zpracování půdy, osevní postup) se zaměřením na zásady pro používání přípravků aplikovaných na půdu (před setím, před vzejitím nebo časně po vzejití), zejména herbicidů, z hlediska ohrožení povrchových i podzemních vod, a to ve svažitém terénu nebo v místech se zvýšeným rizikem rychlé infiltrace vody do půdy ve vazbě na systémy zemědělského odvodnění. Výše uvedené bude propojeno s povolením použitelných přípravků využíváním ustanovení § 38b rostlinolékařského zákona. </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spolupráci s MŽP provede do roku 2016 ekonomickou analýzu vlivu navrhovaných opatření v OPVZ na hospodařící subjekty a vypracuje návrh zohlednění těchto dopadů do dotační politiky ČR</w:t>
      </w:r>
      <w:r w:rsidR="008375BD">
        <w:rPr>
          <w:rFonts w:ascii="Calibri" w:eastAsia="Calibri" w:hAnsi="Calibri" w:cs="Calibri"/>
          <w:i/>
          <w:sz w:val="22"/>
        </w:rPr>
        <w:t>.</w:t>
      </w:r>
      <w:r w:rsidRPr="009A69BE">
        <w:rPr>
          <w:rFonts w:ascii="Calibri" w:eastAsia="Calibri" w:hAnsi="Calibri" w:cs="Calibri"/>
          <w:sz w:val="22"/>
        </w:rPr>
        <w:t>“</w:t>
      </w:r>
    </w:p>
    <w:p w14:paraId="7A474400"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Hodnocení plnění opatření dle NKÚ:</w:t>
      </w:r>
      <w:r w:rsidRPr="00AC7DB1">
        <w:rPr>
          <w:rFonts w:ascii="Calibri" w:eastAsia="Calibri" w:hAnsi="Calibri" w:cs="Calibri"/>
          <w:color w:val="000000"/>
          <w:sz w:val="22"/>
        </w:rPr>
        <w:t xml:space="preserve"> </w:t>
      </w:r>
      <w:r w:rsidRPr="00AC7DB1">
        <w:rPr>
          <w:rFonts w:ascii="Calibri" w:eastAsia="Times New Roman" w:hAnsi="Calibri" w:cs="Calibri"/>
          <w:b/>
          <w:color w:val="000000"/>
          <w:sz w:val="22"/>
          <w:lang w:eastAsia="cs-CZ"/>
        </w:rPr>
        <w:t>Nesplněno</w:t>
      </w:r>
      <w:r w:rsidR="00B85D0C">
        <w:rPr>
          <w:rFonts w:ascii="Calibri" w:eastAsia="Times New Roman" w:hAnsi="Calibri" w:cs="Calibri"/>
          <w:b/>
          <w:color w:val="000000"/>
          <w:sz w:val="22"/>
          <w:lang w:eastAsia="cs-CZ"/>
        </w:rPr>
        <w:t>.</w:t>
      </w:r>
    </w:p>
    <w:p w14:paraId="1B08B2B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4.28 NAP 2018</w:t>
      </w:r>
      <w:r w:rsidRPr="00AC7DB1">
        <w:rPr>
          <w:rFonts w:ascii="Calibri" w:eastAsia="Times New Roman" w:hAnsi="Calibri" w:cs="Times New Roman"/>
          <w:szCs w:val="24"/>
          <w:u w:val="single"/>
        </w:rPr>
        <w:t>–</w:t>
      </w:r>
      <w:r w:rsidRPr="00AC7DB1">
        <w:rPr>
          <w:rFonts w:ascii="Calibri" w:eastAsia="Times New Roman" w:hAnsi="Calibri" w:cs="Times New Roman"/>
          <w:szCs w:val="24"/>
          <w:u w:val="single"/>
          <w:lang w:eastAsia="cs-CZ"/>
        </w:rPr>
        <w:t>2022</w:t>
      </w:r>
    </w:p>
    <w:p w14:paraId="37BC833A"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Odpovědný subjekt: </w:t>
      </w:r>
      <w:proofErr w:type="spellStart"/>
      <w:r w:rsidRPr="00AC7DB1">
        <w:rPr>
          <w:rFonts w:ascii="Calibri" w:eastAsia="Calibri" w:hAnsi="Calibri" w:cs="Times New Roman"/>
          <w:sz w:val="22"/>
        </w:rPr>
        <w:t>MZe</w:t>
      </w:r>
      <w:proofErr w:type="spellEnd"/>
      <w:r w:rsidR="00B85D0C">
        <w:rPr>
          <w:rFonts w:ascii="Calibri" w:eastAsia="Calibri" w:hAnsi="Calibri" w:cs="Times New Roman"/>
          <w:sz w:val="22"/>
        </w:rPr>
        <w:t>.</w:t>
      </w:r>
    </w:p>
    <w:p w14:paraId="560307C2"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4D4D8673"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Times New Roman"/>
          <w:sz w:val="22"/>
        </w:rPr>
        <w:t>„</w:t>
      </w:r>
      <w:proofErr w:type="spellStart"/>
      <w:r w:rsidRPr="00AC7DB1">
        <w:rPr>
          <w:rFonts w:ascii="Calibri" w:eastAsia="Calibri" w:hAnsi="Calibri" w:cs="Times New Roman"/>
          <w:i/>
          <w:sz w:val="22"/>
        </w:rPr>
        <w:t>MZe</w:t>
      </w:r>
      <w:proofErr w:type="spellEnd"/>
      <w:r w:rsidRPr="00AC7DB1">
        <w:rPr>
          <w:rFonts w:ascii="Calibri" w:eastAsia="Calibri" w:hAnsi="Calibri" w:cs="Times New Roman"/>
          <w:i/>
          <w:sz w:val="22"/>
        </w:rPr>
        <w:t xml:space="preserve"> ve spolupráci s Ústavem a výzkumnými organizacemi připraví do roku 2020 zásady hospodaření v OPVZ zdrojů pitné vody a útvarů sousedících s útvary povrchových vod, rovněž na pozemcích tvořících povodí útvarů povrchových a podzemních vod s nadlimitním výskytem reziduí POR založené zejména na agrotechnických opatřeních (zpracování půdy, osevní postup), s ohledem na konkrétní geologické, terénní a klimatické podmínky, typ a charakter půdy se zaměřením na zásady pro používání přípravků aplikovaných na půdu (před setím, před vzejitím nebo časně po vzejití), zejména herbicidů, z hlediska ohrožení povrchových i podzemních vod, a to ve svažitém terénu nebo v místech se zvýšeným rizikem rychlé infiltrace vody do půdy ve vazbě na systémy zemědělského odvodnění. Součástí budou i preventivní opatření týkající se ochrany půdy pro omezení rizika vyplavování POR (protierozní opatření, </w:t>
      </w:r>
      <w:proofErr w:type="spellStart"/>
      <w:r w:rsidRPr="00AC7DB1">
        <w:rPr>
          <w:rFonts w:ascii="Calibri" w:eastAsia="Calibri" w:hAnsi="Calibri" w:cs="Times New Roman"/>
          <w:i/>
          <w:sz w:val="22"/>
        </w:rPr>
        <w:t>zhutněnost</w:t>
      </w:r>
      <w:proofErr w:type="spellEnd"/>
      <w:r w:rsidRPr="00AC7DB1">
        <w:rPr>
          <w:rFonts w:ascii="Calibri" w:eastAsia="Calibri" w:hAnsi="Calibri" w:cs="Times New Roman"/>
          <w:i/>
          <w:sz w:val="22"/>
        </w:rPr>
        <w:t xml:space="preserve">, obsah organické hmoty a humusu). Nedílnou součástí opatření bude podpora výzkumných projektů v uvedené oblasti. Výše uvedené bude propojeno s povolením použitelných přípravků zejména v OPVZ využíváním ustanovení § 38b rostlinolékařského zákona. </w:t>
      </w:r>
      <w:proofErr w:type="spellStart"/>
      <w:r w:rsidRPr="00AC7DB1">
        <w:rPr>
          <w:rFonts w:ascii="Calibri" w:eastAsia="Calibri" w:hAnsi="Calibri" w:cs="Times New Roman"/>
          <w:i/>
          <w:sz w:val="22"/>
        </w:rPr>
        <w:t>MZe</w:t>
      </w:r>
      <w:proofErr w:type="spellEnd"/>
      <w:r w:rsidRPr="00AC7DB1">
        <w:rPr>
          <w:rFonts w:ascii="Calibri" w:eastAsia="Calibri" w:hAnsi="Calibri" w:cs="Times New Roman"/>
          <w:i/>
          <w:sz w:val="22"/>
        </w:rPr>
        <w:t xml:space="preserve"> provede do roku 2018 ekonomickou analýzu vlivu navrhovaných opatření v OPVZ na hospodařící subjekty a vypracuje návrh zohlednění těchto dopadů do dotační politiky ČR.</w:t>
      </w:r>
      <w:r w:rsidRPr="009A69BE">
        <w:rPr>
          <w:rFonts w:ascii="Calibri" w:eastAsia="Calibri" w:hAnsi="Calibri" w:cs="Times New Roman"/>
          <w:sz w:val="22"/>
        </w:rPr>
        <w:t>“</w:t>
      </w:r>
    </w:p>
    <w:p w14:paraId="322BD5FA"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Hodnocení plnění opatření dle NKÚ:</w:t>
      </w:r>
      <w:r w:rsidRPr="00AC7DB1">
        <w:rPr>
          <w:rFonts w:ascii="Calibri" w:eastAsia="Calibri" w:hAnsi="Calibri" w:cs="Calibri"/>
          <w:color w:val="000000"/>
          <w:sz w:val="22"/>
        </w:rPr>
        <w:t xml:space="preserve"> </w:t>
      </w:r>
      <w:r w:rsidRPr="00AC7DB1">
        <w:rPr>
          <w:rFonts w:ascii="Calibri" w:eastAsia="Times New Roman" w:hAnsi="Calibri" w:cs="Calibri"/>
          <w:b/>
          <w:color w:val="000000"/>
          <w:sz w:val="22"/>
          <w:lang w:eastAsia="cs-CZ"/>
        </w:rPr>
        <w:t>Částečně splněno</w:t>
      </w:r>
      <w:r w:rsidR="00B85D0C">
        <w:rPr>
          <w:rFonts w:ascii="Calibri" w:eastAsia="Times New Roman" w:hAnsi="Calibri" w:cs="Calibri"/>
          <w:b/>
          <w:color w:val="000000"/>
          <w:sz w:val="22"/>
          <w:lang w:eastAsia="cs-CZ"/>
        </w:rPr>
        <w:t>.</w:t>
      </w:r>
    </w:p>
    <w:p w14:paraId="56BC9662"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Aplikace přípravků v OPVZ </w:t>
      </w:r>
    </w:p>
    <w:p w14:paraId="1BE2212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rPr>
      </w:pPr>
      <w:r w:rsidRPr="00AC7DB1">
        <w:rPr>
          <w:rFonts w:ascii="Calibri" w:eastAsia="Times New Roman" w:hAnsi="Calibri" w:cs="Times New Roman"/>
          <w:szCs w:val="24"/>
          <w:u w:val="single"/>
        </w:rPr>
        <w:t>Opatření č. 4.43 NAP 2013–2017</w:t>
      </w:r>
    </w:p>
    <w:p w14:paraId="4D1E3F5D"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Odpovědný subjekt: </w:t>
      </w:r>
      <w:proofErr w:type="spellStart"/>
      <w:r w:rsidRPr="00AC7DB1">
        <w:rPr>
          <w:rFonts w:ascii="Calibri" w:eastAsia="Calibri" w:hAnsi="Calibri" w:cs="Times New Roman"/>
          <w:sz w:val="22"/>
        </w:rPr>
        <w:t>MZe</w:t>
      </w:r>
      <w:proofErr w:type="spellEnd"/>
      <w:r w:rsidR="00B85D0C">
        <w:rPr>
          <w:rFonts w:ascii="Calibri" w:eastAsia="Calibri" w:hAnsi="Calibri" w:cs="Times New Roman"/>
          <w:sz w:val="22"/>
        </w:rPr>
        <w:t>.</w:t>
      </w:r>
    </w:p>
    <w:p w14:paraId="1C71B219" w14:textId="77777777" w:rsidR="00AC7DB1" w:rsidRPr="00AC7DB1" w:rsidRDefault="00AC7DB1" w:rsidP="00AC7DB1">
      <w:pPr>
        <w:spacing w:after="0" w:line="259" w:lineRule="auto"/>
        <w:jc w:val="left"/>
        <w:rPr>
          <w:rFonts w:ascii="Calibri" w:eastAsia="Calibri" w:hAnsi="Calibri" w:cs="Calibri"/>
          <w:b/>
          <w:i/>
          <w:sz w:val="22"/>
          <w:szCs w:val="24"/>
        </w:rPr>
      </w:pPr>
      <w:r w:rsidRPr="00AC7DB1">
        <w:rPr>
          <w:rFonts w:ascii="Calibri" w:eastAsia="Calibri" w:hAnsi="Calibri" w:cs="Times New Roman"/>
          <w:sz w:val="22"/>
        </w:rPr>
        <w:t>Znění opatření:</w:t>
      </w:r>
      <w:r w:rsidRPr="00AC7DB1">
        <w:rPr>
          <w:rFonts w:ascii="Calibri" w:eastAsia="Calibri" w:hAnsi="Calibri" w:cs="Calibri"/>
          <w:b/>
          <w:i/>
          <w:sz w:val="22"/>
          <w:szCs w:val="24"/>
        </w:rPr>
        <w:t xml:space="preserve"> </w:t>
      </w:r>
    </w:p>
    <w:p w14:paraId="50CA1E5B"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szCs w:val="24"/>
        </w:rPr>
        <w:t>„</w:t>
      </w:r>
      <w:proofErr w:type="spellStart"/>
      <w:r w:rsidRPr="00AC7DB1">
        <w:rPr>
          <w:rFonts w:ascii="Calibri" w:eastAsia="Calibri" w:hAnsi="Calibri" w:cs="Times New Roman"/>
          <w:i/>
          <w:sz w:val="22"/>
          <w:szCs w:val="24"/>
        </w:rPr>
        <w:t>MZe</w:t>
      </w:r>
      <w:proofErr w:type="spellEnd"/>
      <w:r w:rsidRPr="00AC7DB1">
        <w:rPr>
          <w:rFonts w:ascii="Calibri" w:eastAsia="Calibri" w:hAnsi="Calibri" w:cs="Times New Roman"/>
          <w:i/>
          <w:sz w:val="22"/>
          <w:szCs w:val="24"/>
        </w:rPr>
        <w:t xml:space="preserve"> připraví do 2014 legislativní návrh na používání zařízení k aplikaci přípravků v ochranných pásmech ochrany vod a v okolí necílových pozemků, které umožní maximální možné zkrácení legislativou stanovených vzdáleností, zejména usměrněným používáním </w:t>
      </w:r>
      <w:proofErr w:type="spellStart"/>
      <w:r w:rsidRPr="00AC7DB1">
        <w:rPr>
          <w:rFonts w:ascii="Calibri" w:eastAsia="Calibri" w:hAnsi="Calibri" w:cs="Times New Roman"/>
          <w:i/>
          <w:sz w:val="22"/>
          <w:szCs w:val="24"/>
        </w:rPr>
        <w:t>nízkoúletových</w:t>
      </w:r>
      <w:proofErr w:type="spellEnd"/>
      <w:r w:rsidRPr="00AC7DB1">
        <w:rPr>
          <w:rFonts w:ascii="Calibri" w:eastAsia="Calibri" w:hAnsi="Calibri" w:cs="Times New Roman"/>
          <w:i/>
          <w:sz w:val="22"/>
          <w:szCs w:val="24"/>
        </w:rPr>
        <w:t xml:space="preserve"> zařízení </w:t>
      </w:r>
      <w:r w:rsidRPr="00AC7DB1">
        <w:rPr>
          <w:rFonts w:ascii="Calibri" w:eastAsia="Calibri" w:hAnsi="Calibri" w:cs="Times New Roman"/>
          <w:i/>
          <w:sz w:val="22"/>
          <w:szCs w:val="24"/>
        </w:rPr>
        <w:lastRenderedPageBreak/>
        <w:t>k aplikaci přípravků klasifikovaných SRS: dle typu plodiny, propustnosti půdního prostředí a podloží, v blízkosti vodních zdrojů a necílových organismů (chráněná území, veřejně přístupné oblasti), v okolí dopravních tepen.</w:t>
      </w:r>
      <w:r w:rsidRPr="009A69BE">
        <w:rPr>
          <w:rFonts w:ascii="Calibri" w:eastAsia="Calibri" w:hAnsi="Calibri" w:cs="Times New Roman"/>
          <w:sz w:val="22"/>
          <w:szCs w:val="24"/>
        </w:rPr>
        <w:t>“</w:t>
      </w:r>
    </w:p>
    <w:p w14:paraId="74FB6884"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433465">
        <w:rPr>
          <w:rFonts w:ascii="Calibri" w:eastAsia="Calibri" w:hAnsi="Calibri" w:cs="Times New Roman"/>
          <w:b/>
          <w:sz w:val="22"/>
        </w:rPr>
        <w:t>.</w:t>
      </w:r>
    </w:p>
    <w:p w14:paraId="6BE57986"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Novela vyhlášky č. 137/1999 Sb.</w:t>
      </w:r>
    </w:p>
    <w:p w14:paraId="5D74075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rPr>
      </w:pPr>
      <w:r w:rsidRPr="00AC7DB1">
        <w:rPr>
          <w:rFonts w:ascii="Calibri" w:eastAsia="Times New Roman" w:hAnsi="Calibri" w:cs="Times New Roman"/>
          <w:szCs w:val="24"/>
          <w:u w:val="single"/>
        </w:rPr>
        <w:t>Opatření č. 4.31 NAP 2013–2017</w:t>
      </w:r>
    </w:p>
    <w:p w14:paraId="474A393F"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Odpovědný subjekt: MŽP</w:t>
      </w:r>
      <w:r w:rsidR="00B85D0C">
        <w:rPr>
          <w:rFonts w:ascii="Calibri" w:eastAsia="Calibri" w:hAnsi="Calibri" w:cs="Times New Roman"/>
          <w:sz w:val="22"/>
        </w:rPr>
        <w:t>.</w:t>
      </w:r>
    </w:p>
    <w:p w14:paraId="0582F8E9"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0C93C004"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Times New Roman"/>
          <w:sz w:val="22"/>
        </w:rPr>
        <w:t>„</w:t>
      </w:r>
      <w:r w:rsidRPr="00AC7DB1">
        <w:rPr>
          <w:rFonts w:ascii="Calibri" w:eastAsia="Calibri" w:hAnsi="Calibri" w:cs="Times New Roman"/>
          <w:i/>
          <w:sz w:val="22"/>
        </w:rPr>
        <w:t>MŽP v součinnosti s odbornými zájmovými sdruženími připraví do 2014 novelu vyhlášky č. 137/1999</w:t>
      </w:r>
      <w:r w:rsidRPr="00AC7DB1">
        <w:rPr>
          <w:rFonts w:ascii="Calibri" w:eastAsia="Calibri" w:hAnsi="Calibri" w:cs="Times New Roman"/>
          <w:sz w:val="22"/>
        </w:rPr>
        <w:t> </w:t>
      </w:r>
      <w:r w:rsidRPr="00AC7DB1">
        <w:rPr>
          <w:rFonts w:ascii="Calibri" w:eastAsia="Calibri" w:hAnsi="Calibri" w:cs="Times New Roman"/>
          <w:i/>
          <w:sz w:val="22"/>
        </w:rPr>
        <w:t>Sb., kterou se stanoví seznam vodárenských nádrží a zásady pro stanovení a změny ochranných pásem vodních zdrojů popř. návrh legislativní úpravy ustanovení § 30 vodního zákona.</w:t>
      </w:r>
      <w:r w:rsidRPr="00AC7DB1">
        <w:rPr>
          <w:rFonts w:ascii="Calibri" w:eastAsia="Calibri" w:hAnsi="Calibri" w:cs="Times New Roman"/>
          <w:sz w:val="22"/>
        </w:rPr>
        <w:t>“</w:t>
      </w:r>
    </w:p>
    <w:p w14:paraId="1B3A03DD"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Nesplněno</w:t>
      </w:r>
      <w:r w:rsidR="00433465">
        <w:rPr>
          <w:rFonts w:ascii="Calibri" w:eastAsia="Calibri" w:hAnsi="Calibri" w:cs="Times New Roman"/>
          <w:b/>
          <w:sz w:val="22"/>
        </w:rPr>
        <w:t>.</w:t>
      </w:r>
    </w:p>
    <w:p w14:paraId="1BB307C9"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4.20 NAP 2018–2022 </w:t>
      </w:r>
    </w:p>
    <w:p w14:paraId="3E3E5CF9"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Odpovědný subjekt: MŽP</w:t>
      </w:r>
      <w:r w:rsidR="00B85D0C">
        <w:rPr>
          <w:rFonts w:ascii="Calibri" w:eastAsia="Calibri" w:hAnsi="Calibri" w:cs="Times New Roman"/>
          <w:sz w:val="22"/>
        </w:rPr>
        <w:t>.</w:t>
      </w:r>
    </w:p>
    <w:p w14:paraId="798183B6"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78A6D35A" w14:textId="77777777" w:rsidR="00AC7DB1" w:rsidRPr="00AC7DB1" w:rsidRDefault="00AC7DB1" w:rsidP="00AC7DB1">
      <w:pPr>
        <w:spacing w:after="160" w:line="259" w:lineRule="auto"/>
        <w:rPr>
          <w:rFonts w:ascii="Calibri" w:eastAsia="Calibri" w:hAnsi="Calibri" w:cs="Times New Roman"/>
          <w:sz w:val="22"/>
        </w:rPr>
      </w:pPr>
      <w:r w:rsidRPr="00AC7DB1">
        <w:rPr>
          <w:rFonts w:ascii="Calibri" w:eastAsia="Calibri" w:hAnsi="Calibri" w:cs="Times New Roman"/>
          <w:sz w:val="22"/>
        </w:rPr>
        <w:t>„</w:t>
      </w:r>
      <w:r w:rsidRPr="00AC7DB1">
        <w:rPr>
          <w:rFonts w:ascii="Calibri" w:eastAsia="Calibri" w:hAnsi="Calibri" w:cs="Times New Roman"/>
          <w:i/>
          <w:sz w:val="22"/>
        </w:rPr>
        <w:t>MŽP zváží potřebu vydání nové vyhlášky, kterou se stanoví seznam vodárenských nádrží a zásady pro stanovení a změny ochranných pásem vodních zdrojů, zohledňující připravované změny ohledně kompenzace újmy vzniklé vlastníkům nebo pachtýřům v důsledku omezení plynoucích z režimu v</w:t>
      </w:r>
      <w:r w:rsidR="008375BD">
        <w:rPr>
          <w:rFonts w:ascii="Calibri" w:eastAsia="Calibri" w:hAnsi="Calibri" w:cs="Times New Roman"/>
          <w:i/>
          <w:sz w:val="22"/>
        </w:rPr>
        <w:t> </w:t>
      </w:r>
      <w:r w:rsidRPr="00AC7DB1">
        <w:rPr>
          <w:rFonts w:ascii="Calibri" w:eastAsia="Calibri" w:hAnsi="Calibri" w:cs="Times New Roman"/>
          <w:i/>
          <w:sz w:val="22"/>
        </w:rPr>
        <w:t>OPVZ, i v souvislosti s možnou plošnou aktualizací historicky vymezených pásem PHO</w:t>
      </w:r>
      <w:r w:rsidRPr="009A69BE">
        <w:rPr>
          <w:rFonts w:ascii="Calibri" w:eastAsia="Calibri" w:hAnsi="Calibri" w:cs="Calibri"/>
          <w:sz w:val="22"/>
          <w:vertAlign w:val="superscript"/>
        </w:rPr>
        <w:footnoteReference w:id="48"/>
      </w:r>
      <w:r w:rsidRPr="00433465">
        <w:rPr>
          <w:rFonts w:ascii="Calibri" w:eastAsia="Calibri" w:hAnsi="Calibri" w:cs="Times New Roman"/>
          <w:sz w:val="22"/>
        </w:rPr>
        <w:t>.</w:t>
      </w:r>
      <w:r w:rsidRPr="00AC7DB1">
        <w:rPr>
          <w:rFonts w:ascii="Calibri" w:eastAsia="Calibri" w:hAnsi="Calibri" w:cs="Times New Roman"/>
          <w:sz w:val="22"/>
        </w:rPr>
        <w:t>“</w:t>
      </w:r>
    </w:p>
    <w:p w14:paraId="330715D0"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433465">
        <w:rPr>
          <w:rFonts w:ascii="Calibri" w:eastAsia="Calibri" w:hAnsi="Calibri" w:cs="Times New Roman"/>
          <w:b/>
          <w:sz w:val="22"/>
        </w:rPr>
        <w:t>.</w:t>
      </w:r>
    </w:p>
    <w:p w14:paraId="31DC989E"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Aktualizace evidence OPVZ </w:t>
      </w:r>
    </w:p>
    <w:p w14:paraId="76D7A6E2"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4.32 NAP 2013–2017 </w:t>
      </w:r>
    </w:p>
    <w:p w14:paraId="4A2A22DD"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Odpovědný subjekt: MŽP</w:t>
      </w:r>
      <w:r w:rsidR="00B85D0C">
        <w:rPr>
          <w:rFonts w:ascii="Calibri" w:eastAsia="Calibri" w:hAnsi="Calibri" w:cs="Times New Roman"/>
          <w:sz w:val="22"/>
        </w:rPr>
        <w:t>.</w:t>
      </w:r>
    </w:p>
    <w:p w14:paraId="4D884E61"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0133ADC4"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Správce evidence OPVZ podle § 22 vodního zákona provede do roku 2015 aktualizaci této evidence a přijme opatření vedoucí k dostupnosti aktualizovaných dat o OPVZ veřejnosti a jejich propojení se stávajícími informačními systémy (např. LPIS</w:t>
      </w:r>
      <w:r w:rsidR="00B85D0C">
        <w:rPr>
          <w:rFonts w:ascii="Calibri" w:eastAsia="Calibri" w:hAnsi="Calibri" w:cs="Calibri"/>
          <w:i/>
          <w:sz w:val="22"/>
        </w:rPr>
        <w:t xml:space="preserve"> –</w:t>
      </w:r>
      <w:r w:rsidRPr="00AC7DB1">
        <w:rPr>
          <w:rFonts w:ascii="Calibri" w:eastAsia="Calibri" w:hAnsi="Calibri" w:cs="Calibri"/>
          <w:i/>
          <w:sz w:val="22"/>
        </w:rPr>
        <w:t xml:space="preserve"> veřejný registr půdy)</w:t>
      </w:r>
      <w:r w:rsidR="008375BD">
        <w:rPr>
          <w:rFonts w:ascii="Calibri" w:eastAsia="Calibri" w:hAnsi="Calibri" w:cs="Calibri"/>
          <w:i/>
          <w:sz w:val="22"/>
        </w:rPr>
        <w:t>.</w:t>
      </w:r>
      <w:r w:rsidRPr="009A69BE">
        <w:rPr>
          <w:rFonts w:ascii="Calibri" w:eastAsia="Calibri" w:hAnsi="Calibri" w:cs="Calibri"/>
          <w:sz w:val="22"/>
        </w:rPr>
        <w:t>“</w:t>
      </w:r>
    </w:p>
    <w:p w14:paraId="369DF977"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433465">
        <w:rPr>
          <w:rFonts w:ascii="Calibri" w:eastAsia="Calibri" w:hAnsi="Calibri" w:cs="Times New Roman"/>
          <w:b/>
          <w:sz w:val="22"/>
        </w:rPr>
        <w:t>.</w:t>
      </w:r>
    </w:p>
    <w:p w14:paraId="65782C16"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4.21 NAP 2018–2022</w:t>
      </w:r>
    </w:p>
    <w:p w14:paraId="4E4035D6"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Odpovědný subjekt: MŽP</w:t>
      </w:r>
      <w:r w:rsidR="00B85D0C">
        <w:rPr>
          <w:rFonts w:ascii="Calibri" w:eastAsia="Calibri" w:hAnsi="Calibri" w:cs="Times New Roman"/>
          <w:sz w:val="22"/>
        </w:rPr>
        <w:t>.</w:t>
      </w:r>
    </w:p>
    <w:p w14:paraId="105E3786"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0984CEEC"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 xml:space="preserve">MŽP jako správce evidence OPVZ podle § 22 vodního zákona dokončí aktualizaci evidence známých ochranný pásem (OPVZ) během roku 2018 a po roce 2018 bude periodicky aktualizovat tuto evidenci. MŽP poskytne data z této evidence v odpovídající datové vrstvě pro účely aktualizace v LPIS </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odboru informačních a komunikačních technologií.</w:t>
      </w:r>
      <w:r w:rsidRPr="009A69BE">
        <w:rPr>
          <w:rFonts w:ascii="Calibri" w:eastAsia="Calibri" w:hAnsi="Calibri" w:cs="Calibri"/>
          <w:sz w:val="22"/>
        </w:rPr>
        <w:t>“</w:t>
      </w:r>
    </w:p>
    <w:p w14:paraId="4702F2E6"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Částečně splněno</w:t>
      </w:r>
      <w:r w:rsidR="00433465">
        <w:rPr>
          <w:rFonts w:ascii="Calibri" w:eastAsia="Calibri" w:hAnsi="Calibri" w:cs="Times New Roman"/>
          <w:b/>
          <w:sz w:val="22"/>
        </w:rPr>
        <w:t>.</w:t>
      </w:r>
    </w:p>
    <w:p w14:paraId="572D401D" w14:textId="77777777" w:rsidR="00AC7DB1" w:rsidRPr="00AC7DB1" w:rsidRDefault="00AC7DB1" w:rsidP="00AC7DB1">
      <w:pPr>
        <w:keepNext/>
        <w:keepLines/>
        <w:spacing w:before="240" w:after="0" w:line="259" w:lineRule="auto"/>
        <w:jc w:val="left"/>
        <w:outlineLvl w:val="0"/>
        <w:rPr>
          <w:rFonts w:ascii="Calibri" w:eastAsia="Times New Roman" w:hAnsi="Calibri" w:cs="Times New Roman"/>
          <w:color w:val="2E74B5"/>
          <w:sz w:val="32"/>
          <w:szCs w:val="32"/>
          <w:lang w:eastAsia="cs-CZ"/>
        </w:rPr>
      </w:pPr>
      <w:r w:rsidRPr="00AC7DB1">
        <w:rPr>
          <w:rFonts w:ascii="Calibri" w:eastAsia="Times New Roman" w:hAnsi="Calibri" w:cs="Times New Roman"/>
          <w:color w:val="2E74B5"/>
          <w:sz w:val="32"/>
          <w:szCs w:val="32"/>
          <w:lang w:eastAsia="cs-CZ"/>
        </w:rPr>
        <w:lastRenderedPageBreak/>
        <w:t>Opatření v oblasti monitoringu a hodnocení kvality vod</w:t>
      </w:r>
    </w:p>
    <w:p w14:paraId="7E017B36"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Roční hodnocení výskytu reziduí </w:t>
      </w:r>
    </w:p>
    <w:p w14:paraId="19E0CF4A"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4.40 NAP 2013–2017 </w:t>
      </w:r>
    </w:p>
    <w:p w14:paraId="607D0958"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proofErr w:type="spellStart"/>
      <w:r w:rsidRPr="00AC7DB1">
        <w:rPr>
          <w:rFonts w:ascii="Calibri" w:eastAsia="Times New Roman" w:hAnsi="Calibri" w:cs="Calibri"/>
          <w:color w:val="000000"/>
          <w:sz w:val="22"/>
          <w:lang w:eastAsia="cs-CZ"/>
        </w:rPr>
        <w:t>MZ</w:t>
      </w:r>
      <w:r w:rsidR="00B85D0C">
        <w:rPr>
          <w:rFonts w:ascii="Calibri" w:eastAsia="Times New Roman" w:hAnsi="Calibri" w:cs="Calibri"/>
          <w:color w:val="000000"/>
          <w:sz w:val="22"/>
          <w:lang w:eastAsia="cs-CZ"/>
        </w:rPr>
        <w:t>d</w:t>
      </w:r>
      <w:proofErr w:type="spellEnd"/>
      <w:r w:rsidR="00B85D0C">
        <w:rPr>
          <w:rFonts w:ascii="Calibri" w:eastAsia="Times New Roman" w:hAnsi="Calibri" w:cs="Calibri"/>
          <w:color w:val="000000"/>
          <w:sz w:val="22"/>
          <w:lang w:eastAsia="cs-CZ"/>
        </w:rPr>
        <w:t>.</w:t>
      </w:r>
    </w:p>
    <w:p w14:paraId="37DC6F67"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1EAA949E" w14:textId="77777777" w:rsidR="00AC7DB1" w:rsidRPr="00AD064D"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 xml:space="preserve">MŽP, </w:t>
      </w:r>
      <w:proofErr w:type="spellStart"/>
      <w:r w:rsidRPr="00AC7DB1">
        <w:rPr>
          <w:rFonts w:ascii="Calibri" w:eastAsia="Calibri" w:hAnsi="Calibri" w:cs="Calibri"/>
          <w:i/>
          <w:sz w:val="22"/>
        </w:rPr>
        <w:t>MZd</w:t>
      </w:r>
      <w:proofErr w:type="spellEnd"/>
      <w:r w:rsidRPr="00AC7DB1">
        <w:rPr>
          <w:rFonts w:ascii="Calibri" w:eastAsia="Calibri" w:hAnsi="Calibri" w:cs="Calibri"/>
          <w:i/>
          <w:sz w:val="22"/>
        </w:rPr>
        <w:t xml:space="preserve"> a </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zajistí od 2014 pravidelné</w:t>
      </w:r>
      <w:r w:rsidRPr="00AC7DB1">
        <w:rPr>
          <w:rFonts w:ascii="Calibri" w:eastAsia="Calibri" w:hAnsi="Calibri" w:cs="Calibri"/>
          <w:b/>
          <w:i/>
          <w:sz w:val="22"/>
        </w:rPr>
        <w:t xml:space="preserve"> </w:t>
      </w:r>
      <w:r w:rsidRPr="00AC7DB1">
        <w:rPr>
          <w:rFonts w:ascii="Calibri" w:eastAsia="Calibri" w:hAnsi="Calibri" w:cs="Calibri"/>
          <w:i/>
          <w:sz w:val="22"/>
        </w:rPr>
        <w:t>roční</w:t>
      </w:r>
      <w:r w:rsidRPr="00AC7DB1">
        <w:rPr>
          <w:rFonts w:ascii="Calibri" w:eastAsia="Calibri" w:hAnsi="Calibri" w:cs="Calibri"/>
          <w:b/>
          <w:i/>
          <w:sz w:val="22"/>
        </w:rPr>
        <w:t xml:space="preserve"> </w:t>
      </w:r>
      <w:r w:rsidRPr="00AC7DB1">
        <w:rPr>
          <w:rFonts w:ascii="Calibri" w:eastAsia="Calibri" w:hAnsi="Calibri" w:cs="Calibri"/>
          <w:i/>
          <w:sz w:val="22"/>
        </w:rPr>
        <w:t>hodnocení</w:t>
      </w:r>
      <w:r w:rsidRPr="00AC7DB1">
        <w:rPr>
          <w:rFonts w:ascii="Calibri" w:eastAsia="Calibri" w:hAnsi="Calibri" w:cs="Calibri"/>
          <w:b/>
          <w:i/>
          <w:sz w:val="22"/>
        </w:rPr>
        <w:t xml:space="preserve"> </w:t>
      </w:r>
      <w:r w:rsidRPr="00AC7DB1">
        <w:rPr>
          <w:rFonts w:ascii="Calibri" w:eastAsia="Calibri" w:hAnsi="Calibri" w:cs="Calibri"/>
          <w:i/>
          <w:sz w:val="22"/>
        </w:rPr>
        <w:t>výskytu</w:t>
      </w:r>
      <w:r w:rsidRPr="00AC7DB1">
        <w:rPr>
          <w:rFonts w:ascii="Calibri" w:eastAsia="Calibri" w:hAnsi="Calibri" w:cs="Calibri"/>
          <w:b/>
          <w:i/>
          <w:sz w:val="22"/>
        </w:rPr>
        <w:t xml:space="preserve"> </w:t>
      </w:r>
      <w:r w:rsidRPr="00AC7DB1">
        <w:rPr>
          <w:rFonts w:ascii="Calibri" w:eastAsia="Calibri" w:hAnsi="Calibri" w:cs="Calibri"/>
          <w:i/>
          <w:sz w:val="22"/>
        </w:rPr>
        <w:t>reziduí v povrchových, podzemních a pitných vodách za účasti příslušných orgánů a institucí dotčených</w:t>
      </w:r>
      <w:r w:rsidRPr="00AC7DB1">
        <w:rPr>
          <w:rFonts w:ascii="Calibri" w:eastAsia="Calibri" w:hAnsi="Calibri" w:cs="Calibri"/>
          <w:b/>
          <w:i/>
          <w:sz w:val="22"/>
        </w:rPr>
        <w:t xml:space="preserve"> </w:t>
      </w:r>
      <w:r w:rsidRPr="00AC7DB1">
        <w:rPr>
          <w:rFonts w:ascii="Calibri" w:eastAsia="Calibri" w:hAnsi="Calibri" w:cs="Calibri"/>
          <w:i/>
          <w:sz w:val="22"/>
        </w:rPr>
        <w:t>rezortů</w:t>
      </w:r>
      <w:r w:rsidRPr="00AC7DB1">
        <w:rPr>
          <w:rFonts w:ascii="Calibri" w:eastAsia="Calibri" w:hAnsi="Calibri" w:cs="Calibri"/>
          <w:b/>
          <w:i/>
          <w:sz w:val="22"/>
        </w:rPr>
        <w:t xml:space="preserve"> </w:t>
      </w:r>
      <w:r w:rsidRPr="00AC7DB1">
        <w:rPr>
          <w:rFonts w:ascii="Calibri" w:eastAsia="Calibri" w:hAnsi="Calibri" w:cs="Calibri"/>
          <w:i/>
          <w:sz w:val="22"/>
        </w:rPr>
        <w:t>zemědělství</w:t>
      </w:r>
      <w:r w:rsidRPr="009A69BE">
        <w:rPr>
          <w:rFonts w:ascii="Calibri" w:eastAsia="Calibri" w:hAnsi="Calibri" w:cs="Calibri"/>
          <w:i/>
          <w:sz w:val="22"/>
        </w:rPr>
        <w:t xml:space="preserve">, </w:t>
      </w:r>
      <w:r w:rsidRPr="00AC7DB1">
        <w:rPr>
          <w:rFonts w:ascii="Calibri" w:eastAsia="Calibri" w:hAnsi="Calibri" w:cs="Calibri"/>
          <w:i/>
          <w:sz w:val="22"/>
        </w:rPr>
        <w:t>životního</w:t>
      </w:r>
      <w:r w:rsidRPr="00AC7DB1">
        <w:rPr>
          <w:rFonts w:ascii="Calibri" w:eastAsia="Calibri" w:hAnsi="Calibri" w:cs="Calibri"/>
          <w:b/>
          <w:i/>
          <w:sz w:val="22"/>
        </w:rPr>
        <w:t xml:space="preserve"> </w:t>
      </w:r>
      <w:r w:rsidRPr="00AC7DB1">
        <w:rPr>
          <w:rFonts w:ascii="Calibri" w:eastAsia="Calibri" w:hAnsi="Calibri" w:cs="Calibri"/>
          <w:i/>
          <w:sz w:val="22"/>
        </w:rPr>
        <w:t xml:space="preserve">prostředí a zdravotnictví. Výsledky tohoto hodnocení zahrne MŽP a </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výroční</w:t>
      </w:r>
      <w:r w:rsidRPr="00AC7DB1">
        <w:rPr>
          <w:rFonts w:ascii="Calibri" w:eastAsia="Calibri" w:hAnsi="Calibri" w:cs="Calibri"/>
          <w:b/>
          <w:i/>
          <w:sz w:val="22"/>
        </w:rPr>
        <w:t xml:space="preserve"> </w:t>
      </w:r>
      <w:r w:rsidRPr="00AC7DB1">
        <w:rPr>
          <w:rFonts w:ascii="Calibri" w:eastAsia="Calibri" w:hAnsi="Calibri" w:cs="Calibri"/>
          <w:i/>
          <w:sz w:val="22"/>
        </w:rPr>
        <w:t>Zprávě</w:t>
      </w:r>
      <w:r w:rsidRPr="00AC7DB1">
        <w:rPr>
          <w:rFonts w:ascii="Calibri" w:eastAsia="Calibri" w:hAnsi="Calibri" w:cs="Calibri"/>
          <w:b/>
          <w:i/>
          <w:sz w:val="22"/>
        </w:rPr>
        <w:t xml:space="preserve"> </w:t>
      </w:r>
      <w:r w:rsidRPr="00AC7DB1">
        <w:rPr>
          <w:rFonts w:ascii="Calibri" w:eastAsia="Calibri" w:hAnsi="Calibri" w:cs="Calibri"/>
          <w:i/>
          <w:sz w:val="22"/>
        </w:rPr>
        <w:t>o stavu vodního hospodářství ČR</w:t>
      </w:r>
      <w:r w:rsidRPr="009A69BE">
        <w:rPr>
          <w:rFonts w:ascii="Calibri" w:eastAsia="Calibri" w:hAnsi="Calibri" w:cs="Calibri"/>
          <w:sz w:val="22"/>
        </w:rPr>
        <w:t>.“</w:t>
      </w:r>
    </w:p>
    <w:p w14:paraId="11142ED8"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433465">
        <w:rPr>
          <w:rFonts w:ascii="Calibri" w:eastAsia="Calibri" w:hAnsi="Calibri" w:cs="Times New Roman"/>
          <w:b/>
          <w:sz w:val="22"/>
        </w:rPr>
        <w:t>.</w:t>
      </w:r>
    </w:p>
    <w:p w14:paraId="4E55C5D9"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Pravidla cíleného monitoringu reziduí – pitná voda </w:t>
      </w:r>
    </w:p>
    <w:p w14:paraId="4B93E43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4.34 NAP 2013–2017 </w:t>
      </w:r>
    </w:p>
    <w:p w14:paraId="03A69EF2"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B85D0C">
        <w:rPr>
          <w:rFonts w:ascii="Calibri" w:eastAsia="Times New Roman" w:hAnsi="Calibri" w:cs="Calibri"/>
          <w:color w:val="000000"/>
          <w:sz w:val="22"/>
          <w:lang w:eastAsia="cs-CZ"/>
        </w:rPr>
        <w:t>.</w:t>
      </w:r>
    </w:p>
    <w:p w14:paraId="2A2C6DA7" w14:textId="77777777" w:rsidR="00AC7DB1" w:rsidRPr="00AC7DB1" w:rsidRDefault="00AC7DB1" w:rsidP="00AC7DB1">
      <w:pPr>
        <w:spacing w:after="0" w:line="259" w:lineRule="auto"/>
        <w:jc w:val="left"/>
        <w:rPr>
          <w:rFonts w:ascii="Calibri" w:eastAsia="Calibri" w:hAnsi="Calibri" w:cs="Calibri"/>
          <w:i/>
          <w:sz w:val="22"/>
        </w:rPr>
      </w:pPr>
      <w:r w:rsidRPr="00AC7DB1">
        <w:rPr>
          <w:rFonts w:ascii="Calibri" w:eastAsia="Calibri" w:hAnsi="Calibri" w:cs="Times New Roman"/>
          <w:sz w:val="22"/>
        </w:rPr>
        <w:t>Znění opatření:</w:t>
      </w:r>
      <w:r w:rsidRPr="00AC7DB1">
        <w:rPr>
          <w:rFonts w:ascii="Calibri" w:eastAsia="Calibri" w:hAnsi="Calibri" w:cs="Calibri"/>
          <w:i/>
          <w:sz w:val="22"/>
        </w:rPr>
        <w:t xml:space="preserve"> </w:t>
      </w:r>
    </w:p>
    <w:p w14:paraId="05775AF1"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 xml:space="preserve">MŽP do 2014 ve spolupráci s </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a SRS poskytne vodohospodářům pravidla cíleného monitoringu reziduí v povrchových a podzemních vodách využívaných pro zásobování obyvatelstva pitnou vodou.</w:t>
      </w:r>
      <w:r w:rsidRPr="009A69BE">
        <w:rPr>
          <w:rFonts w:ascii="Calibri" w:eastAsia="Calibri" w:hAnsi="Calibri" w:cs="Calibri"/>
          <w:sz w:val="22"/>
        </w:rPr>
        <w:t>“</w:t>
      </w:r>
    </w:p>
    <w:p w14:paraId="4EE876AA"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Nesplněno</w:t>
      </w:r>
      <w:r w:rsidR="00433465">
        <w:rPr>
          <w:rFonts w:ascii="Calibri" w:eastAsia="Calibri" w:hAnsi="Calibri" w:cs="Times New Roman"/>
          <w:b/>
          <w:sz w:val="22"/>
        </w:rPr>
        <w:t>.</w:t>
      </w:r>
    </w:p>
    <w:p w14:paraId="471D2A8E"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4.22 NAP 2018–2022</w:t>
      </w:r>
    </w:p>
    <w:p w14:paraId="44F65869"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B85D0C">
        <w:rPr>
          <w:rFonts w:ascii="Calibri" w:eastAsia="Times New Roman" w:hAnsi="Calibri" w:cs="Calibri"/>
          <w:color w:val="000000"/>
          <w:sz w:val="22"/>
          <w:lang w:eastAsia="cs-CZ"/>
        </w:rPr>
        <w:t>.</w:t>
      </w:r>
    </w:p>
    <w:p w14:paraId="39AA9148"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5F944887" w14:textId="77777777" w:rsidR="00AC7DB1" w:rsidRPr="00AD064D"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a Ústav ve spolupráci s ČHMÚ poskytne vodohospodářům jednotná metodická pravidla cíleného monitoringu reziduí v povrchových a podzemních vodách využívaných pro zásobování obyvatelstva pitnou vodou založená na znalosti aplikovaných přípravků, struktuře pěstovaných plodin, a</w:t>
      </w:r>
      <w:r w:rsidR="00B85D0C">
        <w:rPr>
          <w:rFonts w:ascii="Calibri" w:eastAsia="Calibri" w:hAnsi="Calibri" w:cs="Calibri"/>
          <w:i/>
          <w:sz w:val="22"/>
        </w:rPr>
        <w:t> </w:t>
      </w:r>
      <w:r w:rsidRPr="00AC7DB1">
        <w:rPr>
          <w:rFonts w:ascii="Calibri" w:eastAsia="Calibri" w:hAnsi="Calibri" w:cs="Calibri"/>
          <w:i/>
          <w:sz w:val="22"/>
        </w:rPr>
        <w:t>dostupných informacích o dosavadním výskytu reziduí</w:t>
      </w:r>
      <w:r w:rsidRPr="009A69BE">
        <w:rPr>
          <w:rFonts w:ascii="Calibri" w:eastAsia="Calibri" w:hAnsi="Calibri" w:cs="Calibri"/>
          <w:sz w:val="22"/>
        </w:rPr>
        <w:t>.“</w:t>
      </w:r>
    </w:p>
    <w:p w14:paraId="56AF46EC"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Nesplněno, neuplynul termín plnění</w:t>
      </w:r>
      <w:r w:rsidR="00433465">
        <w:rPr>
          <w:rFonts w:ascii="Calibri" w:eastAsia="Calibri" w:hAnsi="Calibri" w:cs="Times New Roman"/>
          <w:b/>
          <w:sz w:val="22"/>
        </w:rPr>
        <w:t>.</w:t>
      </w:r>
    </w:p>
    <w:p w14:paraId="1D40AA72"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Zavedení evidence použití přípravků na ochranu rostlin </w:t>
      </w:r>
    </w:p>
    <w:p w14:paraId="54D7A1AB"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4.26 NAP 2018–2022</w:t>
      </w:r>
    </w:p>
    <w:p w14:paraId="6F61F72F"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proofErr w:type="spellStart"/>
      <w:r w:rsidRPr="00AC7DB1">
        <w:rPr>
          <w:rFonts w:ascii="Calibri" w:eastAsia="Times New Roman" w:hAnsi="Calibri" w:cs="Calibri"/>
          <w:color w:val="000000"/>
          <w:sz w:val="22"/>
          <w:lang w:eastAsia="cs-CZ"/>
        </w:rPr>
        <w:t>MZ</w:t>
      </w:r>
      <w:r w:rsidR="00B85D0C">
        <w:rPr>
          <w:rFonts w:ascii="Calibri" w:eastAsia="Times New Roman" w:hAnsi="Calibri" w:cs="Calibri"/>
          <w:color w:val="000000"/>
          <w:sz w:val="22"/>
          <w:lang w:eastAsia="cs-CZ"/>
        </w:rPr>
        <w:t>d</w:t>
      </w:r>
      <w:proofErr w:type="spellEnd"/>
      <w:r w:rsidR="00B85D0C">
        <w:rPr>
          <w:rFonts w:ascii="Calibri" w:eastAsia="Times New Roman" w:hAnsi="Calibri" w:cs="Calibri"/>
          <w:color w:val="000000"/>
          <w:sz w:val="22"/>
          <w:lang w:eastAsia="cs-CZ"/>
        </w:rPr>
        <w:t>.</w:t>
      </w:r>
    </w:p>
    <w:p w14:paraId="1C54ACA7"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77704FC4"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szCs w:val="24"/>
        </w:rPr>
        <w:t>„</w:t>
      </w:r>
      <w:r w:rsidRPr="00AC7DB1">
        <w:rPr>
          <w:rFonts w:ascii="Calibri" w:eastAsia="Calibri" w:hAnsi="Calibri" w:cs="Calibri"/>
          <w:i/>
          <w:sz w:val="22"/>
          <w:szCs w:val="24"/>
        </w:rPr>
        <w:t xml:space="preserve">Prověřit možnosti pro zavedení systému povinné elektronické evidence použití POR dostupné pro zajištění ochrany zdrojů pitné vody, včetně technických a legislativních opatření – úkol pro </w:t>
      </w:r>
      <w:proofErr w:type="spellStart"/>
      <w:proofErr w:type="gramStart"/>
      <w:r w:rsidRPr="00AC7DB1">
        <w:rPr>
          <w:rFonts w:ascii="Calibri" w:eastAsia="Calibri" w:hAnsi="Calibri" w:cs="Calibri"/>
          <w:i/>
          <w:sz w:val="22"/>
          <w:szCs w:val="24"/>
        </w:rPr>
        <w:t>MZe</w:t>
      </w:r>
      <w:proofErr w:type="spellEnd"/>
      <w:proofErr w:type="gramEnd"/>
      <w:r w:rsidRPr="00AC7DB1">
        <w:rPr>
          <w:rFonts w:ascii="Calibri" w:eastAsia="Calibri" w:hAnsi="Calibri" w:cs="Calibri"/>
          <w:i/>
          <w:sz w:val="22"/>
          <w:szCs w:val="24"/>
        </w:rPr>
        <w:t xml:space="preserve"> ve spolupráci s </w:t>
      </w:r>
      <w:proofErr w:type="spellStart"/>
      <w:r w:rsidRPr="00AC7DB1">
        <w:rPr>
          <w:rFonts w:ascii="Calibri" w:eastAsia="Calibri" w:hAnsi="Calibri" w:cs="Calibri"/>
          <w:i/>
          <w:sz w:val="22"/>
          <w:szCs w:val="24"/>
        </w:rPr>
        <w:t>MZd</w:t>
      </w:r>
      <w:proofErr w:type="spellEnd"/>
      <w:r w:rsidRPr="00AC7DB1">
        <w:rPr>
          <w:rFonts w:ascii="Calibri" w:eastAsia="Calibri" w:hAnsi="Calibri" w:cs="Calibri"/>
          <w:i/>
          <w:sz w:val="22"/>
          <w:szCs w:val="24"/>
        </w:rPr>
        <w:t>, MŽP, ÚKZÚZ a SZÚ.</w:t>
      </w:r>
      <w:r w:rsidRPr="009A69BE">
        <w:rPr>
          <w:rFonts w:ascii="Calibri" w:eastAsia="Calibri" w:hAnsi="Calibri" w:cs="Calibri"/>
          <w:sz w:val="22"/>
          <w:szCs w:val="24"/>
        </w:rPr>
        <w:t>“</w:t>
      </w:r>
    </w:p>
    <w:p w14:paraId="2AB10EE3"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433465">
        <w:rPr>
          <w:rFonts w:ascii="Calibri" w:eastAsia="Calibri" w:hAnsi="Calibri" w:cs="Times New Roman"/>
          <w:b/>
          <w:sz w:val="22"/>
        </w:rPr>
        <w:t>.</w:t>
      </w:r>
    </w:p>
    <w:p w14:paraId="6594D788"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lastRenderedPageBreak/>
        <w:t xml:space="preserve">Podpora technologických zařízení </w:t>
      </w:r>
    </w:p>
    <w:p w14:paraId="1A1D57AC"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4.44 NAP 2013–2017 </w:t>
      </w:r>
    </w:p>
    <w:p w14:paraId="72B91E19" w14:textId="77777777" w:rsidR="00AC7DB1" w:rsidRPr="00AC7DB1" w:rsidRDefault="00AC7DB1" w:rsidP="00AC7DB1">
      <w:pPr>
        <w:keepNext/>
        <w:keepLines/>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00FD5709">
        <w:rPr>
          <w:rFonts w:ascii="Calibri" w:eastAsia="Times New Roman" w:hAnsi="Calibri" w:cs="Calibri"/>
          <w:color w:val="000000"/>
          <w:sz w:val="22"/>
          <w:lang w:eastAsia="cs-CZ"/>
        </w:rPr>
        <w:t>.</w:t>
      </w:r>
    </w:p>
    <w:p w14:paraId="42C4A343" w14:textId="77777777" w:rsidR="00AC7DB1" w:rsidRPr="00AC7DB1" w:rsidRDefault="00AC7DB1" w:rsidP="00AC7DB1">
      <w:pPr>
        <w:keepNext/>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0CB816B0"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szCs w:val="24"/>
        </w:rPr>
        <w:t>„</w:t>
      </w:r>
      <w:proofErr w:type="spellStart"/>
      <w:r w:rsidRPr="00AC7DB1">
        <w:rPr>
          <w:rFonts w:ascii="Calibri" w:eastAsia="Calibri" w:hAnsi="Calibri" w:cs="Times New Roman"/>
          <w:i/>
          <w:sz w:val="22"/>
          <w:szCs w:val="24"/>
        </w:rPr>
        <w:t>MZe</w:t>
      </w:r>
      <w:proofErr w:type="spellEnd"/>
      <w:r w:rsidRPr="00AC7DB1">
        <w:rPr>
          <w:rFonts w:ascii="Calibri" w:eastAsia="Calibri" w:hAnsi="Calibri" w:cs="Times New Roman"/>
          <w:i/>
          <w:sz w:val="22"/>
          <w:szCs w:val="24"/>
        </w:rPr>
        <w:t xml:space="preserve"> do 2016 prověří možnost systematické podpory instalace technologických zařízení a technologií pro snižování obsahu reziduí v pitných vodách ve stavbách pro úpravu vody využívající vodní zdroje s nadlimitním obsahem reziduí</w:t>
      </w:r>
      <w:r w:rsidR="008375BD">
        <w:rPr>
          <w:rFonts w:ascii="Calibri" w:eastAsia="Calibri" w:hAnsi="Calibri" w:cs="Times New Roman"/>
          <w:i/>
          <w:sz w:val="22"/>
          <w:szCs w:val="24"/>
        </w:rPr>
        <w:t>.</w:t>
      </w:r>
      <w:r w:rsidRPr="009A69BE">
        <w:rPr>
          <w:rFonts w:ascii="Calibri" w:eastAsia="Calibri" w:hAnsi="Calibri" w:cs="Times New Roman"/>
          <w:sz w:val="22"/>
          <w:szCs w:val="24"/>
        </w:rPr>
        <w:t>“</w:t>
      </w:r>
    </w:p>
    <w:p w14:paraId="0D4B0D25"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8375BD">
        <w:rPr>
          <w:rFonts w:ascii="Calibri" w:eastAsia="Calibri" w:hAnsi="Calibri" w:cs="Times New Roman"/>
          <w:b/>
          <w:sz w:val="22"/>
        </w:rPr>
        <w:t>.</w:t>
      </w:r>
    </w:p>
    <w:p w14:paraId="1344088E"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Systém předávání informací mezi ČHMÚ a ostatními subjekty </w:t>
      </w:r>
    </w:p>
    <w:p w14:paraId="3408E75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4.36 NAP 2013–2017</w:t>
      </w:r>
    </w:p>
    <w:p w14:paraId="549F871D"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070F3835"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6DEC0678"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szCs w:val="24"/>
        </w:rPr>
        <w:t>„</w:t>
      </w:r>
      <w:r w:rsidRPr="00AC7DB1">
        <w:rPr>
          <w:rFonts w:ascii="Calibri" w:eastAsia="Calibri" w:hAnsi="Calibri" w:cs="Calibri"/>
          <w:i/>
          <w:sz w:val="22"/>
          <w:szCs w:val="24"/>
        </w:rPr>
        <w:t xml:space="preserve">MŽP ve spolupráci s </w:t>
      </w:r>
      <w:proofErr w:type="spellStart"/>
      <w:proofErr w:type="gramStart"/>
      <w:r w:rsidRPr="00AC7DB1">
        <w:rPr>
          <w:rFonts w:ascii="Calibri" w:eastAsia="Calibri" w:hAnsi="Calibri" w:cs="Calibri"/>
          <w:i/>
          <w:sz w:val="22"/>
          <w:szCs w:val="24"/>
        </w:rPr>
        <w:t>MZe</w:t>
      </w:r>
      <w:proofErr w:type="spellEnd"/>
      <w:proofErr w:type="gramEnd"/>
      <w:r w:rsidRPr="00AC7DB1">
        <w:rPr>
          <w:rFonts w:ascii="Calibri" w:eastAsia="Calibri" w:hAnsi="Calibri" w:cs="Calibri"/>
          <w:i/>
          <w:sz w:val="22"/>
          <w:szCs w:val="24"/>
        </w:rPr>
        <w:t xml:space="preserve"> do roku 2014 navrhne a zprovozní systém předávání informací o výskytu reziduí v povrchových, podzemních a pitných vodách mezi ČHMÚ, podniky Povodí, SRS, výrobci pitné vody a ČIŽP. Při návrhu systému budou v co největší míře zohledněny a využity současně fungující evidence.</w:t>
      </w:r>
      <w:r w:rsidRPr="009A69BE">
        <w:rPr>
          <w:rFonts w:ascii="Calibri" w:eastAsia="Calibri" w:hAnsi="Calibri" w:cs="Calibri"/>
          <w:sz w:val="22"/>
          <w:szCs w:val="24"/>
        </w:rPr>
        <w:t>“</w:t>
      </w:r>
    </w:p>
    <w:p w14:paraId="12C112CC"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8375BD">
        <w:rPr>
          <w:rFonts w:ascii="Calibri" w:eastAsia="Calibri" w:hAnsi="Calibri" w:cs="Times New Roman"/>
          <w:b/>
          <w:sz w:val="22"/>
        </w:rPr>
        <w:t>.</w:t>
      </w:r>
    </w:p>
    <w:p w14:paraId="13FAD07D"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Metodika stanovení ohrožených oblastí </w:t>
      </w:r>
    </w:p>
    <w:p w14:paraId="181CFD9D"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4.39 NAP 2013–2017 </w:t>
      </w:r>
    </w:p>
    <w:p w14:paraId="2B3A3E56"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74763BF6"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76E73A95" w14:textId="77777777" w:rsidR="00AC7DB1" w:rsidRPr="00AC7DB1" w:rsidRDefault="00AC7DB1" w:rsidP="00AC7DB1">
      <w:pPr>
        <w:spacing w:after="160" w:line="259" w:lineRule="auto"/>
        <w:jc w:val="left"/>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 xml:space="preserve">MŽP v součinnosti s </w:t>
      </w:r>
      <w:proofErr w:type="spellStart"/>
      <w:proofErr w:type="gramStart"/>
      <w:r w:rsidRPr="00AC7DB1">
        <w:rPr>
          <w:rFonts w:ascii="Calibri" w:eastAsia="Calibri" w:hAnsi="Calibri" w:cs="Calibri"/>
          <w:i/>
          <w:sz w:val="22"/>
        </w:rPr>
        <w:t>MZe</w:t>
      </w:r>
      <w:proofErr w:type="spellEnd"/>
      <w:proofErr w:type="gramEnd"/>
      <w:r w:rsidRPr="00AC7DB1">
        <w:rPr>
          <w:rFonts w:ascii="Calibri" w:eastAsia="Calibri" w:hAnsi="Calibri" w:cs="Calibri"/>
          <w:i/>
          <w:sz w:val="22"/>
        </w:rPr>
        <w:t xml:space="preserve"> a příslušnými resortními organizacemi připraví do 2015 metodiku stanovení ohrožených oblastí z hlediska rizika výskytu nadlimitního výskytu reziduí v povrchové a podzemní vodě včetně způsobu vedení jejich evidence a aktualizace.</w:t>
      </w:r>
      <w:r w:rsidRPr="009A69BE">
        <w:rPr>
          <w:rFonts w:ascii="Calibri" w:eastAsia="Calibri" w:hAnsi="Calibri" w:cs="Calibri"/>
          <w:sz w:val="22"/>
        </w:rPr>
        <w:t>“</w:t>
      </w:r>
    </w:p>
    <w:p w14:paraId="1FBF6DD4"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Nesplněno</w:t>
      </w:r>
      <w:r w:rsidR="008375BD">
        <w:rPr>
          <w:rFonts w:ascii="Calibri" w:eastAsia="Calibri" w:hAnsi="Calibri" w:cs="Times New Roman"/>
          <w:b/>
          <w:sz w:val="22"/>
        </w:rPr>
        <w:t>.</w:t>
      </w:r>
    </w:p>
    <w:p w14:paraId="0DE50FB2"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Podpora půdotvorných opatření </w:t>
      </w:r>
    </w:p>
    <w:p w14:paraId="2797E38D"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4.30 NAP 2018–2022 </w:t>
      </w:r>
    </w:p>
    <w:p w14:paraId="0901616E"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00FD5709">
        <w:rPr>
          <w:rFonts w:ascii="Calibri" w:eastAsia="Times New Roman" w:hAnsi="Calibri" w:cs="Calibri"/>
          <w:color w:val="000000"/>
          <w:sz w:val="22"/>
          <w:lang w:eastAsia="cs-CZ"/>
        </w:rPr>
        <w:t>.</w:t>
      </w:r>
    </w:p>
    <w:p w14:paraId="15037E33"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420D17B6"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szCs w:val="24"/>
        </w:rPr>
        <w:t>„</w:t>
      </w:r>
      <w:proofErr w:type="spellStart"/>
      <w:r w:rsidRPr="00AC7DB1">
        <w:rPr>
          <w:rFonts w:ascii="Calibri" w:eastAsia="Calibri" w:hAnsi="Calibri" w:cs="Times New Roman"/>
          <w:i/>
          <w:sz w:val="22"/>
          <w:szCs w:val="24"/>
        </w:rPr>
        <w:t>MZe</w:t>
      </w:r>
      <w:proofErr w:type="spellEnd"/>
      <w:r w:rsidRPr="00AC7DB1">
        <w:rPr>
          <w:rFonts w:ascii="Calibri" w:eastAsia="Calibri" w:hAnsi="Calibri" w:cs="Times New Roman"/>
          <w:i/>
          <w:sz w:val="22"/>
          <w:szCs w:val="24"/>
        </w:rPr>
        <w:t xml:space="preserve"> do roku 2020 prověří možnosti systematické podpory půdotvorných opatření (omezování </w:t>
      </w:r>
      <w:proofErr w:type="spellStart"/>
      <w:r w:rsidRPr="00AC7DB1">
        <w:rPr>
          <w:rFonts w:ascii="Calibri" w:eastAsia="Calibri" w:hAnsi="Calibri" w:cs="Times New Roman"/>
          <w:i/>
          <w:sz w:val="22"/>
          <w:szCs w:val="24"/>
        </w:rPr>
        <w:t>zhutněnosti</w:t>
      </w:r>
      <w:proofErr w:type="spellEnd"/>
      <w:r w:rsidRPr="00AC7DB1">
        <w:rPr>
          <w:rFonts w:ascii="Calibri" w:eastAsia="Calibri" w:hAnsi="Calibri" w:cs="Times New Roman"/>
          <w:i/>
          <w:sz w:val="22"/>
          <w:szCs w:val="24"/>
        </w:rPr>
        <w:t>, protierozní opatření, udržování obsahu organické hmoty a humusu) z hlediska ochrany vody před vyplavováním reziduí POR</w:t>
      </w:r>
      <w:r w:rsidR="008375BD">
        <w:rPr>
          <w:rFonts w:ascii="Calibri" w:eastAsia="Calibri" w:hAnsi="Calibri" w:cs="Times New Roman"/>
          <w:i/>
          <w:sz w:val="22"/>
          <w:szCs w:val="24"/>
        </w:rPr>
        <w:t>.</w:t>
      </w:r>
      <w:r w:rsidRPr="009A69BE">
        <w:rPr>
          <w:rFonts w:ascii="Calibri" w:eastAsia="Calibri" w:hAnsi="Calibri" w:cs="Times New Roman"/>
          <w:sz w:val="22"/>
          <w:szCs w:val="24"/>
        </w:rPr>
        <w:t>“</w:t>
      </w:r>
    </w:p>
    <w:p w14:paraId="0B5368E7"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8375BD">
        <w:rPr>
          <w:rFonts w:ascii="Calibri" w:eastAsia="Calibri" w:hAnsi="Calibri" w:cs="Times New Roman"/>
          <w:b/>
          <w:sz w:val="22"/>
        </w:rPr>
        <w:t>.</w:t>
      </w:r>
    </w:p>
    <w:p w14:paraId="19EC19D9"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Stanovení prostorově a časově definovaných pozemků – necílové organismy a POR </w:t>
      </w:r>
    </w:p>
    <w:p w14:paraId="11A84897"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4.32 NAP 2018–2022 </w:t>
      </w:r>
    </w:p>
    <w:p w14:paraId="7FF58984"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09A983CB"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4731B985"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spolupráci s MŽP zajistí stanovení prostorově a časově definovaných pozemků, na nichž používání přípravků představuje vyšší riziko pro necílové organismy a prostředí (tzv. „hot spot </w:t>
      </w:r>
      <w:r w:rsidRPr="00AC7DB1">
        <w:rPr>
          <w:rFonts w:ascii="Calibri" w:eastAsia="Calibri" w:hAnsi="Calibri" w:cs="Calibri"/>
          <w:i/>
          <w:sz w:val="22"/>
        </w:rPr>
        <w:lastRenderedPageBreak/>
        <w:t xml:space="preserve">management“). </w:t>
      </w:r>
      <w:proofErr w:type="gramStart"/>
      <w:r w:rsidRPr="00AC7DB1">
        <w:rPr>
          <w:rFonts w:ascii="Calibri" w:eastAsia="Calibri" w:hAnsi="Calibri" w:cs="Calibri"/>
          <w:i/>
          <w:sz w:val="22"/>
        </w:rPr>
        <w:t>specifické</w:t>
      </w:r>
      <w:proofErr w:type="gramEnd"/>
      <w:r w:rsidRPr="00AC7DB1">
        <w:rPr>
          <w:rFonts w:ascii="Calibri" w:eastAsia="Calibri" w:hAnsi="Calibri" w:cs="Calibri"/>
          <w:i/>
          <w:sz w:val="22"/>
        </w:rPr>
        <w:t xml:space="preserve"> podmínky prostředí (např. území s vysokou hustotou vodních toků, s velkou půdní propustností, ochranná pásma vodních zdrojů pitné vody) s využitím již existujících databázových a informačních systémů </w:t>
      </w:r>
      <w:r w:rsidR="00FD5709">
        <w:rPr>
          <w:rFonts w:ascii="Calibri" w:eastAsia="Calibri" w:hAnsi="Calibri" w:cs="Calibri"/>
          <w:i/>
          <w:sz w:val="22"/>
        </w:rPr>
        <w:t>–</w:t>
      </w:r>
      <w:r w:rsidRPr="00AC7DB1">
        <w:rPr>
          <w:rFonts w:ascii="Calibri" w:eastAsia="Calibri" w:hAnsi="Calibri" w:cs="Calibri"/>
          <w:i/>
          <w:sz w:val="22"/>
        </w:rPr>
        <w:t xml:space="preserve"> např. ARROW </w:t>
      </w:r>
      <w:r w:rsidR="00FD5709">
        <w:rPr>
          <w:rFonts w:ascii="Calibri" w:eastAsia="Calibri" w:hAnsi="Calibri" w:cs="Calibri"/>
          <w:i/>
          <w:sz w:val="22"/>
        </w:rPr>
        <w:t>–</w:t>
      </w:r>
      <w:r w:rsidRPr="00AC7DB1">
        <w:rPr>
          <w:rFonts w:ascii="Calibri" w:eastAsia="Calibri" w:hAnsi="Calibri" w:cs="Calibri"/>
          <w:i/>
          <w:sz w:val="22"/>
        </w:rPr>
        <w:t xml:space="preserve"> pasportizace pesticidů spravované ČHMÚ.</w:t>
      </w:r>
      <w:r w:rsidRPr="009A69BE">
        <w:rPr>
          <w:rFonts w:ascii="Calibri" w:eastAsia="Calibri" w:hAnsi="Calibri" w:cs="Calibri"/>
          <w:sz w:val="22"/>
        </w:rPr>
        <w:t>“</w:t>
      </w:r>
    </w:p>
    <w:p w14:paraId="59A6F4B0"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Nesplněno, neuplynul termín plnění</w:t>
      </w:r>
      <w:r w:rsidR="008375BD">
        <w:rPr>
          <w:rFonts w:ascii="Calibri" w:eastAsia="Calibri" w:hAnsi="Calibri" w:cs="Times New Roman"/>
          <w:b/>
          <w:sz w:val="22"/>
        </w:rPr>
        <w:t>.</w:t>
      </w:r>
    </w:p>
    <w:p w14:paraId="7505E7D0"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 xml:space="preserve">Aktualizace rizik přípravků </w:t>
      </w:r>
      <w:r w:rsidR="00FD5709">
        <w:rPr>
          <w:rFonts w:ascii="Calibri" w:eastAsia="Times New Roman" w:hAnsi="Calibri" w:cs="Times New Roman"/>
          <w:b/>
          <w:color w:val="2E74B5"/>
          <w:sz w:val="26"/>
          <w:szCs w:val="26"/>
          <w:lang w:eastAsia="cs-CZ"/>
        </w:rPr>
        <w:t>s ohledem na</w:t>
      </w:r>
      <w:r w:rsidRPr="00AC7DB1">
        <w:rPr>
          <w:rFonts w:ascii="Calibri" w:eastAsia="Times New Roman" w:hAnsi="Calibri" w:cs="Times New Roman"/>
          <w:b/>
          <w:color w:val="2E74B5"/>
          <w:sz w:val="26"/>
          <w:szCs w:val="26"/>
          <w:lang w:eastAsia="cs-CZ"/>
        </w:rPr>
        <w:t xml:space="preserve"> </w:t>
      </w:r>
      <w:r w:rsidR="00FD5709">
        <w:rPr>
          <w:rFonts w:ascii="Calibri" w:eastAsia="Times New Roman" w:hAnsi="Calibri" w:cs="Times New Roman"/>
          <w:b/>
          <w:color w:val="2E74B5"/>
          <w:sz w:val="26"/>
          <w:szCs w:val="26"/>
          <w:lang w:eastAsia="cs-CZ"/>
        </w:rPr>
        <w:t xml:space="preserve">možnou </w:t>
      </w:r>
      <w:r w:rsidRPr="00AC7DB1">
        <w:rPr>
          <w:rFonts w:ascii="Calibri" w:eastAsia="Times New Roman" w:hAnsi="Calibri" w:cs="Times New Roman"/>
          <w:b/>
          <w:color w:val="2E74B5"/>
          <w:sz w:val="26"/>
          <w:szCs w:val="26"/>
          <w:lang w:eastAsia="cs-CZ"/>
        </w:rPr>
        <w:t xml:space="preserve">kontaminaci vod a tvorba kritérií pro hodnocení přípravků pro OPVZ </w:t>
      </w:r>
    </w:p>
    <w:p w14:paraId="7E9B1BA2"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4.41 NAP 2013–2017 </w:t>
      </w:r>
    </w:p>
    <w:p w14:paraId="1F800679"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0D8503BC"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42ED0A7B"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spolupráci se SRS, MŽP a odbornými zájmovými sdruženími průběžně aktualizuje rizika přípravků vzhledem ke kontaminaci povrchových a podzemních vod a výsledek zohlední při tvorbě kritérií pro hodnocení přípravků s ohledem na vyloučení nebo omezení jejich použití v OPVZ.</w:t>
      </w:r>
      <w:r w:rsidRPr="009A69BE">
        <w:rPr>
          <w:rFonts w:ascii="Calibri" w:eastAsia="Calibri" w:hAnsi="Calibri" w:cs="Calibri"/>
          <w:sz w:val="22"/>
        </w:rPr>
        <w:t>“</w:t>
      </w:r>
    </w:p>
    <w:p w14:paraId="1AB7D997"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8375BD">
        <w:rPr>
          <w:rFonts w:ascii="Calibri" w:eastAsia="Calibri" w:hAnsi="Calibri" w:cs="Times New Roman"/>
          <w:b/>
          <w:sz w:val="22"/>
        </w:rPr>
        <w:t>.</w:t>
      </w:r>
    </w:p>
    <w:p w14:paraId="1A234595"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4.27 NAP 2018–2022 </w:t>
      </w:r>
    </w:p>
    <w:p w14:paraId="563122CB"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proofErr w:type="spellStart"/>
      <w:r w:rsidRPr="00AC7DB1">
        <w:rPr>
          <w:rFonts w:ascii="Calibri" w:eastAsia="Times New Roman" w:hAnsi="Calibri" w:cs="Calibri"/>
          <w:color w:val="000000"/>
          <w:sz w:val="22"/>
          <w:lang w:eastAsia="cs-CZ"/>
        </w:rPr>
        <w:t>MZe</w:t>
      </w:r>
      <w:proofErr w:type="spellEnd"/>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3610B265"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39988EB4"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proofErr w:type="spellStart"/>
      <w:r w:rsidRPr="00AC7DB1">
        <w:rPr>
          <w:rFonts w:ascii="Calibri" w:eastAsia="Calibri" w:hAnsi="Calibri" w:cs="Calibri"/>
          <w:i/>
          <w:sz w:val="22"/>
        </w:rPr>
        <w:t>MZe</w:t>
      </w:r>
      <w:proofErr w:type="spellEnd"/>
      <w:r w:rsidRPr="00AC7DB1">
        <w:rPr>
          <w:rFonts w:ascii="Calibri" w:eastAsia="Calibri" w:hAnsi="Calibri" w:cs="Calibri"/>
          <w:i/>
          <w:sz w:val="22"/>
        </w:rPr>
        <w:t xml:space="preserve"> ve spolupráci s Ústavem, MŽP a odbornými zájmovými sdruženími průběžně aktualizuje rizika přípravků vzhledem ke kontaminaci povrchových a podzemních vod a výsledek zohlední při tvorbě kritérií pro hodnocení přípravků s ohledem na vyloučení nebo omezení jejich použití v OPVZ a na pozemcích tvořících povodí útvarů povrchových a podzemních vod s nadlimitním výskytem reziduí POR.</w:t>
      </w:r>
      <w:r w:rsidRPr="009A69BE">
        <w:rPr>
          <w:rFonts w:ascii="Calibri" w:eastAsia="Calibri" w:hAnsi="Calibri" w:cs="Calibri"/>
          <w:sz w:val="22"/>
        </w:rPr>
        <w:t>“</w:t>
      </w:r>
    </w:p>
    <w:p w14:paraId="2CA76A35" w14:textId="77777777" w:rsidR="00AC7DB1" w:rsidRPr="00AC7DB1" w:rsidRDefault="00AC7DB1" w:rsidP="00AC7DB1">
      <w:pPr>
        <w:spacing w:after="160" w:line="259" w:lineRule="auto"/>
        <w:jc w:val="left"/>
        <w:rPr>
          <w:rFonts w:ascii="Calibri" w:eastAsia="Calibri" w:hAnsi="Calibri" w:cs="Times New Roman"/>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8375BD">
        <w:rPr>
          <w:rFonts w:ascii="Calibri" w:eastAsia="Calibri" w:hAnsi="Calibri" w:cs="Times New Roman"/>
          <w:b/>
          <w:sz w:val="22"/>
        </w:rPr>
        <w:t>.</w:t>
      </w:r>
    </w:p>
    <w:p w14:paraId="2DA22C6D"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t>Pravidelná aktualizace limitů pro hodnocení reziduí v povrchových vodách</w:t>
      </w:r>
    </w:p>
    <w:p w14:paraId="418F1BC7"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4.24 NAP 2018–2022 </w:t>
      </w:r>
    </w:p>
    <w:p w14:paraId="2A297464"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1362E4AA"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53EB1A69"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 xml:space="preserve">MŽP zajistí pravidelnou revizi a průběžnou aktualizaci limitů pro hodnocení výskytu reziduí pesticidů </w:t>
      </w:r>
      <w:r w:rsidR="00FD5709">
        <w:rPr>
          <w:rFonts w:ascii="Calibri" w:eastAsia="Calibri" w:hAnsi="Calibri" w:cs="Calibri"/>
          <w:i/>
          <w:sz w:val="22"/>
        </w:rPr>
        <w:br/>
      </w:r>
      <w:r w:rsidRPr="00AC7DB1">
        <w:rPr>
          <w:rFonts w:ascii="Calibri" w:eastAsia="Calibri" w:hAnsi="Calibri" w:cs="Calibri"/>
          <w:i/>
          <w:sz w:val="22"/>
        </w:rPr>
        <w:t>a</w:t>
      </w:r>
      <w:r w:rsidR="00FD5709">
        <w:rPr>
          <w:rFonts w:ascii="Calibri" w:eastAsia="Calibri" w:hAnsi="Calibri" w:cs="Calibri"/>
          <w:i/>
          <w:sz w:val="22"/>
        </w:rPr>
        <w:t xml:space="preserve"> </w:t>
      </w:r>
      <w:r w:rsidRPr="00AC7DB1">
        <w:rPr>
          <w:rFonts w:ascii="Calibri" w:eastAsia="Calibri" w:hAnsi="Calibri" w:cs="Calibri"/>
          <w:i/>
          <w:sz w:val="22"/>
        </w:rPr>
        <w:t>jejich metabolitů v povrchových vodách. Revize limitů závisí na vývoji legislativy EU (stanovení environmentální kvality</w:t>
      </w:r>
      <w:r w:rsidR="00FD5709">
        <w:rPr>
          <w:rFonts w:ascii="Calibri" w:eastAsia="Calibri" w:hAnsi="Calibri" w:cs="Calibri"/>
          <w:i/>
          <w:sz w:val="22"/>
        </w:rPr>
        <w:t xml:space="preserve"> – </w:t>
      </w:r>
      <w:r w:rsidRPr="00AC7DB1">
        <w:rPr>
          <w:rFonts w:ascii="Calibri" w:eastAsia="Calibri" w:hAnsi="Calibri" w:cs="Calibri"/>
          <w:i/>
          <w:sz w:val="22"/>
        </w:rPr>
        <w:t>NEK), jež jsou pro MŽP závazná z hlediska hodnocení stavu útvarů povrchových vod.</w:t>
      </w:r>
      <w:r w:rsidRPr="009A69BE">
        <w:rPr>
          <w:rFonts w:ascii="Calibri" w:eastAsia="Calibri" w:hAnsi="Calibri" w:cs="Calibri"/>
          <w:sz w:val="22"/>
        </w:rPr>
        <w:t>“</w:t>
      </w:r>
    </w:p>
    <w:p w14:paraId="7D610103"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AD064D">
        <w:rPr>
          <w:rFonts w:ascii="Calibri" w:eastAsia="Calibri" w:hAnsi="Calibri" w:cs="Times New Roman"/>
          <w:b/>
          <w:sz w:val="22"/>
        </w:rPr>
        <w:t>.</w:t>
      </w:r>
    </w:p>
    <w:p w14:paraId="0D70CC40" w14:textId="77777777" w:rsidR="00AC7DB1" w:rsidRPr="00AC7DB1" w:rsidRDefault="00AC7DB1" w:rsidP="00AC7DB1">
      <w:pPr>
        <w:keepNext/>
        <w:keepLines/>
        <w:spacing w:before="40" w:after="0" w:line="259" w:lineRule="auto"/>
        <w:jc w:val="left"/>
        <w:outlineLvl w:val="1"/>
        <w:rPr>
          <w:rFonts w:ascii="Calibri" w:eastAsia="Times New Roman" w:hAnsi="Calibri" w:cs="Times New Roman"/>
          <w:color w:val="2E74B5"/>
          <w:sz w:val="26"/>
          <w:szCs w:val="26"/>
          <w:lang w:eastAsia="cs-CZ"/>
        </w:rPr>
      </w:pPr>
      <w:r w:rsidRPr="00AC7DB1">
        <w:rPr>
          <w:rFonts w:ascii="Calibri" w:eastAsia="Times New Roman" w:hAnsi="Calibri" w:cs="Times New Roman"/>
          <w:b/>
          <w:color w:val="2E74B5"/>
          <w:sz w:val="26"/>
          <w:szCs w:val="26"/>
          <w:lang w:eastAsia="cs-CZ"/>
        </w:rPr>
        <w:lastRenderedPageBreak/>
        <w:t xml:space="preserve">Zásady monitoringu a předávání dat </w:t>
      </w:r>
    </w:p>
    <w:p w14:paraId="3B5865FA"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 xml:space="preserve">Opatření č. 4.35 NAP 2013–2017 </w:t>
      </w:r>
    </w:p>
    <w:p w14:paraId="494D0089" w14:textId="77777777" w:rsidR="00AC7DB1" w:rsidRPr="00AC7DB1" w:rsidRDefault="00AC7DB1" w:rsidP="00AC7DB1">
      <w:pPr>
        <w:keepNext/>
        <w:keepLines/>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2A1A6402" w14:textId="77777777" w:rsidR="00AC7DB1" w:rsidRPr="00AC7DB1" w:rsidRDefault="00AC7DB1" w:rsidP="00AC7DB1">
      <w:pPr>
        <w:keepNext/>
        <w:keepLines/>
        <w:spacing w:after="0" w:line="259" w:lineRule="auto"/>
        <w:jc w:val="left"/>
        <w:rPr>
          <w:rFonts w:ascii="Calibri" w:eastAsia="Calibri" w:hAnsi="Calibri" w:cs="Times New Roman"/>
          <w:sz w:val="22"/>
        </w:rPr>
      </w:pPr>
      <w:r w:rsidRPr="00AC7DB1">
        <w:rPr>
          <w:rFonts w:ascii="Calibri" w:eastAsia="Calibri" w:hAnsi="Calibri" w:cs="Times New Roman"/>
          <w:sz w:val="22"/>
        </w:rPr>
        <w:t xml:space="preserve">Znění opatření: </w:t>
      </w:r>
    </w:p>
    <w:p w14:paraId="517B6B34" w14:textId="77777777" w:rsidR="00AC7DB1" w:rsidRPr="00AC7DB1" w:rsidRDefault="00AC7DB1" w:rsidP="00AC7DB1">
      <w:pPr>
        <w:keepNext/>
        <w:spacing w:after="160" w:line="259" w:lineRule="auto"/>
        <w:rPr>
          <w:rFonts w:ascii="Calibri" w:eastAsia="Calibri" w:hAnsi="Calibri" w:cs="Times New Roman"/>
          <w:sz w:val="22"/>
        </w:rPr>
      </w:pPr>
      <w:r w:rsidRPr="00AC7DB1">
        <w:rPr>
          <w:rFonts w:ascii="Calibri" w:eastAsia="Calibri" w:hAnsi="Calibri" w:cs="Calibri"/>
          <w:sz w:val="22"/>
        </w:rPr>
        <w:t>„</w:t>
      </w:r>
      <w:r w:rsidRPr="00AC7DB1">
        <w:rPr>
          <w:rFonts w:ascii="Calibri" w:eastAsia="Calibri" w:hAnsi="Calibri" w:cs="Calibri"/>
          <w:i/>
          <w:sz w:val="22"/>
        </w:rPr>
        <w:t>MŽP v součinnosti se svými resortními organizacemi a SRS ve spolupráci s vědeckovýzkumnou základnou a univerzitami připraví do 2015 zásady</w:t>
      </w:r>
      <w:r w:rsidRPr="00AC7DB1">
        <w:rPr>
          <w:rFonts w:ascii="Calibri" w:eastAsia="Calibri" w:hAnsi="Calibri" w:cs="Calibri"/>
          <w:b/>
          <w:i/>
          <w:sz w:val="22"/>
        </w:rPr>
        <w:t xml:space="preserve"> </w:t>
      </w:r>
      <w:r w:rsidRPr="00AC7DB1">
        <w:rPr>
          <w:rFonts w:ascii="Calibri" w:eastAsia="Calibri" w:hAnsi="Calibri" w:cs="Calibri"/>
          <w:i/>
          <w:sz w:val="22"/>
        </w:rPr>
        <w:t>monitoringu</w:t>
      </w:r>
      <w:r w:rsidRPr="00AC7DB1">
        <w:rPr>
          <w:rFonts w:ascii="Calibri" w:eastAsia="Calibri" w:hAnsi="Calibri" w:cs="Calibri"/>
          <w:b/>
          <w:i/>
          <w:sz w:val="22"/>
        </w:rPr>
        <w:t xml:space="preserve"> </w:t>
      </w:r>
      <w:r w:rsidRPr="00AC7DB1">
        <w:rPr>
          <w:rFonts w:ascii="Calibri" w:eastAsia="Calibri" w:hAnsi="Calibri" w:cs="Calibri"/>
          <w:i/>
          <w:sz w:val="22"/>
        </w:rPr>
        <w:t>reziduí</w:t>
      </w:r>
      <w:r w:rsidRPr="00AC7DB1">
        <w:rPr>
          <w:rFonts w:ascii="Calibri" w:eastAsia="Calibri" w:hAnsi="Calibri" w:cs="Calibri"/>
          <w:b/>
          <w:i/>
          <w:sz w:val="22"/>
        </w:rPr>
        <w:t xml:space="preserve"> </w:t>
      </w:r>
      <w:r w:rsidRPr="00AC7DB1">
        <w:rPr>
          <w:rFonts w:ascii="Calibri" w:eastAsia="Calibri" w:hAnsi="Calibri" w:cs="Calibri"/>
          <w:i/>
          <w:sz w:val="22"/>
        </w:rPr>
        <w:t>v</w:t>
      </w:r>
      <w:r w:rsidRPr="00AC7DB1">
        <w:rPr>
          <w:rFonts w:ascii="Calibri" w:eastAsia="Calibri" w:hAnsi="Calibri" w:cs="Calibri"/>
          <w:b/>
          <w:i/>
          <w:sz w:val="22"/>
        </w:rPr>
        <w:t xml:space="preserve"> </w:t>
      </w:r>
      <w:r w:rsidRPr="00AC7DB1">
        <w:rPr>
          <w:rFonts w:ascii="Calibri" w:eastAsia="Calibri" w:hAnsi="Calibri" w:cs="Calibri"/>
          <w:i/>
          <w:sz w:val="22"/>
        </w:rPr>
        <w:t>povrchových</w:t>
      </w:r>
      <w:r w:rsidRPr="00AC7DB1">
        <w:rPr>
          <w:rFonts w:ascii="Calibri" w:eastAsia="Calibri" w:hAnsi="Calibri" w:cs="Calibri"/>
          <w:b/>
          <w:i/>
          <w:sz w:val="22"/>
        </w:rPr>
        <w:t xml:space="preserve"> </w:t>
      </w:r>
      <w:r w:rsidRPr="00AC7DB1">
        <w:rPr>
          <w:rFonts w:ascii="Calibri" w:eastAsia="Calibri" w:hAnsi="Calibri" w:cs="Calibri"/>
          <w:i/>
          <w:sz w:val="22"/>
        </w:rPr>
        <w:t>a</w:t>
      </w:r>
      <w:r w:rsidRPr="00AC7DB1">
        <w:rPr>
          <w:rFonts w:ascii="Calibri" w:eastAsia="Calibri" w:hAnsi="Calibri" w:cs="Calibri"/>
          <w:b/>
          <w:i/>
          <w:sz w:val="22"/>
        </w:rPr>
        <w:t xml:space="preserve"> </w:t>
      </w:r>
      <w:r w:rsidRPr="00AC7DB1">
        <w:rPr>
          <w:rFonts w:ascii="Calibri" w:eastAsia="Calibri" w:hAnsi="Calibri" w:cs="Calibri"/>
          <w:i/>
          <w:sz w:val="22"/>
        </w:rPr>
        <w:t>podzemních</w:t>
      </w:r>
      <w:r w:rsidRPr="00AC7DB1">
        <w:rPr>
          <w:rFonts w:ascii="Calibri" w:eastAsia="Calibri" w:hAnsi="Calibri" w:cs="Calibri"/>
          <w:b/>
          <w:i/>
          <w:sz w:val="22"/>
        </w:rPr>
        <w:t xml:space="preserve"> </w:t>
      </w:r>
      <w:r w:rsidRPr="00AC7DB1">
        <w:rPr>
          <w:rFonts w:ascii="Calibri" w:eastAsia="Calibri" w:hAnsi="Calibri" w:cs="Calibri"/>
          <w:i/>
          <w:sz w:val="22"/>
        </w:rPr>
        <w:t>vodách v rámci situačního, provozního popř. průzkumného monitoringu povrchových a podzemních vod v ČR. Součásti těchto zásad je i způsob</w:t>
      </w:r>
      <w:r w:rsidRPr="00AC7DB1">
        <w:rPr>
          <w:rFonts w:ascii="Calibri" w:eastAsia="Calibri" w:hAnsi="Calibri" w:cs="Calibri"/>
          <w:b/>
          <w:i/>
          <w:sz w:val="22"/>
        </w:rPr>
        <w:t xml:space="preserve"> </w:t>
      </w:r>
      <w:r w:rsidRPr="00AC7DB1">
        <w:rPr>
          <w:rFonts w:ascii="Calibri" w:eastAsia="Calibri" w:hAnsi="Calibri" w:cs="Calibri"/>
          <w:i/>
          <w:sz w:val="22"/>
        </w:rPr>
        <w:t>recipročního</w:t>
      </w:r>
      <w:r w:rsidRPr="00AC7DB1">
        <w:rPr>
          <w:rFonts w:ascii="Calibri" w:eastAsia="Calibri" w:hAnsi="Calibri" w:cs="Calibri"/>
          <w:b/>
          <w:i/>
          <w:sz w:val="22"/>
        </w:rPr>
        <w:t xml:space="preserve"> </w:t>
      </w:r>
      <w:r w:rsidRPr="00AC7DB1">
        <w:rPr>
          <w:rFonts w:ascii="Calibri" w:eastAsia="Calibri" w:hAnsi="Calibri" w:cs="Calibri"/>
          <w:i/>
          <w:sz w:val="22"/>
        </w:rPr>
        <w:t>předávání</w:t>
      </w:r>
      <w:r w:rsidRPr="00AC7DB1">
        <w:rPr>
          <w:rFonts w:ascii="Calibri" w:eastAsia="Calibri" w:hAnsi="Calibri" w:cs="Calibri"/>
          <w:b/>
          <w:i/>
          <w:sz w:val="22"/>
        </w:rPr>
        <w:t xml:space="preserve"> </w:t>
      </w:r>
      <w:r w:rsidRPr="00AC7DB1">
        <w:rPr>
          <w:rFonts w:ascii="Calibri" w:eastAsia="Calibri" w:hAnsi="Calibri" w:cs="Calibri"/>
          <w:i/>
          <w:sz w:val="22"/>
        </w:rPr>
        <w:t>dat</w:t>
      </w:r>
      <w:r w:rsidRPr="00AC7DB1">
        <w:rPr>
          <w:rFonts w:ascii="Calibri" w:eastAsia="Calibri" w:hAnsi="Calibri" w:cs="Calibri"/>
          <w:b/>
          <w:i/>
          <w:sz w:val="22"/>
        </w:rPr>
        <w:t xml:space="preserve"> </w:t>
      </w:r>
      <w:r w:rsidRPr="00AC7DB1">
        <w:rPr>
          <w:rFonts w:ascii="Calibri" w:eastAsia="Calibri" w:hAnsi="Calibri" w:cs="Calibri"/>
          <w:i/>
          <w:sz w:val="22"/>
        </w:rPr>
        <w:t>mezi SRS a ČHMÚ/Správci povodí a výrobci pitné vody o výskytu reziduí v povrchových a podzemních vodách.</w:t>
      </w:r>
      <w:r w:rsidRPr="009A69BE">
        <w:rPr>
          <w:rFonts w:ascii="Calibri" w:eastAsia="Calibri" w:hAnsi="Calibri" w:cs="Calibri"/>
          <w:sz w:val="22"/>
        </w:rPr>
        <w:t>“</w:t>
      </w:r>
    </w:p>
    <w:p w14:paraId="06CC98DD"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AD064D">
        <w:rPr>
          <w:rFonts w:ascii="Calibri" w:eastAsia="Calibri" w:hAnsi="Calibri" w:cs="Times New Roman"/>
          <w:b/>
          <w:sz w:val="22"/>
        </w:rPr>
        <w:t>.</w:t>
      </w:r>
    </w:p>
    <w:p w14:paraId="72110A22" w14:textId="77777777" w:rsidR="00AC7DB1" w:rsidRPr="00AC7DB1" w:rsidRDefault="00AC7DB1" w:rsidP="00AC7DB1">
      <w:pPr>
        <w:keepNext/>
        <w:keepLines/>
        <w:spacing w:before="40" w:after="0" w:line="259" w:lineRule="auto"/>
        <w:jc w:val="left"/>
        <w:outlineLvl w:val="2"/>
        <w:rPr>
          <w:rFonts w:ascii="Calibri" w:eastAsia="Times New Roman" w:hAnsi="Calibri" w:cs="Times New Roman"/>
          <w:szCs w:val="24"/>
          <w:u w:val="single"/>
          <w:lang w:eastAsia="cs-CZ"/>
        </w:rPr>
      </w:pPr>
      <w:r w:rsidRPr="00AC7DB1">
        <w:rPr>
          <w:rFonts w:ascii="Calibri" w:eastAsia="Times New Roman" w:hAnsi="Calibri" w:cs="Times New Roman"/>
          <w:szCs w:val="24"/>
          <w:u w:val="single"/>
          <w:lang w:eastAsia="cs-CZ"/>
        </w:rPr>
        <w:t>Opatření č. 4.23 NAP 2018–2022</w:t>
      </w:r>
    </w:p>
    <w:p w14:paraId="12BEAEDE" w14:textId="77777777" w:rsidR="00AC7DB1" w:rsidRPr="00AC7DB1" w:rsidRDefault="00AC7DB1" w:rsidP="00AC7DB1">
      <w:pPr>
        <w:spacing w:after="160" w:line="259" w:lineRule="auto"/>
        <w:jc w:val="left"/>
        <w:rPr>
          <w:rFonts w:ascii="Calibri" w:eastAsia="Times New Roman" w:hAnsi="Calibri" w:cs="Calibri"/>
          <w:color w:val="000000"/>
          <w:sz w:val="22"/>
          <w:lang w:eastAsia="cs-CZ"/>
        </w:rPr>
      </w:pPr>
      <w:r w:rsidRPr="00AC7DB1">
        <w:rPr>
          <w:rFonts w:ascii="Calibri" w:eastAsia="Calibri" w:hAnsi="Calibri" w:cs="Times New Roman"/>
          <w:sz w:val="22"/>
        </w:rPr>
        <w:t xml:space="preserve">Odpovědný subjekt: </w:t>
      </w:r>
      <w:r w:rsidRPr="00AC7DB1">
        <w:rPr>
          <w:rFonts w:ascii="Calibri" w:eastAsia="Times New Roman" w:hAnsi="Calibri" w:cs="Calibri"/>
          <w:color w:val="000000"/>
          <w:sz w:val="22"/>
          <w:lang w:eastAsia="cs-CZ"/>
        </w:rPr>
        <w:t>MŽP</w:t>
      </w:r>
      <w:r w:rsidR="00FD5709">
        <w:rPr>
          <w:rFonts w:ascii="Calibri" w:eastAsia="Times New Roman" w:hAnsi="Calibri" w:cs="Calibri"/>
          <w:color w:val="000000"/>
          <w:sz w:val="22"/>
          <w:lang w:eastAsia="cs-CZ"/>
        </w:rPr>
        <w:t>.</w:t>
      </w:r>
    </w:p>
    <w:p w14:paraId="38473F82" w14:textId="77777777" w:rsidR="00AC7DB1" w:rsidRPr="00AC7DB1" w:rsidRDefault="00AC7DB1" w:rsidP="00AC7DB1">
      <w:pPr>
        <w:spacing w:after="0" w:line="259" w:lineRule="auto"/>
        <w:jc w:val="left"/>
        <w:rPr>
          <w:rFonts w:ascii="Calibri" w:eastAsia="Calibri" w:hAnsi="Calibri" w:cs="Times New Roman"/>
          <w:sz w:val="22"/>
        </w:rPr>
      </w:pPr>
      <w:r w:rsidRPr="00AC7DB1">
        <w:rPr>
          <w:rFonts w:ascii="Calibri" w:eastAsia="Calibri" w:hAnsi="Calibri" w:cs="Times New Roman"/>
          <w:sz w:val="22"/>
        </w:rPr>
        <w:t>Znění opatření:</w:t>
      </w:r>
    </w:p>
    <w:p w14:paraId="205C354C" w14:textId="77777777" w:rsidR="00AC7DB1" w:rsidRPr="00AC7DB1" w:rsidRDefault="00AC7DB1" w:rsidP="00AC7DB1">
      <w:pPr>
        <w:spacing w:after="160" w:line="259" w:lineRule="auto"/>
        <w:rPr>
          <w:rFonts w:ascii="Calibri" w:eastAsia="Calibri" w:hAnsi="Calibri" w:cs="Times New Roman"/>
          <w:sz w:val="22"/>
        </w:rPr>
      </w:pPr>
      <w:r w:rsidRPr="009A69BE">
        <w:rPr>
          <w:rFonts w:ascii="Calibri" w:eastAsia="Calibri" w:hAnsi="Calibri" w:cs="Calibri"/>
          <w:sz w:val="22"/>
        </w:rPr>
        <w:t>„</w:t>
      </w:r>
      <w:r w:rsidRPr="00AC7DB1">
        <w:rPr>
          <w:rFonts w:ascii="Calibri" w:eastAsia="Calibri" w:hAnsi="Calibri" w:cs="Calibri"/>
          <w:i/>
          <w:sz w:val="22"/>
        </w:rPr>
        <w:t>MŽP v součinnosti se svými resortními organizacemi a ÚKZÚZ připraví zásady monitoringu reziduí v povrchových a podzemních vodách v rámci situačního, provozního popř. průzkumného monitoringu povrchových a podzemních vod v ČR. Součástí zásad bude jednoduchý výpočetní program pro výpočet indexu priority pro zařazení konkrétního pesticidu či metabolitu do monitoringu. Dále do 2020 zavede způsob recipročního předávání dat mezi ÚKZUZ a ČHMÚ/Správci povodí, orgány ochrany veřejného zdraví a výrobci pitné vody o výskytu reziduí v povrchových a podzemních vodách a to formou společné databáze a její pravidelné aktualizace min. dvakrát ročně (např. informační systém ARROW, Pasportizace pesticidů). Součásti systému bude i předávání informací o výskytu reziduí v povrchových, podzemních a pitných vodách mezi ČHMÚ, podniky Povodí, ÚKZÚZ, výrobci pitné vody a</w:t>
      </w:r>
      <w:r w:rsidR="00AD064D">
        <w:rPr>
          <w:rFonts w:ascii="Calibri" w:eastAsia="Calibri" w:hAnsi="Calibri" w:cs="Calibri"/>
          <w:i/>
          <w:sz w:val="22"/>
        </w:rPr>
        <w:t xml:space="preserve"> </w:t>
      </w:r>
      <w:r w:rsidR="00FD5709">
        <w:rPr>
          <w:rFonts w:ascii="Calibri" w:eastAsia="Calibri" w:hAnsi="Calibri" w:cs="Calibri"/>
          <w:i/>
          <w:sz w:val="22"/>
        </w:rPr>
        <w:t>ČIŽP</w:t>
      </w:r>
      <w:r w:rsidRPr="00AC7DB1">
        <w:rPr>
          <w:rFonts w:ascii="Calibri" w:eastAsia="Calibri" w:hAnsi="Calibri" w:cs="Calibri"/>
          <w:i/>
          <w:sz w:val="22"/>
        </w:rPr>
        <w:t>. Při návrhu systému budou v co největší míře zohledněny a využity současně fungující evidence.</w:t>
      </w:r>
      <w:r w:rsidRPr="009A69BE">
        <w:rPr>
          <w:rFonts w:ascii="Calibri" w:eastAsia="Calibri" w:hAnsi="Calibri" w:cs="Calibri"/>
          <w:sz w:val="22"/>
        </w:rPr>
        <w:t>“</w:t>
      </w:r>
    </w:p>
    <w:p w14:paraId="0C755AA3" w14:textId="77777777" w:rsidR="00AC7DB1" w:rsidRPr="00AC7DB1" w:rsidRDefault="00AC7DB1" w:rsidP="00AC7DB1">
      <w:pPr>
        <w:spacing w:after="160" w:line="259" w:lineRule="auto"/>
        <w:jc w:val="left"/>
        <w:rPr>
          <w:rFonts w:ascii="Calibri" w:eastAsia="Calibri" w:hAnsi="Calibri" w:cs="Times New Roman"/>
          <w:b/>
          <w:sz w:val="22"/>
        </w:rPr>
      </w:pPr>
      <w:r w:rsidRPr="00AC7DB1">
        <w:rPr>
          <w:rFonts w:ascii="Calibri" w:eastAsia="Calibri" w:hAnsi="Calibri" w:cs="Times New Roman"/>
          <w:sz w:val="22"/>
        </w:rPr>
        <w:t xml:space="preserve">Hodnocení plnění opatření dle NKÚ: </w:t>
      </w:r>
      <w:r w:rsidRPr="00AC7DB1">
        <w:rPr>
          <w:rFonts w:ascii="Calibri" w:eastAsia="Calibri" w:hAnsi="Calibri" w:cs="Times New Roman"/>
          <w:b/>
          <w:sz w:val="22"/>
        </w:rPr>
        <w:t>Splněno</w:t>
      </w:r>
      <w:r w:rsidR="00AD064D">
        <w:rPr>
          <w:rFonts w:ascii="Calibri" w:eastAsia="Calibri" w:hAnsi="Calibri" w:cs="Times New Roman"/>
          <w:b/>
          <w:sz w:val="22"/>
        </w:rPr>
        <w:t>.</w:t>
      </w:r>
    </w:p>
    <w:p w14:paraId="0D22D145" w14:textId="77777777" w:rsidR="00AC7DB1" w:rsidRPr="00AC7DB1" w:rsidRDefault="00AC7DB1" w:rsidP="00AC7DB1">
      <w:pPr>
        <w:spacing w:after="160" w:line="259" w:lineRule="auto"/>
        <w:jc w:val="left"/>
        <w:rPr>
          <w:rFonts w:ascii="Calibri" w:eastAsia="Calibri" w:hAnsi="Calibri" w:cs="Times New Roman"/>
          <w:sz w:val="22"/>
        </w:rPr>
      </w:pPr>
    </w:p>
    <w:p w14:paraId="0BC3046F" w14:textId="77777777" w:rsidR="00714253" w:rsidRPr="009F54F5" w:rsidRDefault="00714253" w:rsidP="00AE7347">
      <w:pPr>
        <w:tabs>
          <w:tab w:val="left" w:pos="3544"/>
        </w:tabs>
        <w:spacing w:after="0"/>
        <w:rPr>
          <w:b/>
          <w:szCs w:val="24"/>
        </w:rPr>
      </w:pPr>
    </w:p>
    <w:sectPr w:rsidR="00714253" w:rsidRPr="009F54F5">
      <w:headerReference w:type="default" r:id="rId3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E9FEF" w16cid:durableId="246897E2"/>
  <w16cid:commentId w16cid:paraId="05459A95" w16cid:durableId="2477AD22"/>
  <w16cid:commentId w16cid:paraId="25C51708" w16cid:durableId="2479BF31"/>
  <w16cid:commentId w16cid:paraId="767D3933" w16cid:durableId="246897CE"/>
  <w16cid:commentId w16cid:paraId="6AA56C34" w16cid:durableId="2468980A"/>
  <w16cid:commentId w16cid:paraId="68287613" w16cid:durableId="2477ACC0"/>
  <w16cid:commentId w16cid:paraId="1A99F517" w16cid:durableId="24689A86"/>
  <w16cid:commentId w16cid:paraId="0D3A4500" w16cid:durableId="2477ACC2"/>
  <w16cid:commentId w16cid:paraId="16A6B7B4" w16cid:durableId="2468984B"/>
  <w16cid:commentId w16cid:paraId="3AEBBA10" w16cid:durableId="2477ACC4"/>
  <w16cid:commentId w16cid:paraId="347F8F20" w16cid:durableId="2468989F"/>
  <w16cid:commentId w16cid:paraId="4ED09EF0" w16cid:durableId="2477ACC6"/>
  <w16cid:commentId w16cid:paraId="274DB9A3" w16cid:durableId="2477ACC7"/>
  <w16cid:commentId w16cid:paraId="03BE7E4B" w16cid:durableId="2479BF3C"/>
  <w16cid:commentId w16cid:paraId="126CD383" w16cid:durableId="2477ADCF"/>
  <w16cid:commentId w16cid:paraId="6066DB15" w16cid:durableId="2479BF3E"/>
  <w16cid:commentId w16cid:paraId="46D996EF" w16cid:durableId="2477AE33"/>
  <w16cid:commentId w16cid:paraId="2A61AD1B" w16cid:durableId="2479BF40"/>
  <w16cid:commentId w16cid:paraId="0E0E9CF2" w16cid:durableId="2479BF41"/>
  <w16cid:commentId w16cid:paraId="5BEBD856" w16cid:durableId="2479C21D"/>
  <w16cid:commentId w16cid:paraId="0085C471" w16cid:durableId="24785979"/>
  <w16cid:commentId w16cid:paraId="260E4045" w16cid:durableId="24689AFD"/>
  <w16cid:commentId w16cid:paraId="12DC7D54" w16cid:durableId="2477ACCA"/>
  <w16cid:commentId w16cid:paraId="67629945" w16cid:durableId="24785BC1"/>
  <w16cid:commentId w16cid:paraId="52458011" w16cid:durableId="2479BF48"/>
  <w16cid:commentId w16cid:paraId="6E823F95" w16cid:durableId="24785B8E"/>
  <w16cid:commentId w16cid:paraId="36754669" w16cid:durableId="2479BF4A"/>
  <w16cid:commentId w16cid:paraId="36678CD1" w16cid:durableId="24786441"/>
  <w16cid:commentId w16cid:paraId="7B7602BA" w16cid:durableId="2479BF4C"/>
  <w16cid:commentId w16cid:paraId="400D80F4" w16cid:durableId="2479BF4D"/>
  <w16cid:commentId w16cid:paraId="2095F53C" w16cid:durableId="24689E48"/>
  <w16cid:commentId w16cid:paraId="22541002" w16cid:durableId="2477ACCC"/>
  <w16cid:commentId w16cid:paraId="2776972F" w16cid:durableId="247867BF"/>
  <w16cid:commentId w16cid:paraId="02FCC014" w16cid:durableId="2477ACCD"/>
  <w16cid:commentId w16cid:paraId="48BB3192" w16cid:durableId="24786814"/>
  <w16cid:commentId w16cid:paraId="0A414890" w16cid:durableId="2479BF53"/>
  <w16cid:commentId w16cid:paraId="4AA7D48E" w16cid:durableId="24786864"/>
  <w16cid:commentId w16cid:paraId="75ADB26F" w16cid:durableId="2479BF55"/>
  <w16cid:commentId w16cid:paraId="45CF2AC1" w16cid:durableId="2477ACCE"/>
  <w16cid:commentId w16cid:paraId="3D21C301" w16cid:durableId="247868C1"/>
  <w16cid:commentId w16cid:paraId="6B06DB7A" w16cid:durableId="24689DE4"/>
  <w16cid:commentId w16cid:paraId="6B0459C9" w16cid:durableId="2477ACD0"/>
  <w16cid:commentId w16cid:paraId="7F33A2C4" w16cid:durableId="24786933"/>
  <w16cid:commentId w16cid:paraId="2D55930B" w16cid:durableId="2479BF5B"/>
  <w16cid:commentId w16cid:paraId="643C8EA5" w16cid:durableId="2477ACD1"/>
  <w16cid:commentId w16cid:paraId="5304D590" w16cid:durableId="24786B75"/>
  <w16cid:commentId w16cid:paraId="0A4BCF2A" w16cid:durableId="2479BF5E"/>
  <w16cid:commentId w16cid:paraId="50F70F24" w16cid:durableId="2477ACD2"/>
  <w16cid:commentId w16cid:paraId="05876881" w16cid:durableId="2479BF60"/>
  <w16cid:commentId w16cid:paraId="3E412CDB" w16cid:durableId="2479BF61"/>
  <w16cid:commentId w16cid:paraId="2784B411" w16cid:durableId="2479BF62"/>
  <w16cid:commentId w16cid:paraId="2743EB96" w16cid:durableId="2479BF63"/>
  <w16cid:commentId w16cid:paraId="620E82A6" w16cid:durableId="24787062"/>
  <w16cid:commentId w16cid:paraId="32C967B7" w16cid:durableId="2479BF65"/>
  <w16cid:commentId w16cid:paraId="77D3DE2F" w16cid:durableId="247871A1"/>
  <w16cid:commentId w16cid:paraId="141A5BE9" w16cid:durableId="2479BF67"/>
  <w16cid:commentId w16cid:paraId="4F1E9038" w16cid:durableId="24787254"/>
  <w16cid:commentId w16cid:paraId="5A7B1C2F" w16cid:durableId="2479BF69"/>
  <w16cid:commentId w16cid:paraId="65EE8AA8" w16cid:durableId="2477ACD3"/>
</w16cid:commentsIds>
</file>

<file path=word/customizations.xml><?xml version="1.0" encoding="utf-8"?>
<wne:tcg xmlns:r="http://schemas.openxmlformats.org/officeDocument/2006/relationships" xmlns:wne="http://schemas.microsoft.com/office/word/2006/wordml">
  <wne:keymaps>
    <wne:keymap wne:kcmPrimary="0244">
      <wne:fci wne:fciName="AcceptChangesOrAdvance" wne:swArg="0000"/>
    </wne:keymap>
    <wne:keymap wne:kcmPrimary="0251">
      <wne:fci wne:fciName="HighlightColorPicker" wne:swArg="0000"/>
    </wne:keymap>
    <wne:keymap wne:kcmPrimary="0252">
      <wne:fci wne:fciName="InsertAnnotation"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9FA0" w14:textId="77777777" w:rsidR="00F45937" w:rsidRDefault="00F45937" w:rsidP="00341A9A">
      <w:pPr>
        <w:spacing w:after="0"/>
      </w:pPr>
      <w:r>
        <w:separator/>
      </w:r>
    </w:p>
  </w:endnote>
  <w:endnote w:type="continuationSeparator" w:id="0">
    <w:p w14:paraId="1071DF31" w14:textId="77777777" w:rsidR="00F45937" w:rsidRDefault="00F45937" w:rsidP="00341A9A">
      <w:pPr>
        <w:spacing w:after="0"/>
      </w:pPr>
      <w:r>
        <w:continuationSeparator/>
      </w:r>
    </w:p>
  </w:endnote>
  <w:endnote w:type="continuationNotice" w:id="1">
    <w:p w14:paraId="48D876C6" w14:textId="77777777" w:rsidR="00F45937" w:rsidRDefault="00F459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2AE4" w14:textId="77777777" w:rsidR="007145CB" w:rsidRDefault="007145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97460"/>
      <w:docPartObj>
        <w:docPartGallery w:val="Page Numbers (Bottom of Page)"/>
        <w:docPartUnique/>
      </w:docPartObj>
    </w:sdtPr>
    <w:sdtEndPr/>
    <w:sdtContent>
      <w:p w14:paraId="534DDB2C" w14:textId="75965C2A" w:rsidR="00F45937" w:rsidRDefault="00F45937" w:rsidP="00FE40A1">
        <w:pPr>
          <w:pStyle w:val="Zpat"/>
          <w:jc w:val="center"/>
        </w:pPr>
        <w:r>
          <w:fldChar w:fldCharType="begin"/>
        </w:r>
        <w:r>
          <w:instrText>PAGE   \* MERGEFORMAT</w:instrText>
        </w:r>
        <w:r>
          <w:fldChar w:fldCharType="separate"/>
        </w:r>
        <w:r w:rsidR="007145CB">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DDBA" w14:textId="77777777" w:rsidR="007145CB" w:rsidRDefault="00714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A78D" w14:textId="77777777" w:rsidR="00F45937" w:rsidRDefault="00F45937" w:rsidP="00341A9A">
      <w:pPr>
        <w:spacing w:after="0"/>
      </w:pPr>
      <w:r>
        <w:separator/>
      </w:r>
    </w:p>
  </w:footnote>
  <w:footnote w:type="continuationSeparator" w:id="0">
    <w:p w14:paraId="1BA46147" w14:textId="77777777" w:rsidR="00F45937" w:rsidRDefault="00F45937" w:rsidP="00341A9A">
      <w:pPr>
        <w:spacing w:after="0"/>
      </w:pPr>
      <w:r>
        <w:continuationSeparator/>
      </w:r>
    </w:p>
  </w:footnote>
  <w:footnote w:type="continuationNotice" w:id="1">
    <w:p w14:paraId="57A4B2B0" w14:textId="77777777" w:rsidR="00F45937" w:rsidRDefault="00F45937">
      <w:pPr>
        <w:spacing w:after="0"/>
      </w:pPr>
    </w:p>
  </w:footnote>
  <w:footnote w:id="2">
    <w:p w14:paraId="1A0B35C6" w14:textId="77777777" w:rsidR="00F45937" w:rsidRDefault="00F45937" w:rsidP="000D3507">
      <w:pPr>
        <w:pStyle w:val="Textpoznpodarou"/>
        <w:ind w:left="284" w:hanging="284"/>
      </w:pPr>
      <w:r>
        <w:rPr>
          <w:rStyle w:val="Znakapoznpodarou"/>
        </w:rPr>
        <w:footnoteRef/>
      </w:r>
      <w:r>
        <w:t xml:space="preserve"> </w:t>
      </w:r>
      <w:r>
        <w:tab/>
      </w:r>
      <w:r w:rsidRPr="00F1632C">
        <w:rPr>
          <w:i/>
        </w:rPr>
        <w:t>Národní akční plán ke snížení používání pesticidů v České republice</w:t>
      </w:r>
      <w:r>
        <w:t xml:space="preserve"> pro období 2013</w:t>
      </w:r>
      <w:r w:rsidRPr="004332DA">
        <w:t>–</w:t>
      </w:r>
      <w:r>
        <w:t xml:space="preserve">2017 a </w:t>
      </w:r>
      <w:r w:rsidRPr="00D23102">
        <w:rPr>
          <w:i/>
        </w:rPr>
        <w:t>Národní akční plán k bezpečnému používání pesticidů v </w:t>
      </w:r>
      <w:r w:rsidRPr="00F1632C">
        <w:rPr>
          <w:i/>
        </w:rPr>
        <w:t>České republice</w:t>
      </w:r>
      <w:r>
        <w:t xml:space="preserve"> </w:t>
      </w:r>
      <w:r w:rsidRPr="00D23102">
        <w:rPr>
          <w:i/>
        </w:rPr>
        <w:t>pro 2018</w:t>
      </w:r>
      <w:r w:rsidRPr="00F1632C">
        <w:rPr>
          <w:i/>
        </w:rPr>
        <w:t>–2022</w:t>
      </w:r>
      <w:r>
        <w:rPr>
          <w:i/>
        </w:rPr>
        <w:t>.</w:t>
      </w:r>
    </w:p>
  </w:footnote>
  <w:footnote w:id="3">
    <w:p w14:paraId="3B1AB875" w14:textId="77777777" w:rsidR="00F45937" w:rsidRDefault="00F45937" w:rsidP="000D3507">
      <w:pPr>
        <w:pStyle w:val="Textpoznpodarou"/>
        <w:ind w:left="284" w:hanging="284"/>
      </w:pPr>
      <w:r>
        <w:rPr>
          <w:rStyle w:val="Znakapoznpodarou"/>
        </w:rPr>
        <w:footnoteRef/>
      </w:r>
      <w:r>
        <w:t xml:space="preserve"> </w:t>
      </w:r>
      <w:r>
        <w:tab/>
        <w:t>Pesticidní látky zahrnují pesticidy (účinné látky) a jejich metabolity (produkty rozkladu). Dusíkaté látky zahrnují amonné ionty/amoniakální dusík, dusitany/dusitanový dusík a dusičnany/dusičnanový dusík.</w:t>
      </w:r>
    </w:p>
  </w:footnote>
  <w:footnote w:id="4">
    <w:p w14:paraId="0B233DF1" w14:textId="77777777" w:rsidR="00F45937" w:rsidRPr="001B626C" w:rsidRDefault="00F45937" w:rsidP="000D3507">
      <w:pPr>
        <w:pStyle w:val="Textpoznpodarou"/>
        <w:ind w:left="284" w:hanging="284"/>
      </w:pPr>
      <w:r>
        <w:rPr>
          <w:rStyle w:val="Znakapoznpodarou"/>
        </w:rPr>
        <w:footnoteRef/>
      </w:r>
      <w:r>
        <w:t xml:space="preserve"> </w:t>
      </w:r>
      <w:r>
        <w:tab/>
      </w:r>
      <w:r w:rsidRPr="00DD517B">
        <w:rPr>
          <w:rFonts w:cstheme="minorHAnsi"/>
          <w:szCs w:val="24"/>
          <w:lang w:eastAsia="cs-CZ"/>
        </w:rPr>
        <w:t>Oblast zemědělství je významně dotována ze státního rozpočtu a prostředků Evropské unie</w:t>
      </w:r>
      <w:r>
        <w:rPr>
          <w:rFonts w:cstheme="minorHAnsi"/>
          <w:szCs w:val="24"/>
          <w:lang w:eastAsia="cs-CZ"/>
        </w:rPr>
        <w:t xml:space="preserve">. V letech </w:t>
      </w:r>
      <w:r>
        <w:rPr>
          <w:rFonts w:cstheme="minorHAnsi"/>
          <w:szCs w:val="24"/>
          <w:lang w:eastAsia="cs-CZ"/>
        </w:rPr>
        <w:br/>
        <w:t>2013–</w:t>
      </w:r>
      <w:r w:rsidRPr="001B626C">
        <w:rPr>
          <w:rFonts w:cstheme="minorHAnsi"/>
          <w:szCs w:val="24"/>
          <w:lang w:eastAsia="cs-CZ"/>
        </w:rPr>
        <w:t>2019 bylo zemědělským subjektům každoročně vypláceno více než 30 mld. Kč.</w:t>
      </w:r>
    </w:p>
  </w:footnote>
  <w:footnote w:id="5">
    <w:p w14:paraId="620C0D6E" w14:textId="77777777" w:rsidR="00F45937" w:rsidRDefault="00F45937" w:rsidP="000D3507">
      <w:pPr>
        <w:pStyle w:val="Textpoznpodarou"/>
        <w:ind w:left="284" w:hanging="284"/>
      </w:pPr>
      <w:r>
        <w:rPr>
          <w:rStyle w:val="Znakapoznpodarou"/>
        </w:rPr>
        <w:footnoteRef/>
      </w:r>
      <w:r>
        <w:t xml:space="preserve"> </w:t>
      </w:r>
      <w:r>
        <w:tab/>
        <w:t>Urychlit přechod konvenčního zemědělského hospodaření na hospodaření ekologické, posilovat úsilí o snížení množství nejnebezpečnějších pesticidů a podporovat jejich udržitelné používání, zavádění integrovaných postupů ochrany proti škůdcům a uplatňování integrované ochrany rostlin.</w:t>
      </w:r>
    </w:p>
  </w:footnote>
  <w:footnote w:id="6">
    <w:p w14:paraId="036C2EB9" w14:textId="77777777" w:rsidR="00F45937" w:rsidRDefault="00F45937" w:rsidP="000D3507">
      <w:pPr>
        <w:pStyle w:val="Textpoznpodarou"/>
        <w:ind w:left="284" w:hanging="284"/>
      </w:pPr>
      <w:r>
        <w:rPr>
          <w:rStyle w:val="Znakapoznpodarou"/>
        </w:rPr>
        <w:footnoteRef/>
      </w:r>
      <w:r>
        <w:t xml:space="preserve"> </w:t>
      </w:r>
      <w:r>
        <w:tab/>
        <w:t xml:space="preserve">Neexistence statistik o reálné spotřebě přípravků na ochranu rostlin nebo pomocných prostředků snižuje schopnost stávajících kontrolních mechanismů odhalit použití padělků pesticidů, v jejichž složení není výjimkou obsažení již zakázaných látek. Dosavadní systém vedení záznamů o uvádění těchto přípravků a prostředků na trh je v tomto ohledu nedostačující. </w:t>
      </w:r>
      <w:hyperlink r:id="rId1" w:history="1">
        <w:r w:rsidRPr="00F14EF7">
          <w:rPr>
            <w:rStyle w:val="Hypertextovodkaz"/>
          </w:rPr>
          <w:t>Analýza EUIPO</w:t>
        </w:r>
      </w:hyperlink>
      <w:r>
        <w:t xml:space="preserve"> (</w:t>
      </w:r>
      <w:r w:rsidRPr="00113377">
        <w:t>Úřad Evropské unie pro duševní vlastnictví) z roku 2017 varuje, že roční ztráty z nelegálního trhu s pesticidy představují na trhu přibližně 1,3</w:t>
      </w:r>
      <w:r>
        <w:t> </w:t>
      </w:r>
      <w:r w:rsidRPr="00113377">
        <w:t xml:space="preserve">mld. </w:t>
      </w:r>
      <w:r>
        <w:t>€</w:t>
      </w:r>
      <w:r w:rsidRPr="00113377">
        <w:t>. Organizace EUROPOL v roce 2020 koordinovala na území členských států EU zásah policejních složek (</w:t>
      </w:r>
      <w:hyperlink r:id="rId2" w:history="1">
        <w:r w:rsidRPr="00F14EF7">
          <w:rPr>
            <w:rStyle w:val="Hypertextovodkaz"/>
          </w:rPr>
          <w:t xml:space="preserve">operace Silver </w:t>
        </w:r>
        <w:proofErr w:type="spellStart"/>
        <w:r w:rsidRPr="00F14EF7">
          <w:rPr>
            <w:rStyle w:val="Hypertextovodkaz"/>
          </w:rPr>
          <w:t>Axe</w:t>
        </w:r>
        <w:proofErr w:type="spellEnd"/>
      </w:hyperlink>
      <w:r w:rsidRPr="00113377">
        <w:t>), kter</w:t>
      </w:r>
      <w:r>
        <w:t>ý</w:t>
      </w:r>
      <w:r w:rsidRPr="00113377">
        <w:t xml:space="preserve"> vedl k zajištění 1</w:t>
      </w:r>
      <w:r>
        <w:t> </w:t>
      </w:r>
      <w:r w:rsidRPr="00113377">
        <w:t>346 tun padělků pesticid</w:t>
      </w:r>
      <w:r>
        <w:t>ních látek</w:t>
      </w:r>
      <w:r w:rsidRPr="00113377">
        <w:t>.</w:t>
      </w:r>
    </w:p>
  </w:footnote>
  <w:footnote w:id="7">
    <w:p w14:paraId="6849290D" w14:textId="77777777" w:rsidR="00F45937" w:rsidRDefault="00F45937" w:rsidP="000D3507">
      <w:pPr>
        <w:pStyle w:val="Textpoznpodarou"/>
        <w:ind w:left="284" w:hanging="284"/>
      </w:pPr>
      <w:r>
        <w:rPr>
          <w:rStyle w:val="Znakapoznpodarou"/>
        </w:rPr>
        <w:footnoteRef/>
      </w:r>
      <w:r>
        <w:t xml:space="preserve"> </w:t>
      </w:r>
      <w:r>
        <w:tab/>
      </w:r>
      <w:r w:rsidRPr="00D21776">
        <w:t>Směrnice Evropského parlamentu a Rady 2009/128/ES ze dne 21. října 2009, kterou se stanoví rámec pro činnost Společenství za účelem dosažení udržitelného používání pesticidů</w:t>
      </w:r>
      <w:r>
        <w:t>.</w:t>
      </w:r>
    </w:p>
  </w:footnote>
  <w:footnote w:id="8">
    <w:p w14:paraId="59B8BA41" w14:textId="77777777" w:rsidR="00F45937" w:rsidRDefault="00F45937" w:rsidP="000D3507">
      <w:pPr>
        <w:pStyle w:val="Textpoznpodarou"/>
        <w:ind w:left="284" w:hanging="284"/>
      </w:pPr>
      <w:r>
        <w:rPr>
          <w:rStyle w:val="Znakapoznpodarou"/>
        </w:rPr>
        <w:footnoteRef/>
      </w:r>
      <w:r>
        <w:t xml:space="preserve"> </w:t>
      </w:r>
      <w:r>
        <w:tab/>
        <w:t>Zákon č. 326/2004 Sb., o rostlinolékařské péči a o změně některých souvisejících zákonů.</w:t>
      </w:r>
    </w:p>
  </w:footnote>
  <w:footnote w:id="9">
    <w:p w14:paraId="1ECE23FC" w14:textId="77777777" w:rsidR="00F45937" w:rsidRDefault="00F45937" w:rsidP="00BF7A44">
      <w:pPr>
        <w:pStyle w:val="Textpoznpodarou"/>
        <w:ind w:left="284" w:hanging="284"/>
      </w:pPr>
      <w:r>
        <w:rPr>
          <w:rStyle w:val="Znakapoznpodarou"/>
        </w:rPr>
        <w:footnoteRef/>
      </w:r>
      <w:r>
        <w:t xml:space="preserve"> </w:t>
      </w:r>
      <w:r>
        <w:tab/>
      </w:r>
      <w:r>
        <w:rPr>
          <w:rFonts w:cstheme="minorHAnsi"/>
          <w:szCs w:val="24"/>
          <w:lang w:eastAsia="cs-CZ"/>
        </w:rPr>
        <w:t xml:space="preserve">Viz oddíl </w:t>
      </w:r>
      <w:r w:rsidRPr="00277665">
        <w:rPr>
          <w:rFonts w:cstheme="minorHAnsi"/>
          <w:i/>
          <w:szCs w:val="24"/>
          <w:lang w:eastAsia="cs-CZ"/>
        </w:rPr>
        <w:t>Dotační podmínky pro zemědělskou činnost</w:t>
      </w:r>
      <w:r>
        <w:rPr>
          <w:rFonts w:cstheme="minorHAnsi"/>
          <w:szCs w:val="24"/>
          <w:lang w:eastAsia="cs-CZ"/>
        </w:rPr>
        <w:t xml:space="preserve"> v kapitole II. tohoto kontrolního závěru.</w:t>
      </w:r>
    </w:p>
  </w:footnote>
  <w:footnote w:id="10">
    <w:p w14:paraId="65474240" w14:textId="77777777" w:rsidR="00F45937" w:rsidRDefault="00F45937" w:rsidP="00BF7A44">
      <w:pPr>
        <w:pStyle w:val="Textpoznpodarou"/>
        <w:ind w:left="284" w:hanging="284"/>
      </w:pPr>
      <w:r>
        <w:rPr>
          <w:rStyle w:val="Znakapoznpodarou"/>
        </w:rPr>
        <w:footnoteRef/>
      </w:r>
      <w:r>
        <w:t xml:space="preserve"> </w:t>
      </w:r>
      <w:r>
        <w:tab/>
        <w:t>V rámci analýzy byla ve vzorku naměřena hodnota nad mezí stanovitelnosti.</w:t>
      </w:r>
    </w:p>
  </w:footnote>
  <w:footnote w:id="11">
    <w:p w14:paraId="79C58AEE" w14:textId="77777777" w:rsidR="00F45937" w:rsidRDefault="00F45937" w:rsidP="000D3507">
      <w:pPr>
        <w:pStyle w:val="Textpoznpodarou"/>
        <w:ind w:left="284" w:hanging="284"/>
      </w:pPr>
      <w:r>
        <w:rPr>
          <w:rStyle w:val="Znakapoznpodarou"/>
        </w:rPr>
        <w:footnoteRef/>
      </w:r>
      <w:r>
        <w:t xml:space="preserve"> </w:t>
      </w:r>
      <w:r>
        <w:tab/>
      </w:r>
      <w:r w:rsidRPr="00FC5D55">
        <w:t>V uvedeném období bylo schváleno 218 projektů, které byly podpořeny z fondů E</w:t>
      </w:r>
      <w:r>
        <w:t>vropské unie</w:t>
      </w:r>
      <w:r w:rsidRPr="00FC5D55">
        <w:t xml:space="preserve"> částkou ve výši 8 151</w:t>
      </w:r>
      <w:r>
        <w:t> </w:t>
      </w:r>
      <w:r w:rsidRPr="00FC5D55">
        <w:t>659 087 Kč a ze strany státního rozpočtu částkou ve výši 900 522 945 Kč.</w:t>
      </w:r>
    </w:p>
  </w:footnote>
  <w:footnote w:id="12">
    <w:p w14:paraId="2A6FCC11" w14:textId="77777777" w:rsidR="00F45937" w:rsidRDefault="00F45937" w:rsidP="000D3507">
      <w:pPr>
        <w:pStyle w:val="Textpoznpodarou"/>
        <w:ind w:left="284" w:hanging="284"/>
      </w:pPr>
      <w:r>
        <w:rPr>
          <w:rStyle w:val="Znakapoznpodarou"/>
        </w:rPr>
        <w:footnoteRef/>
      </w:r>
      <w:r>
        <w:t xml:space="preserve"> </w:t>
      </w:r>
      <w:r>
        <w:tab/>
        <w:t>V rámci tohoto cíle byly podporovány projekty zaměřené jak na výstavbu a modernizaci úpraven vod, tak na výstavbu přivaděčů, rozvodných sítí pitné vody a systémů pro ochranu zdrojů pitné vody.</w:t>
      </w:r>
    </w:p>
  </w:footnote>
  <w:footnote w:id="13">
    <w:p w14:paraId="1DF4688B" w14:textId="77777777" w:rsidR="00F45937" w:rsidRPr="000F6633" w:rsidRDefault="00F45937" w:rsidP="000D3507">
      <w:pPr>
        <w:pStyle w:val="Textpoznpodarou"/>
        <w:ind w:left="284" w:hanging="284"/>
      </w:pPr>
      <w:r>
        <w:rPr>
          <w:rStyle w:val="Znakapoznpodarou"/>
        </w:rPr>
        <w:footnoteRef/>
      </w:r>
      <w:r>
        <w:t xml:space="preserve"> </w:t>
      </w:r>
      <w:r>
        <w:tab/>
      </w:r>
      <w:r w:rsidRPr="000F6633">
        <w:t xml:space="preserve">Rámec pro činnost Evropské unie v oblasti vodní politiky je stanoven </w:t>
      </w:r>
      <w:r>
        <w:t>s</w:t>
      </w:r>
      <w:r w:rsidRPr="000F6633">
        <w:t>měrnicí Evropského parlamentu a</w:t>
      </w:r>
      <w:r>
        <w:t> </w:t>
      </w:r>
      <w:r w:rsidRPr="000F6633">
        <w:t>Rady 2000/60/ES ze dne 23. října 2000, rámcová směrnice o</w:t>
      </w:r>
      <w:r>
        <w:t xml:space="preserve"> </w:t>
      </w:r>
      <w:r w:rsidRPr="000F6633">
        <w:t xml:space="preserve">vodách, která zavazuje členské státy mj. </w:t>
      </w:r>
      <w:r>
        <w:t xml:space="preserve">k dosažení </w:t>
      </w:r>
      <w:r w:rsidRPr="000F6633">
        <w:t>dobrého kvalitativního a</w:t>
      </w:r>
      <w:r>
        <w:t xml:space="preserve"> </w:t>
      </w:r>
      <w:r w:rsidRPr="000F6633">
        <w:t>kvantitativního stavu vnitrozemských povrchových vod a</w:t>
      </w:r>
      <w:r>
        <w:t xml:space="preserve"> </w:t>
      </w:r>
      <w:r w:rsidRPr="000F6633">
        <w:t>podzemních vod</w:t>
      </w:r>
      <w:r>
        <w:t>.</w:t>
      </w:r>
    </w:p>
  </w:footnote>
  <w:footnote w:id="14">
    <w:p w14:paraId="445B5119" w14:textId="77777777" w:rsidR="00F45937" w:rsidRDefault="00F45937" w:rsidP="000D3507">
      <w:pPr>
        <w:pStyle w:val="Textpoznpodarou"/>
        <w:ind w:left="284" w:hanging="284"/>
      </w:pPr>
      <w:r>
        <w:rPr>
          <w:rStyle w:val="Znakapoznpodarou"/>
        </w:rPr>
        <w:footnoteRef/>
      </w:r>
      <w:r>
        <w:t xml:space="preserve"> </w:t>
      </w:r>
      <w:r>
        <w:tab/>
        <w:t>Zákon č. 254/2001 Sb., o vodách a o změně některých zákonů.</w:t>
      </w:r>
    </w:p>
  </w:footnote>
  <w:footnote w:id="15">
    <w:p w14:paraId="7E42F32F" w14:textId="77777777" w:rsidR="00F45937" w:rsidRDefault="00F45937" w:rsidP="000D3507">
      <w:pPr>
        <w:pStyle w:val="Textpoznpodarou"/>
        <w:ind w:left="284" w:hanging="284"/>
      </w:pPr>
      <w:r>
        <w:rPr>
          <w:rStyle w:val="Znakapoznpodarou"/>
        </w:rPr>
        <w:footnoteRef/>
      </w:r>
      <w:r>
        <w:t xml:space="preserve"> </w:t>
      </w:r>
      <w:r>
        <w:tab/>
        <w:t xml:space="preserve">Informační systém </w:t>
      </w:r>
      <w:r w:rsidRPr="00FC0652">
        <w:rPr>
          <w:i/>
        </w:rPr>
        <w:t>Pitná voda</w:t>
      </w:r>
      <w:r>
        <w:t>.</w:t>
      </w:r>
    </w:p>
  </w:footnote>
  <w:footnote w:id="16">
    <w:p w14:paraId="697860BC" w14:textId="77777777" w:rsidR="00F45937" w:rsidRDefault="00F45937" w:rsidP="000D3507">
      <w:pPr>
        <w:pStyle w:val="Textpoznpodarou"/>
        <w:ind w:left="284" w:hanging="284"/>
      </w:pPr>
      <w:r>
        <w:rPr>
          <w:rStyle w:val="Znakapoznpodarou"/>
        </w:rPr>
        <w:footnoteRef/>
      </w:r>
      <w:r>
        <w:t xml:space="preserve"> </w:t>
      </w:r>
      <w:r>
        <w:tab/>
        <w:t>Vládní nařízení č. 96 ze dne 27. listopadu 1953, o Hydrometeorologickém ústavu.</w:t>
      </w:r>
    </w:p>
  </w:footnote>
  <w:footnote w:id="17">
    <w:p w14:paraId="4A240681" w14:textId="77777777" w:rsidR="00F45937" w:rsidRDefault="00F45937" w:rsidP="000D3507">
      <w:pPr>
        <w:pStyle w:val="Textpoznpodarou"/>
        <w:ind w:left="284" w:hanging="284"/>
      </w:pPr>
      <w:r>
        <w:rPr>
          <w:rStyle w:val="Znakapoznpodarou"/>
        </w:rPr>
        <w:footnoteRef/>
      </w:r>
      <w:r>
        <w:t xml:space="preserve"> </w:t>
      </w:r>
      <w:r>
        <w:tab/>
        <w:t>Matrice – složka vodního prostředí.</w:t>
      </w:r>
    </w:p>
  </w:footnote>
  <w:footnote w:id="18">
    <w:p w14:paraId="631A6684" w14:textId="77777777" w:rsidR="00F45937" w:rsidRDefault="00F45937" w:rsidP="000D3507">
      <w:pPr>
        <w:pStyle w:val="Textpoznpodarou"/>
        <w:ind w:left="284" w:hanging="284"/>
      </w:pPr>
      <w:r>
        <w:rPr>
          <w:rStyle w:val="Znakapoznpodarou"/>
        </w:rPr>
        <w:footnoteRef/>
      </w:r>
      <w:r>
        <w:t xml:space="preserve"> </w:t>
      </w:r>
      <w:r>
        <w:tab/>
        <w:t xml:space="preserve">Informační systém </w:t>
      </w:r>
      <w:proofErr w:type="spellStart"/>
      <w:r w:rsidRPr="009E7757">
        <w:rPr>
          <w:i/>
        </w:rPr>
        <w:t>Assessment</w:t>
      </w:r>
      <w:proofErr w:type="spellEnd"/>
      <w:r w:rsidRPr="009E7757">
        <w:rPr>
          <w:i/>
        </w:rPr>
        <w:t xml:space="preserve"> and Reference </w:t>
      </w:r>
      <w:proofErr w:type="spellStart"/>
      <w:r w:rsidRPr="009E7757">
        <w:rPr>
          <w:i/>
        </w:rPr>
        <w:t>Reports</w:t>
      </w:r>
      <w:proofErr w:type="spellEnd"/>
      <w:r w:rsidRPr="009E7757">
        <w:rPr>
          <w:i/>
        </w:rPr>
        <w:t xml:space="preserve"> </w:t>
      </w:r>
      <w:proofErr w:type="spellStart"/>
      <w:r w:rsidRPr="009E7757">
        <w:rPr>
          <w:i/>
        </w:rPr>
        <w:t>of</w:t>
      </w:r>
      <w:proofErr w:type="spellEnd"/>
      <w:r w:rsidRPr="009E7757">
        <w:rPr>
          <w:i/>
        </w:rPr>
        <w:t xml:space="preserve"> </w:t>
      </w:r>
      <w:proofErr w:type="spellStart"/>
      <w:r w:rsidRPr="009E7757">
        <w:rPr>
          <w:i/>
        </w:rPr>
        <w:t>Water</w:t>
      </w:r>
      <w:proofErr w:type="spellEnd"/>
      <w:r w:rsidRPr="009E7757">
        <w:rPr>
          <w:i/>
        </w:rPr>
        <w:t xml:space="preserve"> Monitoring</w:t>
      </w:r>
      <w:r>
        <w:t>.</w:t>
      </w:r>
    </w:p>
  </w:footnote>
  <w:footnote w:id="19">
    <w:p w14:paraId="06DBC620" w14:textId="77777777" w:rsidR="00F45937" w:rsidRDefault="00F45937" w:rsidP="000D3507">
      <w:pPr>
        <w:pStyle w:val="Textpoznpodarou"/>
        <w:ind w:left="284" w:hanging="284"/>
      </w:pPr>
      <w:r>
        <w:rPr>
          <w:rStyle w:val="Znakapoznpodarou"/>
        </w:rPr>
        <w:footnoteRef/>
      </w:r>
      <w:r>
        <w:t xml:space="preserve"> </w:t>
      </w:r>
      <w:r>
        <w:tab/>
        <w:t>Vyhláška č. 5/2011 Sb., o vymezení hydrogeologických rajonů a útvarů podzemních vod, způsobu hodnocení stavu podzemních vod a náležitostech programů zjišťování a hodnocení stavu podzemních vod. Vyhláška č. 98/2011 Sb., o způsobu hodnocení stavu útvarů povrchových vod, způsobu hodnocení ekologického potenciálu silně ovlivněných a umělých útvarů povrchových vod a náležitostech programů zjišťování a hodnocení stavu povrchových vod.</w:t>
      </w:r>
    </w:p>
  </w:footnote>
  <w:footnote w:id="20">
    <w:p w14:paraId="384C69E1" w14:textId="77777777" w:rsidR="00F45937" w:rsidRDefault="00F45937" w:rsidP="000D3507">
      <w:pPr>
        <w:pStyle w:val="Textpoznpodarou"/>
        <w:ind w:left="284" w:hanging="284"/>
      </w:pPr>
      <w:r w:rsidRPr="00457B2E">
        <w:rPr>
          <w:rStyle w:val="Znakapoznpodarou"/>
        </w:rPr>
        <w:footnoteRef/>
      </w:r>
      <w:r w:rsidRPr="00457B2E">
        <w:t xml:space="preserve"> </w:t>
      </w:r>
      <w:r>
        <w:tab/>
      </w:r>
      <w:r w:rsidRPr="00457B2E">
        <w:t>Nařízení vlády č. 61/2003 Sb., o ukazatelích a hodnotách přípustného znečištění povrchových vod a</w:t>
      </w:r>
      <w:r>
        <w:t> </w:t>
      </w:r>
      <w:r w:rsidRPr="00457B2E">
        <w:t>odpadních vod, náležitostech povolení k vypouštění odpadních vod do vod povrchových a do kanalizací a</w:t>
      </w:r>
      <w:r>
        <w:t> </w:t>
      </w:r>
      <w:r w:rsidRPr="00457B2E">
        <w:t>o citlivých oblastech.</w:t>
      </w:r>
    </w:p>
  </w:footnote>
  <w:footnote w:id="21">
    <w:p w14:paraId="6686B5AD" w14:textId="77777777" w:rsidR="00F45937" w:rsidRDefault="00F45937" w:rsidP="000D3507">
      <w:pPr>
        <w:pStyle w:val="Textpoznpodarou"/>
        <w:ind w:left="284" w:hanging="284"/>
      </w:pPr>
      <w:r>
        <w:rPr>
          <w:rStyle w:val="Znakapoznpodarou"/>
        </w:rPr>
        <w:footnoteRef/>
      </w:r>
      <w:r w:rsidRPr="00457B2E">
        <w:t xml:space="preserve"> </w:t>
      </w:r>
      <w:r>
        <w:tab/>
      </w:r>
      <w:r w:rsidRPr="00457B2E">
        <w:t>Nařízení vlády č. 401/2015 Sb., o ukazatelích a hodnotách přípustného znečištění povrchových vod a</w:t>
      </w:r>
      <w:r>
        <w:t> </w:t>
      </w:r>
      <w:r w:rsidRPr="00457B2E">
        <w:t>odpadních vod, náležitostech povolení k vypouštění odpadních vod do vod povrchových a do kanalizací a</w:t>
      </w:r>
      <w:r>
        <w:t> </w:t>
      </w:r>
      <w:r w:rsidRPr="00457B2E">
        <w:t>o</w:t>
      </w:r>
      <w:r>
        <w:t> </w:t>
      </w:r>
      <w:r w:rsidRPr="00457B2E">
        <w:t>citlivých oblastech</w:t>
      </w:r>
      <w:r>
        <w:t xml:space="preserve">, </w:t>
      </w:r>
      <w:r w:rsidRPr="00080C9A">
        <w:t>účinné od 1. 1. 2016</w:t>
      </w:r>
      <w:r>
        <w:t>.</w:t>
      </w:r>
    </w:p>
  </w:footnote>
  <w:footnote w:id="22">
    <w:p w14:paraId="58F49EFD" w14:textId="77777777" w:rsidR="00F45937" w:rsidRDefault="00F45937" w:rsidP="000D3507">
      <w:pPr>
        <w:pStyle w:val="Textpoznpodarou"/>
        <w:ind w:left="284" w:hanging="284"/>
      </w:pPr>
      <w:r>
        <w:rPr>
          <w:rStyle w:val="Znakapoznpodarou"/>
        </w:rPr>
        <w:footnoteRef/>
      </w:r>
      <w:r>
        <w:t xml:space="preserve"> </w:t>
      </w:r>
      <w:r>
        <w:tab/>
      </w:r>
      <w:r w:rsidRPr="00457B2E">
        <w:t>Vyhláška č. 252/20</w:t>
      </w:r>
      <w:r>
        <w:t>0</w:t>
      </w:r>
      <w:r w:rsidRPr="00457B2E">
        <w:t>4 Sb.,</w:t>
      </w:r>
      <w:r>
        <w:t xml:space="preserve"> </w:t>
      </w:r>
      <w:r w:rsidRPr="00457B2E">
        <w:t>kterou se stanoví hygienické požadavky na pitnou a teplou vodu a četnost a</w:t>
      </w:r>
      <w:r>
        <w:t> </w:t>
      </w:r>
      <w:r w:rsidRPr="00457B2E">
        <w:t>rozsah kontroly pitné vody.</w:t>
      </w:r>
    </w:p>
  </w:footnote>
  <w:footnote w:id="23">
    <w:p w14:paraId="3B843464" w14:textId="77777777" w:rsidR="00F45937" w:rsidRPr="000D3507" w:rsidRDefault="00F45937" w:rsidP="000D3507">
      <w:pPr>
        <w:spacing w:after="0"/>
        <w:ind w:left="284" w:hanging="284"/>
        <w:rPr>
          <w:sz w:val="20"/>
          <w:szCs w:val="20"/>
        </w:rPr>
      </w:pPr>
      <w:r w:rsidRPr="00FC0652">
        <w:rPr>
          <w:rStyle w:val="Znakapoznpodarou"/>
          <w:sz w:val="20"/>
          <w:szCs w:val="20"/>
        </w:rPr>
        <w:footnoteRef/>
      </w:r>
      <w:r w:rsidRPr="00FC0652">
        <w:rPr>
          <w:sz w:val="20"/>
          <w:szCs w:val="20"/>
        </w:rPr>
        <w:t xml:space="preserve"> </w:t>
      </w:r>
      <w:r>
        <w:rPr>
          <w:sz w:val="20"/>
          <w:szCs w:val="20"/>
        </w:rPr>
        <w:tab/>
      </w:r>
      <w:r w:rsidRPr="000D3507">
        <w:rPr>
          <w:rStyle w:val="Siln"/>
          <w:rFonts w:cstheme="minorHAnsi"/>
          <w:b w:val="0"/>
          <w:sz w:val="20"/>
          <w:szCs w:val="20"/>
          <w:shd w:val="clear" w:color="auto" w:fill="FFFFFF"/>
        </w:rPr>
        <w:t>DZES jsou upraveny nařízením vlády č. 48/2017 Sb., o stanovení požadavků podle aktů a standardů dobrého zemědělského a environmentálního stavu pro oblasti pravidel podmíněnosti a důsledků jejich porušení pro poskytování některých zemědělských podpor.</w:t>
      </w:r>
    </w:p>
  </w:footnote>
  <w:footnote w:id="24">
    <w:p w14:paraId="59DAAA0E" w14:textId="77777777" w:rsidR="00F45937" w:rsidRPr="00463947" w:rsidRDefault="00F45937" w:rsidP="00FC0652">
      <w:pPr>
        <w:ind w:left="284" w:hanging="284"/>
        <w:rPr>
          <w:rFonts w:cstheme="minorHAnsi"/>
          <w:highlight w:val="lightGray"/>
        </w:rPr>
      </w:pPr>
      <w:r w:rsidRPr="000D3507">
        <w:rPr>
          <w:rStyle w:val="Znakapoznpodarou"/>
          <w:sz w:val="20"/>
          <w:szCs w:val="20"/>
        </w:rPr>
        <w:footnoteRef/>
      </w:r>
      <w:r w:rsidRPr="000D3507">
        <w:rPr>
          <w:sz w:val="20"/>
          <w:szCs w:val="20"/>
        </w:rPr>
        <w:t xml:space="preserve"> </w:t>
      </w:r>
      <w:r>
        <w:rPr>
          <w:sz w:val="20"/>
          <w:szCs w:val="20"/>
        </w:rPr>
        <w:tab/>
      </w:r>
      <w:r w:rsidRPr="000D3507">
        <w:rPr>
          <w:rFonts w:cstheme="minorHAnsi"/>
          <w:sz w:val="20"/>
          <w:szCs w:val="20"/>
        </w:rPr>
        <w:t>DZES 1</w:t>
      </w:r>
      <w:r>
        <w:rPr>
          <w:rFonts w:cstheme="minorHAnsi"/>
          <w:sz w:val="20"/>
          <w:szCs w:val="20"/>
        </w:rPr>
        <w:t xml:space="preserve"> –</w:t>
      </w:r>
      <w:r w:rsidRPr="000D3507">
        <w:rPr>
          <w:rFonts w:cstheme="minorHAnsi"/>
          <w:sz w:val="20"/>
          <w:szCs w:val="20"/>
        </w:rPr>
        <w:t xml:space="preserve"> </w:t>
      </w:r>
      <w:r>
        <w:rPr>
          <w:rFonts w:cstheme="minorHAnsi"/>
          <w:sz w:val="20"/>
          <w:szCs w:val="20"/>
        </w:rPr>
        <w:t>d</w:t>
      </w:r>
      <w:r w:rsidRPr="000D3507">
        <w:rPr>
          <w:rFonts w:cstheme="minorHAnsi"/>
          <w:sz w:val="20"/>
          <w:szCs w:val="20"/>
        </w:rPr>
        <w:t>održení ochranných pásů podél vodních toků, DZES 2</w:t>
      </w:r>
      <w:r>
        <w:rPr>
          <w:rFonts w:cstheme="minorHAnsi"/>
          <w:sz w:val="20"/>
          <w:szCs w:val="20"/>
        </w:rPr>
        <w:t xml:space="preserve"> –</w:t>
      </w:r>
      <w:r w:rsidRPr="000D3507">
        <w:rPr>
          <w:rFonts w:cstheme="minorHAnsi"/>
          <w:sz w:val="20"/>
          <w:szCs w:val="20"/>
        </w:rPr>
        <w:t xml:space="preserve"> </w:t>
      </w:r>
      <w:r>
        <w:rPr>
          <w:rFonts w:cstheme="minorHAnsi"/>
          <w:sz w:val="20"/>
          <w:szCs w:val="20"/>
        </w:rPr>
        <w:t>p</w:t>
      </w:r>
      <w:r w:rsidRPr="000D3507">
        <w:rPr>
          <w:rFonts w:cstheme="minorHAnsi"/>
          <w:sz w:val="20"/>
          <w:szCs w:val="20"/>
        </w:rPr>
        <w:t>ovolení pro užívání zavlažovacích soustav, DZES 3</w:t>
      </w:r>
      <w:r>
        <w:rPr>
          <w:rFonts w:cstheme="minorHAnsi"/>
          <w:sz w:val="20"/>
          <w:szCs w:val="20"/>
        </w:rPr>
        <w:t xml:space="preserve"> –</w:t>
      </w:r>
      <w:r w:rsidRPr="000D3507">
        <w:rPr>
          <w:rFonts w:cstheme="minorHAnsi"/>
          <w:sz w:val="20"/>
          <w:szCs w:val="20"/>
        </w:rPr>
        <w:t xml:space="preserve"> </w:t>
      </w:r>
      <w:r>
        <w:rPr>
          <w:rFonts w:cstheme="minorHAnsi"/>
          <w:sz w:val="20"/>
          <w:szCs w:val="20"/>
        </w:rPr>
        <w:t>o</w:t>
      </w:r>
      <w:r w:rsidRPr="000D3507">
        <w:rPr>
          <w:rFonts w:cstheme="minorHAnsi"/>
          <w:sz w:val="20"/>
          <w:szCs w:val="20"/>
        </w:rPr>
        <w:t>chrana podzemních vod proti znečištění, PPH 1</w:t>
      </w:r>
      <w:r>
        <w:rPr>
          <w:rFonts w:cstheme="minorHAnsi"/>
          <w:sz w:val="20"/>
          <w:szCs w:val="20"/>
        </w:rPr>
        <w:t xml:space="preserve"> –</w:t>
      </w:r>
      <w:r w:rsidRPr="000D3507">
        <w:rPr>
          <w:rFonts w:cstheme="minorHAnsi"/>
          <w:sz w:val="20"/>
          <w:szCs w:val="20"/>
        </w:rPr>
        <w:t xml:space="preserve"> </w:t>
      </w:r>
      <w:r>
        <w:rPr>
          <w:rFonts w:cstheme="minorHAnsi"/>
          <w:sz w:val="20"/>
          <w:szCs w:val="20"/>
        </w:rPr>
        <w:t>o</w:t>
      </w:r>
      <w:r w:rsidRPr="000D3507">
        <w:rPr>
          <w:rFonts w:cstheme="minorHAnsi"/>
          <w:sz w:val="20"/>
          <w:szCs w:val="20"/>
        </w:rPr>
        <w:t xml:space="preserve">chrana vod před znečištěním dusičnany ze zemědělských zdrojů, PPH 10 – </w:t>
      </w:r>
      <w:r>
        <w:rPr>
          <w:rFonts w:cstheme="minorHAnsi"/>
          <w:sz w:val="20"/>
          <w:szCs w:val="20"/>
        </w:rPr>
        <w:t>u</w:t>
      </w:r>
      <w:r w:rsidRPr="000D3507">
        <w:rPr>
          <w:rFonts w:cstheme="minorHAnsi"/>
          <w:sz w:val="20"/>
          <w:szCs w:val="20"/>
        </w:rPr>
        <w:t>vádění přípravků na ochranu rostlin na trh.</w:t>
      </w:r>
    </w:p>
  </w:footnote>
  <w:footnote w:id="25">
    <w:p w14:paraId="34BAD119" w14:textId="77777777" w:rsidR="00F45937" w:rsidRDefault="00F45937" w:rsidP="000D3507">
      <w:pPr>
        <w:pStyle w:val="Textpoznpodarou"/>
        <w:ind w:left="284" w:hanging="284"/>
      </w:pPr>
      <w:r w:rsidRPr="00671C0F">
        <w:rPr>
          <w:rStyle w:val="Znakapoznpodarou"/>
        </w:rPr>
        <w:footnoteRef/>
      </w:r>
      <w:r w:rsidRPr="00671C0F">
        <w:t xml:space="preserve"> </w:t>
      </w:r>
      <w:r>
        <w:tab/>
      </w:r>
      <w:r w:rsidRPr="00671C0F">
        <w:t xml:space="preserve">Monitoring kvality </w:t>
      </w:r>
      <w:r>
        <w:t>POV</w:t>
      </w:r>
      <w:r w:rsidRPr="00671C0F">
        <w:t xml:space="preserve"> provádí státní podniky povodí, které nebyly kontrolovanými osobami.</w:t>
      </w:r>
    </w:p>
  </w:footnote>
  <w:footnote w:id="26">
    <w:p w14:paraId="7DF48924" w14:textId="77777777" w:rsidR="00F45937" w:rsidRDefault="00F45937" w:rsidP="000D3507">
      <w:pPr>
        <w:pStyle w:val="Textpoznpodarou"/>
        <w:ind w:left="284" w:hanging="284"/>
      </w:pPr>
      <w:r>
        <w:rPr>
          <w:rStyle w:val="Znakapoznpodarou"/>
        </w:rPr>
        <w:footnoteRef/>
      </w:r>
      <w:r>
        <w:t xml:space="preserve"> </w:t>
      </w:r>
      <w:r>
        <w:tab/>
        <w:t xml:space="preserve">Usnesení vlády ČR ze dne 12. září 2012 č. 660, </w:t>
      </w:r>
      <w:r w:rsidRPr="00C701AD">
        <w:rPr>
          <w:i/>
        </w:rPr>
        <w:t>k Národnímu akčnímu plánu ke snížení používání pesticidů v České republice</w:t>
      </w:r>
      <w:r>
        <w:t>.</w:t>
      </w:r>
    </w:p>
  </w:footnote>
  <w:footnote w:id="27">
    <w:p w14:paraId="293E1AD9" w14:textId="77777777" w:rsidR="00F45937" w:rsidRDefault="00F45937" w:rsidP="000D3507">
      <w:pPr>
        <w:pStyle w:val="Textpoznpodarou"/>
        <w:ind w:left="284" w:hanging="284"/>
      </w:pPr>
      <w:r>
        <w:rPr>
          <w:rStyle w:val="Znakapoznpodarou"/>
        </w:rPr>
        <w:footnoteRef/>
      </w:r>
      <w:r>
        <w:t xml:space="preserve"> </w:t>
      </w:r>
      <w:r>
        <w:tab/>
        <w:t xml:space="preserve">Usnesení vlády ČR ze dne 6. června 2018 č. 353, </w:t>
      </w:r>
      <w:r w:rsidRPr="00C701AD">
        <w:rPr>
          <w:i/>
        </w:rPr>
        <w:t>o aktualizaci Národního akčního plánu k bezpečnému používání pesticidů v České republice pro období 2018–2022</w:t>
      </w:r>
      <w:r>
        <w:t>.</w:t>
      </w:r>
    </w:p>
  </w:footnote>
  <w:footnote w:id="28">
    <w:p w14:paraId="4E98B88B" w14:textId="77777777" w:rsidR="00F45937" w:rsidRDefault="00F45937" w:rsidP="000D3507">
      <w:pPr>
        <w:pStyle w:val="Textpoznpodarou"/>
        <w:ind w:left="284" w:hanging="284"/>
      </w:pPr>
      <w:r>
        <w:rPr>
          <w:rStyle w:val="Znakapoznpodarou"/>
        </w:rPr>
        <w:footnoteRef/>
      </w:r>
      <w:r>
        <w:t xml:space="preserve"> </w:t>
      </w:r>
      <w:r>
        <w:tab/>
      </w:r>
      <w:r w:rsidRPr="00492BD7">
        <w:t xml:space="preserve">Sdružení oboru vodovodů a kanalizací </w:t>
      </w:r>
      <w:proofErr w:type="gramStart"/>
      <w:r w:rsidRPr="00492BD7">
        <w:t xml:space="preserve">ČR, </w:t>
      </w:r>
      <w:proofErr w:type="spellStart"/>
      <w:r w:rsidRPr="00492BD7">
        <w:t>z.s</w:t>
      </w:r>
      <w:proofErr w:type="spellEnd"/>
      <w:r w:rsidRPr="00492BD7">
        <w:t>.</w:t>
      </w:r>
      <w:proofErr w:type="gramEnd"/>
    </w:p>
  </w:footnote>
  <w:footnote w:id="29">
    <w:p w14:paraId="53EC91CC" w14:textId="77777777" w:rsidR="00F45937" w:rsidRDefault="00F45937" w:rsidP="000D3507">
      <w:pPr>
        <w:pStyle w:val="Textpoznpodarou"/>
        <w:ind w:left="284" w:hanging="284"/>
      </w:pPr>
      <w:r>
        <w:rPr>
          <w:rStyle w:val="Znakapoznpodarou"/>
        </w:rPr>
        <w:footnoteRef/>
      </w:r>
      <w:r>
        <w:t xml:space="preserve"> </w:t>
      </w:r>
      <w:r>
        <w:tab/>
        <w:t xml:space="preserve">Sněmovní tisk 1149/00, dostupný zde: </w:t>
      </w:r>
      <w:r w:rsidRPr="00893420">
        <w:t>https://www.psp.cz/sqw/text/tiskt.sqw?O=8&amp;CT=1149&amp;CT1=0</w:t>
      </w:r>
      <w:r>
        <w:t>.</w:t>
      </w:r>
    </w:p>
  </w:footnote>
  <w:footnote w:id="30">
    <w:p w14:paraId="35A22F21" w14:textId="77777777" w:rsidR="00F45937" w:rsidRDefault="00F45937" w:rsidP="000D3507">
      <w:pPr>
        <w:pStyle w:val="Textpoznpodarou"/>
        <w:ind w:left="284" w:hanging="284"/>
      </w:pPr>
      <w:r>
        <w:rPr>
          <w:rStyle w:val="Znakapoznpodarou"/>
        </w:rPr>
        <w:footnoteRef/>
      </w:r>
      <w:r>
        <w:t xml:space="preserve"> </w:t>
      </w:r>
      <w:r>
        <w:tab/>
        <w:t>Vyhláška</w:t>
      </w:r>
      <w:r w:rsidRPr="00837EE6">
        <w:t xml:space="preserve"> č. 137/1999 Sb., kterou se stanoví seznam vodárenských nádrží a zásady pro stanovení a změny ochranných pásem vodních zdrojů</w:t>
      </w:r>
      <w:r>
        <w:t>.</w:t>
      </w:r>
    </w:p>
  </w:footnote>
  <w:footnote w:id="31">
    <w:p w14:paraId="29F6CDAC" w14:textId="77777777" w:rsidR="00F45937" w:rsidRPr="000D3507" w:rsidRDefault="00F45937" w:rsidP="000D3507">
      <w:pPr>
        <w:pStyle w:val="Textpoznpodarou"/>
        <w:ind w:left="284" w:hanging="284"/>
      </w:pPr>
      <w:r w:rsidRPr="000D3507">
        <w:rPr>
          <w:rStyle w:val="Znakapoznpodarou"/>
        </w:rPr>
        <w:footnoteRef/>
      </w:r>
      <w:r w:rsidRPr="000D3507">
        <w:t xml:space="preserve"> </w:t>
      </w:r>
      <w:r>
        <w:tab/>
      </w:r>
      <w:r w:rsidRPr="000D3507">
        <w:t xml:space="preserve">Registr </w:t>
      </w:r>
      <w:r>
        <w:t>půdních bloků</w:t>
      </w:r>
      <w:r w:rsidRPr="000D3507">
        <w:t xml:space="preserve"> </w:t>
      </w:r>
      <w:r>
        <w:t xml:space="preserve">– </w:t>
      </w:r>
      <w:r w:rsidRPr="000D3507">
        <w:t>geografický informační systém (GIS), který je tvořen primárně evidencí využití zemědělské půdy.</w:t>
      </w:r>
    </w:p>
  </w:footnote>
  <w:footnote w:id="32">
    <w:p w14:paraId="7C3CFA4D" w14:textId="77777777" w:rsidR="00F45937" w:rsidRPr="000D3507" w:rsidRDefault="00F45937" w:rsidP="000D3507">
      <w:pPr>
        <w:ind w:left="284" w:hanging="284"/>
        <w:rPr>
          <w:i/>
          <w:sz w:val="20"/>
          <w:szCs w:val="20"/>
        </w:rPr>
      </w:pPr>
      <w:r w:rsidRPr="00910BB2">
        <w:rPr>
          <w:rStyle w:val="Znakapoznpodarou"/>
          <w:sz w:val="20"/>
          <w:szCs w:val="20"/>
        </w:rPr>
        <w:footnoteRef/>
      </w:r>
      <w:r w:rsidRPr="00910BB2">
        <w:rPr>
          <w:sz w:val="20"/>
          <w:szCs w:val="20"/>
        </w:rPr>
        <w:t xml:space="preserve"> </w:t>
      </w:r>
      <w:r>
        <w:rPr>
          <w:sz w:val="20"/>
          <w:szCs w:val="20"/>
        </w:rPr>
        <w:tab/>
      </w:r>
      <w:r w:rsidRPr="000D3507">
        <w:rPr>
          <w:sz w:val="20"/>
          <w:szCs w:val="20"/>
        </w:rPr>
        <w:t xml:space="preserve">Pro účely </w:t>
      </w:r>
      <w:r>
        <w:rPr>
          <w:sz w:val="20"/>
          <w:szCs w:val="20"/>
        </w:rPr>
        <w:t>vy</w:t>
      </w:r>
      <w:r w:rsidRPr="000D3507">
        <w:rPr>
          <w:sz w:val="20"/>
          <w:szCs w:val="20"/>
        </w:rPr>
        <w:t xml:space="preserve">pracování a řízení </w:t>
      </w:r>
      <w:r>
        <w:rPr>
          <w:sz w:val="20"/>
          <w:szCs w:val="20"/>
        </w:rPr>
        <w:t>n</w:t>
      </w:r>
      <w:r w:rsidRPr="000D3507">
        <w:rPr>
          <w:sz w:val="20"/>
          <w:szCs w:val="20"/>
        </w:rPr>
        <w:t xml:space="preserve">árodního akčního plánu byla vytvořena meziresortní </w:t>
      </w:r>
      <w:r>
        <w:rPr>
          <w:sz w:val="20"/>
          <w:szCs w:val="20"/>
        </w:rPr>
        <w:t>„</w:t>
      </w:r>
      <w:r w:rsidRPr="000D3507">
        <w:rPr>
          <w:i/>
          <w:sz w:val="20"/>
          <w:szCs w:val="20"/>
        </w:rPr>
        <w:t>Koordinační pracovní skupina pro přípravu Národního akčního plánu (NAP) k zajištění udržitelného používání pesticidů v ČR na implementaci Směrnice o udržitelném používání pesticidů v</w:t>
      </w:r>
      <w:r>
        <w:rPr>
          <w:i/>
          <w:sz w:val="20"/>
          <w:szCs w:val="20"/>
        </w:rPr>
        <w:t> </w:t>
      </w:r>
      <w:r w:rsidRPr="000D3507">
        <w:rPr>
          <w:i/>
          <w:sz w:val="20"/>
          <w:szCs w:val="20"/>
        </w:rPr>
        <w:t>ČR</w:t>
      </w:r>
      <w:r>
        <w:rPr>
          <w:sz w:val="20"/>
          <w:szCs w:val="20"/>
        </w:rPr>
        <w:t>“</w:t>
      </w:r>
      <w:r w:rsidRPr="000D3507">
        <w:rPr>
          <w:i/>
          <w:sz w:val="20"/>
          <w:szCs w:val="20"/>
        </w:rPr>
        <w:t xml:space="preserve"> </w:t>
      </w:r>
      <w:r w:rsidRPr="000D3507">
        <w:rPr>
          <w:sz w:val="20"/>
          <w:szCs w:val="20"/>
        </w:rPr>
        <w:t>(dále také „KPS“).</w:t>
      </w:r>
    </w:p>
  </w:footnote>
  <w:footnote w:id="33">
    <w:p w14:paraId="4A5B4C5D" w14:textId="77777777" w:rsidR="00F45937" w:rsidRPr="00CE5113" w:rsidRDefault="00F45937" w:rsidP="000D3507">
      <w:pPr>
        <w:pStyle w:val="Textpoznpodarou"/>
        <w:ind w:left="284" w:hanging="284"/>
      </w:pPr>
      <w:r w:rsidRPr="00CE5113">
        <w:rPr>
          <w:rStyle w:val="Znakapoznpodarou"/>
        </w:rPr>
        <w:footnoteRef/>
      </w:r>
      <w:r w:rsidRPr="00CE5113">
        <w:t xml:space="preserve"> </w:t>
      </w:r>
      <w:r>
        <w:tab/>
      </w:r>
      <w:r w:rsidRPr="00CE5113">
        <w:t xml:space="preserve">Doporučení Komise pro český Strategický plán SZP ze dne 18. 12. 2020, SWD(2020) 393 </w:t>
      </w:r>
      <w:proofErr w:type="spellStart"/>
      <w:r w:rsidRPr="00CE5113">
        <w:t>final</w:t>
      </w:r>
      <w:proofErr w:type="spellEnd"/>
      <w:r>
        <w:t>.</w:t>
      </w:r>
    </w:p>
  </w:footnote>
  <w:footnote w:id="34">
    <w:p w14:paraId="2B8D774F" w14:textId="77777777" w:rsidR="00F45937" w:rsidRDefault="00F45937" w:rsidP="000D3507">
      <w:pPr>
        <w:pStyle w:val="Textpoznpodarou"/>
        <w:ind w:left="284" w:hanging="284"/>
      </w:pPr>
      <w:r w:rsidRPr="00CE5113">
        <w:rPr>
          <w:rStyle w:val="Znakapoznpodarou"/>
        </w:rPr>
        <w:footnoteRef/>
      </w:r>
      <w:r w:rsidRPr="00CE5113">
        <w:t xml:space="preserve"> </w:t>
      </w:r>
      <w:r>
        <w:tab/>
      </w:r>
      <w:r w:rsidRPr="00CE5113">
        <w:t xml:space="preserve">Doporučení Komise pro český Strategický plán SZP ze dne 18. 12. 2020, SWD(2020) 393 </w:t>
      </w:r>
      <w:proofErr w:type="spellStart"/>
      <w:r w:rsidRPr="00CE5113">
        <w:t>final</w:t>
      </w:r>
      <w:proofErr w:type="spellEnd"/>
      <w:r>
        <w:t>.</w:t>
      </w:r>
    </w:p>
  </w:footnote>
  <w:footnote w:id="35">
    <w:p w14:paraId="6D26DE46" w14:textId="77777777" w:rsidR="00F45937" w:rsidRPr="000D3507" w:rsidRDefault="00F45937" w:rsidP="000D3507">
      <w:pPr>
        <w:pStyle w:val="Poznmkapodarou"/>
        <w:ind w:left="284" w:hanging="284"/>
        <w:rPr>
          <w:rFonts w:asciiTheme="minorHAnsi" w:hAnsiTheme="minorHAnsi" w:cstheme="minorHAnsi"/>
        </w:rPr>
      </w:pPr>
      <w:r w:rsidRPr="008E0FE9">
        <w:rPr>
          <w:rStyle w:val="Znakapoznpodarou"/>
          <w:rFonts w:asciiTheme="minorHAnsi" w:hAnsiTheme="minorHAnsi" w:cstheme="minorHAnsi"/>
        </w:rPr>
        <w:footnoteRef/>
      </w:r>
      <w:r w:rsidRPr="008E0FE9">
        <w:rPr>
          <w:rFonts w:asciiTheme="minorHAnsi" w:hAnsiTheme="minorHAnsi" w:cstheme="minorHAnsi"/>
        </w:rPr>
        <w:t xml:space="preserve"> </w:t>
      </w:r>
      <w:r>
        <w:rPr>
          <w:rFonts w:asciiTheme="minorHAnsi" w:hAnsiTheme="minorHAnsi" w:cstheme="minorHAnsi"/>
        </w:rPr>
        <w:tab/>
      </w:r>
      <w:r w:rsidRPr="000D3507">
        <w:rPr>
          <w:rFonts w:asciiTheme="minorHAnsi" w:hAnsiTheme="minorHAnsi" w:cstheme="minorHAnsi"/>
        </w:rPr>
        <w:t xml:space="preserve">Dle čl. 3 bod 6 směrnice </w:t>
      </w:r>
      <w:r w:rsidRPr="008E0FE9">
        <w:rPr>
          <w:rFonts w:asciiTheme="minorHAnsi" w:hAnsiTheme="minorHAnsi" w:cstheme="minorHAnsi"/>
        </w:rPr>
        <w:t>Evropského parlamentu a Rady 2009/128/ES</w:t>
      </w:r>
      <w:r w:rsidRPr="00D21776">
        <w:t xml:space="preserve"> </w:t>
      </w:r>
      <w:r w:rsidRPr="000D3507">
        <w:rPr>
          <w:rFonts w:asciiTheme="minorHAnsi" w:hAnsiTheme="minorHAnsi" w:cstheme="minorHAnsi"/>
        </w:rPr>
        <w:t>se</w:t>
      </w:r>
      <w:r>
        <w:rPr>
          <w:rFonts w:asciiTheme="minorHAnsi" w:hAnsiTheme="minorHAnsi" w:cstheme="minorHAnsi"/>
        </w:rPr>
        <w:t xml:space="preserve"> pojmem</w:t>
      </w:r>
      <w:r w:rsidRPr="000D3507">
        <w:rPr>
          <w:rFonts w:asciiTheme="minorHAnsi" w:hAnsiTheme="minorHAnsi" w:cstheme="minorHAnsi"/>
        </w:rPr>
        <w:t xml:space="preserve"> IOR rozumí: </w:t>
      </w:r>
      <w:r w:rsidRPr="008E0FE9">
        <w:rPr>
          <w:rFonts w:asciiTheme="minorHAnsi" w:hAnsiTheme="minorHAnsi" w:cstheme="minorHAnsi"/>
        </w:rPr>
        <w:t>„</w:t>
      </w:r>
      <w:r w:rsidRPr="000D3507">
        <w:rPr>
          <w:rFonts w:asciiTheme="minorHAnsi" w:hAnsiTheme="minorHAnsi" w:cstheme="minorHAnsi"/>
          <w:i/>
        </w:rPr>
        <w:t>pečlivé zvažování veškerých dostupných metod ochrany rostlin a následná integrace vhodných opatření, která potlačují rozvoj populací škodlivých organismů a udržují používání přípravků na ochranu rostlin a jiných forem zásahu na úrovních, které lze z hospodářského a</w:t>
      </w:r>
      <w:r w:rsidRPr="00F0473E">
        <w:rPr>
          <w:rFonts w:asciiTheme="minorHAnsi" w:hAnsiTheme="minorHAnsi" w:cstheme="minorHAnsi"/>
          <w:i/>
        </w:rPr>
        <w:t> ekologického hlediska odůvodnit a které snižují či minimalizují rizika pro lidské zdraví nebo životní prostředí. „Integrovaná ochrana rostlin“ klade důraz na růst zdravých plodin při co nej</w:t>
      </w:r>
      <w:r w:rsidRPr="000D3507">
        <w:rPr>
          <w:rFonts w:asciiTheme="minorHAnsi" w:hAnsiTheme="minorHAnsi" w:cstheme="minorHAnsi"/>
          <w:i/>
        </w:rPr>
        <w:t>menším narušení zemědělských ekosystémů a podporuje přirozené mechanismy ochrany před škodlivými organismy</w:t>
      </w:r>
      <w:r w:rsidRPr="001B094D">
        <w:rPr>
          <w:rFonts w:asciiTheme="minorHAnsi" w:hAnsiTheme="minorHAnsi" w:cstheme="minorHAnsi"/>
        </w:rPr>
        <w:t>.</w:t>
      </w:r>
      <w:r w:rsidRPr="008E0FE9">
        <w:rPr>
          <w:rFonts w:asciiTheme="minorHAnsi" w:hAnsiTheme="minorHAnsi" w:cstheme="minorHAnsi"/>
        </w:rPr>
        <w:t>“</w:t>
      </w:r>
    </w:p>
  </w:footnote>
  <w:footnote w:id="36">
    <w:p w14:paraId="072A15B3" w14:textId="77777777" w:rsidR="00F45937" w:rsidRDefault="00F45937" w:rsidP="000D3507">
      <w:pPr>
        <w:pStyle w:val="Textpoznpodarou"/>
        <w:ind w:left="284" w:hanging="284"/>
      </w:pPr>
      <w:r w:rsidRPr="000D3507">
        <w:rPr>
          <w:rStyle w:val="Znakapoznpodarou"/>
          <w:rFonts w:cstheme="minorHAnsi"/>
        </w:rPr>
        <w:footnoteRef/>
      </w:r>
      <w:r w:rsidRPr="000D3507">
        <w:rPr>
          <w:rFonts w:cstheme="minorHAnsi"/>
        </w:rPr>
        <w:t xml:space="preserve"> </w:t>
      </w:r>
      <w:r>
        <w:rPr>
          <w:rFonts w:cstheme="minorHAnsi"/>
        </w:rPr>
        <w:tab/>
      </w:r>
      <w:r w:rsidRPr="000D3507">
        <w:rPr>
          <w:rFonts w:cstheme="minorHAnsi"/>
          <w:lang w:eastAsia="cs-CZ"/>
        </w:rPr>
        <w:t xml:space="preserve">Podpora tzv. precizního zemědělství, pro které je např. u chemické regulace plevelů typické senzorické vyhodnocení hustoty zaplevelení a přímá injektáž pesticidních přípravků na rozdíl od jednoduché pásové aplikace, není cíleně podporována v souvislosti s IOR i dalšími environmentálními přínosy. Viz </w:t>
      </w:r>
      <w:r>
        <w:rPr>
          <w:rFonts w:cstheme="minorHAnsi"/>
        </w:rPr>
        <w:t>v</w:t>
      </w:r>
      <w:r w:rsidRPr="000D3507">
        <w:rPr>
          <w:rFonts w:cstheme="minorHAnsi"/>
        </w:rPr>
        <w:t>ědecká</w:t>
      </w:r>
      <w:r w:rsidRPr="00CE5113">
        <w:t xml:space="preserve"> prognostická studie Evropské parlamentní výzkumné služby při Evropském parlamentu: </w:t>
      </w:r>
      <w:hyperlink r:id="rId3" w:history="1">
        <w:r w:rsidRPr="008E0FE9">
          <w:rPr>
            <w:rStyle w:val="Hypertextovodkaz"/>
            <w:i/>
          </w:rPr>
          <w:t>Precizní zemědělství a budoucnost zemědělství v Evropě</w:t>
        </w:r>
        <w:r w:rsidRPr="00CE5113">
          <w:rPr>
            <w:rStyle w:val="Hypertextovodkaz"/>
          </w:rPr>
          <w:t xml:space="preserve"> (2016)</w:t>
        </w:r>
        <w:r w:rsidRPr="008E0FE9">
          <w:rPr>
            <w:rStyle w:val="Hypertextovodkaz"/>
            <w:color w:val="auto"/>
            <w:u w:val="none"/>
          </w:rPr>
          <w:t>,</w:t>
        </w:r>
      </w:hyperlink>
      <w:r w:rsidRPr="00CE5113">
        <w:t xml:space="preserve"> ISBN 978-92-846-0475-3.</w:t>
      </w:r>
    </w:p>
  </w:footnote>
  <w:footnote w:id="37">
    <w:p w14:paraId="748F27A6" w14:textId="77777777" w:rsidR="00F45937" w:rsidRDefault="00F45937" w:rsidP="00F0473E">
      <w:pPr>
        <w:pStyle w:val="Textpoznpodarou"/>
        <w:ind w:left="284" w:hanging="284"/>
      </w:pPr>
      <w:r>
        <w:rPr>
          <w:rStyle w:val="Znakapoznpodarou"/>
        </w:rPr>
        <w:footnoteRef/>
      </w:r>
      <w:r>
        <w:t xml:space="preserve"> </w:t>
      </w:r>
      <w:r>
        <w:tab/>
      </w:r>
      <w:r>
        <w:rPr>
          <w:szCs w:val="24"/>
        </w:rPr>
        <w:t>V roce 2013 byl z procesních důvodů odebrán pouze jeden (podzimní) vzorek.</w:t>
      </w:r>
    </w:p>
  </w:footnote>
  <w:footnote w:id="38">
    <w:p w14:paraId="32F11147" w14:textId="77777777" w:rsidR="00F45937" w:rsidRDefault="00F45937" w:rsidP="00F0473E">
      <w:pPr>
        <w:pStyle w:val="Textpoznpodarou"/>
        <w:ind w:left="284" w:hanging="284"/>
      </w:pPr>
      <w:r>
        <w:rPr>
          <w:rStyle w:val="Znakapoznpodarou"/>
        </w:rPr>
        <w:footnoteRef/>
      </w:r>
      <w:r>
        <w:t xml:space="preserve"> </w:t>
      </w:r>
      <w:r>
        <w:tab/>
        <w:t xml:space="preserve">Databázi IS </w:t>
      </w:r>
      <w:r w:rsidRPr="008E0FE9">
        <w:rPr>
          <w:i/>
        </w:rPr>
        <w:t>Surová voda</w:t>
      </w:r>
      <w:r>
        <w:t xml:space="preserve"> provozuje ČHMÚ od roku 2018. Provozovatelé vodovodů do ní vkládají výsledky rozborů podzemních a povrchových vod, které jsou zdrojem pro zásobování pitnou vodou.</w:t>
      </w:r>
    </w:p>
  </w:footnote>
  <w:footnote w:id="39">
    <w:p w14:paraId="6530A1F0" w14:textId="77777777" w:rsidR="00F45937" w:rsidRDefault="00F45937" w:rsidP="00F0473E">
      <w:pPr>
        <w:pStyle w:val="Textpoznpodarou"/>
        <w:ind w:left="284" w:hanging="284"/>
      </w:pPr>
      <w:r>
        <w:rPr>
          <w:rStyle w:val="Znakapoznpodarou"/>
        </w:rPr>
        <w:footnoteRef/>
      </w:r>
      <w:r>
        <w:t xml:space="preserve"> </w:t>
      </w:r>
      <w:r>
        <w:tab/>
        <w:t>Ukazatel „</w:t>
      </w:r>
      <w:r w:rsidRPr="00C0729D">
        <w:rPr>
          <w:i/>
        </w:rPr>
        <w:t>suma pesticidů</w:t>
      </w:r>
      <w:r>
        <w:t xml:space="preserve">“ dopočítává ČHMÚ z naměřených hodnot jednotlivých pesticidních </w:t>
      </w:r>
      <w:proofErr w:type="gramStart"/>
      <w:r>
        <w:t>látek v IS</w:t>
      </w:r>
      <w:proofErr w:type="gramEnd"/>
      <w:r>
        <w:t> ARROW. Dle vyhlášky č. 5/2011 Sb. zahrnuje všechny jednotlivé pesticidy, které byly zjištěny a jejichž množství bylo zjištěno podle § 7 až 15 této vyhlášky.</w:t>
      </w:r>
    </w:p>
  </w:footnote>
  <w:footnote w:id="40">
    <w:p w14:paraId="15C16987" w14:textId="77777777" w:rsidR="00F45937" w:rsidRDefault="00F45937" w:rsidP="00F0473E">
      <w:pPr>
        <w:pStyle w:val="Textpoznpodarou"/>
        <w:ind w:left="284" w:hanging="284"/>
      </w:pPr>
      <w:r>
        <w:rPr>
          <w:rStyle w:val="Znakapoznpodarou"/>
        </w:rPr>
        <w:footnoteRef/>
      </w:r>
      <w:r>
        <w:t xml:space="preserve"> </w:t>
      </w:r>
      <w:r>
        <w:tab/>
      </w:r>
      <w:r w:rsidRPr="00AF7153">
        <w:t xml:space="preserve">Viz poznámka pod čarou č. </w:t>
      </w:r>
      <w:r>
        <w:t>5</w:t>
      </w:r>
      <w:r w:rsidRPr="00AF7153">
        <w:t xml:space="preserve"> na straně 5 k riziku užívání </w:t>
      </w:r>
      <w:r>
        <w:t xml:space="preserve">padělků </w:t>
      </w:r>
      <w:r w:rsidRPr="00AF7153">
        <w:t>pesticidních látek</w:t>
      </w:r>
      <w:r>
        <w:t xml:space="preserve"> a výskytu zakázaných látek. </w:t>
      </w:r>
    </w:p>
  </w:footnote>
  <w:footnote w:id="41">
    <w:p w14:paraId="37FA24C1" w14:textId="77777777" w:rsidR="00F45937" w:rsidRPr="0062291F" w:rsidRDefault="00F45937" w:rsidP="00E84AF0">
      <w:pPr>
        <w:pStyle w:val="Poznmkapodarou"/>
        <w:ind w:left="284" w:hanging="284"/>
        <w:rPr>
          <w:rFonts w:asciiTheme="minorHAnsi" w:hAnsiTheme="minorHAnsi" w:cstheme="minorHAnsi"/>
        </w:rPr>
      </w:pPr>
      <w:r w:rsidRPr="00A8488B">
        <w:rPr>
          <w:rStyle w:val="Znakapoznpodarou"/>
          <w:rFonts w:asciiTheme="minorHAnsi" w:hAnsiTheme="minorHAnsi" w:cstheme="minorHAnsi"/>
        </w:rPr>
        <w:footnoteRef/>
      </w:r>
      <w:r w:rsidRPr="00A8488B">
        <w:rPr>
          <w:rFonts w:asciiTheme="minorHAnsi" w:hAnsiTheme="minorHAnsi" w:cstheme="minorHAnsi"/>
        </w:rPr>
        <w:t xml:space="preserve"> </w:t>
      </w:r>
      <w:r>
        <w:rPr>
          <w:rFonts w:asciiTheme="minorHAnsi" w:hAnsiTheme="minorHAnsi" w:cstheme="minorHAnsi"/>
        </w:rPr>
        <w:tab/>
      </w:r>
      <w:r w:rsidRPr="00A8488B">
        <w:rPr>
          <w:rFonts w:asciiTheme="minorHAnsi" w:hAnsiTheme="minorHAnsi" w:cstheme="minorHAnsi"/>
        </w:rPr>
        <w:t>Ustanovení § 13 zákona č. 17/1992 Sb., o životním prostředí</w:t>
      </w:r>
      <w:r>
        <w:rPr>
          <w:rFonts w:asciiTheme="minorHAnsi" w:hAnsiTheme="minorHAnsi" w:cstheme="minorHAnsi"/>
        </w:rPr>
        <w:t>,</w:t>
      </w:r>
      <w:r w:rsidRPr="00A8488B">
        <w:rPr>
          <w:rFonts w:asciiTheme="minorHAnsi" w:hAnsiTheme="minorHAnsi" w:cstheme="minorHAnsi"/>
        </w:rPr>
        <w:t xml:space="preserve"> stanoví: </w:t>
      </w:r>
      <w:r w:rsidRPr="0062291F">
        <w:rPr>
          <w:rFonts w:asciiTheme="minorHAnsi" w:hAnsiTheme="minorHAnsi" w:cstheme="minorHAnsi"/>
        </w:rPr>
        <w:t>„</w:t>
      </w:r>
      <w:r w:rsidRPr="00A8488B">
        <w:rPr>
          <w:rFonts w:asciiTheme="minorHAnsi" w:hAnsiTheme="minorHAnsi" w:cstheme="minorHAnsi"/>
          <w:i/>
        </w:rPr>
        <w:t>Lze-li se zřetelem ke všem okolnostem předpokládat, že hrozí nebezpečí nevratného nebo závažného poškození životního prostředí, nesmí být pochybnost o tom, že k takovému poškození skutečně dojde, důvodem pro odklad opatření, jež mají poškození zabránit</w:t>
      </w:r>
      <w:r w:rsidRPr="0062291F">
        <w:rPr>
          <w:rFonts w:asciiTheme="minorHAnsi" w:hAnsiTheme="minorHAnsi" w:cstheme="minorHAnsi"/>
        </w:rPr>
        <w:t>.“</w:t>
      </w:r>
    </w:p>
  </w:footnote>
  <w:footnote w:id="42">
    <w:p w14:paraId="1260C93F" w14:textId="77777777" w:rsidR="00F45937" w:rsidRPr="00A8488B" w:rsidRDefault="00F45937" w:rsidP="00463947">
      <w:pPr>
        <w:pStyle w:val="Textpoznpodarou"/>
        <w:ind w:left="284" w:hanging="284"/>
        <w:rPr>
          <w:rFonts w:cstheme="minorHAnsi"/>
        </w:rPr>
      </w:pPr>
      <w:r w:rsidRPr="00A8488B">
        <w:rPr>
          <w:rStyle w:val="Znakapoznpodarou"/>
          <w:rFonts w:cstheme="minorHAnsi"/>
        </w:rPr>
        <w:footnoteRef/>
      </w:r>
      <w:r w:rsidRPr="00A8488B">
        <w:rPr>
          <w:rFonts w:cstheme="minorHAnsi"/>
        </w:rPr>
        <w:t xml:space="preserve"> </w:t>
      </w:r>
      <w:r>
        <w:rPr>
          <w:rFonts w:cstheme="minorHAnsi"/>
        </w:rPr>
        <w:tab/>
      </w:r>
      <w:r w:rsidRPr="00A8488B">
        <w:rPr>
          <w:rFonts w:cstheme="minorHAnsi"/>
        </w:rPr>
        <w:t>V rámci tohoto cíle byly podporovány jak projekty zaměřené na výstavbu a modernizaci úpraven vod, tak i</w:t>
      </w:r>
      <w:r>
        <w:rPr>
          <w:rFonts w:cstheme="minorHAnsi"/>
        </w:rPr>
        <w:t xml:space="preserve"> projekty </w:t>
      </w:r>
      <w:r w:rsidRPr="00A8488B">
        <w:rPr>
          <w:rFonts w:cstheme="minorHAnsi"/>
        </w:rPr>
        <w:t>výstavb</w:t>
      </w:r>
      <w:r>
        <w:rPr>
          <w:rFonts w:cstheme="minorHAnsi"/>
        </w:rPr>
        <w:t>y</w:t>
      </w:r>
      <w:r w:rsidRPr="00A8488B">
        <w:rPr>
          <w:rFonts w:cstheme="minorHAnsi"/>
        </w:rPr>
        <w:t xml:space="preserve"> přivaděčů a rozvodných sítí pitné vody.</w:t>
      </w:r>
    </w:p>
  </w:footnote>
  <w:footnote w:id="43">
    <w:p w14:paraId="26153427" w14:textId="77777777" w:rsidR="00F45937" w:rsidRDefault="00F45937" w:rsidP="00E84AF0">
      <w:pPr>
        <w:pStyle w:val="Textpoznpodarou"/>
        <w:ind w:left="284" w:hanging="284"/>
      </w:pPr>
      <w:r>
        <w:rPr>
          <w:rStyle w:val="Znakapoznpodarou"/>
        </w:rPr>
        <w:footnoteRef/>
      </w:r>
      <w:r>
        <w:t xml:space="preserve"> </w:t>
      </w:r>
      <w:r>
        <w:tab/>
      </w:r>
      <w:r w:rsidRPr="00EB721A">
        <w:t>Se zohledněním odchylky vzniklé v důsledku výskytu reziduí ve sledovaném období již v ČR nepovolených přípravků (tzv. „staré zátěže“).</w:t>
      </w:r>
    </w:p>
  </w:footnote>
  <w:footnote w:id="44">
    <w:p w14:paraId="167E93D6" w14:textId="77777777" w:rsidR="00F45937" w:rsidRDefault="00F45937" w:rsidP="00E84AF0">
      <w:pPr>
        <w:pStyle w:val="Textpoznpodarou"/>
        <w:ind w:left="284" w:hanging="284"/>
      </w:pPr>
      <w:r>
        <w:rPr>
          <w:rStyle w:val="Znakapoznpodarou"/>
        </w:rPr>
        <w:footnoteRef/>
      </w:r>
      <w:r>
        <w:t xml:space="preserve"> </w:t>
      </w:r>
      <w:r>
        <w:tab/>
      </w:r>
      <w:r w:rsidRPr="008667F4">
        <w:t>Se zohledněním odchylky vzniklé v důsledku výskytu reziduí ve sledovaném období již v ČR nepovolených přípravků (tzv. „staré zátěže“).</w:t>
      </w:r>
    </w:p>
  </w:footnote>
  <w:footnote w:id="45">
    <w:p w14:paraId="10FA4027" w14:textId="77777777" w:rsidR="00F45937" w:rsidRDefault="00F45937" w:rsidP="00E84AF0">
      <w:pPr>
        <w:pStyle w:val="Textpoznpodarou"/>
        <w:ind w:left="284" w:hanging="284"/>
      </w:pPr>
      <w:r>
        <w:rPr>
          <w:rStyle w:val="Znakapoznpodarou"/>
        </w:rPr>
        <w:footnoteRef/>
      </w:r>
      <w:r>
        <w:t xml:space="preserve"> </w:t>
      </w:r>
      <w:r>
        <w:tab/>
      </w:r>
      <w:r w:rsidRPr="008667F4">
        <w:t xml:space="preserve">Viz čl. 51 </w:t>
      </w:r>
      <w:r>
        <w:t>n</w:t>
      </w:r>
      <w:r w:rsidRPr="008667F4">
        <w:t>ařízení E</w:t>
      </w:r>
      <w:r>
        <w:t>vropského parlamentu</w:t>
      </w:r>
      <w:r w:rsidRPr="008667F4">
        <w:t xml:space="preserve"> a Rady (ES) č. 1107/2009.</w:t>
      </w:r>
    </w:p>
  </w:footnote>
  <w:footnote w:id="46">
    <w:p w14:paraId="6B7BCF9D" w14:textId="77777777" w:rsidR="00F45937" w:rsidRDefault="00F45937" w:rsidP="00E84AF0">
      <w:pPr>
        <w:pStyle w:val="Textpoznpodarou"/>
        <w:ind w:left="284" w:hanging="284"/>
      </w:pPr>
      <w:r>
        <w:rPr>
          <w:rStyle w:val="Znakapoznpodarou"/>
        </w:rPr>
        <w:footnoteRef/>
      </w:r>
      <w:r>
        <w:tab/>
      </w:r>
      <w:r w:rsidRPr="008667F4">
        <w:t>Nařízení Rady (ES) č. 834/2007</w:t>
      </w:r>
      <w:r>
        <w:t>,</w:t>
      </w:r>
      <w:r w:rsidRPr="008667F4">
        <w:t xml:space="preserve"> o ekologické produkci a označování ekologických produktů a o zrušení nařízení (EHS) č. 2092/91; rozhodnutí Komise (ES) č. 2008/889/ES, kterým se mění rozhodnutí 2002/747/ES, 2003/31/ES, 2005/342/ES, 2005/344/ES a 2002/360/ES, aby se prodloužila platnost ekologických kritérií pro udělení ekoznačky Společenství některým výrobků</w:t>
      </w:r>
      <w:r>
        <w:t>m</w:t>
      </w:r>
      <w:r w:rsidRPr="008667F4">
        <w:t>.</w:t>
      </w:r>
      <w:r>
        <w:t xml:space="preserve"> </w:t>
      </w:r>
    </w:p>
  </w:footnote>
  <w:footnote w:id="47">
    <w:p w14:paraId="07D8A3C3" w14:textId="77777777" w:rsidR="00F45937" w:rsidRDefault="00F45937" w:rsidP="0058156B">
      <w:pPr>
        <w:pStyle w:val="Textpoznpodarou"/>
        <w:ind w:left="284" w:hanging="284"/>
      </w:pPr>
      <w:r>
        <w:rPr>
          <w:rStyle w:val="Znakapoznpodarou"/>
        </w:rPr>
        <w:footnoteRef/>
      </w:r>
      <w:r>
        <w:t xml:space="preserve"> </w:t>
      </w:r>
      <w:r>
        <w:tab/>
      </w:r>
      <w:r w:rsidRPr="00904549">
        <w:t>Se zohledněním odchylky vzniklé v důsledku výskytu reziduí ve sledovaném období již v ČR nepovolených přípravků (tzv. „staré zátěže“).</w:t>
      </w:r>
    </w:p>
  </w:footnote>
  <w:footnote w:id="48">
    <w:p w14:paraId="1D0F2EB5" w14:textId="77777777" w:rsidR="00F45937" w:rsidRDefault="00F45937" w:rsidP="008375BD">
      <w:pPr>
        <w:pStyle w:val="Textpoznpodarou"/>
        <w:ind w:left="284" w:hanging="284"/>
      </w:pPr>
      <w:r>
        <w:rPr>
          <w:rStyle w:val="Znakapoznpodarou"/>
        </w:rPr>
        <w:footnoteRef/>
      </w:r>
      <w:r>
        <w:t xml:space="preserve"> </w:t>
      </w:r>
      <w:r>
        <w:tab/>
        <w:t>PHO – pásma hygienické ochrany.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D135" w14:textId="77777777" w:rsidR="007145CB" w:rsidRDefault="007145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5F78" w14:textId="77777777" w:rsidR="007145CB" w:rsidRDefault="007145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C22C" w14:textId="77777777" w:rsidR="00F45937" w:rsidRDefault="00F45937" w:rsidP="00EF2111">
    <w:pPr>
      <w:pStyle w:val="Zhlav"/>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DBBE" w14:textId="77777777" w:rsidR="00F45937" w:rsidRDefault="00F45937" w:rsidP="00AE7347">
    <w:pPr>
      <w:pStyle w:val="Zhlav"/>
      <w:jc w:val="right"/>
    </w:pPr>
    <w:r>
      <w:t xml:space="preserve">Příloha </w:t>
    </w:r>
    <w:proofErr w:type="gramStart"/>
    <w:r>
      <w:t>č. 2 kontrolního</w:t>
    </w:r>
    <w:proofErr w:type="gramEnd"/>
    <w:r>
      <w:t xml:space="preserve"> závěru z kontrolní akce č. 20/04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A6C2" w14:textId="77777777" w:rsidR="00F45937" w:rsidRDefault="00F45937" w:rsidP="00B8457E">
    <w:pPr>
      <w:pStyle w:val="Zhlav"/>
      <w:jc w:val="right"/>
    </w:pPr>
    <w:r>
      <w:t xml:space="preserve">Příloha </w:t>
    </w:r>
    <w:proofErr w:type="gramStart"/>
    <w:r>
      <w:t>č. 3 kontrolního</w:t>
    </w:r>
    <w:proofErr w:type="gramEnd"/>
    <w:r>
      <w:t xml:space="preserve"> závěru z kontrolní akce č. 20/04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A295" w14:textId="77777777" w:rsidR="00F45937" w:rsidRDefault="00F45937" w:rsidP="00B8457E">
    <w:pPr>
      <w:pStyle w:val="Zhlav"/>
      <w:jc w:val="right"/>
    </w:pPr>
    <w:r>
      <w:t xml:space="preserve">Příloha </w:t>
    </w:r>
    <w:proofErr w:type="gramStart"/>
    <w:r>
      <w:t>č. 4 kontrolního</w:t>
    </w:r>
    <w:proofErr w:type="gramEnd"/>
    <w:r>
      <w:t xml:space="preserve"> závěru z kontrolní akce č. 20/04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263"/>
    <w:multiLevelType w:val="hybridMultilevel"/>
    <w:tmpl w:val="65FAA860"/>
    <w:lvl w:ilvl="0" w:tplc="9662AB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86096"/>
    <w:multiLevelType w:val="multilevel"/>
    <w:tmpl w:val="67049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0C715B"/>
    <w:multiLevelType w:val="multilevel"/>
    <w:tmpl w:val="E5020F8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FF60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EF0B72"/>
    <w:multiLevelType w:val="hybridMultilevel"/>
    <w:tmpl w:val="0E669D0C"/>
    <w:lvl w:ilvl="0" w:tplc="BEA68252">
      <w:start w:val="1"/>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D074F3"/>
    <w:multiLevelType w:val="hybridMultilevel"/>
    <w:tmpl w:val="AEAC9A10"/>
    <w:lvl w:ilvl="0" w:tplc="DDB4C6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C5F3D52"/>
    <w:multiLevelType w:val="multilevel"/>
    <w:tmpl w:val="E83CE37E"/>
    <w:lvl w:ilvl="0">
      <w:start w:val="1"/>
      <w:numFmt w:val="upperRoman"/>
      <w:lvlText w:val="%1."/>
      <w:lvlJc w:val="left"/>
      <w:pPr>
        <w:ind w:left="340" w:hanging="340"/>
      </w:pPr>
      <w:rPr>
        <w:rFonts w:hint="default"/>
      </w:rPr>
    </w:lvl>
    <w:lvl w:ilvl="1">
      <w:start w:val="1"/>
      <w:numFmt w:val="decimal"/>
      <w:lvlText w:val="%2."/>
      <w:lvlJc w:val="left"/>
      <w:pPr>
        <w:ind w:left="0" w:firstLine="0"/>
      </w:pPr>
      <w:rPr>
        <w:rFonts w:hint="default"/>
      </w:rPr>
    </w:lvl>
    <w:lvl w:ilvl="2">
      <w:start w:val="1"/>
      <w:numFmt w:val="decimal"/>
      <w:lvlText w:val="%2.%3."/>
      <w:lvlJc w:val="left"/>
      <w:pPr>
        <w:ind w:left="144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FC934CA"/>
    <w:multiLevelType w:val="multilevel"/>
    <w:tmpl w:val="B4E2CE2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2EC11E5"/>
    <w:multiLevelType w:val="hybridMultilevel"/>
    <w:tmpl w:val="68CA8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0541FA"/>
    <w:multiLevelType w:val="hybridMultilevel"/>
    <w:tmpl w:val="DE32B3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7D33647"/>
    <w:multiLevelType w:val="hybridMultilevel"/>
    <w:tmpl w:val="F0F69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F932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7403C6"/>
    <w:multiLevelType w:val="hybridMultilevel"/>
    <w:tmpl w:val="F93C2D6A"/>
    <w:lvl w:ilvl="0" w:tplc="04050001">
      <w:start w:val="1"/>
      <w:numFmt w:val="bullet"/>
      <w:lvlText w:val=""/>
      <w:lvlJc w:val="left"/>
      <w:pPr>
        <w:ind w:left="360" w:hanging="360"/>
      </w:pPr>
      <w:rPr>
        <w:rFonts w:ascii="Symbol" w:hAnsi="Symbol" w:hint="default"/>
      </w:rPr>
    </w:lvl>
    <w:lvl w:ilvl="1" w:tplc="9170EA46">
      <w:numFmt w:val="bullet"/>
      <w:lvlText w:val="•"/>
      <w:lvlJc w:val="left"/>
      <w:pPr>
        <w:ind w:left="1425" w:hanging="705"/>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9AE1247"/>
    <w:multiLevelType w:val="hybridMultilevel"/>
    <w:tmpl w:val="A5B69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9A3072"/>
    <w:multiLevelType w:val="hybridMultilevel"/>
    <w:tmpl w:val="9C50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F22A90"/>
    <w:multiLevelType w:val="hybridMultilevel"/>
    <w:tmpl w:val="5E4020DC"/>
    <w:lvl w:ilvl="0" w:tplc="49165356">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A7705BD"/>
    <w:multiLevelType w:val="hybridMultilevel"/>
    <w:tmpl w:val="C4126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E70FA7"/>
    <w:multiLevelType w:val="hybridMultilevel"/>
    <w:tmpl w:val="C93A73AE"/>
    <w:lvl w:ilvl="0" w:tplc="D0CA80CE">
      <w:start w:val="1"/>
      <w:numFmt w:val="decimal"/>
      <w:lvlText w:val="%1."/>
      <w:lvlJc w:val="left"/>
      <w:pPr>
        <w:ind w:left="720" w:hanging="360"/>
      </w:pPr>
    </w:lvl>
    <w:lvl w:ilvl="1" w:tplc="96B0543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D03921"/>
    <w:multiLevelType w:val="hybridMultilevel"/>
    <w:tmpl w:val="D358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0"/>
  </w:num>
  <w:num w:numId="5">
    <w:abstractNumId w:val="16"/>
  </w:num>
  <w:num w:numId="6">
    <w:abstractNumId w:val="2"/>
  </w:num>
  <w:num w:numId="7">
    <w:abstractNumId w:val="15"/>
  </w:num>
  <w:num w:numId="8">
    <w:abstractNumId w:val="6"/>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0"/>
  </w:num>
  <w:num w:numId="14">
    <w:abstractNumId w:val="14"/>
  </w:num>
  <w:num w:numId="15">
    <w:abstractNumId w:val="1"/>
  </w:num>
  <w:num w:numId="16">
    <w:abstractNumId w:val="1"/>
  </w:num>
  <w:num w:numId="17">
    <w:abstractNumId w:val="3"/>
  </w:num>
  <w:num w:numId="18">
    <w:abstractNumId w:val="17"/>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numStart w:val="6"/>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9A"/>
    <w:rsid w:val="00000201"/>
    <w:rsid w:val="0000094A"/>
    <w:rsid w:val="0000155C"/>
    <w:rsid w:val="00001809"/>
    <w:rsid w:val="00001EB8"/>
    <w:rsid w:val="00002C00"/>
    <w:rsid w:val="00002F05"/>
    <w:rsid w:val="00002FD9"/>
    <w:rsid w:val="00003169"/>
    <w:rsid w:val="00003434"/>
    <w:rsid w:val="00003C3E"/>
    <w:rsid w:val="00003C6D"/>
    <w:rsid w:val="00003DA9"/>
    <w:rsid w:val="00004368"/>
    <w:rsid w:val="00005324"/>
    <w:rsid w:val="00005385"/>
    <w:rsid w:val="000057DC"/>
    <w:rsid w:val="00006CE9"/>
    <w:rsid w:val="00006EA8"/>
    <w:rsid w:val="00006EF3"/>
    <w:rsid w:val="000070CC"/>
    <w:rsid w:val="0000769F"/>
    <w:rsid w:val="00010564"/>
    <w:rsid w:val="00010725"/>
    <w:rsid w:val="000116D1"/>
    <w:rsid w:val="00011947"/>
    <w:rsid w:val="00011E4D"/>
    <w:rsid w:val="00012301"/>
    <w:rsid w:val="00012425"/>
    <w:rsid w:val="00013B50"/>
    <w:rsid w:val="00014437"/>
    <w:rsid w:val="000146DE"/>
    <w:rsid w:val="000153DB"/>
    <w:rsid w:val="000154FB"/>
    <w:rsid w:val="000157BC"/>
    <w:rsid w:val="00015A83"/>
    <w:rsid w:val="00016649"/>
    <w:rsid w:val="000166D6"/>
    <w:rsid w:val="00016735"/>
    <w:rsid w:val="0001681E"/>
    <w:rsid w:val="00016AED"/>
    <w:rsid w:val="00016FC5"/>
    <w:rsid w:val="00017177"/>
    <w:rsid w:val="00017279"/>
    <w:rsid w:val="00020237"/>
    <w:rsid w:val="0002156B"/>
    <w:rsid w:val="000215DD"/>
    <w:rsid w:val="000217DA"/>
    <w:rsid w:val="0002307C"/>
    <w:rsid w:val="00023753"/>
    <w:rsid w:val="00024216"/>
    <w:rsid w:val="0002465C"/>
    <w:rsid w:val="0002489A"/>
    <w:rsid w:val="00024CFA"/>
    <w:rsid w:val="00025348"/>
    <w:rsid w:val="0002618A"/>
    <w:rsid w:val="000271E8"/>
    <w:rsid w:val="000274C5"/>
    <w:rsid w:val="000301EF"/>
    <w:rsid w:val="000302EC"/>
    <w:rsid w:val="00030436"/>
    <w:rsid w:val="000306AA"/>
    <w:rsid w:val="00030A78"/>
    <w:rsid w:val="00030AA6"/>
    <w:rsid w:val="00030BAD"/>
    <w:rsid w:val="0003155E"/>
    <w:rsid w:val="000316F1"/>
    <w:rsid w:val="00031CAE"/>
    <w:rsid w:val="00031E0A"/>
    <w:rsid w:val="000324FD"/>
    <w:rsid w:val="00032506"/>
    <w:rsid w:val="000328F0"/>
    <w:rsid w:val="00032F40"/>
    <w:rsid w:val="00034888"/>
    <w:rsid w:val="00034C5A"/>
    <w:rsid w:val="00034E45"/>
    <w:rsid w:val="00035AF9"/>
    <w:rsid w:val="00035E19"/>
    <w:rsid w:val="0003656C"/>
    <w:rsid w:val="00036663"/>
    <w:rsid w:val="00036892"/>
    <w:rsid w:val="00036D41"/>
    <w:rsid w:val="000373A1"/>
    <w:rsid w:val="000405F9"/>
    <w:rsid w:val="00040846"/>
    <w:rsid w:val="00040EAC"/>
    <w:rsid w:val="000411BD"/>
    <w:rsid w:val="00041B3F"/>
    <w:rsid w:val="00042C95"/>
    <w:rsid w:val="000434D4"/>
    <w:rsid w:val="000434EF"/>
    <w:rsid w:val="00043B25"/>
    <w:rsid w:val="00043D2E"/>
    <w:rsid w:val="00044693"/>
    <w:rsid w:val="00044ABB"/>
    <w:rsid w:val="00044AC9"/>
    <w:rsid w:val="00046336"/>
    <w:rsid w:val="00046990"/>
    <w:rsid w:val="00046A08"/>
    <w:rsid w:val="00047749"/>
    <w:rsid w:val="00050497"/>
    <w:rsid w:val="000506F3"/>
    <w:rsid w:val="0005076D"/>
    <w:rsid w:val="00050A9E"/>
    <w:rsid w:val="00050E12"/>
    <w:rsid w:val="00051641"/>
    <w:rsid w:val="00051A5A"/>
    <w:rsid w:val="00051ED2"/>
    <w:rsid w:val="00052496"/>
    <w:rsid w:val="00052525"/>
    <w:rsid w:val="000525BD"/>
    <w:rsid w:val="000527E2"/>
    <w:rsid w:val="0005298F"/>
    <w:rsid w:val="00052A8C"/>
    <w:rsid w:val="0005315E"/>
    <w:rsid w:val="00053AA2"/>
    <w:rsid w:val="00053BF1"/>
    <w:rsid w:val="00054BBF"/>
    <w:rsid w:val="00054CAC"/>
    <w:rsid w:val="00054DCB"/>
    <w:rsid w:val="00054F16"/>
    <w:rsid w:val="00054FD8"/>
    <w:rsid w:val="0005562C"/>
    <w:rsid w:val="00055A7A"/>
    <w:rsid w:val="00056DCC"/>
    <w:rsid w:val="00056E26"/>
    <w:rsid w:val="00056FBD"/>
    <w:rsid w:val="0005795A"/>
    <w:rsid w:val="00057AD8"/>
    <w:rsid w:val="00057BF6"/>
    <w:rsid w:val="00057C63"/>
    <w:rsid w:val="000604B3"/>
    <w:rsid w:val="00060615"/>
    <w:rsid w:val="00060B5C"/>
    <w:rsid w:val="00060C2C"/>
    <w:rsid w:val="000610E5"/>
    <w:rsid w:val="00061477"/>
    <w:rsid w:val="00061BA9"/>
    <w:rsid w:val="00061C8C"/>
    <w:rsid w:val="0006206F"/>
    <w:rsid w:val="00062272"/>
    <w:rsid w:val="000629D0"/>
    <w:rsid w:val="00062BDE"/>
    <w:rsid w:val="00062DF6"/>
    <w:rsid w:val="000635AE"/>
    <w:rsid w:val="000639C2"/>
    <w:rsid w:val="00063A55"/>
    <w:rsid w:val="00063F5A"/>
    <w:rsid w:val="0006437B"/>
    <w:rsid w:val="000648F0"/>
    <w:rsid w:val="0006533D"/>
    <w:rsid w:val="00065341"/>
    <w:rsid w:val="00065A83"/>
    <w:rsid w:val="00066990"/>
    <w:rsid w:val="00067060"/>
    <w:rsid w:val="00067356"/>
    <w:rsid w:val="00067916"/>
    <w:rsid w:val="000704B3"/>
    <w:rsid w:val="00070A2E"/>
    <w:rsid w:val="00071572"/>
    <w:rsid w:val="00072225"/>
    <w:rsid w:val="0007276E"/>
    <w:rsid w:val="00073D61"/>
    <w:rsid w:val="000744C0"/>
    <w:rsid w:val="00074E29"/>
    <w:rsid w:val="00075601"/>
    <w:rsid w:val="00076E84"/>
    <w:rsid w:val="00077752"/>
    <w:rsid w:val="0008008B"/>
    <w:rsid w:val="000801BD"/>
    <w:rsid w:val="000802CF"/>
    <w:rsid w:val="000804C6"/>
    <w:rsid w:val="0008060E"/>
    <w:rsid w:val="0008065E"/>
    <w:rsid w:val="00080C9A"/>
    <w:rsid w:val="000815E0"/>
    <w:rsid w:val="000818CA"/>
    <w:rsid w:val="00082059"/>
    <w:rsid w:val="00082DD7"/>
    <w:rsid w:val="00082E04"/>
    <w:rsid w:val="00083048"/>
    <w:rsid w:val="00083370"/>
    <w:rsid w:val="00083795"/>
    <w:rsid w:val="00083AE1"/>
    <w:rsid w:val="00084199"/>
    <w:rsid w:val="00084E93"/>
    <w:rsid w:val="000852D4"/>
    <w:rsid w:val="00085672"/>
    <w:rsid w:val="000856E8"/>
    <w:rsid w:val="00086FD7"/>
    <w:rsid w:val="00090102"/>
    <w:rsid w:val="0009088F"/>
    <w:rsid w:val="00091342"/>
    <w:rsid w:val="00091B13"/>
    <w:rsid w:val="00092E28"/>
    <w:rsid w:val="0009422A"/>
    <w:rsid w:val="000942AF"/>
    <w:rsid w:val="00094314"/>
    <w:rsid w:val="00094365"/>
    <w:rsid w:val="00094872"/>
    <w:rsid w:val="00094B02"/>
    <w:rsid w:val="000955A6"/>
    <w:rsid w:val="00096091"/>
    <w:rsid w:val="00096469"/>
    <w:rsid w:val="00096964"/>
    <w:rsid w:val="00096EFB"/>
    <w:rsid w:val="00097297"/>
    <w:rsid w:val="00097721"/>
    <w:rsid w:val="0009773B"/>
    <w:rsid w:val="000977BA"/>
    <w:rsid w:val="00097E16"/>
    <w:rsid w:val="00097FD7"/>
    <w:rsid w:val="000A05E1"/>
    <w:rsid w:val="000A08EB"/>
    <w:rsid w:val="000A0DAA"/>
    <w:rsid w:val="000A13A2"/>
    <w:rsid w:val="000A1DDB"/>
    <w:rsid w:val="000A1F05"/>
    <w:rsid w:val="000A2063"/>
    <w:rsid w:val="000A22BE"/>
    <w:rsid w:val="000A2710"/>
    <w:rsid w:val="000A2B9E"/>
    <w:rsid w:val="000A2DB4"/>
    <w:rsid w:val="000A302E"/>
    <w:rsid w:val="000A350F"/>
    <w:rsid w:val="000A3D20"/>
    <w:rsid w:val="000A3D53"/>
    <w:rsid w:val="000A3F17"/>
    <w:rsid w:val="000A3F35"/>
    <w:rsid w:val="000A4360"/>
    <w:rsid w:val="000A4366"/>
    <w:rsid w:val="000A463C"/>
    <w:rsid w:val="000A51BB"/>
    <w:rsid w:val="000A57EE"/>
    <w:rsid w:val="000A591D"/>
    <w:rsid w:val="000A5C34"/>
    <w:rsid w:val="000A601F"/>
    <w:rsid w:val="000A623F"/>
    <w:rsid w:val="000A6431"/>
    <w:rsid w:val="000A6C42"/>
    <w:rsid w:val="000A6F73"/>
    <w:rsid w:val="000A760C"/>
    <w:rsid w:val="000A7668"/>
    <w:rsid w:val="000A78D9"/>
    <w:rsid w:val="000A7C8C"/>
    <w:rsid w:val="000B0277"/>
    <w:rsid w:val="000B030B"/>
    <w:rsid w:val="000B0B57"/>
    <w:rsid w:val="000B0D21"/>
    <w:rsid w:val="000B19AB"/>
    <w:rsid w:val="000B23B0"/>
    <w:rsid w:val="000B247E"/>
    <w:rsid w:val="000B268A"/>
    <w:rsid w:val="000B26D9"/>
    <w:rsid w:val="000B2ED7"/>
    <w:rsid w:val="000B306A"/>
    <w:rsid w:val="000B388A"/>
    <w:rsid w:val="000B3898"/>
    <w:rsid w:val="000B4363"/>
    <w:rsid w:val="000B4BEA"/>
    <w:rsid w:val="000B4BFB"/>
    <w:rsid w:val="000B5BC5"/>
    <w:rsid w:val="000B62CB"/>
    <w:rsid w:val="000B674E"/>
    <w:rsid w:val="000B6FB0"/>
    <w:rsid w:val="000B7187"/>
    <w:rsid w:val="000B781F"/>
    <w:rsid w:val="000B7883"/>
    <w:rsid w:val="000C0565"/>
    <w:rsid w:val="000C0732"/>
    <w:rsid w:val="000C1BD3"/>
    <w:rsid w:val="000C1EB5"/>
    <w:rsid w:val="000C2C70"/>
    <w:rsid w:val="000C4AFA"/>
    <w:rsid w:val="000C4BA2"/>
    <w:rsid w:val="000C4FFE"/>
    <w:rsid w:val="000C50E1"/>
    <w:rsid w:val="000C5530"/>
    <w:rsid w:val="000C5DB1"/>
    <w:rsid w:val="000C60B5"/>
    <w:rsid w:val="000C6719"/>
    <w:rsid w:val="000C6812"/>
    <w:rsid w:val="000C6D42"/>
    <w:rsid w:val="000C6FF6"/>
    <w:rsid w:val="000C7076"/>
    <w:rsid w:val="000C711F"/>
    <w:rsid w:val="000D0974"/>
    <w:rsid w:val="000D0C08"/>
    <w:rsid w:val="000D11C7"/>
    <w:rsid w:val="000D16B1"/>
    <w:rsid w:val="000D198C"/>
    <w:rsid w:val="000D2395"/>
    <w:rsid w:val="000D26E3"/>
    <w:rsid w:val="000D2FF0"/>
    <w:rsid w:val="000D3507"/>
    <w:rsid w:val="000D3675"/>
    <w:rsid w:val="000D41FA"/>
    <w:rsid w:val="000D4299"/>
    <w:rsid w:val="000D429C"/>
    <w:rsid w:val="000D4674"/>
    <w:rsid w:val="000D47E8"/>
    <w:rsid w:val="000D4A5B"/>
    <w:rsid w:val="000D4BFB"/>
    <w:rsid w:val="000D509C"/>
    <w:rsid w:val="000D5714"/>
    <w:rsid w:val="000D63A9"/>
    <w:rsid w:val="000D677E"/>
    <w:rsid w:val="000D69A9"/>
    <w:rsid w:val="000D6C3E"/>
    <w:rsid w:val="000D71ED"/>
    <w:rsid w:val="000D7E1B"/>
    <w:rsid w:val="000E05B0"/>
    <w:rsid w:val="000E098A"/>
    <w:rsid w:val="000E0F03"/>
    <w:rsid w:val="000E1212"/>
    <w:rsid w:val="000E19B2"/>
    <w:rsid w:val="000E1DAB"/>
    <w:rsid w:val="000E1F02"/>
    <w:rsid w:val="000E22CC"/>
    <w:rsid w:val="000E254D"/>
    <w:rsid w:val="000E2D91"/>
    <w:rsid w:val="000E306E"/>
    <w:rsid w:val="000E35E3"/>
    <w:rsid w:val="000E3752"/>
    <w:rsid w:val="000E3807"/>
    <w:rsid w:val="000E384E"/>
    <w:rsid w:val="000E40C5"/>
    <w:rsid w:val="000E4469"/>
    <w:rsid w:val="000E4749"/>
    <w:rsid w:val="000E50CE"/>
    <w:rsid w:val="000E54AF"/>
    <w:rsid w:val="000E5C02"/>
    <w:rsid w:val="000E5F6B"/>
    <w:rsid w:val="000E5F72"/>
    <w:rsid w:val="000E74A1"/>
    <w:rsid w:val="000E7607"/>
    <w:rsid w:val="000F0052"/>
    <w:rsid w:val="000F0928"/>
    <w:rsid w:val="000F1CD9"/>
    <w:rsid w:val="000F2665"/>
    <w:rsid w:val="000F2725"/>
    <w:rsid w:val="000F2A81"/>
    <w:rsid w:val="000F2BA3"/>
    <w:rsid w:val="000F3D3D"/>
    <w:rsid w:val="000F3F7B"/>
    <w:rsid w:val="000F45C0"/>
    <w:rsid w:val="000F52EC"/>
    <w:rsid w:val="000F57D6"/>
    <w:rsid w:val="000F651F"/>
    <w:rsid w:val="000F6633"/>
    <w:rsid w:val="000F678B"/>
    <w:rsid w:val="000F6B62"/>
    <w:rsid w:val="000F6CF6"/>
    <w:rsid w:val="000F710B"/>
    <w:rsid w:val="000F71A7"/>
    <w:rsid w:val="000F7A72"/>
    <w:rsid w:val="001005EF"/>
    <w:rsid w:val="00100A2A"/>
    <w:rsid w:val="00100A9F"/>
    <w:rsid w:val="00101164"/>
    <w:rsid w:val="0010171B"/>
    <w:rsid w:val="0010208B"/>
    <w:rsid w:val="001021C6"/>
    <w:rsid w:val="00102A52"/>
    <w:rsid w:val="00102B21"/>
    <w:rsid w:val="00102D0A"/>
    <w:rsid w:val="00102F7C"/>
    <w:rsid w:val="00103F20"/>
    <w:rsid w:val="00104B21"/>
    <w:rsid w:val="001053B6"/>
    <w:rsid w:val="00105534"/>
    <w:rsid w:val="00105D1F"/>
    <w:rsid w:val="00106CFA"/>
    <w:rsid w:val="0011037E"/>
    <w:rsid w:val="00110655"/>
    <w:rsid w:val="00110856"/>
    <w:rsid w:val="00111132"/>
    <w:rsid w:val="00111963"/>
    <w:rsid w:val="00111F55"/>
    <w:rsid w:val="00111FF6"/>
    <w:rsid w:val="00112055"/>
    <w:rsid w:val="00112174"/>
    <w:rsid w:val="00112A7F"/>
    <w:rsid w:val="00112C89"/>
    <w:rsid w:val="00112F31"/>
    <w:rsid w:val="001131CC"/>
    <w:rsid w:val="00113377"/>
    <w:rsid w:val="00113456"/>
    <w:rsid w:val="0011395E"/>
    <w:rsid w:val="00113CE3"/>
    <w:rsid w:val="0011418D"/>
    <w:rsid w:val="00114308"/>
    <w:rsid w:val="001143B1"/>
    <w:rsid w:val="001143DC"/>
    <w:rsid w:val="00114D32"/>
    <w:rsid w:val="00114FC5"/>
    <w:rsid w:val="001151EE"/>
    <w:rsid w:val="0011544E"/>
    <w:rsid w:val="00115A44"/>
    <w:rsid w:val="0011612E"/>
    <w:rsid w:val="00116A38"/>
    <w:rsid w:val="001177E0"/>
    <w:rsid w:val="001177FF"/>
    <w:rsid w:val="001178BA"/>
    <w:rsid w:val="00117ABA"/>
    <w:rsid w:val="00117FB5"/>
    <w:rsid w:val="00120C1F"/>
    <w:rsid w:val="00121403"/>
    <w:rsid w:val="001219E4"/>
    <w:rsid w:val="00122320"/>
    <w:rsid w:val="0012238B"/>
    <w:rsid w:val="0012239A"/>
    <w:rsid w:val="00122E46"/>
    <w:rsid w:val="00123030"/>
    <w:rsid w:val="001230CB"/>
    <w:rsid w:val="001230E3"/>
    <w:rsid w:val="00123D19"/>
    <w:rsid w:val="00123E88"/>
    <w:rsid w:val="00124130"/>
    <w:rsid w:val="00124288"/>
    <w:rsid w:val="00124772"/>
    <w:rsid w:val="00124990"/>
    <w:rsid w:val="00125147"/>
    <w:rsid w:val="0012581E"/>
    <w:rsid w:val="001258D0"/>
    <w:rsid w:val="00126288"/>
    <w:rsid w:val="001272FD"/>
    <w:rsid w:val="001276F6"/>
    <w:rsid w:val="00127FAB"/>
    <w:rsid w:val="001300AF"/>
    <w:rsid w:val="001301BD"/>
    <w:rsid w:val="0013032B"/>
    <w:rsid w:val="001304C5"/>
    <w:rsid w:val="00130F96"/>
    <w:rsid w:val="0013109D"/>
    <w:rsid w:val="001321EB"/>
    <w:rsid w:val="00132414"/>
    <w:rsid w:val="0013270E"/>
    <w:rsid w:val="00132C99"/>
    <w:rsid w:val="00132E05"/>
    <w:rsid w:val="0013340B"/>
    <w:rsid w:val="001335A3"/>
    <w:rsid w:val="00133B96"/>
    <w:rsid w:val="00133CD6"/>
    <w:rsid w:val="00134147"/>
    <w:rsid w:val="0013442C"/>
    <w:rsid w:val="001347A9"/>
    <w:rsid w:val="00134C9E"/>
    <w:rsid w:val="00134F67"/>
    <w:rsid w:val="00135382"/>
    <w:rsid w:val="00135AEA"/>
    <w:rsid w:val="001361BF"/>
    <w:rsid w:val="00136286"/>
    <w:rsid w:val="00136AE9"/>
    <w:rsid w:val="0013705F"/>
    <w:rsid w:val="0013715C"/>
    <w:rsid w:val="00137433"/>
    <w:rsid w:val="001378B1"/>
    <w:rsid w:val="0013793E"/>
    <w:rsid w:val="00137A15"/>
    <w:rsid w:val="00137AAB"/>
    <w:rsid w:val="00137C84"/>
    <w:rsid w:val="00137D81"/>
    <w:rsid w:val="00137E4D"/>
    <w:rsid w:val="0014042A"/>
    <w:rsid w:val="0014048E"/>
    <w:rsid w:val="00140610"/>
    <w:rsid w:val="00140DC7"/>
    <w:rsid w:val="00140E4C"/>
    <w:rsid w:val="00140F64"/>
    <w:rsid w:val="00141013"/>
    <w:rsid w:val="001411FE"/>
    <w:rsid w:val="00141A6C"/>
    <w:rsid w:val="00141DD9"/>
    <w:rsid w:val="00141EA3"/>
    <w:rsid w:val="001422DF"/>
    <w:rsid w:val="00142974"/>
    <w:rsid w:val="00142FEE"/>
    <w:rsid w:val="00142FFF"/>
    <w:rsid w:val="001435DE"/>
    <w:rsid w:val="001436C9"/>
    <w:rsid w:val="001437EF"/>
    <w:rsid w:val="00144326"/>
    <w:rsid w:val="001448BD"/>
    <w:rsid w:val="00144C63"/>
    <w:rsid w:val="00144D22"/>
    <w:rsid w:val="001458E4"/>
    <w:rsid w:val="0014599C"/>
    <w:rsid w:val="00146261"/>
    <w:rsid w:val="00146993"/>
    <w:rsid w:val="00146D41"/>
    <w:rsid w:val="00146E29"/>
    <w:rsid w:val="001471BF"/>
    <w:rsid w:val="001479E0"/>
    <w:rsid w:val="00147F5D"/>
    <w:rsid w:val="0015039A"/>
    <w:rsid w:val="00150612"/>
    <w:rsid w:val="00150793"/>
    <w:rsid w:val="00150C88"/>
    <w:rsid w:val="0015102E"/>
    <w:rsid w:val="00151756"/>
    <w:rsid w:val="0015247D"/>
    <w:rsid w:val="001525BD"/>
    <w:rsid w:val="001528BC"/>
    <w:rsid w:val="00152AB7"/>
    <w:rsid w:val="00152CAE"/>
    <w:rsid w:val="00153377"/>
    <w:rsid w:val="00153504"/>
    <w:rsid w:val="0015351B"/>
    <w:rsid w:val="0015384E"/>
    <w:rsid w:val="00153BFA"/>
    <w:rsid w:val="0015444A"/>
    <w:rsid w:val="00155317"/>
    <w:rsid w:val="00155323"/>
    <w:rsid w:val="001555CB"/>
    <w:rsid w:val="001556D0"/>
    <w:rsid w:val="00155725"/>
    <w:rsid w:val="00155F92"/>
    <w:rsid w:val="00156723"/>
    <w:rsid w:val="00156A39"/>
    <w:rsid w:val="00156E62"/>
    <w:rsid w:val="001571D9"/>
    <w:rsid w:val="0015762B"/>
    <w:rsid w:val="00160AF2"/>
    <w:rsid w:val="001611FB"/>
    <w:rsid w:val="001615CD"/>
    <w:rsid w:val="00161B93"/>
    <w:rsid w:val="001621F6"/>
    <w:rsid w:val="00162557"/>
    <w:rsid w:val="0016274F"/>
    <w:rsid w:val="0016296B"/>
    <w:rsid w:val="00162C73"/>
    <w:rsid w:val="00162E1D"/>
    <w:rsid w:val="0016315D"/>
    <w:rsid w:val="00163860"/>
    <w:rsid w:val="00163A32"/>
    <w:rsid w:val="00163B1C"/>
    <w:rsid w:val="0016441B"/>
    <w:rsid w:val="00164BF1"/>
    <w:rsid w:val="00164C4D"/>
    <w:rsid w:val="00164CC0"/>
    <w:rsid w:val="00164F29"/>
    <w:rsid w:val="00164F41"/>
    <w:rsid w:val="001652AC"/>
    <w:rsid w:val="0016664F"/>
    <w:rsid w:val="00166A2C"/>
    <w:rsid w:val="00166D15"/>
    <w:rsid w:val="00167D75"/>
    <w:rsid w:val="00167E4D"/>
    <w:rsid w:val="00170657"/>
    <w:rsid w:val="00171912"/>
    <w:rsid w:val="0017225F"/>
    <w:rsid w:val="00172E5C"/>
    <w:rsid w:val="00173058"/>
    <w:rsid w:val="0017311B"/>
    <w:rsid w:val="00173776"/>
    <w:rsid w:val="001737C0"/>
    <w:rsid w:val="001738CA"/>
    <w:rsid w:val="001738DA"/>
    <w:rsid w:val="00173C45"/>
    <w:rsid w:val="00173CF4"/>
    <w:rsid w:val="00173DF1"/>
    <w:rsid w:val="00174085"/>
    <w:rsid w:val="001754A4"/>
    <w:rsid w:val="0017598A"/>
    <w:rsid w:val="00175A3C"/>
    <w:rsid w:val="001764A9"/>
    <w:rsid w:val="00176A8C"/>
    <w:rsid w:val="00176C8B"/>
    <w:rsid w:val="0017746C"/>
    <w:rsid w:val="0017785B"/>
    <w:rsid w:val="001803B5"/>
    <w:rsid w:val="00180B64"/>
    <w:rsid w:val="001810C3"/>
    <w:rsid w:val="001810D4"/>
    <w:rsid w:val="00181137"/>
    <w:rsid w:val="0018115B"/>
    <w:rsid w:val="001813B8"/>
    <w:rsid w:val="001817C5"/>
    <w:rsid w:val="0018185C"/>
    <w:rsid w:val="001826C4"/>
    <w:rsid w:val="0018285F"/>
    <w:rsid w:val="00182A12"/>
    <w:rsid w:val="00182B5B"/>
    <w:rsid w:val="00182DB5"/>
    <w:rsid w:val="001830F9"/>
    <w:rsid w:val="00183408"/>
    <w:rsid w:val="001836B2"/>
    <w:rsid w:val="001836F9"/>
    <w:rsid w:val="00183AA1"/>
    <w:rsid w:val="001843C2"/>
    <w:rsid w:val="001843E5"/>
    <w:rsid w:val="00185093"/>
    <w:rsid w:val="001857FE"/>
    <w:rsid w:val="00185CAD"/>
    <w:rsid w:val="0018602D"/>
    <w:rsid w:val="00186100"/>
    <w:rsid w:val="0018653D"/>
    <w:rsid w:val="001868BC"/>
    <w:rsid w:val="00186EF9"/>
    <w:rsid w:val="00187C1C"/>
    <w:rsid w:val="0019001B"/>
    <w:rsid w:val="00190168"/>
    <w:rsid w:val="00190247"/>
    <w:rsid w:val="001907CC"/>
    <w:rsid w:val="00190C69"/>
    <w:rsid w:val="00192073"/>
    <w:rsid w:val="001937C3"/>
    <w:rsid w:val="00193F29"/>
    <w:rsid w:val="001947B1"/>
    <w:rsid w:val="00194845"/>
    <w:rsid w:val="00194910"/>
    <w:rsid w:val="00194EE9"/>
    <w:rsid w:val="001951C7"/>
    <w:rsid w:val="0019532A"/>
    <w:rsid w:val="00195B6E"/>
    <w:rsid w:val="00196686"/>
    <w:rsid w:val="0019682A"/>
    <w:rsid w:val="00196980"/>
    <w:rsid w:val="00196CB7"/>
    <w:rsid w:val="00196F36"/>
    <w:rsid w:val="001974EB"/>
    <w:rsid w:val="00197D5A"/>
    <w:rsid w:val="001A05FB"/>
    <w:rsid w:val="001A0748"/>
    <w:rsid w:val="001A0F39"/>
    <w:rsid w:val="001A1296"/>
    <w:rsid w:val="001A1553"/>
    <w:rsid w:val="001A167C"/>
    <w:rsid w:val="001A1DF4"/>
    <w:rsid w:val="001A1E7C"/>
    <w:rsid w:val="001A1F96"/>
    <w:rsid w:val="001A20DF"/>
    <w:rsid w:val="001A3B02"/>
    <w:rsid w:val="001A496D"/>
    <w:rsid w:val="001A4A43"/>
    <w:rsid w:val="001A53B9"/>
    <w:rsid w:val="001A56B2"/>
    <w:rsid w:val="001A57A0"/>
    <w:rsid w:val="001A5C96"/>
    <w:rsid w:val="001A61DF"/>
    <w:rsid w:val="001A67CB"/>
    <w:rsid w:val="001A6A9D"/>
    <w:rsid w:val="001A6CE7"/>
    <w:rsid w:val="001A6D62"/>
    <w:rsid w:val="001A7A51"/>
    <w:rsid w:val="001A7A69"/>
    <w:rsid w:val="001A7F27"/>
    <w:rsid w:val="001B094D"/>
    <w:rsid w:val="001B1E29"/>
    <w:rsid w:val="001B1EEF"/>
    <w:rsid w:val="001B2282"/>
    <w:rsid w:val="001B23D9"/>
    <w:rsid w:val="001B2793"/>
    <w:rsid w:val="001B2CB3"/>
    <w:rsid w:val="001B5860"/>
    <w:rsid w:val="001B58A7"/>
    <w:rsid w:val="001B5959"/>
    <w:rsid w:val="001B5B36"/>
    <w:rsid w:val="001B5F85"/>
    <w:rsid w:val="001B61C6"/>
    <w:rsid w:val="001B6C80"/>
    <w:rsid w:val="001B6CA3"/>
    <w:rsid w:val="001B6E7C"/>
    <w:rsid w:val="001B738F"/>
    <w:rsid w:val="001B7D1B"/>
    <w:rsid w:val="001B7D75"/>
    <w:rsid w:val="001B7F72"/>
    <w:rsid w:val="001C00E2"/>
    <w:rsid w:val="001C035C"/>
    <w:rsid w:val="001C0438"/>
    <w:rsid w:val="001C07E4"/>
    <w:rsid w:val="001C0870"/>
    <w:rsid w:val="001C0D83"/>
    <w:rsid w:val="001C0DF6"/>
    <w:rsid w:val="001C0E3F"/>
    <w:rsid w:val="001C0FCD"/>
    <w:rsid w:val="001C1162"/>
    <w:rsid w:val="001C12ED"/>
    <w:rsid w:val="001C1890"/>
    <w:rsid w:val="001C18BB"/>
    <w:rsid w:val="001C1B0B"/>
    <w:rsid w:val="001C1DBA"/>
    <w:rsid w:val="001C286C"/>
    <w:rsid w:val="001C2A82"/>
    <w:rsid w:val="001C34A1"/>
    <w:rsid w:val="001C3EB4"/>
    <w:rsid w:val="001C3EE7"/>
    <w:rsid w:val="001C4392"/>
    <w:rsid w:val="001C43CE"/>
    <w:rsid w:val="001C45BB"/>
    <w:rsid w:val="001C5509"/>
    <w:rsid w:val="001C5726"/>
    <w:rsid w:val="001C6213"/>
    <w:rsid w:val="001C67EC"/>
    <w:rsid w:val="001C6D46"/>
    <w:rsid w:val="001C6FD6"/>
    <w:rsid w:val="001C73E8"/>
    <w:rsid w:val="001C766F"/>
    <w:rsid w:val="001C768F"/>
    <w:rsid w:val="001C7D19"/>
    <w:rsid w:val="001C7D5E"/>
    <w:rsid w:val="001C7E4C"/>
    <w:rsid w:val="001C7F1B"/>
    <w:rsid w:val="001D02A6"/>
    <w:rsid w:val="001D0570"/>
    <w:rsid w:val="001D060B"/>
    <w:rsid w:val="001D0B1F"/>
    <w:rsid w:val="001D122D"/>
    <w:rsid w:val="001D1779"/>
    <w:rsid w:val="001D1925"/>
    <w:rsid w:val="001D1FB2"/>
    <w:rsid w:val="001D26A2"/>
    <w:rsid w:val="001D27FC"/>
    <w:rsid w:val="001D2DD1"/>
    <w:rsid w:val="001D2E9D"/>
    <w:rsid w:val="001D3AE9"/>
    <w:rsid w:val="001D4153"/>
    <w:rsid w:val="001D4917"/>
    <w:rsid w:val="001D4B1A"/>
    <w:rsid w:val="001D5143"/>
    <w:rsid w:val="001D5915"/>
    <w:rsid w:val="001D5A3C"/>
    <w:rsid w:val="001D5ADB"/>
    <w:rsid w:val="001D64F6"/>
    <w:rsid w:val="001D64FD"/>
    <w:rsid w:val="001D66F1"/>
    <w:rsid w:val="001D6F1D"/>
    <w:rsid w:val="001D724E"/>
    <w:rsid w:val="001D7719"/>
    <w:rsid w:val="001E0108"/>
    <w:rsid w:val="001E0F46"/>
    <w:rsid w:val="001E1222"/>
    <w:rsid w:val="001E24A3"/>
    <w:rsid w:val="001E26AF"/>
    <w:rsid w:val="001E26C4"/>
    <w:rsid w:val="001E2DA2"/>
    <w:rsid w:val="001E352F"/>
    <w:rsid w:val="001E379F"/>
    <w:rsid w:val="001E39F7"/>
    <w:rsid w:val="001E3EDB"/>
    <w:rsid w:val="001E3F18"/>
    <w:rsid w:val="001E3F2A"/>
    <w:rsid w:val="001E48E4"/>
    <w:rsid w:val="001E4F53"/>
    <w:rsid w:val="001E5593"/>
    <w:rsid w:val="001E560E"/>
    <w:rsid w:val="001E59B5"/>
    <w:rsid w:val="001E5F98"/>
    <w:rsid w:val="001E662E"/>
    <w:rsid w:val="001E6669"/>
    <w:rsid w:val="001E6957"/>
    <w:rsid w:val="001E6B4F"/>
    <w:rsid w:val="001E723C"/>
    <w:rsid w:val="001E7773"/>
    <w:rsid w:val="001E7BDD"/>
    <w:rsid w:val="001E7EEB"/>
    <w:rsid w:val="001F088B"/>
    <w:rsid w:val="001F239D"/>
    <w:rsid w:val="001F23D2"/>
    <w:rsid w:val="001F2647"/>
    <w:rsid w:val="001F2B4B"/>
    <w:rsid w:val="001F2DB9"/>
    <w:rsid w:val="001F2FEB"/>
    <w:rsid w:val="001F32E9"/>
    <w:rsid w:val="001F37FC"/>
    <w:rsid w:val="001F4748"/>
    <w:rsid w:val="001F4F88"/>
    <w:rsid w:val="001F51DD"/>
    <w:rsid w:val="001F5406"/>
    <w:rsid w:val="001F5636"/>
    <w:rsid w:val="001F5A22"/>
    <w:rsid w:val="001F5EA9"/>
    <w:rsid w:val="001F6016"/>
    <w:rsid w:val="001F60CE"/>
    <w:rsid w:val="001F613C"/>
    <w:rsid w:val="001F617D"/>
    <w:rsid w:val="001F626B"/>
    <w:rsid w:val="001F6F5A"/>
    <w:rsid w:val="001F7349"/>
    <w:rsid w:val="001F7358"/>
    <w:rsid w:val="001F7670"/>
    <w:rsid w:val="001F772A"/>
    <w:rsid w:val="001F78DC"/>
    <w:rsid w:val="001F7900"/>
    <w:rsid w:val="001F79B1"/>
    <w:rsid w:val="001F7BDD"/>
    <w:rsid w:val="00200187"/>
    <w:rsid w:val="00200195"/>
    <w:rsid w:val="00201873"/>
    <w:rsid w:val="00201AFA"/>
    <w:rsid w:val="002025C9"/>
    <w:rsid w:val="00202F36"/>
    <w:rsid w:val="00203B5E"/>
    <w:rsid w:val="00203E42"/>
    <w:rsid w:val="002040D9"/>
    <w:rsid w:val="002041F1"/>
    <w:rsid w:val="00204997"/>
    <w:rsid w:val="002049AD"/>
    <w:rsid w:val="00204ACC"/>
    <w:rsid w:val="002056FD"/>
    <w:rsid w:val="00205F99"/>
    <w:rsid w:val="00206060"/>
    <w:rsid w:val="002069BD"/>
    <w:rsid w:val="0020745D"/>
    <w:rsid w:val="00207C1F"/>
    <w:rsid w:val="002104F8"/>
    <w:rsid w:val="002106B6"/>
    <w:rsid w:val="00210A24"/>
    <w:rsid w:val="00211265"/>
    <w:rsid w:val="002119DE"/>
    <w:rsid w:val="00211AD6"/>
    <w:rsid w:val="00212599"/>
    <w:rsid w:val="0021397E"/>
    <w:rsid w:val="00213BF6"/>
    <w:rsid w:val="00214014"/>
    <w:rsid w:val="0021451E"/>
    <w:rsid w:val="00214F38"/>
    <w:rsid w:val="0021505F"/>
    <w:rsid w:val="002157A4"/>
    <w:rsid w:val="002159FE"/>
    <w:rsid w:val="00216D9F"/>
    <w:rsid w:val="00216ECC"/>
    <w:rsid w:val="00217724"/>
    <w:rsid w:val="002177B7"/>
    <w:rsid w:val="00217829"/>
    <w:rsid w:val="00217839"/>
    <w:rsid w:val="0022098B"/>
    <w:rsid w:val="002212D8"/>
    <w:rsid w:val="00221FBC"/>
    <w:rsid w:val="002225B1"/>
    <w:rsid w:val="00222DED"/>
    <w:rsid w:val="00223F1C"/>
    <w:rsid w:val="00224113"/>
    <w:rsid w:val="00224EAB"/>
    <w:rsid w:val="0022587B"/>
    <w:rsid w:val="00225975"/>
    <w:rsid w:val="00225997"/>
    <w:rsid w:val="002260DD"/>
    <w:rsid w:val="002269BC"/>
    <w:rsid w:val="00226AE6"/>
    <w:rsid w:val="00226C6E"/>
    <w:rsid w:val="002275E7"/>
    <w:rsid w:val="00227A2A"/>
    <w:rsid w:val="00230186"/>
    <w:rsid w:val="002306A9"/>
    <w:rsid w:val="00230EDA"/>
    <w:rsid w:val="0023114E"/>
    <w:rsid w:val="00231218"/>
    <w:rsid w:val="002318BD"/>
    <w:rsid w:val="002319D6"/>
    <w:rsid w:val="00231FB0"/>
    <w:rsid w:val="00232333"/>
    <w:rsid w:val="00232752"/>
    <w:rsid w:val="00233883"/>
    <w:rsid w:val="002346CB"/>
    <w:rsid w:val="00235383"/>
    <w:rsid w:val="002357B3"/>
    <w:rsid w:val="0023589C"/>
    <w:rsid w:val="00235BB2"/>
    <w:rsid w:val="002361BB"/>
    <w:rsid w:val="002367C5"/>
    <w:rsid w:val="00236AFD"/>
    <w:rsid w:val="0023704B"/>
    <w:rsid w:val="002374B8"/>
    <w:rsid w:val="00237A43"/>
    <w:rsid w:val="00240827"/>
    <w:rsid w:val="00241EDB"/>
    <w:rsid w:val="002421EA"/>
    <w:rsid w:val="0024230C"/>
    <w:rsid w:val="00242E73"/>
    <w:rsid w:val="0024314F"/>
    <w:rsid w:val="00243E06"/>
    <w:rsid w:val="00244144"/>
    <w:rsid w:val="00244657"/>
    <w:rsid w:val="00244C40"/>
    <w:rsid w:val="00244CBF"/>
    <w:rsid w:val="00244D48"/>
    <w:rsid w:val="00244D71"/>
    <w:rsid w:val="00245426"/>
    <w:rsid w:val="002459D0"/>
    <w:rsid w:val="00245F74"/>
    <w:rsid w:val="002462C6"/>
    <w:rsid w:val="0024637A"/>
    <w:rsid w:val="00246801"/>
    <w:rsid w:val="002472A3"/>
    <w:rsid w:val="002476FB"/>
    <w:rsid w:val="00247DE4"/>
    <w:rsid w:val="00247EDF"/>
    <w:rsid w:val="002508E4"/>
    <w:rsid w:val="00250E98"/>
    <w:rsid w:val="00250EE5"/>
    <w:rsid w:val="00251E07"/>
    <w:rsid w:val="002522D4"/>
    <w:rsid w:val="00252AF1"/>
    <w:rsid w:val="00252B9D"/>
    <w:rsid w:val="00252C75"/>
    <w:rsid w:val="00252D8B"/>
    <w:rsid w:val="00252FE7"/>
    <w:rsid w:val="00253494"/>
    <w:rsid w:val="00253B2D"/>
    <w:rsid w:val="0025473F"/>
    <w:rsid w:val="00254DEB"/>
    <w:rsid w:val="002559D9"/>
    <w:rsid w:val="00256345"/>
    <w:rsid w:val="002564A5"/>
    <w:rsid w:val="002567D8"/>
    <w:rsid w:val="002568EC"/>
    <w:rsid w:val="00256BF3"/>
    <w:rsid w:val="00256CD0"/>
    <w:rsid w:val="0025724C"/>
    <w:rsid w:val="00257A0E"/>
    <w:rsid w:val="00257F1A"/>
    <w:rsid w:val="002609FD"/>
    <w:rsid w:val="00260D00"/>
    <w:rsid w:val="00260F64"/>
    <w:rsid w:val="002612EF"/>
    <w:rsid w:val="0026156C"/>
    <w:rsid w:val="00262560"/>
    <w:rsid w:val="002627F6"/>
    <w:rsid w:val="00262B75"/>
    <w:rsid w:val="00262C3A"/>
    <w:rsid w:val="00262EFB"/>
    <w:rsid w:val="00262F12"/>
    <w:rsid w:val="00263511"/>
    <w:rsid w:val="002639DC"/>
    <w:rsid w:val="00263D5F"/>
    <w:rsid w:val="002642EC"/>
    <w:rsid w:val="00264654"/>
    <w:rsid w:val="00264CA8"/>
    <w:rsid w:val="00264FBD"/>
    <w:rsid w:val="00264FFE"/>
    <w:rsid w:val="00265340"/>
    <w:rsid w:val="002657DC"/>
    <w:rsid w:val="002659F7"/>
    <w:rsid w:val="00265A90"/>
    <w:rsid w:val="00265F50"/>
    <w:rsid w:val="00266042"/>
    <w:rsid w:val="002662C8"/>
    <w:rsid w:val="002666DA"/>
    <w:rsid w:val="00266D0D"/>
    <w:rsid w:val="00267A39"/>
    <w:rsid w:val="00267BE9"/>
    <w:rsid w:val="002703D5"/>
    <w:rsid w:val="002703DE"/>
    <w:rsid w:val="00270855"/>
    <w:rsid w:val="00270F7C"/>
    <w:rsid w:val="002710C6"/>
    <w:rsid w:val="002715C1"/>
    <w:rsid w:val="0027221A"/>
    <w:rsid w:val="0027277B"/>
    <w:rsid w:val="00272812"/>
    <w:rsid w:val="00272F36"/>
    <w:rsid w:val="00273246"/>
    <w:rsid w:val="0027394D"/>
    <w:rsid w:val="00273CD6"/>
    <w:rsid w:val="00273D1A"/>
    <w:rsid w:val="002744EE"/>
    <w:rsid w:val="002753C0"/>
    <w:rsid w:val="00275A33"/>
    <w:rsid w:val="002762D8"/>
    <w:rsid w:val="00276D02"/>
    <w:rsid w:val="00276E0C"/>
    <w:rsid w:val="00276EE2"/>
    <w:rsid w:val="0027722D"/>
    <w:rsid w:val="00277665"/>
    <w:rsid w:val="00277DE9"/>
    <w:rsid w:val="00277E1E"/>
    <w:rsid w:val="00280475"/>
    <w:rsid w:val="00280B14"/>
    <w:rsid w:val="00281044"/>
    <w:rsid w:val="00281304"/>
    <w:rsid w:val="0028135D"/>
    <w:rsid w:val="002814EC"/>
    <w:rsid w:val="0028246E"/>
    <w:rsid w:val="0028263F"/>
    <w:rsid w:val="0028265A"/>
    <w:rsid w:val="00282A71"/>
    <w:rsid w:val="00282B4A"/>
    <w:rsid w:val="00282B7D"/>
    <w:rsid w:val="00282C97"/>
    <w:rsid w:val="0028310A"/>
    <w:rsid w:val="0028387D"/>
    <w:rsid w:val="00283AC6"/>
    <w:rsid w:val="0028405D"/>
    <w:rsid w:val="00284904"/>
    <w:rsid w:val="00284E67"/>
    <w:rsid w:val="00285C51"/>
    <w:rsid w:val="00285F82"/>
    <w:rsid w:val="002867AE"/>
    <w:rsid w:val="00286C3B"/>
    <w:rsid w:val="00286D7B"/>
    <w:rsid w:val="00286DEA"/>
    <w:rsid w:val="00286F88"/>
    <w:rsid w:val="0028705D"/>
    <w:rsid w:val="002878EE"/>
    <w:rsid w:val="00287BA5"/>
    <w:rsid w:val="00290013"/>
    <w:rsid w:val="002902AD"/>
    <w:rsid w:val="0029049D"/>
    <w:rsid w:val="00290599"/>
    <w:rsid w:val="0029077D"/>
    <w:rsid w:val="00290E2E"/>
    <w:rsid w:val="0029103E"/>
    <w:rsid w:val="00291D43"/>
    <w:rsid w:val="00291E7A"/>
    <w:rsid w:val="00291FBB"/>
    <w:rsid w:val="00292773"/>
    <w:rsid w:val="00292814"/>
    <w:rsid w:val="00293036"/>
    <w:rsid w:val="00293387"/>
    <w:rsid w:val="002941A2"/>
    <w:rsid w:val="00294366"/>
    <w:rsid w:val="0029466F"/>
    <w:rsid w:val="00294991"/>
    <w:rsid w:val="00294F8F"/>
    <w:rsid w:val="00295313"/>
    <w:rsid w:val="00295E61"/>
    <w:rsid w:val="002962C0"/>
    <w:rsid w:val="00296463"/>
    <w:rsid w:val="00296ED1"/>
    <w:rsid w:val="002972F5"/>
    <w:rsid w:val="002A009C"/>
    <w:rsid w:val="002A0168"/>
    <w:rsid w:val="002A0500"/>
    <w:rsid w:val="002A0D6C"/>
    <w:rsid w:val="002A0EC8"/>
    <w:rsid w:val="002A15CC"/>
    <w:rsid w:val="002A1BC9"/>
    <w:rsid w:val="002A1F8D"/>
    <w:rsid w:val="002A2549"/>
    <w:rsid w:val="002A25B3"/>
    <w:rsid w:val="002A2801"/>
    <w:rsid w:val="002A2C1D"/>
    <w:rsid w:val="002A2DF8"/>
    <w:rsid w:val="002A2F5C"/>
    <w:rsid w:val="002A2FCE"/>
    <w:rsid w:val="002A38F4"/>
    <w:rsid w:val="002A3A4F"/>
    <w:rsid w:val="002A3EE7"/>
    <w:rsid w:val="002A3FB4"/>
    <w:rsid w:val="002A43C9"/>
    <w:rsid w:val="002A459C"/>
    <w:rsid w:val="002A4667"/>
    <w:rsid w:val="002A494C"/>
    <w:rsid w:val="002A5662"/>
    <w:rsid w:val="002A57A3"/>
    <w:rsid w:val="002A58B3"/>
    <w:rsid w:val="002A5D46"/>
    <w:rsid w:val="002A5DA3"/>
    <w:rsid w:val="002A62DA"/>
    <w:rsid w:val="002A6433"/>
    <w:rsid w:val="002A687C"/>
    <w:rsid w:val="002A6ADE"/>
    <w:rsid w:val="002A6BE9"/>
    <w:rsid w:val="002A7B4E"/>
    <w:rsid w:val="002B062D"/>
    <w:rsid w:val="002B08B2"/>
    <w:rsid w:val="002B0DDB"/>
    <w:rsid w:val="002B0F11"/>
    <w:rsid w:val="002B14C7"/>
    <w:rsid w:val="002B1F9D"/>
    <w:rsid w:val="002B1FA8"/>
    <w:rsid w:val="002B2196"/>
    <w:rsid w:val="002B2394"/>
    <w:rsid w:val="002B254C"/>
    <w:rsid w:val="002B25EA"/>
    <w:rsid w:val="002B2F9E"/>
    <w:rsid w:val="002B2FD3"/>
    <w:rsid w:val="002B355A"/>
    <w:rsid w:val="002B3738"/>
    <w:rsid w:val="002B37C0"/>
    <w:rsid w:val="002B3928"/>
    <w:rsid w:val="002B47DC"/>
    <w:rsid w:val="002B4B54"/>
    <w:rsid w:val="002B4F76"/>
    <w:rsid w:val="002B50D5"/>
    <w:rsid w:val="002B5217"/>
    <w:rsid w:val="002B5444"/>
    <w:rsid w:val="002B571E"/>
    <w:rsid w:val="002B57F1"/>
    <w:rsid w:val="002B64C8"/>
    <w:rsid w:val="002B7683"/>
    <w:rsid w:val="002C033C"/>
    <w:rsid w:val="002C0473"/>
    <w:rsid w:val="002C0E49"/>
    <w:rsid w:val="002C0EC7"/>
    <w:rsid w:val="002C193C"/>
    <w:rsid w:val="002C19A0"/>
    <w:rsid w:val="002C1AB3"/>
    <w:rsid w:val="002C229F"/>
    <w:rsid w:val="002C2350"/>
    <w:rsid w:val="002C286D"/>
    <w:rsid w:val="002C29A1"/>
    <w:rsid w:val="002C2AF7"/>
    <w:rsid w:val="002C2E16"/>
    <w:rsid w:val="002C3099"/>
    <w:rsid w:val="002C3112"/>
    <w:rsid w:val="002C39B1"/>
    <w:rsid w:val="002C3C3D"/>
    <w:rsid w:val="002C3CC4"/>
    <w:rsid w:val="002C3FB2"/>
    <w:rsid w:val="002C42BF"/>
    <w:rsid w:val="002C4A1F"/>
    <w:rsid w:val="002C4D07"/>
    <w:rsid w:val="002C593C"/>
    <w:rsid w:val="002C599F"/>
    <w:rsid w:val="002C5F49"/>
    <w:rsid w:val="002C67F4"/>
    <w:rsid w:val="002C6D90"/>
    <w:rsid w:val="002C78CE"/>
    <w:rsid w:val="002C7B7F"/>
    <w:rsid w:val="002C7BE7"/>
    <w:rsid w:val="002C7CBC"/>
    <w:rsid w:val="002D03B1"/>
    <w:rsid w:val="002D12F7"/>
    <w:rsid w:val="002D1DAA"/>
    <w:rsid w:val="002D1F42"/>
    <w:rsid w:val="002D2410"/>
    <w:rsid w:val="002D2548"/>
    <w:rsid w:val="002D2605"/>
    <w:rsid w:val="002D2A65"/>
    <w:rsid w:val="002D2CE8"/>
    <w:rsid w:val="002D2D44"/>
    <w:rsid w:val="002D2E43"/>
    <w:rsid w:val="002D34A2"/>
    <w:rsid w:val="002D351E"/>
    <w:rsid w:val="002D368F"/>
    <w:rsid w:val="002D3C25"/>
    <w:rsid w:val="002D3F22"/>
    <w:rsid w:val="002D400B"/>
    <w:rsid w:val="002D4155"/>
    <w:rsid w:val="002D4797"/>
    <w:rsid w:val="002D4CB2"/>
    <w:rsid w:val="002D502E"/>
    <w:rsid w:val="002D514C"/>
    <w:rsid w:val="002D57A0"/>
    <w:rsid w:val="002D5A69"/>
    <w:rsid w:val="002D5CE5"/>
    <w:rsid w:val="002D5CEC"/>
    <w:rsid w:val="002D5EA3"/>
    <w:rsid w:val="002D5F9F"/>
    <w:rsid w:val="002D5FBB"/>
    <w:rsid w:val="002D5FC9"/>
    <w:rsid w:val="002D626C"/>
    <w:rsid w:val="002D7CB8"/>
    <w:rsid w:val="002D7CD1"/>
    <w:rsid w:val="002D7D40"/>
    <w:rsid w:val="002E03CF"/>
    <w:rsid w:val="002E0F47"/>
    <w:rsid w:val="002E11B2"/>
    <w:rsid w:val="002E151B"/>
    <w:rsid w:val="002E1657"/>
    <w:rsid w:val="002E18AE"/>
    <w:rsid w:val="002E1A84"/>
    <w:rsid w:val="002E1D22"/>
    <w:rsid w:val="002E21BD"/>
    <w:rsid w:val="002E350D"/>
    <w:rsid w:val="002E37A0"/>
    <w:rsid w:val="002E395D"/>
    <w:rsid w:val="002E40B5"/>
    <w:rsid w:val="002E47F0"/>
    <w:rsid w:val="002E494B"/>
    <w:rsid w:val="002E49C3"/>
    <w:rsid w:val="002E4AC1"/>
    <w:rsid w:val="002E4FED"/>
    <w:rsid w:val="002E5187"/>
    <w:rsid w:val="002E5EBC"/>
    <w:rsid w:val="002E5F24"/>
    <w:rsid w:val="002E5F46"/>
    <w:rsid w:val="002E64C3"/>
    <w:rsid w:val="002E66C5"/>
    <w:rsid w:val="002E6A2A"/>
    <w:rsid w:val="002E7281"/>
    <w:rsid w:val="002E7550"/>
    <w:rsid w:val="002E7689"/>
    <w:rsid w:val="002F00B3"/>
    <w:rsid w:val="002F0579"/>
    <w:rsid w:val="002F05F0"/>
    <w:rsid w:val="002F194F"/>
    <w:rsid w:val="002F19EB"/>
    <w:rsid w:val="002F1C72"/>
    <w:rsid w:val="002F1F71"/>
    <w:rsid w:val="002F250F"/>
    <w:rsid w:val="002F3158"/>
    <w:rsid w:val="002F31F8"/>
    <w:rsid w:val="002F3A19"/>
    <w:rsid w:val="002F3ADA"/>
    <w:rsid w:val="002F4479"/>
    <w:rsid w:val="002F4805"/>
    <w:rsid w:val="002F5190"/>
    <w:rsid w:val="002F5454"/>
    <w:rsid w:val="002F5E16"/>
    <w:rsid w:val="002F6538"/>
    <w:rsid w:val="002F773D"/>
    <w:rsid w:val="0030063F"/>
    <w:rsid w:val="003009BF"/>
    <w:rsid w:val="00301916"/>
    <w:rsid w:val="00302198"/>
    <w:rsid w:val="003025B6"/>
    <w:rsid w:val="003025FC"/>
    <w:rsid w:val="00302B78"/>
    <w:rsid w:val="00302E0D"/>
    <w:rsid w:val="00303928"/>
    <w:rsid w:val="00303A85"/>
    <w:rsid w:val="00303E2A"/>
    <w:rsid w:val="00303E81"/>
    <w:rsid w:val="00304762"/>
    <w:rsid w:val="00304A59"/>
    <w:rsid w:val="00305518"/>
    <w:rsid w:val="00305B25"/>
    <w:rsid w:val="003066B3"/>
    <w:rsid w:val="003069D6"/>
    <w:rsid w:val="00306E2F"/>
    <w:rsid w:val="00307AA8"/>
    <w:rsid w:val="00307C9C"/>
    <w:rsid w:val="00307E27"/>
    <w:rsid w:val="00310231"/>
    <w:rsid w:val="00310784"/>
    <w:rsid w:val="00310C76"/>
    <w:rsid w:val="00311011"/>
    <w:rsid w:val="003112DE"/>
    <w:rsid w:val="0031193C"/>
    <w:rsid w:val="0031222D"/>
    <w:rsid w:val="00313369"/>
    <w:rsid w:val="0031351A"/>
    <w:rsid w:val="0031389F"/>
    <w:rsid w:val="00313990"/>
    <w:rsid w:val="00313EC2"/>
    <w:rsid w:val="003140CA"/>
    <w:rsid w:val="00314806"/>
    <w:rsid w:val="0031597B"/>
    <w:rsid w:val="00315DBB"/>
    <w:rsid w:val="00315E6B"/>
    <w:rsid w:val="0031605C"/>
    <w:rsid w:val="00316130"/>
    <w:rsid w:val="0031649F"/>
    <w:rsid w:val="00316D83"/>
    <w:rsid w:val="00317CFC"/>
    <w:rsid w:val="003201E3"/>
    <w:rsid w:val="00320357"/>
    <w:rsid w:val="003204E3"/>
    <w:rsid w:val="003206C5"/>
    <w:rsid w:val="00320F60"/>
    <w:rsid w:val="00320FAD"/>
    <w:rsid w:val="00321873"/>
    <w:rsid w:val="00321EC8"/>
    <w:rsid w:val="00322A32"/>
    <w:rsid w:val="003233EB"/>
    <w:rsid w:val="003238D5"/>
    <w:rsid w:val="00323A83"/>
    <w:rsid w:val="00324577"/>
    <w:rsid w:val="00324626"/>
    <w:rsid w:val="00324766"/>
    <w:rsid w:val="00324911"/>
    <w:rsid w:val="003249BB"/>
    <w:rsid w:val="00324BDA"/>
    <w:rsid w:val="003256B1"/>
    <w:rsid w:val="0032582B"/>
    <w:rsid w:val="00325B88"/>
    <w:rsid w:val="00325C6C"/>
    <w:rsid w:val="00325FBD"/>
    <w:rsid w:val="00326263"/>
    <w:rsid w:val="0032744F"/>
    <w:rsid w:val="00327A9A"/>
    <w:rsid w:val="00327B5A"/>
    <w:rsid w:val="00327C77"/>
    <w:rsid w:val="00330B9E"/>
    <w:rsid w:val="0033121C"/>
    <w:rsid w:val="0033139E"/>
    <w:rsid w:val="003315A1"/>
    <w:rsid w:val="003317EF"/>
    <w:rsid w:val="00331DE5"/>
    <w:rsid w:val="0033277C"/>
    <w:rsid w:val="00333024"/>
    <w:rsid w:val="00333072"/>
    <w:rsid w:val="00333426"/>
    <w:rsid w:val="0033384A"/>
    <w:rsid w:val="00333CBE"/>
    <w:rsid w:val="0033432F"/>
    <w:rsid w:val="003345CD"/>
    <w:rsid w:val="00335665"/>
    <w:rsid w:val="00335B8B"/>
    <w:rsid w:val="00335F03"/>
    <w:rsid w:val="003360E5"/>
    <w:rsid w:val="003362AE"/>
    <w:rsid w:val="00336440"/>
    <w:rsid w:val="0033659B"/>
    <w:rsid w:val="0033713A"/>
    <w:rsid w:val="003375E9"/>
    <w:rsid w:val="00337ECF"/>
    <w:rsid w:val="00341159"/>
    <w:rsid w:val="00341A9A"/>
    <w:rsid w:val="00341C18"/>
    <w:rsid w:val="00341F32"/>
    <w:rsid w:val="00341F52"/>
    <w:rsid w:val="00342063"/>
    <w:rsid w:val="00342C21"/>
    <w:rsid w:val="00342E7B"/>
    <w:rsid w:val="003431F8"/>
    <w:rsid w:val="0034463E"/>
    <w:rsid w:val="003447AD"/>
    <w:rsid w:val="00344C09"/>
    <w:rsid w:val="00344F7A"/>
    <w:rsid w:val="0034520F"/>
    <w:rsid w:val="00345872"/>
    <w:rsid w:val="00345AF4"/>
    <w:rsid w:val="00345D60"/>
    <w:rsid w:val="00346007"/>
    <w:rsid w:val="0034617C"/>
    <w:rsid w:val="00347782"/>
    <w:rsid w:val="0034785F"/>
    <w:rsid w:val="00347A88"/>
    <w:rsid w:val="003508AC"/>
    <w:rsid w:val="00351298"/>
    <w:rsid w:val="00351518"/>
    <w:rsid w:val="0035169D"/>
    <w:rsid w:val="0035189C"/>
    <w:rsid w:val="00351A6C"/>
    <w:rsid w:val="00351A77"/>
    <w:rsid w:val="00351DF2"/>
    <w:rsid w:val="0035210C"/>
    <w:rsid w:val="00352145"/>
    <w:rsid w:val="00352B19"/>
    <w:rsid w:val="00352DC7"/>
    <w:rsid w:val="003536AC"/>
    <w:rsid w:val="00353AD5"/>
    <w:rsid w:val="003543B9"/>
    <w:rsid w:val="003543E6"/>
    <w:rsid w:val="00354537"/>
    <w:rsid w:val="003548D1"/>
    <w:rsid w:val="00354A45"/>
    <w:rsid w:val="00354CB9"/>
    <w:rsid w:val="00354CDD"/>
    <w:rsid w:val="003558AE"/>
    <w:rsid w:val="00355AB5"/>
    <w:rsid w:val="00355E00"/>
    <w:rsid w:val="00356965"/>
    <w:rsid w:val="00356E34"/>
    <w:rsid w:val="00357377"/>
    <w:rsid w:val="00357822"/>
    <w:rsid w:val="00360239"/>
    <w:rsid w:val="003605D9"/>
    <w:rsid w:val="0036071C"/>
    <w:rsid w:val="00362328"/>
    <w:rsid w:val="00362427"/>
    <w:rsid w:val="003630A5"/>
    <w:rsid w:val="0036333F"/>
    <w:rsid w:val="00363C3F"/>
    <w:rsid w:val="00364446"/>
    <w:rsid w:val="003646C8"/>
    <w:rsid w:val="00364CB4"/>
    <w:rsid w:val="0036527D"/>
    <w:rsid w:val="00365A3E"/>
    <w:rsid w:val="0036609F"/>
    <w:rsid w:val="00366394"/>
    <w:rsid w:val="00366F51"/>
    <w:rsid w:val="003671CA"/>
    <w:rsid w:val="003704BD"/>
    <w:rsid w:val="00370828"/>
    <w:rsid w:val="003709FE"/>
    <w:rsid w:val="00370A2D"/>
    <w:rsid w:val="00371F75"/>
    <w:rsid w:val="00372166"/>
    <w:rsid w:val="0037273F"/>
    <w:rsid w:val="00372787"/>
    <w:rsid w:val="00372B98"/>
    <w:rsid w:val="00372BD9"/>
    <w:rsid w:val="00372F76"/>
    <w:rsid w:val="0037336E"/>
    <w:rsid w:val="003735FE"/>
    <w:rsid w:val="00374899"/>
    <w:rsid w:val="00374DF9"/>
    <w:rsid w:val="00374F75"/>
    <w:rsid w:val="003758BC"/>
    <w:rsid w:val="00375F32"/>
    <w:rsid w:val="00376107"/>
    <w:rsid w:val="0037707D"/>
    <w:rsid w:val="00377B6E"/>
    <w:rsid w:val="00377F33"/>
    <w:rsid w:val="00380001"/>
    <w:rsid w:val="0038057C"/>
    <w:rsid w:val="0038107D"/>
    <w:rsid w:val="00381264"/>
    <w:rsid w:val="003819F1"/>
    <w:rsid w:val="00381B58"/>
    <w:rsid w:val="00381D02"/>
    <w:rsid w:val="00381EB7"/>
    <w:rsid w:val="003825BF"/>
    <w:rsid w:val="0038362F"/>
    <w:rsid w:val="00383E21"/>
    <w:rsid w:val="003843AE"/>
    <w:rsid w:val="00384711"/>
    <w:rsid w:val="0038478A"/>
    <w:rsid w:val="003848FF"/>
    <w:rsid w:val="00384920"/>
    <w:rsid w:val="00384B99"/>
    <w:rsid w:val="0038507D"/>
    <w:rsid w:val="003860EC"/>
    <w:rsid w:val="0038660A"/>
    <w:rsid w:val="00386FF5"/>
    <w:rsid w:val="003874D3"/>
    <w:rsid w:val="00387904"/>
    <w:rsid w:val="003879DB"/>
    <w:rsid w:val="00387ABB"/>
    <w:rsid w:val="00387BA6"/>
    <w:rsid w:val="003900C1"/>
    <w:rsid w:val="003904AA"/>
    <w:rsid w:val="00390B2D"/>
    <w:rsid w:val="00390FDC"/>
    <w:rsid w:val="00391198"/>
    <w:rsid w:val="00391364"/>
    <w:rsid w:val="003916D4"/>
    <w:rsid w:val="00391AF0"/>
    <w:rsid w:val="00391B63"/>
    <w:rsid w:val="00391D39"/>
    <w:rsid w:val="003921CB"/>
    <w:rsid w:val="0039281B"/>
    <w:rsid w:val="00392C3F"/>
    <w:rsid w:val="003935A6"/>
    <w:rsid w:val="00393710"/>
    <w:rsid w:val="00394484"/>
    <w:rsid w:val="00395788"/>
    <w:rsid w:val="003962AF"/>
    <w:rsid w:val="003966F5"/>
    <w:rsid w:val="00396BD6"/>
    <w:rsid w:val="00397048"/>
    <w:rsid w:val="003975C1"/>
    <w:rsid w:val="00397739"/>
    <w:rsid w:val="00397ADC"/>
    <w:rsid w:val="003A01E2"/>
    <w:rsid w:val="003A0A68"/>
    <w:rsid w:val="003A0E52"/>
    <w:rsid w:val="003A11FF"/>
    <w:rsid w:val="003A17D5"/>
    <w:rsid w:val="003A19FB"/>
    <w:rsid w:val="003A23F1"/>
    <w:rsid w:val="003A27E9"/>
    <w:rsid w:val="003A2D8D"/>
    <w:rsid w:val="003A2DB0"/>
    <w:rsid w:val="003A3C5C"/>
    <w:rsid w:val="003A42B1"/>
    <w:rsid w:val="003A53FC"/>
    <w:rsid w:val="003A5823"/>
    <w:rsid w:val="003A592C"/>
    <w:rsid w:val="003A5AF5"/>
    <w:rsid w:val="003A610E"/>
    <w:rsid w:val="003A6184"/>
    <w:rsid w:val="003A708E"/>
    <w:rsid w:val="003A7DED"/>
    <w:rsid w:val="003A7F8C"/>
    <w:rsid w:val="003B07D8"/>
    <w:rsid w:val="003B0F70"/>
    <w:rsid w:val="003B10A1"/>
    <w:rsid w:val="003B118A"/>
    <w:rsid w:val="003B19D6"/>
    <w:rsid w:val="003B1A1D"/>
    <w:rsid w:val="003B1C73"/>
    <w:rsid w:val="003B1E68"/>
    <w:rsid w:val="003B2E11"/>
    <w:rsid w:val="003B340B"/>
    <w:rsid w:val="003B3793"/>
    <w:rsid w:val="003B37B1"/>
    <w:rsid w:val="003B3A91"/>
    <w:rsid w:val="003B3B8C"/>
    <w:rsid w:val="003B4476"/>
    <w:rsid w:val="003B447A"/>
    <w:rsid w:val="003B4642"/>
    <w:rsid w:val="003B490C"/>
    <w:rsid w:val="003B4AD3"/>
    <w:rsid w:val="003B4E98"/>
    <w:rsid w:val="003B4EF8"/>
    <w:rsid w:val="003B509B"/>
    <w:rsid w:val="003B54EE"/>
    <w:rsid w:val="003B5BFA"/>
    <w:rsid w:val="003B63C5"/>
    <w:rsid w:val="003B6EA1"/>
    <w:rsid w:val="003B6F80"/>
    <w:rsid w:val="003B79BD"/>
    <w:rsid w:val="003B79FA"/>
    <w:rsid w:val="003C04A2"/>
    <w:rsid w:val="003C0F3C"/>
    <w:rsid w:val="003C163E"/>
    <w:rsid w:val="003C180A"/>
    <w:rsid w:val="003C1AB2"/>
    <w:rsid w:val="003C217C"/>
    <w:rsid w:val="003C26EB"/>
    <w:rsid w:val="003C2939"/>
    <w:rsid w:val="003C30A7"/>
    <w:rsid w:val="003C32C6"/>
    <w:rsid w:val="003C3443"/>
    <w:rsid w:val="003C3634"/>
    <w:rsid w:val="003C372E"/>
    <w:rsid w:val="003C391E"/>
    <w:rsid w:val="003C49D1"/>
    <w:rsid w:val="003C4A53"/>
    <w:rsid w:val="003C4B4B"/>
    <w:rsid w:val="003C5767"/>
    <w:rsid w:val="003C587B"/>
    <w:rsid w:val="003C61A0"/>
    <w:rsid w:val="003C61D0"/>
    <w:rsid w:val="003C6C89"/>
    <w:rsid w:val="003C7190"/>
    <w:rsid w:val="003C7E44"/>
    <w:rsid w:val="003D04ED"/>
    <w:rsid w:val="003D0503"/>
    <w:rsid w:val="003D086F"/>
    <w:rsid w:val="003D1368"/>
    <w:rsid w:val="003D1687"/>
    <w:rsid w:val="003D1790"/>
    <w:rsid w:val="003D1818"/>
    <w:rsid w:val="003D2D94"/>
    <w:rsid w:val="003D32D3"/>
    <w:rsid w:val="003D35BE"/>
    <w:rsid w:val="003D40ED"/>
    <w:rsid w:val="003D418D"/>
    <w:rsid w:val="003D5076"/>
    <w:rsid w:val="003D5597"/>
    <w:rsid w:val="003D5598"/>
    <w:rsid w:val="003D5644"/>
    <w:rsid w:val="003D580C"/>
    <w:rsid w:val="003D5B25"/>
    <w:rsid w:val="003D5DEC"/>
    <w:rsid w:val="003D692F"/>
    <w:rsid w:val="003D70E2"/>
    <w:rsid w:val="003D7F0A"/>
    <w:rsid w:val="003D7FF4"/>
    <w:rsid w:val="003E0329"/>
    <w:rsid w:val="003E0766"/>
    <w:rsid w:val="003E1130"/>
    <w:rsid w:val="003E1566"/>
    <w:rsid w:val="003E1AF9"/>
    <w:rsid w:val="003E1B16"/>
    <w:rsid w:val="003E1FF9"/>
    <w:rsid w:val="003E2026"/>
    <w:rsid w:val="003E20C4"/>
    <w:rsid w:val="003E242C"/>
    <w:rsid w:val="003E25C2"/>
    <w:rsid w:val="003E2BB7"/>
    <w:rsid w:val="003E2D33"/>
    <w:rsid w:val="003E3208"/>
    <w:rsid w:val="003E3648"/>
    <w:rsid w:val="003E4071"/>
    <w:rsid w:val="003E5221"/>
    <w:rsid w:val="003E5426"/>
    <w:rsid w:val="003E58DC"/>
    <w:rsid w:val="003E5A93"/>
    <w:rsid w:val="003E5CF0"/>
    <w:rsid w:val="003E654C"/>
    <w:rsid w:val="003E6778"/>
    <w:rsid w:val="003F00A3"/>
    <w:rsid w:val="003F0907"/>
    <w:rsid w:val="003F0C9F"/>
    <w:rsid w:val="003F0E50"/>
    <w:rsid w:val="003F264D"/>
    <w:rsid w:val="003F2725"/>
    <w:rsid w:val="003F2806"/>
    <w:rsid w:val="003F2CC8"/>
    <w:rsid w:val="003F2E09"/>
    <w:rsid w:val="003F305B"/>
    <w:rsid w:val="003F327B"/>
    <w:rsid w:val="003F374C"/>
    <w:rsid w:val="003F4977"/>
    <w:rsid w:val="003F53D8"/>
    <w:rsid w:val="003F5514"/>
    <w:rsid w:val="003F5858"/>
    <w:rsid w:val="003F5928"/>
    <w:rsid w:val="003F5B7B"/>
    <w:rsid w:val="003F643D"/>
    <w:rsid w:val="003F64C2"/>
    <w:rsid w:val="003F64F0"/>
    <w:rsid w:val="003F653E"/>
    <w:rsid w:val="003F7925"/>
    <w:rsid w:val="003F7AAD"/>
    <w:rsid w:val="0040018F"/>
    <w:rsid w:val="00400544"/>
    <w:rsid w:val="0040099F"/>
    <w:rsid w:val="0040104E"/>
    <w:rsid w:val="004024DE"/>
    <w:rsid w:val="0040253D"/>
    <w:rsid w:val="004028B8"/>
    <w:rsid w:val="00402FD0"/>
    <w:rsid w:val="0040344F"/>
    <w:rsid w:val="0040391A"/>
    <w:rsid w:val="00404620"/>
    <w:rsid w:val="0040482D"/>
    <w:rsid w:val="00404D98"/>
    <w:rsid w:val="00405310"/>
    <w:rsid w:val="0040564D"/>
    <w:rsid w:val="004063CA"/>
    <w:rsid w:val="00406E63"/>
    <w:rsid w:val="00406EF5"/>
    <w:rsid w:val="0040712A"/>
    <w:rsid w:val="00407AE0"/>
    <w:rsid w:val="00407E2A"/>
    <w:rsid w:val="00410317"/>
    <w:rsid w:val="00410ABC"/>
    <w:rsid w:val="00410E68"/>
    <w:rsid w:val="00410F17"/>
    <w:rsid w:val="004110C1"/>
    <w:rsid w:val="004116F1"/>
    <w:rsid w:val="00411A97"/>
    <w:rsid w:val="00412635"/>
    <w:rsid w:val="00412B19"/>
    <w:rsid w:val="00412BE3"/>
    <w:rsid w:val="00413356"/>
    <w:rsid w:val="004147AC"/>
    <w:rsid w:val="00414BCC"/>
    <w:rsid w:val="00414C10"/>
    <w:rsid w:val="004154F7"/>
    <w:rsid w:val="00415754"/>
    <w:rsid w:val="00415C3B"/>
    <w:rsid w:val="00416001"/>
    <w:rsid w:val="00416043"/>
    <w:rsid w:val="004163EF"/>
    <w:rsid w:val="00416507"/>
    <w:rsid w:val="00416ACE"/>
    <w:rsid w:val="0041720A"/>
    <w:rsid w:val="0041730F"/>
    <w:rsid w:val="0041738E"/>
    <w:rsid w:val="004176A9"/>
    <w:rsid w:val="004202D2"/>
    <w:rsid w:val="00420330"/>
    <w:rsid w:val="004203E8"/>
    <w:rsid w:val="00421314"/>
    <w:rsid w:val="00421468"/>
    <w:rsid w:val="004218EB"/>
    <w:rsid w:val="004219F1"/>
    <w:rsid w:val="00421CD0"/>
    <w:rsid w:val="00421F24"/>
    <w:rsid w:val="00423324"/>
    <w:rsid w:val="00423427"/>
    <w:rsid w:val="00423A41"/>
    <w:rsid w:val="00423AB1"/>
    <w:rsid w:val="004240F9"/>
    <w:rsid w:val="004247A8"/>
    <w:rsid w:val="0042555B"/>
    <w:rsid w:val="00425A8E"/>
    <w:rsid w:val="00426295"/>
    <w:rsid w:val="004265D2"/>
    <w:rsid w:val="0042770F"/>
    <w:rsid w:val="0042792F"/>
    <w:rsid w:val="0043096F"/>
    <w:rsid w:val="00430A02"/>
    <w:rsid w:val="00430DBF"/>
    <w:rsid w:val="004310D4"/>
    <w:rsid w:val="004316FC"/>
    <w:rsid w:val="00431781"/>
    <w:rsid w:val="0043249B"/>
    <w:rsid w:val="00432A30"/>
    <w:rsid w:val="00432D23"/>
    <w:rsid w:val="004330A5"/>
    <w:rsid w:val="004332DA"/>
    <w:rsid w:val="00433465"/>
    <w:rsid w:val="004336AA"/>
    <w:rsid w:val="00434067"/>
    <w:rsid w:val="00434732"/>
    <w:rsid w:val="00434CD5"/>
    <w:rsid w:val="00435AB2"/>
    <w:rsid w:val="00435D15"/>
    <w:rsid w:val="0043633E"/>
    <w:rsid w:val="00436726"/>
    <w:rsid w:val="004371FF"/>
    <w:rsid w:val="00437916"/>
    <w:rsid w:val="00437985"/>
    <w:rsid w:val="00437A9D"/>
    <w:rsid w:val="00437AD5"/>
    <w:rsid w:val="00437DFC"/>
    <w:rsid w:val="00437E2B"/>
    <w:rsid w:val="00440993"/>
    <w:rsid w:val="00441061"/>
    <w:rsid w:val="0044127D"/>
    <w:rsid w:val="00442498"/>
    <w:rsid w:val="0044253C"/>
    <w:rsid w:val="004427EE"/>
    <w:rsid w:val="00442B6D"/>
    <w:rsid w:val="004430AC"/>
    <w:rsid w:val="0044315F"/>
    <w:rsid w:val="00443C24"/>
    <w:rsid w:val="00443D95"/>
    <w:rsid w:val="00443E78"/>
    <w:rsid w:val="004440C3"/>
    <w:rsid w:val="004441C4"/>
    <w:rsid w:val="00444542"/>
    <w:rsid w:val="00444C55"/>
    <w:rsid w:val="00445251"/>
    <w:rsid w:val="0044535A"/>
    <w:rsid w:val="00445984"/>
    <w:rsid w:val="00445DD4"/>
    <w:rsid w:val="004460F1"/>
    <w:rsid w:val="0044655F"/>
    <w:rsid w:val="00446787"/>
    <w:rsid w:val="0044696D"/>
    <w:rsid w:val="00447DEA"/>
    <w:rsid w:val="004501D8"/>
    <w:rsid w:val="0045049E"/>
    <w:rsid w:val="00451541"/>
    <w:rsid w:val="004517C3"/>
    <w:rsid w:val="00451891"/>
    <w:rsid w:val="004519FB"/>
    <w:rsid w:val="00451D6E"/>
    <w:rsid w:val="00452668"/>
    <w:rsid w:val="00452CD5"/>
    <w:rsid w:val="00452DAA"/>
    <w:rsid w:val="00452E01"/>
    <w:rsid w:val="00453267"/>
    <w:rsid w:val="004532B8"/>
    <w:rsid w:val="0045359C"/>
    <w:rsid w:val="00454356"/>
    <w:rsid w:val="00454697"/>
    <w:rsid w:val="00454730"/>
    <w:rsid w:val="00454E26"/>
    <w:rsid w:val="00454EA5"/>
    <w:rsid w:val="004550E3"/>
    <w:rsid w:val="0045516D"/>
    <w:rsid w:val="004551D1"/>
    <w:rsid w:val="00456A7D"/>
    <w:rsid w:val="00456DD2"/>
    <w:rsid w:val="004570A1"/>
    <w:rsid w:val="00457526"/>
    <w:rsid w:val="004578C5"/>
    <w:rsid w:val="00457B2E"/>
    <w:rsid w:val="00457F85"/>
    <w:rsid w:val="00460A9C"/>
    <w:rsid w:val="004616AE"/>
    <w:rsid w:val="00462414"/>
    <w:rsid w:val="00463085"/>
    <w:rsid w:val="004633E4"/>
    <w:rsid w:val="00463795"/>
    <w:rsid w:val="0046387B"/>
    <w:rsid w:val="00463947"/>
    <w:rsid w:val="004641F2"/>
    <w:rsid w:val="00464C95"/>
    <w:rsid w:val="00464F65"/>
    <w:rsid w:val="00465727"/>
    <w:rsid w:val="004659DD"/>
    <w:rsid w:val="0046614C"/>
    <w:rsid w:val="00466185"/>
    <w:rsid w:val="00466287"/>
    <w:rsid w:val="004662F2"/>
    <w:rsid w:val="004669B7"/>
    <w:rsid w:val="00466A00"/>
    <w:rsid w:val="00466E30"/>
    <w:rsid w:val="0046744B"/>
    <w:rsid w:val="004702EA"/>
    <w:rsid w:val="00470623"/>
    <w:rsid w:val="00471739"/>
    <w:rsid w:val="004717E2"/>
    <w:rsid w:val="00471BD3"/>
    <w:rsid w:val="00471CB6"/>
    <w:rsid w:val="00472024"/>
    <w:rsid w:val="0047238D"/>
    <w:rsid w:val="0047348D"/>
    <w:rsid w:val="00474213"/>
    <w:rsid w:val="004744BC"/>
    <w:rsid w:val="004746C0"/>
    <w:rsid w:val="00474D25"/>
    <w:rsid w:val="00474DCC"/>
    <w:rsid w:val="00474E7E"/>
    <w:rsid w:val="00474F44"/>
    <w:rsid w:val="004755DC"/>
    <w:rsid w:val="00475C21"/>
    <w:rsid w:val="00476912"/>
    <w:rsid w:val="00476C26"/>
    <w:rsid w:val="00476D42"/>
    <w:rsid w:val="0047716A"/>
    <w:rsid w:val="004773E2"/>
    <w:rsid w:val="004779BF"/>
    <w:rsid w:val="0048020D"/>
    <w:rsid w:val="00480248"/>
    <w:rsid w:val="00480EDB"/>
    <w:rsid w:val="00482072"/>
    <w:rsid w:val="0048327F"/>
    <w:rsid w:val="00483FF9"/>
    <w:rsid w:val="004849D2"/>
    <w:rsid w:val="00484A17"/>
    <w:rsid w:val="00485573"/>
    <w:rsid w:val="00485819"/>
    <w:rsid w:val="0048616C"/>
    <w:rsid w:val="0048655C"/>
    <w:rsid w:val="00486805"/>
    <w:rsid w:val="00486A74"/>
    <w:rsid w:val="00486B47"/>
    <w:rsid w:val="00487265"/>
    <w:rsid w:val="00487402"/>
    <w:rsid w:val="00490178"/>
    <w:rsid w:val="004902B6"/>
    <w:rsid w:val="0049038E"/>
    <w:rsid w:val="004904A1"/>
    <w:rsid w:val="004906B7"/>
    <w:rsid w:val="00490FB2"/>
    <w:rsid w:val="004914A9"/>
    <w:rsid w:val="004914AF"/>
    <w:rsid w:val="004918F2"/>
    <w:rsid w:val="00491AB0"/>
    <w:rsid w:val="00491D42"/>
    <w:rsid w:val="00491D76"/>
    <w:rsid w:val="00492166"/>
    <w:rsid w:val="00492304"/>
    <w:rsid w:val="0049249B"/>
    <w:rsid w:val="00492BD7"/>
    <w:rsid w:val="00492C05"/>
    <w:rsid w:val="00492D90"/>
    <w:rsid w:val="00493866"/>
    <w:rsid w:val="00493DC6"/>
    <w:rsid w:val="004941A0"/>
    <w:rsid w:val="004947A5"/>
    <w:rsid w:val="004951A1"/>
    <w:rsid w:val="00495455"/>
    <w:rsid w:val="0049551B"/>
    <w:rsid w:val="004958FE"/>
    <w:rsid w:val="00495E17"/>
    <w:rsid w:val="00495E2F"/>
    <w:rsid w:val="00496609"/>
    <w:rsid w:val="0049695C"/>
    <w:rsid w:val="004974C4"/>
    <w:rsid w:val="00497778"/>
    <w:rsid w:val="00497791"/>
    <w:rsid w:val="00497C72"/>
    <w:rsid w:val="00497E56"/>
    <w:rsid w:val="00497EE7"/>
    <w:rsid w:val="004A0B03"/>
    <w:rsid w:val="004A0E20"/>
    <w:rsid w:val="004A0E24"/>
    <w:rsid w:val="004A119D"/>
    <w:rsid w:val="004A2515"/>
    <w:rsid w:val="004A2D40"/>
    <w:rsid w:val="004A2E0B"/>
    <w:rsid w:val="004A30A2"/>
    <w:rsid w:val="004A3575"/>
    <w:rsid w:val="004A35E6"/>
    <w:rsid w:val="004A372C"/>
    <w:rsid w:val="004A3820"/>
    <w:rsid w:val="004A38E2"/>
    <w:rsid w:val="004A3D74"/>
    <w:rsid w:val="004A436A"/>
    <w:rsid w:val="004A4443"/>
    <w:rsid w:val="004A4F67"/>
    <w:rsid w:val="004A5852"/>
    <w:rsid w:val="004A5D61"/>
    <w:rsid w:val="004A5FC5"/>
    <w:rsid w:val="004A643B"/>
    <w:rsid w:val="004A6C58"/>
    <w:rsid w:val="004A6CB2"/>
    <w:rsid w:val="004A7D5D"/>
    <w:rsid w:val="004B0965"/>
    <w:rsid w:val="004B14CC"/>
    <w:rsid w:val="004B1835"/>
    <w:rsid w:val="004B1F40"/>
    <w:rsid w:val="004B46E6"/>
    <w:rsid w:val="004B4956"/>
    <w:rsid w:val="004B4C6F"/>
    <w:rsid w:val="004B4DE0"/>
    <w:rsid w:val="004B5188"/>
    <w:rsid w:val="004B58BA"/>
    <w:rsid w:val="004B59AB"/>
    <w:rsid w:val="004B5A0E"/>
    <w:rsid w:val="004B6975"/>
    <w:rsid w:val="004B6CF4"/>
    <w:rsid w:val="004B7668"/>
    <w:rsid w:val="004C010B"/>
    <w:rsid w:val="004C0111"/>
    <w:rsid w:val="004C031A"/>
    <w:rsid w:val="004C0712"/>
    <w:rsid w:val="004C0FF1"/>
    <w:rsid w:val="004C1193"/>
    <w:rsid w:val="004C1218"/>
    <w:rsid w:val="004C1320"/>
    <w:rsid w:val="004C1C16"/>
    <w:rsid w:val="004C30FD"/>
    <w:rsid w:val="004C31B3"/>
    <w:rsid w:val="004C32A6"/>
    <w:rsid w:val="004C35DA"/>
    <w:rsid w:val="004C374E"/>
    <w:rsid w:val="004C3DBB"/>
    <w:rsid w:val="004C40F8"/>
    <w:rsid w:val="004C440C"/>
    <w:rsid w:val="004C4B92"/>
    <w:rsid w:val="004C4DE8"/>
    <w:rsid w:val="004C5457"/>
    <w:rsid w:val="004C5491"/>
    <w:rsid w:val="004C5D6C"/>
    <w:rsid w:val="004C5D72"/>
    <w:rsid w:val="004C6B91"/>
    <w:rsid w:val="004C6C2C"/>
    <w:rsid w:val="004C6CE1"/>
    <w:rsid w:val="004C72BB"/>
    <w:rsid w:val="004C7BBC"/>
    <w:rsid w:val="004C7FAB"/>
    <w:rsid w:val="004D0BBF"/>
    <w:rsid w:val="004D1469"/>
    <w:rsid w:val="004D1537"/>
    <w:rsid w:val="004D16B7"/>
    <w:rsid w:val="004D1EDF"/>
    <w:rsid w:val="004D1F1D"/>
    <w:rsid w:val="004D23C0"/>
    <w:rsid w:val="004D278F"/>
    <w:rsid w:val="004D2C0D"/>
    <w:rsid w:val="004D3802"/>
    <w:rsid w:val="004D4627"/>
    <w:rsid w:val="004D4DB0"/>
    <w:rsid w:val="004D4FC1"/>
    <w:rsid w:val="004D5322"/>
    <w:rsid w:val="004D5BD3"/>
    <w:rsid w:val="004D6C89"/>
    <w:rsid w:val="004D71D2"/>
    <w:rsid w:val="004D7500"/>
    <w:rsid w:val="004D77FE"/>
    <w:rsid w:val="004D7C0C"/>
    <w:rsid w:val="004D7E0B"/>
    <w:rsid w:val="004E04FC"/>
    <w:rsid w:val="004E06DF"/>
    <w:rsid w:val="004E0DCE"/>
    <w:rsid w:val="004E182A"/>
    <w:rsid w:val="004E206B"/>
    <w:rsid w:val="004E2404"/>
    <w:rsid w:val="004E28DA"/>
    <w:rsid w:val="004E3190"/>
    <w:rsid w:val="004E3443"/>
    <w:rsid w:val="004E396B"/>
    <w:rsid w:val="004E3ABB"/>
    <w:rsid w:val="004E41B4"/>
    <w:rsid w:val="004E44AA"/>
    <w:rsid w:val="004E4647"/>
    <w:rsid w:val="004E537F"/>
    <w:rsid w:val="004E553D"/>
    <w:rsid w:val="004E5E7C"/>
    <w:rsid w:val="004E621D"/>
    <w:rsid w:val="004E63B8"/>
    <w:rsid w:val="004E6E14"/>
    <w:rsid w:val="004E6FE4"/>
    <w:rsid w:val="004E71CA"/>
    <w:rsid w:val="004F008D"/>
    <w:rsid w:val="004F009E"/>
    <w:rsid w:val="004F04AD"/>
    <w:rsid w:val="004F0980"/>
    <w:rsid w:val="004F0A2E"/>
    <w:rsid w:val="004F0D7D"/>
    <w:rsid w:val="004F171F"/>
    <w:rsid w:val="004F17B4"/>
    <w:rsid w:val="004F19F9"/>
    <w:rsid w:val="004F27A7"/>
    <w:rsid w:val="004F2A39"/>
    <w:rsid w:val="004F2F23"/>
    <w:rsid w:val="004F30DA"/>
    <w:rsid w:val="004F30EA"/>
    <w:rsid w:val="004F39E3"/>
    <w:rsid w:val="004F3DDA"/>
    <w:rsid w:val="004F4282"/>
    <w:rsid w:val="004F42F0"/>
    <w:rsid w:val="004F43B2"/>
    <w:rsid w:val="004F4697"/>
    <w:rsid w:val="004F46DA"/>
    <w:rsid w:val="004F54DB"/>
    <w:rsid w:val="004F55E2"/>
    <w:rsid w:val="004F5911"/>
    <w:rsid w:val="004F5C5F"/>
    <w:rsid w:val="004F5F01"/>
    <w:rsid w:val="004F6B0C"/>
    <w:rsid w:val="004F7342"/>
    <w:rsid w:val="005002F1"/>
    <w:rsid w:val="005008F3"/>
    <w:rsid w:val="00501365"/>
    <w:rsid w:val="00501FB8"/>
    <w:rsid w:val="00502221"/>
    <w:rsid w:val="005025C9"/>
    <w:rsid w:val="005028D0"/>
    <w:rsid w:val="005038D7"/>
    <w:rsid w:val="005047DA"/>
    <w:rsid w:val="00504AC3"/>
    <w:rsid w:val="00504CF8"/>
    <w:rsid w:val="00505668"/>
    <w:rsid w:val="00505ADE"/>
    <w:rsid w:val="00506530"/>
    <w:rsid w:val="00506CE3"/>
    <w:rsid w:val="00506EBA"/>
    <w:rsid w:val="00507F75"/>
    <w:rsid w:val="00510881"/>
    <w:rsid w:val="00510CD5"/>
    <w:rsid w:val="00511210"/>
    <w:rsid w:val="00511B13"/>
    <w:rsid w:val="00511E28"/>
    <w:rsid w:val="0051234A"/>
    <w:rsid w:val="005123D5"/>
    <w:rsid w:val="00512821"/>
    <w:rsid w:val="00514088"/>
    <w:rsid w:val="005144C3"/>
    <w:rsid w:val="00514810"/>
    <w:rsid w:val="00514A67"/>
    <w:rsid w:val="00515120"/>
    <w:rsid w:val="00515633"/>
    <w:rsid w:val="0051580D"/>
    <w:rsid w:val="00515C53"/>
    <w:rsid w:val="00515E7D"/>
    <w:rsid w:val="005163D8"/>
    <w:rsid w:val="00516A6C"/>
    <w:rsid w:val="00516F14"/>
    <w:rsid w:val="0051708A"/>
    <w:rsid w:val="00517372"/>
    <w:rsid w:val="00517388"/>
    <w:rsid w:val="00517841"/>
    <w:rsid w:val="0051792B"/>
    <w:rsid w:val="00517A9E"/>
    <w:rsid w:val="00520328"/>
    <w:rsid w:val="00521C5A"/>
    <w:rsid w:val="0052263D"/>
    <w:rsid w:val="00522A20"/>
    <w:rsid w:val="00522A2F"/>
    <w:rsid w:val="00522D41"/>
    <w:rsid w:val="00522E6E"/>
    <w:rsid w:val="0052482E"/>
    <w:rsid w:val="00524AF5"/>
    <w:rsid w:val="00524CBB"/>
    <w:rsid w:val="00524EF1"/>
    <w:rsid w:val="005253F9"/>
    <w:rsid w:val="005256D1"/>
    <w:rsid w:val="00525B6B"/>
    <w:rsid w:val="0052658A"/>
    <w:rsid w:val="00526AEA"/>
    <w:rsid w:val="00527384"/>
    <w:rsid w:val="00530124"/>
    <w:rsid w:val="00530502"/>
    <w:rsid w:val="005306C7"/>
    <w:rsid w:val="00530AFF"/>
    <w:rsid w:val="005317C8"/>
    <w:rsid w:val="00531ED1"/>
    <w:rsid w:val="0053272D"/>
    <w:rsid w:val="00533273"/>
    <w:rsid w:val="00533D67"/>
    <w:rsid w:val="00533EC0"/>
    <w:rsid w:val="0053541F"/>
    <w:rsid w:val="005355B0"/>
    <w:rsid w:val="0053580D"/>
    <w:rsid w:val="00535DDB"/>
    <w:rsid w:val="005366E8"/>
    <w:rsid w:val="00536712"/>
    <w:rsid w:val="00536C4B"/>
    <w:rsid w:val="00537518"/>
    <w:rsid w:val="005377E5"/>
    <w:rsid w:val="00537EA0"/>
    <w:rsid w:val="00537F90"/>
    <w:rsid w:val="00540338"/>
    <w:rsid w:val="0054053E"/>
    <w:rsid w:val="005415D1"/>
    <w:rsid w:val="00542961"/>
    <w:rsid w:val="00542CF2"/>
    <w:rsid w:val="00542E9F"/>
    <w:rsid w:val="0054304F"/>
    <w:rsid w:val="0054329C"/>
    <w:rsid w:val="005436AF"/>
    <w:rsid w:val="005437A6"/>
    <w:rsid w:val="00543AC2"/>
    <w:rsid w:val="0054451A"/>
    <w:rsid w:val="00544D82"/>
    <w:rsid w:val="0054530E"/>
    <w:rsid w:val="00545A29"/>
    <w:rsid w:val="00545C1D"/>
    <w:rsid w:val="00545DEF"/>
    <w:rsid w:val="00545EA2"/>
    <w:rsid w:val="00546311"/>
    <w:rsid w:val="0054703C"/>
    <w:rsid w:val="00547717"/>
    <w:rsid w:val="00547732"/>
    <w:rsid w:val="00547953"/>
    <w:rsid w:val="00547DCA"/>
    <w:rsid w:val="00550A3C"/>
    <w:rsid w:val="00550D86"/>
    <w:rsid w:val="00551B7D"/>
    <w:rsid w:val="00551F35"/>
    <w:rsid w:val="005520EF"/>
    <w:rsid w:val="0055210D"/>
    <w:rsid w:val="00552351"/>
    <w:rsid w:val="00552706"/>
    <w:rsid w:val="00552AA7"/>
    <w:rsid w:val="00552BEC"/>
    <w:rsid w:val="00552C10"/>
    <w:rsid w:val="00553597"/>
    <w:rsid w:val="005541BA"/>
    <w:rsid w:val="0055441D"/>
    <w:rsid w:val="00554BFC"/>
    <w:rsid w:val="00555236"/>
    <w:rsid w:val="005553EC"/>
    <w:rsid w:val="005554A8"/>
    <w:rsid w:val="00555CA7"/>
    <w:rsid w:val="00556C45"/>
    <w:rsid w:val="00556E10"/>
    <w:rsid w:val="00560427"/>
    <w:rsid w:val="005609FA"/>
    <w:rsid w:val="005613D8"/>
    <w:rsid w:val="00561FB2"/>
    <w:rsid w:val="00563056"/>
    <w:rsid w:val="005631CA"/>
    <w:rsid w:val="005638BD"/>
    <w:rsid w:val="005641FD"/>
    <w:rsid w:val="0056438F"/>
    <w:rsid w:val="0056530E"/>
    <w:rsid w:val="00565386"/>
    <w:rsid w:val="005653B0"/>
    <w:rsid w:val="005655B1"/>
    <w:rsid w:val="005658F6"/>
    <w:rsid w:val="00565AA8"/>
    <w:rsid w:val="00565DDE"/>
    <w:rsid w:val="0056651E"/>
    <w:rsid w:val="00567112"/>
    <w:rsid w:val="0056711D"/>
    <w:rsid w:val="005677B3"/>
    <w:rsid w:val="00567DBB"/>
    <w:rsid w:val="005704D8"/>
    <w:rsid w:val="00570532"/>
    <w:rsid w:val="0057194D"/>
    <w:rsid w:val="00571C69"/>
    <w:rsid w:val="00571E89"/>
    <w:rsid w:val="00572128"/>
    <w:rsid w:val="005732D9"/>
    <w:rsid w:val="00573989"/>
    <w:rsid w:val="00574359"/>
    <w:rsid w:val="005747A0"/>
    <w:rsid w:val="0057489A"/>
    <w:rsid w:val="0057557B"/>
    <w:rsid w:val="00575949"/>
    <w:rsid w:val="00575AF9"/>
    <w:rsid w:val="0057632C"/>
    <w:rsid w:val="00577559"/>
    <w:rsid w:val="005800B8"/>
    <w:rsid w:val="005809CA"/>
    <w:rsid w:val="00580CE0"/>
    <w:rsid w:val="0058156B"/>
    <w:rsid w:val="00581701"/>
    <w:rsid w:val="0058231D"/>
    <w:rsid w:val="00582AAF"/>
    <w:rsid w:val="00582F67"/>
    <w:rsid w:val="00583929"/>
    <w:rsid w:val="00583F60"/>
    <w:rsid w:val="00584A8E"/>
    <w:rsid w:val="00585472"/>
    <w:rsid w:val="00586530"/>
    <w:rsid w:val="00586BA4"/>
    <w:rsid w:val="00586F73"/>
    <w:rsid w:val="00587334"/>
    <w:rsid w:val="00587803"/>
    <w:rsid w:val="00587870"/>
    <w:rsid w:val="00587F6A"/>
    <w:rsid w:val="005906EE"/>
    <w:rsid w:val="005913DA"/>
    <w:rsid w:val="00591445"/>
    <w:rsid w:val="00591891"/>
    <w:rsid w:val="00591C4E"/>
    <w:rsid w:val="00592113"/>
    <w:rsid w:val="00593A53"/>
    <w:rsid w:val="0059482C"/>
    <w:rsid w:val="005948A2"/>
    <w:rsid w:val="00594979"/>
    <w:rsid w:val="00594DC2"/>
    <w:rsid w:val="00594F3D"/>
    <w:rsid w:val="00595807"/>
    <w:rsid w:val="005959A8"/>
    <w:rsid w:val="00595B7C"/>
    <w:rsid w:val="00595CE2"/>
    <w:rsid w:val="005962B7"/>
    <w:rsid w:val="005963CB"/>
    <w:rsid w:val="00596744"/>
    <w:rsid w:val="00596EA4"/>
    <w:rsid w:val="005972CE"/>
    <w:rsid w:val="005979C1"/>
    <w:rsid w:val="005A095B"/>
    <w:rsid w:val="005A0BF4"/>
    <w:rsid w:val="005A1046"/>
    <w:rsid w:val="005A1353"/>
    <w:rsid w:val="005A1832"/>
    <w:rsid w:val="005A1DA8"/>
    <w:rsid w:val="005A20AD"/>
    <w:rsid w:val="005A2E4A"/>
    <w:rsid w:val="005A2F99"/>
    <w:rsid w:val="005A2FDD"/>
    <w:rsid w:val="005A3529"/>
    <w:rsid w:val="005A3904"/>
    <w:rsid w:val="005A3C36"/>
    <w:rsid w:val="005A4343"/>
    <w:rsid w:val="005A4490"/>
    <w:rsid w:val="005A46F9"/>
    <w:rsid w:val="005A4CCD"/>
    <w:rsid w:val="005A5011"/>
    <w:rsid w:val="005A51A4"/>
    <w:rsid w:val="005A55A9"/>
    <w:rsid w:val="005A562D"/>
    <w:rsid w:val="005A5D05"/>
    <w:rsid w:val="005A6EBE"/>
    <w:rsid w:val="005A6F00"/>
    <w:rsid w:val="005A746B"/>
    <w:rsid w:val="005A798E"/>
    <w:rsid w:val="005A7C41"/>
    <w:rsid w:val="005B0406"/>
    <w:rsid w:val="005B0A03"/>
    <w:rsid w:val="005B13C8"/>
    <w:rsid w:val="005B1CFC"/>
    <w:rsid w:val="005B2475"/>
    <w:rsid w:val="005B2533"/>
    <w:rsid w:val="005B2643"/>
    <w:rsid w:val="005B2BD3"/>
    <w:rsid w:val="005B2C33"/>
    <w:rsid w:val="005B2CB1"/>
    <w:rsid w:val="005B32F2"/>
    <w:rsid w:val="005B35C5"/>
    <w:rsid w:val="005B42A9"/>
    <w:rsid w:val="005B44A1"/>
    <w:rsid w:val="005B5E3A"/>
    <w:rsid w:val="005B5F2F"/>
    <w:rsid w:val="005B6302"/>
    <w:rsid w:val="005B6829"/>
    <w:rsid w:val="005B6B97"/>
    <w:rsid w:val="005B6CB8"/>
    <w:rsid w:val="005C05CA"/>
    <w:rsid w:val="005C1278"/>
    <w:rsid w:val="005C210D"/>
    <w:rsid w:val="005C251E"/>
    <w:rsid w:val="005C26EA"/>
    <w:rsid w:val="005C361D"/>
    <w:rsid w:val="005C4132"/>
    <w:rsid w:val="005C435B"/>
    <w:rsid w:val="005C5101"/>
    <w:rsid w:val="005C51EC"/>
    <w:rsid w:val="005C5280"/>
    <w:rsid w:val="005C5377"/>
    <w:rsid w:val="005C55C4"/>
    <w:rsid w:val="005C5ACA"/>
    <w:rsid w:val="005C5B63"/>
    <w:rsid w:val="005C5F56"/>
    <w:rsid w:val="005C71AA"/>
    <w:rsid w:val="005D0038"/>
    <w:rsid w:val="005D01E8"/>
    <w:rsid w:val="005D100F"/>
    <w:rsid w:val="005D1A9E"/>
    <w:rsid w:val="005D1B8A"/>
    <w:rsid w:val="005D2465"/>
    <w:rsid w:val="005D2D78"/>
    <w:rsid w:val="005D3A59"/>
    <w:rsid w:val="005D3BA1"/>
    <w:rsid w:val="005D3D8C"/>
    <w:rsid w:val="005D436A"/>
    <w:rsid w:val="005D4778"/>
    <w:rsid w:val="005D5047"/>
    <w:rsid w:val="005D57BB"/>
    <w:rsid w:val="005D6180"/>
    <w:rsid w:val="005D65D8"/>
    <w:rsid w:val="005D6780"/>
    <w:rsid w:val="005D689A"/>
    <w:rsid w:val="005D6A31"/>
    <w:rsid w:val="005D6FA0"/>
    <w:rsid w:val="005D708D"/>
    <w:rsid w:val="005D70CC"/>
    <w:rsid w:val="005D78D1"/>
    <w:rsid w:val="005D7C0B"/>
    <w:rsid w:val="005D7DD7"/>
    <w:rsid w:val="005E0192"/>
    <w:rsid w:val="005E14E4"/>
    <w:rsid w:val="005E1538"/>
    <w:rsid w:val="005E180B"/>
    <w:rsid w:val="005E2BDF"/>
    <w:rsid w:val="005E2D05"/>
    <w:rsid w:val="005E2F4F"/>
    <w:rsid w:val="005E37C3"/>
    <w:rsid w:val="005E3EB6"/>
    <w:rsid w:val="005E4D51"/>
    <w:rsid w:val="005E52F1"/>
    <w:rsid w:val="005E677D"/>
    <w:rsid w:val="005E683A"/>
    <w:rsid w:val="005E7010"/>
    <w:rsid w:val="005E777E"/>
    <w:rsid w:val="005E7CB8"/>
    <w:rsid w:val="005F01E4"/>
    <w:rsid w:val="005F0308"/>
    <w:rsid w:val="005F0DD8"/>
    <w:rsid w:val="005F1361"/>
    <w:rsid w:val="005F1784"/>
    <w:rsid w:val="005F2050"/>
    <w:rsid w:val="005F22BF"/>
    <w:rsid w:val="005F27B8"/>
    <w:rsid w:val="005F2E6B"/>
    <w:rsid w:val="005F3A30"/>
    <w:rsid w:val="005F3BF1"/>
    <w:rsid w:val="005F3FDF"/>
    <w:rsid w:val="005F5245"/>
    <w:rsid w:val="005F536C"/>
    <w:rsid w:val="005F5A03"/>
    <w:rsid w:val="005F626A"/>
    <w:rsid w:val="005F65B1"/>
    <w:rsid w:val="005F68E0"/>
    <w:rsid w:val="005F6A5A"/>
    <w:rsid w:val="005F719C"/>
    <w:rsid w:val="005F7265"/>
    <w:rsid w:val="005F73FF"/>
    <w:rsid w:val="005F7A88"/>
    <w:rsid w:val="005F7F5E"/>
    <w:rsid w:val="006001A7"/>
    <w:rsid w:val="006002CC"/>
    <w:rsid w:val="00600674"/>
    <w:rsid w:val="00600762"/>
    <w:rsid w:val="0060076C"/>
    <w:rsid w:val="00600A9D"/>
    <w:rsid w:val="00601043"/>
    <w:rsid w:val="00601052"/>
    <w:rsid w:val="00601512"/>
    <w:rsid w:val="00601C90"/>
    <w:rsid w:val="00601CC0"/>
    <w:rsid w:val="00601DFF"/>
    <w:rsid w:val="00602484"/>
    <w:rsid w:val="00602B08"/>
    <w:rsid w:val="00602E36"/>
    <w:rsid w:val="006031AD"/>
    <w:rsid w:val="0060325B"/>
    <w:rsid w:val="00603651"/>
    <w:rsid w:val="00603748"/>
    <w:rsid w:val="00603F9F"/>
    <w:rsid w:val="006042FF"/>
    <w:rsid w:val="0060453D"/>
    <w:rsid w:val="00604840"/>
    <w:rsid w:val="006050F3"/>
    <w:rsid w:val="00606533"/>
    <w:rsid w:val="006070D4"/>
    <w:rsid w:val="00607158"/>
    <w:rsid w:val="006076FE"/>
    <w:rsid w:val="00607FA7"/>
    <w:rsid w:val="00610AB7"/>
    <w:rsid w:val="00610F64"/>
    <w:rsid w:val="006113FC"/>
    <w:rsid w:val="006117C7"/>
    <w:rsid w:val="00611DD1"/>
    <w:rsid w:val="00611DD9"/>
    <w:rsid w:val="00612CD1"/>
    <w:rsid w:val="0061317A"/>
    <w:rsid w:val="0061366B"/>
    <w:rsid w:val="006143E4"/>
    <w:rsid w:val="0061495A"/>
    <w:rsid w:val="00614D58"/>
    <w:rsid w:val="00614E41"/>
    <w:rsid w:val="00615067"/>
    <w:rsid w:val="0061532E"/>
    <w:rsid w:val="006155B6"/>
    <w:rsid w:val="00615C92"/>
    <w:rsid w:val="006172F0"/>
    <w:rsid w:val="006172F3"/>
    <w:rsid w:val="00617500"/>
    <w:rsid w:val="006176D1"/>
    <w:rsid w:val="00617D20"/>
    <w:rsid w:val="0062046D"/>
    <w:rsid w:val="00620E0D"/>
    <w:rsid w:val="0062103A"/>
    <w:rsid w:val="00621421"/>
    <w:rsid w:val="0062171F"/>
    <w:rsid w:val="00621C1C"/>
    <w:rsid w:val="00621C8A"/>
    <w:rsid w:val="00621C96"/>
    <w:rsid w:val="00622079"/>
    <w:rsid w:val="00622089"/>
    <w:rsid w:val="0062291F"/>
    <w:rsid w:val="00622EFB"/>
    <w:rsid w:val="00623197"/>
    <w:rsid w:val="00623A60"/>
    <w:rsid w:val="00623B48"/>
    <w:rsid w:val="00623FA0"/>
    <w:rsid w:val="00623FB8"/>
    <w:rsid w:val="0062433F"/>
    <w:rsid w:val="006248C2"/>
    <w:rsid w:val="006256A4"/>
    <w:rsid w:val="00625739"/>
    <w:rsid w:val="00625E7A"/>
    <w:rsid w:val="00626176"/>
    <w:rsid w:val="00626254"/>
    <w:rsid w:val="00626266"/>
    <w:rsid w:val="006264A7"/>
    <w:rsid w:val="00626965"/>
    <w:rsid w:val="00626AD0"/>
    <w:rsid w:val="00627062"/>
    <w:rsid w:val="0062752F"/>
    <w:rsid w:val="0062763F"/>
    <w:rsid w:val="00627B0A"/>
    <w:rsid w:val="00630165"/>
    <w:rsid w:val="00630625"/>
    <w:rsid w:val="00631082"/>
    <w:rsid w:val="00631284"/>
    <w:rsid w:val="006313F8"/>
    <w:rsid w:val="0063164B"/>
    <w:rsid w:val="006317C4"/>
    <w:rsid w:val="00631A18"/>
    <w:rsid w:val="0063216A"/>
    <w:rsid w:val="006325A7"/>
    <w:rsid w:val="006328B5"/>
    <w:rsid w:val="00633C8E"/>
    <w:rsid w:val="00634390"/>
    <w:rsid w:val="006343E9"/>
    <w:rsid w:val="00634530"/>
    <w:rsid w:val="006346D7"/>
    <w:rsid w:val="00634A75"/>
    <w:rsid w:val="00634D12"/>
    <w:rsid w:val="00635172"/>
    <w:rsid w:val="006358B3"/>
    <w:rsid w:val="00635EB5"/>
    <w:rsid w:val="0063640F"/>
    <w:rsid w:val="0063663D"/>
    <w:rsid w:val="00636C5D"/>
    <w:rsid w:val="00636DE6"/>
    <w:rsid w:val="0063705D"/>
    <w:rsid w:val="0063727D"/>
    <w:rsid w:val="0063734A"/>
    <w:rsid w:val="00637429"/>
    <w:rsid w:val="0063751B"/>
    <w:rsid w:val="00637851"/>
    <w:rsid w:val="00637BB1"/>
    <w:rsid w:val="00637F26"/>
    <w:rsid w:val="006405D4"/>
    <w:rsid w:val="00640FE3"/>
    <w:rsid w:val="006410A9"/>
    <w:rsid w:val="006413F7"/>
    <w:rsid w:val="00641FC0"/>
    <w:rsid w:val="0064242C"/>
    <w:rsid w:val="00642822"/>
    <w:rsid w:val="00642872"/>
    <w:rsid w:val="00643412"/>
    <w:rsid w:val="006434C3"/>
    <w:rsid w:val="00643D1A"/>
    <w:rsid w:val="00643F54"/>
    <w:rsid w:val="00644608"/>
    <w:rsid w:val="006448D6"/>
    <w:rsid w:val="00644EC4"/>
    <w:rsid w:val="0064531B"/>
    <w:rsid w:val="00645798"/>
    <w:rsid w:val="00645F55"/>
    <w:rsid w:val="0064678E"/>
    <w:rsid w:val="00646DDF"/>
    <w:rsid w:val="00647E41"/>
    <w:rsid w:val="00650246"/>
    <w:rsid w:val="00650762"/>
    <w:rsid w:val="00650928"/>
    <w:rsid w:val="00650D48"/>
    <w:rsid w:val="006515C2"/>
    <w:rsid w:val="00651981"/>
    <w:rsid w:val="00651ADA"/>
    <w:rsid w:val="0065265C"/>
    <w:rsid w:val="006531A5"/>
    <w:rsid w:val="0065374F"/>
    <w:rsid w:val="00653BC6"/>
    <w:rsid w:val="00654103"/>
    <w:rsid w:val="00654705"/>
    <w:rsid w:val="00655E2D"/>
    <w:rsid w:val="00656218"/>
    <w:rsid w:val="0065626D"/>
    <w:rsid w:val="006573C9"/>
    <w:rsid w:val="0065764C"/>
    <w:rsid w:val="0066061D"/>
    <w:rsid w:val="00660718"/>
    <w:rsid w:val="00661191"/>
    <w:rsid w:val="006611DF"/>
    <w:rsid w:val="00661240"/>
    <w:rsid w:val="006614BF"/>
    <w:rsid w:val="006615F2"/>
    <w:rsid w:val="0066169A"/>
    <w:rsid w:val="00661FE7"/>
    <w:rsid w:val="00662328"/>
    <w:rsid w:val="00662594"/>
    <w:rsid w:val="006628BB"/>
    <w:rsid w:val="00662C1A"/>
    <w:rsid w:val="006632B5"/>
    <w:rsid w:val="0066368F"/>
    <w:rsid w:val="00664208"/>
    <w:rsid w:val="006644D9"/>
    <w:rsid w:val="00664A49"/>
    <w:rsid w:val="00664C76"/>
    <w:rsid w:val="0066590E"/>
    <w:rsid w:val="00665C95"/>
    <w:rsid w:val="0066711D"/>
    <w:rsid w:val="006671B0"/>
    <w:rsid w:val="006671B8"/>
    <w:rsid w:val="00667375"/>
    <w:rsid w:val="0066760A"/>
    <w:rsid w:val="0066761B"/>
    <w:rsid w:val="00667785"/>
    <w:rsid w:val="006678F3"/>
    <w:rsid w:val="00667EA0"/>
    <w:rsid w:val="006704BB"/>
    <w:rsid w:val="006709B0"/>
    <w:rsid w:val="00670BAB"/>
    <w:rsid w:val="006711C4"/>
    <w:rsid w:val="00671228"/>
    <w:rsid w:val="006715A0"/>
    <w:rsid w:val="0067162C"/>
    <w:rsid w:val="00671C0F"/>
    <w:rsid w:val="00672022"/>
    <w:rsid w:val="00672184"/>
    <w:rsid w:val="006723B1"/>
    <w:rsid w:val="00673010"/>
    <w:rsid w:val="006731F6"/>
    <w:rsid w:val="006733CE"/>
    <w:rsid w:val="00673E08"/>
    <w:rsid w:val="00673F63"/>
    <w:rsid w:val="00674C55"/>
    <w:rsid w:val="00675694"/>
    <w:rsid w:val="006762DA"/>
    <w:rsid w:val="00676526"/>
    <w:rsid w:val="0067685F"/>
    <w:rsid w:val="00676FA0"/>
    <w:rsid w:val="0067719F"/>
    <w:rsid w:val="0067743E"/>
    <w:rsid w:val="00677613"/>
    <w:rsid w:val="0067767F"/>
    <w:rsid w:val="00677841"/>
    <w:rsid w:val="00677931"/>
    <w:rsid w:val="00677E64"/>
    <w:rsid w:val="00680FA0"/>
    <w:rsid w:val="006816B9"/>
    <w:rsid w:val="00681B02"/>
    <w:rsid w:val="00681D0F"/>
    <w:rsid w:val="00681F16"/>
    <w:rsid w:val="00681FCE"/>
    <w:rsid w:val="006821C5"/>
    <w:rsid w:val="006823FB"/>
    <w:rsid w:val="0068295B"/>
    <w:rsid w:val="00682A35"/>
    <w:rsid w:val="00682AC9"/>
    <w:rsid w:val="00682E63"/>
    <w:rsid w:val="0068305E"/>
    <w:rsid w:val="00683FBC"/>
    <w:rsid w:val="00684375"/>
    <w:rsid w:val="0068437C"/>
    <w:rsid w:val="00684604"/>
    <w:rsid w:val="00684B07"/>
    <w:rsid w:val="00684C5F"/>
    <w:rsid w:val="00685227"/>
    <w:rsid w:val="006857BF"/>
    <w:rsid w:val="00685898"/>
    <w:rsid w:val="00686152"/>
    <w:rsid w:val="006865E5"/>
    <w:rsid w:val="006867E0"/>
    <w:rsid w:val="006905BA"/>
    <w:rsid w:val="00690D4F"/>
    <w:rsid w:val="00691313"/>
    <w:rsid w:val="00691404"/>
    <w:rsid w:val="00696E9D"/>
    <w:rsid w:val="006970DD"/>
    <w:rsid w:val="006978BC"/>
    <w:rsid w:val="00697C82"/>
    <w:rsid w:val="00697CBB"/>
    <w:rsid w:val="006A0392"/>
    <w:rsid w:val="006A068A"/>
    <w:rsid w:val="006A0EE2"/>
    <w:rsid w:val="006A13A7"/>
    <w:rsid w:val="006A1563"/>
    <w:rsid w:val="006A1832"/>
    <w:rsid w:val="006A19D0"/>
    <w:rsid w:val="006A1F5F"/>
    <w:rsid w:val="006A21D1"/>
    <w:rsid w:val="006A27F5"/>
    <w:rsid w:val="006A287D"/>
    <w:rsid w:val="006A2AFF"/>
    <w:rsid w:val="006A2BAA"/>
    <w:rsid w:val="006A2C22"/>
    <w:rsid w:val="006A32A3"/>
    <w:rsid w:val="006A32C1"/>
    <w:rsid w:val="006A3A21"/>
    <w:rsid w:val="006A3CD8"/>
    <w:rsid w:val="006A3F9A"/>
    <w:rsid w:val="006A4143"/>
    <w:rsid w:val="006A4EC0"/>
    <w:rsid w:val="006A50AE"/>
    <w:rsid w:val="006A563E"/>
    <w:rsid w:val="006A5849"/>
    <w:rsid w:val="006A58AC"/>
    <w:rsid w:val="006A5C4E"/>
    <w:rsid w:val="006A65D2"/>
    <w:rsid w:val="006A7560"/>
    <w:rsid w:val="006A76F7"/>
    <w:rsid w:val="006B0B51"/>
    <w:rsid w:val="006B14C4"/>
    <w:rsid w:val="006B1639"/>
    <w:rsid w:val="006B1BED"/>
    <w:rsid w:val="006B2417"/>
    <w:rsid w:val="006B2C7B"/>
    <w:rsid w:val="006B2F3C"/>
    <w:rsid w:val="006B3A1D"/>
    <w:rsid w:val="006B4319"/>
    <w:rsid w:val="006B4ACA"/>
    <w:rsid w:val="006B4C0C"/>
    <w:rsid w:val="006B579D"/>
    <w:rsid w:val="006B59A0"/>
    <w:rsid w:val="006B5D1D"/>
    <w:rsid w:val="006B6205"/>
    <w:rsid w:val="006B63D9"/>
    <w:rsid w:val="006B6E6F"/>
    <w:rsid w:val="006B73BB"/>
    <w:rsid w:val="006B78D6"/>
    <w:rsid w:val="006B7B94"/>
    <w:rsid w:val="006B7F81"/>
    <w:rsid w:val="006C03FA"/>
    <w:rsid w:val="006C11AE"/>
    <w:rsid w:val="006C1210"/>
    <w:rsid w:val="006C1C5B"/>
    <w:rsid w:val="006C1FA6"/>
    <w:rsid w:val="006C202B"/>
    <w:rsid w:val="006C2233"/>
    <w:rsid w:val="006C2956"/>
    <w:rsid w:val="006C2EDA"/>
    <w:rsid w:val="006C2FB4"/>
    <w:rsid w:val="006C3341"/>
    <w:rsid w:val="006C35DA"/>
    <w:rsid w:val="006C42FF"/>
    <w:rsid w:val="006C453E"/>
    <w:rsid w:val="006C49AA"/>
    <w:rsid w:val="006C4DDD"/>
    <w:rsid w:val="006C4E5A"/>
    <w:rsid w:val="006C504A"/>
    <w:rsid w:val="006C5BED"/>
    <w:rsid w:val="006C5FC5"/>
    <w:rsid w:val="006C6004"/>
    <w:rsid w:val="006C670E"/>
    <w:rsid w:val="006C696D"/>
    <w:rsid w:val="006C6988"/>
    <w:rsid w:val="006C7603"/>
    <w:rsid w:val="006C78AF"/>
    <w:rsid w:val="006C7B4D"/>
    <w:rsid w:val="006C7D11"/>
    <w:rsid w:val="006D05D8"/>
    <w:rsid w:val="006D0ACA"/>
    <w:rsid w:val="006D135A"/>
    <w:rsid w:val="006D145F"/>
    <w:rsid w:val="006D17F2"/>
    <w:rsid w:val="006D18A5"/>
    <w:rsid w:val="006D1BB9"/>
    <w:rsid w:val="006D1C1D"/>
    <w:rsid w:val="006D1CA6"/>
    <w:rsid w:val="006D1D7A"/>
    <w:rsid w:val="006D2688"/>
    <w:rsid w:val="006D311B"/>
    <w:rsid w:val="006D37DB"/>
    <w:rsid w:val="006D38EC"/>
    <w:rsid w:val="006D3EC7"/>
    <w:rsid w:val="006D449B"/>
    <w:rsid w:val="006D47B9"/>
    <w:rsid w:val="006D484D"/>
    <w:rsid w:val="006D5032"/>
    <w:rsid w:val="006D552D"/>
    <w:rsid w:val="006D5FAB"/>
    <w:rsid w:val="006D6593"/>
    <w:rsid w:val="006D6811"/>
    <w:rsid w:val="006D6812"/>
    <w:rsid w:val="006D68A1"/>
    <w:rsid w:val="006D7466"/>
    <w:rsid w:val="006E051A"/>
    <w:rsid w:val="006E0700"/>
    <w:rsid w:val="006E074B"/>
    <w:rsid w:val="006E0AD0"/>
    <w:rsid w:val="006E0E2F"/>
    <w:rsid w:val="006E1210"/>
    <w:rsid w:val="006E1D5D"/>
    <w:rsid w:val="006E209E"/>
    <w:rsid w:val="006E24DB"/>
    <w:rsid w:val="006E2C3A"/>
    <w:rsid w:val="006E3A4A"/>
    <w:rsid w:val="006E408A"/>
    <w:rsid w:val="006E41A9"/>
    <w:rsid w:val="006E4CDF"/>
    <w:rsid w:val="006E52B1"/>
    <w:rsid w:val="006E53A2"/>
    <w:rsid w:val="006E5505"/>
    <w:rsid w:val="006E5628"/>
    <w:rsid w:val="006E5E4C"/>
    <w:rsid w:val="006E6038"/>
    <w:rsid w:val="006E606B"/>
    <w:rsid w:val="006E6AC7"/>
    <w:rsid w:val="006E6E38"/>
    <w:rsid w:val="006E7335"/>
    <w:rsid w:val="006E7600"/>
    <w:rsid w:val="006E7668"/>
    <w:rsid w:val="006E771A"/>
    <w:rsid w:val="006F024A"/>
    <w:rsid w:val="006F0341"/>
    <w:rsid w:val="006F0756"/>
    <w:rsid w:val="006F08B4"/>
    <w:rsid w:val="006F08D2"/>
    <w:rsid w:val="006F1050"/>
    <w:rsid w:val="006F1AC3"/>
    <w:rsid w:val="006F1E91"/>
    <w:rsid w:val="006F2200"/>
    <w:rsid w:val="006F2205"/>
    <w:rsid w:val="006F2497"/>
    <w:rsid w:val="006F26A6"/>
    <w:rsid w:val="006F2C7E"/>
    <w:rsid w:val="006F2C9B"/>
    <w:rsid w:val="006F2E9B"/>
    <w:rsid w:val="006F31F1"/>
    <w:rsid w:val="006F383A"/>
    <w:rsid w:val="006F39B7"/>
    <w:rsid w:val="006F452D"/>
    <w:rsid w:val="006F4740"/>
    <w:rsid w:val="006F4BCA"/>
    <w:rsid w:val="006F519F"/>
    <w:rsid w:val="006F5324"/>
    <w:rsid w:val="006F5458"/>
    <w:rsid w:val="006F5E3D"/>
    <w:rsid w:val="006F718A"/>
    <w:rsid w:val="006F75D2"/>
    <w:rsid w:val="006F7CA3"/>
    <w:rsid w:val="00701921"/>
    <w:rsid w:val="00701A6B"/>
    <w:rsid w:val="00702CA2"/>
    <w:rsid w:val="0070341C"/>
    <w:rsid w:val="00703E06"/>
    <w:rsid w:val="0070480E"/>
    <w:rsid w:val="00704CA9"/>
    <w:rsid w:val="007051B4"/>
    <w:rsid w:val="00705509"/>
    <w:rsid w:val="0070577E"/>
    <w:rsid w:val="00705A3A"/>
    <w:rsid w:val="00705C57"/>
    <w:rsid w:val="00705CD3"/>
    <w:rsid w:val="00706334"/>
    <w:rsid w:val="00706FE7"/>
    <w:rsid w:val="00707B07"/>
    <w:rsid w:val="0071003E"/>
    <w:rsid w:val="00710A21"/>
    <w:rsid w:val="00711351"/>
    <w:rsid w:val="0071144F"/>
    <w:rsid w:val="0071167E"/>
    <w:rsid w:val="0071224A"/>
    <w:rsid w:val="0071234D"/>
    <w:rsid w:val="0071383C"/>
    <w:rsid w:val="0071385D"/>
    <w:rsid w:val="00714253"/>
    <w:rsid w:val="007145CB"/>
    <w:rsid w:val="00714C36"/>
    <w:rsid w:val="00714CF8"/>
    <w:rsid w:val="00714F38"/>
    <w:rsid w:val="007151B3"/>
    <w:rsid w:val="007153FB"/>
    <w:rsid w:val="007155D2"/>
    <w:rsid w:val="00715764"/>
    <w:rsid w:val="007157EB"/>
    <w:rsid w:val="00715808"/>
    <w:rsid w:val="00715948"/>
    <w:rsid w:val="007161ED"/>
    <w:rsid w:val="007168E6"/>
    <w:rsid w:val="00716AFF"/>
    <w:rsid w:val="00716C0C"/>
    <w:rsid w:val="00716CDF"/>
    <w:rsid w:val="00716D3F"/>
    <w:rsid w:val="00716F6A"/>
    <w:rsid w:val="00716F92"/>
    <w:rsid w:val="007174F0"/>
    <w:rsid w:val="007175E1"/>
    <w:rsid w:val="0071788C"/>
    <w:rsid w:val="00720200"/>
    <w:rsid w:val="0072139A"/>
    <w:rsid w:val="00721554"/>
    <w:rsid w:val="007237E3"/>
    <w:rsid w:val="007237F4"/>
    <w:rsid w:val="00723EA1"/>
    <w:rsid w:val="007241E4"/>
    <w:rsid w:val="00724891"/>
    <w:rsid w:val="00724EF8"/>
    <w:rsid w:val="00724F9F"/>
    <w:rsid w:val="007256C8"/>
    <w:rsid w:val="007256D4"/>
    <w:rsid w:val="00725C3C"/>
    <w:rsid w:val="007263FE"/>
    <w:rsid w:val="00726F13"/>
    <w:rsid w:val="00727582"/>
    <w:rsid w:val="00727A17"/>
    <w:rsid w:val="00730252"/>
    <w:rsid w:val="0073026A"/>
    <w:rsid w:val="0073030A"/>
    <w:rsid w:val="0073070C"/>
    <w:rsid w:val="0073128D"/>
    <w:rsid w:val="007316E8"/>
    <w:rsid w:val="007319F0"/>
    <w:rsid w:val="00731DE4"/>
    <w:rsid w:val="007324A2"/>
    <w:rsid w:val="007325F6"/>
    <w:rsid w:val="00733090"/>
    <w:rsid w:val="007336C5"/>
    <w:rsid w:val="0073380D"/>
    <w:rsid w:val="00733B69"/>
    <w:rsid w:val="00733FC0"/>
    <w:rsid w:val="00734777"/>
    <w:rsid w:val="0073486E"/>
    <w:rsid w:val="0073491E"/>
    <w:rsid w:val="00734B04"/>
    <w:rsid w:val="00734D23"/>
    <w:rsid w:val="00735081"/>
    <w:rsid w:val="00735935"/>
    <w:rsid w:val="007360D3"/>
    <w:rsid w:val="0073660D"/>
    <w:rsid w:val="0073711E"/>
    <w:rsid w:val="0073753B"/>
    <w:rsid w:val="0073758F"/>
    <w:rsid w:val="00740134"/>
    <w:rsid w:val="00740154"/>
    <w:rsid w:val="007402A8"/>
    <w:rsid w:val="00740FD3"/>
    <w:rsid w:val="0074105C"/>
    <w:rsid w:val="0074121F"/>
    <w:rsid w:val="00741355"/>
    <w:rsid w:val="00741A38"/>
    <w:rsid w:val="00741E4E"/>
    <w:rsid w:val="00741F36"/>
    <w:rsid w:val="00742592"/>
    <w:rsid w:val="007426DF"/>
    <w:rsid w:val="00742900"/>
    <w:rsid w:val="00742C38"/>
    <w:rsid w:val="00742E1F"/>
    <w:rsid w:val="00742E6B"/>
    <w:rsid w:val="007432FB"/>
    <w:rsid w:val="007433E3"/>
    <w:rsid w:val="00743416"/>
    <w:rsid w:val="00743508"/>
    <w:rsid w:val="00743E1D"/>
    <w:rsid w:val="0074403F"/>
    <w:rsid w:val="0074404E"/>
    <w:rsid w:val="00744D62"/>
    <w:rsid w:val="00744D93"/>
    <w:rsid w:val="00744F77"/>
    <w:rsid w:val="007453A3"/>
    <w:rsid w:val="00745550"/>
    <w:rsid w:val="007456A0"/>
    <w:rsid w:val="007457B7"/>
    <w:rsid w:val="0074594B"/>
    <w:rsid w:val="00747A67"/>
    <w:rsid w:val="00747AB8"/>
    <w:rsid w:val="0075149B"/>
    <w:rsid w:val="00752A3A"/>
    <w:rsid w:val="00752C7B"/>
    <w:rsid w:val="00754618"/>
    <w:rsid w:val="0075483E"/>
    <w:rsid w:val="007549C2"/>
    <w:rsid w:val="00755090"/>
    <w:rsid w:val="00755159"/>
    <w:rsid w:val="00755D7B"/>
    <w:rsid w:val="007563A9"/>
    <w:rsid w:val="00756F2A"/>
    <w:rsid w:val="007571D0"/>
    <w:rsid w:val="007600A1"/>
    <w:rsid w:val="00760358"/>
    <w:rsid w:val="00760679"/>
    <w:rsid w:val="007606E2"/>
    <w:rsid w:val="00761088"/>
    <w:rsid w:val="007612CD"/>
    <w:rsid w:val="00761900"/>
    <w:rsid w:val="00761D6D"/>
    <w:rsid w:val="00761E9B"/>
    <w:rsid w:val="00762A7D"/>
    <w:rsid w:val="00762F00"/>
    <w:rsid w:val="00763053"/>
    <w:rsid w:val="00763476"/>
    <w:rsid w:val="007637E2"/>
    <w:rsid w:val="00763C21"/>
    <w:rsid w:val="00763FC1"/>
    <w:rsid w:val="00764012"/>
    <w:rsid w:val="00764158"/>
    <w:rsid w:val="00764483"/>
    <w:rsid w:val="00764EFE"/>
    <w:rsid w:val="007658AD"/>
    <w:rsid w:val="00765A9F"/>
    <w:rsid w:val="007660E5"/>
    <w:rsid w:val="00766342"/>
    <w:rsid w:val="007666FB"/>
    <w:rsid w:val="00766BE8"/>
    <w:rsid w:val="00766FFD"/>
    <w:rsid w:val="00770607"/>
    <w:rsid w:val="00770914"/>
    <w:rsid w:val="00770B91"/>
    <w:rsid w:val="00770EC5"/>
    <w:rsid w:val="00770FE1"/>
    <w:rsid w:val="007711F7"/>
    <w:rsid w:val="00771241"/>
    <w:rsid w:val="007715CE"/>
    <w:rsid w:val="007722B7"/>
    <w:rsid w:val="00772AB8"/>
    <w:rsid w:val="00773BCF"/>
    <w:rsid w:val="00774052"/>
    <w:rsid w:val="00774D27"/>
    <w:rsid w:val="0077529A"/>
    <w:rsid w:val="0077555C"/>
    <w:rsid w:val="00775700"/>
    <w:rsid w:val="0077621B"/>
    <w:rsid w:val="00776427"/>
    <w:rsid w:val="0077672F"/>
    <w:rsid w:val="007777C8"/>
    <w:rsid w:val="00777DBA"/>
    <w:rsid w:val="00780487"/>
    <w:rsid w:val="0078094B"/>
    <w:rsid w:val="00780DD4"/>
    <w:rsid w:val="00781D2E"/>
    <w:rsid w:val="00782410"/>
    <w:rsid w:val="007825ED"/>
    <w:rsid w:val="00782AB7"/>
    <w:rsid w:val="007838F3"/>
    <w:rsid w:val="00783BC8"/>
    <w:rsid w:val="00783C2A"/>
    <w:rsid w:val="00783E9C"/>
    <w:rsid w:val="00783F03"/>
    <w:rsid w:val="007844B6"/>
    <w:rsid w:val="0078487A"/>
    <w:rsid w:val="0078487E"/>
    <w:rsid w:val="007849D6"/>
    <w:rsid w:val="00784B7A"/>
    <w:rsid w:val="0078509E"/>
    <w:rsid w:val="007852C8"/>
    <w:rsid w:val="00785667"/>
    <w:rsid w:val="00785E90"/>
    <w:rsid w:val="0078669A"/>
    <w:rsid w:val="00787214"/>
    <w:rsid w:val="00787772"/>
    <w:rsid w:val="007901BB"/>
    <w:rsid w:val="00790ECA"/>
    <w:rsid w:val="00791441"/>
    <w:rsid w:val="007914D3"/>
    <w:rsid w:val="0079177D"/>
    <w:rsid w:val="00792626"/>
    <w:rsid w:val="00792CE7"/>
    <w:rsid w:val="007932D8"/>
    <w:rsid w:val="00793BD0"/>
    <w:rsid w:val="00793FE6"/>
    <w:rsid w:val="00794E9C"/>
    <w:rsid w:val="00795737"/>
    <w:rsid w:val="00796BC3"/>
    <w:rsid w:val="00796C9C"/>
    <w:rsid w:val="00796EB0"/>
    <w:rsid w:val="00797C8A"/>
    <w:rsid w:val="007A0849"/>
    <w:rsid w:val="007A1055"/>
    <w:rsid w:val="007A1603"/>
    <w:rsid w:val="007A1AB6"/>
    <w:rsid w:val="007A1DFC"/>
    <w:rsid w:val="007A24A1"/>
    <w:rsid w:val="007A298E"/>
    <w:rsid w:val="007A2C0A"/>
    <w:rsid w:val="007A2DC9"/>
    <w:rsid w:val="007A307F"/>
    <w:rsid w:val="007A326E"/>
    <w:rsid w:val="007A34AB"/>
    <w:rsid w:val="007A3F4A"/>
    <w:rsid w:val="007A419E"/>
    <w:rsid w:val="007A42B4"/>
    <w:rsid w:val="007A48CD"/>
    <w:rsid w:val="007A4A23"/>
    <w:rsid w:val="007A4F04"/>
    <w:rsid w:val="007A4F7D"/>
    <w:rsid w:val="007A50AB"/>
    <w:rsid w:val="007A54C0"/>
    <w:rsid w:val="007A592F"/>
    <w:rsid w:val="007A5DB1"/>
    <w:rsid w:val="007A5EE9"/>
    <w:rsid w:val="007A5FC1"/>
    <w:rsid w:val="007A60B5"/>
    <w:rsid w:val="007A6BFD"/>
    <w:rsid w:val="007A6D6C"/>
    <w:rsid w:val="007A6E17"/>
    <w:rsid w:val="007A7099"/>
    <w:rsid w:val="007A73F3"/>
    <w:rsid w:val="007A7580"/>
    <w:rsid w:val="007A7732"/>
    <w:rsid w:val="007A7790"/>
    <w:rsid w:val="007A789B"/>
    <w:rsid w:val="007B084B"/>
    <w:rsid w:val="007B0AFF"/>
    <w:rsid w:val="007B159C"/>
    <w:rsid w:val="007B18D5"/>
    <w:rsid w:val="007B1F2F"/>
    <w:rsid w:val="007B1F86"/>
    <w:rsid w:val="007B217A"/>
    <w:rsid w:val="007B25D6"/>
    <w:rsid w:val="007B28BF"/>
    <w:rsid w:val="007B2B07"/>
    <w:rsid w:val="007B2CC8"/>
    <w:rsid w:val="007B30C5"/>
    <w:rsid w:val="007B3185"/>
    <w:rsid w:val="007B3596"/>
    <w:rsid w:val="007B3D4D"/>
    <w:rsid w:val="007B3D99"/>
    <w:rsid w:val="007B3E68"/>
    <w:rsid w:val="007B450E"/>
    <w:rsid w:val="007B4D42"/>
    <w:rsid w:val="007B4D91"/>
    <w:rsid w:val="007B4E6D"/>
    <w:rsid w:val="007B5329"/>
    <w:rsid w:val="007B5512"/>
    <w:rsid w:val="007B5556"/>
    <w:rsid w:val="007B5870"/>
    <w:rsid w:val="007B5A67"/>
    <w:rsid w:val="007B6864"/>
    <w:rsid w:val="007B6C7C"/>
    <w:rsid w:val="007B6F1D"/>
    <w:rsid w:val="007B6FED"/>
    <w:rsid w:val="007B7B43"/>
    <w:rsid w:val="007B7BBE"/>
    <w:rsid w:val="007B7DCF"/>
    <w:rsid w:val="007C00AD"/>
    <w:rsid w:val="007C0577"/>
    <w:rsid w:val="007C0CD8"/>
    <w:rsid w:val="007C1482"/>
    <w:rsid w:val="007C20D6"/>
    <w:rsid w:val="007C2662"/>
    <w:rsid w:val="007C2848"/>
    <w:rsid w:val="007C2A98"/>
    <w:rsid w:val="007C2AA0"/>
    <w:rsid w:val="007C2B01"/>
    <w:rsid w:val="007C3A3D"/>
    <w:rsid w:val="007C3B67"/>
    <w:rsid w:val="007C3CDF"/>
    <w:rsid w:val="007C5001"/>
    <w:rsid w:val="007C5301"/>
    <w:rsid w:val="007C5CC2"/>
    <w:rsid w:val="007C5D53"/>
    <w:rsid w:val="007C677C"/>
    <w:rsid w:val="007C6E1F"/>
    <w:rsid w:val="007C704B"/>
    <w:rsid w:val="007C74F5"/>
    <w:rsid w:val="007C76E4"/>
    <w:rsid w:val="007C7893"/>
    <w:rsid w:val="007C7B6A"/>
    <w:rsid w:val="007C7DE7"/>
    <w:rsid w:val="007C7E8F"/>
    <w:rsid w:val="007C7FC3"/>
    <w:rsid w:val="007D04A2"/>
    <w:rsid w:val="007D114B"/>
    <w:rsid w:val="007D17A2"/>
    <w:rsid w:val="007D2272"/>
    <w:rsid w:val="007D2BEC"/>
    <w:rsid w:val="007D2EE4"/>
    <w:rsid w:val="007D359A"/>
    <w:rsid w:val="007D3747"/>
    <w:rsid w:val="007D37A0"/>
    <w:rsid w:val="007D381F"/>
    <w:rsid w:val="007D3DD4"/>
    <w:rsid w:val="007D3E34"/>
    <w:rsid w:val="007D41C8"/>
    <w:rsid w:val="007D4296"/>
    <w:rsid w:val="007D42FF"/>
    <w:rsid w:val="007D4595"/>
    <w:rsid w:val="007D50B7"/>
    <w:rsid w:val="007D5218"/>
    <w:rsid w:val="007D5729"/>
    <w:rsid w:val="007D58D1"/>
    <w:rsid w:val="007D598E"/>
    <w:rsid w:val="007D5AC5"/>
    <w:rsid w:val="007D60B6"/>
    <w:rsid w:val="007D6647"/>
    <w:rsid w:val="007D7184"/>
    <w:rsid w:val="007D78C3"/>
    <w:rsid w:val="007E042A"/>
    <w:rsid w:val="007E0B2B"/>
    <w:rsid w:val="007E0D7F"/>
    <w:rsid w:val="007E100C"/>
    <w:rsid w:val="007E10AA"/>
    <w:rsid w:val="007E1A3E"/>
    <w:rsid w:val="007E208D"/>
    <w:rsid w:val="007E2768"/>
    <w:rsid w:val="007E2C42"/>
    <w:rsid w:val="007E2E77"/>
    <w:rsid w:val="007E3656"/>
    <w:rsid w:val="007E3CEF"/>
    <w:rsid w:val="007E3DB9"/>
    <w:rsid w:val="007E47C5"/>
    <w:rsid w:val="007E59C7"/>
    <w:rsid w:val="007E627A"/>
    <w:rsid w:val="007E68D9"/>
    <w:rsid w:val="007E6E54"/>
    <w:rsid w:val="007E6F5B"/>
    <w:rsid w:val="007E7896"/>
    <w:rsid w:val="007E7897"/>
    <w:rsid w:val="007E791C"/>
    <w:rsid w:val="007E7FE5"/>
    <w:rsid w:val="007F03FD"/>
    <w:rsid w:val="007F0DD1"/>
    <w:rsid w:val="007F0E04"/>
    <w:rsid w:val="007F11BA"/>
    <w:rsid w:val="007F121C"/>
    <w:rsid w:val="007F1366"/>
    <w:rsid w:val="007F1452"/>
    <w:rsid w:val="007F164E"/>
    <w:rsid w:val="007F199A"/>
    <w:rsid w:val="007F1B8F"/>
    <w:rsid w:val="007F2803"/>
    <w:rsid w:val="007F2970"/>
    <w:rsid w:val="007F2B01"/>
    <w:rsid w:val="007F2C7F"/>
    <w:rsid w:val="007F34A5"/>
    <w:rsid w:val="007F3763"/>
    <w:rsid w:val="007F39A0"/>
    <w:rsid w:val="007F430A"/>
    <w:rsid w:val="007F43AE"/>
    <w:rsid w:val="007F4725"/>
    <w:rsid w:val="007F5484"/>
    <w:rsid w:val="007F5B6C"/>
    <w:rsid w:val="007F61EF"/>
    <w:rsid w:val="007F6458"/>
    <w:rsid w:val="007F6613"/>
    <w:rsid w:val="007F669A"/>
    <w:rsid w:val="007F6933"/>
    <w:rsid w:val="007F6E76"/>
    <w:rsid w:val="007F7124"/>
    <w:rsid w:val="007F7270"/>
    <w:rsid w:val="007F76D9"/>
    <w:rsid w:val="007F7703"/>
    <w:rsid w:val="007F7AC8"/>
    <w:rsid w:val="008003E4"/>
    <w:rsid w:val="008005C9"/>
    <w:rsid w:val="00801140"/>
    <w:rsid w:val="008012E9"/>
    <w:rsid w:val="00801402"/>
    <w:rsid w:val="0080167A"/>
    <w:rsid w:val="00801839"/>
    <w:rsid w:val="00801A34"/>
    <w:rsid w:val="00801D8C"/>
    <w:rsid w:val="00802AD8"/>
    <w:rsid w:val="00802E0F"/>
    <w:rsid w:val="00803063"/>
    <w:rsid w:val="008043BB"/>
    <w:rsid w:val="008049E9"/>
    <w:rsid w:val="008054A0"/>
    <w:rsid w:val="00805D93"/>
    <w:rsid w:val="00805ECB"/>
    <w:rsid w:val="00806555"/>
    <w:rsid w:val="0080799E"/>
    <w:rsid w:val="00807CF8"/>
    <w:rsid w:val="008108A6"/>
    <w:rsid w:val="00811208"/>
    <w:rsid w:val="00811299"/>
    <w:rsid w:val="008114AC"/>
    <w:rsid w:val="00811C4B"/>
    <w:rsid w:val="00812A1E"/>
    <w:rsid w:val="00813564"/>
    <w:rsid w:val="008136CC"/>
    <w:rsid w:val="00814430"/>
    <w:rsid w:val="00814BC0"/>
    <w:rsid w:val="00814BF9"/>
    <w:rsid w:val="00814DAE"/>
    <w:rsid w:val="00814F49"/>
    <w:rsid w:val="00814FCC"/>
    <w:rsid w:val="00815A69"/>
    <w:rsid w:val="00815D4B"/>
    <w:rsid w:val="00815D9A"/>
    <w:rsid w:val="00817AAB"/>
    <w:rsid w:val="00817E93"/>
    <w:rsid w:val="00821C7A"/>
    <w:rsid w:val="00821CBF"/>
    <w:rsid w:val="00821D4C"/>
    <w:rsid w:val="008225AB"/>
    <w:rsid w:val="00822FA9"/>
    <w:rsid w:val="00823008"/>
    <w:rsid w:val="008237DE"/>
    <w:rsid w:val="00823864"/>
    <w:rsid w:val="00824749"/>
    <w:rsid w:val="00824B30"/>
    <w:rsid w:val="008257B9"/>
    <w:rsid w:val="00825D4C"/>
    <w:rsid w:val="00826321"/>
    <w:rsid w:val="00826E02"/>
    <w:rsid w:val="00827042"/>
    <w:rsid w:val="008276B2"/>
    <w:rsid w:val="008278A5"/>
    <w:rsid w:val="00827D3B"/>
    <w:rsid w:val="00830A3E"/>
    <w:rsid w:val="008329E5"/>
    <w:rsid w:val="00832EFA"/>
    <w:rsid w:val="0083332A"/>
    <w:rsid w:val="00833594"/>
    <w:rsid w:val="008338FD"/>
    <w:rsid w:val="0083394D"/>
    <w:rsid w:val="00833972"/>
    <w:rsid w:val="00833A63"/>
    <w:rsid w:val="00833BB1"/>
    <w:rsid w:val="00833C29"/>
    <w:rsid w:val="00834669"/>
    <w:rsid w:val="008347C5"/>
    <w:rsid w:val="0083494B"/>
    <w:rsid w:val="00834B66"/>
    <w:rsid w:val="00834C1E"/>
    <w:rsid w:val="008350EB"/>
    <w:rsid w:val="008354D5"/>
    <w:rsid w:val="00835B61"/>
    <w:rsid w:val="00836475"/>
    <w:rsid w:val="00837082"/>
    <w:rsid w:val="008375BD"/>
    <w:rsid w:val="00837DA4"/>
    <w:rsid w:val="00840356"/>
    <w:rsid w:val="00841184"/>
    <w:rsid w:val="00841222"/>
    <w:rsid w:val="008414BB"/>
    <w:rsid w:val="008424FB"/>
    <w:rsid w:val="008425D1"/>
    <w:rsid w:val="00842ACE"/>
    <w:rsid w:val="00843309"/>
    <w:rsid w:val="00843615"/>
    <w:rsid w:val="00843BA6"/>
    <w:rsid w:val="00843EC6"/>
    <w:rsid w:val="00843F3D"/>
    <w:rsid w:val="00844360"/>
    <w:rsid w:val="008444DC"/>
    <w:rsid w:val="008453FB"/>
    <w:rsid w:val="008456B3"/>
    <w:rsid w:val="00845E84"/>
    <w:rsid w:val="008470B0"/>
    <w:rsid w:val="00847713"/>
    <w:rsid w:val="00847CA2"/>
    <w:rsid w:val="008500A1"/>
    <w:rsid w:val="008500F7"/>
    <w:rsid w:val="0085023E"/>
    <w:rsid w:val="00850357"/>
    <w:rsid w:val="00851534"/>
    <w:rsid w:val="0085154C"/>
    <w:rsid w:val="008515C5"/>
    <w:rsid w:val="0085160E"/>
    <w:rsid w:val="00851CA8"/>
    <w:rsid w:val="00851CCF"/>
    <w:rsid w:val="00851D5B"/>
    <w:rsid w:val="00852087"/>
    <w:rsid w:val="00852091"/>
    <w:rsid w:val="00852173"/>
    <w:rsid w:val="00852236"/>
    <w:rsid w:val="008527FA"/>
    <w:rsid w:val="00852CF2"/>
    <w:rsid w:val="0085305C"/>
    <w:rsid w:val="008532D5"/>
    <w:rsid w:val="00853496"/>
    <w:rsid w:val="00853CE3"/>
    <w:rsid w:val="00853E59"/>
    <w:rsid w:val="00853E76"/>
    <w:rsid w:val="00854848"/>
    <w:rsid w:val="00854E5B"/>
    <w:rsid w:val="0085515A"/>
    <w:rsid w:val="008556B6"/>
    <w:rsid w:val="00855A3E"/>
    <w:rsid w:val="00855AA5"/>
    <w:rsid w:val="00855BDB"/>
    <w:rsid w:val="008563E9"/>
    <w:rsid w:val="008568DD"/>
    <w:rsid w:val="00857014"/>
    <w:rsid w:val="00857068"/>
    <w:rsid w:val="00857204"/>
    <w:rsid w:val="0085779E"/>
    <w:rsid w:val="008578B0"/>
    <w:rsid w:val="008579C5"/>
    <w:rsid w:val="00860872"/>
    <w:rsid w:val="008608DF"/>
    <w:rsid w:val="00860CA0"/>
    <w:rsid w:val="00860F31"/>
    <w:rsid w:val="0086203E"/>
    <w:rsid w:val="0086310A"/>
    <w:rsid w:val="00863328"/>
    <w:rsid w:val="0086378C"/>
    <w:rsid w:val="0086483F"/>
    <w:rsid w:val="00864BD7"/>
    <w:rsid w:val="0086505A"/>
    <w:rsid w:val="008655DC"/>
    <w:rsid w:val="008656C0"/>
    <w:rsid w:val="008658E9"/>
    <w:rsid w:val="00865BD6"/>
    <w:rsid w:val="008660E5"/>
    <w:rsid w:val="008665FB"/>
    <w:rsid w:val="0086690B"/>
    <w:rsid w:val="00867AEB"/>
    <w:rsid w:val="00867D53"/>
    <w:rsid w:val="008715C8"/>
    <w:rsid w:val="008715DE"/>
    <w:rsid w:val="00871704"/>
    <w:rsid w:val="008720DC"/>
    <w:rsid w:val="00872D8A"/>
    <w:rsid w:val="0087353E"/>
    <w:rsid w:val="008739EF"/>
    <w:rsid w:val="00873BAD"/>
    <w:rsid w:val="00873C10"/>
    <w:rsid w:val="00874071"/>
    <w:rsid w:val="00874A23"/>
    <w:rsid w:val="00874AB7"/>
    <w:rsid w:val="008758EC"/>
    <w:rsid w:val="00875941"/>
    <w:rsid w:val="00875A33"/>
    <w:rsid w:val="00876134"/>
    <w:rsid w:val="00876452"/>
    <w:rsid w:val="00876721"/>
    <w:rsid w:val="0087676C"/>
    <w:rsid w:val="00876D2D"/>
    <w:rsid w:val="008774DA"/>
    <w:rsid w:val="00880198"/>
    <w:rsid w:val="00880554"/>
    <w:rsid w:val="00880737"/>
    <w:rsid w:val="00880BFD"/>
    <w:rsid w:val="008810AB"/>
    <w:rsid w:val="00882AFA"/>
    <w:rsid w:val="0088438D"/>
    <w:rsid w:val="00884AC5"/>
    <w:rsid w:val="00884FD9"/>
    <w:rsid w:val="0088529E"/>
    <w:rsid w:val="00885822"/>
    <w:rsid w:val="00886003"/>
    <w:rsid w:val="00886279"/>
    <w:rsid w:val="008862B1"/>
    <w:rsid w:val="0088642E"/>
    <w:rsid w:val="00890264"/>
    <w:rsid w:val="00890518"/>
    <w:rsid w:val="00890613"/>
    <w:rsid w:val="00890CA7"/>
    <w:rsid w:val="00890D60"/>
    <w:rsid w:val="00890F56"/>
    <w:rsid w:val="00890F85"/>
    <w:rsid w:val="00891230"/>
    <w:rsid w:val="00891AD9"/>
    <w:rsid w:val="00891DF4"/>
    <w:rsid w:val="00892277"/>
    <w:rsid w:val="0089277A"/>
    <w:rsid w:val="0089280B"/>
    <w:rsid w:val="00892F39"/>
    <w:rsid w:val="0089333C"/>
    <w:rsid w:val="00893420"/>
    <w:rsid w:val="00894135"/>
    <w:rsid w:val="00894572"/>
    <w:rsid w:val="008949E0"/>
    <w:rsid w:val="00895033"/>
    <w:rsid w:val="0089534D"/>
    <w:rsid w:val="008967AF"/>
    <w:rsid w:val="008976D3"/>
    <w:rsid w:val="008977FC"/>
    <w:rsid w:val="008A0823"/>
    <w:rsid w:val="008A0B91"/>
    <w:rsid w:val="008A1D76"/>
    <w:rsid w:val="008A1D77"/>
    <w:rsid w:val="008A1FC0"/>
    <w:rsid w:val="008A200F"/>
    <w:rsid w:val="008A2672"/>
    <w:rsid w:val="008A2727"/>
    <w:rsid w:val="008A29AB"/>
    <w:rsid w:val="008A2D98"/>
    <w:rsid w:val="008A2FEA"/>
    <w:rsid w:val="008A31EE"/>
    <w:rsid w:val="008A348D"/>
    <w:rsid w:val="008A3831"/>
    <w:rsid w:val="008A4463"/>
    <w:rsid w:val="008A4B7E"/>
    <w:rsid w:val="008A4BBF"/>
    <w:rsid w:val="008A4D4F"/>
    <w:rsid w:val="008A5BBB"/>
    <w:rsid w:val="008A5C14"/>
    <w:rsid w:val="008A5D71"/>
    <w:rsid w:val="008A60AB"/>
    <w:rsid w:val="008A70F7"/>
    <w:rsid w:val="008A718E"/>
    <w:rsid w:val="008B0207"/>
    <w:rsid w:val="008B0B5D"/>
    <w:rsid w:val="008B0D4C"/>
    <w:rsid w:val="008B0D4D"/>
    <w:rsid w:val="008B0FCE"/>
    <w:rsid w:val="008B1D0C"/>
    <w:rsid w:val="008B1ECB"/>
    <w:rsid w:val="008B268C"/>
    <w:rsid w:val="008B2912"/>
    <w:rsid w:val="008B29E0"/>
    <w:rsid w:val="008B3221"/>
    <w:rsid w:val="008B3223"/>
    <w:rsid w:val="008B35ED"/>
    <w:rsid w:val="008B3A27"/>
    <w:rsid w:val="008B44F3"/>
    <w:rsid w:val="008B4539"/>
    <w:rsid w:val="008B47BE"/>
    <w:rsid w:val="008B4D30"/>
    <w:rsid w:val="008B501F"/>
    <w:rsid w:val="008B51BA"/>
    <w:rsid w:val="008B51D8"/>
    <w:rsid w:val="008B582F"/>
    <w:rsid w:val="008B64FF"/>
    <w:rsid w:val="008B651C"/>
    <w:rsid w:val="008B6747"/>
    <w:rsid w:val="008B67D1"/>
    <w:rsid w:val="008B6885"/>
    <w:rsid w:val="008B6CA7"/>
    <w:rsid w:val="008B7D78"/>
    <w:rsid w:val="008B7EBC"/>
    <w:rsid w:val="008C0049"/>
    <w:rsid w:val="008C01C3"/>
    <w:rsid w:val="008C02DD"/>
    <w:rsid w:val="008C033C"/>
    <w:rsid w:val="008C05E3"/>
    <w:rsid w:val="008C0FA9"/>
    <w:rsid w:val="008C128F"/>
    <w:rsid w:val="008C2589"/>
    <w:rsid w:val="008C258A"/>
    <w:rsid w:val="008C27AD"/>
    <w:rsid w:val="008C37D6"/>
    <w:rsid w:val="008C3A05"/>
    <w:rsid w:val="008C3BB0"/>
    <w:rsid w:val="008C417D"/>
    <w:rsid w:val="008C4216"/>
    <w:rsid w:val="008C48C4"/>
    <w:rsid w:val="008C4A0A"/>
    <w:rsid w:val="008C4FFC"/>
    <w:rsid w:val="008C5ABF"/>
    <w:rsid w:val="008C6277"/>
    <w:rsid w:val="008C6502"/>
    <w:rsid w:val="008C6A2D"/>
    <w:rsid w:val="008C6C35"/>
    <w:rsid w:val="008C7436"/>
    <w:rsid w:val="008D0286"/>
    <w:rsid w:val="008D0CD3"/>
    <w:rsid w:val="008D0D93"/>
    <w:rsid w:val="008D1358"/>
    <w:rsid w:val="008D1B1A"/>
    <w:rsid w:val="008D29D8"/>
    <w:rsid w:val="008D2E4A"/>
    <w:rsid w:val="008D3B75"/>
    <w:rsid w:val="008D417C"/>
    <w:rsid w:val="008D489B"/>
    <w:rsid w:val="008D4A5A"/>
    <w:rsid w:val="008D4B69"/>
    <w:rsid w:val="008D56AA"/>
    <w:rsid w:val="008D5825"/>
    <w:rsid w:val="008D58B0"/>
    <w:rsid w:val="008D6172"/>
    <w:rsid w:val="008D6205"/>
    <w:rsid w:val="008D62A4"/>
    <w:rsid w:val="008D6562"/>
    <w:rsid w:val="008D6BCE"/>
    <w:rsid w:val="008D6BFF"/>
    <w:rsid w:val="008D719A"/>
    <w:rsid w:val="008D7740"/>
    <w:rsid w:val="008D7A1F"/>
    <w:rsid w:val="008D7B8C"/>
    <w:rsid w:val="008D7C67"/>
    <w:rsid w:val="008D7D14"/>
    <w:rsid w:val="008E0168"/>
    <w:rsid w:val="008E042E"/>
    <w:rsid w:val="008E0796"/>
    <w:rsid w:val="008E0FE9"/>
    <w:rsid w:val="008E101D"/>
    <w:rsid w:val="008E1357"/>
    <w:rsid w:val="008E154E"/>
    <w:rsid w:val="008E1982"/>
    <w:rsid w:val="008E1FC5"/>
    <w:rsid w:val="008E21AA"/>
    <w:rsid w:val="008E2287"/>
    <w:rsid w:val="008E255B"/>
    <w:rsid w:val="008E2563"/>
    <w:rsid w:val="008E331B"/>
    <w:rsid w:val="008E3C13"/>
    <w:rsid w:val="008E4134"/>
    <w:rsid w:val="008E45C1"/>
    <w:rsid w:val="008E46C2"/>
    <w:rsid w:val="008E4741"/>
    <w:rsid w:val="008E541A"/>
    <w:rsid w:val="008E5823"/>
    <w:rsid w:val="008E59F6"/>
    <w:rsid w:val="008E6268"/>
    <w:rsid w:val="008E6CC6"/>
    <w:rsid w:val="008E70C6"/>
    <w:rsid w:val="008E732A"/>
    <w:rsid w:val="008E77A5"/>
    <w:rsid w:val="008E77F9"/>
    <w:rsid w:val="008F037F"/>
    <w:rsid w:val="008F0994"/>
    <w:rsid w:val="008F0B99"/>
    <w:rsid w:val="008F0D9F"/>
    <w:rsid w:val="008F0F0C"/>
    <w:rsid w:val="008F1258"/>
    <w:rsid w:val="008F1709"/>
    <w:rsid w:val="008F1BF7"/>
    <w:rsid w:val="008F25F7"/>
    <w:rsid w:val="008F2EAF"/>
    <w:rsid w:val="008F3377"/>
    <w:rsid w:val="008F34CF"/>
    <w:rsid w:val="008F4057"/>
    <w:rsid w:val="008F406C"/>
    <w:rsid w:val="008F46BA"/>
    <w:rsid w:val="008F4EB3"/>
    <w:rsid w:val="008F5482"/>
    <w:rsid w:val="008F54A2"/>
    <w:rsid w:val="008F565D"/>
    <w:rsid w:val="008F5E59"/>
    <w:rsid w:val="008F67B4"/>
    <w:rsid w:val="008F6AB3"/>
    <w:rsid w:val="008F6C8A"/>
    <w:rsid w:val="008F6E27"/>
    <w:rsid w:val="008F7C37"/>
    <w:rsid w:val="008F7F6C"/>
    <w:rsid w:val="0090042A"/>
    <w:rsid w:val="009004F5"/>
    <w:rsid w:val="00900512"/>
    <w:rsid w:val="00900635"/>
    <w:rsid w:val="00900BBD"/>
    <w:rsid w:val="00900CA1"/>
    <w:rsid w:val="00901297"/>
    <w:rsid w:val="00901B62"/>
    <w:rsid w:val="00901DFC"/>
    <w:rsid w:val="0090265C"/>
    <w:rsid w:val="00903B94"/>
    <w:rsid w:val="00903E4E"/>
    <w:rsid w:val="00903E61"/>
    <w:rsid w:val="009040F1"/>
    <w:rsid w:val="00904CBB"/>
    <w:rsid w:val="00904CDE"/>
    <w:rsid w:val="00905C99"/>
    <w:rsid w:val="00906259"/>
    <w:rsid w:val="009063DD"/>
    <w:rsid w:val="00906861"/>
    <w:rsid w:val="0090694F"/>
    <w:rsid w:val="00907337"/>
    <w:rsid w:val="009073F6"/>
    <w:rsid w:val="00907416"/>
    <w:rsid w:val="0090748F"/>
    <w:rsid w:val="009076A0"/>
    <w:rsid w:val="00907A55"/>
    <w:rsid w:val="00907D6E"/>
    <w:rsid w:val="009102C4"/>
    <w:rsid w:val="0091070E"/>
    <w:rsid w:val="00910AE8"/>
    <w:rsid w:val="00910B14"/>
    <w:rsid w:val="00910BB2"/>
    <w:rsid w:val="009110A6"/>
    <w:rsid w:val="0091166F"/>
    <w:rsid w:val="00912252"/>
    <w:rsid w:val="00912294"/>
    <w:rsid w:val="00912783"/>
    <w:rsid w:val="0091328D"/>
    <w:rsid w:val="009135E9"/>
    <w:rsid w:val="0091451E"/>
    <w:rsid w:val="009149A2"/>
    <w:rsid w:val="00914BD7"/>
    <w:rsid w:val="009152AD"/>
    <w:rsid w:val="00915387"/>
    <w:rsid w:val="009153F8"/>
    <w:rsid w:val="009154F6"/>
    <w:rsid w:val="009159AD"/>
    <w:rsid w:val="00915BF4"/>
    <w:rsid w:val="00915DB7"/>
    <w:rsid w:val="00915E4A"/>
    <w:rsid w:val="009167C3"/>
    <w:rsid w:val="00917400"/>
    <w:rsid w:val="00917C20"/>
    <w:rsid w:val="00917E65"/>
    <w:rsid w:val="009208C0"/>
    <w:rsid w:val="00920C39"/>
    <w:rsid w:val="00921666"/>
    <w:rsid w:val="0092193D"/>
    <w:rsid w:val="00921CF6"/>
    <w:rsid w:val="00922A93"/>
    <w:rsid w:val="00922AB5"/>
    <w:rsid w:val="00922CB5"/>
    <w:rsid w:val="00922EB6"/>
    <w:rsid w:val="009240B5"/>
    <w:rsid w:val="00924578"/>
    <w:rsid w:val="00924630"/>
    <w:rsid w:val="009246EB"/>
    <w:rsid w:val="009249B7"/>
    <w:rsid w:val="00924F57"/>
    <w:rsid w:val="0092509F"/>
    <w:rsid w:val="00925391"/>
    <w:rsid w:val="009256BD"/>
    <w:rsid w:val="00925A46"/>
    <w:rsid w:val="00925F18"/>
    <w:rsid w:val="00926207"/>
    <w:rsid w:val="009268C2"/>
    <w:rsid w:val="00926936"/>
    <w:rsid w:val="00927209"/>
    <w:rsid w:val="00927297"/>
    <w:rsid w:val="0092735D"/>
    <w:rsid w:val="00927D6D"/>
    <w:rsid w:val="00930B88"/>
    <w:rsid w:val="009317DD"/>
    <w:rsid w:val="0093241E"/>
    <w:rsid w:val="0093263C"/>
    <w:rsid w:val="0093265A"/>
    <w:rsid w:val="00932F8A"/>
    <w:rsid w:val="00932FF1"/>
    <w:rsid w:val="00933A34"/>
    <w:rsid w:val="0093488E"/>
    <w:rsid w:val="00935345"/>
    <w:rsid w:val="009353DC"/>
    <w:rsid w:val="00935979"/>
    <w:rsid w:val="00935E2D"/>
    <w:rsid w:val="00936751"/>
    <w:rsid w:val="00937192"/>
    <w:rsid w:val="0093743F"/>
    <w:rsid w:val="00937671"/>
    <w:rsid w:val="0093790E"/>
    <w:rsid w:val="00937AF8"/>
    <w:rsid w:val="00937C48"/>
    <w:rsid w:val="00940CD2"/>
    <w:rsid w:val="00942AE1"/>
    <w:rsid w:val="00942DC9"/>
    <w:rsid w:val="00943119"/>
    <w:rsid w:val="00944371"/>
    <w:rsid w:val="00945D78"/>
    <w:rsid w:val="00945E67"/>
    <w:rsid w:val="00946177"/>
    <w:rsid w:val="00946331"/>
    <w:rsid w:val="00946643"/>
    <w:rsid w:val="009466F9"/>
    <w:rsid w:val="00946A87"/>
    <w:rsid w:val="00946AB8"/>
    <w:rsid w:val="00947458"/>
    <w:rsid w:val="0094781A"/>
    <w:rsid w:val="00947F2E"/>
    <w:rsid w:val="00950A81"/>
    <w:rsid w:val="00951927"/>
    <w:rsid w:val="00951E31"/>
    <w:rsid w:val="00951F8F"/>
    <w:rsid w:val="0095259F"/>
    <w:rsid w:val="009528B9"/>
    <w:rsid w:val="00952BD7"/>
    <w:rsid w:val="00952F6A"/>
    <w:rsid w:val="00953C0A"/>
    <w:rsid w:val="00953F06"/>
    <w:rsid w:val="00953FBF"/>
    <w:rsid w:val="0095501A"/>
    <w:rsid w:val="009560D4"/>
    <w:rsid w:val="0095690E"/>
    <w:rsid w:val="00956C0C"/>
    <w:rsid w:val="00956EF7"/>
    <w:rsid w:val="009573D3"/>
    <w:rsid w:val="009574E6"/>
    <w:rsid w:val="00957A64"/>
    <w:rsid w:val="00957E2C"/>
    <w:rsid w:val="00960068"/>
    <w:rsid w:val="0096013E"/>
    <w:rsid w:val="00960388"/>
    <w:rsid w:val="00960641"/>
    <w:rsid w:val="0096093A"/>
    <w:rsid w:val="00960CFF"/>
    <w:rsid w:val="00960EC1"/>
    <w:rsid w:val="009618A7"/>
    <w:rsid w:val="00961E3E"/>
    <w:rsid w:val="00961E6F"/>
    <w:rsid w:val="00961F49"/>
    <w:rsid w:val="009628D1"/>
    <w:rsid w:val="00962BF9"/>
    <w:rsid w:val="00963A1D"/>
    <w:rsid w:val="00963ABA"/>
    <w:rsid w:val="00963E18"/>
    <w:rsid w:val="00963E3D"/>
    <w:rsid w:val="00964165"/>
    <w:rsid w:val="009642EE"/>
    <w:rsid w:val="0096462F"/>
    <w:rsid w:val="009647D6"/>
    <w:rsid w:val="0096518C"/>
    <w:rsid w:val="009651E1"/>
    <w:rsid w:val="00965250"/>
    <w:rsid w:val="0096585F"/>
    <w:rsid w:val="00965FE2"/>
    <w:rsid w:val="0096629D"/>
    <w:rsid w:val="009666E2"/>
    <w:rsid w:val="009668A1"/>
    <w:rsid w:val="00966945"/>
    <w:rsid w:val="009673A8"/>
    <w:rsid w:val="009675AB"/>
    <w:rsid w:val="00970612"/>
    <w:rsid w:val="009706C2"/>
    <w:rsid w:val="009706DB"/>
    <w:rsid w:val="00970B16"/>
    <w:rsid w:val="00970F30"/>
    <w:rsid w:val="0097121A"/>
    <w:rsid w:val="00971C96"/>
    <w:rsid w:val="00972F35"/>
    <w:rsid w:val="00972F8F"/>
    <w:rsid w:val="00973160"/>
    <w:rsid w:val="009731E0"/>
    <w:rsid w:val="00973204"/>
    <w:rsid w:val="00973AD1"/>
    <w:rsid w:val="0097454A"/>
    <w:rsid w:val="0097456C"/>
    <w:rsid w:val="0097522B"/>
    <w:rsid w:val="00975820"/>
    <w:rsid w:val="00975A79"/>
    <w:rsid w:val="00975AB9"/>
    <w:rsid w:val="00975DA4"/>
    <w:rsid w:val="00975DB5"/>
    <w:rsid w:val="00975FF9"/>
    <w:rsid w:val="00976FA7"/>
    <w:rsid w:val="00976FF4"/>
    <w:rsid w:val="00977D1C"/>
    <w:rsid w:val="009801C2"/>
    <w:rsid w:val="0098022F"/>
    <w:rsid w:val="0098057D"/>
    <w:rsid w:val="00980693"/>
    <w:rsid w:val="0098126B"/>
    <w:rsid w:val="0098179F"/>
    <w:rsid w:val="00981E2B"/>
    <w:rsid w:val="00982437"/>
    <w:rsid w:val="0098278E"/>
    <w:rsid w:val="00983440"/>
    <w:rsid w:val="00983C59"/>
    <w:rsid w:val="00983C60"/>
    <w:rsid w:val="00984395"/>
    <w:rsid w:val="009845CC"/>
    <w:rsid w:val="00985BDC"/>
    <w:rsid w:val="00986493"/>
    <w:rsid w:val="009865FB"/>
    <w:rsid w:val="00986C72"/>
    <w:rsid w:val="00986EE8"/>
    <w:rsid w:val="00987428"/>
    <w:rsid w:val="0098786D"/>
    <w:rsid w:val="00987949"/>
    <w:rsid w:val="009900B7"/>
    <w:rsid w:val="0099121D"/>
    <w:rsid w:val="00991560"/>
    <w:rsid w:val="00991798"/>
    <w:rsid w:val="00991DDB"/>
    <w:rsid w:val="00992B44"/>
    <w:rsid w:val="00992DBC"/>
    <w:rsid w:val="00992DF3"/>
    <w:rsid w:val="00993017"/>
    <w:rsid w:val="009931C6"/>
    <w:rsid w:val="00993C61"/>
    <w:rsid w:val="00993FAD"/>
    <w:rsid w:val="0099429C"/>
    <w:rsid w:val="0099455E"/>
    <w:rsid w:val="0099487A"/>
    <w:rsid w:val="00994FE6"/>
    <w:rsid w:val="009958D9"/>
    <w:rsid w:val="00995D00"/>
    <w:rsid w:val="00995F16"/>
    <w:rsid w:val="0099622B"/>
    <w:rsid w:val="0099639C"/>
    <w:rsid w:val="00996429"/>
    <w:rsid w:val="00996472"/>
    <w:rsid w:val="0099660F"/>
    <w:rsid w:val="00997188"/>
    <w:rsid w:val="009972C7"/>
    <w:rsid w:val="0099753D"/>
    <w:rsid w:val="009977B0"/>
    <w:rsid w:val="009977EB"/>
    <w:rsid w:val="00997A0A"/>
    <w:rsid w:val="00997AC8"/>
    <w:rsid w:val="009A015E"/>
    <w:rsid w:val="009A0CD4"/>
    <w:rsid w:val="009A0E5F"/>
    <w:rsid w:val="009A0F3D"/>
    <w:rsid w:val="009A13A1"/>
    <w:rsid w:val="009A1551"/>
    <w:rsid w:val="009A1F16"/>
    <w:rsid w:val="009A2149"/>
    <w:rsid w:val="009A2346"/>
    <w:rsid w:val="009A32DB"/>
    <w:rsid w:val="009A32FF"/>
    <w:rsid w:val="009A33F0"/>
    <w:rsid w:val="009A38C7"/>
    <w:rsid w:val="009A45A7"/>
    <w:rsid w:val="009A47D0"/>
    <w:rsid w:val="009A49CF"/>
    <w:rsid w:val="009A5814"/>
    <w:rsid w:val="009A5C1B"/>
    <w:rsid w:val="009A63F4"/>
    <w:rsid w:val="009A68FF"/>
    <w:rsid w:val="009A69BE"/>
    <w:rsid w:val="009A7235"/>
    <w:rsid w:val="009A7387"/>
    <w:rsid w:val="009A7455"/>
    <w:rsid w:val="009A7601"/>
    <w:rsid w:val="009A760B"/>
    <w:rsid w:val="009A7A5C"/>
    <w:rsid w:val="009A7BD5"/>
    <w:rsid w:val="009A7C7E"/>
    <w:rsid w:val="009B0171"/>
    <w:rsid w:val="009B036B"/>
    <w:rsid w:val="009B1046"/>
    <w:rsid w:val="009B10D6"/>
    <w:rsid w:val="009B141F"/>
    <w:rsid w:val="009B184A"/>
    <w:rsid w:val="009B1A13"/>
    <w:rsid w:val="009B1C19"/>
    <w:rsid w:val="009B1CC6"/>
    <w:rsid w:val="009B2350"/>
    <w:rsid w:val="009B248C"/>
    <w:rsid w:val="009B2553"/>
    <w:rsid w:val="009B276C"/>
    <w:rsid w:val="009B328C"/>
    <w:rsid w:val="009B33D5"/>
    <w:rsid w:val="009B390B"/>
    <w:rsid w:val="009B4B7C"/>
    <w:rsid w:val="009B4C82"/>
    <w:rsid w:val="009B50F9"/>
    <w:rsid w:val="009B69BD"/>
    <w:rsid w:val="009B6C97"/>
    <w:rsid w:val="009B6CB8"/>
    <w:rsid w:val="009B728A"/>
    <w:rsid w:val="009B77B9"/>
    <w:rsid w:val="009B7A8A"/>
    <w:rsid w:val="009C030C"/>
    <w:rsid w:val="009C0AE7"/>
    <w:rsid w:val="009C10FA"/>
    <w:rsid w:val="009C12CF"/>
    <w:rsid w:val="009C1954"/>
    <w:rsid w:val="009C21E3"/>
    <w:rsid w:val="009C3365"/>
    <w:rsid w:val="009C33DA"/>
    <w:rsid w:val="009C3DBA"/>
    <w:rsid w:val="009C3EE1"/>
    <w:rsid w:val="009C4631"/>
    <w:rsid w:val="009C547A"/>
    <w:rsid w:val="009C5488"/>
    <w:rsid w:val="009C570D"/>
    <w:rsid w:val="009C59A1"/>
    <w:rsid w:val="009C6136"/>
    <w:rsid w:val="009C652E"/>
    <w:rsid w:val="009C6782"/>
    <w:rsid w:val="009C6E2A"/>
    <w:rsid w:val="009C7103"/>
    <w:rsid w:val="009C7194"/>
    <w:rsid w:val="009C7256"/>
    <w:rsid w:val="009C74AE"/>
    <w:rsid w:val="009C7562"/>
    <w:rsid w:val="009C7B14"/>
    <w:rsid w:val="009D0840"/>
    <w:rsid w:val="009D1075"/>
    <w:rsid w:val="009D1509"/>
    <w:rsid w:val="009D1813"/>
    <w:rsid w:val="009D1B53"/>
    <w:rsid w:val="009D1F41"/>
    <w:rsid w:val="009D2C28"/>
    <w:rsid w:val="009D3433"/>
    <w:rsid w:val="009D399C"/>
    <w:rsid w:val="009D43CA"/>
    <w:rsid w:val="009D45ED"/>
    <w:rsid w:val="009D4CD4"/>
    <w:rsid w:val="009D4E02"/>
    <w:rsid w:val="009D57DB"/>
    <w:rsid w:val="009D5A6A"/>
    <w:rsid w:val="009D5B68"/>
    <w:rsid w:val="009D5F46"/>
    <w:rsid w:val="009D64D4"/>
    <w:rsid w:val="009D658F"/>
    <w:rsid w:val="009D6F8E"/>
    <w:rsid w:val="009D7249"/>
    <w:rsid w:val="009D7A1A"/>
    <w:rsid w:val="009D7E1F"/>
    <w:rsid w:val="009D7F94"/>
    <w:rsid w:val="009E02D9"/>
    <w:rsid w:val="009E0692"/>
    <w:rsid w:val="009E0926"/>
    <w:rsid w:val="009E0965"/>
    <w:rsid w:val="009E1C9B"/>
    <w:rsid w:val="009E1F56"/>
    <w:rsid w:val="009E292C"/>
    <w:rsid w:val="009E2DDB"/>
    <w:rsid w:val="009E2E2C"/>
    <w:rsid w:val="009E37BD"/>
    <w:rsid w:val="009E3CCA"/>
    <w:rsid w:val="009E3F8B"/>
    <w:rsid w:val="009E42C8"/>
    <w:rsid w:val="009E4EF0"/>
    <w:rsid w:val="009E6107"/>
    <w:rsid w:val="009E615A"/>
    <w:rsid w:val="009E6700"/>
    <w:rsid w:val="009E6C86"/>
    <w:rsid w:val="009E7301"/>
    <w:rsid w:val="009E738D"/>
    <w:rsid w:val="009E7757"/>
    <w:rsid w:val="009E7933"/>
    <w:rsid w:val="009F0010"/>
    <w:rsid w:val="009F00ED"/>
    <w:rsid w:val="009F0302"/>
    <w:rsid w:val="009F0D95"/>
    <w:rsid w:val="009F1571"/>
    <w:rsid w:val="009F1C22"/>
    <w:rsid w:val="009F24AE"/>
    <w:rsid w:val="009F259C"/>
    <w:rsid w:val="009F299F"/>
    <w:rsid w:val="009F2CF1"/>
    <w:rsid w:val="009F3A33"/>
    <w:rsid w:val="009F3CBE"/>
    <w:rsid w:val="009F4408"/>
    <w:rsid w:val="009F4753"/>
    <w:rsid w:val="009F5131"/>
    <w:rsid w:val="009F54F5"/>
    <w:rsid w:val="009F5B80"/>
    <w:rsid w:val="009F6511"/>
    <w:rsid w:val="009F7832"/>
    <w:rsid w:val="009F7D65"/>
    <w:rsid w:val="009F7E72"/>
    <w:rsid w:val="00A00325"/>
    <w:rsid w:val="00A00629"/>
    <w:rsid w:val="00A00EE2"/>
    <w:rsid w:val="00A015D8"/>
    <w:rsid w:val="00A016A2"/>
    <w:rsid w:val="00A016F2"/>
    <w:rsid w:val="00A02268"/>
    <w:rsid w:val="00A023FF"/>
    <w:rsid w:val="00A02416"/>
    <w:rsid w:val="00A02809"/>
    <w:rsid w:val="00A0285B"/>
    <w:rsid w:val="00A02E10"/>
    <w:rsid w:val="00A02FF3"/>
    <w:rsid w:val="00A033DD"/>
    <w:rsid w:val="00A03581"/>
    <w:rsid w:val="00A0445B"/>
    <w:rsid w:val="00A04A69"/>
    <w:rsid w:val="00A04F7D"/>
    <w:rsid w:val="00A04FA8"/>
    <w:rsid w:val="00A053F2"/>
    <w:rsid w:val="00A05A11"/>
    <w:rsid w:val="00A060C2"/>
    <w:rsid w:val="00A06B65"/>
    <w:rsid w:val="00A07DC0"/>
    <w:rsid w:val="00A1067B"/>
    <w:rsid w:val="00A10C18"/>
    <w:rsid w:val="00A10D9B"/>
    <w:rsid w:val="00A1121F"/>
    <w:rsid w:val="00A11238"/>
    <w:rsid w:val="00A115CC"/>
    <w:rsid w:val="00A11EF9"/>
    <w:rsid w:val="00A1203A"/>
    <w:rsid w:val="00A125CB"/>
    <w:rsid w:val="00A13114"/>
    <w:rsid w:val="00A135EA"/>
    <w:rsid w:val="00A13A61"/>
    <w:rsid w:val="00A14F62"/>
    <w:rsid w:val="00A150E4"/>
    <w:rsid w:val="00A15E3D"/>
    <w:rsid w:val="00A16700"/>
    <w:rsid w:val="00A16FAA"/>
    <w:rsid w:val="00A172B8"/>
    <w:rsid w:val="00A20201"/>
    <w:rsid w:val="00A203A6"/>
    <w:rsid w:val="00A20B17"/>
    <w:rsid w:val="00A2100F"/>
    <w:rsid w:val="00A213A1"/>
    <w:rsid w:val="00A214D7"/>
    <w:rsid w:val="00A21A52"/>
    <w:rsid w:val="00A21A64"/>
    <w:rsid w:val="00A21D03"/>
    <w:rsid w:val="00A223A2"/>
    <w:rsid w:val="00A22718"/>
    <w:rsid w:val="00A22D6C"/>
    <w:rsid w:val="00A22E32"/>
    <w:rsid w:val="00A2386B"/>
    <w:rsid w:val="00A2494C"/>
    <w:rsid w:val="00A24CF0"/>
    <w:rsid w:val="00A24FBE"/>
    <w:rsid w:val="00A254CD"/>
    <w:rsid w:val="00A2569C"/>
    <w:rsid w:val="00A258AD"/>
    <w:rsid w:val="00A2594A"/>
    <w:rsid w:val="00A26257"/>
    <w:rsid w:val="00A262FE"/>
    <w:rsid w:val="00A26916"/>
    <w:rsid w:val="00A274A4"/>
    <w:rsid w:val="00A27CA8"/>
    <w:rsid w:val="00A27D85"/>
    <w:rsid w:val="00A27F53"/>
    <w:rsid w:val="00A30231"/>
    <w:rsid w:val="00A3160E"/>
    <w:rsid w:val="00A31753"/>
    <w:rsid w:val="00A318A0"/>
    <w:rsid w:val="00A318D9"/>
    <w:rsid w:val="00A31DCD"/>
    <w:rsid w:val="00A3335C"/>
    <w:rsid w:val="00A3390F"/>
    <w:rsid w:val="00A34B5A"/>
    <w:rsid w:val="00A35413"/>
    <w:rsid w:val="00A354B8"/>
    <w:rsid w:val="00A35828"/>
    <w:rsid w:val="00A359C6"/>
    <w:rsid w:val="00A36063"/>
    <w:rsid w:val="00A36F5B"/>
    <w:rsid w:val="00A36FCB"/>
    <w:rsid w:val="00A37427"/>
    <w:rsid w:val="00A37F41"/>
    <w:rsid w:val="00A401FD"/>
    <w:rsid w:val="00A4060A"/>
    <w:rsid w:val="00A40C56"/>
    <w:rsid w:val="00A41086"/>
    <w:rsid w:val="00A411E2"/>
    <w:rsid w:val="00A41AFE"/>
    <w:rsid w:val="00A41B9E"/>
    <w:rsid w:val="00A41E45"/>
    <w:rsid w:val="00A420E6"/>
    <w:rsid w:val="00A4213F"/>
    <w:rsid w:val="00A42402"/>
    <w:rsid w:val="00A4315D"/>
    <w:rsid w:val="00A43AD6"/>
    <w:rsid w:val="00A44030"/>
    <w:rsid w:val="00A44387"/>
    <w:rsid w:val="00A444D1"/>
    <w:rsid w:val="00A4496D"/>
    <w:rsid w:val="00A4497C"/>
    <w:rsid w:val="00A44BB5"/>
    <w:rsid w:val="00A454FB"/>
    <w:rsid w:val="00A46C50"/>
    <w:rsid w:val="00A474B8"/>
    <w:rsid w:val="00A4778B"/>
    <w:rsid w:val="00A47B4D"/>
    <w:rsid w:val="00A502AF"/>
    <w:rsid w:val="00A50387"/>
    <w:rsid w:val="00A50660"/>
    <w:rsid w:val="00A507C7"/>
    <w:rsid w:val="00A51739"/>
    <w:rsid w:val="00A51F99"/>
    <w:rsid w:val="00A52053"/>
    <w:rsid w:val="00A52820"/>
    <w:rsid w:val="00A52D69"/>
    <w:rsid w:val="00A53114"/>
    <w:rsid w:val="00A534BA"/>
    <w:rsid w:val="00A5370E"/>
    <w:rsid w:val="00A53A8A"/>
    <w:rsid w:val="00A53D20"/>
    <w:rsid w:val="00A54075"/>
    <w:rsid w:val="00A544B6"/>
    <w:rsid w:val="00A55324"/>
    <w:rsid w:val="00A56B23"/>
    <w:rsid w:val="00A56FA2"/>
    <w:rsid w:val="00A570D2"/>
    <w:rsid w:val="00A57714"/>
    <w:rsid w:val="00A57911"/>
    <w:rsid w:val="00A57C72"/>
    <w:rsid w:val="00A57EC5"/>
    <w:rsid w:val="00A61CBB"/>
    <w:rsid w:val="00A620CC"/>
    <w:rsid w:val="00A62902"/>
    <w:rsid w:val="00A62D51"/>
    <w:rsid w:val="00A62F9E"/>
    <w:rsid w:val="00A632FF"/>
    <w:rsid w:val="00A63748"/>
    <w:rsid w:val="00A63F50"/>
    <w:rsid w:val="00A64130"/>
    <w:rsid w:val="00A64A5D"/>
    <w:rsid w:val="00A65039"/>
    <w:rsid w:val="00A6503A"/>
    <w:rsid w:val="00A6523D"/>
    <w:rsid w:val="00A65636"/>
    <w:rsid w:val="00A65F83"/>
    <w:rsid w:val="00A66535"/>
    <w:rsid w:val="00A667B1"/>
    <w:rsid w:val="00A66CFE"/>
    <w:rsid w:val="00A66DD7"/>
    <w:rsid w:val="00A66E3B"/>
    <w:rsid w:val="00A66EE4"/>
    <w:rsid w:val="00A66F9A"/>
    <w:rsid w:val="00A67D3B"/>
    <w:rsid w:val="00A7013C"/>
    <w:rsid w:val="00A7086C"/>
    <w:rsid w:val="00A70A8F"/>
    <w:rsid w:val="00A70C1B"/>
    <w:rsid w:val="00A70CC2"/>
    <w:rsid w:val="00A7104D"/>
    <w:rsid w:val="00A72E01"/>
    <w:rsid w:val="00A7325F"/>
    <w:rsid w:val="00A73885"/>
    <w:rsid w:val="00A74F2F"/>
    <w:rsid w:val="00A7504E"/>
    <w:rsid w:val="00A75A6B"/>
    <w:rsid w:val="00A7609E"/>
    <w:rsid w:val="00A766A5"/>
    <w:rsid w:val="00A76C52"/>
    <w:rsid w:val="00A7703E"/>
    <w:rsid w:val="00A772F6"/>
    <w:rsid w:val="00A806FE"/>
    <w:rsid w:val="00A80E32"/>
    <w:rsid w:val="00A81055"/>
    <w:rsid w:val="00A8153A"/>
    <w:rsid w:val="00A816AA"/>
    <w:rsid w:val="00A823AE"/>
    <w:rsid w:val="00A82CBE"/>
    <w:rsid w:val="00A83025"/>
    <w:rsid w:val="00A83E07"/>
    <w:rsid w:val="00A847D0"/>
    <w:rsid w:val="00A8488B"/>
    <w:rsid w:val="00A84EFA"/>
    <w:rsid w:val="00A85BE7"/>
    <w:rsid w:val="00A86289"/>
    <w:rsid w:val="00A8635E"/>
    <w:rsid w:val="00A86481"/>
    <w:rsid w:val="00A86CF9"/>
    <w:rsid w:val="00A86DF1"/>
    <w:rsid w:val="00A870A5"/>
    <w:rsid w:val="00A8768B"/>
    <w:rsid w:val="00A87CA0"/>
    <w:rsid w:val="00A900A5"/>
    <w:rsid w:val="00A9072B"/>
    <w:rsid w:val="00A91764"/>
    <w:rsid w:val="00A91777"/>
    <w:rsid w:val="00A91D1E"/>
    <w:rsid w:val="00A91D6D"/>
    <w:rsid w:val="00A9202F"/>
    <w:rsid w:val="00A935ED"/>
    <w:rsid w:val="00A938C0"/>
    <w:rsid w:val="00A93E1A"/>
    <w:rsid w:val="00A94464"/>
    <w:rsid w:val="00A9475B"/>
    <w:rsid w:val="00A948A2"/>
    <w:rsid w:val="00A94F9C"/>
    <w:rsid w:val="00A9549B"/>
    <w:rsid w:val="00A95A71"/>
    <w:rsid w:val="00A95E77"/>
    <w:rsid w:val="00A960E5"/>
    <w:rsid w:val="00A967AD"/>
    <w:rsid w:val="00A96D40"/>
    <w:rsid w:val="00A96DE7"/>
    <w:rsid w:val="00A973A0"/>
    <w:rsid w:val="00A9752D"/>
    <w:rsid w:val="00A975E4"/>
    <w:rsid w:val="00A97D11"/>
    <w:rsid w:val="00A97F2D"/>
    <w:rsid w:val="00AA03FF"/>
    <w:rsid w:val="00AA0879"/>
    <w:rsid w:val="00AA0D5E"/>
    <w:rsid w:val="00AA1F63"/>
    <w:rsid w:val="00AA1FF0"/>
    <w:rsid w:val="00AA26B0"/>
    <w:rsid w:val="00AA2AB2"/>
    <w:rsid w:val="00AA2F54"/>
    <w:rsid w:val="00AA31BB"/>
    <w:rsid w:val="00AA330B"/>
    <w:rsid w:val="00AA3E5C"/>
    <w:rsid w:val="00AA42DF"/>
    <w:rsid w:val="00AA4D07"/>
    <w:rsid w:val="00AA502D"/>
    <w:rsid w:val="00AA5206"/>
    <w:rsid w:val="00AA55C7"/>
    <w:rsid w:val="00AA5E42"/>
    <w:rsid w:val="00AA5F35"/>
    <w:rsid w:val="00AA621B"/>
    <w:rsid w:val="00AA6227"/>
    <w:rsid w:val="00AA6594"/>
    <w:rsid w:val="00AA6643"/>
    <w:rsid w:val="00AA6650"/>
    <w:rsid w:val="00AA6CFA"/>
    <w:rsid w:val="00AA6DEA"/>
    <w:rsid w:val="00AA79C7"/>
    <w:rsid w:val="00AA7B51"/>
    <w:rsid w:val="00AA7EE1"/>
    <w:rsid w:val="00AB00E8"/>
    <w:rsid w:val="00AB0AFF"/>
    <w:rsid w:val="00AB0EB2"/>
    <w:rsid w:val="00AB1415"/>
    <w:rsid w:val="00AB16FC"/>
    <w:rsid w:val="00AB1744"/>
    <w:rsid w:val="00AB2151"/>
    <w:rsid w:val="00AB2747"/>
    <w:rsid w:val="00AB3906"/>
    <w:rsid w:val="00AB3933"/>
    <w:rsid w:val="00AB4292"/>
    <w:rsid w:val="00AB4E3D"/>
    <w:rsid w:val="00AB54E8"/>
    <w:rsid w:val="00AB7656"/>
    <w:rsid w:val="00AB7669"/>
    <w:rsid w:val="00AB790A"/>
    <w:rsid w:val="00AC01A4"/>
    <w:rsid w:val="00AC03EB"/>
    <w:rsid w:val="00AC0763"/>
    <w:rsid w:val="00AC0871"/>
    <w:rsid w:val="00AC0EF7"/>
    <w:rsid w:val="00AC1004"/>
    <w:rsid w:val="00AC2061"/>
    <w:rsid w:val="00AC2277"/>
    <w:rsid w:val="00AC2548"/>
    <w:rsid w:val="00AC2DDC"/>
    <w:rsid w:val="00AC3281"/>
    <w:rsid w:val="00AC32C2"/>
    <w:rsid w:val="00AC3317"/>
    <w:rsid w:val="00AC384B"/>
    <w:rsid w:val="00AC3F53"/>
    <w:rsid w:val="00AC55CB"/>
    <w:rsid w:val="00AC5DF6"/>
    <w:rsid w:val="00AC6323"/>
    <w:rsid w:val="00AC6B19"/>
    <w:rsid w:val="00AC6CA0"/>
    <w:rsid w:val="00AC70E7"/>
    <w:rsid w:val="00AC7B66"/>
    <w:rsid w:val="00AC7DB1"/>
    <w:rsid w:val="00AD064D"/>
    <w:rsid w:val="00AD09D4"/>
    <w:rsid w:val="00AD10F2"/>
    <w:rsid w:val="00AD154A"/>
    <w:rsid w:val="00AD2638"/>
    <w:rsid w:val="00AD296C"/>
    <w:rsid w:val="00AD36B7"/>
    <w:rsid w:val="00AD445C"/>
    <w:rsid w:val="00AD4D6E"/>
    <w:rsid w:val="00AD594C"/>
    <w:rsid w:val="00AD5E06"/>
    <w:rsid w:val="00AD5F99"/>
    <w:rsid w:val="00AD62BF"/>
    <w:rsid w:val="00AD6361"/>
    <w:rsid w:val="00AD66F7"/>
    <w:rsid w:val="00AD6A6E"/>
    <w:rsid w:val="00AD6CBD"/>
    <w:rsid w:val="00AD721C"/>
    <w:rsid w:val="00AD768D"/>
    <w:rsid w:val="00AE0083"/>
    <w:rsid w:val="00AE0565"/>
    <w:rsid w:val="00AE09F0"/>
    <w:rsid w:val="00AE0C5F"/>
    <w:rsid w:val="00AE0C71"/>
    <w:rsid w:val="00AE0F97"/>
    <w:rsid w:val="00AE1600"/>
    <w:rsid w:val="00AE165B"/>
    <w:rsid w:val="00AE1B0D"/>
    <w:rsid w:val="00AE1B2D"/>
    <w:rsid w:val="00AE1BCB"/>
    <w:rsid w:val="00AE1FDA"/>
    <w:rsid w:val="00AE23F2"/>
    <w:rsid w:val="00AE2B72"/>
    <w:rsid w:val="00AE2FFC"/>
    <w:rsid w:val="00AE385F"/>
    <w:rsid w:val="00AE491D"/>
    <w:rsid w:val="00AE4A42"/>
    <w:rsid w:val="00AE4ABB"/>
    <w:rsid w:val="00AE4D73"/>
    <w:rsid w:val="00AE5153"/>
    <w:rsid w:val="00AE51D0"/>
    <w:rsid w:val="00AE5712"/>
    <w:rsid w:val="00AE5D83"/>
    <w:rsid w:val="00AE6185"/>
    <w:rsid w:val="00AE61E3"/>
    <w:rsid w:val="00AE65ED"/>
    <w:rsid w:val="00AE6845"/>
    <w:rsid w:val="00AE6D64"/>
    <w:rsid w:val="00AE7347"/>
    <w:rsid w:val="00AE7BAB"/>
    <w:rsid w:val="00AE7FE4"/>
    <w:rsid w:val="00AF0495"/>
    <w:rsid w:val="00AF0ACC"/>
    <w:rsid w:val="00AF0E9D"/>
    <w:rsid w:val="00AF130E"/>
    <w:rsid w:val="00AF2485"/>
    <w:rsid w:val="00AF299D"/>
    <w:rsid w:val="00AF2FC0"/>
    <w:rsid w:val="00AF3285"/>
    <w:rsid w:val="00AF3412"/>
    <w:rsid w:val="00AF3FD7"/>
    <w:rsid w:val="00AF4ACB"/>
    <w:rsid w:val="00AF51C4"/>
    <w:rsid w:val="00AF52C0"/>
    <w:rsid w:val="00AF5534"/>
    <w:rsid w:val="00AF577C"/>
    <w:rsid w:val="00AF59EB"/>
    <w:rsid w:val="00AF5AD7"/>
    <w:rsid w:val="00AF6185"/>
    <w:rsid w:val="00AF6677"/>
    <w:rsid w:val="00AF66FF"/>
    <w:rsid w:val="00AF6896"/>
    <w:rsid w:val="00AF6908"/>
    <w:rsid w:val="00AF6A46"/>
    <w:rsid w:val="00AF7153"/>
    <w:rsid w:val="00AF7218"/>
    <w:rsid w:val="00B00451"/>
    <w:rsid w:val="00B01088"/>
    <w:rsid w:val="00B01517"/>
    <w:rsid w:val="00B01861"/>
    <w:rsid w:val="00B01C59"/>
    <w:rsid w:val="00B025EB"/>
    <w:rsid w:val="00B025EE"/>
    <w:rsid w:val="00B02BD6"/>
    <w:rsid w:val="00B02ED6"/>
    <w:rsid w:val="00B03079"/>
    <w:rsid w:val="00B03329"/>
    <w:rsid w:val="00B04108"/>
    <w:rsid w:val="00B048F7"/>
    <w:rsid w:val="00B04DB4"/>
    <w:rsid w:val="00B0579E"/>
    <w:rsid w:val="00B05932"/>
    <w:rsid w:val="00B0635B"/>
    <w:rsid w:val="00B0645A"/>
    <w:rsid w:val="00B06763"/>
    <w:rsid w:val="00B06C9F"/>
    <w:rsid w:val="00B078A5"/>
    <w:rsid w:val="00B07AE1"/>
    <w:rsid w:val="00B07F64"/>
    <w:rsid w:val="00B110ED"/>
    <w:rsid w:val="00B11AA8"/>
    <w:rsid w:val="00B11B3F"/>
    <w:rsid w:val="00B11E90"/>
    <w:rsid w:val="00B12646"/>
    <w:rsid w:val="00B12CF0"/>
    <w:rsid w:val="00B131F8"/>
    <w:rsid w:val="00B138BE"/>
    <w:rsid w:val="00B139F0"/>
    <w:rsid w:val="00B1413A"/>
    <w:rsid w:val="00B14221"/>
    <w:rsid w:val="00B149F3"/>
    <w:rsid w:val="00B14A04"/>
    <w:rsid w:val="00B14D11"/>
    <w:rsid w:val="00B14E34"/>
    <w:rsid w:val="00B14F23"/>
    <w:rsid w:val="00B1514A"/>
    <w:rsid w:val="00B1572A"/>
    <w:rsid w:val="00B158B6"/>
    <w:rsid w:val="00B1612A"/>
    <w:rsid w:val="00B162E3"/>
    <w:rsid w:val="00B16AE3"/>
    <w:rsid w:val="00B176CD"/>
    <w:rsid w:val="00B21D6F"/>
    <w:rsid w:val="00B21E23"/>
    <w:rsid w:val="00B21ECD"/>
    <w:rsid w:val="00B22F0E"/>
    <w:rsid w:val="00B23320"/>
    <w:rsid w:val="00B234EB"/>
    <w:rsid w:val="00B23A77"/>
    <w:rsid w:val="00B2410D"/>
    <w:rsid w:val="00B24270"/>
    <w:rsid w:val="00B24D02"/>
    <w:rsid w:val="00B258E8"/>
    <w:rsid w:val="00B25EAD"/>
    <w:rsid w:val="00B26868"/>
    <w:rsid w:val="00B27310"/>
    <w:rsid w:val="00B27641"/>
    <w:rsid w:val="00B27D05"/>
    <w:rsid w:val="00B27D74"/>
    <w:rsid w:val="00B30348"/>
    <w:rsid w:val="00B307E2"/>
    <w:rsid w:val="00B30CF9"/>
    <w:rsid w:val="00B30FA0"/>
    <w:rsid w:val="00B317A8"/>
    <w:rsid w:val="00B31B8A"/>
    <w:rsid w:val="00B31D9E"/>
    <w:rsid w:val="00B31F89"/>
    <w:rsid w:val="00B322D0"/>
    <w:rsid w:val="00B32383"/>
    <w:rsid w:val="00B326ED"/>
    <w:rsid w:val="00B3282D"/>
    <w:rsid w:val="00B32B94"/>
    <w:rsid w:val="00B3339F"/>
    <w:rsid w:val="00B33F6F"/>
    <w:rsid w:val="00B3479D"/>
    <w:rsid w:val="00B36E90"/>
    <w:rsid w:val="00B36F40"/>
    <w:rsid w:val="00B37E25"/>
    <w:rsid w:val="00B40AE1"/>
    <w:rsid w:val="00B41228"/>
    <w:rsid w:val="00B4167D"/>
    <w:rsid w:val="00B418DE"/>
    <w:rsid w:val="00B419B6"/>
    <w:rsid w:val="00B41AD7"/>
    <w:rsid w:val="00B41C25"/>
    <w:rsid w:val="00B42350"/>
    <w:rsid w:val="00B42C5A"/>
    <w:rsid w:val="00B4320F"/>
    <w:rsid w:val="00B43941"/>
    <w:rsid w:val="00B43C02"/>
    <w:rsid w:val="00B43E51"/>
    <w:rsid w:val="00B43E73"/>
    <w:rsid w:val="00B4479D"/>
    <w:rsid w:val="00B449E6"/>
    <w:rsid w:val="00B44D38"/>
    <w:rsid w:val="00B45015"/>
    <w:rsid w:val="00B4523F"/>
    <w:rsid w:val="00B457FF"/>
    <w:rsid w:val="00B461AA"/>
    <w:rsid w:val="00B46531"/>
    <w:rsid w:val="00B4713E"/>
    <w:rsid w:val="00B5080C"/>
    <w:rsid w:val="00B50950"/>
    <w:rsid w:val="00B5136B"/>
    <w:rsid w:val="00B51A56"/>
    <w:rsid w:val="00B51C6E"/>
    <w:rsid w:val="00B51CC5"/>
    <w:rsid w:val="00B51E6B"/>
    <w:rsid w:val="00B52AD9"/>
    <w:rsid w:val="00B538CD"/>
    <w:rsid w:val="00B54618"/>
    <w:rsid w:val="00B54641"/>
    <w:rsid w:val="00B54E0A"/>
    <w:rsid w:val="00B55559"/>
    <w:rsid w:val="00B55A35"/>
    <w:rsid w:val="00B56799"/>
    <w:rsid w:val="00B5706C"/>
    <w:rsid w:val="00B577AA"/>
    <w:rsid w:val="00B60315"/>
    <w:rsid w:val="00B603AC"/>
    <w:rsid w:val="00B60A43"/>
    <w:rsid w:val="00B60CA9"/>
    <w:rsid w:val="00B61278"/>
    <w:rsid w:val="00B61490"/>
    <w:rsid w:val="00B61A11"/>
    <w:rsid w:val="00B62426"/>
    <w:rsid w:val="00B629BC"/>
    <w:rsid w:val="00B62B76"/>
    <w:rsid w:val="00B62FFF"/>
    <w:rsid w:val="00B63866"/>
    <w:rsid w:val="00B63E93"/>
    <w:rsid w:val="00B6405D"/>
    <w:rsid w:val="00B640EE"/>
    <w:rsid w:val="00B64130"/>
    <w:rsid w:val="00B64C9D"/>
    <w:rsid w:val="00B651D5"/>
    <w:rsid w:val="00B653B0"/>
    <w:rsid w:val="00B65A16"/>
    <w:rsid w:val="00B65CC3"/>
    <w:rsid w:val="00B65E68"/>
    <w:rsid w:val="00B66C2A"/>
    <w:rsid w:val="00B67467"/>
    <w:rsid w:val="00B67511"/>
    <w:rsid w:val="00B6792B"/>
    <w:rsid w:val="00B67AB1"/>
    <w:rsid w:val="00B67C92"/>
    <w:rsid w:val="00B70F38"/>
    <w:rsid w:val="00B71ADC"/>
    <w:rsid w:val="00B71D86"/>
    <w:rsid w:val="00B7228A"/>
    <w:rsid w:val="00B72C60"/>
    <w:rsid w:val="00B73DB0"/>
    <w:rsid w:val="00B7407B"/>
    <w:rsid w:val="00B7486D"/>
    <w:rsid w:val="00B74A72"/>
    <w:rsid w:val="00B75A32"/>
    <w:rsid w:val="00B7625D"/>
    <w:rsid w:val="00B76601"/>
    <w:rsid w:val="00B76919"/>
    <w:rsid w:val="00B76F14"/>
    <w:rsid w:val="00B77C78"/>
    <w:rsid w:val="00B77DAE"/>
    <w:rsid w:val="00B77F49"/>
    <w:rsid w:val="00B80CA2"/>
    <w:rsid w:val="00B80D46"/>
    <w:rsid w:val="00B81307"/>
    <w:rsid w:val="00B8164E"/>
    <w:rsid w:val="00B818DE"/>
    <w:rsid w:val="00B81A98"/>
    <w:rsid w:val="00B81B0A"/>
    <w:rsid w:val="00B81E65"/>
    <w:rsid w:val="00B824B3"/>
    <w:rsid w:val="00B82D1C"/>
    <w:rsid w:val="00B82E79"/>
    <w:rsid w:val="00B82EBB"/>
    <w:rsid w:val="00B82F6E"/>
    <w:rsid w:val="00B82F7A"/>
    <w:rsid w:val="00B831A3"/>
    <w:rsid w:val="00B8379F"/>
    <w:rsid w:val="00B83C6D"/>
    <w:rsid w:val="00B8457E"/>
    <w:rsid w:val="00B8462A"/>
    <w:rsid w:val="00B84C78"/>
    <w:rsid w:val="00B84CBD"/>
    <w:rsid w:val="00B8522E"/>
    <w:rsid w:val="00B85377"/>
    <w:rsid w:val="00B8543C"/>
    <w:rsid w:val="00B855AF"/>
    <w:rsid w:val="00B85697"/>
    <w:rsid w:val="00B85767"/>
    <w:rsid w:val="00B857B7"/>
    <w:rsid w:val="00B85D0C"/>
    <w:rsid w:val="00B85D32"/>
    <w:rsid w:val="00B86149"/>
    <w:rsid w:val="00B864BA"/>
    <w:rsid w:val="00B874E3"/>
    <w:rsid w:val="00B9007C"/>
    <w:rsid w:val="00B90186"/>
    <w:rsid w:val="00B90244"/>
    <w:rsid w:val="00B90DF6"/>
    <w:rsid w:val="00B90EA7"/>
    <w:rsid w:val="00B9142A"/>
    <w:rsid w:val="00B91816"/>
    <w:rsid w:val="00B92079"/>
    <w:rsid w:val="00B93A1E"/>
    <w:rsid w:val="00B941FD"/>
    <w:rsid w:val="00B94DDF"/>
    <w:rsid w:val="00B94F87"/>
    <w:rsid w:val="00B950C9"/>
    <w:rsid w:val="00B95222"/>
    <w:rsid w:val="00B95367"/>
    <w:rsid w:val="00B9549E"/>
    <w:rsid w:val="00B9560E"/>
    <w:rsid w:val="00B95ED6"/>
    <w:rsid w:val="00B9755D"/>
    <w:rsid w:val="00B9792A"/>
    <w:rsid w:val="00B9793B"/>
    <w:rsid w:val="00BA0639"/>
    <w:rsid w:val="00BA08AF"/>
    <w:rsid w:val="00BA0B93"/>
    <w:rsid w:val="00BA105C"/>
    <w:rsid w:val="00BA12C1"/>
    <w:rsid w:val="00BA1675"/>
    <w:rsid w:val="00BA1AA8"/>
    <w:rsid w:val="00BA2171"/>
    <w:rsid w:val="00BA2559"/>
    <w:rsid w:val="00BA2D67"/>
    <w:rsid w:val="00BA3020"/>
    <w:rsid w:val="00BA3234"/>
    <w:rsid w:val="00BA3BA1"/>
    <w:rsid w:val="00BA3E3B"/>
    <w:rsid w:val="00BA4D27"/>
    <w:rsid w:val="00BA54D8"/>
    <w:rsid w:val="00BA56A6"/>
    <w:rsid w:val="00BA5A20"/>
    <w:rsid w:val="00BA5ADE"/>
    <w:rsid w:val="00BA5B70"/>
    <w:rsid w:val="00BA5CAB"/>
    <w:rsid w:val="00BA5DCB"/>
    <w:rsid w:val="00BA6AA5"/>
    <w:rsid w:val="00BA6C09"/>
    <w:rsid w:val="00BA716E"/>
    <w:rsid w:val="00BA7769"/>
    <w:rsid w:val="00BA7EDE"/>
    <w:rsid w:val="00BB0009"/>
    <w:rsid w:val="00BB0B86"/>
    <w:rsid w:val="00BB116E"/>
    <w:rsid w:val="00BB13E0"/>
    <w:rsid w:val="00BB154D"/>
    <w:rsid w:val="00BB2E3B"/>
    <w:rsid w:val="00BB346D"/>
    <w:rsid w:val="00BB3667"/>
    <w:rsid w:val="00BB3AE7"/>
    <w:rsid w:val="00BB3EC3"/>
    <w:rsid w:val="00BB40E1"/>
    <w:rsid w:val="00BB40FD"/>
    <w:rsid w:val="00BB42FA"/>
    <w:rsid w:val="00BB4F46"/>
    <w:rsid w:val="00BB526A"/>
    <w:rsid w:val="00BB6BA8"/>
    <w:rsid w:val="00BB6F9E"/>
    <w:rsid w:val="00BB77D2"/>
    <w:rsid w:val="00BB7C8E"/>
    <w:rsid w:val="00BB7EAC"/>
    <w:rsid w:val="00BC0202"/>
    <w:rsid w:val="00BC0298"/>
    <w:rsid w:val="00BC05E0"/>
    <w:rsid w:val="00BC0CC1"/>
    <w:rsid w:val="00BC0ECB"/>
    <w:rsid w:val="00BC21CA"/>
    <w:rsid w:val="00BC387A"/>
    <w:rsid w:val="00BC3D9C"/>
    <w:rsid w:val="00BC3F33"/>
    <w:rsid w:val="00BC3F70"/>
    <w:rsid w:val="00BC4012"/>
    <w:rsid w:val="00BC420D"/>
    <w:rsid w:val="00BC4536"/>
    <w:rsid w:val="00BC464E"/>
    <w:rsid w:val="00BC4739"/>
    <w:rsid w:val="00BC4C76"/>
    <w:rsid w:val="00BC514F"/>
    <w:rsid w:val="00BC545B"/>
    <w:rsid w:val="00BC54A7"/>
    <w:rsid w:val="00BC57A0"/>
    <w:rsid w:val="00BC5DD2"/>
    <w:rsid w:val="00BC65C9"/>
    <w:rsid w:val="00BC73F5"/>
    <w:rsid w:val="00BC78D2"/>
    <w:rsid w:val="00BC7C43"/>
    <w:rsid w:val="00BC7C7D"/>
    <w:rsid w:val="00BD0CCE"/>
    <w:rsid w:val="00BD0DA2"/>
    <w:rsid w:val="00BD0E6F"/>
    <w:rsid w:val="00BD16C7"/>
    <w:rsid w:val="00BD1B06"/>
    <w:rsid w:val="00BD24D4"/>
    <w:rsid w:val="00BD2C27"/>
    <w:rsid w:val="00BD33C4"/>
    <w:rsid w:val="00BD3425"/>
    <w:rsid w:val="00BD4AB5"/>
    <w:rsid w:val="00BD4B3D"/>
    <w:rsid w:val="00BD554A"/>
    <w:rsid w:val="00BD55DE"/>
    <w:rsid w:val="00BD5A64"/>
    <w:rsid w:val="00BD5B85"/>
    <w:rsid w:val="00BD6A53"/>
    <w:rsid w:val="00BE068A"/>
    <w:rsid w:val="00BE0966"/>
    <w:rsid w:val="00BE0C57"/>
    <w:rsid w:val="00BE12B0"/>
    <w:rsid w:val="00BE17BC"/>
    <w:rsid w:val="00BE1A11"/>
    <w:rsid w:val="00BE1E51"/>
    <w:rsid w:val="00BE281A"/>
    <w:rsid w:val="00BE2E0E"/>
    <w:rsid w:val="00BE3110"/>
    <w:rsid w:val="00BE3ABC"/>
    <w:rsid w:val="00BE3FF7"/>
    <w:rsid w:val="00BE5A01"/>
    <w:rsid w:val="00BE6B2A"/>
    <w:rsid w:val="00BE6F58"/>
    <w:rsid w:val="00BE76C7"/>
    <w:rsid w:val="00BE775C"/>
    <w:rsid w:val="00BF07FD"/>
    <w:rsid w:val="00BF0928"/>
    <w:rsid w:val="00BF1348"/>
    <w:rsid w:val="00BF146C"/>
    <w:rsid w:val="00BF188C"/>
    <w:rsid w:val="00BF2365"/>
    <w:rsid w:val="00BF26DA"/>
    <w:rsid w:val="00BF2BB8"/>
    <w:rsid w:val="00BF3C68"/>
    <w:rsid w:val="00BF3E44"/>
    <w:rsid w:val="00BF408D"/>
    <w:rsid w:val="00BF4629"/>
    <w:rsid w:val="00BF46CA"/>
    <w:rsid w:val="00BF4850"/>
    <w:rsid w:val="00BF49C1"/>
    <w:rsid w:val="00BF49DB"/>
    <w:rsid w:val="00BF51EE"/>
    <w:rsid w:val="00BF5A2B"/>
    <w:rsid w:val="00BF5A60"/>
    <w:rsid w:val="00BF5E16"/>
    <w:rsid w:val="00BF6024"/>
    <w:rsid w:val="00BF6E6D"/>
    <w:rsid w:val="00BF6FD1"/>
    <w:rsid w:val="00BF7A44"/>
    <w:rsid w:val="00BF7B6D"/>
    <w:rsid w:val="00BF7D21"/>
    <w:rsid w:val="00BF7F3B"/>
    <w:rsid w:val="00C003C1"/>
    <w:rsid w:val="00C0048F"/>
    <w:rsid w:val="00C0068E"/>
    <w:rsid w:val="00C00761"/>
    <w:rsid w:val="00C00824"/>
    <w:rsid w:val="00C0091B"/>
    <w:rsid w:val="00C00DCD"/>
    <w:rsid w:val="00C01F46"/>
    <w:rsid w:val="00C02751"/>
    <w:rsid w:val="00C03939"/>
    <w:rsid w:val="00C03E68"/>
    <w:rsid w:val="00C04085"/>
    <w:rsid w:val="00C0422F"/>
    <w:rsid w:val="00C04DF6"/>
    <w:rsid w:val="00C052E0"/>
    <w:rsid w:val="00C057DB"/>
    <w:rsid w:val="00C05F8E"/>
    <w:rsid w:val="00C069E8"/>
    <w:rsid w:val="00C06A41"/>
    <w:rsid w:val="00C06C52"/>
    <w:rsid w:val="00C0729D"/>
    <w:rsid w:val="00C0768B"/>
    <w:rsid w:val="00C07EB4"/>
    <w:rsid w:val="00C100FE"/>
    <w:rsid w:val="00C10F69"/>
    <w:rsid w:val="00C1110D"/>
    <w:rsid w:val="00C1138C"/>
    <w:rsid w:val="00C11547"/>
    <w:rsid w:val="00C11E04"/>
    <w:rsid w:val="00C11E57"/>
    <w:rsid w:val="00C12165"/>
    <w:rsid w:val="00C12461"/>
    <w:rsid w:val="00C12492"/>
    <w:rsid w:val="00C12EDE"/>
    <w:rsid w:val="00C135F0"/>
    <w:rsid w:val="00C13618"/>
    <w:rsid w:val="00C13F59"/>
    <w:rsid w:val="00C14179"/>
    <w:rsid w:val="00C15575"/>
    <w:rsid w:val="00C158A8"/>
    <w:rsid w:val="00C159B3"/>
    <w:rsid w:val="00C162DD"/>
    <w:rsid w:val="00C16382"/>
    <w:rsid w:val="00C163AB"/>
    <w:rsid w:val="00C170AE"/>
    <w:rsid w:val="00C17940"/>
    <w:rsid w:val="00C17B3C"/>
    <w:rsid w:val="00C2009B"/>
    <w:rsid w:val="00C20E36"/>
    <w:rsid w:val="00C21A3E"/>
    <w:rsid w:val="00C22835"/>
    <w:rsid w:val="00C2286B"/>
    <w:rsid w:val="00C229E3"/>
    <w:rsid w:val="00C22E9A"/>
    <w:rsid w:val="00C22EC1"/>
    <w:rsid w:val="00C24307"/>
    <w:rsid w:val="00C2449F"/>
    <w:rsid w:val="00C24DEB"/>
    <w:rsid w:val="00C24F55"/>
    <w:rsid w:val="00C25B1F"/>
    <w:rsid w:val="00C25C7A"/>
    <w:rsid w:val="00C26C54"/>
    <w:rsid w:val="00C26E7F"/>
    <w:rsid w:val="00C27508"/>
    <w:rsid w:val="00C2786D"/>
    <w:rsid w:val="00C300B4"/>
    <w:rsid w:val="00C30580"/>
    <w:rsid w:val="00C31DC0"/>
    <w:rsid w:val="00C32437"/>
    <w:rsid w:val="00C32AE8"/>
    <w:rsid w:val="00C3301C"/>
    <w:rsid w:val="00C33275"/>
    <w:rsid w:val="00C33642"/>
    <w:rsid w:val="00C33B4B"/>
    <w:rsid w:val="00C3440F"/>
    <w:rsid w:val="00C34437"/>
    <w:rsid w:val="00C34AC7"/>
    <w:rsid w:val="00C34B5E"/>
    <w:rsid w:val="00C35794"/>
    <w:rsid w:val="00C35896"/>
    <w:rsid w:val="00C360BD"/>
    <w:rsid w:val="00C36598"/>
    <w:rsid w:val="00C36AE5"/>
    <w:rsid w:val="00C36F82"/>
    <w:rsid w:val="00C3792B"/>
    <w:rsid w:val="00C37B44"/>
    <w:rsid w:val="00C404F2"/>
    <w:rsid w:val="00C406F9"/>
    <w:rsid w:val="00C40927"/>
    <w:rsid w:val="00C40C74"/>
    <w:rsid w:val="00C40D10"/>
    <w:rsid w:val="00C40D3B"/>
    <w:rsid w:val="00C40F0C"/>
    <w:rsid w:val="00C42903"/>
    <w:rsid w:val="00C42BBD"/>
    <w:rsid w:val="00C43840"/>
    <w:rsid w:val="00C43D82"/>
    <w:rsid w:val="00C43F3B"/>
    <w:rsid w:val="00C4418F"/>
    <w:rsid w:val="00C44452"/>
    <w:rsid w:val="00C44777"/>
    <w:rsid w:val="00C45C8E"/>
    <w:rsid w:val="00C45D06"/>
    <w:rsid w:val="00C46CBC"/>
    <w:rsid w:val="00C47026"/>
    <w:rsid w:val="00C47039"/>
    <w:rsid w:val="00C47566"/>
    <w:rsid w:val="00C47818"/>
    <w:rsid w:val="00C47C39"/>
    <w:rsid w:val="00C504A5"/>
    <w:rsid w:val="00C51778"/>
    <w:rsid w:val="00C5187E"/>
    <w:rsid w:val="00C51D77"/>
    <w:rsid w:val="00C51FF3"/>
    <w:rsid w:val="00C5246B"/>
    <w:rsid w:val="00C52CF1"/>
    <w:rsid w:val="00C5393E"/>
    <w:rsid w:val="00C53D32"/>
    <w:rsid w:val="00C541B3"/>
    <w:rsid w:val="00C54643"/>
    <w:rsid w:val="00C546A2"/>
    <w:rsid w:val="00C54911"/>
    <w:rsid w:val="00C54DCE"/>
    <w:rsid w:val="00C55248"/>
    <w:rsid w:val="00C55FDA"/>
    <w:rsid w:val="00C572A2"/>
    <w:rsid w:val="00C579AB"/>
    <w:rsid w:val="00C57DA7"/>
    <w:rsid w:val="00C60260"/>
    <w:rsid w:val="00C606AF"/>
    <w:rsid w:val="00C60862"/>
    <w:rsid w:val="00C631E4"/>
    <w:rsid w:val="00C63FBC"/>
    <w:rsid w:val="00C6479A"/>
    <w:rsid w:val="00C64860"/>
    <w:rsid w:val="00C64CC7"/>
    <w:rsid w:val="00C64D85"/>
    <w:rsid w:val="00C64DC8"/>
    <w:rsid w:val="00C64EE2"/>
    <w:rsid w:val="00C652CD"/>
    <w:rsid w:val="00C65671"/>
    <w:rsid w:val="00C65AB7"/>
    <w:rsid w:val="00C66249"/>
    <w:rsid w:val="00C66565"/>
    <w:rsid w:val="00C66CFD"/>
    <w:rsid w:val="00C66D75"/>
    <w:rsid w:val="00C67630"/>
    <w:rsid w:val="00C67A83"/>
    <w:rsid w:val="00C67EE8"/>
    <w:rsid w:val="00C67FC3"/>
    <w:rsid w:val="00C70192"/>
    <w:rsid w:val="00C701AD"/>
    <w:rsid w:val="00C7026B"/>
    <w:rsid w:val="00C713E1"/>
    <w:rsid w:val="00C7144D"/>
    <w:rsid w:val="00C71586"/>
    <w:rsid w:val="00C718DD"/>
    <w:rsid w:val="00C7200A"/>
    <w:rsid w:val="00C72604"/>
    <w:rsid w:val="00C727FC"/>
    <w:rsid w:val="00C72C56"/>
    <w:rsid w:val="00C73078"/>
    <w:rsid w:val="00C73314"/>
    <w:rsid w:val="00C73777"/>
    <w:rsid w:val="00C740AC"/>
    <w:rsid w:val="00C74A2F"/>
    <w:rsid w:val="00C753F0"/>
    <w:rsid w:val="00C75FB0"/>
    <w:rsid w:val="00C7619D"/>
    <w:rsid w:val="00C76711"/>
    <w:rsid w:val="00C76986"/>
    <w:rsid w:val="00C7699A"/>
    <w:rsid w:val="00C77563"/>
    <w:rsid w:val="00C77C8D"/>
    <w:rsid w:val="00C8092E"/>
    <w:rsid w:val="00C80B65"/>
    <w:rsid w:val="00C82607"/>
    <w:rsid w:val="00C8269A"/>
    <w:rsid w:val="00C8277A"/>
    <w:rsid w:val="00C82DEE"/>
    <w:rsid w:val="00C8308E"/>
    <w:rsid w:val="00C83674"/>
    <w:rsid w:val="00C84456"/>
    <w:rsid w:val="00C858D3"/>
    <w:rsid w:val="00C85D0B"/>
    <w:rsid w:val="00C86558"/>
    <w:rsid w:val="00C867C7"/>
    <w:rsid w:val="00C86EA8"/>
    <w:rsid w:val="00C86F12"/>
    <w:rsid w:val="00C874F6"/>
    <w:rsid w:val="00C875BC"/>
    <w:rsid w:val="00C87961"/>
    <w:rsid w:val="00C90A94"/>
    <w:rsid w:val="00C914FD"/>
    <w:rsid w:val="00C9193E"/>
    <w:rsid w:val="00C91BB9"/>
    <w:rsid w:val="00C91E84"/>
    <w:rsid w:val="00C92129"/>
    <w:rsid w:val="00C922A3"/>
    <w:rsid w:val="00C924E0"/>
    <w:rsid w:val="00C925FE"/>
    <w:rsid w:val="00C927C7"/>
    <w:rsid w:val="00C928D6"/>
    <w:rsid w:val="00C92B85"/>
    <w:rsid w:val="00C92C4B"/>
    <w:rsid w:val="00C92E35"/>
    <w:rsid w:val="00C931FB"/>
    <w:rsid w:val="00C93200"/>
    <w:rsid w:val="00C93A6B"/>
    <w:rsid w:val="00C94603"/>
    <w:rsid w:val="00C94FD3"/>
    <w:rsid w:val="00C95A20"/>
    <w:rsid w:val="00C95E41"/>
    <w:rsid w:val="00C9659A"/>
    <w:rsid w:val="00C9683B"/>
    <w:rsid w:val="00C96F44"/>
    <w:rsid w:val="00C96F55"/>
    <w:rsid w:val="00C9793F"/>
    <w:rsid w:val="00C97FCD"/>
    <w:rsid w:val="00CA04A3"/>
    <w:rsid w:val="00CA0525"/>
    <w:rsid w:val="00CA1C60"/>
    <w:rsid w:val="00CA1CCC"/>
    <w:rsid w:val="00CA223E"/>
    <w:rsid w:val="00CA238F"/>
    <w:rsid w:val="00CA26EC"/>
    <w:rsid w:val="00CA29D4"/>
    <w:rsid w:val="00CA3221"/>
    <w:rsid w:val="00CA3514"/>
    <w:rsid w:val="00CA3778"/>
    <w:rsid w:val="00CA390F"/>
    <w:rsid w:val="00CA3CA8"/>
    <w:rsid w:val="00CA3DCF"/>
    <w:rsid w:val="00CA42AB"/>
    <w:rsid w:val="00CA49AA"/>
    <w:rsid w:val="00CA4B99"/>
    <w:rsid w:val="00CA4F3F"/>
    <w:rsid w:val="00CA5A1C"/>
    <w:rsid w:val="00CA5A41"/>
    <w:rsid w:val="00CA5C88"/>
    <w:rsid w:val="00CA6CBF"/>
    <w:rsid w:val="00CA729A"/>
    <w:rsid w:val="00CA77AB"/>
    <w:rsid w:val="00CA7D7B"/>
    <w:rsid w:val="00CA7FAF"/>
    <w:rsid w:val="00CB10BB"/>
    <w:rsid w:val="00CB16D0"/>
    <w:rsid w:val="00CB1C7B"/>
    <w:rsid w:val="00CB203D"/>
    <w:rsid w:val="00CB21D6"/>
    <w:rsid w:val="00CB2238"/>
    <w:rsid w:val="00CB31BE"/>
    <w:rsid w:val="00CB39FE"/>
    <w:rsid w:val="00CB3D21"/>
    <w:rsid w:val="00CB3F20"/>
    <w:rsid w:val="00CB46EA"/>
    <w:rsid w:val="00CB4737"/>
    <w:rsid w:val="00CB4746"/>
    <w:rsid w:val="00CB4ABB"/>
    <w:rsid w:val="00CB58D5"/>
    <w:rsid w:val="00CB5FC9"/>
    <w:rsid w:val="00CB60DE"/>
    <w:rsid w:val="00CB75F7"/>
    <w:rsid w:val="00CC0811"/>
    <w:rsid w:val="00CC1041"/>
    <w:rsid w:val="00CC15DE"/>
    <w:rsid w:val="00CC1820"/>
    <w:rsid w:val="00CC32CF"/>
    <w:rsid w:val="00CC3E56"/>
    <w:rsid w:val="00CC4A73"/>
    <w:rsid w:val="00CC4CBD"/>
    <w:rsid w:val="00CC50B2"/>
    <w:rsid w:val="00CC550D"/>
    <w:rsid w:val="00CC6EAC"/>
    <w:rsid w:val="00CC6EB5"/>
    <w:rsid w:val="00CC6FA0"/>
    <w:rsid w:val="00CC7B52"/>
    <w:rsid w:val="00CC7E4E"/>
    <w:rsid w:val="00CD0CDF"/>
    <w:rsid w:val="00CD0EE0"/>
    <w:rsid w:val="00CD0F56"/>
    <w:rsid w:val="00CD0F75"/>
    <w:rsid w:val="00CD17E9"/>
    <w:rsid w:val="00CD1DC3"/>
    <w:rsid w:val="00CD2082"/>
    <w:rsid w:val="00CD2344"/>
    <w:rsid w:val="00CD24A0"/>
    <w:rsid w:val="00CD2617"/>
    <w:rsid w:val="00CD2ED6"/>
    <w:rsid w:val="00CD383D"/>
    <w:rsid w:val="00CD3FE4"/>
    <w:rsid w:val="00CD4E2B"/>
    <w:rsid w:val="00CD55E5"/>
    <w:rsid w:val="00CD57C2"/>
    <w:rsid w:val="00CD5C49"/>
    <w:rsid w:val="00CD5DC2"/>
    <w:rsid w:val="00CD6712"/>
    <w:rsid w:val="00CD69E3"/>
    <w:rsid w:val="00CD6BAA"/>
    <w:rsid w:val="00CD6C38"/>
    <w:rsid w:val="00CD6D3E"/>
    <w:rsid w:val="00CD782D"/>
    <w:rsid w:val="00CD7913"/>
    <w:rsid w:val="00CD7FD9"/>
    <w:rsid w:val="00CE02A8"/>
    <w:rsid w:val="00CE04D3"/>
    <w:rsid w:val="00CE0A33"/>
    <w:rsid w:val="00CE0EB1"/>
    <w:rsid w:val="00CE0EEC"/>
    <w:rsid w:val="00CE15FD"/>
    <w:rsid w:val="00CE1843"/>
    <w:rsid w:val="00CE1880"/>
    <w:rsid w:val="00CE1C0B"/>
    <w:rsid w:val="00CE1DAB"/>
    <w:rsid w:val="00CE2401"/>
    <w:rsid w:val="00CE370C"/>
    <w:rsid w:val="00CE46F0"/>
    <w:rsid w:val="00CE4E3F"/>
    <w:rsid w:val="00CE5113"/>
    <w:rsid w:val="00CE5712"/>
    <w:rsid w:val="00CE5742"/>
    <w:rsid w:val="00CE59F9"/>
    <w:rsid w:val="00CE6387"/>
    <w:rsid w:val="00CE63B6"/>
    <w:rsid w:val="00CE6A59"/>
    <w:rsid w:val="00CE79BC"/>
    <w:rsid w:val="00CE7BA7"/>
    <w:rsid w:val="00CE7F1A"/>
    <w:rsid w:val="00CF011E"/>
    <w:rsid w:val="00CF0247"/>
    <w:rsid w:val="00CF0346"/>
    <w:rsid w:val="00CF03F2"/>
    <w:rsid w:val="00CF0749"/>
    <w:rsid w:val="00CF0797"/>
    <w:rsid w:val="00CF0919"/>
    <w:rsid w:val="00CF0FD1"/>
    <w:rsid w:val="00CF17A9"/>
    <w:rsid w:val="00CF19C9"/>
    <w:rsid w:val="00CF1BAE"/>
    <w:rsid w:val="00CF2910"/>
    <w:rsid w:val="00CF30EE"/>
    <w:rsid w:val="00CF34FF"/>
    <w:rsid w:val="00CF3624"/>
    <w:rsid w:val="00CF478A"/>
    <w:rsid w:val="00CF4D2B"/>
    <w:rsid w:val="00CF50DD"/>
    <w:rsid w:val="00CF5565"/>
    <w:rsid w:val="00CF5954"/>
    <w:rsid w:val="00CF5B78"/>
    <w:rsid w:val="00CF66AF"/>
    <w:rsid w:val="00CF6920"/>
    <w:rsid w:val="00CF7192"/>
    <w:rsid w:val="00CF75C0"/>
    <w:rsid w:val="00D00627"/>
    <w:rsid w:val="00D00D25"/>
    <w:rsid w:val="00D01DAD"/>
    <w:rsid w:val="00D0212A"/>
    <w:rsid w:val="00D02633"/>
    <w:rsid w:val="00D02976"/>
    <w:rsid w:val="00D02A8F"/>
    <w:rsid w:val="00D02D7A"/>
    <w:rsid w:val="00D02D83"/>
    <w:rsid w:val="00D02EE8"/>
    <w:rsid w:val="00D03A19"/>
    <w:rsid w:val="00D03CA9"/>
    <w:rsid w:val="00D04862"/>
    <w:rsid w:val="00D04972"/>
    <w:rsid w:val="00D05081"/>
    <w:rsid w:val="00D05287"/>
    <w:rsid w:val="00D055AE"/>
    <w:rsid w:val="00D057FC"/>
    <w:rsid w:val="00D063BB"/>
    <w:rsid w:val="00D06457"/>
    <w:rsid w:val="00D06AFB"/>
    <w:rsid w:val="00D06F55"/>
    <w:rsid w:val="00D074ED"/>
    <w:rsid w:val="00D07DCB"/>
    <w:rsid w:val="00D104DC"/>
    <w:rsid w:val="00D109F2"/>
    <w:rsid w:val="00D11ACE"/>
    <w:rsid w:val="00D121FB"/>
    <w:rsid w:val="00D12369"/>
    <w:rsid w:val="00D12840"/>
    <w:rsid w:val="00D13594"/>
    <w:rsid w:val="00D136BB"/>
    <w:rsid w:val="00D13CE4"/>
    <w:rsid w:val="00D140FE"/>
    <w:rsid w:val="00D145DE"/>
    <w:rsid w:val="00D146CE"/>
    <w:rsid w:val="00D15156"/>
    <w:rsid w:val="00D15759"/>
    <w:rsid w:val="00D15E88"/>
    <w:rsid w:val="00D1603F"/>
    <w:rsid w:val="00D1628C"/>
    <w:rsid w:val="00D16E3B"/>
    <w:rsid w:val="00D1789D"/>
    <w:rsid w:val="00D17AD7"/>
    <w:rsid w:val="00D17F1F"/>
    <w:rsid w:val="00D20254"/>
    <w:rsid w:val="00D20978"/>
    <w:rsid w:val="00D20C38"/>
    <w:rsid w:val="00D20EF6"/>
    <w:rsid w:val="00D21653"/>
    <w:rsid w:val="00D21776"/>
    <w:rsid w:val="00D222B6"/>
    <w:rsid w:val="00D222F6"/>
    <w:rsid w:val="00D22853"/>
    <w:rsid w:val="00D23102"/>
    <w:rsid w:val="00D233A8"/>
    <w:rsid w:val="00D235A7"/>
    <w:rsid w:val="00D24072"/>
    <w:rsid w:val="00D244AB"/>
    <w:rsid w:val="00D24A6D"/>
    <w:rsid w:val="00D24F81"/>
    <w:rsid w:val="00D25510"/>
    <w:rsid w:val="00D2560A"/>
    <w:rsid w:val="00D257D1"/>
    <w:rsid w:val="00D2598B"/>
    <w:rsid w:val="00D2609E"/>
    <w:rsid w:val="00D26F7B"/>
    <w:rsid w:val="00D27094"/>
    <w:rsid w:val="00D2767B"/>
    <w:rsid w:val="00D27764"/>
    <w:rsid w:val="00D27A33"/>
    <w:rsid w:val="00D302A2"/>
    <w:rsid w:val="00D30452"/>
    <w:rsid w:val="00D314E7"/>
    <w:rsid w:val="00D317F4"/>
    <w:rsid w:val="00D3243C"/>
    <w:rsid w:val="00D331D3"/>
    <w:rsid w:val="00D33AB9"/>
    <w:rsid w:val="00D34587"/>
    <w:rsid w:val="00D3473C"/>
    <w:rsid w:val="00D3541E"/>
    <w:rsid w:val="00D355AB"/>
    <w:rsid w:val="00D355D6"/>
    <w:rsid w:val="00D35780"/>
    <w:rsid w:val="00D359B2"/>
    <w:rsid w:val="00D35AB6"/>
    <w:rsid w:val="00D35D0E"/>
    <w:rsid w:val="00D35D74"/>
    <w:rsid w:val="00D35F68"/>
    <w:rsid w:val="00D361D4"/>
    <w:rsid w:val="00D3642C"/>
    <w:rsid w:val="00D365EA"/>
    <w:rsid w:val="00D36D14"/>
    <w:rsid w:val="00D37042"/>
    <w:rsid w:val="00D370A2"/>
    <w:rsid w:val="00D3735E"/>
    <w:rsid w:val="00D3758D"/>
    <w:rsid w:val="00D37DA8"/>
    <w:rsid w:val="00D37FB4"/>
    <w:rsid w:val="00D4005C"/>
    <w:rsid w:val="00D407A1"/>
    <w:rsid w:val="00D409D7"/>
    <w:rsid w:val="00D40E86"/>
    <w:rsid w:val="00D416B1"/>
    <w:rsid w:val="00D417C6"/>
    <w:rsid w:val="00D423D4"/>
    <w:rsid w:val="00D429F3"/>
    <w:rsid w:val="00D42AD8"/>
    <w:rsid w:val="00D43290"/>
    <w:rsid w:val="00D432E6"/>
    <w:rsid w:val="00D43410"/>
    <w:rsid w:val="00D43578"/>
    <w:rsid w:val="00D43F86"/>
    <w:rsid w:val="00D441C3"/>
    <w:rsid w:val="00D4444A"/>
    <w:rsid w:val="00D44537"/>
    <w:rsid w:val="00D4455D"/>
    <w:rsid w:val="00D44CD7"/>
    <w:rsid w:val="00D44D82"/>
    <w:rsid w:val="00D44EF3"/>
    <w:rsid w:val="00D45168"/>
    <w:rsid w:val="00D45725"/>
    <w:rsid w:val="00D459D3"/>
    <w:rsid w:val="00D45EE8"/>
    <w:rsid w:val="00D460FB"/>
    <w:rsid w:val="00D46CCD"/>
    <w:rsid w:val="00D46DB0"/>
    <w:rsid w:val="00D4709D"/>
    <w:rsid w:val="00D47487"/>
    <w:rsid w:val="00D478B5"/>
    <w:rsid w:val="00D47A2E"/>
    <w:rsid w:val="00D47C8F"/>
    <w:rsid w:val="00D5061B"/>
    <w:rsid w:val="00D50DE7"/>
    <w:rsid w:val="00D514F6"/>
    <w:rsid w:val="00D51763"/>
    <w:rsid w:val="00D51EF2"/>
    <w:rsid w:val="00D5215C"/>
    <w:rsid w:val="00D525FC"/>
    <w:rsid w:val="00D527C2"/>
    <w:rsid w:val="00D529C2"/>
    <w:rsid w:val="00D52A14"/>
    <w:rsid w:val="00D52F7C"/>
    <w:rsid w:val="00D5361A"/>
    <w:rsid w:val="00D53A1A"/>
    <w:rsid w:val="00D53A3E"/>
    <w:rsid w:val="00D53A52"/>
    <w:rsid w:val="00D53BA2"/>
    <w:rsid w:val="00D544D5"/>
    <w:rsid w:val="00D545D3"/>
    <w:rsid w:val="00D54691"/>
    <w:rsid w:val="00D54717"/>
    <w:rsid w:val="00D54817"/>
    <w:rsid w:val="00D54CE7"/>
    <w:rsid w:val="00D54F02"/>
    <w:rsid w:val="00D55C7A"/>
    <w:rsid w:val="00D55ED6"/>
    <w:rsid w:val="00D56875"/>
    <w:rsid w:val="00D568AE"/>
    <w:rsid w:val="00D56F06"/>
    <w:rsid w:val="00D57BF6"/>
    <w:rsid w:val="00D57D99"/>
    <w:rsid w:val="00D60093"/>
    <w:rsid w:val="00D6040C"/>
    <w:rsid w:val="00D60535"/>
    <w:rsid w:val="00D60CA2"/>
    <w:rsid w:val="00D6103C"/>
    <w:rsid w:val="00D61C01"/>
    <w:rsid w:val="00D62537"/>
    <w:rsid w:val="00D626E0"/>
    <w:rsid w:val="00D629F9"/>
    <w:rsid w:val="00D63693"/>
    <w:rsid w:val="00D637FB"/>
    <w:rsid w:val="00D63ABD"/>
    <w:rsid w:val="00D63C2F"/>
    <w:rsid w:val="00D63FC6"/>
    <w:rsid w:val="00D641FE"/>
    <w:rsid w:val="00D65395"/>
    <w:rsid w:val="00D653DE"/>
    <w:rsid w:val="00D65EA7"/>
    <w:rsid w:val="00D6604F"/>
    <w:rsid w:val="00D66BCB"/>
    <w:rsid w:val="00D66C1A"/>
    <w:rsid w:val="00D66C36"/>
    <w:rsid w:val="00D67C5E"/>
    <w:rsid w:val="00D67DDC"/>
    <w:rsid w:val="00D70666"/>
    <w:rsid w:val="00D70C54"/>
    <w:rsid w:val="00D7201D"/>
    <w:rsid w:val="00D722A1"/>
    <w:rsid w:val="00D722F3"/>
    <w:rsid w:val="00D72639"/>
    <w:rsid w:val="00D73287"/>
    <w:rsid w:val="00D734BD"/>
    <w:rsid w:val="00D736E5"/>
    <w:rsid w:val="00D73CC6"/>
    <w:rsid w:val="00D73D1E"/>
    <w:rsid w:val="00D745E0"/>
    <w:rsid w:val="00D74B5F"/>
    <w:rsid w:val="00D74E7B"/>
    <w:rsid w:val="00D75230"/>
    <w:rsid w:val="00D75F22"/>
    <w:rsid w:val="00D75F41"/>
    <w:rsid w:val="00D762C5"/>
    <w:rsid w:val="00D76351"/>
    <w:rsid w:val="00D76809"/>
    <w:rsid w:val="00D7774C"/>
    <w:rsid w:val="00D80116"/>
    <w:rsid w:val="00D8014D"/>
    <w:rsid w:val="00D80970"/>
    <w:rsid w:val="00D80A5A"/>
    <w:rsid w:val="00D80C2A"/>
    <w:rsid w:val="00D80C85"/>
    <w:rsid w:val="00D810AB"/>
    <w:rsid w:val="00D8156C"/>
    <w:rsid w:val="00D8158B"/>
    <w:rsid w:val="00D81E67"/>
    <w:rsid w:val="00D82308"/>
    <w:rsid w:val="00D823C8"/>
    <w:rsid w:val="00D830F9"/>
    <w:rsid w:val="00D83886"/>
    <w:rsid w:val="00D83FBC"/>
    <w:rsid w:val="00D84487"/>
    <w:rsid w:val="00D845D9"/>
    <w:rsid w:val="00D862F8"/>
    <w:rsid w:val="00D86864"/>
    <w:rsid w:val="00D86BA5"/>
    <w:rsid w:val="00D86E87"/>
    <w:rsid w:val="00D86F86"/>
    <w:rsid w:val="00D87370"/>
    <w:rsid w:val="00D8772A"/>
    <w:rsid w:val="00D87785"/>
    <w:rsid w:val="00D87888"/>
    <w:rsid w:val="00D87B0C"/>
    <w:rsid w:val="00D87CC7"/>
    <w:rsid w:val="00D87DB4"/>
    <w:rsid w:val="00D87EE6"/>
    <w:rsid w:val="00D90315"/>
    <w:rsid w:val="00D9033A"/>
    <w:rsid w:val="00D907A3"/>
    <w:rsid w:val="00D90E02"/>
    <w:rsid w:val="00D90E81"/>
    <w:rsid w:val="00D91190"/>
    <w:rsid w:val="00D91DF8"/>
    <w:rsid w:val="00D925EA"/>
    <w:rsid w:val="00D926A9"/>
    <w:rsid w:val="00D93680"/>
    <w:rsid w:val="00D9384B"/>
    <w:rsid w:val="00D93BAC"/>
    <w:rsid w:val="00D946D8"/>
    <w:rsid w:val="00D95406"/>
    <w:rsid w:val="00D955BC"/>
    <w:rsid w:val="00D9621B"/>
    <w:rsid w:val="00D96724"/>
    <w:rsid w:val="00D96FE9"/>
    <w:rsid w:val="00D97B3C"/>
    <w:rsid w:val="00D97C4B"/>
    <w:rsid w:val="00DA0043"/>
    <w:rsid w:val="00DA1150"/>
    <w:rsid w:val="00DA1263"/>
    <w:rsid w:val="00DA1EC7"/>
    <w:rsid w:val="00DA25A8"/>
    <w:rsid w:val="00DA2A03"/>
    <w:rsid w:val="00DA2E55"/>
    <w:rsid w:val="00DA35D9"/>
    <w:rsid w:val="00DA3FAB"/>
    <w:rsid w:val="00DA429B"/>
    <w:rsid w:val="00DA4995"/>
    <w:rsid w:val="00DA4AF1"/>
    <w:rsid w:val="00DA50A8"/>
    <w:rsid w:val="00DA52CC"/>
    <w:rsid w:val="00DA57F8"/>
    <w:rsid w:val="00DA5B31"/>
    <w:rsid w:val="00DA679F"/>
    <w:rsid w:val="00DA6E38"/>
    <w:rsid w:val="00DA7307"/>
    <w:rsid w:val="00DA752D"/>
    <w:rsid w:val="00DA789A"/>
    <w:rsid w:val="00DA7993"/>
    <w:rsid w:val="00DA7B5C"/>
    <w:rsid w:val="00DA7FC4"/>
    <w:rsid w:val="00DB0102"/>
    <w:rsid w:val="00DB0792"/>
    <w:rsid w:val="00DB0863"/>
    <w:rsid w:val="00DB121E"/>
    <w:rsid w:val="00DB1539"/>
    <w:rsid w:val="00DB1549"/>
    <w:rsid w:val="00DB167C"/>
    <w:rsid w:val="00DB1ABD"/>
    <w:rsid w:val="00DB1D39"/>
    <w:rsid w:val="00DB2277"/>
    <w:rsid w:val="00DB24E5"/>
    <w:rsid w:val="00DB29C4"/>
    <w:rsid w:val="00DB3597"/>
    <w:rsid w:val="00DB3ADF"/>
    <w:rsid w:val="00DB3CBF"/>
    <w:rsid w:val="00DB3E1E"/>
    <w:rsid w:val="00DB4A97"/>
    <w:rsid w:val="00DB4E91"/>
    <w:rsid w:val="00DB5ABA"/>
    <w:rsid w:val="00DB6237"/>
    <w:rsid w:val="00DB6DB5"/>
    <w:rsid w:val="00DB6DD4"/>
    <w:rsid w:val="00DB7026"/>
    <w:rsid w:val="00DB717E"/>
    <w:rsid w:val="00DB73BB"/>
    <w:rsid w:val="00DB759D"/>
    <w:rsid w:val="00DB7764"/>
    <w:rsid w:val="00DB7A2C"/>
    <w:rsid w:val="00DB7CE1"/>
    <w:rsid w:val="00DB7DA1"/>
    <w:rsid w:val="00DC04B1"/>
    <w:rsid w:val="00DC070D"/>
    <w:rsid w:val="00DC08B4"/>
    <w:rsid w:val="00DC1129"/>
    <w:rsid w:val="00DC1738"/>
    <w:rsid w:val="00DC18CA"/>
    <w:rsid w:val="00DC24DB"/>
    <w:rsid w:val="00DC3337"/>
    <w:rsid w:val="00DC35F6"/>
    <w:rsid w:val="00DC3ACF"/>
    <w:rsid w:val="00DC3B74"/>
    <w:rsid w:val="00DC3E40"/>
    <w:rsid w:val="00DC48FF"/>
    <w:rsid w:val="00DC4EC9"/>
    <w:rsid w:val="00DC516E"/>
    <w:rsid w:val="00DC5B2A"/>
    <w:rsid w:val="00DC5BC1"/>
    <w:rsid w:val="00DC64E1"/>
    <w:rsid w:val="00DC6E08"/>
    <w:rsid w:val="00DC6ECD"/>
    <w:rsid w:val="00DC731F"/>
    <w:rsid w:val="00DC775F"/>
    <w:rsid w:val="00DC7A6C"/>
    <w:rsid w:val="00DC7D2E"/>
    <w:rsid w:val="00DC7E13"/>
    <w:rsid w:val="00DC7E54"/>
    <w:rsid w:val="00DD00C6"/>
    <w:rsid w:val="00DD038B"/>
    <w:rsid w:val="00DD080A"/>
    <w:rsid w:val="00DD2214"/>
    <w:rsid w:val="00DD2694"/>
    <w:rsid w:val="00DD291B"/>
    <w:rsid w:val="00DD338D"/>
    <w:rsid w:val="00DD397D"/>
    <w:rsid w:val="00DD3C90"/>
    <w:rsid w:val="00DD4130"/>
    <w:rsid w:val="00DD481E"/>
    <w:rsid w:val="00DD4E8B"/>
    <w:rsid w:val="00DD5069"/>
    <w:rsid w:val="00DD540E"/>
    <w:rsid w:val="00DD599F"/>
    <w:rsid w:val="00DD5DB8"/>
    <w:rsid w:val="00DD769B"/>
    <w:rsid w:val="00DD76DF"/>
    <w:rsid w:val="00DD7A2F"/>
    <w:rsid w:val="00DD7CB3"/>
    <w:rsid w:val="00DD7E6E"/>
    <w:rsid w:val="00DD7F63"/>
    <w:rsid w:val="00DE0810"/>
    <w:rsid w:val="00DE08D3"/>
    <w:rsid w:val="00DE14BC"/>
    <w:rsid w:val="00DE280B"/>
    <w:rsid w:val="00DE2BED"/>
    <w:rsid w:val="00DE2CB4"/>
    <w:rsid w:val="00DE3091"/>
    <w:rsid w:val="00DE382F"/>
    <w:rsid w:val="00DE3D68"/>
    <w:rsid w:val="00DE3DC7"/>
    <w:rsid w:val="00DE3FB9"/>
    <w:rsid w:val="00DE4054"/>
    <w:rsid w:val="00DE4C0F"/>
    <w:rsid w:val="00DE5049"/>
    <w:rsid w:val="00DE54FF"/>
    <w:rsid w:val="00DE5AA3"/>
    <w:rsid w:val="00DE6224"/>
    <w:rsid w:val="00DE6906"/>
    <w:rsid w:val="00DE79B2"/>
    <w:rsid w:val="00DE7ADC"/>
    <w:rsid w:val="00DE7D80"/>
    <w:rsid w:val="00DE7ED9"/>
    <w:rsid w:val="00DE7FBD"/>
    <w:rsid w:val="00DF0165"/>
    <w:rsid w:val="00DF0340"/>
    <w:rsid w:val="00DF0542"/>
    <w:rsid w:val="00DF079D"/>
    <w:rsid w:val="00DF0BDC"/>
    <w:rsid w:val="00DF1117"/>
    <w:rsid w:val="00DF140A"/>
    <w:rsid w:val="00DF15E2"/>
    <w:rsid w:val="00DF22D4"/>
    <w:rsid w:val="00DF2B30"/>
    <w:rsid w:val="00DF2CA1"/>
    <w:rsid w:val="00DF42A7"/>
    <w:rsid w:val="00DF48D9"/>
    <w:rsid w:val="00DF52B7"/>
    <w:rsid w:val="00DF689F"/>
    <w:rsid w:val="00DF68AB"/>
    <w:rsid w:val="00DF6B84"/>
    <w:rsid w:val="00E00571"/>
    <w:rsid w:val="00E00BE4"/>
    <w:rsid w:val="00E01B4A"/>
    <w:rsid w:val="00E01D34"/>
    <w:rsid w:val="00E029E2"/>
    <w:rsid w:val="00E034A0"/>
    <w:rsid w:val="00E03EEB"/>
    <w:rsid w:val="00E047D2"/>
    <w:rsid w:val="00E0485E"/>
    <w:rsid w:val="00E049F5"/>
    <w:rsid w:val="00E05A2C"/>
    <w:rsid w:val="00E05C8C"/>
    <w:rsid w:val="00E06221"/>
    <w:rsid w:val="00E06264"/>
    <w:rsid w:val="00E06D38"/>
    <w:rsid w:val="00E06EFC"/>
    <w:rsid w:val="00E101A2"/>
    <w:rsid w:val="00E10DAC"/>
    <w:rsid w:val="00E11157"/>
    <w:rsid w:val="00E118AA"/>
    <w:rsid w:val="00E11DE6"/>
    <w:rsid w:val="00E12030"/>
    <w:rsid w:val="00E12560"/>
    <w:rsid w:val="00E12746"/>
    <w:rsid w:val="00E12D4F"/>
    <w:rsid w:val="00E12F6F"/>
    <w:rsid w:val="00E12F7D"/>
    <w:rsid w:val="00E133C3"/>
    <w:rsid w:val="00E13D8E"/>
    <w:rsid w:val="00E1432B"/>
    <w:rsid w:val="00E15301"/>
    <w:rsid w:val="00E15CF8"/>
    <w:rsid w:val="00E16279"/>
    <w:rsid w:val="00E16292"/>
    <w:rsid w:val="00E1645F"/>
    <w:rsid w:val="00E1671F"/>
    <w:rsid w:val="00E178AB"/>
    <w:rsid w:val="00E17AC6"/>
    <w:rsid w:val="00E2003C"/>
    <w:rsid w:val="00E20114"/>
    <w:rsid w:val="00E20360"/>
    <w:rsid w:val="00E20A81"/>
    <w:rsid w:val="00E20CF5"/>
    <w:rsid w:val="00E20D91"/>
    <w:rsid w:val="00E20FFC"/>
    <w:rsid w:val="00E21D85"/>
    <w:rsid w:val="00E22193"/>
    <w:rsid w:val="00E22CAA"/>
    <w:rsid w:val="00E23434"/>
    <w:rsid w:val="00E235F6"/>
    <w:rsid w:val="00E23B31"/>
    <w:rsid w:val="00E23F02"/>
    <w:rsid w:val="00E23FBF"/>
    <w:rsid w:val="00E24078"/>
    <w:rsid w:val="00E24DDC"/>
    <w:rsid w:val="00E25CC7"/>
    <w:rsid w:val="00E26B37"/>
    <w:rsid w:val="00E27316"/>
    <w:rsid w:val="00E2774C"/>
    <w:rsid w:val="00E27A7A"/>
    <w:rsid w:val="00E27B3C"/>
    <w:rsid w:val="00E27FD7"/>
    <w:rsid w:val="00E30382"/>
    <w:rsid w:val="00E314BF"/>
    <w:rsid w:val="00E317CE"/>
    <w:rsid w:val="00E31885"/>
    <w:rsid w:val="00E31B56"/>
    <w:rsid w:val="00E31BD8"/>
    <w:rsid w:val="00E32239"/>
    <w:rsid w:val="00E32369"/>
    <w:rsid w:val="00E32CF6"/>
    <w:rsid w:val="00E32EFF"/>
    <w:rsid w:val="00E32FF0"/>
    <w:rsid w:val="00E3348C"/>
    <w:rsid w:val="00E3382F"/>
    <w:rsid w:val="00E33A81"/>
    <w:rsid w:val="00E33B37"/>
    <w:rsid w:val="00E34123"/>
    <w:rsid w:val="00E3463F"/>
    <w:rsid w:val="00E34BE2"/>
    <w:rsid w:val="00E34CD1"/>
    <w:rsid w:val="00E36290"/>
    <w:rsid w:val="00E366B3"/>
    <w:rsid w:val="00E36C69"/>
    <w:rsid w:val="00E36FA2"/>
    <w:rsid w:val="00E372BB"/>
    <w:rsid w:val="00E37647"/>
    <w:rsid w:val="00E37B8C"/>
    <w:rsid w:val="00E40656"/>
    <w:rsid w:val="00E409F1"/>
    <w:rsid w:val="00E40A4B"/>
    <w:rsid w:val="00E416C3"/>
    <w:rsid w:val="00E41BD7"/>
    <w:rsid w:val="00E43209"/>
    <w:rsid w:val="00E432FF"/>
    <w:rsid w:val="00E43443"/>
    <w:rsid w:val="00E444A4"/>
    <w:rsid w:val="00E450E4"/>
    <w:rsid w:val="00E45178"/>
    <w:rsid w:val="00E461D4"/>
    <w:rsid w:val="00E46349"/>
    <w:rsid w:val="00E469B1"/>
    <w:rsid w:val="00E46BB3"/>
    <w:rsid w:val="00E475C1"/>
    <w:rsid w:val="00E4770B"/>
    <w:rsid w:val="00E47A39"/>
    <w:rsid w:val="00E47B62"/>
    <w:rsid w:val="00E47EE5"/>
    <w:rsid w:val="00E5003F"/>
    <w:rsid w:val="00E50359"/>
    <w:rsid w:val="00E5043D"/>
    <w:rsid w:val="00E504D2"/>
    <w:rsid w:val="00E50598"/>
    <w:rsid w:val="00E5068F"/>
    <w:rsid w:val="00E5091A"/>
    <w:rsid w:val="00E50A91"/>
    <w:rsid w:val="00E51D26"/>
    <w:rsid w:val="00E51DBE"/>
    <w:rsid w:val="00E535F9"/>
    <w:rsid w:val="00E53914"/>
    <w:rsid w:val="00E53919"/>
    <w:rsid w:val="00E539EE"/>
    <w:rsid w:val="00E539F2"/>
    <w:rsid w:val="00E542F5"/>
    <w:rsid w:val="00E547B2"/>
    <w:rsid w:val="00E54B6F"/>
    <w:rsid w:val="00E54E24"/>
    <w:rsid w:val="00E54E35"/>
    <w:rsid w:val="00E54F80"/>
    <w:rsid w:val="00E5530D"/>
    <w:rsid w:val="00E5547F"/>
    <w:rsid w:val="00E557CD"/>
    <w:rsid w:val="00E560D6"/>
    <w:rsid w:val="00E56811"/>
    <w:rsid w:val="00E56EB5"/>
    <w:rsid w:val="00E571FD"/>
    <w:rsid w:val="00E57F3F"/>
    <w:rsid w:val="00E57F86"/>
    <w:rsid w:val="00E60136"/>
    <w:rsid w:val="00E601C5"/>
    <w:rsid w:val="00E60234"/>
    <w:rsid w:val="00E61401"/>
    <w:rsid w:val="00E6176D"/>
    <w:rsid w:val="00E61DFE"/>
    <w:rsid w:val="00E61E13"/>
    <w:rsid w:val="00E63B26"/>
    <w:rsid w:val="00E643D9"/>
    <w:rsid w:val="00E64766"/>
    <w:rsid w:val="00E66634"/>
    <w:rsid w:val="00E66A4A"/>
    <w:rsid w:val="00E66E70"/>
    <w:rsid w:val="00E66F8B"/>
    <w:rsid w:val="00E6719E"/>
    <w:rsid w:val="00E672B5"/>
    <w:rsid w:val="00E67BFC"/>
    <w:rsid w:val="00E70022"/>
    <w:rsid w:val="00E70228"/>
    <w:rsid w:val="00E70306"/>
    <w:rsid w:val="00E703B8"/>
    <w:rsid w:val="00E704BD"/>
    <w:rsid w:val="00E710D7"/>
    <w:rsid w:val="00E71157"/>
    <w:rsid w:val="00E712A0"/>
    <w:rsid w:val="00E7189B"/>
    <w:rsid w:val="00E71C5E"/>
    <w:rsid w:val="00E71FA4"/>
    <w:rsid w:val="00E730D8"/>
    <w:rsid w:val="00E73798"/>
    <w:rsid w:val="00E737CB"/>
    <w:rsid w:val="00E73D14"/>
    <w:rsid w:val="00E74010"/>
    <w:rsid w:val="00E750A5"/>
    <w:rsid w:val="00E751B9"/>
    <w:rsid w:val="00E757FA"/>
    <w:rsid w:val="00E75A0A"/>
    <w:rsid w:val="00E75EB0"/>
    <w:rsid w:val="00E763F0"/>
    <w:rsid w:val="00E779C3"/>
    <w:rsid w:val="00E77F0E"/>
    <w:rsid w:val="00E801E4"/>
    <w:rsid w:val="00E8040D"/>
    <w:rsid w:val="00E8069D"/>
    <w:rsid w:val="00E80746"/>
    <w:rsid w:val="00E809BE"/>
    <w:rsid w:val="00E809D4"/>
    <w:rsid w:val="00E81481"/>
    <w:rsid w:val="00E81CE2"/>
    <w:rsid w:val="00E81D1D"/>
    <w:rsid w:val="00E81EE4"/>
    <w:rsid w:val="00E820A5"/>
    <w:rsid w:val="00E8281A"/>
    <w:rsid w:val="00E82A82"/>
    <w:rsid w:val="00E82BDA"/>
    <w:rsid w:val="00E833DE"/>
    <w:rsid w:val="00E83734"/>
    <w:rsid w:val="00E83ADA"/>
    <w:rsid w:val="00E83DB9"/>
    <w:rsid w:val="00E844C5"/>
    <w:rsid w:val="00E84AF0"/>
    <w:rsid w:val="00E84F28"/>
    <w:rsid w:val="00E8521A"/>
    <w:rsid w:val="00E85523"/>
    <w:rsid w:val="00E8570B"/>
    <w:rsid w:val="00E86126"/>
    <w:rsid w:val="00E86883"/>
    <w:rsid w:val="00E87386"/>
    <w:rsid w:val="00E87399"/>
    <w:rsid w:val="00E8745D"/>
    <w:rsid w:val="00E87632"/>
    <w:rsid w:val="00E87C6A"/>
    <w:rsid w:val="00E87CF0"/>
    <w:rsid w:val="00E91A01"/>
    <w:rsid w:val="00E91CDC"/>
    <w:rsid w:val="00E91EFC"/>
    <w:rsid w:val="00E92065"/>
    <w:rsid w:val="00E92671"/>
    <w:rsid w:val="00E927B5"/>
    <w:rsid w:val="00E928AB"/>
    <w:rsid w:val="00E92C71"/>
    <w:rsid w:val="00E92F18"/>
    <w:rsid w:val="00E931D3"/>
    <w:rsid w:val="00E93CF5"/>
    <w:rsid w:val="00E93F1E"/>
    <w:rsid w:val="00E946CB"/>
    <w:rsid w:val="00E94875"/>
    <w:rsid w:val="00E94989"/>
    <w:rsid w:val="00E94B6E"/>
    <w:rsid w:val="00E95304"/>
    <w:rsid w:val="00E9548C"/>
    <w:rsid w:val="00E9563B"/>
    <w:rsid w:val="00E95D3D"/>
    <w:rsid w:val="00E95FC5"/>
    <w:rsid w:val="00E96138"/>
    <w:rsid w:val="00E96177"/>
    <w:rsid w:val="00E96440"/>
    <w:rsid w:val="00E96E45"/>
    <w:rsid w:val="00E97BD9"/>
    <w:rsid w:val="00EA069E"/>
    <w:rsid w:val="00EA0D44"/>
    <w:rsid w:val="00EA2D1E"/>
    <w:rsid w:val="00EA4075"/>
    <w:rsid w:val="00EA4429"/>
    <w:rsid w:val="00EA4900"/>
    <w:rsid w:val="00EA4A6E"/>
    <w:rsid w:val="00EA4B95"/>
    <w:rsid w:val="00EA4E8A"/>
    <w:rsid w:val="00EA548F"/>
    <w:rsid w:val="00EA5637"/>
    <w:rsid w:val="00EA5ACC"/>
    <w:rsid w:val="00EA5C77"/>
    <w:rsid w:val="00EA5D12"/>
    <w:rsid w:val="00EA5DF4"/>
    <w:rsid w:val="00EA5E70"/>
    <w:rsid w:val="00EA5F7A"/>
    <w:rsid w:val="00EA6A8E"/>
    <w:rsid w:val="00EA6BA0"/>
    <w:rsid w:val="00EA7554"/>
    <w:rsid w:val="00EB0856"/>
    <w:rsid w:val="00EB139D"/>
    <w:rsid w:val="00EB13D2"/>
    <w:rsid w:val="00EB196F"/>
    <w:rsid w:val="00EB1B3F"/>
    <w:rsid w:val="00EB1E19"/>
    <w:rsid w:val="00EB2571"/>
    <w:rsid w:val="00EB2699"/>
    <w:rsid w:val="00EB2E1C"/>
    <w:rsid w:val="00EB3B24"/>
    <w:rsid w:val="00EB47A1"/>
    <w:rsid w:val="00EB4C54"/>
    <w:rsid w:val="00EB519C"/>
    <w:rsid w:val="00EB5341"/>
    <w:rsid w:val="00EB5B1F"/>
    <w:rsid w:val="00EB6F47"/>
    <w:rsid w:val="00EB7C8B"/>
    <w:rsid w:val="00EC03CB"/>
    <w:rsid w:val="00EC0E2B"/>
    <w:rsid w:val="00EC1D1D"/>
    <w:rsid w:val="00EC1FF2"/>
    <w:rsid w:val="00EC22B9"/>
    <w:rsid w:val="00EC282A"/>
    <w:rsid w:val="00EC29C6"/>
    <w:rsid w:val="00EC32FB"/>
    <w:rsid w:val="00EC3ABF"/>
    <w:rsid w:val="00EC3D8D"/>
    <w:rsid w:val="00EC3ED8"/>
    <w:rsid w:val="00EC4008"/>
    <w:rsid w:val="00EC414A"/>
    <w:rsid w:val="00EC45EC"/>
    <w:rsid w:val="00EC4957"/>
    <w:rsid w:val="00EC505A"/>
    <w:rsid w:val="00EC52E3"/>
    <w:rsid w:val="00EC5BB7"/>
    <w:rsid w:val="00EC6810"/>
    <w:rsid w:val="00ED0093"/>
    <w:rsid w:val="00ED04DE"/>
    <w:rsid w:val="00ED0606"/>
    <w:rsid w:val="00ED0942"/>
    <w:rsid w:val="00ED0D3F"/>
    <w:rsid w:val="00ED1653"/>
    <w:rsid w:val="00ED1CA9"/>
    <w:rsid w:val="00ED2C58"/>
    <w:rsid w:val="00ED3597"/>
    <w:rsid w:val="00ED3672"/>
    <w:rsid w:val="00ED392F"/>
    <w:rsid w:val="00ED3EC8"/>
    <w:rsid w:val="00ED3ED4"/>
    <w:rsid w:val="00ED4699"/>
    <w:rsid w:val="00ED4AA5"/>
    <w:rsid w:val="00ED4BF8"/>
    <w:rsid w:val="00ED4C48"/>
    <w:rsid w:val="00ED52FB"/>
    <w:rsid w:val="00ED6A28"/>
    <w:rsid w:val="00ED6F2D"/>
    <w:rsid w:val="00ED7090"/>
    <w:rsid w:val="00ED7139"/>
    <w:rsid w:val="00ED719D"/>
    <w:rsid w:val="00ED773E"/>
    <w:rsid w:val="00ED7F0E"/>
    <w:rsid w:val="00ED7F10"/>
    <w:rsid w:val="00EE072A"/>
    <w:rsid w:val="00EE0A37"/>
    <w:rsid w:val="00EE0D9B"/>
    <w:rsid w:val="00EE1F53"/>
    <w:rsid w:val="00EE2784"/>
    <w:rsid w:val="00EE2BF3"/>
    <w:rsid w:val="00EE2F58"/>
    <w:rsid w:val="00EE37BC"/>
    <w:rsid w:val="00EE37C3"/>
    <w:rsid w:val="00EE39C6"/>
    <w:rsid w:val="00EE3A26"/>
    <w:rsid w:val="00EE3BEF"/>
    <w:rsid w:val="00EE3E72"/>
    <w:rsid w:val="00EE4610"/>
    <w:rsid w:val="00EE4C22"/>
    <w:rsid w:val="00EE4DBD"/>
    <w:rsid w:val="00EE4F37"/>
    <w:rsid w:val="00EE55E3"/>
    <w:rsid w:val="00EE55E8"/>
    <w:rsid w:val="00EE575E"/>
    <w:rsid w:val="00EE58DD"/>
    <w:rsid w:val="00EE590E"/>
    <w:rsid w:val="00EE5D57"/>
    <w:rsid w:val="00EE64EA"/>
    <w:rsid w:val="00EE6D44"/>
    <w:rsid w:val="00EE6E89"/>
    <w:rsid w:val="00EE7727"/>
    <w:rsid w:val="00EE7AF4"/>
    <w:rsid w:val="00EE7CA1"/>
    <w:rsid w:val="00EF022B"/>
    <w:rsid w:val="00EF10F4"/>
    <w:rsid w:val="00EF167C"/>
    <w:rsid w:val="00EF207E"/>
    <w:rsid w:val="00EF2111"/>
    <w:rsid w:val="00EF21C3"/>
    <w:rsid w:val="00EF2206"/>
    <w:rsid w:val="00EF2289"/>
    <w:rsid w:val="00EF2323"/>
    <w:rsid w:val="00EF2757"/>
    <w:rsid w:val="00EF29B0"/>
    <w:rsid w:val="00EF2CDA"/>
    <w:rsid w:val="00EF2DAC"/>
    <w:rsid w:val="00EF37B0"/>
    <w:rsid w:val="00EF3A4F"/>
    <w:rsid w:val="00EF3FE4"/>
    <w:rsid w:val="00EF4126"/>
    <w:rsid w:val="00EF4A49"/>
    <w:rsid w:val="00EF4C35"/>
    <w:rsid w:val="00EF4DA8"/>
    <w:rsid w:val="00EF51B6"/>
    <w:rsid w:val="00EF5535"/>
    <w:rsid w:val="00EF624E"/>
    <w:rsid w:val="00EF693A"/>
    <w:rsid w:val="00EF6A6A"/>
    <w:rsid w:val="00EF7788"/>
    <w:rsid w:val="00EF7B23"/>
    <w:rsid w:val="00F00BF0"/>
    <w:rsid w:val="00F010D0"/>
    <w:rsid w:val="00F0149B"/>
    <w:rsid w:val="00F014E3"/>
    <w:rsid w:val="00F0205B"/>
    <w:rsid w:val="00F0208F"/>
    <w:rsid w:val="00F02127"/>
    <w:rsid w:val="00F02916"/>
    <w:rsid w:val="00F02B31"/>
    <w:rsid w:val="00F03735"/>
    <w:rsid w:val="00F03F40"/>
    <w:rsid w:val="00F0473E"/>
    <w:rsid w:val="00F04935"/>
    <w:rsid w:val="00F04C34"/>
    <w:rsid w:val="00F05262"/>
    <w:rsid w:val="00F0548E"/>
    <w:rsid w:val="00F055CA"/>
    <w:rsid w:val="00F05FCD"/>
    <w:rsid w:val="00F0672F"/>
    <w:rsid w:val="00F067E6"/>
    <w:rsid w:val="00F0695A"/>
    <w:rsid w:val="00F06C77"/>
    <w:rsid w:val="00F073CD"/>
    <w:rsid w:val="00F07444"/>
    <w:rsid w:val="00F07474"/>
    <w:rsid w:val="00F074F1"/>
    <w:rsid w:val="00F076FB"/>
    <w:rsid w:val="00F0790E"/>
    <w:rsid w:val="00F07F52"/>
    <w:rsid w:val="00F1044B"/>
    <w:rsid w:val="00F10E12"/>
    <w:rsid w:val="00F1286E"/>
    <w:rsid w:val="00F12C00"/>
    <w:rsid w:val="00F12F2B"/>
    <w:rsid w:val="00F13400"/>
    <w:rsid w:val="00F1341A"/>
    <w:rsid w:val="00F13735"/>
    <w:rsid w:val="00F137B4"/>
    <w:rsid w:val="00F13805"/>
    <w:rsid w:val="00F13A34"/>
    <w:rsid w:val="00F14BB3"/>
    <w:rsid w:val="00F14E97"/>
    <w:rsid w:val="00F14EF7"/>
    <w:rsid w:val="00F15B54"/>
    <w:rsid w:val="00F15FF7"/>
    <w:rsid w:val="00F16548"/>
    <w:rsid w:val="00F16615"/>
    <w:rsid w:val="00F16658"/>
    <w:rsid w:val="00F172BB"/>
    <w:rsid w:val="00F173D8"/>
    <w:rsid w:val="00F17589"/>
    <w:rsid w:val="00F17C8E"/>
    <w:rsid w:val="00F2014C"/>
    <w:rsid w:val="00F202AB"/>
    <w:rsid w:val="00F20335"/>
    <w:rsid w:val="00F20C0A"/>
    <w:rsid w:val="00F21AFC"/>
    <w:rsid w:val="00F21BA1"/>
    <w:rsid w:val="00F21F8F"/>
    <w:rsid w:val="00F2225F"/>
    <w:rsid w:val="00F22F15"/>
    <w:rsid w:val="00F23413"/>
    <w:rsid w:val="00F2374D"/>
    <w:rsid w:val="00F23877"/>
    <w:rsid w:val="00F24698"/>
    <w:rsid w:val="00F25B06"/>
    <w:rsid w:val="00F25CF3"/>
    <w:rsid w:val="00F26227"/>
    <w:rsid w:val="00F2658A"/>
    <w:rsid w:val="00F26973"/>
    <w:rsid w:val="00F27979"/>
    <w:rsid w:val="00F27AE2"/>
    <w:rsid w:val="00F300FD"/>
    <w:rsid w:val="00F30316"/>
    <w:rsid w:val="00F303DB"/>
    <w:rsid w:val="00F30565"/>
    <w:rsid w:val="00F30A0D"/>
    <w:rsid w:val="00F31C2C"/>
    <w:rsid w:val="00F324B5"/>
    <w:rsid w:val="00F325DC"/>
    <w:rsid w:val="00F32854"/>
    <w:rsid w:val="00F32947"/>
    <w:rsid w:val="00F32948"/>
    <w:rsid w:val="00F32F9C"/>
    <w:rsid w:val="00F333BB"/>
    <w:rsid w:val="00F349AD"/>
    <w:rsid w:val="00F35171"/>
    <w:rsid w:val="00F3621A"/>
    <w:rsid w:val="00F365AD"/>
    <w:rsid w:val="00F36A15"/>
    <w:rsid w:val="00F36A2F"/>
    <w:rsid w:val="00F372DE"/>
    <w:rsid w:val="00F37AFF"/>
    <w:rsid w:val="00F37B7D"/>
    <w:rsid w:val="00F40055"/>
    <w:rsid w:val="00F4209A"/>
    <w:rsid w:val="00F4237F"/>
    <w:rsid w:val="00F4249D"/>
    <w:rsid w:val="00F425D3"/>
    <w:rsid w:val="00F4324A"/>
    <w:rsid w:val="00F4336E"/>
    <w:rsid w:val="00F43BC5"/>
    <w:rsid w:val="00F444EA"/>
    <w:rsid w:val="00F44886"/>
    <w:rsid w:val="00F44DA0"/>
    <w:rsid w:val="00F44DFD"/>
    <w:rsid w:val="00F4541F"/>
    <w:rsid w:val="00F45524"/>
    <w:rsid w:val="00F45937"/>
    <w:rsid w:val="00F45FB1"/>
    <w:rsid w:val="00F46437"/>
    <w:rsid w:val="00F4657F"/>
    <w:rsid w:val="00F4658A"/>
    <w:rsid w:val="00F46692"/>
    <w:rsid w:val="00F469F8"/>
    <w:rsid w:val="00F474ED"/>
    <w:rsid w:val="00F47585"/>
    <w:rsid w:val="00F4783E"/>
    <w:rsid w:val="00F47AF4"/>
    <w:rsid w:val="00F47B29"/>
    <w:rsid w:val="00F47DDE"/>
    <w:rsid w:val="00F47E37"/>
    <w:rsid w:val="00F501A8"/>
    <w:rsid w:val="00F50EAE"/>
    <w:rsid w:val="00F5165E"/>
    <w:rsid w:val="00F523E5"/>
    <w:rsid w:val="00F524D5"/>
    <w:rsid w:val="00F527F9"/>
    <w:rsid w:val="00F52B6B"/>
    <w:rsid w:val="00F52FD9"/>
    <w:rsid w:val="00F53018"/>
    <w:rsid w:val="00F530B7"/>
    <w:rsid w:val="00F53435"/>
    <w:rsid w:val="00F5345E"/>
    <w:rsid w:val="00F534B7"/>
    <w:rsid w:val="00F536F5"/>
    <w:rsid w:val="00F54A0A"/>
    <w:rsid w:val="00F552C5"/>
    <w:rsid w:val="00F55927"/>
    <w:rsid w:val="00F55E6B"/>
    <w:rsid w:val="00F5638C"/>
    <w:rsid w:val="00F572B8"/>
    <w:rsid w:val="00F576EF"/>
    <w:rsid w:val="00F60079"/>
    <w:rsid w:val="00F60126"/>
    <w:rsid w:val="00F60613"/>
    <w:rsid w:val="00F60A1F"/>
    <w:rsid w:val="00F60A50"/>
    <w:rsid w:val="00F60BCC"/>
    <w:rsid w:val="00F61EB1"/>
    <w:rsid w:val="00F6204C"/>
    <w:rsid w:val="00F62C38"/>
    <w:rsid w:val="00F62F45"/>
    <w:rsid w:val="00F63563"/>
    <w:rsid w:val="00F636B2"/>
    <w:rsid w:val="00F64080"/>
    <w:rsid w:val="00F64891"/>
    <w:rsid w:val="00F64DA1"/>
    <w:rsid w:val="00F653BA"/>
    <w:rsid w:val="00F6586E"/>
    <w:rsid w:val="00F65902"/>
    <w:rsid w:val="00F659FB"/>
    <w:rsid w:val="00F65DDF"/>
    <w:rsid w:val="00F65EB3"/>
    <w:rsid w:val="00F660CB"/>
    <w:rsid w:val="00F664B4"/>
    <w:rsid w:val="00F6660F"/>
    <w:rsid w:val="00F66777"/>
    <w:rsid w:val="00F66B37"/>
    <w:rsid w:val="00F66BC8"/>
    <w:rsid w:val="00F66D62"/>
    <w:rsid w:val="00F67DD7"/>
    <w:rsid w:val="00F67E0C"/>
    <w:rsid w:val="00F67F12"/>
    <w:rsid w:val="00F701E8"/>
    <w:rsid w:val="00F70265"/>
    <w:rsid w:val="00F70375"/>
    <w:rsid w:val="00F705D4"/>
    <w:rsid w:val="00F706E3"/>
    <w:rsid w:val="00F7072F"/>
    <w:rsid w:val="00F70C08"/>
    <w:rsid w:val="00F71208"/>
    <w:rsid w:val="00F71381"/>
    <w:rsid w:val="00F7192A"/>
    <w:rsid w:val="00F71A3B"/>
    <w:rsid w:val="00F72A74"/>
    <w:rsid w:val="00F73119"/>
    <w:rsid w:val="00F73A5B"/>
    <w:rsid w:val="00F73E0E"/>
    <w:rsid w:val="00F7433D"/>
    <w:rsid w:val="00F7454F"/>
    <w:rsid w:val="00F74F14"/>
    <w:rsid w:val="00F75869"/>
    <w:rsid w:val="00F769BD"/>
    <w:rsid w:val="00F76D04"/>
    <w:rsid w:val="00F772A6"/>
    <w:rsid w:val="00F77377"/>
    <w:rsid w:val="00F77774"/>
    <w:rsid w:val="00F77C28"/>
    <w:rsid w:val="00F80FFA"/>
    <w:rsid w:val="00F8123E"/>
    <w:rsid w:val="00F81463"/>
    <w:rsid w:val="00F818FC"/>
    <w:rsid w:val="00F81B3D"/>
    <w:rsid w:val="00F81F79"/>
    <w:rsid w:val="00F82038"/>
    <w:rsid w:val="00F8243A"/>
    <w:rsid w:val="00F829E7"/>
    <w:rsid w:val="00F82A0A"/>
    <w:rsid w:val="00F83141"/>
    <w:rsid w:val="00F833D4"/>
    <w:rsid w:val="00F83AC9"/>
    <w:rsid w:val="00F83D5D"/>
    <w:rsid w:val="00F84069"/>
    <w:rsid w:val="00F8418E"/>
    <w:rsid w:val="00F843C7"/>
    <w:rsid w:val="00F8470E"/>
    <w:rsid w:val="00F84CE7"/>
    <w:rsid w:val="00F85716"/>
    <w:rsid w:val="00F85ABC"/>
    <w:rsid w:val="00F867A3"/>
    <w:rsid w:val="00F8689C"/>
    <w:rsid w:val="00F86E14"/>
    <w:rsid w:val="00F8714D"/>
    <w:rsid w:val="00F871AA"/>
    <w:rsid w:val="00F87F0E"/>
    <w:rsid w:val="00F90A80"/>
    <w:rsid w:val="00F90E38"/>
    <w:rsid w:val="00F90E90"/>
    <w:rsid w:val="00F919E8"/>
    <w:rsid w:val="00F91AC2"/>
    <w:rsid w:val="00F92063"/>
    <w:rsid w:val="00F925C9"/>
    <w:rsid w:val="00F93240"/>
    <w:rsid w:val="00F934CA"/>
    <w:rsid w:val="00F937C9"/>
    <w:rsid w:val="00F9381A"/>
    <w:rsid w:val="00F939E9"/>
    <w:rsid w:val="00F93C34"/>
    <w:rsid w:val="00F9452B"/>
    <w:rsid w:val="00F9457B"/>
    <w:rsid w:val="00F953AD"/>
    <w:rsid w:val="00F955F0"/>
    <w:rsid w:val="00F962F1"/>
    <w:rsid w:val="00F96678"/>
    <w:rsid w:val="00F96849"/>
    <w:rsid w:val="00F96C2E"/>
    <w:rsid w:val="00F97306"/>
    <w:rsid w:val="00F975AB"/>
    <w:rsid w:val="00F97A5F"/>
    <w:rsid w:val="00F97ADC"/>
    <w:rsid w:val="00F97F86"/>
    <w:rsid w:val="00FA00D7"/>
    <w:rsid w:val="00FA02A0"/>
    <w:rsid w:val="00FA1027"/>
    <w:rsid w:val="00FA10DC"/>
    <w:rsid w:val="00FA1370"/>
    <w:rsid w:val="00FA1727"/>
    <w:rsid w:val="00FA1EAE"/>
    <w:rsid w:val="00FA3023"/>
    <w:rsid w:val="00FA337F"/>
    <w:rsid w:val="00FA5092"/>
    <w:rsid w:val="00FA54D1"/>
    <w:rsid w:val="00FA5744"/>
    <w:rsid w:val="00FA5931"/>
    <w:rsid w:val="00FA6134"/>
    <w:rsid w:val="00FA62B2"/>
    <w:rsid w:val="00FA679B"/>
    <w:rsid w:val="00FA67A2"/>
    <w:rsid w:val="00FA67C7"/>
    <w:rsid w:val="00FA6812"/>
    <w:rsid w:val="00FA6DD8"/>
    <w:rsid w:val="00FA6E09"/>
    <w:rsid w:val="00FA71AB"/>
    <w:rsid w:val="00FA7278"/>
    <w:rsid w:val="00FA7DAA"/>
    <w:rsid w:val="00FA7F44"/>
    <w:rsid w:val="00FB0981"/>
    <w:rsid w:val="00FB1224"/>
    <w:rsid w:val="00FB15CF"/>
    <w:rsid w:val="00FB177C"/>
    <w:rsid w:val="00FB1D02"/>
    <w:rsid w:val="00FB2855"/>
    <w:rsid w:val="00FB2DA9"/>
    <w:rsid w:val="00FB2F9E"/>
    <w:rsid w:val="00FB3408"/>
    <w:rsid w:val="00FB3EFF"/>
    <w:rsid w:val="00FB46D5"/>
    <w:rsid w:val="00FB4AD1"/>
    <w:rsid w:val="00FB4C68"/>
    <w:rsid w:val="00FB52BB"/>
    <w:rsid w:val="00FB54DE"/>
    <w:rsid w:val="00FB5967"/>
    <w:rsid w:val="00FB5E28"/>
    <w:rsid w:val="00FB635D"/>
    <w:rsid w:val="00FB6709"/>
    <w:rsid w:val="00FB6FF9"/>
    <w:rsid w:val="00FB7277"/>
    <w:rsid w:val="00FB74CC"/>
    <w:rsid w:val="00FB7975"/>
    <w:rsid w:val="00FC0481"/>
    <w:rsid w:val="00FC0523"/>
    <w:rsid w:val="00FC0652"/>
    <w:rsid w:val="00FC06E2"/>
    <w:rsid w:val="00FC09D2"/>
    <w:rsid w:val="00FC0C13"/>
    <w:rsid w:val="00FC1114"/>
    <w:rsid w:val="00FC117A"/>
    <w:rsid w:val="00FC11B4"/>
    <w:rsid w:val="00FC11E8"/>
    <w:rsid w:val="00FC16E2"/>
    <w:rsid w:val="00FC176D"/>
    <w:rsid w:val="00FC17B7"/>
    <w:rsid w:val="00FC2092"/>
    <w:rsid w:val="00FC37BC"/>
    <w:rsid w:val="00FC41AA"/>
    <w:rsid w:val="00FC48B0"/>
    <w:rsid w:val="00FC4E77"/>
    <w:rsid w:val="00FC53F9"/>
    <w:rsid w:val="00FC5A92"/>
    <w:rsid w:val="00FC5C77"/>
    <w:rsid w:val="00FC5D55"/>
    <w:rsid w:val="00FC6046"/>
    <w:rsid w:val="00FC61F4"/>
    <w:rsid w:val="00FC6EFF"/>
    <w:rsid w:val="00FC734E"/>
    <w:rsid w:val="00FC7763"/>
    <w:rsid w:val="00FC7F15"/>
    <w:rsid w:val="00FC7FB3"/>
    <w:rsid w:val="00FD0893"/>
    <w:rsid w:val="00FD121D"/>
    <w:rsid w:val="00FD1224"/>
    <w:rsid w:val="00FD16A6"/>
    <w:rsid w:val="00FD19CE"/>
    <w:rsid w:val="00FD23FA"/>
    <w:rsid w:val="00FD26BF"/>
    <w:rsid w:val="00FD2B7B"/>
    <w:rsid w:val="00FD2D90"/>
    <w:rsid w:val="00FD323F"/>
    <w:rsid w:val="00FD375C"/>
    <w:rsid w:val="00FD4B11"/>
    <w:rsid w:val="00FD5709"/>
    <w:rsid w:val="00FD5C1F"/>
    <w:rsid w:val="00FD5D83"/>
    <w:rsid w:val="00FD6C2D"/>
    <w:rsid w:val="00FD70DD"/>
    <w:rsid w:val="00FD74A9"/>
    <w:rsid w:val="00FD776D"/>
    <w:rsid w:val="00FD7D86"/>
    <w:rsid w:val="00FD7E36"/>
    <w:rsid w:val="00FE070E"/>
    <w:rsid w:val="00FE0DBC"/>
    <w:rsid w:val="00FE109E"/>
    <w:rsid w:val="00FE1105"/>
    <w:rsid w:val="00FE150C"/>
    <w:rsid w:val="00FE199C"/>
    <w:rsid w:val="00FE1C10"/>
    <w:rsid w:val="00FE205B"/>
    <w:rsid w:val="00FE214C"/>
    <w:rsid w:val="00FE24D3"/>
    <w:rsid w:val="00FE2BB4"/>
    <w:rsid w:val="00FE2BCE"/>
    <w:rsid w:val="00FE2ED2"/>
    <w:rsid w:val="00FE3CA3"/>
    <w:rsid w:val="00FE3E65"/>
    <w:rsid w:val="00FE40A1"/>
    <w:rsid w:val="00FE49A3"/>
    <w:rsid w:val="00FE4DC5"/>
    <w:rsid w:val="00FE4DEB"/>
    <w:rsid w:val="00FE5624"/>
    <w:rsid w:val="00FE56D4"/>
    <w:rsid w:val="00FE5BEE"/>
    <w:rsid w:val="00FE5CA1"/>
    <w:rsid w:val="00FE660F"/>
    <w:rsid w:val="00FE6E88"/>
    <w:rsid w:val="00FE6F74"/>
    <w:rsid w:val="00FE7438"/>
    <w:rsid w:val="00FE7589"/>
    <w:rsid w:val="00FE7915"/>
    <w:rsid w:val="00FE79F2"/>
    <w:rsid w:val="00FE7AB3"/>
    <w:rsid w:val="00FF0119"/>
    <w:rsid w:val="00FF0867"/>
    <w:rsid w:val="00FF143A"/>
    <w:rsid w:val="00FF1A12"/>
    <w:rsid w:val="00FF1A14"/>
    <w:rsid w:val="00FF1BC4"/>
    <w:rsid w:val="00FF1E01"/>
    <w:rsid w:val="00FF20FE"/>
    <w:rsid w:val="00FF264C"/>
    <w:rsid w:val="00FF2B0D"/>
    <w:rsid w:val="00FF2CFD"/>
    <w:rsid w:val="00FF2DB3"/>
    <w:rsid w:val="00FF39DF"/>
    <w:rsid w:val="00FF4478"/>
    <w:rsid w:val="00FF4BEB"/>
    <w:rsid w:val="00FF4CF3"/>
    <w:rsid w:val="00FF4FC5"/>
    <w:rsid w:val="00FF5AC6"/>
    <w:rsid w:val="00FF5E5C"/>
    <w:rsid w:val="00FF742E"/>
    <w:rsid w:val="313E4E5B"/>
    <w:rsid w:val="5A409B2A"/>
    <w:rsid w:val="704892AC"/>
    <w:rsid w:val="7DD4B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080C2D"/>
  <w15:docId w15:val="{C8F0350C-FBAA-451E-A2F9-A9FF9155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071C"/>
    <w:pPr>
      <w:spacing w:after="120" w:line="240" w:lineRule="auto"/>
      <w:jc w:val="both"/>
    </w:pPr>
    <w:rPr>
      <w:sz w:val="24"/>
    </w:rPr>
  </w:style>
  <w:style w:type="paragraph" w:styleId="Nadpis1">
    <w:name w:val="heading 1"/>
    <w:basedOn w:val="Normln"/>
    <w:next w:val="Normln"/>
    <w:link w:val="Nadpis1Char"/>
    <w:uiPriority w:val="9"/>
    <w:qFormat/>
    <w:rsid w:val="00082059"/>
    <w:pPr>
      <w:keepNext/>
      <w:numPr>
        <w:numId w:val="20"/>
      </w:numPr>
      <w:overflowPunct w:val="0"/>
      <w:autoSpaceDE w:val="0"/>
      <w:autoSpaceDN w:val="0"/>
      <w:adjustRightInd w:val="0"/>
      <w:spacing w:before="240"/>
      <w:textAlignment w:val="baseline"/>
      <w:outlineLvl w:val="0"/>
    </w:pPr>
    <w:rPr>
      <w:rFonts w:eastAsia="Times New Roman" w:cstheme="minorHAnsi"/>
      <w:b/>
      <w:color w:val="000000"/>
      <w:szCs w:val="20"/>
      <w:lang w:eastAsia="cs-CZ"/>
    </w:rPr>
  </w:style>
  <w:style w:type="paragraph" w:styleId="Nadpis2">
    <w:name w:val="heading 2"/>
    <w:basedOn w:val="Normln"/>
    <w:next w:val="Normln"/>
    <w:link w:val="Nadpis2Char"/>
    <w:uiPriority w:val="9"/>
    <w:qFormat/>
    <w:rsid w:val="00AF7218"/>
    <w:pPr>
      <w:keepNext/>
      <w:numPr>
        <w:ilvl w:val="1"/>
        <w:numId w:val="20"/>
      </w:numPr>
      <w:spacing w:before="240"/>
      <w:outlineLvl w:val="1"/>
    </w:pPr>
    <w:rPr>
      <w:rFonts w:eastAsia="Times New Roman" w:cs="Arial"/>
      <w:b/>
      <w:bCs/>
      <w:color w:val="000000"/>
      <w:szCs w:val="24"/>
    </w:rPr>
  </w:style>
  <w:style w:type="paragraph" w:styleId="Nadpis3">
    <w:name w:val="heading 3"/>
    <w:basedOn w:val="Normln"/>
    <w:next w:val="Normln"/>
    <w:link w:val="Nadpis3Char"/>
    <w:autoRedefine/>
    <w:uiPriority w:val="9"/>
    <w:unhideWhenUsed/>
    <w:qFormat/>
    <w:rsid w:val="00265340"/>
    <w:pPr>
      <w:keepNext/>
      <w:keepLines/>
      <w:numPr>
        <w:ilvl w:val="2"/>
        <w:numId w:val="20"/>
      </w:numPr>
      <w:spacing w:before="120"/>
      <w:outlineLvl w:val="2"/>
    </w:pPr>
    <w:rPr>
      <w:rFonts w:eastAsiaTheme="majorEastAsia" w:cstheme="majorBidi"/>
      <w:b/>
      <w:bCs/>
      <w:color w:val="000000"/>
      <w:szCs w:val="24"/>
      <w:lang w:eastAsia="cs-CZ"/>
    </w:rPr>
  </w:style>
  <w:style w:type="paragraph" w:styleId="Nadpis4">
    <w:name w:val="heading 4"/>
    <w:basedOn w:val="Normln"/>
    <w:next w:val="Normln"/>
    <w:link w:val="Nadpis4Char"/>
    <w:uiPriority w:val="9"/>
    <w:unhideWhenUsed/>
    <w:qFormat/>
    <w:rsid w:val="00341A9A"/>
    <w:pPr>
      <w:keepNext/>
      <w:keepLines/>
      <w:numPr>
        <w:ilvl w:val="3"/>
        <w:numId w:val="20"/>
      </w:numPr>
      <w:spacing w:before="40" w:after="0"/>
      <w:outlineLvl w:val="3"/>
    </w:pPr>
    <w:rPr>
      <w:rFonts w:asciiTheme="majorHAnsi" w:eastAsiaTheme="majorEastAsia" w:hAnsiTheme="majorHAnsi" w:cstheme="majorBidi"/>
      <w:i/>
      <w:iCs/>
      <w:color w:val="000000" w:themeColor="text1"/>
      <w:szCs w:val="24"/>
    </w:rPr>
  </w:style>
  <w:style w:type="paragraph" w:styleId="Nadpis5">
    <w:name w:val="heading 5"/>
    <w:basedOn w:val="Normln"/>
    <w:next w:val="Normln"/>
    <w:link w:val="Nadpis5Char"/>
    <w:uiPriority w:val="9"/>
    <w:semiHidden/>
    <w:unhideWhenUsed/>
    <w:qFormat/>
    <w:rsid w:val="00341A9A"/>
    <w:pPr>
      <w:keepNext/>
      <w:keepLines/>
      <w:numPr>
        <w:ilvl w:val="4"/>
        <w:numId w:val="20"/>
      </w:numPr>
      <w:spacing w:before="40" w:after="0"/>
      <w:outlineLvl w:val="4"/>
    </w:pPr>
    <w:rPr>
      <w:rFonts w:asciiTheme="majorHAnsi" w:eastAsiaTheme="majorEastAsia" w:hAnsiTheme="majorHAnsi" w:cstheme="majorBidi"/>
      <w:color w:val="2E74B5" w:themeColor="accent1" w:themeShade="BF"/>
      <w:szCs w:val="24"/>
    </w:rPr>
  </w:style>
  <w:style w:type="paragraph" w:styleId="Nadpis6">
    <w:name w:val="heading 6"/>
    <w:basedOn w:val="Normln"/>
    <w:next w:val="Normln"/>
    <w:link w:val="Nadpis6Char"/>
    <w:uiPriority w:val="9"/>
    <w:semiHidden/>
    <w:unhideWhenUsed/>
    <w:qFormat/>
    <w:rsid w:val="00341A9A"/>
    <w:pPr>
      <w:keepNext/>
      <w:keepLines/>
      <w:numPr>
        <w:ilvl w:val="5"/>
        <w:numId w:val="20"/>
      </w:numPr>
      <w:spacing w:before="40" w:after="0"/>
      <w:outlineLvl w:val="5"/>
    </w:pPr>
    <w:rPr>
      <w:rFonts w:asciiTheme="majorHAnsi" w:eastAsiaTheme="majorEastAsia" w:hAnsiTheme="majorHAnsi" w:cstheme="majorBidi"/>
      <w:color w:val="1F4D78" w:themeColor="accent1" w:themeShade="7F"/>
      <w:szCs w:val="24"/>
    </w:rPr>
  </w:style>
  <w:style w:type="paragraph" w:styleId="Nadpis7">
    <w:name w:val="heading 7"/>
    <w:basedOn w:val="Normln"/>
    <w:next w:val="Normln"/>
    <w:link w:val="Nadpis7Char"/>
    <w:uiPriority w:val="9"/>
    <w:semiHidden/>
    <w:unhideWhenUsed/>
    <w:qFormat/>
    <w:rsid w:val="00341A9A"/>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szCs w:val="24"/>
    </w:rPr>
  </w:style>
  <w:style w:type="paragraph" w:styleId="Nadpis8">
    <w:name w:val="heading 8"/>
    <w:basedOn w:val="Normln"/>
    <w:next w:val="Normln"/>
    <w:link w:val="Nadpis8Char"/>
    <w:uiPriority w:val="9"/>
    <w:semiHidden/>
    <w:unhideWhenUsed/>
    <w:qFormat/>
    <w:rsid w:val="00341A9A"/>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41A9A"/>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2059"/>
    <w:rPr>
      <w:rFonts w:eastAsia="Times New Roman" w:cstheme="minorHAnsi"/>
      <w:b/>
      <w:color w:val="000000"/>
      <w:sz w:val="24"/>
      <w:szCs w:val="20"/>
      <w:lang w:eastAsia="cs-CZ"/>
    </w:rPr>
  </w:style>
  <w:style w:type="character" w:customStyle="1" w:styleId="Nadpis2Char">
    <w:name w:val="Nadpis 2 Char"/>
    <w:basedOn w:val="Standardnpsmoodstavce"/>
    <w:link w:val="Nadpis2"/>
    <w:uiPriority w:val="9"/>
    <w:rsid w:val="00AF7218"/>
    <w:rPr>
      <w:rFonts w:eastAsia="Times New Roman" w:cs="Arial"/>
      <w:b/>
      <w:bCs/>
      <w:color w:val="000000"/>
      <w:sz w:val="24"/>
      <w:szCs w:val="24"/>
    </w:rPr>
  </w:style>
  <w:style w:type="character" w:customStyle="1" w:styleId="Nadpis3Char">
    <w:name w:val="Nadpis 3 Char"/>
    <w:basedOn w:val="Standardnpsmoodstavce"/>
    <w:link w:val="Nadpis3"/>
    <w:uiPriority w:val="9"/>
    <w:rsid w:val="00265340"/>
    <w:rPr>
      <w:rFonts w:eastAsiaTheme="majorEastAsia" w:cstheme="majorBidi"/>
      <w:b/>
      <w:bCs/>
      <w:color w:val="000000"/>
      <w:sz w:val="24"/>
      <w:szCs w:val="24"/>
      <w:lang w:eastAsia="cs-CZ"/>
    </w:rPr>
  </w:style>
  <w:style w:type="character" w:customStyle="1" w:styleId="Nadpis4Char">
    <w:name w:val="Nadpis 4 Char"/>
    <w:basedOn w:val="Standardnpsmoodstavce"/>
    <w:link w:val="Nadpis4"/>
    <w:uiPriority w:val="9"/>
    <w:rsid w:val="00341A9A"/>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341A9A"/>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341A9A"/>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341A9A"/>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341A9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41A9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341A9A"/>
    <w:rPr>
      <w:sz w:val="16"/>
      <w:szCs w:val="16"/>
    </w:rPr>
  </w:style>
  <w:style w:type="paragraph" w:styleId="Textkomente">
    <w:name w:val="annotation text"/>
    <w:basedOn w:val="Normln"/>
    <w:link w:val="TextkomenteChar"/>
    <w:uiPriority w:val="99"/>
    <w:unhideWhenUsed/>
    <w:rsid w:val="00341A9A"/>
    <w:rPr>
      <w:sz w:val="20"/>
      <w:szCs w:val="20"/>
    </w:rPr>
  </w:style>
  <w:style w:type="character" w:customStyle="1" w:styleId="TextkomenteChar">
    <w:name w:val="Text komentáře Char"/>
    <w:basedOn w:val="Standardnpsmoodstavce"/>
    <w:link w:val="Textkomente"/>
    <w:uiPriority w:val="99"/>
    <w:rsid w:val="00341A9A"/>
    <w:rPr>
      <w:sz w:val="20"/>
      <w:szCs w:val="20"/>
    </w:rPr>
  </w:style>
  <w:style w:type="paragraph" w:styleId="Textpoznpodarou">
    <w:name w:val="footnote text"/>
    <w:aliases w:val="Schriftart: 9 pt,Schriftart: 10 pt,Schriftart: 8 pt,Char,Char Char Char Char,Boston 10,Font: Geneva 9,Fußnotentextf,Geneva 9,Podrozdzia3,Podrozdział,Text poznámky pod čiarou 007,f,pozn. pod čarou"/>
    <w:basedOn w:val="Normln"/>
    <w:link w:val="TextpoznpodarouChar"/>
    <w:uiPriority w:val="99"/>
    <w:unhideWhenUsed/>
    <w:rsid w:val="00341A9A"/>
    <w:pPr>
      <w:spacing w:after="0"/>
    </w:pPr>
    <w:rPr>
      <w:sz w:val="20"/>
      <w:szCs w:val="20"/>
    </w:rPr>
  </w:style>
  <w:style w:type="character" w:customStyle="1" w:styleId="TextpoznpodarouChar">
    <w:name w:val="Text pozn. pod čarou Char"/>
    <w:aliases w:val="Schriftart: 9 pt Char,Schriftart: 10 pt Char,Schriftart: 8 pt Char,Char Char,Char Char Char Char Char,Boston 10 Char,Font: Geneva 9 Char,Fußnotentextf Char,Geneva 9 Char,Podrozdzia3 Char,Podrozdział Char,f Char"/>
    <w:basedOn w:val="Standardnpsmoodstavce"/>
    <w:link w:val="Textpoznpodarou"/>
    <w:uiPriority w:val="99"/>
    <w:rsid w:val="00341A9A"/>
    <w:rPr>
      <w:sz w:val="20"/>
      <w:szCs w:val="20"/>
    </w:rPr>
  </w:style>
  <w:style w:type="character" w:styleId="Znakapoznpodarou">
    <w:name w:val="footnote reference"/>
    <w:aliases w:val="Footnote,Footnote call,12 b.,PGI Fußnote Ziffer,PGI Fußnote Ziffer + Times New Roman,Zúžené o ..."/>
    <w:basedOn w:val="Standardnpsmoodstavce"/>
    <w:uiPriority w:val="99"/>
    <w:unhideWhenUsed/>
    <w:rsid w:val="00341A9A"/>
    <w:rPr>
      <w:vertAlign w:val="superscript"/>
    </w:rPr>
  </w:style>
  <w:style w:type="paragraph" w:styleId="Odstavecseseznamem">
    <w:name w:val="List Paragraph"/>
    <w:aliases w:val="Odstavec_muj,odrážky,Odstavec cíl se seznamem,Odstavec se seznamem1,Nadpis pro KZ,List Paragraph (Czech Tourism),Nad,List Paragraph"/>
    <w:basedOn w:val="Normln"/>
    <w:link w:val="OdstavecseseznamemChar"/>
    <w:uiPriority w:val="34"/>
    <w:qFormat/>
    <w:rsid w:val="00341A9A"/>
    <w:pPr>
      <w:ind w:left="720"/>
      <w:contextualSpacing/>
    </w:pPr>
  </w:style>
  <w:style w:type="character" w:customStyle="1" w:styleId="OdstavecseseznamemChar">
    <w:name w:val="Odstavec se seznamem Char"/>
    <w:aliases w:val="Odstavec_muj Char,odrážky Char,Odstavec cíl se seznamem Char,Odstavec se seznamem1 Char,Nadpis pro KZ Char,List Paragraph (Czech Tourism) Char,Nad Char,List Paragraph Char"/>
    <w:basedOn w:val="Standardnpsmoodstavce"/>
    <w:link w:val="Odstavecseseznamem"/>
    <w:uiPriority w:val="34"/>
    <w:qFormat/>
    <w:rsid w:val="00341A9A"/>
  </w:style>
  <w:style w:type="paragraph" w:styleId="Zkladntextodsazen">
    <w:name w:val="Body Text Indent"/>
    <w:basedOn w:val="Normln"/>
    <w:link w:val="ZkladntextodsazenChar"/>
    <w:unhideWhenUsed/>
    <w:rsid w:val="00341A9A"/>
    <w:pPr>
      <w:ind w:left="283"/>
    </w:pPr>
    <w:rPr>
      <w:rFonts w:ascii="Arial" w:eastAsia="Times New Roman" w:hAnsi="Arial" w:cs="Times New Roman"/>
      <w:szCs w:val="24"/>
      <w:lang w:eastAsia="cs-CZ"/>
    </w:rPr>
  </w:style>
  <w:style w:type="character" w:customStyle="1" w:styleId="ZkladntextodsazenChar">
    <w:name w:val="Základní text odsazený Char"/>
    <w:basedOn w:val="Standardnpsmoodstavce"/>
    <w:link w:val="Zkladntextodsazen"/>
    <w:rsid w:val="00341A9A"/>
    <w:rPr>
      <w:rFonts w:ascii="Arial" w:eastAsia="Times New Roman" w:hAnsi="Arial" w:cs="Times New Roman"/>
      <w:sz w:val="24"/>
      <w:szCs w:val="24"/>
      <w:lang w:eastAsia="cs-CZ"/>
    </w:rPr>
  </w:style>
  <w:style w:type="paragraph" w:customStyle="1" w:styleId="Zkladn">
    <w:name w:val="Základní"/>
    <w:basedOn w:val="Normln"/>
    <w:rsid w:val="00341A9A"/>
    <w:pPr>
      <w:spacing w:before="120" w:after="0"/>
    </w:pPr>
    <w:rPr>
      <w:rFonts w:ascii="Arial" w:eastAsia="Times New Roman" w:hAnsi="Arial" w:cs="Times New Roman"/>
      <w:szCs w:val="24"/>
    </w:rPr>
  </w:style>
  <w:style w:type="paragraph" w:styleId="Textbubliny">
    <w:name w:val="Balloon Text"/>
    <w:basedOn w:val="Normln"/>
    <w:link w:val="TextbublinyChar"/>
    <w:uiPriority w:val="99"/>
    <w:semiHidden/>
    <w:unhideWhenUsed/>
    <w:rsid w:val="00341A9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A9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B5B1F"/>
    <w:rPr>
      <w:b/>
      <w:bCs/>
    </w:rPr>
  </w:style>
  <w:style w:type="character" w:customStyle="1" w:styleId="PedmtkomenteChar">
    <w:name w:val="Předmět komentáře Char"/>
    <w:basedOn w:val="TextkomenteChar"/>
    <w:link w:val="Pedmtkomente"/>
    <w:uiPriority w:val="99"/>
    <w:semiHidden/>
    <w:rsid w:val="00EB5B1F"/>
    <w:rPr>
      <w:b/>
      <w:bCs/>
      <w:sz w:val="20"/>
      <w:szCs w:val="20"/>
    </w:rPr>
  </w:style>
  <w:style w:type="table" w:customStyle="1" w:styleId="Mkatabulky5">
    <w:name w:val="Mřížka tabulky5"/>
    <w:basedOn w:val="Normlntabulka"/>
    <w:next w:val="Mkatabulky"/>
    <w:uiPriority w:val="59"/>
    <w:rsid w:val="008C27A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C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EA7554"/>
    <w:pPr>
      <w:spacing w:after="200"/>
    </w:pPr>
    <w:rPr>
      <w:i/>
      <w:iCs/>
      <w:color w:val="44546A" w:themeColor="text2"/>
      <w:sz w:val="18"/>
      <w:szCs w:val="18"/>
    </w:rPr>
  </w:style>
  <w:style w:type="paragraph" w:styleId="Zhlav">
    <w:name w:val="header"/>
    <w:basedOn w:val="Normln"/>
    <w:link w:val="ZhlavChar"/>
    <w:uiPriority w:val="99"/>
    <w:unhideWhenUsed/>
    <w:rsid w:val="001378B1"/>
    <w:pPr>
      <w:tabs>
        <w:tab w:val="center" w:pos="4536"/>
        <w:tab w:val="right" w:pos="9072"/>
      </w:tabs>
      <w:spacing w:after="0"/>
    </w:pPr>
  </w:style>
  <w:style w:type="character" w:customStyle="1" w:styleId="ZhlavChar">
    <w:name w:val="Záhlaví Char"/>
    <w:basedOn w:val="Standardnpsmoodstavce"/>
    <w:link w:val="Zhlav"/>
    <w:uiPriority w:val="99"/>
    <w:rsid w:val="001378B1"/>
  </w:style>
  <w:style w:type="paragraph" w:styleId="Zpat">
    <w:name w:val="footer"/>
    <w:basedOn w:val="Normln"/>
    <w:link w:val="ZpatChar"/>
    <w:uiPriority w:val="99"/>
    <w:unhideWhenUsed/>
    <w:rsid w:val="001378B1"/>
    <w:pPr>
      <w:tabs>
        <w:tab w:val="center" w:pos="4536"/>
        <w:tab w:val="right" w:pos="9072"/>
      </w:tabs>
      <w:spacing w:after="0"/>
    </w:pPr>
  </w:style>
  <w:style w:type="character" w:customStyle="1" w:styleId="ZpatChar">
    <w:name w:val="Zápatí Char"/>
    <w:basedOn w:val="Standardnpsmoodstavce"/>
    <w:link w:val="Zpat"/>
    <w:uiPriority w:val="99"/>
    <w:rsid w:val="001378B1"/>
  </w:style>
  <w:style w:type="character" w:styleId="slostrnky">
    <w:name w:val="page number"/>
    <w:basedOn w:val="Standardnpsmoodstavce"/>
    <w:semiHidden/>
    <w:rsid w:val="001378B1"/>
  </w:style>
  <w:style w:type="character" w:styleId="Hypertextovodkaz">
    <w:name w:val="Hyperlink"/>
    <w:basedOn w:val="Standardnpsmoodstavce"/>
    <w:uiPriority w:val="99"/>
    <w:unhideWhenUsed/>
    <w:rsid w:val="00B162E3"/>
    <w:rPr>
      <w:color w:val="0563C1" w:themeColor="hyperlink"/>
      <w:u w:val="single"/>
    </w:rPr>
  </w:style>
  <w:style w:type="paragraph" w:styleId="Normlnweb">
    <w:name w:val="Normal (Web)"/>
    <w:basedOn w:val="Normln"/>
    <w:uiPriority w:val="99"/>
    <w:semiHidden/>
    <w:unhideWhenUsed/>
    <w:rsid w:val="00146E29"/>
    <w:pPr>
      <w:spacing w:before="100" w:beforeAutospacing="1" w:after="100" w:afterAutospacing="1"/>
    </w:pPr>
    <w:rPr>
      <w:rFonts w:ascii="Times New Roman" w:eastAsiaTheme="minorEastAsia" w:hAnsi="Times New Roman" w:cs="Times New Roman"/>
      <w:szCs w:val="24"/>
      <w:lang w:eastAsia="cs-CZ"/>
    </w:rPr>
  </w:style>
  <w:style w:type="paragraph" w:styleId="Revize">
    <w:name w:val="Revision"/>
    <w:hidden/>
    <w:uiPriority w:val="99"/>
    <w:semiHidden/>
    <w:rsid w:val="008E4134"/>
    <w:pPr>
      <w:spacing w:after="0" w:line="240" w:lineRule="auto"/>
    </w:pPr>
  </w:style>
  <w:style w:type="character" w:styleId="Sledovanodkaz">
    <w:name w:val="FollowedHyperlink"/>
    <w:basedOn w:val="Standardnpsmoodstavce"/>
    <w:uiPriority w:val="99"/>
    <w:semiHidden/>
    <w:unhideWhenUsed/>
    <w:rsid w:val="005A1353"/>
    <w:rPr>
      <w:color w:val="954F72" w:themeColor="followedHyperlink"/>
      <w:u w:val="single"/>
    </w:rPr>
  </w:style>
  <w:style w:type="paragraph" w:customStyle="1" w:styleId="NormlnKZ">
    <w:name w:val="Normální KZ"/>
    <w:basedOn w:val="Normln"/>
    <w:rsid w:val="00273246"/>
    <w:pPr>
      <w:ind w:firstLine="425"/>
    </w:pPr>
    <w:rPr>
      <w:rFonts w:eastAsia="Times New Roman" w:cs="Times New Roman"/>
      <w:szCs w:val="24"/>
      <w:lang w:eastAsia="cs-CZ"/>
    </w:rPr>
  </w:style>
  <w:style w:type="character" w:styleId="Zdraznn">
    <w:name w:val="Emphasis"/>
    <w:basedOn w:val="Standardnpsmoodstavce"/>
    <w:uiPriority w:val="20"/>
    <w:qFormat/>
    <w:rsid w:val="00290E2E"/>
    <w:rPr>
      <w:i/>
      <w:iCs/>
    </w:rPr>
  </w:style>
  <w:style w:type="paragraph" w:customStyle="1" w:styleId="Odrky">
    <w:name w:val="Odrážky"/>
    <w:basedOn w:val="Odstavecseseznamem"/>
    <w:link w:val="OdrkyChar"/>
    <w:qFormat/>
    <w:rsid w:val="007C7B6A"/>
    <w:pPr>
      <w:numPr>
        <w:numId w:val="1"/>
      </w:numPr>
      <w:contextualSpacing w:val="0"/>
    </w:pPr>
    <w:rPr>
      <w:rFonts w:eastAsiaTheme="minorEastAsia" w:cstheme="minorHAnsi"/>
      <w:szCs w:val="24"/>
      <w:lang w:eastAsia="cs-CZ"/>
    </w:rPr>
  </w:style>
  <w:style w:type="character" w:customStyle="1" w:styleId="OdrkyChar">
    <w:name w:val="Odrážky Char"/>
    <w:basedOn w:val="Standardnpsmoodstavce"/>
    <w:link w:val="Odrky"/>
    <w:rsid w:val="007C7B6A"/>
    <w:rPr>
      <w:rFonts w:eastAsiaTheme="minorEastAsia" w:cstheme="minorHAnsi"/>
      <w:sz w:val="24"/>
      <w:szCs w:val="24"/>
      <w:lang w:eastAsia="cs-CZ"/>
    </w:rPr>
  </w:style>
  <w:style w:type="paragraph" w:styleId="Bezmezer">
    <w:name w:val="No Spacing"/>
    <w:aliases w:val="Vyhodnocení tučně"/>
    <w:basedOn w:val="Normln"/>
    <w:uiPriority w:val="1"/>
    <w:qFormat/>
    <w:rsid w:val="00B65E68"/>
    <w:rPr>
      <w:rFonts w:ascii="Calibri" w:eastAsiaTheme="minorEastAsia" w:hAnsi="Calibri"/>
      <w:b/>
      <w:lang w:eastAsia="cs-CZ"/>
    </w:rPr>
  </w:style>
  <w:style w:type="character" w:customStyle="1" w:styleId="st1">
    <w:name w:val="st1"/>
    <w:basedOn w:val="Standardnpsmoodstavce"/>
    <w:rsid w:val="00A10C18"/>
  </w:style>
  <w:style w:type="character" w:customStyle="1" w:styleId="h1a">
    <w:name w:val="h1a"/>
    <w:basedOn w:val="Standardnpsmoodstavce"/>
    <w:rsid w:val="0016296B"/>
  </w:style>
  <w:style w:type="character" w:customStyle="1" w:styleId="PoznmkapodarouChar">
    <w:name w:val="Poznámka pod čarou Char"/>
    <w:basedOn w:val="Standardnpsmoodstavce"/>
    <w:link w:val="Poznmkapodarou"/>
    <w:locked/>
    <w:rsid w:val="00487402"/>
    <w:rPr>
      <w:rFonts w:ascii="Times New Roman" w:eastAsiaTheme="minorEastAsia" w:hAnsi="Times New Roman" w:cs="Times New Roman"/>
      <w:sz w:val="20"/>
      <w:szCs w:val="20"/>
    </w:rPr>
  </w:style>
  <w:style w:type="paragraph" w:customStyle="1" w:styleId="Poznmkapodarou">
    <w:name w:val="Poznámka pod čarou"/>
    <w:basedOn w:val="Textpoznpodarou"/>
    <w:link w:val="PoznmkapodarouChar"/>
    <w:qFormat/>
    <w:rsid w:val="00487402"/>
    <w:rPr>
      <w:rFonts w:ascii="Times New Roman" w:eastAsiaTheme="minorEastAsia" w:hAnsi="Times New Roman" w:cs="Times New Roman"/>
    </w:rPr>
  </w:style>
  <w:style w:type="character" w:customStyle="1" w:styleId="ZdrojChar">
    <w:name w:val="Zdroj Char"/>
    <w:basedOn w:val="Standardnpsmoodstavce"/>
    <w:link w:val="Zdroj"/>
    <w:locked/>
    <w:rsid w:val="00487402"/>
    <w:rPr>
      <w:rFonts w:ascii="Times New Roman" w:eastAsia="Times New Roman" w:hAnsi="Times New Roman" w:cs="Times New Roman"/>
      <w:b/>
      <w:sz w:val="20"/>
      <w:szCs w:val="24"/>
      <w:lang w:eastAsia="cs-CZ"/>
    </w:rPr>
  </w:style>
  <w:style w:type="paragraph" w:customStyle="1" w:styleId="Zdroj">
    <w:name w:val="Zdroj"/>
    <w:basedOn w:val="Normln"/>
    <w:link w:val="ZdrojChar"/>
    <w:qFormat/>
    <w:rsid w:val="00487402"/>
    <w:pPr>
      <w:spacing w:after="200"/>
    </w:pPr>
    <w:rPr>
      <w:rFonts w:ascii="Times New Roman" w:eastAsia="Times New Roman" w:hAnsi="Times New Roman" w:cs="Times New Roman"/>
      <w:b/>
      <w:sz w:val="20"/>
      <w:szCs w:val="24"/>
      <w:lang w:eastAsia="cs-CZ"/>
    </w:rPr>
  </w:style>
  <w:style w:type="character" w:customStyle="1" w:styleId="obsahtabulkyChar">
    <w:name w:val="obsah tabulky Char"/>
    <w:basedOn w:val="Standardnpsmoodstavce"/>
    <w:link w:val="obsahtabulky"/>
    <w:locked/>
    <w:rsid w:val="00487402"/>
    <w:rPr>
      <w:rFonts w:ascii="Times New Roman" w:eastAsia="Times New Roman" w:hAnsi="Times New Roman" w:cstheme="minorHAnsi"/>
      <w:color w:val="000000"/>
      <w:sz w:val="20"/>
      <w:lang w:eastAsia="cs-CZ"/>
    </w:rPr>
  </w:style>
  <w:style w:type="paragraph" w:customStyle="1" w:styleId="obsahtabulky">
    <w:name w:val="obsah tabulky"/>
    <w:basedOn w:val="Normln"/>
    <w:link w:val="obsahtabulkyChar"/>
    <w:qFormat/>
    <w:rsid w:val="00487402"/>
    <w:pPr>
      <w:keepNext/>
      <w:keepLines/>
      <w:spacing w:after="0"/>
    </w:pPr>
    <w:rPr>
      <w:rFonts w:ascii="Times New Roman" w:eastAsia="Times New Roman" w:hAnsi="Times New Roman" w:cstheme="minorHAnsi"/>
      <w:color w:val="000000"/>
      <w:sz w:val="20"/>
      <w:lang w:eastAsia="cs-CZ"/>
    </w:rPr>
  </w:style>
  <w:style w:type="paragraph" w:customStyle="1" w:styleId="Zdrojdat">
    <w:name w:val="Zdroj dat"/>
    <w:basedOn w:val="Normln"/>
    <w:link w:val="ZdrojdatChar"/>
    <w:qFormat/>
    <w:rsid w:val="00706FE7"/>
    <w:pPr>
      <w:keepLines/>
      <w:widowControl w:val="0"/>
    </w:pPr>
    <w:rPr>
      <w:rFonts w:eastAsiaTheme="minorEastAsia"/>
      <w:sz w:val="20"/>
      <w:lang w:eastAsia="cs-CZ"/>
    </w:rPr>
  </w:style>
  <w:style w:type="character" w:customStyle="1" w:styleId="ZdrojdatChar">
    <w:name w:val="Zdroj dat Char"/>
    <w:basedOn w:val="Standardnpsmoodstavce"/>
    <w:link w:val="Zdrojdat"/>
    <w:rsid w:val="00706FE7"/>
    <w:rPr>
      <w:rFonts w:eastAsiaTheme="minorEastAsia"/>
      <w:sz w:val="20"/>
      <w:lang w:eastAsia="cs-CZ"/>
    </w:rPr>
  </w:style>
  <w:style w:type="character" w:customStyle="1" w:styleId="Nevyeenzmnka1">
    <w:name w:val="Nevyřešená zmínka1"/>
    <w:basedOn w:val="Standardnpsmoodstavce"/>
    <w:uiPriority w:val="99"/>
    <w:semiHidden/>
    <w:unhideWhenUsed/>
    <w:rsid w:val="008A348D"/>
    <w:rPr>
      <w:color w:val="605E5C"/>
      <w:shd w:val="clear" w:color="auto" w:fill="E1DFDD"/>
    </w:rPr>
  </w:style>
  <w:style w:type="character" w:styleId="Siln">
    <w:name w:val="Strong"/>
    <w:basedOn w:val="Standardnpsmoodstavce"/>
    <w:uiPriority w:val="22"/>
    <w:qFormat/>
    <w:rsid w:val="00FE070E"/>
    <w:rPr>
      <w:b/>
      <w:bCs/>
    </w:rPr>
  </w:style>
  <w:style w:type="character" w:customStyle="1" w:styleId="UnresolvedMention">
    <w:name w:val="Unresolved Mention"/>
    <w:basedOn w:val="Standardnpsmoodstavce"/>
    <w:uiPriority w:val="99"/>
    <w:semiHidden/>
    <w:unhideWhenUsed/>
    <w:rsid w:val="0035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56">
      <w:bodyDiv w:val="1"/>
      <w:marLeft w:val="0"/>
      <w:marRight w:val="0"/>
      <w:marTop w:val="0"/>
      <w:marBottom w:val="0"/>
      <w:divBdr>
        <w:top w:val="none" w:sz="0" w:space="0" w:color="auto"/>
        <w:left w:val="none" w:sz="0" w:space="0" w:color="auto"/>
        <w:bottom w:val="none" w:sz="0" w:space="0" w:color="auto"/>
        <w:right w:val="none" w:sz="0" w:space="0" w:color="auto"/>
      </w:divBdr>
    </w:div>
    <w:div w:id="43649348">
      <w:bodyDiv w:val="1"/>
      <w:marLeft w:val="0"/>
      <w:marRight w:val="0"/>
      <w:marTop w:val="0"/>
      <w:marBottom w:val="0"/>
      <w:divBdr>
        <w:top w:val="none" w:sz="0" w:space="0" w:color="auto"/>
        <w:left w:val="none" w:sz="0" w:space="0" w:color="auto"/>
        <w:bottom w:val="none" w:sz="0" w:space="0" w:color="auto"/>
        <w:right w:val="none" w:sz="0" w:space="0" w:color="auto"/>
      </w:divBdr>
    </w:div>
    <w:div w:id="76706953">
      <w:bodyDiv w:val="1"/>
      <w:marLeft w:val="0"/>
      <w:marRight w:val="0"/>
      <w:marTop w:val="0"/>
      <w:marBottom w:val="0"/>
      <w:divBdr>
        <w:top w:val="none" w:sz="0" w:space="0" w:color="auto"/>
        <w:left w:val="none" w:sz="0" w:space="0" w:color="auto"/>
        <w:bottom w:val="none" w:sz="0" w:space="0" w:color="auto"/>
        <w:right w:val="none" w:sz="0" w:space="0" w:color="auto"/>
      </w:divBdr>
    </w:div>
    <w:div w:id="131018485">
      <w:bodyDiv w:val="1"/>
      <w:marLeft w:val="0"/>
      <w:marRight w:val="0"/>
      <w:marTop w:val="0"/>
      <w:marBottom w:val="0"/>
      <w:divBdr>
        <w:top w:val="none" w:sz="0" w:space="0" w:color="auto"/>
        <w:left w:val="none" w:sz="0" w:space="0" w:color="auto"/>
        <w:bottom w:val="none" w:sz="0" w:space="0" w:color="auto"/>
        <w:right w:val="none" w:sz="0" w:space="0" w:color="auto"/>
      </w:divBdr>
    </w:div>
    <w:div w:id="139538862">
      <w:bodyDiv w:val="1"/>
      <w:marLeft w:val="0"/>
      <w:marRight w:val="0"/>
      <w:marTop w:val="0"/>
      <w:marBottom w:val="0"/>
      <w:divBdr>
        <w:top w:val="none" w:sz="0" w:space="0" w:color="auto"/>
        <w:left w:val="none" w:sz="0" w:space="0" w:color="auto"/>
        <w:bottom w:val="none" w:sz="0" w:space="0" w:color="auto"/>
        <w:right w:val="none" w:sz="0" w:space="0" w:color="auto"/>
      </w:divBdr>
    </w:div>
    <w:div w:id="290719241">
      <w:bodyDiv w:val="1"/>
      <w:marLeft w:val="0"/>
      <w:marRight w:val="0"/>
      <w:marTop w:val="0"/>
      <w:marBottom w:val="0"/>
      <w:divBdr>
        <w:top w:val="none" w:sz="0" w:space="0" w:color="auto"/>
        <w:left w:val="none" w:sz="0" w:space="0" w:color="auto"/>
        <w:bottom w:val="none" w:sz="0" w:space="0" w:color="auto"/>
        <w:right w:val="none" w:sz="0" w:space="0" w:color="auto"/>
      </w:divBdr>
    </w:div>
    <w:div w:id="356472585">
      <w:bodyDiv w:val="1"/>
      <w:marLeft w:val="0"/>
      <w:marRight w:val="0"/>
      <w:marTop w:val="0"/>
      <w:marBottom w:val="0"/>
      <w:divBdr>
        <w:top w:val="none" w:sz="0" w:space="0" w:color="auto"/>
        <w:left w:val="none" w:sz="0" w:space="0" w:color="auto"/>
        <w:bottom w:val="none" w:sz="0" w:space="0" w:color="auto"/>
        <w:right w:val="none" w:sz="0" w:space="0" w:color="auto"/>
      </w:divBdr>
    </w:div>
    <w:div w:id="396518063">
      <w:bodyDiv w:val="1"/>
      <w:marLeft w:val="0"/>
      <w:marRight w:val="0"/>
      <w:marTop w:val="0"/>
      <w:marBottom w:val="0"/>
      <w:divBdr>
        <w:top w:val="none" w:sz="0" w:space="0" w:color="auto"/>
        <w:left w:val="none" w:sz="0" w:space="0" w:color="auto"/>
        <w:bottom w:val="none" w:sz="0" w:space="0" w:color="auto"/>
        <w:right w:val="none" w:sz="0" w:space="0" w:color="auto"/>
      </w:divBdr>
    </w:div>
    <w:div w:id="409011763">
      <w:bodyDiv w:val="1"/>
      <w:marLeft w:val="0"/>
      <w:marRight w:val="0"/>
      <w:marTop w:val="0"/>
      <w:marBottom w:val="0"/>
      <w:divBdr>
        <w:top w:val="none" w:sz="0" w:space="0" w:color="auto"/>
        <w:left w:val="none" w:sz="0" w:space="0" w:color="auto"/>
        <w:bottom w:val="none" w:sz="0" w:space="0" w:color="auto"/>
        <w:right w:val="none" w:sz="0" w:space="0" w:color="auto"/>
      </w:divBdr>
    </w:div>
    <w:div w:id="457846067">
      <w:bodyDiv w:val="1"/>
      <w:marLeft w:val="0"/>
      <w:marRight w:val="0"/>
      <w:marTop w:val="0"/>
      <w:marBottom w:val="0"/>
      <w:divBdr>
        <w:top w:val="none" w:sz="0" w:space="0" w:color="auto"/>
        <w:left w:val="none" w:sz="0" w:space="0" w:color="auto"/>
        <w:bottom w:val="none" w:sz="0" w:space="0" w:color="auto"/>
        <w:right w:val="none" w:sz="0" w:space="0" w:color="auto"/>
      </w:divBdr>
    </w:div>
    <w:div w:id="482165707">
      <w:bodyDiv w:val="1"/>
      <w:marLeft w:val="0"/>
      <w:marRight w:val="0"/>
      <w:marTop w:val="0"/>
      <w:marBottom w:val="0"/>
      <w:divBdr>
        <w:top w:val="none" w:sz="0" w:space="0" w:color="auto"/>
        <w:left w:val="none" w:sz="0" w:space="0" w:color="auto"/>
        <w:bottom w:val="none" w:sz="0" w:space="0" w:color="auto"/>
        <w:right w:val="none" w:sz="0" w:space="0" w:color="auto"/>
      </w:divBdr>
      <w:divsChild>
        <w:div w:id="378743985">
          <w:marLeft w:val="0"/>
          <w:marRight w:val="0"/>
          <w:marTop w:val="0"/>
          <w:marBottom w:val="0"/>
          <w:divBdr>
            <w:top w:val="none" w:sz="0" w:space="0" w:color="auto"/>
            <w:left w:val="none" w:sz="0" w:space="0" w:color="auto"/>
            <w:bottom w:val="none" w:sz="0" w:space="0" w:color="auto"/>
            <w:right w:val="none" w:sz="0" w:space="0" w:color="auto"/>
          </w:divBdr>
          <w:divsChild>
            <w:div w:id="844974386">
              <w:marLeft w:val="0"/>
              <w:marRight w:val="0"/>
              <w:marTop w:val="0"/>
              <w:marBottom w:val="0"/>
              <w:divBdr>
                <w:top w:val="none" w:sz="0" w:space="0" w:color="auto"/>
                <w:left w:val="none" w:sz="0" w:space="0" w:color="auto"/>
                <w:bottom w:val="none" w:sz="0" w:space="0" w:color="auto"/>
                <w:right w:val="none" w:sz="0" w:space="0" w:color="auto"/>
              </w:divBdr>
              <w:divsChild>
                <w:div w:id="676538442">
                  <w:marLeft w:val="0"/>
                  <w:marRight w:val="0"/>
                  <w:marTop w:val="0"/>
                  <w:marBottom w:val="0"/>
                  <w:divBdr>
                    <w:top w:val="none" w:sz="0" w:space="0" w:color="auto"/>
                    <w:left w:val="none" w:sz="0" w:space="0" w:color="auto"/>
                    <w:bottom w:val="none" w:sz="0" w:space="0" w:color="auto"/>
                    <w:right w:val="none" w:sz="0" w:space="0" w:color="auto"/>
                  </w:divBdr>
                  <w:divsChild>
                    <w:div w:id="449318747">
                      <w:marLeft w:val="0"/>
                      <w:marRight w:val="0"/>
                      <w:marTop w:val="0"/>
                      <w:marBottom w:val="0"/>
                      <w:divBdr>
                        <w:top w:val="none" w:sz="0" w:space="0" w:color="auto"/>
                        <w:left w:val="none" w:sz="0" w:space="0" w:color="auto"/>
                        <w:bottom w:val="none" w:sz="0" w:space="0" w:color="auto"/>
                        <w:right w:val="none" w:sz="0" w:space="0" w:color="auto"/>
                      </w:divBdr>
                      <w:divsChild>
                        <w:div w:id="690373901">
                          <w:marLeft w:val="0"/>
                          <w:marRight w:val="0"/>
                          <w:marTop w:val="0"/>
                          <w:marBottom w:val="0"/>
                          <w:divBdr>
                            <w:top w:val="none" w:sz="0" w:space="0" w:color="auto"/>
                            <w:left w:val="none" w:sz="0" w:space="0" w:color="auto"/>
                            <w:bottom w:val="none" w:sz="0" w:space="0" w:color="auto"/>
                            <w:right w:val="none" w:sz="0" w:space="0" w:color="auto"/>
                          </w:divBdr>
                          <w:divsChild>
                            <w:div w:id="286621199">
                              <w:marLeft w:val="0"/>
                              <w:marRight w:val="0"/>
                              <w:marTop w:val="0"/>
                              <w:marBottom w:val="0"/>
                              <w:divBdr>
                                <w:top w:val="none" w:sz="0" w:space="0" w:color="auto"/>
                                <w:left w:val="none" w:sz="0" w:space="0" w:color="auto"/>
                                <w:bottom w:val="none" w:sz="0" w:space="0" w:color="auto"/>
                                <w:right w:val="none" w:sz="0" w:space="0" w:color="auto"/>
                              </w:divBdr>
                              <w:divsChild>
                                <w:div w:id="2526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97631">
      <w:bodyDiv w:val="1"/>
      <w:marLeft w:val="0"/>
      <w:marRight w:val="0"/>
      <w:marTop w:val="0"/>
      <w:marBottom w:val="0"/>
      <w:divBdr>
        <w:top w:val="none" w:sz="0" w:space="0" w:color="auto"/>
        <w:left w:val="none" w:sz="0" w:space="0" w:color="auto"/>
        <w:bottom w:val="none" w:sz="0" w:space="0" w:color="auto"/>
        <w:right w:val="none" w:sz="0" w:space="0" w:color="auto"/>
      </w:divBdr>
    </w:div>
    <w:div w:id="623577641">
      <w:bodyDiv w:val="1"/>
      <w:marLeft w:val="0"/>
      <w:marRight w:val="0"/>
      <w:marTop w:val="0"/>
      <w:marBottom w:val="0"/>
      <w:divBdr>
        <w:top w:val="none" w:sz="0" w:space="0" w:color="auto"/>
        <w:left w:val="none" w:sz="0" w:space="0" w:color="auto"/>
        <w:bottom w:val="none" w:sz="0" w:space="0" w:color="auto"/>
        <w:right w:val="none" w:sz="0" w:space="0" w:color="auto"/>
      </w:divBdr>
    </w:div>
    <w:div w:id="912473056">
      <w:bodyDiv w:val="1"/>
      <w:marLeft w:val="0"/>
      <w:marRight w:val="0"/>
      <w:marTop w:val="0"/>
      <w:marBottom w:val="0"/>
      <w:divBdr>
        <w:top w:val="none" w:sz="0" w:space="0" w:color="auto"/>
        <w:left w:val="none" w:sz="0" w:space="0" w:color="auto"/>
        <w:bottom w:val="none" w:sz="0" w:space="0" w:color="auto"/>
        <w:right w:val="none" w:sz="0" w:space="0" w:color="auto"/>
      </w:divBdr>
    </w:div>
    <w:div w:id="918445346">
      <w:bodyDiv w:val="1"/>
      <w:marLeft w:val="0"/>
      <w:marRight w:val="0"/>
      <w:marTop w:val="0"/>
      <w:marBottom w:val="0"/>
      <w:divBdr>
        <w:top w:val="none" w:sz="0" w:space="0" w:color="auto"/>
        <w:left w:val="none" w:sz="0" w:space="0" w:color="auto"/>
        <w:bottom w:val="none" w:sz="0" w:space="0" w:color="auto"/>
        <w:right w:val="none" w:sz="0" w:space="0" w:color="auto"/>
      </w:divBdr>
    </w:div>
    <w:div w:id="1041519505">
      <w:bodyDiv w:val="1"/>
      <w:marLeft w:val="0"/>
      <w:marRight w:val="0"/>
      <w:marTop w:val="0"/>
      <w:marBottom w:val="0"/>
      <w:divBdr>
        <w:top w:val="none" w:sz="0" w:space="0" w:color="auto"/>
        <w:left w:val="none" w:sz="0" w:space="0" w:color="auto"/>
        <w:bottom w:val="none" w:sz="0" w:space="0" w:color="auto"/>
        <w:right w:val="none" w:sz="0" w:space="0" w:color="auto"/>
      </w:divBdr>
    </w:div>
    <w:div w:id="1109276910">
      <w:bodyDiv w:val="1"/>
      <w:marLeft w:val="0"/>
      <w:marRight w:val="0"/>
      <w:marTop w:val="0"/>
      <w:marBottom w:val="0"/>
      <w:divBdr>
        <w:top w:val="none" w:sz="0" w:space="0" w:color="auto"/>
        <w:left w:val="none" w:sz="0" w:space="0" w:color="auto"/>
        <w:bottom w:val="none" w:sz="0" w:space="0" w:color="auto"/>
        <w:right w:val="none" w:sz="0" w:space="0" w:color="auto"/>
      </w:divBdr>
    </w:div>
    <w:div w:id="1194659710">
      <w:bodyDiv w:val="1"/>
      <w:marLeft w:val="0"/>
      <w:marRight w:val="0"/>
      <w:marTop w:val="0"/>
      <w:marBottom w:val="0"/>
      <w:divBdr>
        <w:top w:val="none" w:sz="0" w:space="0" w:color="auto"/>
        <w:left w:val="none" w:sz="0" w:space="0" w:color="auto"/>
        <w:bottom w:val="none" w:sz="0" w:space="0" w:color="auto"/>
        <w:right w:val="none" w:sz="0" w:space="0" w:color="auto"/>
      </w:divBdr>
      <w:divsChild>
        <w:div w:id="808203880">
          <w:marLeft w:val="1166"/>
          <w:marRight w:val="0"/>
          <w:marTop w:val="96"/>
          <w:marBottom w:val="240"/>
          <w:divBdr>
            <w:top w:val="none" w:sz="0" w:space="0" w:color="auto"/>
            <w:left w:val="none" w:sz="0" w:space="0" w:color="auto"/>
            <w:bottom w:val="none" w:sz="0" w:space="0" w:color="auto"/>
            <w:right w:val="none" w:sz="0" w:space="0" w:color="auto"/>
          </w:divBdr>
        </w:div>
        <w:div w:id="1858881902">
          <w:marLeft w:val="1166"/>
          <w:marRight w:val="0"/>
          <w:marTop w:val="96"/>
          <w:marBottom w:val="240"/>
          <w:divBdr>
            <w:top w:val="none" w:sz="0" w:space="0" w:color="auto"/>
            <w:left w:val="none" w:sz="0" w:space="0" w:color="auto"/>
            <w:bottom w:val="none" w:sz="0" w:space="0" w:color="auto"/>
            <w:right w:val="none" w:sz="0" w:space="0" w:color="auto"/>
          </w:divBdr>
        </w:div>
        <w:div w:id="1942948721">
          <w:marLeft w:val="1166"/>
          <w:marRight w:val="0"/>
          <w:marTop w:val="96"/>
          <w:marBottom w:val="240"/>
          <w:divBdr>
            <w:top w:val="none" w:sz="0" w:space="0" w:color="auto"/>
            <w:left w:val="none" w:sz="0" w:space="0" w:color="auto"/>
            <w:bottom w:val="none" w:sz="0" w:space="0" w:color="auto"/>
            <w:right w:val="none" w:sz="0" w:space="0" w:color="auto"/>
          </w:divBdr>
        </w:div>
        <w:div w:id="702748659">
          <w:marLeft w:val="1166"/>
          <w:marRight w:val="0"/>
          <w:marTop w:val="96"/>
          <w:marBottom w:val="240"/>
          <w:divBdr>
            <w:top w:val="none" w:sz="0" w:space="0" w:color="auto"/>
            <w:left w:val="none" w:sz="0" w:space="0" w:color="auto"/>
            <w:bottom w:val="none" w:sz="0" w:space="0" w:color="auto"/>
            <w:right w:val="none" w:sz="0" w:space="0" w:color="auto"/>
          </w:divBdr>
        </w:div>
        <w:div w:id="1102065145">
          <w:marLeft w:val="1166"/>
          <w:marRight w:val="0"/>
          <w:marTop w:val="96"/>
          <w:marBottom w:val="240"/>
          <w:divBdr>
            <w:top w:val="none" w:sz="0" w:space="0" w:color="auto"/>
            <w:left w:val="none" w:sz="0" w:space="0" w:color="auto"/>
            <w:bottom w:val="none" w:sz="0" w:space="0" w:color="auto"/>
            <w:right w:val="none" w:sz="0" w:space="0" w:color="auto"/>
          </w:divBdr>
        </w:div>
      </w:divsChild>
    </w:div>
    <w:div w:id="1196500140">
      <w:bodyDiv w:val="1"/>
      <w:marLeft w:val="0"/>
      <w:marRight w:val="0"/>
      <w:marTop w:val="0"/>
      <w:marBottom w:val="0"/>
      <w:divBdr>
        <w:top w:val="none" w:sz="0" w:space="0" w:color="auto"/>
        <w:left w:val="none" w:sz="0" w:space="0" w:color="auto"/>
        <w:bottom w:val="none" w:sz="0" w:space="0" w:color="auto"/>
        <w:right w:val="none" w:sz="0" w:space="0" w:color="auto"/>
      </w:divBdr>
    </w:div>
    <w:div w:id="1208301494">
      <w:bodyDiv w:val="1"/>
      <w:marLeft w:val="0"/>
      <w:marRight w:val="0"/>
      <w:marTop w:val="0"/>
      <w:marBottom w:val="0"/>
      <w:divBdr>
        <w:top w:val="none" w:sz="0" w:space="0" w:color="auto"/>
        <w:left w:val="none" w:sz="0" w:space="0" w:color="auto"/>
        <w:bottom w:val="none" w:sz="0" w:space="0" w:color="auto"/>
        <w:right w:val="none" w:sz="0" w:space="0" w:color="auto"/>
      </w:divBdr>
    </w:div>
    <w:div w:id="1222596747">
      <w:bodyDiv w:val="1"/>
      <w:marLeft w:val="0"/>
      <w:marRight w:val="0"/>
      <w:marTop w:val="0"/>
      <w:marBottom w:val="0"/>
      <w:divBdr>
        <w:top w:val="none" w:sz="0" w:space="0" w:color="auto"/>
        <w:left w:val="none" w:sz="0" w:space="0" w:color="auto"/>
        <w:bottom w:val="none" w:sz="0" w:space="0" w:color="auto"/>
        <w:right w:val="none" w:sz="0" w:space="0" w:color="auto"/>
      </w:divBdr>
    </w:div>
    <w:div w:id="1285111627">
      <w:bodyDiv w:val="1"/>
      <w:marLeft w:val="0"/>
      <w:marRight w:val="0"/>
      <w:marTop w:val="0"/>
      <w:marBottom w:val="0"/>
      <w:divBdr>
        <w:top w:val="none" w:sz="0" w:space="0" w:color="auto"/>
        <w:left w:val="none" w:sz="0" w:space="0" w:color="auto"/>
        <w:bottom w:val="none" w:sz="0" w:space="0" w:color="auto"/>
        <w:right w:val="none" w:sz="0" w:space="0" w:color="auto"/>
      </w:divBdr>
    </w:div>
    <w:div w:id="1319193292">
      <w:bodyDiv w:val="1"/>
      <w:marLeft w:val="0"/>
      <w:marRight w:val="0"/>
      <w:marTop w:val="0"/>
      <w:marBottom w:val="0"/>
      <w:divBdr>
        <w:top w:val="none" w:sz="0" w:space="0" w:color="auto"/>
        <w:left w:val="none" w:sz="0" w:space="0" w:color="auto"/>
        <w:bottom w:val="none" w:sz="0" w:space="0" w:color="auto"/>
        <w:right w:val="none" w:sz="0" w:space="0" w:color="auto"/>
      </w:divBdr>
    </w:div>
    <w:div w:id="1328365380">
      <w:bodyDiv w:val="1"/>
      <w:marLeft w:val="0"/>
      <w:marRight w:val="0"/>
      <w:marTop w:val="0"/>
      <w:marBottom w:val="0"/>
      <w:divBdr>
        <w:top w:val="none" w:sz="0" w:space="0" w:color="auto"/>
        <w:left w:val="none" w:sz="0" w:space="0" w:color="auto"/>
        <w:bottom w:val="none" w:sz="0" w:space="0" w:color="auto"/>
        <w:right w:val="none" w:sz="0" w:space="0" w:color="auto"/>
      </w:divBdr>
    </w:div>
    <w:div w:id="1364139103">
      <w:bodyDiv w:val="1"/>
      <w:marLeft w:val="0"/>
      <w:marRight w:val="0"/>
      <w:marTop w:val="0"/>
      <w:marBottom w:val="0"/>
      <w:divBdr>
        <w:top w:val="none" w:sz="0" w:space="0" w:color="auto"/>
        <w:left w:val="none" w:sz="0" w:space="0" w:color="auto"/>
        <w:bottom w:val="none" w:sz="0" w:space="0" w:color="auto"/>
        <w:right w:val="none" w:sz="0" w:space="0" w:color="auto"/>
      </w:divBdr>
    </w:div>
    <w:div w:id="1409116365">
      <w:bodyDiv w:val="1"/>
      <w:marLeft w:val="0"/>
      <w:marRight w:val="0"/>
      <w:marTop w:val="0"/>
      <w:marBottom w:val="0"/>
      <w:divBdr>
        <w:top w:val="none" w:sz="0" w:space="0" w:color="auto"/>
        <w:left w:val="none" w:sz="0" w:space="0" w:color="auto"/>
        <w:bottom w:val="none" w:sz="0" w:space="0" w:color="auto"/>
        <w:right w:val="none" w:sz="0" w:space="0" w:color="auto"/>
      </w:divBdr>
    </w:div>
    <w:div w:id="1468621244">
      <w:bodyDiv w:val="1"/>
      <w:marLeft w:val="0"/>
      <w:marRight w:val="0"/>
      <w:marTop w:val="0"/>
      <w:marBottom w:val="0"/>
      <w:divBdr>
        <w:top w:val="none" w:sz="0" w:space="0" w:color="auto"/>
        <w:left w:val="none" w:sz="0" w:space="0" w:color="auto"/>
        <w:bottom w:val="none" w:sz="0" w:space="0" w:color="auto"/>
        <w:right w:val="none" w:sz="0" w:space="0" w:color="auto"/>
      </w:divBdr>
    </w:div>
    <w:div w:id="1469472574">
      <w:bodyDiv w:val="1"/>
      <w:marLeft w:val="0"/>
      <w:marRight w:val="0"/>
      <w:marTop w:val="0"/>
      <w:marBottom w:val="0"/>
      <w:divBdr>
        <w:top w:val="none" w:sz="0" w:space="0" w:color="auto"/>
        <w:left w:val="none" w:sz="0" w:space="0" w:color="auto"/>
        <w:bottom w:val="none" w:sz="0" w:space="0" w:color="auto"/>
        <w:right w:val="none" w:sz="0" w:space="0" w:color="auto"/>
      </w:divBdr>
    </w:div>
    <w:div w:id="1487937994">
      <w:bodyDiv w:val="1"/>
      <w:marLeft w:val="0"/>
      <w:marRight w:val="0"/>
      <w:marTop w:val="0"/>
      <w:marBottom w:val="0"/>
      <w:divBdr>
        <w:top w:val="none" w:sz="0" w:space="0" w:color="auto"/>
        <w:left w:val="none" w:sz="0" w:space="0" w:color="auto"/>
        <w:bottom w:val="none" w:sz="0" w:space="0" w:color="auto"/>
        <w:right w:val="none" w:sz="0" w:space="0" w:color="auto"/>
      </w:divBdr>
    </w:div>
    <w:div w:id="1502818016">
      <w:bodyDiv w:val="1"/>
      <w:marLeft w:val="0"/>
      <w:marRight w:val="0"/>
      <w:marTop w:val="0"/>
      <w:marBottom w:val="0"/>
      <w:divBdr>
        <w:top w:val="none" w:sz="0" w:space="0" w:color="auto"/>
        <w:left w:val="none" w:sz="0" w:space="0" w:color="auto"/>
        <w:bottom w:val="none" w:sz="0" w:space="0" w:color="auto"/>
        <w:right w:val="none" w:sz="0" w:space="0" w:color="auto"/>
      </w:divBdr>
      <w:divsChild>
        <w:div w:id="445349746">
          <w:marLeft w:val="1166"/>
          <w:marRight w:val="0"/>
          <w:marTop w:val="82"/>
          <w:marBottom w:val="0"/>
          <w:divBdr>
            <w:top w:val="none" w:sz="0" w:space="0" w:color="auto"/>
            <w:left w:val="none" w:sz="0" w:space="0" w:color="auto"/>
            <w:bottom w:val="none" w:sz="0" w:space="0" w:color="auto"/>
            <w:right w:val="none" w:sz="0" w:space="0" w:color="auto"/>
          </w:divBdr>
        </w:div>
      </w:divsChild>
    </w:div>
    <w:div w:id="1557812323">
      <w:bodyDiv w:val="1"/>
      <w:marLeft w:val="0"/>
      <w:marRight w:val="0"/>
      <w:marTop w:val="0"/>
      <w:marBottom w:val="0"/>
      <w:divBdr>
        <w:top w:val="none" w:sz="0" w:space="0" w:color="auto"/>
        <w:left w:val="none" w:sz="0" w:space="0" w:color="auto"/>
        <w:bottom w:val="none" w:sz="0" w:space="0" w:color="auto"/>
        <w:right w:val="none" w:sz="0" w:space="0" w:color="auto"/>
      </w:divBdr>
    </w:div>
    <w:div w:id="1632711838">
      <w:bodyDiv w:val="1"/>
      <w:marLeft w:val="0"/>
      <w:marRight w:val="0"/>
      <w:marTop w:val="0"/>
      <w:marBottom w:val="0"/>
      <w:divBdr>
        <w:top w:val="none" w:sz="0" w:space="0" w:color="auto"/>
        <w:left w:val="none" w:sz="0" w:space="0" w:color="auto"/>
        <w:bottom w:val="none" w:sz="0" w:space="0" w:color="auto"/>
        <w:right w:val="none" w:sz="0" w:space="0" w:color="auto"/>
      </w:divBdr>
    </w:div>
    <w:div w:id="1638104494">
      <w:bodyDiv w:val="1"/>
      <w:marLeft w:val="0"/>
      <w:marRight w:val="0"/>
      <w:marTop w:val="0"/>
      <w:marBottom w:val="0"/>
      <w:divBdr>
        <w:top w:val="none" w:sz="0" w:space="0" w:color="auto"/>
        <w:left w:val="none" w:sz="0" w:space="0" w:color="auto"/>
        <w:bottom w:val="none" w:sz="0" w:space="0" w:color="auto"/>
        <w:right w:val="none" w:sz="0" w:space="0" w:color="auto"/>
      </w:divBdr>
    </w:div>
    <w:div w:id="1685132345">
      <w:bodyDiv w:val="1"/>
      <w:marLeft w:val="0"/>
      <w:marRight w:val="0"/>
      <w:marTop w:val="0"/>
      <w:marBottom w:val="0"/>
      <w:divBdr>
        <w:top w:val="none" w:sz="0" w:space="0" w:color="auto"/>
        <w:left w:val="none" w:sz="0" w:space="0" w:color="auto"/>
        <w:bottom w:val="none" w:sz="0" w:space="0" w:color="auto"/>
        <w:right w:val="none" w:sz="0" w:space="0" w:color="auto"/>
      </w:divBdr>
    </w:div>
    <w:div w:id="1693798623">
      <w:bodyDiv w:val="1"/>
      <w:marLeft w:val="0"/>
      <w:marRight w:val="0"/>
      <w:marTop w:val="0"/>
      <w:marBottom w:val="0"/>
      <w:divBdr>
        <w:top w:val="none" w:sz="0" w:space="0" w:color="auto"/>
        <w:left w:val="none" w:sz="0" w:space="0" w:color="auto"/>
        <w:bottom w:val="none" w:sz="0" w:space="0" w:color="auto"/>
        <w:right w:val="none" w:sz="0" w:space="0" w:color="auto"/>
      </w:divBdr>
    </w:div>
    <w:div w:id="1903908405">
      <w:bodyDiv w:val="1"/>
      <w:marLeft w:val="0"/>
      <w:marRight w:val="0"/>
      <w:marTop w:val="0"/>
      <w:marBottom w:val="0"/>
      <w:divBdr>
        <w:top w:val="none" w:sz="0" w:space="0" w:color="auto"/>
        <w:left w:val="none" w:sz="0" w:space="0" w:color="auto"/>
        <w:bottom w:val="none" w:sz="0" w:space="0" w:color="auto"/>
        <w:right w:val="none" w:sz="0" w:space="0" w:color="auto"/>
      </w:divBdr>
    </w:div>
    <w:div w:id="1905725412">
      <w:bodyDiv w:val="1"/>
      <w:marLeft w:val="0"/>
      <w:marRight w:val="0"/>
      <w:marTop w:val="0"/>
      <w:marBottom w:val="0"/>
      <w:divBdr>
        <w:top w:val="none" w:sz="0" w:space="0" w:color="auto"/>
        <w:left w:val="none" w:sz="0" w:space="0" w:color="auto"/>
        <w:bottom w:val="none" w:sz="0" w:space="0" w:color="auto"/>
        <w:right w:val="none" w:sz="0" w:space="0" w:color="auto"/>
      </w:divBdr>
    </w:div>
    <w:div w:id="2067099541">
      <w:bodyDiv w:val="1"/>
      <w:marLeft w:val="0"/>
      <w:marRight w:val="0"/>
      <w:marTop w:val="0"/>
      <w:marBottom w:val="0"/>
      <w:divBdr>
        <w:top w:val="none" w:sz="0" w:space="0" w:color="auto"/>
        <w:left w:val="none" w:sz="0" w:space="0" w:color="auto"/>
        <w:bottom w:val="none" w:sz="0" w:space="0" w:color="auto"/>
        <w:right w:val="none" w:sz="0" w:space="0" w:color="auto"/>
      </w:divBdr>
    </w:div>
    <w:div w:id="2096901950">
      <w:bodyDiv w:val="1"/>
      <w:marLeft w:val="0"/>
      <w:marRight w:val="0"/>
      <w:marTop w:val="0"/>
      <w:marBottom w:val="0"/>
      <w:divBdr>
        <w:top w:val="none" w:sz="0" w:space="0" w:color="auto"/>
        <w:left w:val="none" w:sz="0" w:space="0" w:color="auto"/>
        <w:bottom w:val="none" w:sz="0" w:space="0" w:color="auto"/>
        <w:right w:val="none" w:sz="0" w:space="0" w:color="auto"/>
      </w:divBdr>
    </w:div>
    <w:div w:id="21394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5.xml"/><Relationship Id="rId3" Type="http://schemas.openxmlformats.org/officeDocument/2006/relationships/customXml" Target="../customXml/item2.xml"/><Relationship Id="rId21" Type="http://schemas.openxmlformats.org/officeDocument/2006/relationships/hyperlink" Target="https://www.nku.cz/scripts/detail.php?id=11898"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nku.cz/scripts/detail.php?id=11898" TargetMode="Externa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chart" Target="charts/chart2.xml"/><Relationship Id="rId28" Type="http://schemas.openxmlformats.org/officeDocument/2006/relationships/hyperlink" Target="https://www.nku.cz/scripts/detail.php?id=11898" TargetMode="External"/><Relationship Id="rId10" Type="http://schemas.openxmlformats.org/officeDocument/2006/relationships/footnotes" Target="footnotes.xml"/><Relationship Id="rId19" Type="http://schemas.openxmlformats.org/officeDocument/2006/relationships/hyperlink" Target="https://www.nku.cz/scripts/detail.php?id=11898" TargetMode="Externa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eader" Target="head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16/581892/EPRS_STU(2016)581892_EN.pdf" TargetMode="External"/><Relationship Id="rId2" Type="http://schemas.openxmlformats.org/officeDocument/2006/relationships/hyperlink" Target="https://www.europol.europa.eu/newsroom/news/record-number-of-1-346-tonnes-of-illegal-pesticides-taken-market-in-2020-global-operation-silver-axe" TargetMode="External"/><Relationship Id="rId1" Type="http://schemas.openxmlformats.org/officeDocument/2006/relationships/hyperlink" Target="https://euipo.europa.eu/tunnel-web/secure/webdav/guest/document_library/observatory/resources/research-and-studies/ip_infringement/study10/pesticides_sector_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ku/sites/teamsites/ka2004/Sdilene%20dokumenty/00_Kontroln&#237;%20z&#225;v&#283;r/KZ-2004-data,%20tabulky,%20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ku/sites/teamsites/ka2004/Sdilene%20dokumenty/00_Kontroln&#237;%20z&#225;v&#283;r/KZ-2004-data,%20tabulky,%20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ku/sites/teamsites/ka2004/Sdilene%20dokumenty/00_Kontroln&#237;%20z&#225;v&#283;r/KZ-2004-data,%20tabulky,%20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ku/sites/teamsites/ka2004/Sdilene%20dokumenty/00_Kontroln&#237;%20z&#225;v&#283;r/KZ-2004-data,%20tabulky,%20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tsclient\D\20-04%20_%20Voda\KONTROLN&#205;%20Z&#193;V&#282;R\jazykov&#225;%20korektura\Pesticidy_vyjimky%20pitna%20voda_2004-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tsclient\D\20-04%20_%20Voda\KONTROLN&#205;%20Z&#193;V&#282;R\V&#253;voj%20pom&#283;r%20mal&#253;ch%20obc&#23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List1!$B$5</c:f>
              <c:strCache>
                <c:ptCount val="1"/>
                <c:pt idx="0">
                  <c:v>Počet míst bez zjištěné pesticidní látky</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List1!$C$3:$I$3</c:f>
              <c:numCache>
                <c:formatCode>General</c:formatCode>
                <c:ptCount val="7"/>
                <c:pt idx="0">
                  <c:v>2013</c:v>
                </c:pt>
                <c:pt idx="1">
                  <c:v>2014</c:v>
                </c:pt>
                <c:pt idx="2">
                  <c:v>2015</c:v>
                </c:pt>
                <c:pt idx="3">
                  <c:v>2016</c:v>
                </c:pt>
                <c:pt idx="4">
                  <c:v>2017</c:v>
                </c:pt>
                <c:pt idx="5">
                  <c:v>2018</c:v>
                </c:pt>
                <c:pt idx="6">
                  <c:v>2019</c:v>
                </c:pt>
              </c:numCache>
            </c:numRef>
          </c:cat>
          <c:val>
            <c:numRef>
              <c:f>List1!$C$5:$I$5</c:f>
              <c:numCache>
                <c:formatCode>#,##0</c:formatCode>
                <c:ptCount val="7"/>
                <c:pt idx="0">
                  <c:v>307</c:v>
                </c:pt>
                <c:pt idx="1">
                  <c:v>288</c:v>
                </c:pt>
                <c:pt idx="2">
                  <c:v>293</c:v>
                </c:pt>
                <c:pt idx="3">
                  <c:v>288</c:v>
                </c:pt>
                <c:pt idx="4">
                  <c:v>326</c:v>
                </c:pt>
                <c:pt idx="5">
                  <c:v>329</c:v>
                </c:pt>
                <c:pt idx="6">
                  <c:v>318</c:v>
                </c:pt>
              </c:numCache>
            </c:numRef>
          </c:val>
          <c:extLst>
            <c:ext xmlns:c16="http://schemas.microsoft.com/office/drawing/2014/chart" uri="{C3380CC4-5D6E-409C-BE32-E72D297353CC}">
              <c16:uniqueId val="{00000000-9B7B-4179-A295-159144F0CBE6}"/>
            </c:ext>
          </c:extLst>
        </c:ser>
        <c:ser>
          <c:idx val="1"/>
          <c:order val="1"/>
          <c:tx>
            <c:strRef>
              <c:f>List1!$B$6</c:f>
              <c:strCache>
                <c:ptCount val="1"/>
                <c:pt idx="0">
                  <c:v>Počet míst se zjištěnou pesticidní látkou</c:v>
                </c:pt>
              </c:strCache>
            </c:strRef>
          </c:tx>
          <c:spPr>
            <a:solidFill>
              <a:srgbClr val="8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List1!$C$3:$I$3</c:f>
              <c:numCache>
                <c:formatCode>General</c:formatCode>
                <c:ptCount val="7"/>
                <c:pt idx="0">
                  <c:v>2013</c:v>
                </c:pt>
                <c:pt idx="1">
                  <c:v>2014</c:v>
                </c:pt>
                <c:pt idx="2">
                  <c:v>2015</c:v>
                </c:pt>
                <c:pt idx="3">
                  <c:v>2016</c:v>
                </c:pt>
                <c:pt idx="4">
                  <c:v>2017</c:v>
                </c:pt>
                <c:pt idx="5">
                  <c:v>2018</c:v>
                </c:pt>
                <c:pt idx="6">
                  <c:v>2019</c:v>
                </c:pt>
              </c:numCache>
            </c:numRef>
          </c:cat>
          <c:val>
            <c:numRef>
              <c:f>List1!$C$6:$I$6</c:f>
              <c:numCache>
                <c:formatCode>#,##0</c:formatCode>
                <c:ptCount val="7"/>
                <c:pt idx="0">
                  <c:v>88</c:v>
                </c:pt>
                <c:pt idx="1">
                  <c:v>113</c:v>
                </c:pt>
                <c:pt idx="2">
                  <c:v>106</c:v>
                </c:pt>
                <c:pt idx="3">
                  <c:v>109</c:v>
                </c:pt>
                <c:pt idx="4">
                  <c:v>106</c:v>
                </c:pt>
                <c:pt idx="5">
                  <c:v>108</c:v>
                </c:pt>
                <c:pt idx="6">
                  <c:v>99</c:v>
                </c:pt>
              </c:numCache>
            </c:numRef>
          </c:val>
          <c:extLst>
            <c:ext xmlns:c16="http://schemas.microsoft.com/office/drawing/2014/chart" uri="{C3380CC4-5D6E-409C-BE32-E72D297353CC}">
              <c16:uniqueId val="{00000001-9B7B-4179-A295-159144F0CBE6}"/>
            </c:ext>
          </c:extLst>
        </c:ser>
        <c:ser>
          <c:idx val="2"/>
          <c:order val="2"/>
          <c:tx>
            <c:strRef>
              <c:f>List1!$B$7</c:f>
              <c:strCache>
                <c:ptCount val="1"/>
                <c:pt idx="0">
                  <c:v>Počet míst s překročenou normou pesticidní látky</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List1!$C$3:$I$3</c:f>
              <c:numCache>
                <c:formatCode>General</c:formatCode>
                <c:ptCount val="7"/>
                <c:pt idx="0">
                  <c:v>2013</c:v>
                </c:pt>
                <c:pt idx="1">
                  <c:v>2014</c:v>
                </c:pt>
                <c:pt idx="2">
                  <c:v>2015</c:v>
                </c:pt>
                <c:pt idx="3">
                  <c:v>2016</c:v>
                </c:pt>
                <c:pt idx="4">
                  <c:v>2017</c:v>
                </c:pt>
                <c:pt idx="5">
                  <c:v>2018</c:v>
                </c:pt>
                <c:pt idx="6">
                  <c:v>2019</c:v>
                </c:pt>
              </c:numCache>
            </c:numRef>
          </c:cat>
          <c:val>
            <c:numRef>
              <c:f>List1!$C$7:$I$7</c:f>
              <c:numCache>
                <c:formatCode>#,##0</c:formatCode>
                <c:ptCount val="7"/>
                <c:pt idx="0">
                  <c:v>265</c:v>
                </c:pt>
                <c:pt idx="1">
                  <c:v>265</c:v>
                </c:pt>
                <c:pt idx="2">
                  <c:v>264</c:v>
                </c:pt>
                <c:pt idx="3">
                  <c:v>278</c:v>
                </c:pt>
                <c:pt idx="4">
                  <c:v>264</c:v>
                </c:pt>
                <c:pt idx="5">
                  <c:v>254</c:v>
                </c:pt>
                <c:pt idx="6">
                  <c:v>281</c:v>
                </c:pt>
              </c:numCache>
            </c:numRef>
          </c:val>
          <c:extLst>
            <c:ext xmlns:c16="http://schemas.microsoft.com/office/drawing/2014/chart" uri="{C3380CC4-5D6E-409C-BE32-E72D297353CC}">
              <c16:uniqueId val="{00000002-9B7B-4179-A295-159144F0CBE6}"/>
            </c:ext>
          </c:extLst>
        </c:ser>
        <c:dLbls>
          <c:dLblPos val="ctr"/>
          <c:showLegendKey val="0"/>
          <c:showVal val="1"/>
          <c:showCatName val="0"/>
          <c:showSerName val="0"/>
          <c:showPercent val="0"/>
          <c:showBubbleSize val="0"/>
        </c:dLbls>
        <c:gapWidth val="150"/>
        <c:overlap val="100"/>
        <c:axId val="2115293808"/>
        <c:axId val="2115273008"/>
      </c:barChart>
      <c:catAx>
        <c:axId val="211529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5273008"/>
        <c:crosses val="autoZero"/>
        <c:auto val="1"/>
        <c:lblAlgn val="ctr"/>
        <c:lblOffset val="100"/>
        <c:noMultiLvlLbl val="0"/>
      </c:catAx>
      <c:valAx>
        <c:axId val="2115273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5293808"/>
        <c:crosses val="autoZero"/>
        <c:crossBetween val="between"/>
      </c:valAx>
      <c:spPr>
        <a:noFill/>
        <a:ln>
          <a:noFill/>
        </a:ln>
        <a:effectLst/>
      </c:spPr>
    </c:plotArea>
    <c:legend>
      <c:legendPos val="b"/>
      <c:layout>
        <c:manualLayout>
          <c:xMode val="edge"/>
          <c:yMode val="edge"/>
          <c:x val="1.7448992429665296E-2"/>
          <c:y val="0.82291557305336838"/>
          <c:w val="0.96730569835795321"/>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List5!$A$35</c:f>
              <c:strCache>
                <c:ptCount val="1"/>
                <c:pt idx="0">
                  <c:v>Počet míst bez zjištěné dusíkaté látky</c:v>
                </c:pt>
              </c:strCache>
            </c:strRef>
          </c:tx>
          <c:spPr>
            <a:solidFill>
              <a:srgbClr val="004595"/>
            </a:solidFill>
            <a:ln>
              <a:noFill/>
            </a:ln>
            <a:effectLst/>
          </c:spPr>
          <c:invertIfNegative val="0"/>
          <c:dLbls>
            <c:dLbl>
              <c:idx val="2"/>
              <c:layout>
                <c:manualLayout>
                  <c:x val="0"/>
                  <c:y val="-9.101251422070617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B35-4871-88C0-3B1E9DE634A0}"/>
                </c:ext>
              </c:extLst>
            </c:dLbl>
            <c:dLbl>
              <c:idx val="3"/>
              <c:layout>
                <c:manualLayout>
                  <c:x val="0"/>
                  <c:y val="-9.101251422070617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35-4871-88C0-3B1E9DE634A0}"/>
                </c:ext>
              </c:extLst>
            </c:dLbl>
            <c:dLbl>
              <c:idx val="4"/>
              <c:layout>
                <c:manualLayout>
                  <c:x val="-8.6794706298112263E-8"/>
                  <c:y val="-2.502844141069405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15:layout>
                    <c:manualLayout>
                      <c:w val="2.3280423280423276E-2"/>
                      <c:h val="6.819130543835604E-2"/>
                    </c:manualLayout>
                  </c15:layout>
                </c:ext>
                <c:ext xmlns:c16="http://schemas.microsoft.com/office/drawing/2014/chart" uri="{C3380CC4-5D6E-409C-BE32-E72D297353CC}">
                  <c16:uniqueId val="{00000000-1B35-4871-88C0-3B1E9DE634A0}"/>
                </c:ext>
              </c:extLst>
            </c:dLbl>
            <c:dLbl>
              <c:idx val="5"/>
              <c:layout>
                <c:manualLayout>
                  <c:x val="0"/>
                  <c:y val="-1.365187713310580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35-4871-88C0-3B1E9DE634A0}"/>
                </c:ext>
              </c:extLst>
            </c:dLbl>
            <c:dLbl>
              <c:idx val="6"/>
              <c:layout>
                <c:manualLayout>
                  <c:x val="0"/>
                  <c:y val="-9.101251422070534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B35-4871-88C0-3B1E9DE634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List5!$B$34:$H$34</c:f>
              <c:numCache>
                <c:formatCode>General</c:formatCode>
                <c:ptCount val="7"/>
                <c:pt idx="0">
                  <c:v>2013</c:v>
                </c:pt>
                <c:pt idx="1">
                  <c:v>2014</c:v>
                </c:pt>
                <c:pt idx="2">
                  <c:v>2015</c:v>
                </c:pt>
                <c:pt idx="3">
                  <c:v>2016</c:v>
                </c:pt>
                <c:pt idx="4">
                  <c:v>2017</c:v>
                </c:pt>
                <c:pt idx="5">
                  <c:v>2018</c:v>
                </c:pt>
                <c:pt idx="6">
                  <c:v>2019</c:v>
                </c:pt>
              </c:numCache>
            </c:numRef>
          </c:cat>
          <c:val>
            <c:numRef>
              <c:f>List5!$B$35:$H$35</c:f>
              <c:numCache>
                <c:formatCode>#,##0</c:formatCode>
                <c:ptCount val="7"/>
                <c:pt idx="0">
                  <c:v>54</c:v>
                </c:pt>
                <c:pt idx="1">
                  <c:v>38</c:v>
                </c:pt>
                <c:pt idx="2">
                  <c:v>22</c:v>
                </c:pt>
                <c:pt idx="3">
                  <c:v>21</c:v>
                </c:pt>
                <c:pt idx="4">
                  <c:v>4</c:v>
                </c:pt>
                <c:pt idx="5">
                  <c:v>7</c:v>
                </c:pt>
                <c:pt idx="6">
                  <c:v>31</c:v>
                </c:pt>
              </c:numCache>
            </c:numRef>
          </c:val>
          <c:extLst>
            <c:ext xmlns:c16="http://schemas.microsoft.com/office/drawing/2014/chart" uri="{C3380CC4-5D6E-409C-BE32-E72D297353CC}">
              <c16:uniqueId val="{00000000-96F4-4A31-AE91-45B29E706B9C}"/>
            </c:ext>
          </c:extLst>
        </c:ser>
        <c:ser>
          <c:idx val="1"/>
          <c:order val="1"/>
          <c:tx>
            <c:strRef>
              <c:f>List5!$A$36</c:f>
              <c:strCache>
                <c:ptCount val="1"/>
                <c:pt idx="0">
                  <c:v>Počet míst se zjištěnou dusíkatou látkou</c:v>
                </c:pt>
              </c:strCache>
            </c:strRef>
          </c:tx>
          <c:spPr>
            <a:solidFill>
              <a:srgbClr val="8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List5!$B$34:$H$34</c:f>
              <c:numCache>
                <c:formatCode>General</c:formatCode>
                <c:ptCount val="7"/>
                <c:pt idx="0">
                  <c:v>2013</c:v>
                </c:pt>
                <c:pt idx="1">
                  <c:v>2014</c:v>
                </c:pt>
                <c:pt idx="2">
                  <c:v>2015</c:v>
                </c:pt>
                <c:pt idx="3">
                  <c:v>2016</c:v>
                </c:pt>
                <c:pt idx="4">
                  <c:v>2017</c:v>
                </c:pt>
                <c:pt idx="5">
                  <c:v>2018</c:v>
                </c:pt>
                <c:pt idx="6">
                  <c:v>2019</c:v>
                </c:pt>
              </c:numCache>
            </c:numRef>
          </c:cat>
          <c:val>
            <c:numRef>
              <c:f>List5!$B$36:$H$36</c:f>
              <c:numCache>
                <c:formatCode>#,##0</c:formatCode>
                <c:ptCount val="7"/>
                <c:pt idx="0">
                  <c:v>446</c:v>
                </c:pt>
                <c:pt idx="1">
                  <c:v>451</c:v>
                </c:pt>
                <c:pt idx="2">
                  <c:v>481</c:v>
                </c:pt>
                <c:pt idx="3">
                  <c:v>491</c:v>
                </c:pt>
                <c:pt idx="4">
                  <c:v>523</c:v>
                </c:pt>
                <c:pt idx="5">
                  <c:v>520</c:v>
                </c:pt>
                <c:pt idx="6">
                  <c:v>494</c:v>
                </c:pt>
              </c:numCache>
            </c:numRef>
          </c:val>
          <c:extLst>
            <c:ext xmlns:c16="http://schemas.microsoft.com/office/drawing/2014/chart" uri="{C3380CC4-5D6E-409C-BE32-E72D297353CC}">
              <c16:uniqueId val="{00000001-96F4-4A31-AE91-45B29E706B9C}"/>
            </c:ext>
          </c:extLst>
        </c:ser>
        <c:ser>
          <c:idx val="2"/>
          <c:order val="2"/>
          <c:tx>
            <c:strRef>
              <c:f>List5!$A$37</c:f>
              <c:strCache>
                <c:ptCount val="1"/>
                <c:pt idx="0">
                  <c:v>Počet míst s překročenou normou jakosti</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List5!$B$34:$H$34</c:f>
              <c:numCache>
                <c:formatCode>General</c:formatCode>
                <c:ptCount val="7"/>
                <c:pt idx="0">
                  <c:v>2013</c:v>
                </c:pt>
                <c:pt idx="1">
                  <c:v>2014</c:v>
                </c:pt>
                <c:pt idx="2">
                  <c:v>2015</c:v>
                </c:pt>
                <c:pt idx="3">
                  <c:v>2016</c:v>
                </c:pt>
                <c:pt idx="4">
                  <c:v>2017</c:v>
                </c:pt>
                <c:pt idx="5">
                  <c:v>2018</c:v>
                </c:pt>
                <c:pt idx="6">
                  <c:v>2019</c:v>
                </c:pt>
              </c:numCache>
            </c:numRef>
          </c:cat>
          <c:val>
            <c:numRef>
              <c:f>List5!$B$37:$H$37</c:f>
              <c:numCache>
                <c:formatCode>#,##0</c:formatCode>
                <c:ptCount val="7"/>
                <c:pt idx="0">
                  <c:v>160</c:v>
                </c:pt>
                <c:pt idx="1">
                  <c:v>177</c:v>
                </c:pt>
                <c:pt idx="2">
                  <c:v>160</c:v>
                </c:pt>
                <c:pt idx="3">
                  <c:v>163</c:v>
                </c:pt>
                <c:pt idx="4">
                  <c:v>169</c:v>
                </c:pt>
                <c:pt idx="5">
                  <c:v>164</c:v>
                </c:pt>
                <c:pt idx="6">
                  <c:v>173</c:v>
                </c:pt>
              </c:numCache>
            </c:numRef>
          </c:val>
          <c:extLst>
            <c:ext xmlns:c16="http://schemas.microsoft.com/office/drawing/2014/chart" uri="{C3380CC4-5D6E-409C-BE32-E72D297353CC}">
              <c16:uniqueId val="{00000002-96F4-4A31-AE91-45B29E706B9C}"/>
            </c:ext>
          </c:extLst>
        </c:ser>
        <c:dLbls>
          <c:dLblPos val="ctr"/>
          <c:showLegendKey val="0"/>
          <c:showVal val="1"/>
          <c:showCatName val="0"/>
          <c:showSerName val="0"/>
          <c:showPercent val="0"/>
          <c:showBubbleSize val="0"/>
        </c:dLbls>
        <c:gapWidth val="150"/>
        <c:overlap val="100"/>
        <c:axId val="2119523440"/>
        <c:axId val="2119517200"/>
      </c:barChart>
      <c:catAx>
        <c:axId val="211952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9517200"/>
        <c:crosses val="autoZero"/>
        <c:auto val="1"/>
        <c:lblAlgn val="ctr"/>
        <c:lblOffset val="100"/>
        <c:noMultiLvlLbl val="0"/>
      </c:catAx>
      <c:valAx>
        <c:axId val="2119517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19523440"/>
        <c:crosses val="autoZero"/>
        <c:crossBetween val="between"/>
      </c:valAx>
      <c:spPr>
        <a:noFill/>
        <a:ln>
          <a:noFill/>
        </a:ln>
        <a:effectLst/>
      </c:spPr>
    </c:plotArea>
    <c:legend>
      <c:legendPos val="b"/>
      <c:layout>
        <c:manualLayout>
          <c:xMode val="edge"/>
          <c:yMode val="edge"/>
          <c:x val="1.7058457970531449E-2"/>
          <c:y val="0.792794563470264"/>
          <c:w val="0.96147391298309914"/>
          <c:h val="0.166596268489694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List2!$B$12</c:f>
              <c:strCache>
                <c:ptCount val="1"/>
                <c:pt idx="0">
                  <c:v>Počet míst bez zjištěné pesticidní látky</c:v>
                </c:pt>
              </c:strCache>
            </c:strRef>
          </c:tx>
          <c:spPr>
            <a:solidFill>
              <a:srgbClr val="004595"/>
            </a:solidFill>
            <a:ln>
              <a:solidFill>
                <a:srgbClr val="00459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List2!$C$10:$I$10</c:f>
              <c:numCache>
                <c:formatCode>General</c:formatCode>
                <c:ptCount val="7"/>
                <c:pt idx="0">
                  <c:v>2013</c:v>
                </c:pt>
                <c:pt idx="1">
                  <c:v>2014</c:v>
                </c:pt>
                <c:pt idx="2">
                  <c:v>2015</c:v>
                </c:pt>
                <c:pt idx="3">
                  <c:v>2016</c:v>
                </c:pt>
                <c:pt idx="4">
                  <c:v>2017</c:v>
                </c:pt>
                <c:pt idx="5">
                  <c:v>2018</c:v>
                </c:pt>
                <c:pt idx="6">
                  <c:v>2019</c:v>
                </c:pt>
              </c:numCache>
            </c:numRef>
          </c:cat>
          <c:val>
            <c:numRef>
              <c:f>List2!$C$12:$I$12</c:f>
              <c:numCache>
                <c:formatCode>#,##0</c:formatCode>
                <c:ptCount val="7"/>
                <c:pt idx="0">
                  <c:v>37</c:v>
                </c:pt>
                <c:pt idx="1">
                  <c:v>66</c:v>
                </c:pt>
                <c:pt idx="2">
                  <c:v>109</c:v>
                </c:pt>
                <c:pt idx="3">
                  <c:v>55</c:v>
                </c:pt>
                <c:pt idx="4">
                  <c:v>43</c:v>
                </c:pt>
                <c:pt idx="5">
                  <c:v>41</c:v>
                </c:pt>
                <c:pt idx="6">
                  <c:v>46</c:v>
                </c:pt>
              </c:numCache>
            </c:numRef>
          </c:val>
          <c:extLst>
            <c:ext xmlns:c16="http://schemas.microsoft.com/office/drawing/2014/chart" uri="{C3380CC4-5D6E-409C-BE32-E72D297353CC}">
              <c16:uniqueId val="{00000000-7070-4E1F-8F79-FBCEC8E6B729}"/>
            </c:ext>
          </c:extLst>
        </c:ser>
        <c:ser>
          <c:idx val="1"/>
          <c:order val="1"/>
          <c:tx>
            <c:strRef>
              <c:f>List2!$B$13</c:f>
              <c:strCache>
                <c:ptCount val="1"/>
                <c:pt idx="0">
                  <c:v>Počet míst se zjištěnou pesticidní látkou</c:v>
                </c:pt>
              </c:strCache>
            </c:strRef>
          </c:tx>
          <c:spPr>
            <a:solidFill>
              <a:srgbClr val="808080"/>
            </a:solidFill>
            <a:ln>
              <a:solidFill>
                <a:srgbClr val="80808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List2!$C$10:$I$10</c:f>
              <c:numCache>
                <c:formatCode>General</c:formatCode>
                <c:ptCount val="7"/>
                <c:pt idx="0">
                  <c:v>2013</c:v>
                </c:pt>
                <c:pt idx="1">
                  <c:v>2014</c:v>
                </c:pt>
                <c:pt idx="2">
                  <c:v>2015</c:v>
                </c:pt>
                <c:pt idx="3">
                  <c:v>2016</c:v>
                </c:pt>
                <c:pt idx="4">
                  <c:v>2017</c:v>
                </c:pt>
                <c:pt idx="5">
                  <c:v>2018</c:v>
                </c:pt>
                <c:pt idx="6">
                  <c:v>2019</c:v>
                </c:pt>
              </c:numCache>
            </c:numRef>
          </c:cat>
          <c:val>
            <c:numRef>
              <c:f>List2!$C$13:$I$13</c:f>
              <c:numCache>
                <c:formatCode>#,##0</c:formatCode>
                <c:ptCount val="7"/>
                <c:pt idx="0">
                  <c:v>210</c:v>
                </c:pt>
                <c:pt idx="1">
                  <c:v>269</c:v>
                </c:pt>
                <c:pt idx="2">
                  <c:v>292</c:v>
                </c:pt>
                <c:pt idx="3">
                  <c:v>287</c:v>
                </c:pt>
                <c:pt idx="4">
                  <c:v>308</c:v>
                </c:pt>
                <c:pt idx="5">
                  <c:v>355</c:v>
                </c:pt>
                <c:pt idx="6">
                  <c:v>393</c:v>
                </c:pt>
              </c:numCache>
            </c:numRef>
          </c:val>
          <c:extLst>
            <c:ext xmlns:c16="http://schemas.microsoft.com/office/drawing/2014/chart" uri="{C3380CC4-5D6E-409C-BE32-E72D297353CC}">
              <c16:uniqueId val="{00000001-7070-4E1F-8F79-FBCEC8E6B729}"/>
            </c:ext>
          </c:extLst>
        </c:ser>
        <c:ser>
          <c:idx val="2"/>
          <c:order val="2"/>
          <c:tx>
            <c:strRef>
              <c:f>List2!$B$14</c:f>
              <c:strCache>
                <c:ptCount val="1"/>
                <c:pt idx="0">
                  <c:v>Počet míst s překročenou NEK</c:v>
                </c:pt>
              </c:strCache>
            </c:strRef>
          </c:tx>
          <c:spPr>
            <a:solidFill>
              <a:srgbClr val="BD2A33"/>
            </a:solidFill>
            <a:ln>
              <a:solidFill>
                <a:srgbClr val="BD2A3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List2!$C$10:$I$10</c:f>
              <c:numCache>
                <c:formatCode>General</c:formatCode>
                <c:ptCount val="7"/>
                <c:pt idx="0">
                  <c:v>2013</c:v>
                </c:pt>
                <c:pt idx="1">
                  <c:v>2014</c:v>
                </c:pt>
                <c:pt idx="2">
                  <c:v>2015</c:v>
                </c:pt>
                <c:pt idx="3">
                  <c:v>2016</c:v>
                </c:pt>
                <c:pt idx="4">
                  <c:v>2017</c:v>
                </c:pt>
                <c:pt idx="5">
                  <c:v>2018</c:v>
                </c:pt>
                <c:pt idx="6">
                  <c:v>2019</c:v>
                </c:pt>
              </c:numCache>
            </c:numRef>
          </c:cat>
          <c:val>
            <c:numRef>
              <c:f>List2!$C$14:$I$14</c:f>
              <c:numCache>
                <c:formatCode>#,##0</c:formatCode>
                <c:ptCount val="7"/>
                <c:pt idx="0">
                  <c:v>132</c:v>
                </c:pt>
                <c:pt idx="1">
                  <c:v>107</c:v>
                </c:pt>
                <c:pt idx="2">
                  <c:v>118</c:v>
                </c:pt>
                <c:pt idx="3">
                  <c:v>125</c:v>
                </c:pt>
                <c:pt idx="4">
                  <c:v>141</c:v>
                </c:pt>
                <c:pt idx="5">
                  <c:v>141</c:v>
                </c:pt>
                <c:pt idx="6">
                  <c:v>120</c:v>
                </c:pt>
              </c:numCache>
            </c:numRef>
          </c:val>
          <c:extLst>
            <c:ext xmlns:c16="http://schemas.microsoft.com/office/drawing/2014/chart" uri="{C3380CC4-5D6E-409C-BE32-E72D297353CC}">
              <c16:uniqueId val="{00000002-7070-4E1F-8F79-FBCEC8E6B729}"/>
            </c:ext>
          </c:extLst>
        </c:ser>
        <c:dLbls>
          <c:dLblPos val="ctr"/>
          <c:showLegendKey val="0"/>
          <c:showVal val="1"/>
          <c:showCatName val="0"/>
          <c:showSerName val="0"/>
          <c:showPercent val="0"/>
          <c:showBubbleSize val="0"/>
        </c:dLbls>
        <c:gapWidth val="150"/>
        <c:overlap val="100"/>
        <c:axId val="812702944"/>
        <c:axId val="812701696"/>
      </c:barChart>
      <c:catAx>
        <c:axId val="81270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2701696"/>
        <c:crosses val="autoZero"/>
        <c:auto val="1"/>
        <c:lblAlgn val="ctr"/>
        <c:lblOffset val="100"/>
        <c:noMultiLvlLbl val="0"/>
      </c:catAx>
      <c:valAx>
        <c:axId val="81270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12702944"/>
        <c:crosses val="autoZero"/>
        <c:crossBetween val="between"/>
      </c:valAx>
      <c:spPr>
        <a:noFill/>
        <a:ln>
          <a:noFill/>
        </a:ln>
        <a:effectLst/>
      </c:spPr>
    </c:plotArea>
    <c:legend>
      <c:legendPos val="b"/>
      <c:layout>
        <c:manualLayout>
          <c:xMode val="edge"/>
          <c:yMode val="edge"/>
          <c:x val="1.5005649128296057E-2"/>
          <c:y val="0.82291557305336838"/>
          <c:w val="0.9699887017434079"/>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List2!$B$3</c:f>
              <c:strCache>
                <c:ptCount val="1"/>
                <c:pt idx="0">
                  <c:v>Počet míst bez zjištěné dusíkaté látky</c:v>
                </c:pt>
              </c:strCache>
            </c:strRef>
          </c:tx>
          <c:spPr>
            <a:solidFill>
              <a:srgbClr val="004595"/>
            </a:solidFill>
            <a:ln>
              <a:solidFill>
                <a:srgbClr val="004595"/>
              </a:solidFill>
            </a:ln>
            <a:effectLst/>
          </c:spPr>
          <c:invertIfNegative val="0"/>
          <c:dLbls>
            <c:dLbl>
              <c:idx val="0"/>
              <c:layout>
                <c:manualLayout>
                  <c:x val="-2.020846731431745E-17"/>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2AB-472B-9EB3-0B15BA14F5B3}"/>
                </c:ext>
              </c:extLst>
            </c:dLbl>
            <c:dLbl>
              <c:idx val="1"/>
              <c:layout>
                <c:manualLayout>
                  <c:x val="-4.04169346286349E-17"/>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2AB-472B-9EB3-0B15BA14F5B3}"/>
                </c:ext>
              </c:extLst>
            </c:dLbl>
            <c:dLbl>
              <c:idx val="2"/>
              <c:layout>
                <c:manualLayout>
                  <c:x val="8.6794706136444524E-8"/>
                  <c:y val="-2.090592334494773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15:layout>
                    <c:manualLayout>
                      <c:w val="2.3280423280423276E-2"/>
                      <c:h val="6.0325386155998792E-2"/>
                    </c:manualLayout>
                  </c15:layout>
                </c:ext>
                <c:ext xmlns:c16="http://schemas.microsoft.com/office/drawing/2014/chart" uri="{C3380CC4-5D6E-409C-BE32-E72D297353CC}">
                  <c16:uniqueId val="{00000002-62AB-472B-9EB3-0B15BA14F5B3}"/>
                </c:ext>
              </c:extLst>
            </c:dLbl>
            <c:dLbl>
              <c:idx val="3"/>
              <c:layout>
                <c:manualLayout>
                  <c:x val="0"/>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2AB-472B-9EB3-0B15BA14F5B3}"/>
                </c:ext>
              </c:extLst>
            </c:dLbl>
            <c:dLbl>
              <c:idx val="4"/>
              <c:layout>
                <c:manualLayout>
                  <c:x val="0"/>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2AB-472B-9EB3-0B15BA14F5B3}"/>
                </c:ext>
              </c:extLst>
            </c:dLbl>
            <c:dLbl>
              <c:idx val="5"/>
              <c:layout>
                <c:manualLayout>
                  <c:x val="0"/>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2AB-472B-9EB3-0B15BA14F5B3}"/>
                </c:ext>
              </c:extLst>
            </c:dLbl>
            <c:dLbl>
              <c:idx val="6"/>
              <c:layout>
                <c:manualLayout>
                  <c:x val="0"/>
                  <c:y val="-1.858304297328687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2AB-472B-9EB3-0B15BA14F5B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List2!$C$1:$I$1</c:f>
              <c:numCache>
                <c:formatCode>General</c:formatCode>
                <c:ptCount val="7"/>
                <c:pt idx="0">
                  <c:v>2013</c:v>
                </c:pt>
                <c:pt idx="1">
                  <c:v>2014</c:v>
                </c:pt>
                <c:pt idx="2">
                  <c:v>2015</c:v>
                </c:pt>
                <c:pt idx="3">
                  <c:v>2016</c:v>
                </c:pt>
                <c:pt idx="4">
                  <c:v>2017</c:v>
                </c:pt>
                <c:pt idx="5">
                  <c:v>2018</c:v>
                </c:pt>
                <c:pt idx="6">
                  <c:v>2019</c:v>
                </c:pt>
              </c:numCache>
            </c:numRef>
          </c:cat>
          <c:val>
            <c:numRef>
              <c:f>List2!$C$3:$I$3</c:f>
              <c:numCache>
                <c:formatCode>#,##0</c:formatCode>
                <c:ptCount val="7"/>
                <c:pt idx="0">
                  <c:v>0</c:v>
                </c:pt>
                <c:pt idx="1">
                  <c:v>0</c:v>
                </c:pt>
                <c:pt idx="2">
                  <c:v>0</c:v>
                </c:pt>
                <c:pt idx="3">
                  <c:v>0</c:v>
                </c:pt>
                <c:pt idx="4">
                  <c:v>0</c:v>
                </c:pt>
                <c:pt idx="5">
                  <c:v>7</c:v>
                </c:pt>
                <c:pt idx="6">
                  <c:v>7</c:v>
                </c:pt>
              </c:numCache>
            </c:numRef>
          </c:val>
          <c:extLst>
            <c:ext xmlns:c16="http://schemas.microsoft.com/office/drawing/2014/chart" uri="{C3380CC4-5D6E-409C-BE32-E72D297353CC}">
              <c16:uniqueId val="{00000000-7D98-472D-9A23-ACFAA3F16305}"/>
            </c:ext>
          </c:extLst>
        </c:ser>
        <c:ser>
          <c:idx val="1"/>
          <c:order val="1"/>
          <c:tx>
            <c:strRef>
              <c:f>List2!$B$4</c:f>
              <c:strCache>
                <c:ptCount val="1"/>
                <c:pt idx="0">
                  <c:v>Počet míst se zjištěnou dusíkatou látkou</c:v>
                </c:pt>
              </c:strCache>
            </c:strRef>
          </c:tx>
          <c:spPr>
            <a:solidFill>
              <a:srgbClr val="808080"/>
            </a:solidFill>
            <a:ln>
              <a:solidFill>
                <a:srgbClr val="80808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List2!$C$1:$I$1</c:f>
              <c:numCache>
                <c:formatCode>General</c:formatCode>
                <c:ptCount val="7"/>
                <c:pt idx="0">
                  <c:v>2013</c:v>
                </c:pt>
                <c:pt idx="1">
                  <c:v>2014</c:v>
                </c:pt>
                <c:pt idx="2">
                  <c:v>2015</c:v>
                </c:pt>
                <c:pt idx="3">
                  <c:v>2016</c:v>
                </c:pt>
                <c:pt idx="4">
                  <c:v>2017</c:v>
                </c:pt>
                <c:pt idx="5">
                  <c:v>2018</c:v>
                </c:pt>
                <c:pt idx="6">
                  <c:v>2019</c:v>
                </c:pt>
              </c:numCache>
            </c:numRef>
          </c:cat>
          <c:val>
            <c:numRef>
              <c:f>List2!$C$4:$I$4</c:f>
              <c:numCache>
                <c:formatCode>#,##0</c:formatCode>
                <c:ptCount val="7"/>
                <c:pt idx="0">
                  <c:v>970</c:v>
                </c:pt>
                <c:pt idx="1">
                  <c:v>1084</c:v>
                </c:pt>
                <c:pt idx="2">
                  <c:v>1173</c:v>
                </c:pt>
                <c:pt idx="3">
                  <c:v>1202</c:v>
                </c:pt>
                <c:pt idx="4">
                  <c:v>1294</c:v>
                </c:pt>
                <c:pt idx="5">
                  <c:v>1207</c:v>
                </c:pt>
                <c:pt idx="6">
                  <c:v>1216</c:v>
                </c:pt>
              </c:numCache>
            </c:numRef>
          </c:val>
          <c:extLst>
            <c:ext xmlns:c16="http://schemas.microsoft.com/office/drawing/2014/chart" uri="{C3380CC4-5D6E-409C-BE32-E72D297353CC}">
              <c16:uniqueId val="{00000001-7D98-472D-9A23-ACFAA3F16305}"/>
            </c:ext>
          </c:extLst>
        </c:ser>
        <c:ser>
          <c:idx val="2"/>
          <c:order val="2"/>
          <c:tx>
            <c:strRef>
              <c:f>List2!$B$5</c:f>
              <c:strCache>
                <c:ptCount val="1"/>
                <c:pt idx="0">
                  <c:v>Počet míst s překročenou NEK</c:v>
                </c:pt>
              </c:strCache>
            </c:strRef>
          </c:tx>
          <c:spPr>
            <a:solidFill>
              <a:srgbClr val="BD2A33"/>
            </a:solidFill>
            <a:ln>
              <a:solidFill>
                <a:srgbClr val="BD2A33"/>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List2!$C$1:$I$1</c:f>
              <c:numCache>
                <c:formatCode>General</c:formatCode>
                <c:ptCount val="7"/>
                <c:pt idx="0">
                  <c:v>2013</c:v>
                </c:pt>
                <c:pt idx="1">
                  <c:v>2014</c:v>
                </c:pt>
                <c:pt idx="2">
                  <c:v>2015</c:v>
                </c:pt>
                <c:pt idx="3">
                  <c:v>2016</c:v>
                </c:pt>
                <c:pt idx="4">
                  <c:v>2017</c:v>
                </c:pt>
                <c:pt idx="5">
                  <c:v>2018</c:v>
                </c:pt>
                <c:pt idx="6">
                  <c:v>2019</c:v>
                </c:pt>
              </c:numCache>
            </c:numRef>
          </c:cat>
          <c:val>
            <c:numRef>
              <c:f>List2!$C$5:$I$5</c:f>
              <c:numCache>
                <c:formatCode>#,##0</c:formatCode>
                <c:ptCount val="7"/>
                <c:pt idx="0">
                  <c:v>597</c:v>
                </c:pt>
                <c:pt idx="1">
                  <c:v>475</c:v>
                </c:pt>
                <c:pt idx="2">
                  <c:v>512</c:v>
                </c:pt>
                <c:pt idx="3">
                  <c:v>567</c:v>
                </c:pt>
                <c:pt idx="4">
                  <c:v>627</c:v>
                </c:pt>
                <c:pt idx="5">
                  <c:v>659</c:v>
                </c:pt>
                <c:pt idx="6">
                  <c:v>660</c:v>
                </c:pt>
              </c:numCache>
            </c:numRef>
          </c:val>
          <c:extLst>
            <c:ext xmlns:c16="http://schemas.microsoft.com/office/drawing/2014/chart" uri="{C3380CC4-5D6E-409C-BE32-E72D297353CC}">
              <c16:uniqueId val="{00000002-7D98-472D-9A23-ACFAA3F16305}"/>
            </c:ext>
          </c:extLst>
        </c:ser>
        <c:dLbls>
          <c:dLblPos val="ctr"/>
          <c:showLegendKey val="0"/>
          <c:showVal val="1"/>
          <c:showCatName val="0"/>
          <c:showSerName val="0"/>
          <c:showPercent val="0"/>
          <c:showBubbleSize val="0"/>
        </c:dLbls>
        <c:gapWidth val="150"/>
        <c:overlap val="100"/>
        <c:axId val="720012512"/>
        <c:axId val="720010848"/>
      </c:barChart>
      <c:catAx>
        <c:axId val="7200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0010848"/>
        <c:crosses val="autoZero"/>
        <c:auto val="1"/>
        <c:lblAlgn val="ctr"/>
        <c:lblOffset val="100"/>
        <c:noMultiLvlLbl val="0"/>
      </c:catAx>
      <c:valAx>
        <c:axId val="72001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0012512"/>
        <c:crosses val="autoZero"/>
        <c:crossBetween val="between"/>
      </c:valAx>
      <c:spPr>
        <a:noFill/>
        <a:ln>
          <a:noFill/>
        </a:ln>
        <a:effectLst/>
      </c:spPr>
    </c:plotArea>
    <c:legend>
      <c:legendPos val="b"/>
      <c:layout>
        <c:manualLayout>
          <c:xMode val="edge"/>
          <c:yMode val="edge"/>
          <c:x val="1.4038002194170158E-2"/>
          <c:y val="0.8294303847470571"/>
          <c:w val="0.96531023899790303"/>
          <c:h val="0.14381376241013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'summary2019-2004'!$B$3</c:f>
              <c:strCache>
                <c:ptCount val="1"/>
                <c:pt idx="0">
                  <c:v>Počet oblastí s výjimkou</c:v>
                </c:pt>
              </c:strCache>
            </c:strRef>
          </c:tx>
          <c:spPr>
            <a:ln w="28575" cap="rnd">
              <a:solidFill>
                <a:srgbClr val="808080"/>
              </a:solidFill>
              <a:round/>
            </a:ln>
            <a:effectLst/>
          </c:spPr>
          <c:marker>
            <c:symbol val="none"/>
          </c:marker>
          <c:cat>
            <c:numRef>
              <c:f>'summary2019-2004'!$A$4:$A$19</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'summary2019-2004'!$B$4:$B$19</c:f>
              <c:numCache>
                <c:formatCode>General</c:formatCode>
                <c:ptCount val="16"/>
                <c:pt idx="0">
                  <c:v>3</c:v>
                </c:pt>
                <c:pt idx="1">
                  <c:v>12</c:v>
                </c:pt>
                <c:pt idx="2">
                  <c:v>19</c:v>
                </c:pt>
                <c:pt idx="3">
                  <c:v>22</c:v>
                </c:pt>
                <c:pt idx="4">
                  <c:v>26</c:v>
                </c:pt>
                <c:pt idx="5">
                  <c:v>26</c:v>
                </c:pt>
                <c:pt idx="6">
                  <c:v>25</c:v>
                </c:pt>
                <c:pt idx="7">
                  <c:v>21</c:v>
                </c:pt>
                <c:pt idx="8">
                  <c:v>16</c:v>
                </c:pt>
                <c:pt idx="9">
                  <c:v>15</c:v>
                </c:pt>
                <c:pt idx="10">
                  <c:v>16</c:v>
                </c:pt>
                <c:pt idx="11">
                  <c:v>13</c:v>
                </c:pt>
                <c:pt idx="12">
                  <c:v>39</c:v>
                </c:pt>
                <c:pt idx="13">
                  <c:v>64</c:v>
                </c:pt>
                <c:pt idx="14">
                  <c:v>81</c:v>
                </c:pt>
                <c:pt idx="15">
                  <c:v>105</c:v>
                </c:pt>
              </c:numCache>
            </c:numRef>
          </c:val>
          <c:smooth val="0"/>
          <c:extLst>
            <c:ext xmlns:c16="http://schemas.microsoft.com/office/drawing/2014/chart" uri="{C3380CC4-5D6E-409C-BE32-E72D297353CC}">
              <c16:uniqueId val="{00000000-AB81-4FFC-948D-B007B0728211}"/>
            </c:ext>
          </c:extLst>
        </c:ser>
        <c:dLbls>
          <c:showLegendKey val="0"/>
          <c:showVal val="0"/>
          <c:showCatName val="0"/>
          <c:showSerName val="0"/>
          <c:showPercent val="0"/>
          <c:showBubbleSize val="0"/>
        </c:dLbls>
        <c:marker val="1"/>
        <c:smooth val="0"/>
        <c:axId val="1112262752"/>
        <c:axId val="1112273152"/>
      </c:lineChart>
      <c:lineChart>
        <c:grouping val="standard"/>
        <c:varyColors val="0"/>
        <c:ser>
          <c:idx val="1"/>
          <c:order val="1"/>
          <c:tx>
            <c:strRef>
              <c:f>'summary2019-2004'!$C$3</c:f>
              <c:strCache>
                <c:ptCount val="1"/>
                <c:pt idx="0">
                  <c:v>Počet obyvatel zasažených výjimkou</c:v>
                </c:pt>
              </c:strCache>
            </c:strRef>
          </c:tx>
          <c:spPr>
            <a:ln w="28575" cap="rnd">
              <a:solidFill>
                <a:srgbClr val="BD2A33"/>
              </a:solidFill>
              <a:round/>
            </a:ln>
            <a:effectLst/>
          </c:spPr>
          <c:marker>
            <c:symbol val="none"/>
          </c:marker>
          <c:val>
            <c:numRef>
              <c:f>'summary2019-2004'!$C$4:$C$19</c:f>
              <c:numCache>
                <c:formatCode>#,##0</c:formatCode>
                <c:ptCount val="16"/>
                <c:pt idx="0">
                  <c:v>10328</c:v>
                </c:pt>
                <c:pt idx="1">
                  <c:v>44276</c:v>
                </c:pt>
                <c:pt idx="2">
                  <c:v>86828</c:v>
                </c:pt>
                <c:pt idx="3">
                  <c:v>100795</c:v>
                </c:pt>
                <c:pt idx="4">
                  <c:v>92009</c:v>
                </c:pt>
                <c:pt idx="5">
                  <c:v>92080</c:v>
                </c:pt>
                <c:pt idx="6">
                  <c:v>50069</c:v>
                </c:pt>
                <c:pt idx="7">
                  <c:v>228038</c:v>
                </c:pt>
                <c:pt idx="8">
                  <c:v>222183</c:v>
                </c:pt>
                <c:pt idx="9">
                  <c:v>231900</c:v>
                </c:pt>
                <c:pt idx="10">
                  <c:v>205197</c:v>
                </c:pt>
                <c:pt idx="11">
                  <c:v>327640</c:v>
                </c:pt>
                <c:pt idx="12">
                  <c:v>440671</c:v>
                </c:pt>
                <c:pt idx="13">
                  <c:v>256539</c:v>
                </c:pt>
                <c:pt idx="14">
                  <c:v>282181</c:v>
                </c:pt>
                <c:pt idx="15">
                  <c:v>220241</c:v>
                </c:pt>
              </c:numCache>
            </c:numRef>
          </c:val>
          <c:smooth val="0"/>
          <c:extLst>
            <c:ext xmlns:c16="http://schemas.microsoft.com/office/drawing/2014/chart" uri="{C3380CC4-5D6E-409C-BE32-E72D297353CC}">
              <c16:uniqueId val="{00000001-AB81-4FFC-948D-B007B0728211}"/>
            </c:ext>
          </c:extLst>
        </c:ser>
        <c:dLbls>
          <c:showLegendKey val="0"/>
          <c:showVal val="0"/>
          <c:showCatName val="0"/>
          <c:showSerName val="0"/>
          <c:showPercent val="0"/>
          <c:showBubbleSize val="0"/>
        </c:dLbls>
        <c:marker val="1"/>
        <c:smooth val="0"/>
        <c:axId val="514272080"/>
        <c:axId val="1112268160"/>
      </c:lineChart>
      <c:valAx>
        <c:axId val="11122731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oblastí</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12262752"/>
        <c:crosses val="max"/>
        <c:crossBetween val="between"/>
      </c:valAx>
      <c:catAx>
        <c:axId val="111226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12273152"/>
        <c:crosses val="autoZero"/>
        <c:auto val="1"/>
        <c:lblAlgn val="ctr"/>
        <c:lblOffset val="100"/>
        <c:noMultiLvlLbl val="0"/>
      </c:catAx>
      <c:valAx>
        <c:axId val="111226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obyvatel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4272080"/>
        <c:crosses val="autoZero"/>
        <c:crossBetween val="between"/>
      </c:valAx>
      <c:catAx>
        <c:axId val="514272080"/>
        <c:scaling>
          <c:orientation val="minMax"/>
        </c:scaling>
        <c:delete val="1"/>
        <c:axPos val="b"/>
        <c:majorTickMark val="out"/>
        <c:minorTickMark val="none"/>
        <c:tickLblPos val="nextTo"/>
        <c:crossAx val="111226816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List1!$G$5</c:f>
              <c:strCache>
                <c:ptCount val="1"/>
                <c:pt idx="0">
                  <c:v>Podíl oblastí do 5 000 obyvatel na celkovém počtu oblastí </c:v>
                </c:pt>
              </c:strCache>
            </c:strRef>
          </c:tx>
          <c:spPr>
            <a:ln w="28575" cap="rnd">
              <a:solidFill>
                <a:srgbClr val="004595"/>
              </a:solidFill>
              <a:round/>
            </a:ln>
            <a:effectLst/>
          </c:spPr>
          <c:marker>
            <c:symbol val="circle"/>
            <c:size val="5"/>
            <c:spPr>
              <a:solidFill>
                <a:srgbClr val="004595"/>
              </a:solidFill>
              <a:ln w="9525">
                <a:solidFill>
                  <a:srgbClr val="004595"/>
                </a:solidFill>
              </a:ln>
              <a:effectLst/>
            </c:spPr>
          </c:marker>
          <c:dLbls>
            <c:dLbl>
              <c:idx val="2"/>
              <c:layout>
                <c:manualLayout>
                  <c:x val="-3.5801470658197825E-2"/>
                  <c:y val="-7.17246281714785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59A-4DB9-9956-E2F053602629}"/>
                </c:ext>
              </c:extLst>
            </c:dLbl>
            <c:numFmt formatCode="0_i%"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List1!$C$6:$C$13</c:f>
              <c:numCache>
                <c:formatCode>General</c:formatCode>
                <c:ptCount val="8"/>
                <c:pt idx="0">
                  <c:v>2013</c:v>
                </c:pt>
                <c:pt idx="1">
                  <c:v>2014</c:v>
                </c:pt>
                <c:pt idx="2">
                  <c:v>2015</c:v>
                </c:pt>
                <c:pt idx="3">
                  <c:v>2016</c:v>
                </c:pt>
                <c:pt idx="4">
                  <c:v>2017</c:v>
                </c:pt>
                <c:pt idx="5">
                  <c:v>2018</c:v>
                </c:pt>
                <c:pt idx="6">
                  <c:v>2019</c:v>
                </c:pt>
                <c:pt idx="7">
                  <c:v>2020</c:v>
                </c:pt>
              </c:numCache>
            </c:numRef>
          </c:cat>
          <c:val>
            <c:numRef>
              <c:f>List1!$G$6:$G$13</c:f>
              <c:numCache>
                <c:formatCode>0%</c:formatCode>
                <c:ptCount val="8"/>
                <c:pt idx="0">
                  <c:v>0.8125</c:v>
                </c:pt>
                <c:pt idx="1">
                  <c:v>0.8125</c:v>
                </c:pt>
                <c:pt idx="2">
                  <c:v>0.4375</c:v>
                </c:pt>
                <c:pt idx="3">
                  <c:v>0.66666666666666663</c:v>
                </c:pt>
                <c:pt idx="4">
                  <c:v>0.83050847457627119</c:v>
                </c:pt>
                <c:pt idx="5">
                  <c:v>0.86842105263157898</c:v>
                </c:pt>
                <c:pt idx="6">
                  <c:v>0.91860465116279066</c:v>
                </c:pt>
                <c:pt idx="7">
                  <c:v>0.94871794871794868</c:v>
                </c:pt>
              </c:numCache>
            </c:numRef>
          </c:val>
          <c:smooth val="0"/>
          <c:extLst>
            <c:ext xmlns:c16="http://schemas.microsoft.com/office/drawing/2014/chart" uri="{C3380CC4-5D6E-409C-BE32-E72D297353CC}">
              <c16:uniqueId val="{00000000-C9A2-4CE8-A2FA-A8BC96EF81B7}"/>
            </c:ext>
          </c:extLst>
        </c:ser>
        <c:dLbls>
          <c:showLegendKey val="0"/>
          <c:showVal val="0"/>
          <c:showCatName val="0"/>
          <c:showSerName val="0"/>
          <c:showPercent val="0"/>
          <c:showBubbleSize val="0"/>
        </c:dLbls>
        <c:marker val="1"/>
        <c:smooth val="0"/>
        <c:axId val="2077701903"/>
        <c:axId val="2077697743"/>
      </c:lineChart>
      <c:catAx>
        <c:axId val="2077701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7697743"/>
        <c:crosses val="autoZero"/>
        <c:auto val="1"/>
        <c:lblAlgn val="ctr"/>
        <c:lblOffset val="100"/>
        <c:noMultiLvlLbl val="0"/>
      </c:catAx>
      <c:valAx>
        <c:axId val="2077697743"/>
        <c:scaling>
          <c:orientation val="minMax"/>
        </c:scaling>
        <c:delete val="0"/>
        <c:axPos val="l"/>
        <c:majorGridlines>
          <c:spPr>
            <a:ln w="9525" cap="flat" cmpd="sng" algn="ctr">
              <a:solidFill>
                <a:schemeClr val="tx1">
                  <a:lumMod val="15000"/>
                  <a:lumOff val="85000"/>
                </a:schemeClr>
              </a:solidFill>
              <a:round/>
            </a:ln>
            <a:effectLst/>
          </c:spPr>
        </c:majorGridlines>
        <c:numFmt formatCode="0_i%"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77019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516EFA50D05A47A7FCC073B3AF3D2E" ma:contentTypeVersion="1" ma:contentTypeDescription="Vytvoří nový dokument" ma:contentTypeScope="" ma:versionID="bcc9ad204a8aff2f361e547684be37f5">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EA26-4262-4232-AAAA-CC572549BACE}">
  <ds:schemaRefs>
    <ds:schemaRef ds:uri="http://schemas.microsoft.com/sharepoint/v3/contenttype/forms"/>
  </ds:schemaRefs>
</ds:datastoreItem>
</file>

<file path=customXml/itemProps2.xml><?xml version="1.0" encoding="utf-8"?>
<ds:datastoreItem xmlns:ds="http://schemas.openxmlformats.org/officeDocument/2006/customXml" ds:itemID="{0C5F7F94-8565-45B7-AA0C-BBBA8D21E9ED}">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8AD92B91-2014-44FA-9680-185F4102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BD0C7-7C82-4E9E-831B-0D78D4DA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E7FF6F93.dotm</Template>
  <TotalTime>6</TotalTime>
  <Pages>43</Pages>
  <Words>14198</Words>
  <Characters>83772</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Kontrolní závěr z kontrolní akce NKÚ č. 20/04 - Intervence k zajištění udržitelné jakosti vod</vt:lpstr>
    </vt:vector>
  </TitlesOfParts>
  <Company>NKU</Company>
  <LinksUpToDate>false</LinksUpToDate>
  <CharactersWithSpaces>97775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20/04 - Intervence k zajištění udržitelné jakosti vod</dc:title>
  <dc:subject>Kontrolní závěr z kontrolní akce NKÚ č. 20/04 - Intervence k zajištění udržitelné jakosti vod</dc:subject>
  <dc:creator>Nejvyšší kontrolní úřad</dc:creator>
  <cp:keywords>kontrolní závěr; jakost vody; znečištění vody</cp:keywords>
  <cp:lastModifiedBy>KOKRDA Daniel</cp:lastModifiedBy>
  <cp:revision>4</cp:revision>
  <cp:lastPrinted>2021-07-16T06:38:00Z</cp:lastPrinted>
  <dcterms:created xsi:type="dcterms:W3CDTF">2021-07-16T06:36:00Z</dcterms:created>
  <dcterms:modified xsi:type="dcterms:W3CDTF">2021-07-16T06:41:00Z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0x01010026516EFA50D05A47A7FCC073B3AF3D2E</vt:lpwstr>
  </property>
</Properties>
</file>